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Pagedecouverture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2" type="#_x0000_t75" alt="1CDD8727-7A85-4B40-84AC-C207B009CF41" style="width:450.35pt;height:395.3pt">
            <v:imagedata r:id="rId12" o:title=""/>
          </v:shape>
        </w:pict>
      </w:r>
    </w:p>
    <w:p>
      <w:pPr>
        <w:rPr>
          <w:noProof/>
        </w:rPr>
        <w:sectPr>
          <w:footerReference w:type="default" r:id="rId13"/>
          <w:pgSz w:w="11907" w:h="16839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>
      <w:pPr>
        <w:pStyle w:val="Exposdesmotifstitre"/>
        <w:rPr>
          <w:noProof/>
        </w:rPr>
      </w:pPr>
      <w:bookmarkStart w:id="0" w:name="_GoBack"/>
      <w:bookmarkEnd w:id="0"/>
      <w:r>
        <w:rPr>
          <w:noProof/>
        </w:rPr>
        <w:lastRenderedPageBreak/>
        <w:t>MEMORANDUM TA’ SPJEGAZZJONI</w:t>
      </w:r>
    </w:p>
    <w:p>
      <w:pPr>
        <w:pStyle w:val="ManualHeading1"/>
        <w:rPr>
          <w:noProof/>
        </w:rPr>
      </w:pPr>
      <w:bookmarkStart w:id="1" w:name="_Toc41888283"/>
      <w:r>
        <w:t>1.</w:t>
      </w:r>
      <w:r>
        <w:tab/>
      </w:r>
      <w:r>
        <w:rPr>
          <w:noProof/>
        </w:rPr>
        <w:t>KUNTEST TAL-PROPOSTA</w:t>
      </w:r>
      <w:bookmarkEnd w:id="1"/>
    </w:p>
    <w:p>
      <w:pPr>
        <w:pStyle w:val="Bullet0"/>
        <w:numPr>
          <w:ilvl w:val="0"/>
          <w:numId w:val="8"/>
        </w:numPr>
        <w:rPr>
          <w:b/>
          <w:noProof/>
        </w:rPr>
      </w:pPr>
      <w:r>
        <w:rPr>
          <w:b/>
          <w:noProof/>
        </w:rPr>
        <w:t>Raġunijiet u objettivi tal-proposta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after="240"/>
        <w:rPr>
          <w:rFonts w:eastAsia="Arial Unicode MS"/>
          <w:noProof/>
        </w:rPr>
      </w:pPr>
      <w:r>
        <w:rPr>
          <w:noProof/>
        </w:rPr>
        <w:t>Din il-proposta intiża biex tintroduċi xi tibdil immirat fuq id-Deċiżjoni Nru 1313/2013/UE (“id-Deċiżjoni”) dwar Mekkaniżmu tal-Unjoni għall-Protezzjoni Ċivili (“Mekkaniżmu tal-Unjoni”), li fil-kuntest tiegħu l-Unjoni Ewropea tappoġġa, tikkoordina u tissupplimenta l-azzjoni tal-Istati Membri fil-qasam tal-protezzjoni ċivili għall-prevenzjoni, it-tħejjija u r-reazzjoni għal diżastri naturali jew ikkawżati mill-bniedem kemm fl-Unjoni kif ukoll lil hinn minnha. Bil-prinċipji tas-solidarjetà u r-responsabbiltà kondiviża bħala pedament, l-objettiv komplessiv ta’ din il-proposta huwa li jiżgura li l-Unjoni tkun tista’ tipprovdi appoġġ fil-kriżijiet u appoġġ ta’ emerġenza ta’ kwalità aħjar liċ-ċittadini tagħha fl-Ewropa u lil hinn.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after="240"/>
        <w:rPr>
          <w:rFonts w:eastAsia="Arial Unicode MS"/>
          <w:noProof/>
        </w:rPr>
      </w:pPr>
      <w:r>
        <w:rPr>
          <w:noProof/>
        </w:rPr>
        <w:t>Din il-proposta tibni fuq il-progress li nkiseb sa issa mill-Parlament Ewropew u mill-Kunsill fil-kunsiderazzjonijiet u d-deliberazzjonijiet tagħhom dwar il-proposta tal-Kummissjoni COM(2019) 125 final</w:t>
      </w:r>
      <w:r>
        <w:rPr>
          <w:rStyle w:val="FootnoteReference"/>
          <w:rFonts w:eastAsia="Arial Unicode MS"/>
          <w:noProof/>
        </w:rPr>
        <w:footnoteReference w:id="2"/>
      </w:r>
      <w:r>
        <w:rPr>
          <w:noProof/>
        </w:rPr>
        <w:t>.</w:t>
      </w:r>
    </w:p>
    <w:p>
      <w:pPr>
        <w:rPr>
          <w:noProof/>
        </w:rPr>
      </w:pPr>
      <w:r>
        <w:rPr>
          <w:noProof/>
        </w:rPr>
        <w:t xml:space="preserve">Il-Mekkaniżmu tal-Unjoni wera kemm huwa għodda utli biex jimmobilizza u jikkoordina l-assistenza mogħtija mill-Istati Parteċipanti b’reazzjoni għal kriżijiet ġewwa u barra mill-Unjoni, u b’hekk kien prova tanġibbli tas-solidarjetà Ewropea. Bl-istess mod, fil-kuntest tal-Istrument għall-Appoġġ ta’ Emerġenza, l-Unjoni se tiffaċilita temporanjament it-trasferiment ta’ pazjenti u persunal mediku bejn l-Istati Membru, li huwa kontribut essenzjali li jġib benefiċċji tanġibbli meta titqies id-dimensjoni transfruntiera tal-azzjonijiet. Madankollu, il-pandemija tal-COVID-19 uriet il-ħtieġa li l-Unjoni Ewropea tkun imħejjija aħjar għall-emerġenzi fuq skala kbira li jseħħu l-ġejjieni, filwaqt li tat prova tal-limitazzjonijiet tal-qafas ta’ bħalissa. L-interkonnettività tas-soċjetajiet tagħna li qed iħabbtu wiċċhom mal-istess emerġenza u d-diffikultà li rriżultat meta ġew biex jgħinu lil xulxin uriet il-ħtieġa għal azzjoni msaħħa fil-livell tal-Unjoni, kif intalab ukoll fid-Dikjarazzjoni Konġunta tal-Kunsill Ewropew tas-26 ta’ Marzu 2020. </w:t>
      </w:r>
    </w:p>
    <w:p>
      <w:pPr>
        <w:rPr>
          <w:rFonts w:eastAsia="Calibri"/>
          <w:noProof/>
          <w:szCs w:val="24"/>
        </w:rPr>
      </w:pPr>
      <w:r>
        <w:rPr>
          <w:noProof/>
        </w:rPr>
        <w:t xml:space="preserve">Bħalissa l-Mekkaniżmu tal-Unjoni jiddependi totalment fuq ir-riżorsi tal-Istati Membri. Kif ħareġ fid-dieher f’dawn l-aħħar xhur, ħafna drabi din is-sistema ta’ solidarjetà reċiproka Ewropa tibda togħtor jekk l-Istati Membri kollha, jew parti kbira minnhom, jintlaqtu mill-istess emerġenza fl-istess waqt u għaldaqstant ma jkunux jistgħu jgħinu lil xulxin. F’każijiet bħal dawn ta’ emerġenzi fuq skala kbira u b’impatt enormi, bħalissa l-Unjoni ma għandhiex il-kapaċità li tinvolvi ruħha biżżejjed biex tindirizza dawn il-lakuni b’mod suffiċjenti. Biex tiġi żgurata reazzjoni ġenerali effettiva tal-Unjoni għal emerġenzi fuq skala kbira l-Mekkaniżmu tal-Unjoni għandu bżonn ikun aktar flessibbli u awtonomu - biex ikun jista’ jaġixxi fil-livell tal-Unjoni meta Stat Membru jinħakem minn sitwazzjoni u ma jkunx jista’ jieħu azzjoni huwa stess. </w:t>
      </w:r>
    </w:p>
    <w:p>
      <w:pPr>
        <w:spacing w:after="240"/>
        <w:rPr>
          <w:rFonts w:eastAsia="Calibri"/>
          <w:noProof/>
          <w:szCs w:val="24"/>
        </w:rPr>
      </w:pPr>
      <w:r>
        <w:rPr>
          <w:noProof/>
        </w:rPr>
        <w:t>Il-Kummissjoni qiegħda tipproponi li tisfrutta s-setgħa sħiħa tal-baġit tal-UE biex timmobilizza l-investiment u l-konċentrazzjoni fil-bidu tal-appoġġ finanzjarju fl-ewwel snin kruċjali tal-irkupru. Dawn il-proposti huma msejsa fuq:</w:t>
      </w:r>
    </w:p>
    <w:p>
      <w:pPr>
        <w:autoSpaceDE w:val="0"/>
        <w:autoSpaceDN w:val="0"/>
        <w:spacing w:before="40" w:after="40"/>
        <w:rPr>
          <w:rFonts w:eastAsia="Arial Unicode MS"/>
          <w:noProof/>
        </w:rPr>
      </w:pPr>
      <w:r>
        <w:rPr>
          <w:noProof/>
        </w:rPr>
        <w:t>•          Strument ta’ Rkupru tal-Unjoni Ewropea ta’ emerġenza bħala miżura eċċezzjonali, imsejjes fuq l-Artikolu 122 TFUE, li l-finanzjament tiegħu se jkun ibbażat fuq is-setgħa prevista fil-proposta tad-Deċiżjoni dwar ir-Riżorsi Proprji. Il-fondi se jippermettu l-</w:t>
      </w:r>
      <w:r>
        <w:rPr>
          <w:noProof/>
        </w:rPr>
        <w:lastRenderedPageBreak/>
        <w:t>implimentazzjoni ta’ miżuri b’azzjoni rapida li jħarsu l-għajxien tan-nies, itejbu l-prevenzjoni u jsaħħu r-reżiljenza u l-irkupru b’reazzjoni għall-kriżi.</w:t>
      </w:r>
    </w:p>
    <w:p>
      <w:pPr>
        <w:autoSpaceDE w:val="0"/>
        <w:autoSpaceDN w:val="0"/>
        <w:spacing w:before="40" w:after="40"/>
        <w:rPr>
          <w:rFonts w:eastAsia="Arial Unicode MS"/>
          <w:noProof/>
        </w:rPr>
      </w:pPr>
      <w:r>
        <w:rPr>
          <w:noProof/>
        </w:rPr>
        <w:t xml:space="preserve">•        Qafas Finanzjarju Pluriennali msaħħaħ għas-snin 2021-2027. 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after="240"/>
        <w:rPr>
          <w:rFonts w:eastAsia="Arial Unicode MS"/>
          <w:noProof/>
        </w:rPr>
      </w:pPr>
      <w:r>
        <w:rPr>
          <w:noProof/>
        </w:rPr>
        <w:t>F’dan l-isfond, il-Kummissjoni qed tipproponi reviżjoni mmirata tal-leġiżlazzjoni kurrenti dwar il-Mekkaniżmu tal-Unjoni biex tindirizza l-isfidi ewlenin li qed iħabbat wiċċu magħhom il-Mekkaniżmu tal-Unjoni llum. It-tibdil se jippermetti lill-Mekkaniżmu tal-Unjoni jaġixxi b’mod aktar effiċjenti u effettiv, jindirizza l-lakuni eżistenti u jsalva ħajjet in-nies. F’termini konkreti, it-tibdil li jinsab f’din il-proposta għandu l-mira li jikseb l-għanijiet li ġejjin:</w:t>
      </w:r>
    </w:p>
    <w:p>
      <w:pPr>
        <w:pStyle w:val="Point0"/>
        <w:rPr>
          <w:noProof/>
        </w:rPr>
      </w:pPr>
      <w:r>
        <w:rPr>
          <w:noProof/>
        </w:rPr>
        <w:t>a)</w:t>
      </w:r>
      <w:r>
        <w:rPr>
          <w:noProof/>
        </w:rPr>
        <w:tab/>
        <w:t>Isaħħaħ approċċ ta’ tħejjija transsettorjali u soċjetali għall-immaniġġar tar-riskju ta’ diżastri transfruntiera, fosthom il-ħolqien ta’ elementi ta’ xenarji bażi u ta’ ppjanar fil-livell Ewropew, b’kunsiderazzjoni dwar l-effett tat-tibdil fil-klima fuq ir-riskju ta’ diżastri.</w:t>
      </w:r>
    </w:p>
    <w:p>
      <w:pPr>
        <w:pStyle w:val="Point0"/>
        <w:rPr>
          <w:noProof/>
        </w:rPr>
      </w:pPr>
      <w:r>
        <w:rPr>
          <w:noProof/>
        </w:rPr>
        <w:t>b)</w:t>
      </w:r>
      <w:r>
        <w:rPr>
          <w:noProof/>
        </w:rPr>
        <w:tab/>
        <w:t>jiżgura li l-Kummissjoni tkun tista’ takkwista direttament xibka ta’ sikurezza xierqa ta’ kapaċitajiet tar-rescEU;</w:t>
      </w:r>
    </w:p>
    <w:p>
      <w:pPr>
        <w:pStyle w:val="Point0"/>
        <w:rPr>
          <w:noProof/>
        </w:rPr>
      </w:pPr>
      <w:r>
        <w:rPr>
          <w:noProof/>
        </w:rPr>
        <w:t>c)</w:t>
      </w:r>
      <w:r>
        <w:rPr>
          <w:noProof/>
        </w:rPr>
        <w:tab/>
        <w:t>jipprovdi lill-Kummissjoni il-kapaċità loġistika li tipprovdi servizzi tal-ajru bi skopijiet multipli fil-każ ta’ emerġenzi u li tiżgura t-trasport f’waqtu u l-għoti ta’ assistenza;</w:t>
      </w:r>
    </w:p>
    <w:p>
      <w:pPr>
        <w:pStyle w:val="Point0"/>
        <w:rPr>
          <w:noProof/>
        </w:rPr>
      </w:pPr>
      <w:r>
        <w:rPr>
          <w:noProof/>
        </w:rPr>
        <w:t>d)</w:t>
      </w:r>
      <w:r>
        <w:rPr>
          <w:noProof/>
        </w:rPr>
        <w:tab/>
        <w:t xml:space="preserve">ifassal sistema aktar flessibbli għal reazzjoni għal emerġenzi fuq skala kbira; </w:t>
      </w:r>
    </w:p>
    <w:p>
      <w:pPr>
        <w:pStyle w:val="Point0"/>
        <w:rPr>
          <w:noProof/>
        </w:rPr>
      </w:pPr>
      <w:r>
        <w:rPr>
          <w:noProof/>
        </w:rPr>
        <w:t>e)</w:t>
      </w:r>
      <w:r>
        <w:rPr>
          <w:noProof/>
        </w:rPr>
        <w:tab/>
        <w:t xml:space="preserve">isaħħaħ ir-rwol ta’ koordinazzjoni operazzjonali u ta’ monitoraġġ taċ-Ċentru ta’ Koordinazzjoni tar-Reazzjoni f’każ ta’ Emerġenza bħala appoġġ għar-reazzjoni rapida u effettiva tal-UE fir-rigward ta’ firxa ta’ kriżijiet fl-Unjoni u lil hinn minnha, flimkien mal-mekkaniżmi eżistenti tar-reazzjoni għall-kriżijiet u b’konformità mal-arranġamenti interistituzzjonali eżistenti; </w:t>
      </w:r>
    </w:p>
    <w:p>
      <w:pPr>
        <w:pStyle w:val="Point0"/>
        <w:rPr>
          <w:noProof/>
        </w:rPr>
      </w:pPr>
      <w:r>
        <w:rPr>
          <w:noProof/>
        </w:rPr>
        <w:t>f)</w:t>
      </w:r>
      <w:r>
        <w:rPr>
          <w:noProof/>
        </w:rPr>
        <w:tab/>
        <w:t>jippermetti investiment aktar b’saħħtu fit-tħejjija fil-livell tal-Unjoni u aktar simplifikazzjoni tal-implimentazzjoni tal-baġit;</w:t>
      </w:r>
    </w:p>
    <w:p>
      <w:pPr>
        <w:pStyle w:val="Point0"/>
      </w:pPr>
      <w:r>
        <w:rPr>
          <w:noProof/>
        </w:rPr>
        <w:t>g)</w:t>
      </w:r>
      <w:r>
        <w:rPr>
          <w:noProof/>
        </w:rPr>
        <w:tab/>
        <w:t>jippermetti l-implimentazzjoni tal-miżuri ta’ rkupru u reżiljenza skont il-Mekkaniżmu tal-Unjoni għall-Protezzjoni Ċivili permezz ta’ finanzjament mill-Istrument ta’ Rkupru tal-Unjoni Ewropea, li jikkostitwixxi dħul assenjat estern b’konformità mal-Artikolu 21(5) tar-Regolament Finanzjarju 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Arial Unicode MS"/>
          <w:noProof/>
        </w:rPr>
      </w:pPr>
      <w:r>
        <w:rPr>
          <w:noProof/>
        </w:rPr>
        <w:t>Il-Mekkaniżmu msaħħaħ tal-Unjoni jippermetti lill-Unjoni u lill-Istati Membri li jkunu mħejjija aħjar għal kriżijiet fil-futur u jkunu jistgħu jirreaġixxu malajr u b’mod effettiv għalihom, partikolarment għal dawk b’impatt kbir meta jitqies it-tħarbit potenzjali fl-ekonomiji u s-soċjetajiet tagħna, kif joħroġ biċ-ċar fl-emerġenza tal-COVID-19. Fi żmien twil, il-prevenzjoni u t-tnaqqis tal-impatt tad-diżastri permezz ta’ tħejjija aħjar huma aktar kosteffettivi milli tingħata reazzjoni matul il-kriżi, partikolarment meta wieħed iqis kif it-tibdil fil-klima u d-degradazzjoni ambjentali qegħdin iżidu r-riskju ta’ diżastri madwar id-dinja kif ukoll fl-Unjoni.</w:t>
      </w:r>
    </w:p>
    <w:p>
      <w:pPr>
        <w:pStyle w:val="Bullet0"/>
        <w:rPr>
          <w:b/>
          <w:noProof/>
        </w:rPr>
      </w:pPr>
      <w:r>
        <w:rPr>
          <w:b/>
          <w:noProof/>
        </w:rPr>
        <w:t>Konsistenza mad-dispożizzjonijiet eżistenti fil-qasam ta’ politika</w:t>
      </w:r>
    </w:p>
    <w:p>
      <w:pPr>
        <w:rPr>
          <w:rFonts w:eastAsia="Arial Unicode MS"/>
          <w:noProof/>
        </w:rPr>
      </w:pPr>
      <w:r>
        <w:rPr>
          <w:noProof/>
        </w:rPr>
        <w:t>L-Ewropa hija responsabbli li turi solidarjetà u li tgħin li dawk fil-bżonn. Din il-proposta se ssaħħaħ is-solidarjetà, li tirfed id-Deċiżjoni 1313/2013/UE, flimkien mal-prinċipji tar-responsabbiltà kondiviża u l-għoti ta’ rendikont.</w:t>
      </w:r>
    </w:p>
    <w:p>
      <w:pPr>
        <w:rPr>
          <w:rFonts w:eastAsia="Arial Unicode MS"/>
          <w:noProof/>
        </w:rPr>
      </w:pPr>
      <w:r>
        <w:rPr>
          <w:noProof/>
        </w:rPr>
        <w:t>Din il-proposta tibni fuq ir-riżultati pożittivi li nkisbu mill-qafas eżistenti, u hija maħsuba biex tirranġa n-nuqqasijiet tagħha b’dispożizzjonijiet imsaħħa biex tissokta tappoġġa, tikkoordina u tikkomplementa l-azzjoni tal-Istati Membri f’dan il-qasam.</w:t>
      </w:r>
    </w:p>
    <w:p>
      <w:pPr>
        <w:pStyle w:val="Bullet0"/>
        <w:rPr>
          <w:b/>
          <w:noProof/>
        </w:rPr>
      </w:pPr>
      <w:r>
        <w:rPr>
          <w:b/>
          <w:noProof/>
        </w:rPr>
        <w:lastRenderedPageBreak/>
        <w:t>Konsistenza ma’ politiki oħra tal-Unjoni</w:t>
      </w:r>
    </w:p>
    <w:p>
      <w:pPr>
        <w:autoSpaceDE w:val="0"/>
        <w:autoSpaceDN w:val="0"/>
        <w:adjustRightInd w:val="0"/>
        <w:spacing w:after="0"/>
        <w:rPr>
          <w:rFonts w:eastAsia="Arial Unicode MS"/>
          <w:noProof/>
        </w:rPr>
      </w:pPr>
      <w:r>
        <w:rPr>
          <w:noProof/>
        </w:rPr>
        <w:t>L-azzjonijiet previsti skont il-Mekkaniżmu tal-Unjoni rivedut huma allinjati mal-objettiv kumplessiv tal-Unjoni li tiżgura li l-politiki u l-istrumenti rilevanti kollha tal-Unjoni jikkontribwixxu għat-tisħiħ tal-kapaċitajiet tal-Unjoni f’termini tal-immaniġġar tar-riskju ta’ diżastri b’approċċ ta’ “perikli kollha”, mir-reazzjoni u l-irkupru sal-prevenzjoni ta’ diżastri.</w:t>
      </w:r>
    </w:p>
    <w:p>
      <w:pPr>
        <w:autoSpaceDE w:val="0"/>
        <w:autoSpaceDN w:val="0"/>
        <w:adjustRightInd w:val="0"/>
        <w:spacing w:after="0"/>
        <w:rPr>
          <w:rFonts w:eastAsia="Arial Unicode MS"/>
          <w:noProof/>
        </w:rPr>
      </w:pPr>
      <w:r>
        <w:rPr>
          <w:noProof/>
        </w:rPr>
        <w:t xml:space="preserve">B’mod partikolari, qiegħda tingħata attenzjoni partikolari biex jiġu żgurati l-koordinazzjoni mill-qrib u l-konsistenza mal-azzjonijiet li jitwettqu fil-kuntest ta’ politiki u strumenti oħra tal-Unjoni li għandhom l-għan partikolari li jħarsu ħajjet in-nies, jipprevjenu u jtaffu t-tbatija tal-bnedmin u jipproteġu d-dinjità umana, fosthom l-evitar, it-tnaqqis u l-indirizzar tal-konsegwenzi negattivi tat-tibdil fil-klima. </w:t>
      </w:r>
    </w:p>
    <w:p>
      <w:pPr>
        <w:autoSpaceDE w:val="0"/>
        <w:autoSpaceDN w:val="0"/>
        <w:adjustRightInd w:val="0"/>
        <w:spacing w:after="0"/>
        <w:rPr>
          <w:rFonts w:eastAsia="Arial Unicode MS"/>
          <w:iCs/>
          <w:noProof/>
        </w:rPr>
      </w:pPr>
      <w:r>
        <w:rPr>
          <w:noProof/>
        </w:rPr>
        <w:t>Kunsiderazzjoni speċifika u importanti hija l-koordinazzjoni mal-programm il-ġdid tal-UE “EU4Health”. Filwaqt li l-Mekkaniżmu tal-Unjoni se jiffoka fuq il-kapaċitajiet ta’ reazzjoni diretta għall-kriżijiet li se jkollhom ikunu lesti u disponibbli minnufih f’każ ta’ emerġenza, il-programm “EU4Health” se jinkludi riżervi strutturali kbar, fosthom riżerva ta’ esperti u persunal mediku mħejjija, u r-reżiljenza sottostanti tas-sistemi tal-kura tas-saħħa. Dawn ir-riżorsi se jkunu kruċjali għal reazzjoni koordinata għall-kriżijiet fil-livell tal-Unjoni.</w:t>
      </w:r>
    </w:p>
    <w:p>
      <w:pPr>
        <w:autoSpaceDE w:val="0"/>
        <w:autoSpaceDN w:val="0"/>
        <w:adjustRightInd w:val="0"/>
        <w:spacing w:after="0"/>
        <w:rPr>
          <w:rFonts w:eastAsia="Arial Unicode MS"/>
          <w:noProof/>
        </w:rPr>
      </w:pPr>
      <w:r>
        <w:rPr>
          <w:noProof/>
        </w:rPr>
        <w:t>Din il-proposta tipprovdi wkoll ir-riżorsi baġitarji meħtieġa għall-appoġġ tal-azzjonijiet tal-Unjoni fil-qasam tal-protezzjoni ċivili, prinċipalment permezz ta’ Mekkaniżmu tal-Unjoni msaħħaħ. Dan tal-aħħar jikkontribwixxi għall-objettiv kumplessiv ta’ “Ewropa li Tipproteġi” kif issemma fil-Komunikazzjoni tal-Kummissjoni lill-Parlament Ewropew, il-Kunsill Ewropew u lill-Kunsill fuq “Qafas Finanzjarju Pluriennali ġdid u modern għal Unjoni Ewropea li tagħti riżultati fuq il-prijoritajiet tagħha b’mod effiċjenti wara l-2020”. Skont il-proposta l-ġdida tal-qafas finanzjarju pluriennali, il-finanzjament relatat mal-protezzjoni ċivili ġie integrat f’intestatura unika: Intestatura 5 “Reżiljenza, Sigurtà u Difiża”. Ir-raggruppament speċifiku “Reżiljenza u Reazzjoni għall-Kriżijiet” irid jinkludi kemm id-dimensjoni interna kif ukoll esterna tal-protezzjoni ċivili.</w:t>
      </w:r>
    </w:p>
    <w:p>
      <w:pPr>
        <w:autoSpaceDE w:val="0"/>
        <w:autoSpaceDN w:val="0"/>
        <w:adjustRightInd w:val="0"/>
        <w:spacing w:after="0"/>
        <w:rPr>
          <w:rFonts w:eastAsia="Arial Unicode MS"/>
          <w:noProof/>
        </w:rPr>
      </w:pPr>
      <w:r>
        <w:rPr>
          <w:noProof/>
        </w:rPr>
        <w:t>Bħalissa l-ebda att leġislattiv fl-isfond ta’ politiki oħrajn tal-Unjoni ma jista’ jikseb l-objettivi ta’ din il-proposta. Għaldaqstant jenħtieġ li ma jkun hemm ebda duplikazzjoni tal-azzjonijiet fil-qasam.</w:t>
      </w:r>
    </w:p>
    <w:p>
      <w:pPr>
        <w:pStyle w:val="ManualHeading1"/>
        <w:rPr>
          <w:noProof/>
        </w:rPr>
      </w:pPr>
      <w:bookmarkStart w:id="2" w:name="_Toc41888284"/>
      <w:r>
        <w:t>2.</w:t>
      </w:r>
      <w:r>
        <w:tab/>
      </w:r>
      <w:r>
        <w:rPr>
          <w:noProof/>
        </w:rPr>
        <w:t>BAŻI ĠURIDIKA, SUSSIDJARJETÀ U PROPORZJONALITÀ</w:t>
      </w:r>
      <w:bookmarkEnd w:id="2"/>
    </w:p>
    <w:p>
      <w:pPr>
        <w:pStyle w:val="Bullet0"/>
        <w:rPr>
          <w:b/>
          <w:noProof/>
          <w:u w:color="000000"/>
          <w:bdr w:val="nil"/>
        </w:rPr>
      </w:pPr>
      <w:r>
        <w:rPr>
          <w:b/>
          <w:noProof/>
          <w:u w:color="000000"/>
          <w:bdr w:val="nil"/>
        </w:rPr>
        <w:t>Bażi ġuridika</w:t>
      </w:r>
    </w:p>
    <w:p>
      <w:pPr>
        <w:autoSpaceDE w:val="0"/>
        <w:autoSpaceDN w:val="0"/>
        <w:adjustRightInd w:val="0"/>
        <w:spacing w:after="0"/>
        <w:rPr>
          <w:noProof/>
        </w:rPr>
      </w:pPr>
      <w:r>
        <w:rPr>
          <w:noProof/>
        </w:rPr>
        <w:t>Il-bażi ġuridika għal din il-proposta hija l-Artikolu 196 u l-Artikolu 322(1)(a) tat-Trattat dwar il-Funzjonament tal-Unjoni Ewropea.</w:t>
      </w:r>
    </w:p>
    <w:p>
      <w:pPr>
        <w:pStyle w:val="Bullet0"/>
        <w:rPr>
          <w:b/>
          <w:noProof/>
          <w:u w:color="000000"/>
          <w:bdr w:val="nil"/>
        </w:rPr>
      </w:pPr>
      <w:r>
        <w:rPr>
          <w:b/>
          <w:noProof/>
          <w:u w:color="000000"/>
          <w:bdr w:val="nil"/>
        </w:rPr>
        <w:t xml:space="preserve">Sussidjarjetà (għall-kompetenza mhux esklużiva) 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after="240"/>
        <w:rPr>
          <w:rFonts w:eastAsia="Arial Unicode MS"/>
          <w:bCs/>
          <w:noProof/>
        </w:rPr>
      </w:pPr>
      <w:r>
        <w:rPr>
          <w:noProof/>
        </w:rPr>
        <w:t>Il-Kummissjoni għandha l-kompetenza li tagħti appoġġ fil-qasam tal-protezzjoni ċivili. L-Istati Membri għad għandhom ir-responsabbiltà primarja f’dak li għandu x’jaqsam mal-prevenzjoni, it-tħejjija u r-reazzjoni fil-każ ta’ diżastri. Il-Mekkaniżmu tal-Unjoni nħoloq għaliex diżastri maġġuri jistgħu jaħkmu l-kapaċitajiet ta’ reazzjoni ta’ kwalunkwe Stat Membru li jaġixxi għal rasu. Fil-qalba tiegħu hemm l-għoti ta’ assistenza reċiproka rapida u koordinata sew fost l-Istati Membri.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after="240"/>
        <w:rPr>
          <w:rFonts w:eastAsia="Arial Unicode MS"/>
          <w:bCs/>
          <w:noProof/>
        </w:rPr>
      </w:pPr>
      <w:r>
        <w:rPr>
          <w:noProof/>
        </w:rPr>
        <w:t xml:space="preserve">L-objettivi tal-proposta ma jistgħux jintlaħqu biżżejjed mill-Istati Membri meta jaġixxu waħedhom. L-azzjoni tal-Unjoni f’dan il-qasam tinvolvi l-ġestjoni ta’ sitwazzjonijiet b’komponenti transfruntiera u bejn diversi pajjiżi, li neċessarjament jirrikjedu l-koordinazzjoni ġenerali u azzjoni miftiehma lil hinn mil-livell nazzjonali. 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after="240"/>
        <w:rPr>
          <w:rFonts w:eastAsia="Arial Unicode MS"/>
          <w:bCs/>
          <w:noProof/>
        </w:rPr>
      </w:pPr>
      <w:r>
        <w:rPr>
          <w:noProof/>
        </w:rPr>
        <w:lastRenderedPageBreak/>
        <w:t>Kif ħareġ fid-dieher matul it-tifqigħa tal-COVID-19, fil-każ ta’ emerġenza serja fejn l-Unjoni Ewropea kollha kemm hi tkun ikkonċernata mill-iskala u l-ambitu tal-emerġenza, ikun jeħtieġ reazzjoni kollettiva, koordinata u urġenti biex jiġi evitat approċċ frammentat li jillimita l-effettività tar-reazzjoni tal-Unjoni. Minħabba t-talbiet urġenti biex jiġu mobilizzati biżżejjed riżorsi u biex jintbagħtu lejn l-Istati Membri fuq il-bażi ta’ bżonnijiethom, jeħtieġ li l-Unjoni taġixxi f’kooperazzjoni mal-Istati Membri. Id-dimensjoni dinjija u l-effetti ta’ dawn l-emerġenzi tassew jirrikjedu azzjoni koordinata, li tiżgura l-mitigazzjoni rapida u effettiva ta’ diżastri, flimkien mal-prevenzjoni li jerġgħu jseħħu.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after="240"/>
        <w:rPr>
          <w:rFonts w:eastAsia="Arial Unicode MS"/>
          <w:bCs/>
          <w:noProof/>
        </w:rPr>
      </w:pPr>
      <w:r>
        <w:rPr>
          <w:noProof/>
        </w:rPr>
        <w:t>Meta wieħed iqis il-benefiċċji f’termini tat-tnaqqis tal-għadd ta’ mwiet, tal-ħsara ambjentali, ekonomika u materjali kif ukoll l-impatt soċjali, il-proposta turi l-valur miżjud ċar tal-azzjoni tal-UE.</w:t>
      </w:r>
    </w:p>
    <w:p>
      <w:pPr>
        <w:pStyle w:val="Bullet0"/>
        <w:rPr>
          <w:b/>
          <w:noProof/>
          <w:u w:color="000000"/>
          <w:bdr w:val="nil"/>
        </w:rPr>
      </w:pPr>
      <w:r>
        <w:rPr>
          <w:b/>
          <w:noProof/>
          <w:u w:color="000000"/>
          <w:bdr w:val="nil"/>
        </w:rPr>
        <w:t>Proporzjonalità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after="240"/>
        <w:rPr>
          <w:rFonts w:eastAsia="Arial Unicode MS"/>
          <w:bCs/>
          <w:noProof/>
        </w:rPr>
      </w:pPr>
      <w:r>
        <w:rPr>
          <w:noProof/>
        </w:rPr>
        <w:t>Il-proposta ma tmurx lil hinn minn dak li huwa meħtieġ sabiex jintlaħqu l-objettivi. Hija tindirizza l-lakuni li ġew identifikati minn meta ġiet adottata d-Deċiżjoni (UE) 2019/420 tal-Parlament Ewropew u tal-Kunsill li temenda d-Deċiżjoni Nru 1313/2013/UE dwar Mekkaniżmu tal-Unjoni għall-Protezzjoni Ċivili u tipproponi soluzzjonijiet konformi mal-mandat li ngħata mill-Kunsill u mill-Parlament Ewropew.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after="240"/>
        <w:rPr>
          <w:rFonts w:eastAsia="Arial Unicode MS"/>
          <w:bCs/>
          <w:noProof/>
        </w:rPr>
      </w:pPr>
      <w:r>
        <w:rPr>
          <w:noProof/>
        </w:rPr>
        <w:t xml:space="preserve">Il-piż amministrattiv għall-Unjoni u l-Istati Membri huwa limitat u ma jmurx lil hinn minn dak li hu meħtieġ biex jinkisbu l-objettivi tal-proposta. </w:t>
      </w:r>
    </w:p>
    <w:p>
      <w:pPr>
        <w:pStyle w:val="Bullet0"/>
        <w:rPr>
          <w:b/>
          <w:noProof/>
          <w:u w:color="000000"/>
          <w:bdr w:val="nil"/>
        </w:rPr>
      </w:pPr>
      <w:r>
        <w:rPr>
          <w:b/>
          <w:noProof/>
          <w:u w:color="000000"/>
          <w:bdr w:val="nil"/>
        </w:rPr>
        <w:t>Għażla tal-istrument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after="240"/>
        <w:rPr>
          <w:noProof/>
        </w:rPr>
      </w:pPr>
      <w:r>
        <w:rPr>
          <w:noProof/>
        </w:rPr>
        <w:t>Il-Proposta għal Deċiżjoni li temenda d-Deċiżjoni Nru 1313/2013/UE tal-Parlament Ewropew u tal-Kunsill dwar Mekkaniżmu tal-Unjoni għall-Protezzjoni Ċivili.</w:t>
      </w:r>
    </w:p>
    <w:p>
      <w:pPr>
        <w:pStyle w:val="ManualHeading1"/>
        <w:rPr>
          <w:noProof/>
        </w:rPr>
      </w:pPr>
      <w:bookmarkStart w:id="3" w:name="_Toc41887002"/>
      <w:bookmarkStart w:id="4" w:name="_Toc41888285"/>
      <w:r>
        <w:t>3.</w:t>
      </w:r>
      <w:r>
        <w:tab/>
      </w:r>
      <w:r>
        <w:rPr>
          <w:noProof/>
        </w:rPr>
        <w:t>RIŻULTATI TAL-EVALWAZZJONIJIET EX POST, TAL-KONSULTAZZJONIJIET MAL-PARTIJIET IKKONĊERNATI U TAL-VALUTAZZJONIJIET TAL-IMPATT</w:t>
      </w:r>
      <w:bookmarkEnd w:id="3"/>
      <w:bookmarkEnd w:id="4"/>
    </w:p>
    <w:p>
      <w:pPr>
        <w:pStyle w:val="Bullet0"/>
        <w:rPr>
          <w:b/>
          <w:noProof/>
          <w:u w:color="000000"/>
          <w:bdr w:val="nil"/>
        </w:rPr>
      </w:pPr>
      <w:r>
        <w:rPr>
          <w:b/>
          <w:noProof/>
          <w:u w:color="000000"/>
          <w:bdr w:val="nil"/>
        </w:rPr>
        <w:t>Konsultazzjonijiet mal-partijiet ikkonċernati</w:t>
      </w:r>
    </w:p>
    <w:p>
      <w:pPr>
        <w:rPr>
          <w:rFonts w:eastAsia="Arial Unicode MS"/>
          <w:bCs/>
          <w:noProof/>
        </w:rPr>
      </w:pPr>
      <w:r>
        <w:rPr>
          <w:noProof/>
        </w:rPr>
        <w:t>Minħabba l-urġenza biex din il-proposta titħejja u tiġi adottata mill-Kunsill fil-waqt, ma saritx konsultazzjonijiet mal-partijiet ikkonċernati.</w:t>
      </w:r>
    </w:p>
    <w:p>
      <w:pPr>
        <w:pStyle w:val="Bullet0"/>
        <w:rPr>
          <w:b/>
          <w:noProof/>
          <w:u w:color="000000"/>
          <w:bdr w:val="nil"/>
        </w:rPr>
      </w:pPr>
      <w:r>
        <w:rPr>
          <w:b/>
          <w:noProof/>
          <w:u w:color="000000"/>
          <w:bdr w:val="nil"/>
        </w:rPr>
        <w:t>Ġbir u użu tal-għarfien espert</w:t>
      </w:r>
    </w:p>
    <w:p>
      <w:pPr>
        <w:spacing w:before="60" w:after="60"/>
        <w:rPr>
          <w:rFonts w:eastAsia="Arial Unicode MS"/>
          <w:bCs/>
          <w:noProof/>
        </w:rPr>
      </w:pPr>
      <w:r>
        <w:rPr>
          <w:noProof/>
        </w:rPr>
        <w:t>Mhix rilevanti.</w:t>
      </w:r>
    </w:p>
    <w:p>
      <w:pPr>
        <w:ind w:left="851" w:hanging="851"/>
        <w:rPr>
          <w:rFonts w:eastAsia="Arial Unicode MS"/>
          <w:b/>
          <w:noProof/>
          <w:u w:color="000000"/>
          <w:bdr w:val="nil"/>
        </w:rPr>
      </w:pPr>
      <w:r>
        <w:rPr>
          <w:noProof/>
        </w:rPr>
        <w:tab/>
      </w:r>
      <w:bookmarkStart w:id="5" w:name="_Toc41888286"/>
      <w:r>
        <w:rPr>
          <w:b/>
          <w:noProof/>
          <w:u w:color="000000"/>
          <w:bdr w:val="nil"/>
        </w:rPr>
        <w:t>Valutazzjoni tal-impatt</w:t>
      </w:r>
      <w:bookmarkEnd w:id="5"/>
    </w:p>
    <w:p>
      <w:pPr>
        <w:rPr>
          <w:noProof/>
        </w:rPr>
      </w:pPr>
      <w:r>
        <w:rPr>
          <w:noProof/>
        </w:rPr>
        <w:t>Minħabba n-natura urġenti tal-proposta ma saret l-ebda valutazzjoni tal-impatt. Madankollu, it-tagħlimiet preliminari li ttieħdu mit-tifqigħa tal-COVID-19, u li ġew identifikati f’kooperazzjoni mill-qrib mal-partijiet ikkonċernati rilevanti, iddaħħlu f’din il-proposta u għaldaqstant ikkontribwew għal evalwazzjoni bir-reqqa tal-impatt tal-politiki proposti.</w:t>
      </w:r>
    </w:p>
    <w:p>
      <w:pPr>
        <w:pStyle w:val="Bullet0"/>
        <w:rPr>
          <w:b/>
          <w:noProof/>
          <w:u w:color="000000"/>
          <w:bdr w:val="nil"/>
        </w:rPr>
      </w:pPr>
      <w:r>
        <w:rPr>
          <w:b/>
          <w:noProof/>
          <w:u w:color="000000"/>
          <w:bdr w:val="nil"/>
        </w:rPr>
        <w:t>Idoneità regolatorja u simplifikazzjoni</w:t>
      </w:r>
    </w:p>
    <w:p>
      <w:pPr>
        <w:rPr>
          <w:noProof/>
        </w:rPr>
      </w:pPr>
      <w:r>
        <w:rPr>
          <w:noProof/>
        </w:rPr>
        <w:t xml:space="preserve">L-emendi proposti huma mmirati f’dak li huma ambitu u natura, jibbilanċjaw l-interessi tal-Istati Membri, u huma proporzjonali għal dak li huwa meħtieġ fil-livell operazzjonali. </w:t>
      </w:r>
    </w:p>
    <w:p>
      <w:pPr>
        <w:rPr>
          <w:noProof/>
        </w:rPr>
      </w:pPr>
      <w:r>
        <w:rPr>
          <w:noProof/>
        </w:rPr>
        <w:t>B’mod aktar ġenerali, il-proposta għandha l-għan li tistabbilixxi sistema aktar flessibbli li tiżgura li r-reazzjoni f’każ ta’ diżastri tkun aġli u tkun tista’ tiġi applikata b’mod sempliċi, u għaldaqstant tiżgura li l-Istati Membri jkunu jistgħu jaċċessaw l-appoġġ u l-faċilitazzjoni mill-</w:t>
      </w:r>
      <w:r>
        <w:rPr>
          <w:noProof/>
        </w:rPr>
        <w:lastRenderedPageBreak/>
        <w:t>Mekkaniżmu tal-Unjoni meta jkunu jeħtiġuhom. Pereżempju, id-diżastri riċenti enfasizzaw li jista’ jkun li l-Unjoni ma hijiex mgħammra biżżejjed għal emerġenzi b’impatt mifrux li jolqot lil diversi Stati Membri fl-istess ħin. Minkejja l-intenzjoni tal-Istati Membri, f’tali ċirkostanzi mhux dejjem ikunu jistgħu joffru l-assistenza tagħhom. Bħala reazzjoni għat-tifqigħa globali tal-COVID-19, aktar minn 30 pajjiż (10 Stati Membri u Stati Parteċipanti fil-Mekkaniżmu tal-Unjoni kif ukoll aktar minn 20 pajjiż terz) talbu għal assistenza permezz tal-Mekkaniżmu tal-Unjoni. Il-Mekkaniżmu tal-Unjoni ma setax jirrispondi bis-sħiħ għall-maġġoranza tat-talbiet għal assistenza li rċieva matul it-tifqigħa tal-COVID-19. Permezz ta’ din il-proposta, il-Kummissjoni għandha l-għan li tikseb riżultati aħjar u aktar effiċjenti f’sitwazzjonijiet fuq l-istess skala li jseħħu fit-futur. F’każijiet ta’ emerġenzi ta’ skala kbir u b’impatt enormi bħal dawn, l-Unjoni ma tistax tinvolvi ruħha biex issolvi dawn il-lakuni kritiċi għaliex tirrikjedi l-kapaċità u l-istrumenti legali u finanzjarji biex tissodisfa l-kompetenza tagħha li tagħti appoġġ fil-qasam tal-protezzjoni ċivili meta l-Istati Membri jkunu taħt pressjoni simultanjament u ma jkunux jistgħu jgħinu lil xulxin. Għalkemm il-Kummissjoni rreaġixxiet mill-ewwel għat-tifqigħa billi ħolqot il-kumulazzjoni ta’ riżerva medika, l-ewwel akkwist seta’ jitnieda biss madwar erba’ ġimgħat wara li ġew ikkonfermati l-ewwel każijiet ta’ COVID-19 fl-Ewropa għaliex l-Istati Membri kienu okkupati jindirizzaw l-emerġenza u ma setgħux jiżguraw l-akkwist rapidu u l-ħżin ta’ kapaċitajiet tar-rescEU fil-faċilitajiet tal-Istat Membri.</w:t>
      </w:r>
    </w:p>
    <w:p>
      <w:pPr>
        <w:rPr>
          <w:noProof/>
        </w:rPr>
      </w:pPr>
      <w:r>
        <w:rPr>
          <w:noProof/>
        </w:rPr>
        <w:t>F’termini ta’ simplifikazzjoni, huwa importanti li wieħed jikkunsidra li l-akkwist dirett ta’ kapaċitajiet tar-rescEU mill-Kummissjoni, filwaqt li jippermetti l-azzjoni awtonoma fil-livell tal-Unjoni, itaffi l-piż finanzjarju u amministrattiv fuq l-Istati Membri li ma jkunux meħtieġa jakkwistaw, jikru jew jiksbu b’lokazzjoni l-kapaċitajiet rilevanti direttament, kif hu l-każ matul it-tifqigħa tal-COVID-19. Il-modalità l-ġdida li qed tiġi proposta se tgħin lill-Kummissjoni ma titlifx ħin kritiku u tintervjeni b’mod aktar rapidu, li jagħti valur miżjud lill-isforzi ta’ reazzjoni ta’ emerġenza li jibni l-pedament għal irkupru sostenibbli.</w:t>
      </w:r>
    </w:p>
    <w:p>
      <w:pPr>
        <w:rPr>
          <w:noProof/>
        </w:rPr>
      </w:pPr>
      <w:r>
        <w:rPr>
          <w:noProof/>
        </w:rPr>
        <w:t xml:space="preserve">It-trasport, il-loġistika u l-komunikazzjoni huma elementi ewlenin ta’ kwalunkwe operazzjoni maġġuri ta’ assistenza internazzjonali. Għaldaqstant il-Kummissjoni tixtieq issaħħaħ id-dispożizzjonijiet f’dan il-qasam biex tiżgura li l-Unjoni tkun tista’ tirreaġixxi malajr meta tfaqqa’ kriżi. </w:t>
      </w:r>
    </w:p>
    <w:p>
      <w:pPr>
        <w:rPr>
          <w:noProof/>
        </w:rPr>
      </w:pPr>
      <w:r>
        <w:rPr>
          <w:noProof/>
        </w:rPr>
        <w:t>Barra minn hekk, l-implimentazzjoni tal-baġit tiġi ffaċilitata jekk il-mod tal-implimentazzjoni indiretta tiżdied bħala metodu għall-implimentazzjoni tal-baġit.</w:t>
      </w:r>
    </w:p>
    <w:p>
      <w:pPr>
        <w:pStyle w:val="ManualHeading1"/>
        <w:rPr>
          <w:noProof/>
        </w:rPr>
      </w:pPr>
      <w:bookmarkStart w:id="6" w:name="_Toc41888287"/>
      <w:r>
        <w:t>4.</w:t>
      </w:r>
      <w:r>
        <w:tab/>
      </w:r>
      <w:r>
        <w:rPr>
          <w:noProof/>
        </w:rPr>
        <w:t>IMPLIKAZZJONIJIET BAĠITARJI</w:t>
      </w:r>
      <w:bookmarkEnd w:id="6"/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after="240"/>
        <w:rPr>
          <w:rFonts w:eastAsia="Arial Unicode MS"/>
          <w:bCs/>
          <w:noProof/>
        </w:rPr>
      </w:pPr>
      <w:r>
        <w:rPr>
          <w:noProof/>
        </w:rPr>
        <w:t xml:space="preserve">Il-baġit totali li huwa allokat għall-Mekkaniżmu tal-Unjoni għall-Protezzjoni Ċivili għall-perjodu bejn l-2021 u l-2027 jammonta għal EUR 3 455 902 000 (fi prezzijiet attwali). </w:t>
      </w:r>
    </w:p>
    <w:p>
      <w:pPr>
        <w:pStyle w:val="ManualNumPar1"/>
        <w:rPr>
          <w:noProof/>
        </w:rPr>
      </w:pPr>
      <w:r>
        <w:t>1.</w:t>
      </w:r>
      <w:r>
        <w:tab/>
      </w:r>
      <w:r>
        <w:rPr>
          <w:noProof/>
        </w:rPr>
        <w:t>Ammont ta’ EUR 1 268 282 000 se joriġina mill-intestatura 5 “Reżiljenza, Sigurtà u Difiża” tal-QFP 2021-2027 (paragrafu ġdid 1a fl-Artikolu 19)</w:t>
      </w:r>
    </w:p>
    <w:p>
      <w:pPr>
        <w:pStyle w:val="ManualNumPar1"/>
        <w:rPr>
          <w:noProof/>
        </w:rPr>
      </w:pPr>
      <w:r>
        <w:t>2.</w:t>
      </w:r>
      <w:r>
        <w:tab/>
      </w:r>
      <w:r>
        <w:rPr>
          <w:noProof/>
        </w:rPr>
        <w:t xml:space="preserve">Ammont ta’ EUR 2 187 620 000 għandu jkun disponibbli mill-Istrument ta’ Rkupru Ewropew fuq il-bażi tal-għoti tas-setgħa prevista fid-Deċiżjoni dwar ir-Riżorsi Proprji. </w:t>
      </w:r>
    </w:p>
    <w:p>
      <w:pPr>
        <w:pStyle w:val="ManualHeading1"/>
        <w:rPr>
          <w:noProof/>
        </w:rPr>
      </w:pPr>
      <w:bookmarkStart w:id="7" w:name="_Toc41888288"/>
      <w:r>
        <w:t>5.</w:t>
      </w:r>
      <w:r>
        <w:tab/>
      </w:r>
      <w:r>
        <w:rPr>
          <w:noProof/>
        </w:rPr>
        <w:t>ELEMENTI OĦRA</w:t>
      </w:r>
      <w:bookmarkEnd w:id="7"/>
    </w:p>
    <w:p>
      <w:pPr>
        <w:pStyle w:val="Bullet0"/>
        <w:rPr>
          <w:b/>
          <w:noProof/>
          <w:u w:color="000000"/>
          <w:bdr w:val="nil"/>
        </w:rPr>
      </w:pPr>
      <w:r>
        <w:rPr>
          <w:b/>
          <w:noProof/>
          <w:u w:color="000000"/>
          <w:bdr w:val="nil"/>
        </w:rPr>
        <w:t>Pjanijiet ta’ implimentazzjoni u arranġamenti dwar il-monitoraġġ, l-evalwazzjoni u r-rapportar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after="240"/>
        <w:rPr>
          <w:noProof/>
        </w:rPr>
      </w:pPr>
      <w:r>
        <w:rPr>
          <w:noProof/>
        </w:rPr>
        <w:t xml:space="preserve">Japplika l-Artikolu 34 tad-Deċiżjoni 1313/2013/UE dwar Mekkaniżmu tal-Unjoni għall-Protezzjoni Ċivili. Dan jipprevedi li l-azzjonijiet li jirċievu assistenza finanzjarja għandhom </w:t>
      </w:r>
      <w:r>
        <w:rPr>
          <w:noProof/>
        </w:rPr>
        <w:lastRenderedPageBreak/>
        <w:t xml:space="preserve">ikunu mmonitorjati b’mod regolari sabiex l-implimentazzjoni tagħhom tiġi segwita. Jipprevedi wkoll ir-rekwiżiti aktar ġenerali tal-Kummissjoni biex tevalwa l-applikazzjoni tad-Deċiżjoni u biex tippreżenta rapporti ta’ evalwazzjoni interim u </w:t>
      </w:r>
      <w:r>
        <w:rPr>
          <w:i/>
          <w:noProof/>
        </w:rPr>
        <w:t>ex post</w:t>
      </w:r>
      <w:r>
        <w:rPr>
          <w:noProof/>
        </w:rPr>
        <w:t>, kif ukoll komunikazzjoni dwar l-implimentazzjoni. Dawn l-evalwazzjonijiet jenħtieġ li jkunu bbażati fuq l-indikaturi previsti fl-Artikolu 3 tad-Deċiżjoni.</w:t>
      </w:r>
      <w:r>
        <w:rPr>
          <w:noProof/>
          <w:sz w:val="19"/>
          <w:szCs w:val="19"/>
        </w:rPr>
        <w:t xml:space="preserve"> </w:t>
      </w:r>
    </w:p>
    <w:p>
      <w:pPr>
        <w:pStyle w:val="Bullet0"/>
        <w:rPr>
          <w:b/>
          <w:noProof/>
          <w:u w:color="000000"/>
          <w:bdr w:val="nil"/>
        </w:rPr>
      </w:pPr>
      <w:r>
        <w:rPr>
          <w:b/>
          <w:noProof/>
          <w:u w:color="000000"/>
          <w:bdr w:val="nil"/>
        </w:rPr>
        <w:t>Spjegazzjoni fid-dettall tad-dispożizzjonijiet speċifiċi tal-proposta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after="240"/>
        <w:rPr>
          <w:noProof/>
        </w:rPr>
      </w:pPr>
      <w:r>
        <w:rPr>
          <w:noProof/>
        </w:rPr>
        <w:t>Din il-proposta temenda għadd limitat ta’ artikoli tad-Deċiżjoni Nru 1313/2013/UE biex jinkisbu l-objettivi stipulati fil-memorandum ta’ spjegazzjoni (Taqsima 1).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after="240"/>
        <w:rPr>
          <w:noProof/>
        </w:rPr>
      </w:pPr>
      <w:r>
        <w:rPr>
          <w:noProof/>
        </w:rPr>
        <w:t>Il-COVID-19 uriet biċ-ċar l-interdipendenza bejn l-Istati Membri fit-termini tal-kapaċità tagħhom li jirreaġixxu kmieni u malajr fil-konfront ta’ emerġenza li tkun qed tiżviluppa u li jkollha impatt transfruntier. Dawn l-interdipendenzi mhumiex limitati għall-pandemiji, iżda japplikaw għal firxa ta’ diżastri fuq skala kbira li jistgħu jħallu impatt fuq diversi Stati Membri simultanjament. It-tisħiħ tal-ħidma kollettiva fuq ir-reżiljenza u l-ippjanar għad-diżastri huma meħtieġa biex jiġu indirizzati dawk l-interdipendenzi u biex tiġi żgurata tħejjija aħjar fil-livell tal-Unjoni. Għal dan il-għan, il-Kummissjoni qed tipproponi li taħdem f’koordinazzjoni mal-Istati Membri biex tiżviluppa għanijiet tal-Unjoni għar-reżiljenza tad-diżastri u għall-ippjanar ta’ xenarji, fosthom billi tindirizza l-impatti tat-tibdil fil-klima fuq ir-riskju ta’ diżastri.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after="240"/>
        <w:rPr>
          <w:bCs/>
          <w:noProof/>
        </w:rPr>
      </w:pPr>
      <w:r>
        <w:rPr>
          <w:noProof/>
        </w:rPr>
        <w:t xml:space="preserve">Biex jiġi żgurat li rescEU tipprovdi xibka ta’ sikurezza xierqa meta l-kapaċitajiet ta’ Stat Membru jinħakmu minn kriżi, jenħtieġ li l-Kummissjoni tkun f’pożizzjoni li takkwista kapaċitajiet tar-rescEU direttament sabiex tiżgura li titfassal xibka ta’ sikurezza ta’ assi strateġiċi suffiċjenti bħala appoġġ lill-Istati Membri f’sitwazzjonijiet devastanti bħal emerġenza fuq skala kbira. </w:t>
      </w:r>
      <w:r>
        <w:rPr>
          <w:rStyle w:val="highlight"/>
          <w:noProof/>
        </w:rPr>
        <w:t>Permezz ta’ dan</w:t>
      </w:r>
      <w:r>
        <w:rPr>
          <w:noProof/>
        </w:rPr>
        <w:t xml:space="preserve"> il-Kummissjoni se tiżgura l-konsistenza u l-komplimentarjetà bejn l-akkwist għar-rescEU u azzjoni oħra tal-Unjoni, bħall-programm “EU4Health”.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after="240"/>
        <w:rPr>
          <w:noProof/>
        </w:rPr>
      </w:pPr>
      <w:r>
        <w:rPr>
          <w:noProof/>
        </w:rPr>
        <w:t>Id-disponibbiltà ta’ xibka ta’ sikurezza adegwata ta’ kapaċitajiet tar-rescEU se tinkiseb permezz tal-finanzjament ta’ kapaċitajiet strateġiċi kif ukoll tal-infrastruttura interkonnessa għall-ġestjoni ta’ informazzjoni ta’ emerġenza li tkun tista’ tindirizza kwalunkwe tip ta’ emerġenza, u li tkun tista’ tiddaħħal fis-seħħ taħt l-awspiċji tar-rescEU.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after="240"/>
        <w:rPr>
          <w:noProof/>
        </w:rPr>
      </w:pPr>
      <w:r>
        <w:rPr>
          <w:noProof/>
        </w:rPr>
        <w:t>Dawn il-kapaċitajiet strateġiċi se jissupplimentaw dawk tal-Istati Membri u jipprovdu appoġġ addizzjonali f’oqsma fejn l-Istati Membri ma jkunux qed ilaħħqu minħabba d-daqs ta’ emerġenza. Dawn jenħtieġ li jiġu prepożizzjonati strateġikament biex tiġi żgurata l-aktar kopertura ġeografika effettiva b’reazzjoni għal emerġenza u jenħtieġ li jiġu akkumpanjati mill-kapaċità loġistika, ta’ ħżin u ta’ trasport meħtieġa.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after="240"/>
        <w:rPr>
          <w:noProof/>
        </w:rPr>
      </w:pPr>
      <w:r>
        <w:rPr>
          <w:noProof/>
        </w:rPr>
        <w:t>Il-postijiet fejn tinħażen il-kapaċità ta’ assistenza u trasport jenħtieġ li jkunu interkonnessi strateġikament biex tiżdied ir-rapidità tal-konsenja u tiġi żgurata katina ta’ provvista li tiffunzjona tajjeb.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after="240"/>
        <w:rPr>
          <w:noProof/>
        </w:rPr>
      </w:pPr>
      <w:r>
        <w:rPr>
          <w:noProof/>
        </w:rPr>
        <w:t xml:space="preserve">It-tagħlima ċara li ttieħdet mit-tifqigħa tal-COVID-19 tikkonċerna l-ħtieġa għal sistema aktar flessibbli għar-reazzjoni għal emerġenzi fuq skala kbira. L-effettitività tal-mekkaniżmu ta’ reazzjoni kollu kemm hu tiġi massimizzata permezz tad-disponibbiltà ta’ kapaċitajiet addizzjonali u aktar flessibbli b’rabta mal-iskjerabbiltà tar-riżorsi tar-rescEU – irrispettivament minn fejn ikun hemm il-ħtieġa għal dawn l-assi. 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after="240"/>
        <w:contextualSpacing/>
        <w:rPr>
          <w:rFonts w:eastAsia="Arial Unicode MS"/>
          <w:noProof/>
          <w:szCs w:val="20"/>
        </w:rPr>
      </w:pPr>
      <w:r>
        <w:rPr>
          <w:noProof/>
        </w:rPr>
        <w:lastRenderedPageBreak/>
        <w:t>Ir-rwol operazzjonali taċ-Ċentru ta’ Koordinazzjoni tar-Reazzjoni f’każ ta’ Emerġenza fil-qalba ta’ netwerk ta’ ċentri għall-kriżijiet nazzjonali li jappoġġa r-reazzjoni rapida u effettiva tal-Unjoni għal firxa ta’ kriżijiet fl-Ewropa u madwar id-dinja għandu jissaħħaħ, b’konformità mal-konklużjonijiet tal-Kunsill Ewropew ta’ Marzu 2020. Mingħajr preġudizzju għal sistemi settorjali eżistenti ta’ twissija bikrija u ta’ twissija u għal mekkaniżmi ta’ reazzjoni għall-kriżijiet, dan irid jinkiseb permezz tat-tisħiħ tal-konnessjonijiet ma’ entitajiet rilevanti oħrajn fil-livell tal-Unjoni li huma involuti fl-immaniġġar tal-kriżijiet u permezz tat-tisħiħ tal-funzjonijiet tiegħu relatati mal-monitoraġġ u t-twissija bikrija.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after="240"/>
        <w:contextualSpacing/>
        <w:rPr>
          <w:rFonts w:eastAsia="Arial Unicode MS"/>
          <w:noProof/>
          <w:szCs w:val="20"/>
        </w:rPr>
      </w:pP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after="240"/>
        <w:rPr>
          <w:noProof/>
        </w:rPr>
      </w:pPr>
      <w:r>
        <w:rPr>
          <w:noProof/>
        </w:rPr>
        <w:t>It-titjib tat-tħejjija tal-Unjoni u l-allokazzjoni ta’ riżorsi addizzjonali għall-Mekkaniżmu tal-Unjoni jinkisbu permezz ta’ baġit ambizzjuż li jsaħħaħ il-kapaċità kollettiva tal-Istati Membri u tal-Unjoni li jwieġbu għad-diżastri u bis-saħħa ta’ enfasi akbar fuq il-prevenzjoni u fuq it-titjib tal-koerenza ma’ politiki ewlenin oħra tal-Unjoni. Ir-reazzjoni ta’ emerġenza titlob ukoll flessibiltà xierqa fl-implimentazzjoni tal-baġit u għall-adozzjoni ta’ miżuri ta’ emerġenza f’każijiet eċċezzjonali li jirrikjedu reazzjoni rapida.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after="240"/>
        <w:rPr>
          <w:noProof/>
        </w:rPr>
      </w:pPr>
      <w:r>
        <w:rPr>
          <w:noProof/>
        </w:rPr>
        <w:t>Din il-proposta tbassar it-tħassir tal-Anness I, li bħalissa jistabbilixxi l-perċentwali relattivi li għandu jirċievi kull pilastru tal-Mekkaniżmu tal-Unjoni (il-prevenzjoni, it-tħejjija u r-reazzjoni) f’termini ta’ finanzjament mill-pakkett finanzjarju kumplessiv. Kif ħarġet fid-dieher permezz tat-tifqigħa tal-COVID-19, il-perċentwali deskritti fl-Anness I ma jidhirx li jiżguraw biżżejjed flessibbiltà biex l-Unjoni tkun tista’ tikseb l-objettivi li stabbilixxiet. Matul emerġenza l-perċentwali fl-Anness I jwasslu għal piż amministrattiv żejjed u jistgħu jrażżnu l-flessibbiltà meħtieġa għall-adattament għall-ħtiġijiet marbuta mad-diżastri fi kwalunkwe sena partikolari. Il-ħtieġa li ninvestu fil-fażijiet kollha taċ-ċiklu tal-immaniġġar tar-riskju ta’ diżastri, il-prevenzjoni, it-tħejjija u r-reazzjoni hija mħaddna bis-sod fil-Mekkaniżmu tal-Unjoni u msaħħa b’din il-proposta.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after="240"/>
        <w:rPr>
          <w:noProof/>
        </w:rPr>
      </w:pPr>
      <w:r>
        <w:rPr>
          <w:noProof/>
        </w:rPr>
        <w:t>Minħabba li l-Anness I tħassar, il-paragrafi attwali 5 u 6 tal-Artikolu 19 jenħtieġ li jitħassru wkoll għaliex jirreferu direttament għall-perċentwali msemmija fl-Anness I.</w:t>
      </w:r>
    </w:p>
    <w:p>
      <w:pPr>
        <w:rPr>
          <w:noProof/>
        </w:rPr>
      </w:pPr>
      <w:r>
        <w:rPr>
          <w:noProof/>
        </w:rPr>
        <w:t>B’riżultat ta’ dan, il-proposta temenda wkoll l-Artikolu 30 dwar l-eżerċitar tad-delega ta’ setgħat mogħtija lill-Kummissjoni. Filwaqt li s-sustanza tal-Artikolu tibqa’ l-istess, il-kontroreferenzi għall-Artikolu 19 qegħdin jitneħħew. L-Artikolu 30 ma tħassarx sabiex tiġi prevista l-possibbiltà li jiġu adottati atti delegati.</w:t>
      </w:r>
    </w:p>
    <w:p>
      <w:pPr>
        <w:rPr>
          <w:noProof/>
        </w:rPr>
        <w:sectPr>
          <w:footerReference w:type="default" r:id="rId14"/>
          <w:footerReference w:type="first" r:id="rId15"/>
          <w:pgSz w:w="11907" w:h="16839"/>
          <w:pgMar w:top="1134" w:right="1417" w:bottom="1134" w:left="1417" w:header="709" w:footer="709" w:gutter="0"/>
          <w:cols w:space="708"/>
          <w:docGrid w:linePitch="360"/>
        </w:sectPr>
      </w:pPr>
    </w:p>
    <w:p>
      <w:pPr>
        <w:pStyle w:val="Rfrenceinterinstitutionnelle"/>
        <w:rPr>
          <w:noProof/>
        </w:rPr>
      </w:pPr>
      <w:r>
        <w:rPr>
          <w:noProof/>
        </w:rPr>
        <w:lastRenderedPageBreak/>
        <w:t>2020/0097 (COD)</w:t>
      </w:r>
    </w:p>
    <w:p>
      <w:pPr>
        <w:pStyle w:val="Statut"/>
        <w:rPr>
          <w:noProof/>
        </w:rPr>
      </w:pPr>
      <w:r>
        <w:rPr>
          <w:noProof/>
        </w:rPr>
        <w:t>Proposta għal</w:t>
      </w:r>
    </w:p>
    <w:p>
      <w:pPr>
        <w:pStyle w:val="Typedudocument"/>
        <w:rPr>
          <w:noProof/>
        </w:rPr>
      </w:pPr>
      <w:r>
        <w:rPr>
          <w:noProof/>
        </w:rPr>
        <w:t>DEĊIŻJONI TAL-PARLAMENT EWROPEW U TAL-KUNSILL</w:t>
      </w:r>
    </w:p>
    <w:p>
      <w:pPr>
        <w:pStyle w:val="Titreobjet"/>
        <w:rPr>
          <w:noProof/>
        </w:rPr>
      </w:pPr>
      <w:r>
        <w:rPr>
          <w:noProof/>
        </w:rPr>
        <w:t>li temenda d-Deċiżjoni 1313/2013/UE dwar Mekkaniżmu tal-Unjoni għall-Protezzjoni Ċivili</w:t>
      </w:r>
    </w:p>
    <w:p>
      <w:pPr>
        <w:pStyle w:val="IntrtEEE"/>
        <w:rPr>
          <w:noProof/>
        </w:rPr>
      </w:pPr>
      <w:r>
        <w:rPr>
          <w:noProof/>
        </w:rPr>
        <w:t>(Test b’relevanza għaż-ŻEE)</w:t>
      </w:r>
    </w:p>
    <w:p>
      <w:pPr>
        <w:pStyle w:val="Institutionquiagit"/>
        <w:rPr>
          <w:noProof/>
        </w:rPr>
      </w:pPr>
      <w:r>
        <w:rPr>
          <w:noProof/>
        </w:rPr>
        <w:t>IL-PARLAMENT EWROPEW U L-KUNSILL TAL-UNJONI EWROPEA,</w:t>
      </w:r>
    </w:p>
    <w:p>
      <w:pPr>
        <w:rPr>
          <w:noProof/>
        </w:rPr>
      </w:pPr>
      <w:r>
        <w:rPr>
          <w:noProof/>
        </w:rPr>
        <w:t>Wara li kkunsidraw it-Trattat dwar il-Funzjonament tal-Unjoni Ewropea, u b’mod partikolari l-Artikolu 196 u l-Artikolu 322(1)(a) tiegħu,</w:t>
      </w:r>
    </w:p>
    <w:p>
      <w:pPr>
        <w:rPr>
          <w:noProof/>
        </w:rPr>
      </w:pPr>
      <w:r>
        <w:rPr>
          <w:noProof/>
        </w:rPr>
        <w:t>Wara li kkunsidraw il-proposta tal-Kummissjoni Ewropea,</w:t>
      </w:r>
    </w:p>
    <w:p>
      <w:pPr>
        <w:rPr>
          <w:noProof/>
        </w:rPr>
      </w:pPr>
      <w:r>
        <w:rPr>
          <w:noProof/>
        </w:rPr>
        <w:t>Wara li l-abbozz tal-att leġiżlattiv intbagħat lill-parlamenti nazzjonali,</w:t>
      </w:r>
    </w:p>
    <w:p>
      <w:pPr>
        <w:rPr>
          <w:noProof/>
        </w:rPr>
      </w:pPr>
      <w:r>
        <w:rPr>
          <w:noProof/>
        </w:rPr>
        <w:t>Wara li kkunsidraw l-opinjoni tal-Kumitat Ekonomiku u Soċjali Ewropew</w:t>
      </w:r>
      <w:r>
        <w:rPr>
          <w:rStyle w:val="FootnoteReference"/>
          <w:noProof/>
        </w:rPr>
        <w:footnoteReference w:id="3"/>
      </w:r>
      <w:r>
        <w:rPr>
          <w:noProof/>
        </w:rPr>
        <w:t xml:space="preserve">, </w:t>
      </w:r>
    </w:p>
    <w:p>
      <w:pPr>
        <w:rPr>
          <w:noProof/>
        </w:rPr>
      </w:pPr>
      <w:r>
        <w:rPr>
          <w:noProof/>
        </w:rPr>
        <w:t>Wara li kkunsidraw l-opinjoni tal-Kumitat tar-Reġjuni</w:t>
      </w:r>
      <w:r>
        <w:rPr>
          <w:rStyle w:val="FootnoteReference"/>
          <w:noProof/>
        </w:rPr>
        <w:footnoteReference w:id="4"/>
      </w:r>
      <w:r>
        <w:rPr>
          <w:noProof/>
        </w:rPr>
        <w:t xml:space="preserve">, </w:t>
      </w:r>
    </w:p>
    <w:p>
      <w:pPr>
        <w:rPr>
          <w:noProof/>
        </w:rPr>
      </w:pPr>
      <w:r>
        <w:rPr>
          <w:noProof/>
        </w:rPr>
        <w:t>Wara li kkunsidraw l-opinjoni tal-Qorti tal-Awdituri</w:t>
      </w:r>
    </w:p>
    <w:p>
      <w:pPr>
        <w:rPr>
          <w:noProof/>
        </w:rPr>
      </w:pPr>
      <w:r>
        <w:rPr>
          <w:noProof/>
        </w:rPr>
        <w:t>Filwaqt li jaġixxu skont il-proċedura leġiżlattiva ordinarja,</w:t>
      </w:r>
    </w:p>
    <w:p>
      <w:pPr>
        <w:rPr>
          <w:noProof/>
        </w:rPr>
      </w:pPr>
      <w:r>
        <w:rPr>
          <w:noProof/>
        </w:rPr>
        <w:t>Billi:</w:t>
      </w:r>
    </w:p>
    <w:p>
      <w:pPr>
        <w:pStyle w:val="ManualConsidrant"/>
        <w:rPr>
          <w:noProof/>
        </w:rPr>
      </w:pPr>
      <w:r>
        <w:t>(1)</w:t>
      </w:r>
      <w:r>
        <w:tab/>
      </w:r>
      <w:r>
        <w:rPr>
          <w:noProof/>
        </w:rPr>
        <w:t>Il-Mekkaniżmu tal-Unjoni għall-Protezzjoni Ċivili (“il-Mekkaniżmu tal-Unjoni”), li huwa rregolat bid-Deċiżjoni Nru 1313/2013/UE tal-Parlament Ewropew u tal-Kunsill</w:t>
      </w:r>
      <w:r>
        <w:rPr>
          <w:rStyle w:val="FootnoteReference"/>
          <w:noProof/>
        </w:rPr>
        <w:footnoteReference w:id="5"/>
      </w:r>
      <w:r>
        <w:rPr>
          <w:noProof/>
        </w:rPr>
        <w:t>, isaħħaħ il-kooperazzjoni bejn l-Unjoni u l-Istati Membri u jiffaċilita l-koordinazzjoni fil-qasam tal-protezzjoni ċivili biex itejjeb ir-reazzjoni tal-Unjoni għal diżastri naturali u kkawżati mill-bniedem.</w:t>
      </w:r>
    </w:p>
    <w:p>
      <w:pPr>
        <w:pStyle w:val="ManualConsidrant"/>
        <w:rPr>
          <w:noProof/>
        </w:rPr>
      </w:pPr>
      <w:r>
        <w:t>(2)</w:t>
      </w:r>
      <w:r>
        <w:tab/>
      </w:r>
      <w:r>
        <w:rPr>
          <w:noProof/>
        </w:rPr>
        <w:t>Filwaqt li jirrikonoxxi r-responsabbiltà primarja tal-Istati Membri għall-prevenzjoni, it-tħejjija u r-reazzjoni għal diżastri naturali u kkawżati mill-bniedem, il-Mekkaniżmu tal-Unjoni jippromwovi s-solidarjetà bejn l-Istati Membri b’konformità mal-Artikolu 3(3) tat-Trattat dwar l-Unjoni Ewropea.</w:t>
      </w:r>
    </w:p>
    <w:p>
      <w:pPr>
        <w:pStyle w:val="ManualConsidrant"/>
        <w:rPr>
          <w:noProof/>
        </w:rPr>
      </w:pPr>
      <w:r>
        <w:t>(3)</w:t>
      </w:r>
      <w:r>
        <w:tab/>
      </w:r>
      <w:r>
        <w:rPr>
          <w:noProof/>
        </w:rPr>
        <w:t xml:space="preserve">L-esperjenza bla preċedent tal-pandemija tal-COVID-19 uriet li l-effettività tal-Unjoni fl-immaniġġar tal-kriżijiet hija limitata mill-kamp ta’ applikazzjoni tal-qafas ta’ governanza tagħha, iżda wkoll mil-livell ta’ tħejjija tal-Unjoni f’każ ta’ diżastri li jolqtu l-maġġoranza tal-Istati Membri. </w:t>
      </w:r>
    </w:p>
    <w:p>
      <w:pPr>
        <w:pStyle w:val="ManualConsidrant"/>
        <w:rPr>
          <w:noProof/>
        </w:rPr>
      </w:pPr>
      <w:r>
        <w:t>(4)</w:t>
      </w:r>
      <w:r>
        <w:tab/>
      </w:r>
      <w:r>
        <w:rPr>
          <w:noProof/>
        </w:rPr>
        <w:t>Il-Kunsill Ewropew u l-Parlament Ewropew, fid-Dikjarazzjoni Konġunta tas-26 ta’ Marzu 2020</w:t>
      </w:r>
      <w:r>
        <w:rPr>
          <w:rStyle w:val="FootnoteReference"/>
          <w:noProof/>
        </w:rPr>
        <w:footnoteReference w:id="6"/>
      </w:r>
      <w:r>
        <w:rPr>
          <w:noProof/>
        </w:rPr>
        <w:t xml:space="preserve"> u fir-riżoluzzjoni tas-17 ta’ April 2020</w:t>
      </w:r>
      <w:r>
        <w:rPr>
          <w:rStyle w:val="FootnoteReference"/>
          <w:noProof/>
        </w:rPr>
        <w:footnoteReference w:id="7"/>
      </w:r>
      <w:r>
        <w:rPr>
          <w:noProof/>
        </w:rPr>
        <w:t xml:space="preserve"> rispettivament, stiednu lill-</w:t>
      </w:r>
      <w:r>
        <w:rPr>
          <w:noProof/>
        </w:rPr>
        <w:lastRenderedPageBreak/>
        <w:t xml:space="preserve">Kummissjoni tagħmel proposti għal sistema aktar ambizzjuża u estensiva tas-sistema ta’ mmaniġġar tal-kriżijiet fl-Unjoni. </w:t>
      </w:r>
    </w:p>
    <w:p>
      <w:pPr>
        <w:pStyle w:val="ManualConsidrant"/>
        <w:rPr>
          <w:noProof/>
        </w:rPr>
      </w:pPr>
      <w:r>
        <w:t>(5)</w:t>
      </w:r>
      <w:r>
        <w:tab/>
      </w:r>
      <w:r>
        <w:rPr>
          <w:noProof/>
        </w:rPr>
        <w:t xml:space="preserve">Hija meħtieġa azzjoni urġenti biex jissaħħaħ il-Mekkaniżmu tal-Unjoni u b’hekk inkunu mħejjija aħjar meta jseħħu ċirkostanzi bħal dawn fil-futur. </w:t>
      </w:r>
    </w:p>
    <w:p>
      <w:pPr>
        <w:pStyle w:val="ManualConsidrant"/>
        <w:rPr>
          <w:noProof/>
        </w:rPr>
      </w:pPr>
      <w:r>
        <w:t>(6)</w:t>
      </w:r>
      <w:r>
        <w:tab/>
      </w:r>
      <w:r>
        <w:rPr>
          <w:noProof/>
        </w:rPr>
        <w:t>Biex ittejjeb l-ippjanar fil-prevenzjoni u t-tħejjija, jenħtieġ li l-Unjoni tissokta tappoġġa l-investiment fil-prevenzjoni tad-diżastri f’bosta setturi, u għal approċċi komprensivi ta’ mmaniġġar tar-riskju li jirfdu l-prevenzjoni u t-tħejjija, b’kunsiderazzjoni ta’ approċċ ta’ perikli multipli, approċċ imsejjes fuq ekosistema u l-impatti probabbli tat-tibdil fil-klima, f’kooperazzjoni mill-qrib mal-komunitajiet xjentifiċi u mal-operaturi ekonomiċi ewlenin. Għal dan il-għan, l-approċċi transsettorjali u għal perikli multipli jenħtieġ li jitpoġġa fuq quddiem u li jkun imsejjes fuq għanijiet ta’ reżiljenza għall-Unjoni kollha li jikkontribwixxu għal definizzjoni bażi tal-kapaċitajiet u t-tħejjija. Il-Kummissjoni se taħdem id f’id mal-Istati Membri biex tiddefinixxi l-għanijiet ta’ reżiljenza għall-Unjoni kollha.</w:t>
      </w:r>
    </w:p>
    <w:p>
      <w:pPr>
        <w:pStyle w:val="ManualConsidrant"/>
        <w:rPr>
          <w:noProof/>
        </w:rPr>
      </w:pPr>
      <w:r>
        <w:t>(7)</w:t>
      </w:r>
      <w:r>
        <w:tab/>
      </w:r>
      <w:r>
        <w:rPr>
          <w:noProof/>
        </w:rPr>
        <w:t>Jenħtieġ li l-Mekkaniżmu tal-Unjoni jkompli jisfrutta s-sinerġiji mal-Programm Ewropew għall-Ħarsien tal-Infrastruttura Kritika u mal-qafas tal-Unjoni dwar il-ħarsien tal-infrastruttura kritika u r-reżiljenza jenħtieġ li jkun responsabbli mill-istabbiliment ta’ tali għanijiet ta’ reżiljenza mifruxa tal-Unjoni.</w:t>
      </w:r>
    </w:p>
    <w:p>
      <w:pPr>
        <w:pStyle w:val="ManualConsidrant"/>
        <w:rPr>
          <w:noProof/>
        </w:rPr>
      </w:pPr>
      <w:r>
        <w:t>(8)</w:t>
      </w:r>
      <w:r>
        <w:tab/>
      </w:r>
      <w:r>
        <w:rPr>
          <w:noProof/>
        </w:rPr>
        <w:t>Bħala ċentru tal-operazzjonijiet 24/7 fil-livell tal-Unjoni bil-kapaċità li jsegwi u jappoġġa operazzjoni f’diversi tipi ta’ emerġenzi f’ħin reali, kemm ġewwa l-Unjoni kif ukoll lil hinn minnha, jenħtieġ li ċ-Ċentru ta’ Koordinazzjoni tar-Reazzjoni f’każ ta’ Emerġenza (“ERCC”) jissaħħaħ aktar. Dan jenħtieġ li jinkludi koordinazzjoni msaħħa tal-ERCC mas-sistemi nazzjonali ta’ kriżi u mal-awtoritajiet tal-protezzjoni ċivili tal-Istati Membri, kif ukoll ma’ korpi rilevanti oħra tal-Unjoni. Il-ħidma tal-ERCC hija appoġġata minn għarfien xjentifiku espert, fosthom dak tal-Ċentru Konġunt tar-Riċerka tal-Kummissjoni Ewropea.</w:t>
      </w:r>
    </w:p>
    <w:p>
      <w:pPr>
        <w:pStyle w:val="ManualConsidrant"/>
        <w:rPr>
          <w:noProof/>
        </w:rPr>
      </w:pPr>
      <w:r>
        <w:t>(9)</w:t>
      </w:r>
      <w:r>
        <w:tab/>
      </w:r>
      <w:r>
        <w:rPr>
          <w:noProof/>
        </w:rPr>
        <w:t>Il-Mekkaniżmu tal-Unjoni jenħtieġ li jagħmel użu minn infrastrutturi spazjali tal-Unjoni bħall-Programm Ewropew ta’ Osservazzjoni tad-Dinja (Copernicus), Galileo, is-Sistema ta’ Għarfien ta’ Sitwazzjonijiet u GOVSATCOM, li jipprovdu għodod importanti ta’ reazzjoni għal emerġenzi interni u esterni fil-livell tal-Unjoni. Is-Sistemi ta’ Ġestjoni ta’ Emerġenzi ta’ Copernicus qegħdin jagħtu appoġġ lill-ERCC fid-diversi fażijiet ta’ emerġenza mit-twissija bikrija u l-prevenzjoni ta’ diżastri u l-irkupru. Il-GOVSATCOM se tipprovdi kapaċità ta’ komunikazzjoni bis-satellita sikura mfassla b’mod speċifiku għall-ħtiġijiet tal-utenti governattivi fl-immaniġġar ta’ emerġenzi. Galileo hija l-ewwel infrastruttura globali ta’ navigazzjoni u ta’ pożizzjonament bis-satellita ddisinjata għal skopijiet ċivili fl-Ewropa u madwar id-dinja, u tista’ tintuża f’oqsma oħra bħall-immaniġġar ta’ emerġenzi, fosthom fl-attivitajiet ta’ twissija bikrija. Is-servizzi rilevanti ta’ Galileo se jinkludu servizz ta’ emerġenza li jxandar, permezz tal-emissjoni ta’ sinjali, twissijiet dwar diżastri naturali jew emerġenzi oħra f’oqsma partikolari. L-Istati Membri jenħtieġ li jkunu jistgħu jużaw dan is-servizz. Meta jiddeċiedu li jużawh sabiex jivvalidaw is-sistema, jenħtieġ li jidentifikaw u javżaw lill-Kummissjoni dwar l-awtoritajiet nazzjonali kompetenti li jkunu se jużaw dak is-servizz ta’ emerġenza.</w:t>
      </w:r>
    </w:p>
    <w:p>
      <w:pPr>
        <w:pStyle w:val="ManualConsidrant"/>
        <w:rPr>
          <w:noProof/>
        </w:rPr>
      </w:pPr>
      <w:r>
        <w:lastRenderedPageBreak/>
        <w:t>(10)</w:t>
      </w:r>
      <w:r>
        <w:tab/>
      </w:r>
      <w:r>
        <w:rPr>
          <w:noProof/>
        </w:rPr>
        <w:t>Biex ikollha l-kapaċità operazzjonali tirreaġixxi malajr għal emerġenza fuq skala kbira jew għal avveniment bi probabbiltà baxxa u b’impatt kbir bħall-pandemija tal-COVID-19, jenħtieġ li l-Unjoni jkollha l-possibbiltà li takkwista, tixtri, tikseb b’lokazzjoni jew tikkuntratta kapaċitajiet tar-rescEU biex tkun tista’ tgħin lil dawk l-Istati Membri li jinħakmu minn emerġenzi fuq skala kbira, b’konformità mal-kompetenza ta’ appoġġ fil-qasam tal-protezzjoni ċivili u b’attenzjoni partikolari għall-persuni vulnerabbli. Dawn il-kapaċitajiet iridu jiġu prepożizzjonati f’ċentri loġistiċi ġewwa l-Unjoni jew, għal raġunijiet strateġiċi, permezz ta’ networks fdati ta’ ċentri bħall-Imħażen tar-Reazzjoni Umanitarja tan-NU.</w:t>
      </w:r>
    </w:p>
    <w:p>
      <w:pPr>
        <w:pStyle w:val="ManualConsidrant"/>
        <w:rPr>
          <w:noProof/>
        </w:rPr>
      </w:pPr>
      <w:r>
        <w:t>(11)</w:t>
      </w:r>
      <w:r>
        <w:tab/>
      </w:r>
      <w:r>
        <w:rPr>
          <w:noProof/>
        </w:rPr>
        <w:t>Il-kapaċitajiet tar-rescEU li jinxtraw, jinkrew, jinkisbu b’lokazzjoni jew inkella jiġu kkuntrattati mill-Istati jistgħu jintużaw għal skopijiet nazzjonali, iżda dan meta ma jkunux qed jintużaw jew ikunu meħtieġa għal operazzjoni ta’ reazzjoni permezz tal-Mekkaniżmu tal-Unjoni.</w:t>
      </w:r>
    </w:p>
    <w:p>
      <w:pPr>
        <w:pStyle w:val="ManualConsidrant"/>
        <w:rPr>
          <w:noProof/>
        </w:rPr>
      </w:pPr>
      <w:r>
        <w:t>(12)</w:t>
      </w:r>
      <w:r>
        <w:tab/>
      </w:r>
      <w:r>
        <w:rPr>
          <w:noProof/>
        </w:rPr>
        <w:t xml:space="preserve">Fejn meħtieġ l-Unjoni għandha l-interess li tirreaġixxi f’pajjiżi terzi. Filwaqt li primarjament il-kapaċitajiet tar-rescEU inħolqu bħala xibka ta’ sikurezza fl-Unjoni, dawn jistgħu jintużaw barra mill-Unjoni f’każijiet iġġustifikati kif xieraq u b’kunsiderazzjoni tal-prinċipji umanitarji. </w:t>
      </w:r>
    </w:p>
    <w:p>
      <w:pPr>
        <w:pStyle w:val="ManualConsidrant"/>
        <w:rPr>
          <w:noProof/>
        </w:rPr>
      </w:pPr>
      <w:r>
        <w:t>(13)</w:t>
      </w:r>
      <w:r>
        <w:tab/>
      </w:r>
      <w:r>
        <w:rPr>
          <w:noProof/>
        </w:rPr>
        <w:t>L-Istati Membri jistgħu jingħataw appoġġ biex jagħtu l-assistenza bis-setgħa tat-tisħiħ ulterjuri tar-Riżerva Ewropea ta’ Protezzjoni Ċivili billi l-kostijiet operatorji tal-kapaċitajiet impenjati jiġu kofinanzjati meta jintużaw barra mill-Unjoni.</w:t>
      </w:r>
    </w:p>
    <w:p>
      <w:pPr>
        <w:pStyle w:val="ManualConsidrant"/>
        <w:rPr>
          <w:noProof/>
        </w:rPr>
      </w:pPr>
      <w:r>
        <w:t>(14)</w:t>
      </w:r>
      <w:r>
        <w:tab/>
      </w:r>
      <w:r>
        <w:rPr>
          <w:noProof/>
        </w:rPr>
        <w:t xml:space="preserve">Huwa essenzjali li l-Unjoni tingħata t-trasport u l-kapaċità loġistika meħtieġa biex tkun tista’ tirreaġixxi għal kwalunkwe tip ta’ sitwazzjoni ta’ emerġenza ġewwa l-Unjoni u lil hinn minnha. Huwa fundamentali li jkun hemm id-disponibbiltà ta’ servizzi ta’ inġenji tal-ajru bi skopijiet multipli fil-każ li jseħħu emerġenzi u biex jiġu żgurat it-trasport u l-konsenja tal-assistenza u l-għajnuna ġewwa l-Unjoni, iżda wkoll lejn u minn pajjiżi li jinsabu barra mill-Unjoni. Għaldaqstant il-kapaċitajiet tar-rescEU jenħtieġ li jinkludu kapaċitajiet ta’ trasport ukoll. </w:t>
      </w:r>
    </w:p>
    <w:p>
      <w:pPr>
        <w:pStyle w:val="ManualConsidrant"/>
        <w:rPr>
          <w:noProof/>
        </w:rPr>
      </w:pPr>
      <w:r>
        <w:t>(15)</w:t>
      </w:r>
      <w:r>
        <w:tab/>
      </w:r>
      <w:r>
        <w:rPr>
          <w:noProof/>
        </w:rPr>
        <w:t>Il-Mekkaniżmu tal-Unjoni jenħtieġ li jipprovdi wkoll assistenza għat-trasport meħtieġa f’diżastri ambjentali permezz tat-tisħiħ tal-prinċipju ta’ “min iniġġes iħallas” b’konformità mal-Artikolu 191(2) tat-Trattat dwar il-Funzjonament tal-Unjoni Ewropea (TFUE), kif ukoll mad-Direttiva 2004/35/KE tal-Parlament Ewropew u tal-Kunsill</w:t>
      </w:r>
      <w:r>
        <w:rPr>
          <w:rStyle w:val="FootnoteReference"/>
          <w:noProof/>
        </w:rPr>
        <w:footnoteReference w:id="8"/>
      </w:r>
      <w:r>
        <w:rPr>
          <w:noProof/>
        </w:rPr>
        <w:t xml:space="preserve"> dwar ir-responsabbiltà ambjentali f’dak li għandu x’jaqsam mal-prevenzjoni u r-rimedju għal danni ambjentali.</w:t>
      </w:r>
    </w:p>
    <w:p>
      <w:pPr>
        <w:pStyle w:val="ManualConsidrant"/>
        <w:rPr>
          <w:noProof/>
        </w:rPr>
      </w:pPr>
      <w:r>
        <w:t>(16)</w:t>
      </w:r>
      <w:r>
        <w:tab/>
      </w:r>
      <w:r>
        <w:rPr>
          <w:noProof/>
        </w:rPr>
        <w:t>Meta jitqies li l-iskjerament ta’ kapaċitajiet tar-rescEU għall-kapaċitajiet ta’ rispons fil-kuntest tal-Mekkaniżmu tal-Unjoni jagħti valur miżjud sinifikanti tal-Unjoni għaliex jiżgura r-reazzjoni effettiva u rapida għal persuni f’emerġenza, jenħtieġ li jsiru obbligi ulterjuri b’rabta mal-viżibbiltà biex l-Unjoni tingħata prominenza.</w:t>
      </w:r>
    </w:p>
    <w:p>
      <w:pPr>
        <w:pStyle w:val="ManualConsidrant"/>
        <w:rPr>
          <w:noProof/>
        </w:rPr>
      </w:pPr>
      <w:r>
        <w:t>(17)</w:t>
      </w:r>
      <w:r>
        <w:tab/>
      </w:r>
      <w:r>
        <w:rPr>
          <w:noProof/>
        </w:rPr>
        <w:t>Il-ġestjoni indiretta jenħtieġ li tintuża bħala metodu għall-implimentazzjoni tal-baġit sabiex tiżdied il-flessibbiltà kif ukoll biex il-baġit jiġi eżegwit bl-aħjar mod possibbli.</w:t>
      </w:r>
    </w:p>
    <w:p>
      <w:pPr>
        <w:pStyle w:val="ManualConsidrant"/>
        <w:rPr>
          <w:noProof/>
        </w:rPr>
      </w:pPr>
      <w:r>
        <w:t>(18)</w:t>
      </w:r>
      <w:r>
        <w:tab/>
      </w:r>
      <w:r>
        <w:rPr>
          <w:noProof/>
        </w:rPr>
        <w:t xml:space="preserve">Fl-implimentazzjoni tad-Deċiżjoni Nru 1313/2013/UE l-Kummissjoni jenħtieġ li tadotta programmi ta’ ħidma annwali jew pluriennali li jindikaw l-allokazzjonijiet ippjanati biex tippromwovi l-prevedibbiltà u l-effettività fit-tul. Dan jenħtieġ li jgħin </w:t>
      </w:r>
      <w:r>
        <w:rPr>
          <w:noProof/>
        </w:rPr>
        <w:lastRenderedPageBreak/>
        <w:t xml:space="preserve">lill-Unjoni tkun aktar flessibbli fl-eżekuzzjoni tal-baġit u b’hekk issaħħaħ l-azzjonijiet ta’ prevenzjoni u ta’ tħejjija. </w:t>
      </w:r>
    </w:p>
    <w:p>
      <w:pPr>
        <w:pStyle w:val="ManualConsidrant"/>
        <w:rPr>
          <w:noProof/>
        </w:rPr>
      </w:pPr>
      <w:r>
        <w:t>(19)</w:t>
      </w:r>
      <w:r>
        <w:tab/>
      </w:r>
      <w:r>
        <w:rPr>
          <w:noProof/>
        </w:rPr>
        <w:t>B’konformità mar-Regolament (UE, Euratom) 2018/1046</w:t>
      </w:r>
      <w:r>
        <w:rPr>
          <w:rStyle w:val="FootnoteReference"/>
          <w:noProof/>
        </w:rPr>
        <w:footnoteReference w:id="9"/>
      </w:r>
      <w:r>
        <w:rPr>
          <w:noProof/>
        </w:rPr>
        <w:t xml:space="preserve"> (ir-Regolament Finanzjarju), mar-Regolament (UE, Euratom) Nru 883/2013 tal-Parlament Ewropew u tal-Kunsill</w:t>
      </w:r>
      <w:r>
        <w:rPr>
          <w:rStyle w:val="FootnoteReference"/>
          <w:noProof/>
        </w:rPr>
        <w:footnoteReference w:id="10"/>
      </w:r>
      <w:r>
        <w:rPr>
          <w:noProof/>
        </w:rPr>
        <w:t>, mar-Regolament tal-Kunsill (Euratom, KE) Nru 2988/95</w:t>
      </w:r>
      <w:r>
        <w:rPr>
          <w:rStyle w:val="FootnoteReference"/>
          <w:noProof/>
        </w:rPr>
        <w:footnoteReference w:id="11"/>
      </w:r>
      <w:r>
        <w:rPr>
          <w:noProof/>
        </w:rPr>
        <w:t>, mar-Regolament tal-Kunsill (Euratom, KE) Nru 2185/96</w:t>
      </w:r>
      <w:r>
        <w:rPr>
          <w:rStyle w:val="FootnoteReference"/>
          <w:noProof/>
        </w:rPr>
        <w:footnoteReference w:id="12"/>
      </w:r>
      <w:r>
        <w:rPr>
          <w:noProof/>
        </w:rPr>
        <w:t xml:space="preserve"> u mar-Regolament tal-Kunsill (UE) 2017/1939</w:t>
      </w:r>
      <w:r>
        <w:rPr>
          <w:rStyle w:val="FootnoteReference"/>
          <w:noProof/>
        </w:rPr>
        <w:footnoteReference w:id="13"/>
      </w:r>
      <w:r>
        <w:rPr>
          <w:noProof/>
        </w:rPr>
        <w:t>, l-interessi finanzjarji tal-Unjoni jridu jiġu protetti permezz ta’ miżuri proporzjonati, fosthom il-prevenzjoni, id-detezzjoni, il-korrezzjoni u l-investigazzjoni ta’ irregolaritajiet, fosthom il-frodi, l-irkupru ta’ fondi mitlufa, imħallsa bi żball jew użati b’mod mhux korrett u fejn xieraq, l-impożizzjoni ta’ sanzjonijiet amministrattivi. B’mod partikolari, skont ir-Regolament (UE, Euratom) Nru 2185/96 u r-Regolament (Euratom, KE) Nru 883/2013, l-Uffiċċju Ewropew Kontra l-Frodi (OLAF) jista’ jwettaq investigazzjonijiet amministrattivi, inklużi kontrolli u spezzjonijiet fil-post, bil-ħsieb li jistabbilixxi jekk kienx hemm frodi, korruzzjoni jew kwalunkwe attività illegali oħra li taffettwa l-interessi finanzjarji tal-Unjoni. Skont ir-Regolament (UE) 2017/1939, l-Uffiċċju tal-Prosekutur Pubbliku Ewropew (“UPPE”) jista’ jinvestiga u jressaq reati li jaffettwaw l-interessi finanzjarji tal-Unjoni, kif previst fid-Direttiva (UE) 2017/1371</w:t>
      </w:r>
      <w:r>
        <w:rPr>
          <w:rStyle w:val="FootnoteReference"/>
          <w:noProof/>
        </w:rPr>
        <w:footnoteReference w:id="14"/>
      </w:r>
      <w:r>
        <w:rPr>
          <w:noProof/>
        </w:rPr>
        <w:t xml:space="preserve"> tal-Parlament Ewropew u tal-Kunsill. B’konformità mar-Regolament Finanzjarju, kwalunkwe persuna jew entità li tirċievi fondi mingħand l-Unjoni trid tikkoopera bis-sħiħ fil-protezzjoni tal-interessi finanzjarji tal-Unjoni, tagħti d-drittijiet u l-aċċess meħtieġa lill-Kummissjoni, lill-OLAF, lill-UPPE fir-rigward ta’ dawk l-Istati Membri li jipparteċipaw f’kooperazzjoni msaħħa skont ir-Regolament 2017/1939, u lill-Qorti Ewropea tal-Awdituri, u tiżgura li kwalunkwe parti terza involuta fl-implimentazzjoni ta’ fondi mingħand l-Unjoni tagħti d-drittijiet ekwivalenti. Għal din ir-raġuni, il-ftehimiet ma’ pajjiżi terzi u territorji u ma’ organizzazzjonijiet internazzjonali, u kwalunkwe kuntratt jew ftehim li jirriżulta mill-implimentazzjoni ta’ din id-Deċiżjoni jenħtieġ li jkun fihom dispożizzjonijiet li b’mod espliċitu jagħtu s-setgħa lill-Kummissjoni, lill-Qorti Ewropea tal-Awdituri, lill-UPPE u lill-OLAF li jwettqu awditi, kontrolli fil-post u spezzjonijiet, skont il-kompetenzi rispettivi tagħhom u li jiżguraw li kull terza persuna involuta fl-implimentazzjoni tal-finanzjament tal-Unjoni tagħti drittijiet ekwivalenti.</w:t>
      </w:r>
    </w:p>
    <w:p>
      <w:pPr>
        <w:pStyle w:val="ManualConsidrant"/>
        <w:rPr>
          <w:noProof/>
        </w:rPr>
      </w:pPr>
      <w:r>
        <w:lastRenderedPageBreak/>
        <w:t>(20)</w:t>
      </w:r>
      <w:r>
        <w:tab/>
      </w:r>
      <w:r>
        <w:rPr>
          <w:noProof/>
        </w:rPr>
        <w:t>Il-pajjiżi terzi li huma membri taż-Żona Ekonomika Ewropea jistgħu jieħdu sehem fil-programmi tal-Unjoni fil-qafas tal-koperazzjoni stabbilit skont il-Ftehim taż-Żona Ekonomika Ewropea, li jipprevedi l-implimentazzjoni tal-programmi permezz ta’ deċiżjoni skont dan il-Ftehim. Il-pajjiżi terzi jistgħu jipparteċipaw ukoll fuq il-bażi ta’ strumenti legali oħra. F’din id-Deċiżjoni jenħtieġ li tiddaħħal dispożizzjoni li tagħti d-drittijiet meħtieġa u l-aċċess lill-uffiċjal tal-awtorizzazzjoni responsabbli, lill-OLAF, lill-UPPE u lill-Qorti Ewropea tal-Awdituri biex ikunu jistgħu jaqdu l-kompetenzi rispettivi tagħhom b’mod komprensiv.</w:t>
      </w:r>
    </w:p>
    <w:p>
      <w:pPr>
        <w:pStyle w:val="ManualConsidrant"/>
        <w:rPr>
          <w:noProof/>
        </w:rPr>
      </w:pPr>
      <w:r>
        <w:t>(21)</w:t>
      </w:r>
      <w:r>
        <w:tab/>
      </w:r>
      <w:r>
        <w:rPr>
          <w:noProof/>
        </w:rPr>
        <w:t>Il-Kummissjoni jenħtieġ li tingħata s-setgħa tadotta atti ta’ implimentazzjoni applikabbli minnufih, fil-każ ta’ emerġenza li jkollha tiġi indirizzata minnufih f’każijiet iġġustifikati kif xieraq u fejn l-urġenza tkun titlob tali azzjoni. Dan jippermetti lill-Unjoni tirreaġixxi mingħajr dewmien għal emerġenzi fuq skala kbira li jista’ jkollhom impatt kbir fuq ħajjet in-nies, fuq is-saħħa, l-ambjent, il-proprjetà u l-wirt kulturali, li jaffettwa lil-Istati Membri kollha jew lil maġġoranza tagħhom fl-istess waqt.</w:t>
      </w:r>
    </w:p>
    <w:p>
      <w:pPr>
        <w:pStyle w:val="ManualConsidrant"/>
        <w:rPr>
          <w:noProof/>
        </w:rPr>
      </w:pPr>
      <w:r>
        <w:t>(22)</w:t>
      </w:r>
      <w:r>
        <w:tab/>
      </w:r>
      <w:r>
        <w:rPr>
          <w:noProof/>
        </w:rPr>
        <w:t xml:space="preserve">Il-pakkett finanzjarju stipulat fl-Artikolu 19 tad-Deċiżjoni Nru 1313/2013/UE jenħtieġ li jiġi ssostitwit miċ-ċifri ġodda previsti fil-proposta aġġornata tal-Kummissjoni tal-qafas finanzjarju pluriennali (“QFP) għall-perjodu 2021-2027. </w:t>
      </w:r>
    </w:p>
    <w:p>
      <w:pPr>
        <w:pStyle w:val="ManualConsidrant"/>
        <w:rPr>
          <w:noProof/>
        </w:rPr>
      </w:pPr>
      <w:r>
        <w:t>(23)</w:t>
      </w:r>
      <w:r>
        <w:tab/>
      </w:r>
      <w:r>
        <w:rPr>
          <w:noProof/>
        </w:rPr>
        <w:t>Filwaqt li l-miżuri ta’ prevenzjoni u ta’ tħejjija huma essenzjali biex tissaħħaħ is-sodezza tal-Unjoni meta tħabbat wiċċha ma’ diżastri naturali u kkawżati mill-bniedem, hija fin-natura tad-diżastri li l-okkorrenza, meta u d-daqs tagħhom huma imprevedibbli. Kif ħareġ fid-dieher fil-kriżi riċenti tal-COVID-19, ir-riżorsi finanzjarji mitluba biex tiġi żgurata reazzjoni xierqa jistgħu jvarjaw ħafna minn sena għal oħra u jenħtieġ li jkunu disponibbli minnufih. B’konsegwenza ta’ dan, ir-rikonċiljazzjoni tal-prinċipji tal-prevedibbiltà mal-ħtieġa ta’ reazzjoni rapida għal ħtiġijiet ġodda tfisser li l-implimentazzjoni finanzjarja tal-programmi trid tiġi adattata. Għaldaqstant, minbarra l-Artikolu 12(4) tar-Regolament Finanzjarju, ikun xieraq li l-approprjazzjonijiet li ma jintużawx jitħallew jiġu riportati, b’limitu għas-sena ta’ wara u biss f’każ ta’ azzjoni ta’ reazzjoni.</w:t>
      </w:r>
    </w:p>
    <w:p>
      <w:pPr>
        <w:pStyle w:val="ManualConsidrant"/>
        <w:rPr>
          <w:noProof/>
        </w:rPr>
      </w:pPr>
      <w:r>
        <w:t>(24)</w:t>
      </w:r>
      <w:r>
        <w:tab/>
      </w:r>
      <w:r>
        <w:rPr>
          <w:noProof/>
        </w:rPr>
        <w:t>B’konformità mar-Regolament (l-Istrument ta’ Rkupru tal-Unjoni Ewropea) u fil-limiti tar-riżorsi allokati fih, il-miżuri ta’ rkupru u reżiljenza li jitwettqu skont il-Mekkaniżmu tal-Unjoni għall-Protezzjoni Ċivili jenħtieġ li jindirizzaw l-impatt bla preċedent tal-kriżi tal-COVID-19</w:t>
      </w:r>
      <w:r>
        <w:rPr>
          <w:rStyle w:val="FootnoteReference"/>
          <w:noProof/>
        </w:rPr>
        <w:footnoteReference w:id="15"/>
      </w:r>
      <w:r>
        <w:rPr>
          <w:noProof/>
        </w:rPr>
        <w:t xml:space="preserve">. Dawn ir-riżorsi addizzjonali jenħtieġ li jintużaw b’tali mod li jiżgura l-konformità mal-iskadenzi previsti fir-Regolament [ERI]. </w:t>
      </w:r>
    </w:p>
    <w:p>
      <w:pPr>
        <w:pStyle w:val="ManualConsidrant"/>
        <w:rPr>
          <w:noProof/>
        </w:rPr>
      </w:pPr>
      <w:r>
        <w:t>(25)</w:t>
      </w:r>
      <w:r>
        <w:tab/>
      </w:r>
      <w:r>
        <w:rPr>
          <w:noProof/>
        </w:rPr>
        <w:t xml:space="preserve">L-Anness I tad-Deċiżjoni Nru 1313/2013/UE mhuwiex flessibbli biżżejjed biex l-Unjoni tkun tista’ taġġusta l-investimenti għall-prevenzjoni, għat-tħejjija u għar-reazzjoni b’mod xieraq, u għaldaqstant qiegħed jitħassar. Il-livelli ta’ investimenti li se jiġu allokati għall-fażijiet differenti taċ-ċiklu tal-immaniġġar tar-riskju ta’ diżastri iridu jiġu deċiżi minn qabel. Dan in-nuqqas ta’ flessibbiltà jżomm lura lill-Unjoni milli tkun f’pożizzjoni li tirreaġixxi għan-natura imprevedibbli tad-diżastri. </w:t>
      </w:r>
    </w:p>
    <w:p>
      <w:pPr>
        <w:pStyle w:val="ManualConsidrant"/>
        <w:rPr>
          <w:noProof/>
        </w:rPr>
      </w:pPr>
      <w:r>
        <w:t>(26)</w:t>
      </w:r>
      <w:r>
        <w:tab/>
      </w:r>
      <w:r>
        <w:rPr>
          <w:noProof/>
        </w:rPr>
        <w:t>Għalhekk jenħtieġ li d-Deċiżjoni Nru 1313/2013/UE tiġi emendata kif meħtieġ,</w:t>
      </w:r>
    </w:p>
    <w:p>
      <w:pPr>
        <w:rPr>
          <w:noProof/>
        </w:rPr>
      </w:pPr>
    </w:p>
    <w:p>
      <w:pPr>
        <w:pStyle w:val="Formuledadoption"/>
        <w:rPr>
          <w:noProof/>
        </w:rPr>
      </w:pPr>
      <w:r>
        <w:rPr>
          <w:noProof/>
        </w:rPr>
        <w:lastRenderedPageBreak/>
        <w:t>ADOTTAW DIN ID-DEĊIŻJONI:</w:t>
      </w:r>
    </w:p>
    <w:p>
      <w:pPr>
        <w:pStyle w:val="Titrearticle"/>
        <w:rPr>
          <w:noProof/>
        </w:rPr>
      </w:pPr>
      <w:r>
        <w:rPr>
          <w:noProof/>
        </w:rPr>
        <w:t>Artikolu 1</w:t>
      </w:r>
    </w:p>
    <w:p>
      <w:pPr>
        <w:rPr>
          <w:noProof/>
        </w:rPr>
      </w:pPr>
      <w:r>
        <w:rPr>
          <w:noProof/>
        </w:rPr>
        <w:t>Id-Deċiżjoni Nru 1313/2013/UE hija emendata kif ġej:</w:t>
      </w:r>
    </w:p>
    <w:p>
      <w:pPr>
        <w:pStyle w:val="Point0"/>
        <w:rPr>
          <w:noProof/>
        </w:rPr>
      </w:pPr>
      <w:r>
        <w:t>(1)</w:t>
      </w:r>
      <w:r>
        <w:tab/>
      </w:r>
      <w:r>
        <w:rPr>
          <w:noProof/>
        </w:rPr>
        <w:t>Fl-Artikolu 3 (2), il-punt (b) huwa sostitwit b’dan li ġej:</w:t>
      </w:r>
    </w:p>
    <w:p>
      <w:pPr>
        <w:pStyle w:val="Text1"/>
        <w:rPr>
          <w:noProof/>
        </w:rPr>
      </w:pPr>
      <w:r>
        <w:rPr>
          <w:noProof/>
        </w:rPr>
        <w:t>“(b) progress fit-titjib tal-livell ta’ tħejjija għal diżastri: li jitkejjel permezz tal-kwantità ta’ kapaċitajiet ta’ reazzjoni inklużi fir-Riżerva Ewropea ta’ Protezzjoni Ċivili fir-rigward tal-għanijiet tal-kapaċità msemmija fl-Artikolu 11, l-għadd ta’ moduli li jiġu rreġistrati fis-CECIS u l-għadd ta’ kapaċitajiet tar-rescEU li jiġu stabbiliti biex tingħata assistenza f’sitwazzjonijiet gravi;”;</w:t>
      </w:r>
    </w:p>
    <w:p>
      <w:pPr>
        <w:pStyle w:val="Point0"/>
        <w:rPr>
          <w:noProof/>
        </w:rPr>
      </w:pPr>
      <w:r>
        <w:t>(2)</w:t>
      </w:r>
      <w:r>
        <w:tab/>
      </w:r>
      <w:r>
        <w:rPr>
          <w:noProof/>
        </w:rPr>
        <w:t>L-Artikolu 6 huwa emendat kif ġej:</w:t>
      </w:r>
    </w:p>
    <w:p>
      <w:pPr>
        <w:pStyle w:val="Point1"/>
        <w:rPr>
          <w:noProof/>
        </w:rPr>
      </w:pPr>
      <w:r>
        <w:t>(a)</w:t>
      </w:r>
      <w:r>
        <w:tab/>
      </w:r>
      <w:r>
        <w:rPr>
          <w:noProof/>
        </w:rPr>
        <w:t>Fil-paragrafu 1, il-punt (e) jiġi sostitwit b’dan li ġej:</w:t>
      </w:r>
    </w:p>
    <w:p>
      <w:pPr>
        <w:pStyle w:val="Text1"/>
        <w:rPr>
          <w:noProof/>
        </w:rPr>
      </w:pPr>
      <w:r>
        <w:rPr>
          <w:noProof/>
        </w:rPr>
        <w:t>“(e) jipparteċipaw, fuq bażi volontarja, f’evalwazzjonijiet bejn il-pari dwar il-valutazzjoni tal-kapaċità tal-immaniġġar tar-riskju;’;</w:t>
      </w:r>
    </w:p>
    <w:p>
      <w:pPr>
        <w:pStyle w:val="Point1"/>
        <w:rPr>
          <w:noProof/>
        </w:rPr>
      </w:pPr>
      <w:r>
        <w:t>(b)</w:t>
      </w:r>
      <w:r>
        <w:tab/>
      </w:r>
      <w:r>
        <w:rPr>
          <w:noProof/>
        </w:rPr>
        <w:tab/>
        <w:t>Jiddaħħal il-punt (f) li ġej:</w:t>
      </w:r>
    </w:p>
    <w:p>
      <w:pPr>
        <w:pStyle w:val="Text1"/>
        <w:rPr>
          <w:noProof/>
        </w:rPr>
      </w:pPr>
      <w:r>
        <w:rPr>
          <w:noProof/>
        </w:rPr>
        <w:t xml:space="preserve">“(f) itejbu l-ġbir ta’ </w:t>
      </w:r>
      <w:r>
        <w:rPr>
          <w:i/>
          <w:noProof/>
        </w:rPr>
        <w:t>data</w:t>
      </w:r>
      <w:r>
        <w:rPr>
          <w:noProof/>
        </w:rPr>
        <w:t xml:space="preserve"> dwar it-telf mid-diżastri fil-livell nazzjonali jew fil-livell sottonazzjonali xieraq biex jiġu żgurat l-immudellar ta’ xenarji bbażat fuq l-evidenza kif inhu msemmi fl-Artikolu 10(1).”;</w:t>
      </w:r>
    </w:p>
    <w:p>
      <w:pPr>
        <w:pStyle w:val="Point1"/>
        <w:rPr>
          <w:noProof/>
        </w:rPr>
      </w:pPr>
      <w:r>
        <w:t>(c)</w:t>
      </w:r>
      <w:r>
        <w:tab/>
      </w:r>
      <w:r>
        <w:rPr>
          <w:noProof/>
        </w:rPr>
        <w:t>Jiżdied il-paragrafu 5 li ġej:</w:t>
      </w:r>
    </w:p>
    <w:p>
      <w:pPr>
        <w:pStyle w:val="Text1"/>
        <w:rPr>
          <w:noProof/>
        </w:rPr>
      </w:pPr>
      <w:r>
        <w:rPr>
          <w:noProof/>
        </w:rPr>
        <w:t xml:space="preserve">“5. Il-Kummissjoni għandha tiddefinixxi l-għanijiet tar-reżiljenza għad-diżastri biex tappoġġa azzjonijiet ta’ prevenzjoni u tħejjija. L-għanijiet tar-reżiljenza għad-diżastri għandhom jiżguraw bażi għall-ħarsien tal-funzjonijiet kritiċi tas-soċjetà fid-dawl tal-effetti tal-katina ta’ avvenimenti imprevedibbli ta’ diżastru b’impatt għoli u biex jiġi żgurat il-funzjonament tas-suq intern. Dawn l-għanijiet għandhom ikunu bbażati fuq xenarji li jħarsu lejn il-futur, fosthom l-impatt tat-tibdil fil-klima fuq ir-riskju ta’ diżastri, </w:t>
      </w:r>
      <w:r>
        <w:rPr>
          <w:i/>
          <w:noProof/>
        </w:rPr>
        <w:t>data</w:t>
      </w:r>
      <w:r>
        <w:rPr>
          <w:noProof/>
        </w:rPr>
        <w:t xml:space="preserve"> fuq avvenimenti tal-imgħoddi u analiżi tal-impatt transsettorjali b’attenzjoni partikolari għall-persuni vulnerabbli.</w:t>
      </w:r>
    </w:p>
    <w:p>
      <w:pPr>
        <w:pStyle w:val="Text1"/>
        <w:rPr>
          <w:noProof/>
        </w:rPr>
      </w:pPr>
      <w:r>
        <w:rPr>
          <w:noProof/>
        </w:rPr>
        <w:t>Fejn meħtieġ il-Kummissjoni għandha jkollha s-setgħa tadotta atti delegati b’konformità mal-Artikolu 30 biex tiddefinixxi l-għanijiet tal-Unjoni tar-reżiljenza għad-diżastri.”;</w:t>
      </w:r>
    </w:p>
    <w:p>
      <w:pPr>
        <w:pStyle w:val="Point0"/>
        <w:rPr>
          <w:noProof/>
        </w:rPr>
      </w:pPr>
      <w:r>
        <w:t>(3)</w:t>
      </w:r>
      <w:r>
        <w:tab/>
      </w:r>
      <w:r>
        <w:rPr>
          <w:noProof/>
        </w:rPr>
        <w:t>L-Artikolu 7 jiġi sostitwit b’dan li ġej:</w:t>
      </w:r>
    </w:p>
    <w:p>
      <w:pPr>
        <w:pStyle w:val="Text1"/>
        <w:rPr>
          <w:b/>
          <w:noProof/>
        </w:rPr>
      </w:pPr>
      <w:r>
        <w:rPr>
          <w:noProof/>
        </w:rPr>
        <w:t>“Artikolu 7</w:t>
      </w:r>
    </w:p>
    <w:p>
      <w:pPr>
        <w:pStyle w:val="Text1"/>
        <w:rPr>
          <w:b/>
          <w:noProof/>
        </w:rPr>
      </w:pPr>
      <w:r>
        <w:rPr>
          <w:b/>
          <w:noProof/>
        </w:rPr>
        <w:t>Ċentru ta’ Koordinazzjoni tar-Reazzjoni f’każ ta’ Emerġenza</w:t>
      </w:r>
    </w:p>
    <w:p>
      <w:pPr>
        <w:pStyle w:val="Point1"/>
        <w:rPr>
          <w:noProof/>
        </w:rPr>
      </w:pPr>
      <w:r>
        <w:rPr>
          <w:noProof/>
        </w:rPr>
        <w:t>1.</w:t>
      </w:r>
      <w:r>
        <w:rPr>
          <w:noProof/>
        </w:rPr>
        <w:tab/>
        <w:t xml:space="preserve"> Iċ-Ċentru ta’ Koordinazzjoni tar-Reazzjoni f’każ ta’ Emerġenza (ERCC) huwa stabbilit. L-ERCC għandu jiżgura kapaċità operazzjonali għal 24 siegħa kuljum u sebat (7) ijiem fil-ġimgħa, u għandu jservi lill-Istati Membri u lill-Kummissjoni fil-kisba tal-objettivi tal-Mekkaniżmu tal-Unjoni. </w:t>
      </w:r>
    </w:p>
    <w:p>
      <w:pPr>
        <w:pStyle w:val="Text2"/>
        <w:rPr>
          <w:noProof/>
        </w:rPr>
      </w:pPr>
      <w:r>
        <w:rPr>
          <w:noProof/>
        </w:rPr>
        <w:t>B’mod partikolari l-ERCC għandu jikkoordina, jimmonitorja u jappoġġa r-rispons għall-emerġenzi fil-livell tal-Unjoni f’ħin reali. L-ERCC għandu jaħdem f’kuntatt mill-qrib mas-sistemi nazzjonali tal-kriżijiet, mal-awtoritajiet tal-protezzjoni ċivili u mal-korpi rilevanti tal-Unjoni.</w:t>
      </w:r>
    </w:p>
    <w:p>
      <w:pPr>
        <w:pStyle w:val="Point1"/>
        <w:rPr>
          <w:noProof/>
        </w:rPr>
      </w:pPr>
      <w:r>
        <w:rPr>
          <w:noProof/>
        </w:rPr>
        <w:lastRenderedPageBreak/>
        <w:t>2.</w:t>
      </w:r>
      <w:r>
        <w:rPr>
          <w:noProof/>
        </w:rPr>
        <w:tab/>
        <w:t xml:space="preserve">L-ERCC għandu jkollu aċċess għal kapaċitajiet operazzjonali, analitiċi, ta’ monitoraġġ, ta’ ġestjoni tal-informazzjoni u ta’ komunikazzjoni biex jindirizza firxa wiesgħa ġewwa l-Unjoni u lil hinn minnha.”; </w:t>
      </w:r>
    </w:p>
    <w:p>
      <w:pPr>
        <w:pStyle w:val="Point0"/>
        <w:rPr>
          <w:noProof/>
        </w:rPr>
      </w:pPr>
      <w:r>
        <w:t>(4)</w:t>
      </w:r>
      <w:r>
        <w:tab/>
      </w:r>
      <w:r>
        <w:rPr>
          <w:noProof/>
        </w:rPr>
        <w:t>L-Artikolu 8 huwa emendat kif ġej:</w:t>
      </w:r>
    </w:p>
    <w:p>
      <w:pPr>
        <w:pStyle w:val="Point1"/>
        <w:rPr>
          <w:noProof/>
        </w:rPr>
      </w:pPr>
      <w:r>
        <w:t>(a)</w:t>
      </w:r>
      <w:r>
        <w:tab/>
      </w:r>
      <w:r>
        <w:rPr>
          <w:noProof/>
        </w:rPr>
        <w:tab/>
        <w:t>il-punt (c) huwa sostitwit b’dan li ġej:</w:t>
      </w:r>
    </w:p>
    <w:p>
      <w:pPr>
        <w:pStyle w:val="Text1"/>
        <w:rPr>
          <w:noProof/>
        </w:rPr>
      </w:pPr>
      <w:r>
        <w:rPr>
          <w:noProof/>
        </w:rPr>
        <w:t xml:space="preserve">“(c) jaħdem mal-Istati Membri </w:t>
      </w:r>
    </w:p>
    <w:p>
      <w:pPr>
        <w:pStyle w:val="Tiret1"/>
        <w:numPr>
          <w:ilvl w:val="0"/>
          <w:numId w:val="10"/>
        </w:numPr>
        <w:rPr>
          <w:noProof/>
        </w:rPr>
      </w:pPr>
      <w:r>
        <w:rPr>
          <w:noProof/>
        </w:rPr>
        <w:t>biex jiżviluppa sistemi ta’ detezzjoni u ta’ twissija transnazzjonali ta’ interess għall-Unjoni;</w:t>
      </w:r>
    </w:p>
    <w:p>
      <w:pPr>
        <w:pStyle w:val="Tiret1"/>
        <w:rPr>
          <w:noProof/>
        </w:rPr>
      </w:pPr>
      <w:r>
        <w:rPr>
          <w:noProof/>
        </w:rPr>
        <w:t>biex jintegra aħjar is-sistemi eżistenti fis-segwitu ta’ approċċ ta’ perikli multipli u jnaqqas iż-żmien meħtieġ għar-reazzjoni għad-diżastri;</w:t>
      </w:r>
    </w:p>
    <w:p>
      <w:pPr>
        <w:pStyle w:val="Tiret1"/>
        <w:rPr>
          <w:noProof/>
        </w:rPr>
      </w:pPr>
      <w:r>
        <w:rPr>
          <w:noProof/>
        </w:rPr>
        <w:t xml:space="preserve"> biex iħares u jkompli jiżviluppa l-għarfien tas-sitwazzjoni u l-kapaċità ta’ analiżi;</w:t>
      </w:r>
    </w:p>
    <w:p>
      <w:pPr>
        <w:pStyle w:val="Tiret1"/>
        <w:rPr>
          <w:noProof/>
        </w:rPr>
      </w:pPr>
      <w:r>
        <w:rPr>
          <w:noProof/>
        </w:rPr>
        <w:t xml:space="preserve">biex jimmonitorja u jagħti pariri bbażati fuq l-għarfien xjentifiku dwar id-diżastri u, fejn rilevanti, l-impatti tat-tibdil fil-klima; </w:t>
      </w:r>
    </w:p>
    <w:p>
      <w:pPr>
        <w:pStyle w:val="Tiret1"/>
        <w:rPr>
          <w:noProof/>
        </w:rPr>
      </w:pPr>
      <w:r>
        <w:rPr>
          <w:noProof/>
        </w:rPr>
        <w:t xml:space="preserve">biex jittraduċi l-informazzjoni xjentifika f’informazzjoni operazzjonali; </w:t>
      </w:r>
    </w:p>
    <w:p>
      <w:pPr>
        <w:pStyle w:val="Tiret1"/>
        <w:rPr>
          <w:noProof/>
        </w:rPr>
      </w:pPr>
      <w:r>
        <w:rPr>
          <w:noProof/>
        </w:rPr>
        <w:t xml:space="preserve">biex joħloq, iħares u jiżviluppa sħubijiet xjentifiċi Ewropej li jkopru l-perikli naturali u dawk ikkawżati mill-bniedem, li sussegwentement jenħtieġ li jippromwovu l-interkonnessjoni bejn is-sistemi nazzjonali ta’ twissija bikrija u ta’ twissija u l-konnessjoni bejn l-ERCC u s-CECIS; </w:t>
      </w:r>
    </w:p>
    <w:p>
      <w:pPr>
        <w:pStyle w:val="Tiret1"/>
        <w:rPr>
          <w:noProof/>
        </w:rPr>
      </w:pPr>
      <w:r>
        <w:rPr>
          <w:noProof/>
        </w:rPr>
        <w:t>biex jappoġġa l-isforzi tal-Istati Membri u tal-organizzazzjonijiet internazzjonali b’mandat ta’ għarfien xjentifiku, teknoloġiji u għarfien espert innovattivi meta dawk il-korpi jiżviluppaw aktar is-sistemi ta’ twissija bikrija tagħhom.” ;</w:t>
      </w:r>
    </w:p>
    <w:p>
      <w:pPr>
        <w:pStyle w:val="Text1"/>
        <w:rPr>
          <w:noProof/>
        </w:rPr>
      </w:pPr>
      <w:r>
        <w:rPr>
          <w:noProof/>
        </w:rPr>
        <w:t>(b)</w:t>
      </w:r>
      <w:r>
        <w:rPr>
          <w:noProof/>
        </w:rPr>
        <w:tab/>
        <w:t>Jiddaħħal il-punt (l) li ġej:</w:t>
      </w:r>
    </w:p>
    <w:p>
      <w:pPr>
        <w:pStyle w:val="Text1"/>
        <w:rPr>
          <w:noProof/>
        </w:rPr>
      </w:pPr>
      <w:r>
        <w:rPr>
          <w:noProof/>
        </w:rPr>
        <w:t>“(l) jappoġġa l-Istati Membri b’analiżi mmirata tal-għarfien tas-sitwazzjoni fosthom permezz tal-kooperazzjoni mas-servizzi ta’ twissija bikrija.”;</w:t>
      </w:r>
    </w:p>
    <w:p>
      <w:pPr>
        <w:pStyle w:val="Point0"/>
        <w:rPr>
          <w:noProof/>
        </w:rPr>
      </w:pPr>
      <w:r>
        <w:t>(5)</w:t>
      </w:r>
      <w:r>
        <w:tab/>
      </w:r>
      <w:r>
        <w:rPr>
          <w:noProof/>
        </w:rPr>
        <w:t>Fl-Artikolu 9, jiżdied il-paragrafu li ġej:</w:t>
      </w:r>
    </w:p>
    <w:p>
      <w:pPr>
        <w:pStyle w:val="Text1"/>
        <w:rPr>
          <w:noProof/>
        </w:rPr>
      </w:pPr>
      <w:r>
        <w:rPr>
          <w:noProof/>
        </w:rPr>
        <w:t>“10. Meta s-servizzi ta’ emerġenza jingħataw minn Galileo, Copernicus, GOVSATCOM, jew komponenti oħra tal-Programm Spazjali</w:t>
      </w:r>
      <w:r>
        <w:rPr>
          <w:rStyle w:val="FootnoteReference"/>
          <w:noProof/>
        </w:rPr>
        <w:footnoteReference w:id="16"/>
      </w:r>
      <w:r>
        <w:rPr>
          <w:noProof/>
        </w:rPr>
        <w:t xml:space="preserve">, kull Stat Membru jista’ jiddeċiedi li jużahom. </w:t>
      </w:r>
    </w:p>
    <w:p>
      <w:pPr>
        <w:pStyle w:val="Text1"/>
        <w:rPr>
          <w:noProof/>
        </w:rPr>
      </w:pPr>
      <w:r>
        <w:rPr>
          <w:noProof/>
        </w:rPr>
        <w:t>Meta Stat Membru jiddeċiedi li juża s-servizzi ta’ emerġenza ta’ Galileo msemmija fl-ewwel subparagrafu, huwa għandu jidentifika u jinnotifika lill-Kummissjoni dwar l-awtoritajiet nazzjonali li jkunu awtorizzati jużaw dak is-servizz ta’ emerġenza.”;</w:t>
      </w:r>
    </w:p>
    <w:p>
      <w:pPr>
        <w:pStyle w:val="Point0"/>
        <w:rPr>
          <w:noProof/>
        </w:rPr>
      </w:pPr>
      <w:r>
        <w:t>(6)</w:t>
      </w:r>
      <w:r>
        <w:tab/>
      </w:r>
      <w:r>
        <w:rPr>
          <w:noProof/>
        </w:rPr>
        <w:t>L-Artikolu 10 jiġi sostitwit b’dan li ġej:</w:t>
      </w:r>
    </w:p>
    <w:p>
      <w:pPr>
        <w:pStyle w:val="Text1"/>
        <w:rPr>
          <w:b/>
          <w:noProof/>
        </w:rPr>
      </w:pPr>
      <w:r>
        <w:rPr>
          <w:b/>
          <w:noProof/>
        </w:rPr>
        <w:t>“</w:t>
      </w:r>
      <w:r>
        <w:rPr>
          <w:noProof/>
        </w:rPr>
        <w:t>Artikolu 10</w:t>
      </w:r>
    </w:p>
    <w:p>
      <w:pPr>
        <w:pStyle w:val="Text1"/>
        <w:rPr>
          <w:b/>
          <w:noProof/>
        </w:rPr>
      </w:pPr>
      <w:r>
        <w:rPr>
          <w:b/>
          <w:noProof/>
        </w:rPr>
        <w:t>Ippjanar tar-reżiljenza għad-diżastri</w:t>
      </w:r>
    </w:p>
    <w:p>
      <w:pPr>
        <w:pStyle w:val="Text1"/>
        <w:rPr>
          <w:noProof/>
          <w:color w:val="000000" w:themeColor="text1"/>
        </w:rPr>
      </w:pPr>
      <w:r>
        <w:rPr>
          <w:noProof/>
        </w:rPr>
        <w:t xml:space="preserve">“1. Il-Kummissjoni u l-Istati għandu jaħdmu id f’id biex itejbu l-ippjanar tar-reżiljenza transsettorjali, kemm għal diżastri naturali kif ukoll għal dawk ikkawżati </w:t>
      </w:r>
      <w:r>
        <w:rPr>
          <w:noProof/>
        </w:rPr>
        <w:lastRenderedPageBreak/>
        <w:t xml:space="preserve">mill-bniedem li x’aktarx ikollhom effett transfruntier, fosthom l-effetti negattivi tat-tibdil fil-klima. L-ippjanar tar-reżiljenza għandu jinkludi bini ta’ xenarji fil-livell tal-Unjoni għall-prevenzjoni u r-reazzjoni ta’ diżastri bbażata fuq il-valutazzjonijiet tar-riskji msemmija fil-punt (a) tal-Artikolu </w:t>
      </w:r>
      <w:r>
        <w:rPr>
          <w:noProof/>
          <w:color w:val="000000" w:themeColor="text1"/>
        </w:rPr>
        <w:t>6(1) u l-ħarsa ġenerali lejn ir-riskji msemmija fil-punt (c) tal-Artikolu 5(1), l-ippjanar dwar l-immaniġġar tar-riskji tad-diżastri msemmi fil-punt (c) tal-Artikolu 6(1), id-</w:t>
      </w:r>
      <w:r>
        <w:rPr>
          <w:i/>
          <w:noProof/>
          <w:color w:val="000000" w:themeColor="text1"/>
        </w:rPr>
        <w:t>data</w:t>
      </w:r>
      <w:r>
        <w:rPr>
          <w:noProof/>
          <w:color w:val="000000" w:themeColor="text1"/>
        </w:rPr>
        <w:t xml:space="preserve"> dwar it-telf marbuta mad-diżastri msemmija fil-punt (f) tal-Artikolu 6(1), l-immappjar tal-assi u l-iżviluppar ta’ pjanijiet għall-iskjerament tal-kapaċitajiet ta’ reazzjoni, b’kunsiderazzjoni tal-għanijiet tar-reżiljenza għad-diżastri tal-Unjoni msemmija fl-Artikolu 6(5).</w:t>
      </w:r>
    </w:p>
    <w:p>
      <w:pPr>
        <w:pStyle w:val="Text1"/>
        <w:rPr>
          <w:noProof/>
        </w:rPr>
      </w:pPr>
      <w:r>
        <w:rPr>
          <w:noProof/>
        </w:rPr>
        <w:t>2. Il-Kummissjoni u l-Istati Membri għandhom jidentifikaw u jippromwovu sinerġiji bejn l-iffinanzjar għal għajnuna għall-protezzjoni ċivili u l-għajnuna umanitarja pprovduti mill-Unjoni u l-Istati Membri fl-ippjanar tar-reżiljenza għad-diżastri ta’ operazzjonijiet ta’ reazzjoni għal kriżijiet umanitarji barra l-Unjoni.”;</w:t>
      </w:r>
    </w:p>
    <w:p>
      <w:pPr>
        <w:pStyle w:val="Point0"/>
        <w:rPr>
          <w:noProof/>
        </w:rPr>
      </w:pPr>
      <w:r>
        <w:t>(7)</w:t>
      </w:r>
      <w:r>
        <w:tab/>
      </w:r>
      <w:r>
        <w:rPr>
          <w:noProof/>
        </w:rPr>
        <w:t>Fl-Artikolu 11, il-paragrafu 2 huwa sostitwit b’dan li ġej:</w:t>
      </w:r>
    </w:p>
    <w:p>
      <w:pPr>
        <w:pStyle w:val="Text1"/>
        <w:rPr>
          <w:noProof/>
        </w:rPr>
      </w:pPr>
      <w:r>
        <w:rPr>
          <w:noProof/>
        </w:rPr>
        <w:t>“2. Fuq il-bażi tar-riskji identifikati, l-għanijiet tar-reżiljenza msemmija fl-Artikolu 6(5), il-bini ta’ xenarji msemmi fl-Artikolu 10(1) u l-kapaċitajiet u l-lakuni kumplessivi, il-Kummissjoni għandha tiddefinixxi, permezz ta’ atti ta’ implimentazzjoni skont il-proċedura ta’ eżami msemmija fl-Artikolu 33(2), it-tipi u l-għadd ta’ kapaċitajiet ta’ reazzjoni ewlenin ikunu meħtieġa għar-Riżerva Ewropea ta’ Protezzjoni Ċivili (“l-għanijiet tal-kapaċità”).</w:t>
      </w:r>
    </w:p>
    <w:p>
      <w:pPr>
        <w:pStyle w:val="Text1"/>
        <w:rPr>
          <w:noProof/>
        </w:rPr>
      </w:pPr>
      <w:r>
        <w:rPr>
          <w:noProof/>
        </w:rPr>
        <w:t>Il-Kummissjoni, f’kooperazzjoni mal-Istati Membri, għandha tagħmel monitoraġġ tal-progress lejn il-miri tal-kapaċità stabbiliti fl-atti ta’ implimentazzjoni msemmija fl-ewwel subparagrafu ta’ dan il-paragrafu, u tidentifika lakuni potenzjalment sinifikanti fil-kapaċità ta’ reazzjoni fir-Riżerva Ewropea ta’ Protezzjoni Ċivili. Fejn ikunu ġew identifikati tali lakuni, il-Kummissjoni għandha teżamina jekk il-kapaċitajiet meħtieġa jkunux disponibbli għall-Istati Membri barra r-Riżerva Ewropea ta’ Protezzjoni Ċivili. Il-Kummissjoni għandha tinkoraġġixxi lill-Istati Membri jindirizzaw b’mod sinifikanti l-lakuni fil-kapaċità ta’ rispons fir-Riżerva Ewropea ta’ Protezzjoni Ċivili. Hija tista’ tappoġġa lill-Istati Membri f’dan ir-rigward b’konformità mal-Artikolu 20 u l-Artikolu 21(1)(i) u (2).”;</w:t>
      </w:r>
    </w:p>
    <w:p>
      <w:pPr>
        <w:pStyle w:val="Point0"/>
        <w:rPr>
          <w:noProof/>
        </w:rPr>
      </w:pPr>
      <w:r>
        <w:t>(8)</w:t>
      </w:r>
      <w:r>
        <w:tab/>
      </w:r>
      <w:r>
        <w:rPr>
          <w:noProof/>
        </w:rPr>
        <w:t>L-Artikolu 12 huwa emendat kif ġej:</w:t>
      </w:r>
    </w:p>
    <w:p>
      <w:pPr>
        <w:pStyle w:val="Point1"/>
        <w:rPr>
          <w:noProof/>
        </w:rPr>
      </w:pPr>
      <w:r>
        <w:t>(a)</w:t>
      </w:r>
      <w:r>
        <w:tab/>
      </w:r>
      <w:r>
        <w:rPr>
          <w:noProof/>
        </w:rPr>
        <w:tab/>
        <w:t>Il-paragrafi 2 u 3 huma sostitwiti b’dan li ġej:</w:t>
      </w:r>
    </w:p>
    <w:p>
      <w:pPr>
        <w:pStyle w:val="Text1"/>
        <w:rPr>
          <w:noProof/>
        </w:rPr>
      </w:pPr>
      <w:r>
        <w:rPr>
          <w:noProof/>
        </w:rPr>
        <w:t>“2. Il-Kummissjoni għandha tuża atti ta’ implimentazzjoni adottati skont il-proċedura ta’ eżami msemmija fl-Artikolu 33(2) biex tiddefinixxi l-kapaċitajiet tar-rescEU, fuq il-bażi tal-għanijiet ta’ reżiljenza msemmija fl-Artikolu 6(5), tal-bini ta’ xenarji msemmija fl-Artikolu 10(1), b’kunsiderazzjoni tar-riskji identifikati u emerġenti u tal-kapaċitajiet u l-lakuni kumplessivi fil-livell tal-Unjoni, partikolarment fl-oqsma tat-tifi tan-nar tal-foresti mill-ajru, tal-inċidenti kimiċi, bijoloġiċi, radjoloġiċi u nukleari, u reazzjoni medika ta’ emerġenza.</w:t>
      </w:r>
    </w:p>
    <w:p>
      <w:pPr>
        <w:pStyle w:val="Text1"/>
        <w:rPr>
          <w:noProof/>
        </w:rPr>
      </w:pPr>
      <w:r>
        <w:rPr>
          <w:noProof/>
        </w:rPr>
        <w:t xml:space="preserve">3. Il-kapaċitajiet tar-rescEU għandhom jiġu akkwistati, miksuba b’lokazzjoni jew mikrija u / jew inkella kkuntrattati mill-Kummissjoni jew mill-Istati Membri. Il-Kummissjoni tista’ takkwista, tikri, tikseb b’lokazzjoni jew inkella tikkuntratta kapaċitajiet tar-rescEU biex tisstokkja jew tiddistribwixxi provvisti jew biex tagħti servizz lill-Istati Membri permezz ta’ proċedura ta’ akkwist konformi mar-regoli finanzjarji tal-Unjoni. Meta l-kapaċitajiet tar-rescEU jiġu akkwistati, jinkrew, jinkisbu b’lokazzjoni jew inkella kkuntrattati mill-Istati Membri, ikunu jistgħu jiġu </w:t>
      </w:r>
      <w:r>
        <w:rPr>
          <w:noProof/>
        </w:rPr>
        <w:lastRenderedPageBreak/>
        <w:t xml:space="preserve">konċessi għotjiet diretti mill-Kummissjoni lill-Istati Membri mingħajr sejħa għall-proposti. </w:t>
      </w:r>
    </w:p>
    <w:p>
      <w:pPr>
        <w:pStyle w:val="Text1"/>
        <w:rPr>
          <w:noProof/>
        </w:rPr>
      </w:pPr>
      <w:r>
        <w:rPr>
          <w:noProof/>
        </w:rPr>
        <w:t>Il-Kummissjoni u kwalunkwe Stat Membru li jkun jixtieq jista’ jinvolvi ruħu fi proċedura ta’ akkwist konġunt li ssir skont l-Artikolu 165 tar-Regolament Finanzjarju bil-għan li jiġu akkwistati kapaċitajiet tar-rescEU.</w:t>
      </w:r>
    </w:p>
    <w:p>
      <w:pPr>
        <w:pStyle w:val="Text1"/>
        <w:rPr>
          <w:noProof/>
        </w:rPr>
      </w:pPr>
      <w:r>
        <w:rPr>
          <w:noProof/>
        </w:rPr>
        <w:t>Il-kapaċitajiet tar-rescEU għandhom jiġu ospitati fl-Istati Membri li jakkwistaw, jikru, jiksbu b’lokazzjoni jew inkella jikkuntrattaw dawk il-kapaċitajiet. Biex tissaħħaħ ir-reżiljenza tal-Unjoni, il-kapaċitajiet tar-rescEU li jiġu akkwistati, mikrija, miksuba b’lokazzjoni jew inkella kkuntrattati mill-Kummissjoni jridu jiġu prepożizzjonati b’mod strateġiku ġewwa l-Unjoni. F’konsultazzjoni mal-Istati Membri, il-kapaċitajiet ta’ rescEU li jiġu akkwistati, jinkrew, miksuba b’lokazzjoni jew inkella kkuntrattati mill-Kummissjoni jistgħu jiġu lokalizzati wkoll f’pajjiżi terzi permezz ta’ netwerks fdati ġestiti minn organizzazzjonijiet internazzjonali rilevanti.”;</w:t>
      </w:r>
    </w:p>
    <w:p>
      <w:pPr>
        <w:pStyle w:val="Point1"/>
        <w:rPr>
          <w:noProof/>
        </w:rPr>
      </w:pPr>
      <w:r>
        <w:t>(b)</w:t>
      </w:r>
      <w:r>
        <w:tab/>
      </w:r>
      <w:r>
        <w:rPr>
          <w:noProof/>
        </w:rPr>
        <w:t>Fil-paragrafu 10, l-ewwel subparagrafu għandu jinbidel b’dan li ġej:</w:t>
      </w:r>
    </w:p>
    <w:p>
      <w:pPr>
        <w:pStyle w:val="Text1"/>
        <w:rPr>
          <w:noProof/>
        </w:rPr>
      </w:pPr>
      <w:r>
        <w:rPr>
          <w:noProof/>
        </w:rPr>
        <w:t>“il-kapaċitajiet ta’ rescEU jistgħu jiġi skjerati barra mill-Unjoni skont il-paragrafi minn 6 sa 9 ta’ dan l-Artikolu.”;</w:t>
      </w:r>
    </w:p>
    <w:p>
      <w:pPr>
        <w:pStyle w:val="Point0"/>
        <w:rPr>
          <w:noProof/>
        </w:rPr>
      </w:pPr>
      <w:r>
        <w:t>(9)</w:t>
      </w:r>
      <w:r>
        <w:tab/>
      </w:r>
      <w:r>
        <w:rPr>
          <w:noProof/>
        </w:rPr>
        <w:t>Fl-Artikolu 15 (3), il-punt (b) huwa sostitwit b’dan li ġej:</w:t>
      </w:r>
    </w:p>
    <w:p>
      <w:pPr>
        <w:pStyle w:val="Text1"/>
        <w:rPr>
          <w:noProof/>
        </w:rPr>
      </w:pPr>
      <w:r>
        <w:rPr>
          <w:noProof/>
        </w:rPr>
        <w:t>“(b) tiġbor u tanalizza informazzjoni validata dwar is-sitwazzjoni, flimkien mal-Istat Membri milqut, bil-għan li tiġġenera għarfien komuni tas-sitwazzjoni, u xxerrdu fost l-Istati Membri.”;</w:t>
      </w:r>
    </w:p>
    <w:p>
      <w:pPr>
        <w:pStyle w:val="Point0"/>
        <w:rPr>
          <w:noProof/>
        </w:rPr>
      </w:pPr>
      <w:r>
        <w:t>(10)</w:t>
      </w:r>
      <w:r>
        <w:tab/>
      </w:r>
      <w:r>
        <w:rPr>
          <w:noProof/>
        </w:rPr>
        <w:t>Fl-Artikolu 17, il-paragrafi 1 u 2 jiġu sostitwiti b’dan li ġej:</w:t>
      </w:r>
    </w:p>
    <w:p>
      <w:pPr>
        <w:pStyle w:val="Text1"/>
        <w:rPr>
          <w:noProof/>
        </w:rPr>
      </w:pPr>
      <w:r>
        <w:rPr>
          <w:noProof/>
        </w:rPr>
        <w:t xml:space="preserve"> “1. Il-Kummissjoni tista’ tagħżel, taħtar u tibgħat tim ta’ esperti magħmul minn esperti pprovduti mill-Istati Membri:</w:t>
      </w:r>
    </w:p>
    <w:p>
      <w:pPr>
        <w:pStyle w:val="Point1"/>
        <w:rPr>
          <w:noProof/>
        </w:rPr>
      </w:pPr>
      <w:r>
        <w:t>(a)</w:t>
      </w:r>
      <w:r>
        <w:tab/>
      </w:r>
      <w:r>
        <w:rPr>
          <w:noProof/>
        </w:rPr>
        <w:t>fuq talba għal kompetenza esperta fil-prevenzjoni b’konformità mal-Artikolu 5(2);</w:t>
      </w:r>
    </w:p>
    <w:p>
      <w:pPr>
        <w:pStyle w:val="Point1"/>
        <w:rPr>
          <w:noProof/>
        </w:rPr>
      </w:pPr>
      <w:r>
        <w:t>(b)</w:t>
      </w:r>
      <w:r>
        <w:tab/>
      </w:r>
      <w:r>
        <w:rPr>
          <w:noProof/>
        </w:rPr>
        <w:t>fuq talba għal kompetenza esperta fit-tħejjija b’konformità mal-Artikolu 13(3);</w:t>
      </w:r>
    </w:p>
    <w:p>
      <w:pPr>
        <w:pStyle w:val="Point1"/>
        <w:rPr>
          <w:noProof/>
        </w:rPr>
      </w:pPr>
      <w:r>
        <w:t>(c)</w:t>
      </w:r>
      <w:r>
        <w:tab/>
      </w:r>
      <w:r>
        <w:rPr>
          <w:noProof/>
        </w:rPr>
        <w:t>fil-każ ta’ diżastru ġewwa l-Unjoni kif imsemmi fl-Artikolu 15(5);</w:t>
      </w:r>
    </w:p>
    <w:p>
      <w:pPr>
        <w:pStyle w:val="Point1"/>
        <w:rPr>
          <w:noProof/>
        </w:rPr>
      </w:pPr>
      <w:r>
        <w:t>(d)</w:t>
      </w:r>
      <w:r>
        <w:tab/>
      </w:r>
      <w:r>
        <w:rPr>
          <w:noProof/>
        </w:rPr>
        <w:t>fil-każ ta’ diżastru barra l-Unjoni kif imsemmi fl-Artikolu 16(3);</w:t>
      </w:r>
    </w:p>
    <w:p>
      <w:pPr>
        <w:pStyle w:val="Text1"/>
        <w:rPr>
          <w:noProof/>
        </w:rPr>
      </w:pPr>
      <w:r>
        <w:rPr>
          <w:noProof/>
        </w:rPr>
        <w:t>Fit-tim jistgħu jiġu integrati esperti mill-Kummissjoni u minn servizzi oħra tal-Unjoni sabiex jappoġġaw lit-tim u jiffaċilitaw il-kuntatti mal-ERCC. Fit-tim jistgħu jiġu integrati esperti mibgħuta mill-aġenziji tan-NU jew minn organizzazzjonijiet internazzjonali oħra sabiex isaħħu l-kooperazzjoni u jiffaċilitaw valutazzjonijiet konġunti.</w:t>
      </w:r>
    </w:p>
    <w:p>
      <w:pPr>
        <w:pStyle w:val="Text1"/>
        <w:rPr>
          <w:rFonts w:cs="Calibri"/>
          <w:noProof/>
        </w:rPr>
      </w:pPr>
      <w:r>
        <w:rPr>
          <w:noProof/>
        </w:rPr>
        <w:t xml:space="preserve">Fejn l-effettività operazzjonali tkun tirrikjedih, il-Kummissjoni tista’ tiffaċilita l-iskjerament ta’ esperti addizzjonali u </w:t>
      </w:r>
      <w:r>
        <w:rPr>
          <w:noProof/>
          <w:color w:val="000000" w:themeColor="text1"/>
        </w:rPr>
        <w:t>appoġġ tekniku u xjentifiku</w:t>
      </w:r>
      <w:r>
        <w:rPr>
          <w:noProof/>
        </w:rPr>
        <w:t xml:space="preserve"> u ssejjaħ għarfien xjentifiku speċjalist espert kif ukoll għarfien espert settorjali u f’emerġenzi mediċi.</w:t>
      </w:r>
    </w:p>
    <w:p>
      <w:pPr>
        <w:pStyle w:val="Text1"/>
        <w:rPr>
          <w:noProof/>
        </w:rPr>
      </w:pPr>
      <w:r>
        <w:rPr>
          <w:noProof/>
        </w:rPr>
        <w:t xml:space="preserve"> 2. Il-proċedura għall-għażla u għall-ħatra ta’ esperti għandha tkun kif ġej:</w:t>
      </w:r>
    </w:p>
    <w:p>
      <w:pPr>
        <w:pStyle w:val="Point1"/>
        <w:rPr>
          <w:noProof/>
        </w:rPr>
      </w:pPr>
      <w:r>
        <w:t>(a)</w:t>
      </w:r>
      <w:r>
        <w:tab/>
      </w:r>
      <w:r>
        <w:rPr>
          <w:noProof/>
        </w:rPr>
        <w:t>L-Istati Membri għandhom jaħtru esperti, li jkun fir-responsabbiltà tagħhom, li jkunu jistgħu jiġu skjerati bħala membri ta’ timijiet ta’ esperti;</w:t>
      </w:r>
    </w:p>
    <w:p>
      <w:pPr>
        <w:pStyle w:val="Point1"/>
        <w:rPr>
          <w:noProof/>
        </w:rPr>
      </w:pPr>
      <w:r>
        <w:t>(b)</w:t>
      </w:r>
      <w:r>
        <w:tab/>
      </w:r>
      <w:r>
        <w:rPr>
          <w:noProof/>
        </w:rPr>
        <w:t xml:space="preserve">il-Kummissjoni għandha tagħżel l-esperti u l-mexxej għal dawk it-timijiet fuq il-bażi tal-kwalifiki u l-esperjenza tagħhom, inkluż il-livell tat-taħriġ dwar il-Mekkaniżmu tal-Unjoni mwettaq, l-esperjenza preċedenti ta’ missjonijiet taħt il-Mekkaniżmu tal-Unjoni u ħidma oħra internazzjonali ta’ sokkors. l-għażla </w:t>
      </w:r>
      <w:r>
        <w:rPr>
          <w:noProof/>
        </w:rPr>
        <w:lastRenderedPageBreak/>
        <w:t xml:space="preserve">għandha tkun ibbażata wkoll fuq kriterji oħra, inklużi l-ħiliet lingwistiċi, biex ikun żgurat li t-tim fl-intier tiegħu jkollu l-ħiliet disponibbli meħtieġa għas-sitwazzjoni speċifika; </w:t>
      </w:r>
    </w:p>
    <w:p>
      <w:pPr>
        <w:pStyle w:val="Point1"/>
        <w:rPr>
          <w:noProof/>
        </w:rPr>
      </w:pPr>
      <w:r>
        <w:t>(c)</w:t>
      </w:r>
      <w:r>
        <w:tab/>
      </w:r>
      <w:r>
        <w:rPr>
          <w:noProof/>
        </w:rPr>
        <w:t>il-Kummissjoni għandha taħtar esperti u mexxejja tat-tim għall-missjoni bi qbil mal-Istat Membru li jinnominahom.</w:t>
      </w:r>
    </w:p>
    <w:p>
      <w:pPr>
        <w:pStyle w:val="Text1"/>
        <w:rPr>
          <w:noProof/>
        </w:rPr>
      </w:pPr>
      <w:r>
        <w:rPr>
          <w:noProof/>
        </w:rPr>
        <w:t>Il-Kummissjoni għandha tinnotifika lill-Istati Membri dwar appoġġ espert addizzjonali li jingħata b’konformità mal-paragrafu 1.”;</w:t>
      </w:r>
    </w:p>
    <w:p>
      <w:pPr>
        <w:pStyle w:val="Point0"/>
        <w:rPr>
          <w:noProof/>
        </w:rPr>
      </w:pPr>
      <w:r>
        <w:t>(11)</w:t>
      </w:r>
      <w:r>
        <w:tab/>
      </w:r>
      <w:r>
        <w:rPr>
          <w:noProof/>
        </w:rPr>
        <w:t xml:space="preserve">L-Artikolu 18 jiġi sostitwit b’dan li ġej: </w:t>
      </w:r>
    </w:p>
    <w:p>
      <w:pPr>
        <w:pStyle w:val="Text1"/>
        <w:rPr>
          <w:noProof/>
        </w:rPr>
      </w:pPr>
      <w:r>
        <w:rPr>
          <w:noProof/>
        </w:rPr>
        <w:t>“Artikolu 18</w:t>
      </w:r>
    </w:p>
    <w:p>
      <w:pPr>
        <w:pStyle w:val="Text1"/>
        <w:rPr>
          <w:b/>
          <w:noProof/>
        </w:rPr>
      </w:pPr>
      <w:r>
        <w:rPr>
          <w:b/>
          <w:noProof/>
        </w:rPr>
        <w:t>Trasport u tagħmir</w:t>
      </w:r>
    </w:p>
    <w:p>
      <w:pPr>
        <w:pStyle w:val="Text1"/>
        <w:rPr>
          <w:noProof/>
        </w:rPr>
      </w:pPr>
      <w:r>
        <w:rPr>
          <w:noProof/>
        </w:rPr>
        <w:t xml:space="preserve">1. Fil-każ ta’ diżastru, kemm ġewwa kif ukoll barra l-Unjoni, l-Kummissjoni tista’ tappoġġa lill-Istati Membri fil-kisba ta’ aċċess għal tagħmir jew riżorsi loġistiċi u tat-trasport billi: </w:t>
      </w:r>
    </w:p>
    <w:p>
      <w:pPr>
        <w:pStyle w:val="Text1"/>
        <w:rPr>
          <w:noProof/>
        </w:rPr>
      </w:pPr>
      <w:r>
        <w:rPr>
          <w:noProof/>
        </w:rPr>
        <w:t xml:space="preserve">(a) tipprovdi u tikkondividi informazzjoni dwar it-tagħmir, u r-riżorsi loġistiċi u tat-trasport li jistgħu jsiru disponibbli mill-Istati Membri, bil-ħsieb li jiġi ffaċilitat il-ġbir flimkien ta’ tali tagħmir jew riżorsi loġistiċi u tat-trasport; </w:t>
      </w:r>
    </w:p>
    <w:p>
      <w:pPr>
        <w:pStyle w:val="Text1"/>
        <w:rPr>
          <w:noProof/>
        </w:rPr>
      </w:pPr>
      <w:r>
        <w:rPr>
          <w:noProof/>
        </w:rPr>
        <w:t xml:space="preserve">(b) tgħin lill-Istati Membri biex jidentifikaw, u biex jiffaċilitaw l-aċċess tagħhom għal riżorsi loġistiċi u tat-trasport li jistgħu jkunu disponibbli minn sorsi oħrajn, inkluż is-suq kummerċjali; jew </w:t>
      </w:r>
    </w:p>
    <w:p>
      <w:pPr>
        <w:pStyle w:val="Text1"/>
        <w:rPr>
          <w:noProof/>
        </w:rPr>
      </w:pPr>
      <w:r>
        <w:rPr>
          <w:noProof/>
        </w:rPr>
        <w:t xml:space="preserve">(c) tgħin lill-Istati Membri biex jidentifikaw tagħmir li jista’ jkun disponibbli minn sorsi oħrajn, inkluż is-suq kummerċjali. </w:t>
      </w:r>
    </w:p>
    <w:p>
      <w:pPr>
        <w:pStyle w:val="Text1"/>
        <w:rPr>
          <w:noProof/>
        </w:rPr>
      </w:pPr>
      <w:r>
        <w:rPr>
          <w:noProof/>
        </w:rPr>
        <w:t>2. Il-Kummissjoni tista’ tikkomplementa r-riżorsi loġistiċi u tat-trasport ipprovduti mill-Istati Membri billi tipprovdi r-riżorsi addizzjonali tat-trasport meħtieġa biex tiġi żgurata reazzjoni rapida għad-diżastri.</w:t>
      </w:r>
    </w:p>
    <w:p>
      <w:pPr>
        <w:pStyle w:val="Text1"/>
        <w:rPr>
          <w:noProof/>
        </w:rPr>
      </w:pPr>
      <w:r>
        <w:rPr>
          <w:noProof/>
        </w:rPr>
        <w:t>3. L-assistenza mitluba minn Stat Membru jew minn pajjiż terz tista’ tikkonsisti biss minn riżorsi loġistiċi u tat-trasport sabiex tirrispondi għal diżastri bi provvisti ta’ sokkors jew tagħmir akkwistat f’pajjiż terz mill-Istat Membru rikjedenti jew mill-pajjiż.”;</w:t>
      </w:r>
    </w:p>
    <w:p>
      <w:pPr>
        <w:pStyle w:val="Point0"/>
        <w:rPr>
          <w:noProof/>
        </w:rPr>
      </w:pPr>
      <w:r>
        <w:t>(12)</w:t>
      </w:r>
      <w:r>
        <w:tab/>
      </w:r>
      <w:r>
        <w:rPr>
          <w:noProof/>
        </w:rPr>
        <w:t>L-Artikolu 19 huwa emendat kif ġej:</w:t>
      </w:r>
    </w:p>
    <w:p>
      <w:pPr>
        <w:pStyle w:val="Point1"/>
        <w:rPr>
          <w:noProof/>
        </w:rPr>
      </w:pPr>
      <w:r>
        <w:t>(a)</w:t>
      </w:r>
      <w:r>
        <w:tab/>
      </w:r>
      <w:r>
        <w:rPr>
          <w:noProof/>
        </w:rPr>
        <w:t xml:space="preserve">jiddaħħal il-paragrafu li ġej: </w:t>
      </w:r>
    </w:p>
    <w:p>
      <w:pPr>
        <w:pStyle w:val="Text1"/>
        <w:rPr>
          <w:noProof/>
        </w:rPr>
      </w:pPr>
      <w:r>
        <w:rPr>
          <w:noProof/>
        </w:rPr>
        <w:t xml:space="preserve">“1a. Il-pakkett finanzjarju għall-implimentazzjoni tal-Mekkaniżmu tal-Unjoni għall-perijodu mill-2021 sal-2027 għandu jkun ta’ EUR 1 268 282 000 fi prezzijiet attwali. </w:t>
      </w:r>
    </w:p>
    <w:p>
      <w:pPr>
        <w:pStyle w:val="Point1"/>
        <w:rPr>
          <w:noProof/>
        </w:rPr>
      </w:pPr>
      <w:r>
        <w:t>(b)</w:t>
      </w:r>
      <w:r>
        <w:tab/>
      </w:r>
      <w:r>
        <w:rPr>
          <w:noProof/>
        </w:rPr>
        <w:t>Il-paragrafu 2 huwa sostitwit b’dan li ġej:</w:t>
      </w:r>
    </w:p>
    <w:p>
      <w:pPr>
        <w:pStyle w:val="Text1"/>
        <w:rPr>
          <w:noProof/>
        </w:rPr>
      </w:pPr>
      <w:r>
        <w:rPr>
          <w:noProof/>
        </w:rPr>
        <w:t>“2. Approprjazzjonijiet li jirriżultaw mir-rimborż magħmul mill-benefiċjarji għal azzjonijiet ta’ reazzjoni għad-diżastri għandhom jikkostitwixxu dħul assenjat fis-sens tal-Artikolu 21(5) tar-Regolament Finanzjarju.”;</w:t>
      </w:r>
    </w:p>
    <w:p>
      <w:pPr>
        <w:pStyle w:val="Point1"/>
        <w:rPr>
          <w:noProof/>
        </w:rPr>
      </w:pPr>
      <w:r>
        <w:t>(c)</w:t>
      </w:r>
      <w:r>
        <w:tab/>
      </w:r>
      <w:r>
        <w:rPr>
          <w:noProof/>
        </w:rPr>
        <w:t>Il-paragrafu 4 huwa sostitwit b’dan li ġej:</w:t>
      </w:r>
    </w:p>
    <w:p>
      <w:pPr>
        <w:pStyle w:val="Text1"/>
        <w:rPr>
          <w:noProof/>
        </w:rPr>
      </w:pPr>
      <w:r>
        <w:rPr>
          <w:noProof/>
        </w:rPr>
        <w:t>“4. Il-pakkett finanzjarju msemmi fil-paragrafi 1 u 1a għandu jkun allokat biex ikopri azzjonijiet dwar il-prevenzjoni, it-tħejjija u r-reazzjoni għal diżastri naturali u dawk ikkawżati mill-bniedem.”;</w:t>
      </w:r>
    </w:p>
    <w:p>
      <w:pPr>
        <w:pStyle w:val="Point1"/>
        <w:rPr>
          <w:noProof/>
        </w:rPr>
      </w:pPr>
      <w:r>
        <w:t>(d)</w:t>
      </w:r>
      <w:r>
        <w:tab/>
      </w:r>
      <w:r>
        <w:rPr>
          <w:noProof/>
        </w:rPr>
        <w:t>Il-paragrafi 5 u 6 jitħassru.</w:t>
      </w:r>
    </w:p>
    <w:p>
      <w:pPr>
        <w:pStyle w:val="Point0"/>
        <w:rPr>
          <w:noProof/>
        </w:rPr>
      </w:pPr>
      <w:r>
        <w:t>(13)</w:t>
      </w:r>
      <w:r>
        <w:tab/>
      </w:r>
      <w:r>
        <w:rPr>
          <w:noProof/>
        </w:rPr>
        <w:t>Jiddaħħal l-Artikolu li ġej:</w:t>
      </w:r>
    </w:p>
    <w:p>
      <w:pPr>
        <w:pStyle w:val="Text1"/>
        <w:rPr>
          <w:noProof/>
        </w:rPr>
      </w:pPr>
      <w:r>
        <w:rPr>
          <w:noProof/>
        </w:rPr>
        <w:lastRenderedPageBreak/>
        <w:t>“Artikolu 19 a</w:t>
      </w:r>
    </w:p>
    <w:p>
      <w:pPr>
        <w:pStyle w:val="Text1"/>
        <w:rPr>
          <w:b/>
          <w:noProof/>
        </w:rPr>
      </w:pPr>
      <w:r>
        <w:rPr>
          <w:b/>
          <w:noProof/>
        </w:rPr>
        <w:t xml:space="preserve">Riżorsi mill-Istrument ta’ Rkupru Ewropew </w:t>
      </w:r>
    </w:p>
    <w:p>
      <w:pPr>
        <w:pStyle w:val="Text1"/>
        <w:rPr>
          <w:noProof/>
        </w:rPr>
      </w:pPr>
      <w:r>
        <w:rPr>
          <w:noProof/>
        </w:rPr>
        <w:t>Il-miżuri msemmija fl-Artikolu 2 tar-Regolament [ERI] għandhom jiġu implimentati skont din id-Deċiżjoni permezz tal-ammonti msemmija fil-punt (iv) tal-Artikolu 3(2)(a) ta’ dan ir-Regolament, soġġetti għall-Artikolu 4(4) u (8) tiegħu.</w:t>
      </w:r>
    </w:p>
    <w:p>
      <w:pPr>
        <w:pStyle w:val="Text1"/>
        <w:rPr>
          <w:noProof/>
        </w:rPr>
      </w:pPr>
      <w:r>
        <w:rPr>
          <w:noProof/>
        </w:rPr>
        <w:t>Dawn l-ammonti għandhom jikkostitwixxu dħul assenjat estern f’konformità mal-Artikolu 21(5) tar-Regolament (UE, Euratom) 2018/1046 tal-Parlament Ewropew u tal-Kunsill.”;</w:t>
      </w:r>
    </w:p>
    <w:p>
      <w:pPr>
        <w:pStyle w:val="Point0"/>
        <w:rPr>
          <w:noProof/>
        </w:rPr>
      </w:pPr>
      <w:r>
        <w:t>(14)</w:t>
      </w:r>
      <w:r>
        <w:tab/>
      </w:r>
      <w:r>
        <w:rPr>
          <w:noProof/>
        </w:rPr>
        <w:t>L-Artikolu 20 a huwa sostitwit b’dan li ġej:</w:t>
      </w:r>
    </w:p>
    <w:p>
      <w:pPr>
        <w:pStyle w:val="Text1"/>
        <w:rPr>
          <w:noProof/>
        </w:rPr>
      </w:pPr>
      <w:r>
        <w:rPr>
          <w:noProof/>
        </w:rPr>
        <w:t>“Artikolu 20a</w:t>
      </w:r>
    </w:p>
    <w:p>
      <w:pPr>
        <w:pStyle w:val="Text1"/>
        <w:rPr>
          <w:noProof/>
        </w:rPr>
      </w:pPr>
      <w:r>
        <w:rPr>
          <w:b/>
          <w:noProof/>
        </w:rPr>
        <w:t>Viżibbiltà u għotjiet</w:t>
      </w:r>
    </w:p>
    <w:p>
      <w:pPr>
        <w:pStyle w:val="Text1"/>
        <w:rPr>
          <w:noProof/>
        </w:rPr>
      </w:pPr>
      <w:r>
        <w:rPr>
          <w:noProof/>
        </w:rPr>
        <w:t>1Ir-riċevituri tal-finanzjament tal-Unjoni, kif ukoll il-benefiċjarji tal-għajnuna mogħtija, għandhom jirrikonoxxu l-oriġini u jiżguraw il-viżibbiltà tal-finanzjament tal-Unjoni, (b’mod partikolari meta jippromwovu l-azzjonijiet u r-riżultati tagħhom) billi jipprovdu informazzjoni mmirata koerenti, effettiva u proporzjonata lil diversi udjenzi, inkluż lill-midja u lill-pubbliku.</w:t>
      </w:r>
    </w:p>
    <w:p>
      <w:pPr>
        <w:pStyle w:val="Text1"/>
        <w:rPr>
          <w:noProof/>
        </w:rPr>
      </w:pPr>
      <w:r>
        <w:rPr>
          <w:noProof/>
        </w:rPr>
        <w:t xml:space="preserve">Kwull assistenza jew finanzjament ipprovduti skont din id-Deċiżjoni għandhom jingħataw viżibilità xierqa. B’mod partikolari, l-Istati Membri għandhom jiżguraw li l-komunikazzjoni pubblika għal operazzjonijiet iffinanzjati taħt il-Mekkaniżmu tal-Unjoni: </w:t>
      </w:r>
    </w:p>
    <w:p>
      <w:pPr>
        <w:pStyle w:val="Text1"/>
        <w:rPr>
          <w:noProof/>
        </w:rPr>
      </w:pPr>
      <w:r>
        <w:rPr>
          <w:noProof/>
        </w:rPr>
        <w:t>-</w:t>
      </w:r>
      <w:r>
        <w:rPr>
          <w:noProof/>
        </w:rPr>
        <w:tab/>
        <w:t>jinkludu referenzi xierqa għall-Mekkaniżmu tal-Unjoni;</w:t>
      </w:r>
    </w:p>
    <w:p>
      <w:pPr>
        <w:pStyle w:val="Text1"/>
        <w:rPr>
          <w:noProof/>
        </w:rPr>
      </w:pPr>
      <w:r>
        <w:rPr>
          <w:noProof/>
        </w:rPr>
        <w:t>-</w:t>
      </w:r>
      <w:r>
        <w:rPr>
          <w:noProof/>
        </w:rPr>
        <w:tab/>
        <w:t>jipprovdu mmarkar viżiv fuq il-kapaċitajiet iffinanzjati jew kofinanzjati mill-Mekkaniżmu tal-Unjoni;</w:t>
      </w:r>
    </w:p>
    <w:p>
      <w:pPr>
        <w:pStyle w:val="Text1"/>
        <w:rPr>
          <w:noProof/>
        </w:rPr>
      </w:pPr>
      <w:r>
        <w:rPr>
          <w:noProof/>
        </w:rPr>
        <w:t>-</w:t>
      </w:r>
      <w:r>
        <w:rPr>
          <w:noProof/>
        </w:rPr>
        <w:tab/>
        <w:t>iwettqu azzjonijiet bl-emblema tal-Unjoni;</w:t>
      </w:r>
    </w:p>
    <w:p>
      <w:pPr>
        <w:pStyle w:val="Text1"/>
        <w:rPr>
          <w:noProof/>
        </w:rPr>
      </w:pPr>
      <w:r>
        <w:rPr>
          <w:noProof/>
        </w:rPr>
        <w:t>-</w:t>
      </w:r>
      <w:r>
        <w:rPr>
          <w:noProof/>
        </w:rPr>
        <w:tab/>
        <w:t xml:space="preserve">jikkomunikaw b’mod proattiv l-appoġġ tal-Unjoni lill-midja nazzjonali u lill-partijiet ikkonċernati kif ukoll dwar il-mezzi ta’ komunikazzjoni tagħhom stess; </w:t>
      </w:r>
    </w:p>
    <w:p>
      <w:pPr>
        <w:pStyle w:val="Text1"/>
        <w:rPr>
          <w:noProof/>
        </w:rPr>
      </w:pPr>
      <w:r>
        <w:rPr>
          <w:noProof/>
        </w:rPr>
        <w:t>-</w:t>
      </w:r>
      <w:r>
        <w:rPr>
          <w:noProof/>
        </w:rPr>
        <w:tab/>
        <w:t>jappoġġaw l-azzjonijiet ta’ komunikazzjoni tal-Kummissjoni dwar l-operazzjonijiet.</w:t>
      </w:r>
    </w:p>
    <w:p>
      <w:pPr>
        <w:pStyle w:val="Text1"/>
        <w:rPr>
          <w:noProof/>
        </w:rPr>
      </w:pPr>
      <w:r>
        <w:rPr>
          <w:noProof/>
        </w:rPr>
        <w:t>2. Il-Kummissjoni għandha timplimenta azzjonijiet ta’ informazzjoni u ta’ komunikazzjoni relatati ma’ din id-Deċiżjoni, u l-azzjonijiet u r-riżultati tagħha. Ir-riżorsi finanzjarji allokati għal din id-Deċiżjoni għandhom jikkontribwixxu wkoll għall-komunikazzjoni korporattiva tal-prijoritajiet politiċi tal-Unjoni, sakemm dawn ikunu relatati mal-objettivi msemmija fl-Artikolu 3(1).</w:t>
      </w:r>
    </w:p>
    <w:p>
      <w:pPr>
        <w:pStyle w:val="Text1"/>
        <w:rPr>
          <w:noProof/>
        </w:rPr>
      </w:pPr>
      <w:r>
        <w:rPr>
          <w:noProof/>
        </w:rPr>
        <w:t>3. Il-Kummissjoni għandha tagħti medalji sabiex tirrikonoxxi u tonora impenji u kontributi straordinarji dejjiema lill-Mekkaniżmu tal-Unjoni.”;</w:t>
      </w:r>
    </w:p>
    <w:p>
      <w:pPr>
        <w:pStyle w:val="Point0"/>
        <w:rPr>
          <w:noProof/>
        </w:rPr>
      </w:pPr>
      <w:r>
        <w:t>(15)</w:t>
      </w:r>
      <w:r>
        <w:tab/>
      </w:r>
      <w:r>
        <w:rPr>
          <w:noProof/>
        </w:rPr>
        <w:t>L-Artikolu 21 huwa emendat kif ġej:</w:t>
      </w:r>
    </w:p>
    <w:p>
      <w:pPr>
        <w:pStyle w:val="Point1"/>
        <w:rPr>
          <w:noProof/>
        </w:rPr>
      </w:pPr>
      <w:r>
        <w:t>(a)</w:t>
      </w:r>
      <w:r>
        <w:tab/>
      </w:r>
      <w:r>
        <w:rPr>
          <w:noProof/>
        </w:rPr>
        <w:t>Fil-paragrafu 1, il-punt (g) huwa sostitwit b’dan li ġej:</w:t>
      </w:r>
    </w:p>
    <w:p>
      <w:pPr>
        <w:pStyle w:val="Text1"/>
        <w:rPr>
          <w:noProof/>
        </w:rPr>
      </w:pPr>
      <w:r>
        <w:rPr>
          <w:noProof/>
        </w:rPr>
        <w:t xml:space="preserve">“(g) </w:t>
      </w:r>
      <w:r>
        <w:rPr>
          <w:noProof/>
          <w:color w:val="000000" w:themeColor="text1"/>
        </w:rPr>
        <w:t>l-iżvilupp ta’ ppjanar tar-reżiljenza</w:t>
      </w:r>
      <w:r>
        <w:rPr>
          <w:noProof/>
        </w:rPr>
        <w:t xml:space="preserve"> skont il-Mekkaniżmu tal-Unjoni, kif imsemmi fl-Artikolu 10.”;</w:t>
      </w:r>
    </w:p>
    <w:p>
      <w:pPr>
        <w:pStyle w:val="Point1"/>
        <w:rPr>
          <w:noProof/>
        </w:rPr>
      </w:pPr>
      <w:r>
        <w:t>(b)</w:t>
      </w:r>
      <w:r>
        <w:tab/>
      </w:r>
      <w:r>
        <w:rPr>
          <w:noProof/>
        </w:rPr>
        <w:t>Il-paragrafu 3 huwa sostitwit b’dan li ġej:</w:t>
      </w:r>
    </w:p>
    <w:p>
      <w:pPr>
        <w:pStyle w:val="Text1"/>
        <w:rPr>
          <w:noProof/>
        </w:rPr>
      </w:pPr>
      <w:r>
        <w:rPr>
          <w:noProof/>
        </w:rPr>
        <w:t>“3. L-assistenza finanzjarja għall-azzjoni msemmija fil-punt (j) tal-paragrafu 1 għandha tkopri l-ispejjeż meħtieġa biex ikunu żgurati d-disponibbiltà u l-</w:t>
      </w:r>
      <w:r>
        <w:rPr>
          <w:noProof/>
        </w:rPr>
        <w:lastRenderedPageBreak/>
        <w:t>istazzjonabbiltà tal-kapaċitajiet tar-rescEU permezz tal-Mekkaniżmu tal-Unjoni f’konformità mat-tieni subparagrafu ta’ dan il-paragrafu. Il-kategoriji tal-ispejjeż eliġibbli meħtieġa biex jiżguraw id-disponibbiltà u l-istazzjonament tal-kapaċitajiet tar-rescEU għandhom ikunu kif stabbilit fl-Anness Ia.</w:t>
      </w:r>
    </w:p>
    <w:p>
      <w:pPr>
        <w:pStyle w:val="Text1"/>
        <w:rPr>
          <w:noProof/>
          <w:highlight w:val="yellow"/>
        </w:rPr>
      </w:pPr>
      <w:r>
        <w:rPr>
          <w:noProof/>
        </w:rPr>
        <w:t>Il-Kummissjoni hija mogħtija s-setgħa li tadotta atti delegati f’konformità mal-Artikolu 30 biex jiġi emendat l-Anness Ia fir-rigward tal-kategoriji ta’ spejjeż eliġibbli.</w:t>
      </w:r>
    </w:p>
    <w:p>
      <w:pPr>
        <w:pStyle w:val="Text1"/>
        <w:rPr>
          <w:noProof/>
        </w:rPr>
      </w:pPr>
      <w:r>
        <w:rPr>
          <w:noProof/>
        </w:rPr>
        <w:t>L-assistenza finanzjarja msemmija f’dan il-paragrafu tista’ tiġi implimentata permezz ta’ programmi ta’ ħidma pluriennali. Għal azzjonijiet li jestendu lil hinn minn sena waħda, l-impenji baġitarji jistgħu jinqasmu f’pagamenti annwali.”;</w:t>
      </w:r>
    </w:p>
    <w:p>
      <w:pPr>
        <w:pStyle w:val="Point1"/>
        <w:rPr>
          <w:noProof/>
        </w:rPr>
      </w:pPr>
      <w:r>
        <w:t>(c)</w:t>
      </w:r>
      <w:r>
        <w:tab/>
      </w:r>
      <w:r>
        <w:rPr>
          <w:noProof/>
        </w:rPr>
        <w:t>jitħassar il-paragrafu 4.</w:t>
      </w:r>
    </w:p>
    <w:p>
      <w:pPr>
        <w:pStyle w:val="Point0"/>
        <w:rPr>
          <w:noProof/>
        </w:rPr>
      </w:pPr>
      <w:r>
        <w:t>(16)</w:t>
      </w:r>
      <w:r>
        <w:tab/>
      </w:r>
      <w:r>
        <w:rPr>
          <w:noProof/>
        </w:rPr>
        <w:t xml:space="preserve">Fl-Artikolu 22, il-punt (b) huwa sostitwit b’dan li ġej: </w:t>
      </w:r>
    </w:p>
    <w:p>
      <w:pPr>
        <w:pStyle w:val="Text1"/>
        <w:rPr>
          <w:noProof/>
        </w:rPr>
      </w:pPr>
      <w:r>
        <w:rPr>
          <w:noProof/>
        </w:rPr>
        <w:t>“(b) fl-eventwalità ta’ diżastru, l-appoġġ lill-Istati Membri fil-kisba ta’ aċċess għal tagħmir u riżorsi loġistiċi u tat-trasport kif speċifikat fl-Artikolu 23;”;</w:t>
      </w:r>
    </w:p>
    <w:p>
      <w:pPr>
        <w:pStyle w:val="Point0"/>
        <w:rPr>
          <w:noProof/>
        </w:rPr>
      </w:pPr>
      <w:r>
        <w:t>(17)</w:t>
      </w:r>
      <w:r>
        <w:tab/>
      </w:r>
      <w:r>
        <w:rPr>
          <w:noProof/>
        </w:rPr>
        <w:t xml:space="preserve">l-Artikolu 23 huwa sostitwit b’dan li ġej: </w:t>
      </w:r>
    </w:p>
    <w:p>
      <w:pPr>
        <w:rPr>
          <w:noProof/>
          <w:szCs w:val="24"/>
        </w:rPr>
      </w:pPr>
      <w:r>
        <w:rPr>
          <w:noProof/>
        </w:rPr>
        <w:t>“Artikolu 23</w:t>
      </w:r>
    </w:p>
    <w:p>
      <w:pPr>
        <w:rPr>
          <w:b/>
          <w:noProof/>
          <w:szCs w:val="24"/>
        </w:rPr>
      </w:pPr>
      <w:r>
        <w:rPr>
          <w:b/>
          <w:noProof/>
          <w:szCs w:val="24"/>
        </w:rPr>
        <w:t>Azzjonijiet eliġibbli marbuta mat-tagħmir u l-operazzjonijiet</w:t>
      </w:r>
    </w:p>
    <w:p>
      <w:pPr>
        <w:rPr>
          <w:noProof/>
          <w:szCs w:val="24"/>
        </w:rPr>
      </w:pPr>
      <w:r>
        <w:rPr>
          <w:noProof/>
        </w:rPr>
        <w:t>1. L-azzjonijiet li ġejjin għandhom ikunu eliġibbli għall-assistenza finanzjarja sabiex jippermettu l-aċċess għat-tagħmir u r-riżorsi loġistiċi u tat-trasport skont il-Mekkaniżmu tal-Unjoni:</w:t>
      </w:r>
    </w:p>
    <w:p>
      <w:pPr>
        <w:pStyle w:val="Point0"/>
        <w:rPr>
          <w:noProof/>
        </w:rPr>
      </w:pPr>
      <w:r>
        <w:t>(a)</w:t>
      </w:r>
      <w:r>
        <w:tab/>
      </w:r>
      <w:r>
        <w:rPr>
          <w:noProof/>
        </w:rPr>
        <w:t>l-għoti u l-kondiviżjoni ta’ informazzjoni dwar tagħmir u riżorsi loġistiċi u tat-trasport li l-Istati Membri jiddeċiedu li jagħmlu disponibbli, bil-ħsieb tal-faċilitazzjoni tal-akkomunament ta’ tali tagħmir jew riżorsi loġistiċi u tat-trasport;</w:t>
      </w:r>
    </w:p>
    <w:p>
      <w:pPr>
        <w:pStyle w:val="Point0"/>
        <w:rPr>
          <w:noProof/>
        </w:rPr>
      </w:pPr>
      <w:r>
        <w:t>(b)</w:t>
      </w:r>
      <w:r>
        <w:tab/>
      </w:r>
      <w:r>
        <w:rPr>
          <w:noProof/>
        </w:rPr>
        <w:t>l-assistenza lill-Istati Membri biex jidentifikaw, u jiffaċilitaw l-aċċess tagħhom għal riżorsi loġistiċi u tat-trasport li jistgħu jkunu disponibbli minn sorsi oħra, inkluż mis-suq kummerċjali;</w:t>
      </w:r>
    </w:p>
    <w:p>
      <w:pPr>
        <w:pStyle w:val="Point0"/>
        <w:rPr>
          <w:noProof/>
        </w:rPr>
      </w:pPr>
      <w:r>
        <w:t>(c)</w:t>
      </w:r>
      <w:r>
        <w:tab/>
      </w:r>
      <w:r>
        <w:rPr>
          <w:noProof/>
        </w:rPr>
        <w:t xml:space="preserve">għajnuna lill-Istati Membri biex jidentifikaw it-tagħmir li jista’ jkun disponibbli minn sorsi oħra, inkluż mis-suq kummerċjali; </w:t>
      </w:r>
    </w:p>
    <w:p>
      <w:pPr>
        <w:pStyle w:val="Point0"/>
        <w:rPr>
          <w:noProof/>
        </w:rPr>
      </w:pPr>
      <w:r>
        <w:t>(d)</w:t>
      </w:r>
      <w:r>
        <w:tab/>
      </w:r>
      <w:r>
        <w:rPr>
          <w:noProof/>
        </w:rPr>
        <w:t>il-finanzjament tar-riżorsi loġistiċi u tat-trasport meħtieġa biex jiżguraw reazzjoni rapida għad-diżastri. Tali azzjonijiet għandhom ikunu eliġibbli għall-appoġġ finanzjarju fil-każ biss li jintlaħqu l-kriterji li ġejjin:</w:t>
      </w:r>
    </w:p>
    <w:p>
      <w:pPr>
        <w:pStyle w:val="Point0"/>
        <w:rPr>
          <w:noProof/>
        </w:rPr>
      </w:pPr>
      <w:r>
        <w:rPr>
          <w:noProof/>
        </w:rPr>
        <w:t>(i)</w:t>
      </w:r>
      <w:r>
        <w:rPr>
          <w:noProof/>
        </w:rPr>
        <w:tab/>
        <w:t>tkun saret talba għall-għajnuna skont il-Mekkaniżmu tal-Unjoni f’konformità mal-Artikoli 15 u 16;</w:t>
      </w:r>
    </w:p>
    <w:p>
      <w:pPr>
        <w:pStyle w:val="Point0"/>
        <w:rPr>
          <w:noProof/>
        </w:rPr>
      </w:pPr>
      <w:r>
        <w:rPr>
          <w:noProof/>
        </w:rPr>
        <w:t>(ii)</w:t>
      </w:r>
      <w:r>
        <w:rPr>
          <w:noProof/>
        </w:rPr>
        <w:tab/>
        <w:t>ir-riżorsi addizzjonali tat-trasport ikunu meħtieġa sabiex tkun żgurata l-effikaċja tar-reazzjoni għad-diżastri permezz tal-Mekkaniżmu tal-Unjoni;</w:t>
      </w:r>
    </w:p>
    <w:p>
      <w:pPr>
        <w:pStyle w:val="Point0"/>
        <w:rPr>
          <w:noProof/>
        </w:rPr>
      </w:pPr>
      <w:r>
        <w:rPr>
          <w:noProof/>
        </w:rPr>
        <w:t>(iii)</w:t>
      </w:r>
      <w:r>
        <w:rPr>
          <w:noProof/>
        </w:rPr>
        <w:tab/>
        <w:t>l-għajnuna tkun tikkorrispondi mal-ħtiġijiet identifikati mill-ERCC u tingħata skont ir-rakkomandazzjonijiet mogħtija mill-ERCC dwar speċifikazzjonijiet tekniċi, kwalità, ħin u modalitajiet għall-għoti;</w:t>
      </w:r>
    </w:p>
    <w:p>
      <w:pPr>
        <w:pStyle w:val="Point0"/>
        <w:rPr>
          <w:noProof/>
        </w:rPr>
      </w:pPr>
      <w:r>
        <w:rPr>
          <w:noProof/>
        </w:rPr>
        <w:t>(iv)</w:t>
      </w:r>
      <w:r>
        <w:rPr>
          <w:noProof/>
        </w:rPr>
        <w:tab/>
        <w:t xml:space="preserve">l-għajnuna tkun ġiet aċċettata mill-pajjiż li jagħmel it-talba, direttament jew permezz tan-Nazzjonijiet Uniti jew l-aġenziji tagħha, jew organizzazzjoni internazzjonali rilevanti, permezz tal-Mekkaniżmu tal-Unjoni; </w:t>
      </w:r>
    </w:p>
    <w:p>
      <w:pPr>
        <w:pStyle w:val="Point0"/>
        <w:rPr>
          <w:noProof/>
        </w:rPr>
      </w:pPr>
      <w:r>
        <w:rPr>
          <w:noProof/>
        </w:rPr>
        <w:t>(v)</w:t>
      </w:r>
      <w:r>
        <w:rPr>
          <w:noProof/>
        </w:rPr>
        <w:tab/>
        <w:t>l-għajnuna tkun tikkomplementa, għal diżastri f’pajjiżi terzi, kwalunkwe reazzjoni umanitarja globali tal-Unjoni.</w:t>
      </w:r>
    </w:p>
    <w:p>
      <w:pPr>
        <w:rPr>
          <w:noProof/>
        </w:rPr>
      </w:pPr>
      <w:r>
        <w:rPr>
          <w:noProof/>
        </w:rPr>
        <w:lastRenderedPageBreak/>
        <w:t>1a. L-ammont ta’ assistenza finanzjarja tal-Unjoni għat-trasport ta’ kapaċitajiet li mhumiex impenjati minn qabel fir-Riżerva Ewropea ta’ Protezzjoni Ċivili u stazzjonati fil-każ ta’ diżastru jew ta’ diżastru imminenti fl-Unjoni jew barra minnha u għal kull appoġġ ta’ trasport meħtieġ bħala reazzjoni għad-diżastri ma għandux jaqbeż il-75 % tal-ispiża totali eliġibbli.</w:t>
      </w:r>
    </w:p>
    <w:p>
      <w:pPr>
        <w:rPr>
          <w:noProof/>
        </w:rPr>
      </w:pPr>
      <w:r>
        <w:rPr>
          <w:noProof/>
        </w:rPr>
        <w:t>2. L-ammont ta’ assistenza finanzjarja tal-Unjoni għal kapaċitajiet impenjati minn qabel fir-Riżerva Ewropea ta’ Protezzjoni Ċivili ma għandux jaqbeż il-75 % tal-ispejjeż tal-operat tal-kapaċitajiet, inkluż it-trasport, fil-każ ta’ diżastru jew ta’ diżastru imminenti fl-Unjoni jew barra minnha.</w:t>
      </w:r>
    </w:p>
    <w:p>
      <w:pPr>
        <w:rPr>
          <w:noProof/>
        </w:rPr>
      </w:pPr>
      <w:r>
        <w:rPr>
          <w:noProof/>
        </w:rPr>
        <w:t>4. L-assistenza finanzjarja tal-Unjoni għar-riżorsi loġistiċi u tat-trasport tista’, barra minn hekk, tkopri massimu ta’ 100 % tal-ispejjeż totali eliġibbli deskritti fil-punti minn (a) sa (d), jekk dan ikun meħtieġ biex ir-riżerva ta’ assistenza tal-Istati Membri tkun effettiva fil-livell operazzjonali u jekk l-ispejjeż jirrigwardaw waħda minn dawn li ġejjin:</w:t>
      </w:r>
    </w:p>
    <w:p>
      <w:pPr>
        <w:pStyle w:val="Point0"/>
        <w:rPr>
          <w:noProof/>
        </w:rPr>
      </w:pPr>
      <w:r>
        <w:t>(a)</w:t>
      </w:r>
      <w:r>
        <w:tab/>
      </w:r>
      <w:r>
        <w:rPr>
          <w:noProof/>
        </w:rPr>
        <w:t>il-kiri għal żmien qasir tal-kapaċità ta’ magazzinaġġ biex tinħażen temporanjament l-għajnuna mill-Istati Membri bil-ħsieb li jiġi ffaċilitat it-trasport koordinat tagħha;</w:t>
      </w:r>
    </w:p>
    <w:p>
      <w:pPr>
        <w:pStyle w:val="Point0"/>
        <w:rPr>
          <w:noProof/>
        </w:rPr>
      </w:pPr>
      <w:r>
        <w:t>(b)</w:t>
      </w:r>
      <w:r>
        <w:tab/>
      </w:r>
      <w:r>
        <w:rPr>
          <w:noProof/>
        </w:rPr>
        <w:t>it-trasport mill-Istat Membru li jkun qed joffri l-assistenza lill-Istat Membru li jkun qed jiffaċilita t-trasport koordinat tiegħu;</w:t>
      </w:r>
    </w:p>
    <w:p>
      <w:pPr>
        <w:pStyle w:val="Point0"/>
        <w:rPr>
          <w:noProof/>
        </w:rPr>
      </w:pPr>
      <w:r>
        <w:t>(c)</w:t>
      </w:r>
      <w:r>
        <w:tab/>
      </w:r>
      <w:r>
        <w:rPr>
          <w:noProof/>
        </w:rPr>
        <w:t>l-imballaġġ mill-ġdid tal-assistenza tal-Istati Membri biex isir użu massimu mill-kapaċitajiet ta’ trasport disponibbli jew biex jiġu sodisfatti rekwiżiti operazzjonali speċifiċi; jew</w:t>
      </w:r>
    </w:p>
    <w:p>
      <w:pPr>
        <w:pStyle w:val="Point0"/>
        <w:rPr>
          <w:noProof/>
        </w:rPr>
      </w:pPr>
      <w:r>
        <w:t>(d)</w:t>
      </w:r>
      <w:r>
        <w:tab/>
      </w:r>
      <w:r>
        <w:rPr>
          <w:noProof/>
        </w:rPr>
        <w:t>it-trasport lokali, it-transitu u l-magazzinaġġ tal-għajnuna f’konsorzju bil-ħsieb li jiġi żgurat l-għoti kkoordinat fid-destinazzjoni finali fil-pajjiż li jitlob l-għajnuna.</w:t>
      </w:r>
    </w:p>
    <w:p>
      <w:pPr>
        <w:pStyle w:val="Text0"/>
        <w:rPr>
          <w:noProof/>
        </w:rPr>
      </w:pPr>
      <w:r>
        <w:rPr>
          <w:noProof/>
        </w:rPr>
        <w:t>4a. Meta l-kapaċitajiet tar-rescEU jintużaw għal finijiet nazzjonali f’konformità mal-Artikolu 12(5), l-ispejjeż kollha, fosthom l-ispejjeż ta’ manutenzjoni u ta’ tiswija, għandhom ikunu koperti mill-Istat Membru li juża l-kapaċitajiet.</w:t>
      </w:r>
    </w:p>
    <w:p>
      <w:pPr>
        <w:pStyle w:val="Text0"/>
        <w:rPr>
          <w:noProof/>
        </w:rPr>
      </w:pPr>
      <w:r>
        <w:rPr>
          <w:noProof/>
        </w:rPr>
        <w:t>4b. Fil-każ ta’ stazzjonar tal-kapaċitajiet tar-rescEU permezz tal-Mekkaniżmu tal-Unjoni, l-assistenza finanzjarja tal-Unjoni għandha tkopri 75 % tal-ispejjeż operazzjonali.</w:t>
      </w:r>
    </w:p>
    <w:p>
      <w:pPr>
        <w:pStyle w:val="Text0"/>
        <w:rPr>
          <w:noProof/>
        </w:rPr>
      </w:pPr>
      <w:r>
        <w:rPr>
          <w:noProof/>
        </w:rPr>
        <w:t>Permezz ta’ deroga mill-ewwel subparagrafu, l-assistenza finanzjarja tal-Unjoni għandha tkopri 100 % tal-ispejjeż operazzjonali tal-kapaċitajiet tar-rescEU meħtieġa għal diżastri ta’ probabbiltà baxxa b’impatt qawwi, meta dawk il-kapaċitajiet ikunu stazzjonati permezz tal-Mekkaniżmu tal-Unjoni.</w:t>
      </w:r>
    </w:p>
    <w:p>
      <w:pPr>
        <w:pStyle w:val="Text0"/>
        <w:rPr>
          <w:noProof/>
        </w:rPr>
      </w:pPr>
      <w:r>
        <w:rPr>
          <w:noProof/>
        </w:rPr>
        <w:t>4c. Għall-istazzjonar barra l-Unjoni, kif imsemmi fl-Artikolu 12(10), l-assistenza finanzjarja tal-Unjoni għandha tkopri 100 % tal-ispejjeż operazzjonali.</w:t>
      </w:r>
    </w:p>
    <w:p>
      <w:pPr>
        <w:pStyle w:val="Text0"/>
        <w:rPr>
          <w:noProof/>
        </w:rPr>
      </w:pPr>
      <w:r>
        <w:rPr>
          <w:noProof/>
        </w:rPr>
        <w:t>4d. Meta l-assistenza finanzjarja tal-Unjoni msemmija f’dan l-Artikolu ma tkoprix 100 % tal-ispejjeż, l-ammont li jifdal għandu jiġġarrab minn min jitlob l-assistenza, sakemm ma jkunx intlaħaq qbil mod ieħor mal-Istat Membru li jkun offra l-assistenza jew l-Istat Membru li jospita l-kapaċitajiet tar-rescEU.</w:t>
      </w:r>
    </w:p>
    <w:p>
      <w:pPr>
        <w:pStyle w:val="Text0"/>
        <w:rPr>
          <w:noProof/>
        </w:rPr>
      </w:pPr>
      <w:r>
        <w:rPr>
          <w:noProof/>
        </w:rPr>
        <w:t>4e. Għall-istazzjonar tal-kapaċitajiet tar-rescEU, il-finanzjament tal-Unjoni jista’ jkopri 100 % ta’ kwalunkwe spiża diretta meħtieġa għat-trasport ta’ merkanzija, mezzi u servizzi loġistiċi, fl-Unjoni u lejn l-Unjoni minn pajjiżi terzi.</w:t>
      </w:r>
    </w:p>
    <w:p>
      <w:pPr>
        <w:pStyle w:val="Text0"/>
        <w:rPr>
          <w:noProof/>
        </w:rPr>
      </w:pPr>
      <w:r>
        <w:rPr>
          <w:noProof/>
        </w:rPr>
        <w:t>5. F’każ ta’ konsorzju tal-operazzjonijiet tat-trasport li jinvolvi diversi Stati Membri, Stat Membru jista’ jieħu r-riedni biex jitlob appoġġ finanzjarju tal-Unjoni għall-operazzjoni kollha.</w:t>
      </w:r>
    </w:p>
    <w:p>
      <w:pPr>
        <w:pStyle w:val="Text0"/>
        <w:rPr>
          <w:noProof/>
        </w:rPr>
      </w:pPr>
      <w:r>
        <w:rPr>
          <w:noProof/>
        </w:rPr>
        <w:lastRenderedPageBreak/>
        <w:t>6. Meta Stat Membru jitlob lill-Kummissjoni biex tikkuntratta servizzi ta’ trasport, il-Kummissjoni għandha titlob rimborż parzjali tal-ispejjeż skont ir-rati ta’ ffinanzjar stabbiliti fil-paragrafi 2, 3 u 4.</w:t>
      </w:r>
    </w:p>
    <w:p>
      <w:pPr>
        <w:pStyle w:val="Text0"/>
        <w:rPr>
          <w:noProof/>
        </w:rPr>
      </w:pPr>
      <w:r>
        <w:rPr>
          <w:noProof/>
        </w:rPr>
        <w:t>6 a. Mingħajr preġudizzju għall-paragrafi 2 u 3, l-appoġġ finanzjarju tal-Unjoni għat-trasport tal-assistenza, kif imsemmi fil-paragrafu 1a, meħtieġ f’diżastri ambjentali li fihom japplika l-prinċipju ta’ “min iniġġes iħallas” jista’ jkopri massimu ta’ 100 % tal-ispejjeż totali eliġibbli. Għandhom japplikaw il-kundizzjonijiet li ġejjin:</w:t>
      </w:r>
    </w:p>
    <w:p>
      <w:pPr>
        <w:pStyle w:val="Text0"/>
        <w:rPr>
          <w:noProof/>
        </w:rPr>
      </w:pPr>
      <w:r>
        <w:rPr>
          <w:noProof/>
        </w:rPr>
        <w:t>(a) l-assistenza tintalab mill-Istat Membru affettwat fuq il-bażi ta’ valutazzjoni debitament ġustifikata tal-ħtiġijiet;</w:t>
      </w:r>
    </w:p>
    <w:p>
      <w:pPr>
        <w:pStyle w:val="Text0"/>
        <w:rPr>
          <w:noProof/>
        </w:rPr>
      </w:pPr>
      <w:r>
        <w:rPr>
          <w:noProof/>
        </w:rPr>
        <w:t>(b) l-Istat Membru affettwat jieħu l-passi kollha meħtieġa biex jitlob u jikseb kumpens minn min iniġġes, f’konformità mad-dispożizzjonijiet legali internazzjonali, tal-Unjoni jew nazzjonali applikabbli kollha;</w:t>
      </w:r>
    </w:p>
    <w:p>
      <w:pPr>
        <w:pStyle w:val="Text0"/>
        <w:rPr>
          <w:noProof/>
        </w:rPr>
      </w:pPr>
      <w:r>
        <w:rPr>
          <w:noProof/>
        </w:rPr>
        <w:t>(c) malli jirċievi kumpens mingħand min iniġġes, l-Istat Membru affettwat għandu jirrimborża lill-Unjoni minnufih.</w:t>
      </w:r>
    </w:p>
    <w:p>
      <w:pPr>
        <w:pStyle w:val="Text0"/>
        <w:rPr>
          <w:noProof/>
        </w:rPr>
      </w:pPr>
      <w:r>
        <w:rPr>
          <w:noProof/>
        </w:rPr>
        <w:t>7. L-ispejjeż li ġejjin għandhom ikunu eliġibbli għall-appoġġ finanzjarju tal-Unjoni għar-riżorsi loġistiċi u tat-trasport taħt dan l-Artikolu: l-ispejjeż kollha relatati mal-moviment ta’ riżorsi loġistiċi u tat-trasport, inklużi l-ispejjeż ta’ kull servizz, tariffa, spiża loġistika u ta’ maniġġar, fjuwil u spejjeż possibbli għal akkomodazzjoni kif ukoll spejjeż indiretti oħra bħal taxxi, dazji ġenerali u spejjeż għat-tranżitu.</w:t>
      </w:r>
    </w:p>
    <w:p>
      <w:pPr>
        <w:pStyle w:val="Text0"/>
        <w:rPr>
          <w:noProof/>
        </w:rPr>
      </w:pPr>
      <w:r>
        <w:rPr>
          <w:noProof/>
        </w:rPr>
        <w:t>8. L-ispejjeż tat-trasport jistgħu jikkonsistu fi spejjeż għal kull unità, ammonti sħaħ jew rati fissi stabbiliti għal kull kategorija ta’ spiża.”</w:t>
      </w:r>
    </w:p>
    <w:p>
      <w:pPr>
        <w:pStyle w:val="Point0"/>
        <w:rPr>
          <w:noProof/>
        </w:rPr>
      </w:pPr>
      <w:r>
        <w:t>(18)</w:t>
      </w:r>
      <w:r>
        <w:tab/>
      </w:r>
      <w:r>
        <w:rPr>
          <w:noProof/>
        </w:rPr>
        <w:t>l-Artikolu 25 huwa sostitwit b’dan li ġej:</w:t>
      </w:r>
    </w:p>
    <w:p>
      <w:pPr>
        <w:pStyle w:val="Text1"/>
        <w:rPr>
          <w:noProof/>
        </w:rPr>
      </w:pPr>
      <w:r>
        <w:rPr>
          <w:noProof/>
        </w:rPr>
        <w:t>“Artikolu 25</w:t>
      </w:r>
    </w:p>
    <w:p>
      <w:pPr>
        <w:pStyle w:val="Text1"/>
        <w:rPr>
          <w:noProof/>
        </w:rPr>
      </w:pPr>
      <w:r>
        <w:rPr>
          <w:b/>
          <w:noProof/>
        </w:rPr>
        <w:t>Tipi ta’ intervent finanzjarju u proċeduri ta’ implimentazzjoni</w:t>
      </w:r>
    </w:p>
    <w:p>
      <w:pPr>
        <w:pStyle w:val="Point1"/>
        <w:ind w:left="850" w:firstLine="0"/>
        <w:rPr>
          <w:noProof/>
        </w:rPr>
      </w:pPr>
      <w:r>
        <w:rPr>
          <w:noProof/>
        </w:rPr>
        <w:t>1.</w:t>
      </w:r>
      <w:r>
        <w:rPr>
          <w:noProof/>
        </w:rPr>
        <w:tab/>
        <w:t>Il-Kummissjoni għandha timplimenta l-appoġġ finanzjarju tal-Unjoni f’konformità mar-Regolament Finanzjarju.</w:t>
      </w:r>
    </w:p>
    <w:p>
      <w:pPr>
        <w:pStyle w:val="Point1"/>
        <w:rPr>
          <w:noProof/>
        </w:rPr>
      </w:pPr>
      <w:r>
        <w:rPr>
          <w:noProof/>
        </w:rPr>
        <w:t>2.</w:t>
      </w:r>
      <w:r>
        <w:rPr>
          <w:noProof/>
        </w:rPr>
        <w:tab/>
        <w:t>Il-Kummissjoni għandha timplimenta l-assistenza finanzjarja tal-Unjoni f’konformità mar-Regolament Finanzjarju b’ġestjoni diretta jew b’ġestjoni indiretta flimkien ma’ korpi msemmija fl-Artikolu 62(1)(c) tar-Regolament Finanzjarju.</w:t>
      </w:r>
    </w:p>
    <w:p>
      <w:pPr>
        <w:pStyle w:val="Point1"/>
        <w:rPr>
          <w:noProof/>
        </w:rPr>
      </w:pPr>
      <w:r>
        <w:rPr>
          <w:noProof/>
        </w:rPr>
        <w:t>3.</w:t>
      </w:r>
      <w:r>
        <w:rPr>
          <w:noProof/>
        </w:rPr>
        <w:tab/>
        <w:t>L-appoġġ finanzjarju skont din id-Deċiżjoni jista’ jieħu kwalunkwe forma stabbilita fir-Regolament Finanzjarju, b’mod partikolari l-forma ta’ għotjiet, akkwist jew kontribuzzjonijiet għal fondi fiduċjarji.</w:t>
      </w:r>
    </w:p>
    <w:p>
      <w:pPr>
        <w:pStyle w:val="Point1"/>
        <w:rPr>
          <w:noProof/>
        </w:rPr>
      </w:pPr>
      <w:r>
        <w:rPr>
          <w:noProof/>
        </w:rPr>
        <w:t>4.</w:t>
      </w:r>
      <w:r>
        <w:rPr>
          <w:noProof/>
        </w:rPr>
        <w:tab/>
        <w:t>Sabiex tiġi implimentata din id-Deċiżjoni, il-Kummissjoni għandha tadotta programmi ta’ ħidma annwali jew pluriennali, permezz ta’ atti ta’ implimentazzjoni. Dawn l-atti ta’ implimentazzjoni għandhom jiġu adottati f’konformità mal-proċedura ta’ eżami msemmija fl-Artikolu 33(2). Il-programmi ta’ ħidma annwali jew pluriennali għandhom jistabbilixxu l-objettivi segwiti, ir-riżultati mistennija, il-metodu ta’ implimentazzjoni u l-ammont totali tagħhom. Dawn għandhom jinkludu wkoll deskrizzjoni tal-azzjonijiet li għandhom jiġu ffinanzjati, indikazzjoni tal-ammont allokat għal kull azzjoni u skeda indikattiva ta’ żmien ta’ implimentazzjoni. Fir-rigward tal-assistenza finanzjarja msemmija fl-Artikolu 28(2), il-programmi ta’ ħidma annwali għandhom jiddeskrivu l-azzjonijiet previsti għall-pajjiżi msemmija fihom.</w:t>
      </w:r>
    </w:p>
    <w:p>
      <w:pPr>
        <w:pStyle w:val="Text2"/>
        <w:rPr>
          <w:noProof/>
        </w:rPr>
      </w:pPr>
      <w:r>
        <w:rPr>
          <w:noProof/>
        </w:rPr>
        <w:lastRenderedPageBreak/>
        <w:t>Madankollu, l-ebda programm ta’ ħidma annwali jew pluriennali ma għandu jkun meħtieġ għal azzjonijiet li jaqgħu taħt ir-reazzjoni f’każ ta’ diżastru stabbiliti fil-Kapitolu IV, li ma jistgħux jiġu previsti minn qabel.</w:t>
      </w:r>
    </w:p>
    <w:p>
      <w:pPr>
        <w:pStyle w:val="Point1"/>
        <w:rPr>
          <w:noProof/>
        </w:rPr>
      </w:pPr>
      <w:r>
        <w:rPr>
          <w:noProof/>
        </w:rPr>
        <w:t>5.</w:t>
      </w:r>
      <w:r>
        <w:rPr>
          <w:noProof/>
        </w:rPr>
        <w:tab/>
        <w:t>Flimkien mal-Artikolu 12(4) tar-Regolament Finanzjarju , l-approprjazzjonijiet ta’ impenn u ta’ pagament, li ma jkunux intużaw sa tmiem is-sena finanzjarja li għaliha kienu ddaħħlu fil-baġit annwali għandhom awtomatikament jiġu riportati u jistgħu jiġu impenjati u mħallsa sal-31 ta’ Diċembru tas-sena ta’ wara. L-approprjazzjonijiet riportati għandhom jintużaw biss għall-azzjonijiet ta’ reazzjoni. L-ammont riportat għandu jintuża l-ewwel fis-sena finanzjarja ta’ wara.”</w:t>
      </w:r>
    </w:p>
    <w:p>
      <w:pPr>
        <w:pStyle w:val="Point0"/>
        <w:rPr>
          <w:noProof/>
        </w:rPr>
      </w:pPr>
      <w:r>
        <w:t>(19)</w:t>
      </w:r>
      <w:r>
        <w:tab/>
      </w:r>
      <w:r>
        <w:rPr>
          <w:noProof/>
        </w:rPr>
        <w:t>l-Artikolu 27 huwa sostitwit b’dan li ġej:</w:t>
      </w:r>
    </w:p>
    <w:p>
      <w:pPr>
        <w:pStyle w:val="Text1"/>
        <w:rPr>
          <w:noProof/>
        </w:rPr>
      </w:pPr>
      <w:r>
        <w:rPr>
          <w:noProof/>
        </w:rPr>
        <w:t>“Artikolu 27</w:t>
      </w:r>
    </w:p>
    <w:p>
      <w:pPr>
        <w:pStyle w:val="Text1"/>
        <w:rPr>
          <w:b/>
          <w:noProof/>
        </w:rPr>
      </w:pPr>
      <w:r>
        <w:rPr>
          <w:b/>
          <w:noProof/>
        </w:rPr>
        <w:t>Protezzjoni tal-interessi finanzjarji tal-Unjoni</w:t>
      </w:r>
    </w:p>
    <w:p>
      <w:pPr>
        <w:pStyle w:val="Text1"/>
        <w:rPr>
          <w:i/>
          <w:iCs/>
          <w:noProof/>
          <w:szCs w:val="24"/>
        </w:rPr>
      </w:pPr>
      <w:r>
        <w:rPr>
          <w:noProof/>
        </w:rPr>
        <w:t>Meta pajjiż terz jieħu sehem fil-Mekkaniżmu tal-Unjoni permezz ta’ deċiżjoni skont ftehim internazzjonali, jew bis-saħħa ta’ kwalunkwe strumenti legali ieħor, il-pajjiż terz għandu jagħti d-drittijiet neċessarji u l-aċċess meħtieġ lill-uffiċjal tal-awtorizzazzjoni responsabbli, lill-Uffiċċju Ewropew ta’ Kontra l-Frodi (OLAF), u lill-Qorti Ewropea tal-Awdituri biex jeżerċitaw b’mod komprensiv il-kompetenzi rispettivi tagħhom. Fil-każ tal-OLAF, dawn id-drittijiet għandhom jinkludu d-dritt li jitwettqu investigazzjonijiet, inklużi kontrolli u spezzjonijiet fil-post, kif previst fir-Regolament (UE, Euratom) Nru 883/2013.”</w:t>
      </w:r>
    </w:p>
    <w:p>
      <w:pPr>
        <w:pStyle w:val="Point0"/>
        <w:rPr>
          <w:noProof/>
        </w:rPr>
      </w:pPr>
      <w:r>
        <w:t>(20)</w:t>
      </w:r>
      <w:r>
        <w:tab/>
      </w:r>
      <w:r>
        <w:rPr>
          <w:noProof/>
        </w:rPr>
        <w:t>L-Artikolu 30 huwa emendat kif ġej:</w:t>
      </w:r>
    </w:p>
    <w:p>
      <w:pPr>
        <w:pStyle w:val="Point1"/>
        <w:rPr>
          <w:noProof/>
        </w:rPr>
      </w:pPr>
      <w:r>
        <w:t>(a)</w:t>
      </w:r>
      <w:r>
        <w:tab/>
      </w:r>
      <w:r>
        <w:rPr>
          <w:noProof/>
        </w:rPr>
        <w:t>Il-paragrafu 2 huwa sostitwit b’dan li ġej:</w:t>
      </w:r>
    </w:p>
    <w:p>
      <w:pPr>
        <w:pStyle w:val="Text1"/>
        <w:rPr>
          <w:noProof/>
        </w:rPr>
      </w:pPr>
      <w:r>
        <w:rPr>
          <w:noProof/>
        </w:rPr>
        <w:t>“2. Is-setgħa tal-adozzjoni tal-atti delegati msemmija fl-Artikolu 6(5) u fit-tieni subparagrafu tal-Artikolu 21(3) għandha tingħata lill-Kummissjoni sal-31 ta’ Diċembru 2027.”</w:t>
      </w:r>
    </w:p>
    <w:p>
      <w:pPr>
        <w:pStyle w:val="Point1"/>
        <w:rPr>
          <w:noProof/>
        </w:rPr>
      </w:pPr>
      <w:r>
        <w:t>(b)</w:t>
      </w:r>
      <w:r>
        <w:tab/>
      </w:r>
      <w:r>
        <w:rPr>
          <w:noProof/>
        </w:rPr>
        <w:t>Il-paragrafu 4 huwa sostitwit b’dan li ġej:</w:t>
      </w:r>
    </w:p>
    <w:p>
      <w:pPr>
        <w:pStyle w:val="Text1"/>
        <w:rPr>
          <w:noProof/>
        </w:rPr>
      </w:pPr>
      <w:r>
        <w:rPr>
          <w:noProof/>
        </w:rPr>
        <w:t>“4. Id-delega ta’ setgħa msemmija fl-Artikolu 6(5) u fit-tieni subparagrafu tal-Artikolu 21(3) tista’ tiġi rrevokata fi kwalunkwe mument mill-Parlament Ewropew jew mill-Kunsill. Deċiżjoni li tirrevoka għandha ttemm id-delega ta’ setgħa speċifikata f’din id-deċiżjoni. Din għandha ssir effettiva fil-jum wara l-pubblikazzjoni tad-Deċiżjoni f’</w:t>
      </w:r>
      <w:r>
        <w:rPr>
          <w:i/>
          <w:noProof/>
        </w:rPr>
        <w:t>Il-Ġurnal Uffiċjali tal-Unjoni Ewropea</w:t>
      </w:r>
      <w:r>
        <w:rPr>
          <w:noProof/>
        </w:rPr>
        <w:t xml:space="preserve"> jew f’data aktar tard speċifikata fih. Ma għandha taffettwa l-validità ta’ ebda att delegat li jkun diġà fis-seħħ.”</w:t>
      </w:r>
    </w:p>
    <w:p>
      <w:pPr>
        <w:pStyle w:val="Point1"/>
        <w:rPr>
          <w:noProof/>
        </w:rPr>
      </w:pPr>
      <w:r>
        <w:t>(c)</w:t>
      </w:r>
      <w:r>
        <w:tab/>
      </w:r>
      <w:r>
        <w:rPr>
          <w:noProof/>
        </w:rPr>
        <w:t>il-paragrafu 7 huwa sostitwit b’dan li ġej:</w:t>
      </w:r>
    </w:p>
    <w:p>
      <w:pPr>
        <w:pStyle w:val="Text1"/>
        <w:rPr>
          <w:noProof/>
        </w:rPr>
      </w:pPr>
      <w:r>
        <w:rPr>
          <w:noProof/>
        </w:rPr>
        <w:t>“7. Att delegat adottat f’konformità mal-Artikolu 6(5) jew mat-tieni subparagrafu tal-Artikolu 21(3) għandu jidħol fis-seħħ biss jekk ma tiġix espressa oġġezzjoni mill-Parlament Ewropew jew mill-Kunsill fi żmien xahrejn min-notifika ta’ dan l-att lill-Parlament Ewropew u lill-Kunsill jew jekk, qabel ma jiskadi dan il-perjodu, il-Parlament Ewropew u l-Kunsill ikunu t-tnejn infurmaw lill-Kummissjoni li mhumiex sejrin joġġezzjonaw. Dan il-perjodu għandu jiġi estiż b’xahrejn b’inizjattiva tal-Parlament Ewropew jew tal-Kunsill.</w:t>
      </w:r>
    </w:p>
    <w:p>
      <w:pPr>
        <w:pStyle w:val="Point0"/>
        <w:rPr>
          <w:noProof/>
        </w:rPr>
      </w:pPr>
      <w:r>
        <w:t>(21)</w:t>
      </w:r>
      <w:r>
        <w:tab/>
      </w:r>
      <w:r>
        <w:rPr>
          <w:noProof/>
        </w:rPr>
        <w:t>Fl-Artikolu 32(1), il-punt (i) huwa sostitwit b’dan li ġej:</w:t>
      </w:r>
    </w:p>
    <w:p>
      <w:pPr>
        <w:pStyle w:val="Text1"/>
        <w:rPr>
          <w:noProof/>
        </w:rPr>
      </w:pPr>
      <w:r>
        <w:rPr>
          <w:noProof/>
        </w:rPr>
        <w:lastRenderedPageBreak/>
        <w:t xml:space="preserve"> “(i) l-organizzazzjoni tal-appoġġ għat-trasport tal-assistenza, kif previst fl-Artikoli 18 u 23;”;</w:t>
      </w:r>
    </w:p>
    <w:p>
      <w:pPr>
        <w:pStyle w:val="Point0"/>
        <w:rPr>
          <w:noProof/>
        </w:rPr>
      </w:pPr>
      <w:r>
        <w:t>(22)</w:t>
      </w:r>
      <w:r>
        <w:tab/>
      </w:r>
      <w:r>
        <w:rPr>
          <w:noProof/>
        </w:rPr>
        <w:t xml:space="preserve">Fl-Artikolu 33, jiżdied il-paragrafu li ġej: </w:t>
      </w:r>
    </w:p>
    <w:p>
      <w:pPr>
        <w:pStyle w:val="Text1"/>
        <w:rPr>
          <w:noProof/>
        </w:rPr>
      </w:pPr>
      <w:r>
        <w:rPr>
          <w:noProof/>
        </w:rPr>
        <w:t>“3. Minħabba raġunijiet imperattivi ġustifikati ta’ urġenza, il-Kummissjoni għandha tadotta minnufih atti ta’ implimentazzjoni applikabbli skont il-proċedura msemmija fl-Artikolu 8 tar-Regolament (UE) Nru 182/2011”;</w:t>
      </w:r>
    </w:p>
    <w:p>
      <w:pPr>
        <w:pStyle w:val="Point0"/>
        <w:rPr>
          <w:noProof/>
        </w:rPr>
      </w:pPr>
      <w:r>
        <w:t>(23)</w:t>
      </w:r>
      <w:r>
        <w:tab/>
      </w:r>
      <w:r>
        <w:rPr>
          <w:noProof/>
        </w:rPr>
        <w:t>L-Anness I jitħassar.</w:t>
      </w:r>
    </w:p>
    <w:p>
      <w:pPr>
        <w:pStyle w:val="Point0"/>
        <w:rPr>
          <w:noProof/>
        </w:rPr>
      </w:pPr>
      <w:r>
        <w:t>(24)</w:t>
      </w:r>
      <w:r>
        <w:tab/>
      </w:r>
      <w:r>
        <w:rPr>
          <w:noProof/>
        </w:rPr>
        <w:t xml:space="preserve">It-titolu tal-Anness Ia huwa sostitwit b’dan li ġej: </w:t>
      </w:r>
    </w:p>
    <w:p>
      <w:pPr>
        <w:pStyle w:val="Text1"/>
        <w:rPr>
          <w:b/>
          <w:noProof/>
        </w:rPr>
      </w:pPr>
      <w:r>
        <w:rPr>
          <w:b/>
          <w:noProof/>
        </w:rPr>
        <w:t>“Kategoriji ta’ spejjeż eliġibbli skont l-Artikolu 21(3)”</w:t>
      </w:r>
    </w:p>
    <w:p>
      <w:pPr>
        <w:rPr>
          <w:noProof/>
        </w:rPr>
      </w:pPr>
    </w:p>
    <w:p>
      <w:pPr>
        <w:pStyle w:val="Titrearticle"/>
        <w:rPr>
          <w:noProof/>
        </w:rPr>
      </w:pPr>
      <w:r>
        <w:rPr>
          <w:noProof/>
        </w:rPr>
        <w:t>Artikolu 2</w:t>
      </w:r>
    </w:p>
    <w:p>
      <w:pPr>
        <w:pStyle w:val="Text4"/>
        <w:ind w:left="0"/>
        <w:jc w:val="center"/>
        <w:rPr>
          <w:b/>
          <w:noProof/>
        </w:rPr>
      </w:pPr>
      <w:r>
        <w:rPr>
          <w:b/>
          <w:noProof/>
        </w:rPr>
        <w:t>Dħul fis-seħħ</w:t>
      </w:r>
    </w:p>
    <w:p>
      <w:pPr>
        <w:rPr>
          <w:noProof/>
        </w:rPr>
      </w:pPr>
      <w:r>
        <w:rPr>
          <w:noProof/>
        </w:rPr>
        <w:t>Din id-Deċiżjoni għandha tidħol fis-seħħ fil-jum wara dak tal-pubblikazzjoni tagħha f’</w:t>
      </w:r>
      <w:r>
        <w:rPr>
          <w:i/>
          <w:noProof/>
        </w:rPr>
        <w:t>Il-Ġurnal Uffiċjali tal-Unjoni Ewropea</w:t>
      </w:r>
      <w:r>
        <w:rPr>
          <w:noProof/>
        </w:rPr>
        <w:t>.</w:t>
      </w:r>
    </w:p>
    <w:p>
      <w:pPr>
        <w:rPr>
          <w:noProof/>
        </w:rPr>
      </w:pPr>
      <w:r>
        <w:rPr>
          <w:noProof/>
        </w:rPr>
        <w:t>Madankollu, il-punti (a) u (c) tal-Artikolu 1(12) għandhom japplikaw mill-1 ta’ Jannar 2021.</w:t>
      </w:r>
    </w:p>
    <w:p>
      <w:pPr>
        <w:rPr>
          <w:noProof/>
        </w:rPr>
      </w:pPr>
    </w:p>
    <w:p>
      <w:pPr>
        <w:pStyle w:val="Titrearticle"/>
        <w:rPr>
          <w:noProof/>
        </w:rPr>
      </w:pPr>
      <w:r>
        <w:rPr>
          <w:noProof/>
        </w:rPr>
        <w:t>Artikolu 3</w:t>
      </w:r>
    </w:p>
    <w:p>
      <w:pPr>
        <w:jc w:val="center"/>
        <w:rPr>
          <w:b/>
          <w:noProof/>
        </w:rPr>
      </w:pPr>
      <w:r>
        <w:rPr>
          <w:b/>
          <w:noProof/>
        </w:rPr>
        <w:t>Destinatarji</w:t>
      </w:r>
    </w:p>
    <w:p>
      <w:pPr>
        <w:rPr>
          <w:noProof/>
        </w:rPr>
      </w:pPr>
      <w:r>
        <w:rPr>
          <w:noProof/>
        </w:rPr>
        <w:t>Din id-Deċiżjoni hija indirizzata lill-Istati Membri.</w:t>
      </w:r>
    </w:p>
    <w:p>
      <w:pPr>
        <w:pStyle w:val="Fait"/>
        <w:rPr>
          <w:noProof/>
        </w:rPr>
      </w:pPr>
      <w:r>
        <w:t>Magħmul fi Brussell,</w:t>
      </w:r>
    </w:p>
    <w:p>
      <w:pPr>
        <w:pStyle w:val="Institutionquisigne"/>
        <w:rPr>
          <w:noProof/>
        </w:rPr>
      </w:pPr>
      <w:r>
        <w:rPr>
          <w:noProof/>
        </w:rPr>
        <w:t>Għall-Parlament Ewropew</w:t>
      </w:r>
      <w:r>
        <w:rPr>
          <w:noProof/>
        </w:rPr>
        <w:tab/>
        <w:t>Għall-Kunsill</w:t>
      </w:r>
    </w:p>
    <w:p>
      <w:pPr>
        <w:pStyle w:val="Personnequisigne"/>
        <w:rPr>
          <w:noProof/>
        </w:rPr>
      </w:pPr>
      <w:r>
        <w:rPr>
          <w:noProof/>
        </w:rPr>
        <w:t>Il-President</w:t>
      </w:r>
      <w:r>
        <w:rPr>
          <w:noProof/>
        </w:rPr>
        <w:tab/>
        <w:t>Il-President</w:t>
      </w:r>
    </w:p>
    <w:p>
      <w:pPr>
        <w:rPr>
          <w:noProof/>
        </w:rPr>
        <w:sectPr>
          <w:pgSz w:w="11907" w:h="16839"/>
          <w:pgMar w:top="1134" w:right="1417" w:bottom="1134" w:left="1417" w:header="709" w:footer="709" w:gutter="0"/>
          <w:cols w:space="720"/>
          <w:docGrid w:linePitch="360"/>
        </w:sectPr>
      </w:pPr>
    </w:p>
    <w:bookmarkStart w:id="8" w:name="_Toc514941970" w:displacedByCustomXml="next"/>
    <w:sdt>
      <w:sdtPr>
        <w:rPr>
          <w:b w:val="0"/>
          <w:noProof/>
          <w:u w:val="none"/>
        </w:rPr>
        <w:id w:val="-1693053952"/>
        <w:docPartObj>
          <w:docPartGallery w:val="Table of Contents"/>
          <w:docPartUnique/>
        </w:docPartObj>
      </w:sdtPr>
      <w:sdtEndPr>
        <w:rPr>
          <w:bCs/>
        </w:rPr>
      </w:sdtEndPr>
      <w:sdtContent>
        <w:p>
          <w:pPr>
            <w:pStyle w:val="Fichefinanciretitre"/>
            <w:rPr>
              <w:noProof/>
            </w:rPr>
          </w:pPr>
          <w:r>
            <w:rPr>
              <w:noProof/>
            </w:rPr>
            <w:t xml:space="preserve">DIKJARAZZJONI FINANZJARJA LEĠIŻLATTIVA </w:t>
          </w:r>
        </w:p>
        <w:p>
          <w:pPr>
            <w:pStyle w:val="TOC1"/>
            <w:rPr>
              <w:rFonts w:asciiTheme="minorHAnsi" w:eastAsiaTheme="minorEastAsia" w:hAnsiTheme="minorHAnsi" w:cstheme="minorBidi"/>
              <w:noProof/>
              <w:sz w:val="22"/>
            </w:rPr>
          </w:pPr>
          <w:r>
            <w:rPr>
              <w:b/>
              <w:bCs/>
              <w:noProof/>
            </w:rPr>
            <w:fldChar w:fldCharType="begin" w:fldLock="1"/>
          </w:r>
          <w:r>
            <w:rPr>
              <w:b/>
              <w:bCs/>
              <w:noProof/>
            </w:rPr>
            <w:instrText xml:space="preserve"> TOC \o "1-3" \h \z \u </w:instrText>
          </w:r>
          <w:r>
            <w:rPr>
              <w:b/>
              <w:bCs/>
              <w:noProof/>
            </w:rPr>
            <w:fldChar w:fldCharType="separate"/>
          </w:r>
          <w:hyperlink w:anchor="_Toc40396558" w:history="1">
            <w:r>
              <w:rPr>
                <w:rStyle w:val="Hyperlink"/>
                <w:noProof/>
              </w:rPr>
              <w:t>1.</w:t>
            </w:r>
            <w:r>
              <w:rPr>
                <w:noProof/>
              </w:rPr>
              <w:tab/>
              <w:t>QAFAS TAL-PROPOSTA/TAL-INIZJATTIVA</w:t>
            </w:r>
            <w:r>
              <w:rPr>
                <w:noProof/>
              </w:rPr>
              <w:tab/>
            </w:r>
            <w:r>
              <w:rPr>
                <w:noProof/>
                <w:webHidden/>
              </w:rPr>
              <w:fldChar w:fldCharType="begin" w:fldLock="1"/>
            </w:r>
            <w:r>
              <w:rPr>
                <w:noProof/>
                <w:webHidden/>
              </w:rPr>
              <w:instrText xml:space="preserve"> PAGEREF _Toc40396558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40396559" w:history="1">
            <w:r>
              <w:rPr>
                <w:rStyle w:val="Hyperlink"/>
                <w:noProof/>
              </w:rPr>
              <w:t>1.1.</w:t>
            </w:r>
            <w:r>
              <w:rPr>
                <w:noProof/>
              </w:rPr>
              <w:tab/>
              <w:t>Titolu tal-proposta / tal-inizjattiva</w:t>
            </w:r>
            <w:r>
              <w:rPr>
                <w:noProof/>
              </w:rPr>
              <w:tab/>
            </w:r>
            <w:r>
              <w:rPr>
                <w:noProof/>
                <w:webHidden/>
              </w:rPr>
              <w:fldChar w:fldCharType="begin" w:fldLock="1"/>
            </w:r>
            <w:r>
              <w:rPr>
                <w:noProof/>
                <w:webHidden/>
              </w:rPr>
              <w:instrText xml:space="preserve"> PAGEREF _Toc40396559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40396560" w:history="1">
            <w:r>
              <w:rPr>
                <w:rStyle w:val="Hyperlink"/>
                <w:noProof/>
              </w:rPr>
              <w:t>1.2</w:t>
            </w:r>
            <w:r>
              <w:rPr>
                <w:rStyle w:val="Hyperlink"/>
                <w:i/>
                <w:noProof/>
              </w:rPr>
              <w:t>.</w:t>
            </w:r>
            <w:r>
              <w:rPr>
                <w:noProof/>
              </w:rPr>
              <w:tab/>
              <w:t xml:space="preserve">Qasam/oqsma ta’ politika kkonċernat(i) </w:t>
            </w:r>
            <w:r>
              <w:rPr>
                <w:i/>
                <w:noProof/>
              </w:rPr>
              <w:t>(Raggruppament ta’ programmi</w:t>
            </w:r>
            <w:r>
              <w:rPr>
                <w:noProof/>
              </w:rPr>
              <w:t>)</w:t>
            </w:r>
            <w:r>
              <w:rPr>
                <w:noProof/>
              </w:rPr>
              <w:tab/>
            </w:r>
            <w:r>
              <w:rPr>
                <w:noProof/>
                <w:webHidden/>
              </w:rPr>
              <w:fldChar w:fldCharType="begin" w:fldLock="1"/>
            </w:r>
            <w:r>
              <w:rPr>
                <w:noProof/>
                <w:webHidden/>
              </w:rPr>
              <w:instrText xml:space="preserve"> PAGEREF _Toc40396560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40396561" w:history="1">
            <w:r>
              <w:rPr>
                <w:rStyle w:val="Hyperlink"/>
                <w:noProof/>
              </w:rPr>
              <w:t>1.3.</w:t>
            </w:r>
            <w:r>
              <w:rPr>
                <w:noProof/>
              </w:rPr>
              <w:tab/>
              <w:t>Il-proposta / l-inizjattiva tirrigwarda</w:t>
            </w:r>
            <w:r>
              <w:rPr>
                <w:rStyle w:val="Hyperlink"/>
                <w:noProof/>
              </w:rPr>
              <w:t>:</w:t>
            </w:r>
            <w:r>
              <w:rPr>
                <w:noProof/>
              </w:rPr>
              <w:tab/>
            </w:r>
            <w:r>
              <w:rPr>
                <w:noProof/>
                <w:webHidden/>
              </w:rPr>
              <w:fldChar w:fldCharType="begin" w:fldLock="1"/>
            </w:r>
            <w:r>
              <w:rPr>
                <w:noProof/>
                <w:webHidden/>
              </w:rPr>
              <w:instrText xml:space="preserve"> PAGEREF _Toc40396561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40396562" w:history="1">
            <w:r>
              <w:rPr>
                <w:rStyle w:val="Hyperlink"/>
                <w:noProof/>
              </w:rPr>
              <w:t>1.4.</w:t>
            </w:r>
            <w:r>
              <w:rPr>
                <w:noProof/>
              </w:rPr>
              <w:tab/>
              <w:t>Raġunijiet għall-proposta / għall-inizjattiva</w:t>
            </w:r>
            <w:r>
              <w:rPr>
                <w:noProof/>
              </w:rPr>
              <w:tab/>
            </w:r>
            <w:r>
              <w:rPr>
                <w:noProof/>
                <w:webHidden/>
              </w:rPr>
              <w:fldChar w:fldCharType="begin" w:fldLock="1"/>
            </w:r>
            <w:r>
              <w:rPr>
                <w:noProof/>
                <w:webHidden/>
              </w:rPr>
              <w:instrText xml:space="preserve"> PAGEREF _Toc40396562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40396563" w:history="1">
            <w:r>
              <w:rPr>
                <w:rStyle w:val="Hyperlink"/>
                <w:noProof/>
              </w:rPr>
              <w:t>1.4.1.</w:t>
            </w:r>
            <w:r>
              <w:rPr>
                <w:noProof/>
              </w:rPr>
              <w:tab/>
              <w:t>Rekwiżit jew rekwiżiti li jridu jiġu ssodisfati fuq terminu qasir jew twil, inkluża kronoloġija dettaljata għat-tnedija tal-implimentazzjoni tal-inizjattiva</w:t>
            </w:r>
            <w:r>
              <w:rPr>
                <w:noProof/>
              </w:rPr>
              <w:tab/>
            </w:r>
            <w:r>
              <w:rPr>
                <w:noProof/>
                <w:webHidden/>
              </w:rPr>
              <w:fldChar w:fldCharType="begin" w:fldLock="1"/>
            </w:r>
            <w:r>
              <w:rPr>
                <w:noProof/>
                <w:webHidden/>
              </w:rPr>
              <w:instrText xml:space="preserve"> PAGEREF _Toc40396563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40396564" w:history="1">
            <w:r>
              <w:rPr>
                <w:rStyle w:val="Hyperlink"/>
                <w:noProof/>
              </w:rPr>
              <w:t>1.4.2.</w:t>
            </w:r>
            <w:r>
              <w:rPr>
                <w:noProof/>
              </w:rPr>
              <w:tab/>
              <w:t>Valur miżjud tal-involviment tal-UE</w:t>
            </w:r>
            <w:r>
              <w:rPr>
                <w:rStyle w:val="Hyperlink"/>
                <w:noProof/>
              </w:rPr>
              <w:t>.</w:t>
            </w:r>
            <w:r>
              <w:rPr>
                <w:noProof/>
              </w:rPr>
              <w:tab/>
            </w:r>
            <w:r>
              <w:rPr>
                <w:noProof/>
                <w:webHidden/>
              </w:rPr>
              <w:fldChar w:fldCharType="begin" w:fldLock="1"/>
            </w:r>
            <w:r>
              <w:rPr>
                <w:noProof/>
                <w:webHidden/>
              </w:rPr>
              <w:instrText xml:space="preserve"> PAGEREF _Toc40396564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40396565" w:history="1">
            <w:r>
              <w:rPr>
                <w:rStyle w:val="Hyperlink"/>
                <w:noProof/>
              </w:rPr>
              <w:t>1.4.3.</w:t>
            </w:r>
            <w:r>
              <w:rPr>
                <w:noProof/>
              </w:rPr>
              <w:tab/>
              <w:t>Tagħlimiet meħuda minn esperjenzi simili fl-imgħoddi</w:t>
            </w:r>
            <w:r>
              <w:rPr>
                <w:noProof/>
              </w:rPr>
              <w:tab/>
            </w:r>
            <w:r>
              <w:rPr>
                <w:noProof/>
                <w:webHidden/>
              </w:rPr>
              <w:fldChar w:fldCharType="begin" w:fldLock="1"/>
            </w:r>
            <w:r>
              <w:rPr>
                <w:noProof/>
                <w:webHidden/>
              </w:rPr>
              <w:instrText xml:space="preserve"> PAGEREF _Toc40396565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40396566" w:history="1">
            <w:r>
              <w:rPr>
                <w:rStyle w:val="Hyperlink"/>
                <w:noProof/>
              </w:rPr>
              <w:t>1.4.4.</w:t>
            </w:r>
            <w:r>
              <w:rPr>
                <w:noProof/>
              </w:rPr>
              <w:tab/>
              <w:t>Kompatibbiltà u sinerġija possibbli ma’ strumenti xierqa oħra</w:t>
            </w:r>
            <w:r>
              <w:rPr>
                <w:noProof/>
              </w:rPr>
              <w:tab/>
            </w:r>
            <w:r>
              <w:rPr>
                <w:noProof/>
                <w:webHidden/>
              </w:rPr>
              <w:fldChar w:fldCharType="begin" w:fldLock="1"/>
            </w:r>
            <w:r>
              <w:rPr>
                <w:noProof/>
                <w:webHidden/>
              </w:rPr>
              <w:instrText xml:space="preserve"> PAGEREF _Toc40396566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40396567" w:history="1">
            <w:r>
              <w:rPr>
                <w:rStyle w:val="Hyperlink"/>
                <w:noProof/>
              </w:rPr>
              <w:t>1.5.</w:t>
            </w:r>
            <w:r>
              <w:rPr>
                <w:noProof/>
              </w:rPr>
              <w:tab/>
              <w:t>It-tul ta’ żmien u l-impatt finanzjarju</w:t>
            </w:r>
            <w:r>
              <w:rPr>
                <w:noProof/>
              </w:rPr>
              <w:tab/>
            </w:r>
            <w:r>
              <w:rPr>
                <w:noProof/>
                <w:webHidden/>
              </w:rPr>
              <w:fldChar w:fldCharType="begin" w:fldLock="1"/>
            </w:r>
            <w:r>
              <w:rPr>
                <w:noProof/>
                <w:webHidden/>
              </w:rPr>
              <w:instrText xml:space="preserve"> PAGEREF _Toc40396567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40396568" w:history="1">
            <w:r>
              <w:rPr>
                <w:rStyle w:val="Hyperlink"/>
                <w:noProof/>
              </w:rPr>
              <w:t>1.6.</w:t>
            </w:r>
            <w:r>
              <w:rPr>
                <w:noProof/>
              </w:rPr>
              <w:tab/>
              <w:t>Mod(i) ta’ ġestjoni ppjanat(i)</w:t>
            </w:r>
            <w:r>
              <w:rPr>
                <w:noProof/>
              </w:rPr>
              <w:tab/>
              <w:t>29</w:t>
            </w:r>
          </w:hyperlink>
        </w:p>
        <w:p>
          <w:pPr>
            <w:pStyle w:val="TOC1"/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40396569" w:history="1">
            <w:r>
              <w:rPr>
                <w:rStyle w:val="Hyperlink"/>
                <w:noProof/>
              </w:rPr>
              <w:t>2.</w:t>
            </w:r>
            <w:r>
              <w:rPr>
                <w:noProof/>
              </w:rPr>
              <w:tab/>
              <w:t>MIŻURI TA’ ĠESTJONI</w:t>
            </w:r>
            <w:r>
              <w:rPr>
                <w:noProof/>
              </w:rPr>
              <w:tab/>
              <w:t>31</w:t>
            </w:r>
          </w:hyperlink>
        </w:p>
        <w:p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40396570" w:history="1">
            <w:r>
              <w:rPr>
                <w:rStyle w:val="Hyperlink"/>
                <w:noProof/>
              </w:rPr>
              <w:t>2.1.</w:t>
            </w:r>
            <w:r>
              <w:rPr>
                <w:noProof/>
              </w:rPr>
              <w:tab/>
              <w:t>Regoli ta’ monitoraġġ u ta’ rapportar</w:t>
            </w:r>
            <w:r>
              <w:rPr>
                <w:noProof/>
              </w:rPr>
              <w:tab/>
              <w:t>31</w:t>
            </w:r>
          </w:hyperlink>
        </w:p>
        <w:p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40396571" w:history="1">
            <w:r>
              <w:rPr>
                <w:rStyle w:val="Hyperlink"/>
                <w:noProof/>
              </w:rPr>
              <w:t>2.2.</w:t>
            </w:r>
            <w:r>
              <w:rPr>
                <w:noProof/>
              </w:rPr>
              <w:tab/>
              <w:t>Sistema(i) ta’ ġestjoni u ta’ kontroll</w:t>
            </w:r>
            <w:r>
              <w:rPr>
                <w:noProof/>
              </w:rPr>
              <w:tab/>
              <w:t>31</w:t>
            </w:r>
          </w:hyperlink>
        </w:p>
        <w:p>
          <w:pPr>
            <w:pStyle w:val="TOC3"/>
            <w:rPr>
              <w:rStyle w:val="Hyperlink"/>
              <w:noProof/>
            </w:rPr>
          </w:pPr>
          <w:hyperlink w:anchor="_Toc40396572" w:history="1">
            <w:r>
              <w:rPr>
                <w:rStyle w:val="Hyperlink"/>
                <w:noProof/>
              </w:rPr>
              <w:t>2.2.1.</w:t>
            </w:r>
            <w:r>
              <w:rPr>
                <w:rStyle w:val="Hyperlink"/>
                <w:noProof/>
              </w:rPr>
              <w:tab/>
              <w:t>Ġustifikazzjoni tal-mod(i) ta’ ġestjoni, il-mekkaniżmu/i għall-implimentazzjoni tal-finanzjament, il-modalitajiet ta’ pagament u l-istrateġija ta’ kontroll proposta</w:t>
            </w:r>
            <w:r>
              <w:rPr>
                <w:rStyle w:val="Hyperlink"/>
                <w:noProof/>
              </w:rPr>
              <w:tab/>
              <w:t xml:space="preserve">   31</w:t>
            </w:r>
          </w:hyperlink>
        </w:p>
        <w:p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40396573" w:history="1">
            <w:r>
              <w:rPr>
                <w:rStyle w:val="Hyperlink"/>
                <w:noProof/>
              </w:rPr>
              <w:t>2.2.2.</w:t>
            </w:r>
            <w:r>
              <w:rPr>
                <w:noProof/>
              </w:rPr>
              <w:tab/>
              <w:t>Informazzjoni dwar ir-riskji identifikati u s-sistema/i ta’ kontroll intern stabbiliti għall-mitigazzjoni tagħhom</w:t>
            </w:r>
            <w:r>
              <w:rPr>
                <w:noProof/>
              </w:rPr>
              <w:tab/>
              <w:t>31</w:t>
            </w:r>
          </w:hyperlink>
        </w:p>
        <w:p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40396574" w:history="1">
            <w:r>
              <w:rPr>
                <w:rStyle w:val="Hyperlink"/>
                <w:noProof/>
              </w:rPr>
              <w:t>2.2.3.</w:t>
            </w:r>
            <w:r>
              <w:rPr>
                <w:noProof/>
              </w:rPr>
              <w:tab/>
              <w:t>Stima u ġustifikazzjoni tal-kosteffettività tal-kontrolli (proporzjon tal-“kostijiet tal-kontroll ÷ il-valur tal-fondi relatati ġestiti”) u valutazzjoni tal-livelli mistennija tar-riskju ta’ errur (mal-ħlas u fl-għeluq)</w:t>
            </w:r>
            <w:r>
              <w:rPr>
                <w:noProof/>
              </w:rPr>
              <w:tab/>
            </w:r>
            <w:r>
              <w:rPr>
                <w:noProof/>
                <w:webHidden/>
              </w:rPr>
              <w:fldChar w:fldCharType="begin" w:fldLock="1"/>
            </w:r>
            <w:r>
              <w:rPr>
                <w:noProof/>
                <w:webHidden/>
              </w:rPr>
              <w:instrText xml:space="preserve"> PAGEREF _Toc40396574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40396575" w:history="1">
            <w:r>
              <w:rPr>
                <w:rStyle w:val="Hyperlink"/>
                <w:noProof/>
              </w:rPr>
              <w:t>2.3.</w:t>
            </w:r>
            <w:r>
              <w:rPr>
                <w:noProof/>
              </w:rPr>
              <w:tab/>
              <w:t>Miżuri għall-prevenzjoni ta’ frodi u ta’ irregolaritajiet</w:t>
            </w:r>
            <w:r>
              <w:rPr>
                <w:noProof/>
              </w:rPr>
              <w:tab/>
            </w:r>
            <w:r>
              <w:rPr>
                <w:noProof/>
                <w:webHidden/>
              </w:rPr>
              <w:fldChar w:fldCharType="begin" w:fldLock="1"/>
            </w:r>
            <w:r>
              <w:rPr>
                <w:noProof/>
                <w:webHidden/>
              </w:rPr>
              <w:instrText xml:space="preserve"> PAGEREF _Toc40396575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1"/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40396576" w:history="1">
            <w:r>
              <w:rPr>
                <w:rStyle w:val="Hyperlink"/>
                <w:noProof/>
              </w:rPr>
              <w:t>3.</w:t>
            </w:r>
            <w:r>
              <w:rPr>
                <w:noProof/>
              </w:rPr>
              <w:tab/>
              <w:t>IMPATT FINANZJARJU STMAT TAL-PROPOSTA / TAL-INIZJATTIVA</w:t>
            </w:r>
            <w:r>
              <w:rPr>
                <w:noProof/>
              </w:rPr>
              <w:tab/>
            </w:r>
            <w:r>
              <w:rPr>
                <w:noProof/>
                <w:webHidden/>
              </w:rPr>
              <w:fldChar w:fldCharType="begin" w:fldLock="1"/>
            </w:r>
            <w:r>
              <w:rPr>
                <w:noProof/>
                <w:webHidden/>
              </w:rPr>
              <w:instrText xml:space="preserve"> PAGEREF _Toc40396576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40396577" w:history="1">
            <w:r>
              <w:rPr>
                <w:rStyle w:val="Hyperlink"/>
                <w:noProof/>
              </w:rPr>
              <w:t>3.1.</w:t>
            </w:r>
            <w:r>
              <w:rPr>
                <w:noProof/>
              </w:rPr>
              <w:tab/>
              <w:t>Intestatura tal-qafas finanzjarju pluriennali u l-linja baġitarja ġdida tan-nefqa proposta / l-linji baġitarji ġodda tan-nefqa proposti</w:t>
            </w:r>
            <w:r>
              <w:rPr>
                <w:noProof/>
              </w:rPr>
              <w:tab/>
            </w:r>
            <w:r>
              <w:rPr>
                <w:noProof/>
                <w:webHidden/>
              </w:rPr>
              <w:fldChar w:fldCharType="begin" w:fldLock="1"/>
            </w:r>
            <w:r>
              <w:rPr>
                <w:noProof/>
                <w:webHidden/>
              </w:rPr>
              <w:instrText xml:space="preserve"> PAGEREF _Toc40396577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40396578" w:history="1">
            <w:r>
              <w:rPr>
                <w:rStyle w:val="Hyperlink"/>
                <w:noProof/>
              </w:rPr>
              <w:t>3.2.</w:t>
            </w:r>
            <w:r>
              <w:rPr>
                <w:noProof/>
              </w:rPr>
              <w:tab/>
              <w:t>Impatt stmat fuq in-nefqa</w:t>
            </w:r>
            <w:r>
              <w:rPr>
                <w:noProof/>
              </w:rPr>
              <w:tab/>
            </w:r>
            <w:r>
              <w:rPr>
                <w:noProof/>
                <w:webHidden/>
              </w:rPr>
              <w:fldChar w:fldCharType="begin" w:fldLock="1"/>
            </w:r>
            <w:r>
              <w:rPr>
                <w:noProof/>
                <w:webHidden/>
              </w:rPr>
              <w:instrText xml:space="preserve"> PAGEREF _Toc40396578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40396579" w:history="1">
            <w:r>
              <w:rPr>
                <w:rStyle w:val="Hyperlink"/>
                <w:noProof/>
              </w:rPr>
              <w:t>3.2.1.</w:t>
            </w:r>
            <w:r>
              <w:rPr>
                <w:noProof/>
              </w:rPr>
              <w:tab/>
              <w:t>Sommarju tal-impatt stmat fuq in-nefqa</w:t>
            </w:r>
            <w:r>
              <w:rPr>
                <w:noProof/>
              </w:rPr>
              <w:tab/>
            </w:r>
            <w:r>
              <w:rPr>
                <w:noProof/>
                <w:webHidden/>
              </w:rPr>
              <w:fldChar w:fldCharType="begin" w:fldLock="1"/>
            </w:r>
            <w:r>
              <w:rPr>
                <w:noProof/>
                <w:webHidden/>
              </w:rPr>
              <w:instrText xml:space="preserve"> PAGEREF _Toc40396579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40396580" w:history="1">
            <w:r>
              <w:rPr>
                <w:rStyle w:val="Hyperlink"/>
                <w:noProof/>
              </w:rPr>
              <w:t>3.2.2.</w:t>
            </w:r>
            <w:r>
              <w:rPr>
                <w:noProof/>
              </w:rPr>
              <w:tab/>
              <w:t>Sommarju tal-impatt stmat fuq l-approprjazzjonijiet ta’ natura amministrattiva</w:t>
            </w:r>
            <w:r>
              <w:rPr>
                <w:noProof/>
              </w:rPr>
              <w:tab/>
            </w:r>
            <w:r>
              <w:rPr>
                <w:noProof/>
                <w:webHidden/>
              </w:rPr>
              <w:fldChar w:fldCharType="begin" w:fldLock="1"/>
            </w:r>
            <w:r>
              <w:rPr>
                <w:noProof/>
                <w:webHidden/>
              </w:rPr>
              <w:instrText xml:space="preserve"> PAGEREF _Toc40396580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  <w:lang w:val="sv-SE"/>
            </w:rPr>
          </w:pPr>
          <w:r>
            <w:rPr>
              <w:noProof/>
              <w:lang w:val="sv-SE"/>
            </w:rPr>
            <w:t>3.3.</w:t>
          </w:r>
          <w:r>
            <w:rPr>
              <w:noProof/>
              <w:lang w:val="sv-SE"/>
            </w:rPr>
            <w:tab/>
            <w:t>Impatt stmat fuq id-dħul</w:t>
          </w:r>
          <w:r>
            <w:rPr>
              <w:noProof/>
              <w:lang w:val="sv-SE"/>
            </w:rPr>
            <w:tab/>
            <w:t>39</w:t>
          </w:r>
        </w:p>
        <w:p>
          <w:pPr>
            <w:rPr>
              <w:bCs/>
              <w:noProof/>
            </w:rPr>
          </w:pPr>
          <w:r>
            <w:rPr>
              <w:b/>
              <w:bCs/>
              <w:noProof/>
            </w:rPr>
            <w:fldChar w:fldCharType="end"/>
          </w:r>
        </w:p>
      </w:sdtContent>
    </w:sdt>
    <w:p>
      <w:pPr>
        <w:rPr>
          <w:noProof/>
        </w:rPr>
        <w:sectPr>
          <w:pgSz w:w="11907" w:h="16840" w:code="9"/>
          <w:pgMar w:top="1134" w:right="1418" w:bottom="1134" w:left="1418" w:header="709" w:footer="709" w:gutter="0"/>
          <w:cols w:space="708"/>
          <w:docGrid w:linePitch="360"/>
        </w:sectPr>
      </w:pPr>
    </w:p>
    <w:p>
      <w:pPr>
        <w:jc w:val="center"/>
        <w:rPr>
          <w:b/>
          <w:noProof/>
          <w:u w:val="single"/>
        </w:rPr>
      </w:pPr>
      <w:r>
        <w:rPr>
          <w:b/>
          <w:noProof/>
          <w:u w:val="single"/>
        </w:rPr>
        <w:t>DIKJARAZZJONI FINANZJARJA LEĠIŻLATTIVA</w:t>
      </w:r>
      <w:bookmarkEnd w:id="8"/>
    </w:p>
    <w:p>
      <w:pPr>
        <w:pStyle w:val="ManualHeading1"/>
        <w:rPr>
          <w:noProof/>
        </w:rPr>
      </w:pPr>
      <w:bookmarkStart w:id="9" w:name="_Toc514941971"/>
      <w:bookmarkStart w:id="10" w:name="_Toc41916636"/>
      <w:r>
        <w:t>1.</w:t>
      </w:r>
      <w:r>
        <w:tab/>
      </w:r>
      <w:r>
        <w:rPr>
          <w:noProof/>
        </w:rPr>
        <w:t>QAFAS TAL-PROPOSTA/TAL-INIZJATTIVA</w:t>
      </w:r>
      <w:bookmarkEnd w:id="9"/>
      <w:bookmarkEnd w:id="10"/>
      <w:r>
        <w:rPr>
          <w:noProof/>
        </w:rPr>
        <w:t xml:space="preserve"> </w:t>
      </w:r>
    </w:p>
    <w:p>
      <w:pPr>
        <w:pStyle w:val="ManualHeading2"/>
        <w:rPr>
          <w:noProof/>
        </w:rPr>
      </w:pPr>
      <w:bookmarkStart w:id="11" w:name="_Toc514941972"/>
      <w:bookmarkStart w:id="12" w:name="_Toc41916637"/>
      <w:r>
        <w:t>1.1.</w:t>
      </w:r>
      <w:r>
        <w:tab/>
      </w:r>
      <w:r>
        <w:rPr>
          <w:noProof/>
        </w:rPr>
        <w:t>Titolu tal-proposta / tal-inizjattiva</w:t>
      </w:r>
      <w:bookmarkEnd w:id="11"/>
      <w:bookmarkEnd w:id="12"/>
      <w:r>
        <w:rPr>
          <w:noProof/>
        </w:rPr>
        <w:t xml:space="preserve"> 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bookmarkStart w:id="13" w:name="_Toc514941973"/>
      <w:r>
        <w:rPr>
          <w:noProof/>
        </w:rPr>
        <w:t>Proposta għal Deċiżjoni tal-Parlament Ewropew u tal-Kunsill li temenda d-Deċiżjoni Nru 1313/2013/UE dwar Mekkaniżmu tal-Unjoni għall-Protezzjoni Ċivili</w:t>
      </w:r>
    </w:p>
    <w:p>
      <w:pPr>
        <w:pStyle w:val="ManualHeading2"/>
        <w:rPr>
          <w:noProof/>
        </w:rPr>
      </w:pPr>
      <w:bookmarkStart w:id="14" w:name="_Toc41916638"/>
      <w:r>
        <w:t>1.2.</w:t>
      </w:r>
      <w:r>
        <w:tab/>
      </w:r>
      <w:r>
        <w:rPr>
          <w:noProof/>
        </w:rPr>
        <w:t>Qasam/oqsma ta’ politika kkonċernat(i)</w:t>
      </w:r>
      <w:r>
        <w:rPr>
          <w:i/>
          <w:noProof/>
        </w:rPr>
        <w:t xml:space="preserve"> (Raggruppament ta’ programmi)</w:t>
      </w:r>
      <w:bookmarkEnd w:id="13"/>
      <w:bookmarkEnd w:id="14"/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bookmarkStart w:id="15" w:name="_Toc514941974"/>
      <w:r>
        <w:rPr>
          <w:noProof/>
        </w:rPr>
        <w:t>14 Rispons għall-Kriżijiet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Din il-proposta tikkonċerna l-qasam tal-protezzjoni ċivili, u għandha l-intenzjoni li ssaħħaħ il-Mekkaniżmu tal-Unjoni għall-Protezzjoni Ċivili (il-Mekkaniżmu tal-Unjoni).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Bil-proposta tal-qafas finanzjarju pluriennali l-ġdid, il-finanzjament relatat mal-protezzjoni ċivili ġie inkluż f’intestatura waħda: Intestatura 5 “Reżiljenza, Sigurtà u Difiża”. Ir-raggruppament speċifiku huwa “Reżiljenza u Reazzjoni għall-Kriżijiet”, Titolu 14, Kapitolu 02. Dan ir-raggruppament se jinkludi kemm id-dimensjonijiet interni kif ukoll dawk esterni tal-protezzjoni ċivili.</w:t>
      </w:r>
    </w:p>
    <w:p>
      <w:pPr>
        <w:pStyle w:val="ManualHeading2"/>
        <w:rPr>
          <w:bCs/>
          <w:noProof/>
          <w:szCs w:val="24"/>
        </w:rPr>
      </w:pPr>
      <w:bookmarkStart w:id="16" w:name="_Toc41916639"/>
      <w:r>
        <w:t>1.3.</w:t>
      </w:r>
      <w:r>
        <w:tab/>
      </w:r>
      <w:r>
        <w:rPr>
          <w:noProof/>
        </w:rPr>
        <w:t>Il-proposta / l-inizjattiva tirrigwarda:</w:t>
      </w:r>
      <w:bookmarkEnd w:id="15"/>
      <w:bookmarkEnd w:id="16"/>
      <w:r>
        <w:rPr>
          <w:noProof/>
        </w:rPr>
        <w:t xml:space="preserve"> </w:t>
      </w:r>
    </w:p>
    <w:p>
      <w:pPr>
        <w:pStyle w:val="Text1"/>
        <w:rPr>
          <w:b/>
          <w:noProof/>
          <w:sz w:val="22"/>
        </w:rPr>
      </w:pPr>
      <w:r>
        <w:rPr>
          <w:noProof/>
          <w:sz w:val="22"/>
        </w:rPr>
        <w:sym w:font="Wingdings" w:char="F0A8"/>
      </w:r>
      <w:r>
        <w:rPr>
          <w:b/>
          <w:i/>
          <w:noProof/>
          <w:sz w:val="22"/>
        </w:rPr>
        <w:t xml:space="preserve"> </w:t>
      </w:r>
      <w:r>
        <w:rPr>
          <w:b/>
          <w:noProof/>
        </w:rPr>
        <w:t>azzjoni ġdida</w:t>
      </w:r>
      <w:r>
        <w:rPr>
          <w:b/>
          <w:noProof/>
          <w:sz w:val="22"/>
        </w:rPr>
        <w:t xml:space="preserve"> </w:t>
      </w:r>
    </w:p>
    <w:p>
      <w:pPr>
        <w:pStyle w:val="Text1"/>
        <w:rPr>
          <w:noProof/>
          <w:sz w:val="22"/>
        </w:rPr>
      </w:pPr>
      <w:r>
        <w:rPr>
          <w:noProof/>
          <w:sz w:val="22"/>
        </w:rPr>
        <w:sym w:font="Wingdings" w:char="F0A8"/>
      </w:r>
      <w:r>
        <w:rPr>
          <w:i/>
          <w:noProof/>
          <w:sz w:val="22"/>
        </w:rPr>
        <w:t xml:space="preserve"> </w:t>
      </w:r>
      <w:r>
        <w:rPr>
          <w:b/>
          <w:noProof/>
        </w:rPr>
        <w:t>azzjoni ġdida b’segwitu għal proġett pilota / azzjoni preparatorja</w:t>
      </w:r>
      <w:r>
        <w:rPr>
          <w:rStyle w:val="FootnoteReference"/>
          <w:b/>
          <w:noProof/>
        </w:rPr>
        <w:footnoteReference w:id="17"/>
      </w:r>
      <w:r>
        <w:rPr>
          <w:noProof/>
          <w:sz w:val="22"/>
        </w:rPr>
        <w:t xml:space="preserve"> </w:t>
      </w:r>
    </w:p>
    <w:p>
      <w:pPr>
        <w:pStyle w:val="Text1"/>
        <w:rPr>
          <w:noProof/>
          <w:sz w:val="22"/>
        </w:rPr>
      </w:pPr>
      <w:r>
        <w:rPr>
          <w:noProof/>
          <w:sz w:val="22"/>
        </w:rPr>
        <w:t>x</w:t>
      </w:r>
      <w:r>
        <w:rPr>
          <w:i/>
          <w:noProof/>
          <w:sz w:val="22"/>
        </w:rPr>
        <w:t xml:space="preserve"> </w:t>
      </w:r>
      <w:r>
        <w:rPr>
          <w:b/>
          <w:noProof/>
        </w:rPr>
        <w:t>l-estensjoni ta’ azzjoni eżistenti</w:t>
      </w:r>
      <w:r>
        <w:rPr>
          <w:noProof/>
          <w:sz w:val="22"/>
        </w:rPr>
        <w:t xml:space="preserve"> </w:t>
      </w:r>
    </w:p>
    <w:p>
      <w:pPr>
        <w:pStyle w:val="Text1"/>
        <w:rPr>
          <w:noProof/>
        </w:rPr>
      </w:pPr>
      <w:r>
        <w:rPr>
          <w:noProof/>
          <w:sz w:val="22"/>
        </w:rPr>
        <w:sym w:font="Wingdings" w:char="F0A8"/>
      </w:r>
      <w:r>
        <w:rPr>
          <w:i/>
          <w:noProof/>
          <w:sz w:val="22"/>
        </w:rPr>
        <w:t xml:space="preserve"> </w:t>
      </w:r>
      <w:r>
        <w:rPr>
          <w:b/>
          <w:noProof/>
        </w:rPr>
        <w:t>fużjoni jew ir-ridirezzjoni ta’ azzjoni waħda jew aktar lejn azzjoni oħra jew azzjoni ġdida</w:t>
      </w:r>
      <w:r>
        <w:rPr>
          <w:noProof/>
        </w:rPr>
        <w:t xml:space="preserve"> </w:t>
      </w:r>
    </w:p>
    <w:p>
      <w:pPr>
        <w:pStyle w:val="ManualHeading2"/>
        <w:rPr>
          <w:bCs/>
          <w:noProof/>
          <w:szCs w:val="24"/>
        </w:rPr>
      </w:pPr>
      <w:bookmarkStart w:id="17" w:name="_Toc514941975"/>
      <w:bookmarkStart w:id="18" w:name="_Toc41916640"/>
      <w:r>
        <w:t>1.4.</w:t>
      </w:r>
      <w:r>
        <w:tab/>
      </w:r>
      <w:r>
        <w:rPr>
          <w:noProof/>
        </w:rPr>
        <w:t>Raġunijiet għall-proposta / għall-inizjattiva</w:t>
      </w:r>
      <w:bookmarkEnd w:id="17"/>
      <w:bookmarkEnd w:id="18"/>
      <w:r>
        <w:rPr>
          <w:noProof/>
        </w:rPr>
        <w:t xml:space="preserve"> </w:t>
      </w:r>
    </w:p>
    <w:p>
      <w:pPr>
        <w:pStyle w:val="ManualHeading3"/>
        <w:rPr>
          <w:noProof/>
        </w:rPr>
      </w:pPr>
      <w:bookmarkStart w:id="19" w:name="_Toc514941976"/>
      <w:bookmarkStart w:id="20" w:name="_Toc41916641"/>
      <w:r>
        <w:t>1.4.1.</w:t>
      </w:r>
      <w:r>
        <w:tab/>
      </w:r>
      <w:r>
        <w:rPr>
          <w:noProof/>
        </w:rPr>
        <w:t>Rekwiżit jew rekwiżiti li jridu jiġu ssodisfati fuq terminu qasir jew twil, inkluża kronoloġija dettaljata għat-tnedija tal-implimentazzjoni tal-inizjattiva</w:t>
      </w:r>
      <w:bookmarkEnd w:id="19"/>
      <w:bookmarkEnd w:id="20"/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Il-proposta hija maħsuba li tintroduċi xi bidliet immirati għad-Deċiżjoni tal-Kunsill Nru 1313/2013/UE (“id-Deċiżjoni”) dwar Mekkaniżmu tal-Unjoni għall-Protezzjoni Ċivili (“Mekkaniżmu tal-Unjoni”), li skontu l-Unjoni Ewropea tappoġġa, tikkoordina u tissupplimenta l-azzjoni tal-Istati Membri fil-qasam tal-protezzjoni ċivili biex jipprevjenu, iħejju għal u jirreaġixxu għal diżastri naturali u dawk ikkawżati mill-bniedem fl-Unjoni u barra minnha. Filwaqt li tibni fuq il-prinċipji tas-solidarjetà u r-responsabbiltà kondiviża, l-objettiv kumplessiv ta’ din il-proposta huwa li jiżgura li l-Unjoni tkun tista’ tipprovdi appoġġ aħjar f’każ ta’ kriżi u ta’ emerġenza liċ-ċittadini tagħha fl-Ewropa u barra minnha.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Id-Deċiżjoni temenda azzjoni eżistenti (Mekkaniżmu tal-Unjoni) u għandha tiġi kkunsidrata b’mod parallel mal-proposta pendenti li temenda wkoll il-Mekkaniżmu tal-Unjoni, li ġie adottat mill-Kummissjoni fl-2019</w:t>
      </w:r>
      <w:r>
        <w:rPr>
          <w:rStyle w:val="FootnoteReference"/>
          <w:noProof/>
        </w:rPr>
        <w:footnoteReference w:id="18"/>
      </w:r>
      <w:r>
        <w:rPr>
          <w:noProof/>
        </w:rPr>
        <w:t>.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Il-pandemija tal-COVID-19 uriet il-ħtieġa għal tħejjija aħjar min-naħa tal-Unjoni Ewropea għal emerġenzi futuri fuq skala kbira, li tagħti prova tal-limitazzjonijiet tal-qafas attwali. Fid-dawl ta’ dan, qed jitqies neċessarju li jiġu proposti modifiki addizzjonali għall-qafas legali eżistenti biex jissaħħaħ il-Mekkaniżmu tal-Unjoni.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 xml:space="preserve">Din l-inizjattiva tirreferi għall-pakkett finanzjarju disponibbli għall-Mekkaniżmu tal-Unjoni fil-qafas finanzjarju pluriennali 2021-2027. </w:t>
      </w:r>
    </w:p>
    <w:p>
      <w:pPr>
        <w:pStyle w:val="ManualHeading3"/>
        <w:rPr>
          <w:noProof/>
        </w:rPr>
      </w:pPr>
      <w:bookmarkStart w:id="21" w:name="_Toc514941977"/>
      <w:bookmarkStart w:id="22" w:name="_Toc41916642"/>
      <w:r>
        <w:t>1.4.2.</w:t>
      </w:r>
      <w:r>
        <w:tab/>
      </w:r>
      <w:r>
        <w:rPr>
          <w:noProof/>
        </w:rPr>
        <w:t>Valur miżjud tal-involviment tal-UE.</w:t>
      </w:r>
      <w:bookmarkEnd w:id="21"/>
      <w:bookmarkEnd w:id="22"/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noProof/>
          <w:u w:val="single"/>
        </w:rPr>
      </w:pPr>
      <w:r>
        <w:rPr>
          <w:i/>
          <w:noProof/>
          <w:u w:val="single"/>
        </w:rPr>
        <w:t>Raġunijiet għal azzjoni fil-livell Ewropew (ex ante)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Il-Mekkaniżmu tal-Unjoni wera li huwa għodda utli biex jimmobilizza u jikkoordina l-assistenza mogħtija mill-Istati Parteċipanti b’reazzjoni għal kriżijiet ġewwa u barra mill-Unjoni, filwaqt li kien prova tanġibbli tas-solidarjetà Ewropea. Madankollu, it-tifqigħa tal-Covid-19 u t-tagħlimiet operattivi li ttieħdu minn kriżijiet oħra, indikaw il-ħtieġa li l-Mekkaniżmu tal-Unjoni jkompli jissaħħaħ. F’termini konkreti, il-bidliet f’din il-proposta għandhom l-għan li jintlaħqu l-objettivi li ġejjin: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a)</w:t>
      </w:r>
      <w:r>
        <w:rPr>
          <w:noProof/>
        </w:rPr>
        <w:tab/>
        <w:t>L-infurzar ta’ approċċ ta’ tħejjija transsettorjali u soċjetali għall-ġestjoni transkonfinali tar-riskju ta’ diżastri, inkluż l-istabbiliment ta’ elementi ta’ bażi u ta’ ppjanar fil-livell Ewropew.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b)</w:t>
      </w:r>
      <w:r>
        <w:rPr>
          <w:noProof/>
        </w:rPr>
        <w:tab/>
        <w:t>l-iżgurar li l-Kummissjoni tkun tista’ tikseb direttament xibka ta’ sikurezza adegwata tal-kapaċitajiet tar-rescEU;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c)</w:t>
      </w:r>
      <w:r>
        <w:rPr>
          <w:noProof/>
        </w:rPr>
        <w:tab/>
        <w:t>l-għoti ta’ kapaċità loġistika lill-Kummissjoni biex tipprovdi servizzi tal-ajru b’użi multipli f’każ ta’ emerġenzi u tiżgura t-trasport f’waqtu u l-għoti ta’ assistenza;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d)</w:t>
      </w:r>
      <w:r>
        <w:rPr>
          <w:noProof/>
        </w:rPr>
        <w:tab/>
        <w:t xml:space="preserve">id-disinn ta’ sistema aktar flessibbli għal reazzjoni għall-emerġenzi fuq skala kbira; 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e)</w:t>
      </w:r>
      <w:r>
        <w:rPr>
          <w:noProof/>
        </w:rPr>
        <w:tab/>
        <w:t>it-tisħiħ tal-koordinazzjoni operazzjonali taċ-Ċentru ta’ Koordinazzjoni tar-Reazzjoni f’Każ ta’ Emerġenza u r-rwol ta’ monitoraġġ b’appoġġ għar-reazzjoni rapida u effettiva tal-UE għal firxa wiesgħa ta’ kriżijiet ġewwa u barra l-Unjoni;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f)</w:t>
      </w:r>
      <w:r>
        <w:rPr>
          <w:noProof/>
        </w:rPr>
        <w:tab/>
        <w:t>il-ħolqien ta’ investiment aktar b’saħħtu għat-tħejjija fil-livell tal-UE u simplifikazzjoni ulterjuri tal-implimentazzjoni tal-baġit;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g)</w:t>
      </w:r>
      <w:r>
        <w:rPr>
          <w:noProof/>
        </w:rPr>
        <w:tab/>
        <w:t>il-possibbiltà tal-finanzjament ta’ operazzjonijiet ta’ miżuri effiċjenti u skalabbli ta’ rkupru sostenibbli u reżiljenza fil-kuntest tal-Mekkaniżmu tal-Unjoni għall-Protezzjoni Ċivili minn dħul assenjat estern bis-saħħa ta’ finanzjament li jingħata b’konformità mal-abbozz tar-Regolament li jistabbilixxi Strument ta’ Rkupru tal-Unjoni Ewropea li jappoġġa l-irkupru wara l-pandemija tal-COVID-19 (COM(2020)441 final).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 xml:space="preserve">L-objettivi tal-proposta ma jistgħux jintlaħqu biżżejjed mill-Istati Membri meta jaġixxu waħedhom. L-azzjoni tal-UE f’dan il-qasam tinvolvi l-ġestjoni ta’ sitwazzjonijiet b’komponenti transfruntiera u multinazzjonali b’saħħithom, li neċessarjament jeħtieġu koordinazzjoni ġenerali u azzjoni miftiehma lil hinn mil-livell nazzjonali. 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Kif jidher mit-tifqigħa COVID-19, f’każ ta’ emerġenzi serji li fihom l-Unjoni Ewropea kollha kemm hi hija tkun ikkonċernata mill-iskala u l-ambitu ta’ emerġenza, tenħtieġ reazzjoni kollettiva, koordinata u urġenti biex jiġi evitat approċċ frammentat li jillimita l-effikaċja tar-reazzjoni tal-Unjoni. Minħabba t-talbiet urġenti biex jiġu mobilizzati r-riżorsi fi skala suffiċjenti u jiġu skjerati fl-Istati Membri kollha fuq il-bażi tal-ħtiġijiet tagħhom, huwa meħtieġ li l-Unjoni taġixxi f’kooperazzjoni mal-Istati Membri. Id-dimensjoni globali u l-effetti ta’ dawn l-emerġenzi tassew jeħtieġu azzjoni koordinata, li tiżgura l-mitigazzjoni rapida u effettiva tad-diżastri, flimkien mal-prevenzjoni taż-żieda mill-ġdid tagħhom.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Meta jitqiesu l-benefiċċji f’termini tat-tnaqqis tat-telf ta’ ħajja umana, ħsara ambjentali, ekonomika u materjali, il-proposta ġġib valur miżjud ċar tal-UE.</w:t>
      </w:r>
    </w:p>
    <w:p>
      <w:pPr>
        <w:pStyle w:val="ManualHeading3"/>
        <w:rPr>
          <w:noProof/>
        </w:rPr>
      </w:pPr>
      <w:bookmarkStart w:id="23" w:name="_Toc514941978"/>
      <w:bookmarkStart w:id="24" w:name="_Toc41916643"/>
      <w:r>
        <w:t>1.4.3.</w:t>
      </w:r>
      <w:r>
        <w:tab/>
      </w:r>
      <w:r>
        <w:rPr>
          <w:noProof/>
        </w:rPr>
        <w:t>Tagħlimiet meħuda minn esperjenzi simili fl-imgħoddi</w:t>
      </w:r>
      <w:bookmarkEnd w:id="23"/>
      <w:bookmarkEnd w:id="24"/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  <w:color w:val="0000FF"/>
        </w:rPr>
      </w:pPr>
      <w:r>
        <w:rPr>
          <w:noProof/>
        </w:rPr>
        <w:t xml:space="preserve">Il-Mekkaniżmu tal-Unjoni wera riżultati inkoraġġanti f’termini ta’ prestazzjoni f’kull wieħed mit-tliet pilastri (prevenzjoni / tħejjija / reazzjoni) sa issa. Dan ġeneralment jitqies b’mod pożittiv mill-Istati Parteċipanti u mill-partijiet ikkonċernati ewlenin. Din kienet il-konklużjoni ġenerali mill-evalwazzjoni </w:t>
      </w:r>
      <w:r>
        <w:rPr>
          <w:i/>
          <w:noProof/>
        </w:rPr>
        <w:t>interim</w:t>
      </w:r>
      <w:r>
        <w:rPr>
          <w:noProof/>
        </w:rPr>
        <w:t xml:space="preserve"> tal-Mekkaniżmu tal-Unjoni (2014-2016), li twettqet minn konsulent estern u li ġiet ippubblikata f’Awwissu 2017.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 xml:space="preserve">Tagħlima oħra mill-evalwazzjoni </w:t>
      </w:r>
      <w:r>
        <w:rPr>
          <w:i/>
          <w:iCs/>
          <w:noProof/>
        </w:rPr>
        <w:t>interim</w:t>
      </w:r>
      <w:r>
        <w:rPr>
          <w:noProof/>
        </w:rPr>
        <w:t>, kif ukoll mir-rapport tal-Qorti Ewropea tal-Awdituri</w:t>
      </w:r>
      <w:r>
        <w:rPr>
          <w:rStyle w:val="FootnoteReference"/>
          <w:noProof/>
        </w:rPr>
        <w:footnoteReference w:id="19"/>
      </w:r>
      <w:r>
        <w:rPr>
          <w:noProof/>
        </w:rPr>
        <w:t>, kienet il-ħtieġa li jittejjeb il-qafas ta’ monitoraġġ tar-riżultati tal-Mekkaniżmu tal-Unjoni. Dan jinkludi kejl aħjar fil-forma ta’ indikaturi kwantitattivi possibbli u ta’ linji bażi biex ikun jista’ jiffoka aktar fuq l-impatt matul iż-żmien. Il-Kummissjoni introduċiet indikaturi ta’ riżultati li jistgħu jitkejlu għall-azzjonijiet kollha. Dan huwa l-ewwel pass fi proċess aktar fit-tul li jiżgura assistenza finanzjarja permezz tal-Mekkaniżmu inkwadrat b’approċċ aktar iffukat fuq ir-riżultati.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Sors rilevanti ieħor li fuqu l-Kummissjoni bbażat il-proposta tagħha biex ittejjeb il-funzjonament attwali tal-Mekkaniżmu tal-Unjoni huwa l-ħarsa ġenerali tal-Unjoni lejn ir-riskji</w:t>
      </w:r>
      <w:r>
        <w:rPr>
          <w:rStyle w:val="FootnoteReference"/>
          <w:noProof/>
        </w:rPr>
        <w:footnoteReference w:id="20"/>
      </w:r>
      <w:r>
        <w:rPr>
          <w:noProof/>
        </w:rPr>
        <w:t>. Il-valutazzjonijiet nazzjonali tar-riskju ppreżentati mill-Istati Membri ntużaw biex tiġi prodotta din il-ħarsa ġenerali fuq il-bażi tal-leġiżlazzjoni eżistenti.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Il-Kummissjoni tibni wkoll fuq l-esperjenza miksuba:</w:t>
      </w:r>
    </w:p>
    <w:p>
      <w:pPr>
        <w:pStyle w:val="Tire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f’emerġenzi ġestiti mill-Mekkaniżmu tal-Unjoni sa mill-ħolqien tiegħu fl-2001, u b’mod partikolari fuq it-tagħlimiet identifikati matul it-tifqigħa tal-Covid-19;</w:t>
      </w:r>
    </w:p>
    <w:p>
      <w:pPr>
        <w:pStyle w:val="Tire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bħala riżultat tal-proġetti ffinanzjati fil-qafas tas-sejħiet imnedija mill-2013 dwar it-tħejjija u l-prevenzjoni; kif ukoll</w:t>
      </w:r>
    </w:p>
    <w:p>
      <w:pPr>
        <w:pStyle w:val="Tire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bħala riżultat tal-proġett pilota ffinanzjat fil-qafas tas-sejħa mnedija fl-2008 biex tiżdied il-kooperazzjoni bejn l-Istati Membri fil-ġlieda kontra n-nirien fil-foresti.</w:t>
      </w:r>
    </w:p>
    <w:p>
      <w:pPr>
        <w:pStyle w:val="ManualHeading3"/>
        <w:rPr>
          <w:noProof/>
        </w:rPr>
      </w:pPr>
      <w:bookmarkStart w:id="25" w:name="_Toc514941979"/>
      <w:bookmarkStart w:id="26" w:name="_Toc41916644"/>
      <w:r>
        <w:t>1.4.4.</w:t>
      </w:r>
      <w:r>
        <w:tab/>
      </w:r>
      <w:r>
        <w:rPr>
          <w:noProof/>
        </w:rPr>
        <w:t>Kompatibbiltà u sinerġija possibbli ma’ strumenti xierqa oħra</w:t>
      </w:r>
      <w:bookmarkEnd w:id="25"/>
      <w:bookmarkEnd w:id="26"/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L-azzjonijiet previsti permezz tal-Mekkaniżmu tal-Unjoni rivedut huma allinjati mal-objettiv ġenerali tal-Unjoni li jiżguraw li l-politiki u l-istrumenti rilevanti kollha tal-Unjoni jikkontribwixxu għat-tisħiħ tal-kapaċitajiet tal-Unjoni f’termini tal-ġestjoni tar-riskju ta’ diżastri, mir-rispons u l-irkupru għall-prevenzjoni tad-diżastri.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 xml:space="preserve">B’mod partikolari, qed tingħata attenzjoni speċjali biex jiġu żgurati koordinazzjoni mill-qrib u konsistenza ma’ azzjonijiet imwettqa taħt politiki u strumenti oħra tal-UE li jimmiraw b’mod partikolari lejn il-preservazzjoni tal-ħajja tan-nies, jipprevjenu u jtaffu s-sofferenza umana u jipproteġu d-dinjità tal-bniedem. 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Importanti b’mod speċifiku hija l-koordinazzjoni mal-programm il-ġdid tal-Unjoni “EU4Health”. Fejn il-Mekkaniżmu tal-Unjoni se jiffoka fuq il-kapaċitajiet ta’ reazzjoni diretta għall-kriżi li se jkollhom ikunu lesti u disponibbli minnufih f’każ ta’ emerġenza, il-programm “EU4Health” se jinkludi riżervi strutturali fuq skala kbira, inkluża riżerva ta’ persunal mediku lest u esperti, u r-reżiljenza sottostanti tas-sistemi tal-kura tas-saħħa. Dawn ir-riżorsi se jkunu kruċjali għal rispons ikkoordinat għall-kriżijiet fil-livell tal-Unjoni.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Konsistenza ma’:</w:t>
      </w:r>
    </w:p>
    <w:p>
      <w:pPr>
        <w:pStyle w:val="Tire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Ir-Regolament tal-Kunsill (KE) Nru 1257/96 tal-20 ta’ Ġunju 1996 rigward l-għajnuna umanitarja;</w:t>
      </w:r>
    </w:p>
    <w:p>
      <w:pPr>
        <w:pStyle w:val="Tire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Ir-Regolament (KE) Nru 1406/2002 tal-Parlament Ewropew u tal-Kunsill tas-27 ta’ Ġunju 2002 li jistabbilixxi l-Aġenziji Marittima Ewropea tas-Sigurtà;</w:t>
      </w:r>
    </w:p>
    <w:p>
      <w:pPr>
        <w:pStyle w:val="Tire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Ir-Regolament tal-Kunsill (KE) Nru 2012/2002 tal-11 ta’ Novembru 2002 li jistabilixxi l-Fond ta’ Solidarjetà tal-Unjoni Ewropea;</w:t>
      </w:r>
    </w:p>
    <w:p>
      <w:pPr>
        <w:pStyle w:val="Tire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Ir-Regolament (KE) Nru 1717/2006 tal-Parlament Ewropew u tal-Kunsill tal- 15 ta’ Novembru 2006 li jistabbilixxi Strument għall-Istabbiltà;</w:t>
      </w:r>
    </w:p>
    <w:p>
      <w:pPr>
        <w:pStyle w:val="Tire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Id-Deċiżjoni Nru 1313/2013/UE tal-Parlament Ewropew u tal-Kunsill tas-17 ta’ Diċembru 2013 dwar Mekkaniżmu tal-Unjoni għall-Protezzjoni Ċivili;</w:t>
      </w:r>
    </w:p>
    <w:p>
      <w:pPr>
        <w:pStyle w:val="Tire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Ir-Regolament (UE) Nru 1303/2013 tal-Parlament Ewropew u tal-Kunsill tas-17 ta’ Diċembru 2013 li jistabbilixxi dispożizzjonijiet komuni dwar il-Fond Ewropew għall-Iżvilupp Reġjonali, il-Fond Soċjali Ewropew, il-Fond ta’ Koeżjoni, il-Fond Agrikolu Ewropew għall-Iżvilupp Rurali u l-Fond Ewropew għall-Affarijiet Marittimi u s-Sajd u li jistabbilixxi d-dispożizzjonijiet ġenerali dwar il-Fond Ewropew għall-Iżvilupp Reġjonali, il-Fond Soċjali Ewropew, il-Fond ta’ Koeżjoni u l-Fond Ewropew għall-Affarijiet Marittimi u s-Sajd u li jħassar ir-Regolament tal-Kunsill (KE) Nru 1083/2006 (ĠU L 347, 20.12.2013, p. 320).</w:t>
      </w:r>
    </w:p>
    <w:p>
      <w:pPr>
        <w:pStyle w:val="Tire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Ir-Regolament (UE) Nru 375/2014 tal-Parlament Ewropew u tal-Kunsill tat-3 ta’ April 2014 li jistabbilixxi l-Korp Volontarju Ewropew ta’ Għajnuna Umanitarja (“l-Inizjattiva Voluntiera tal-Għajnuna tal-UE”)</w:t>
      </w:r>
    </w:p>
    <w:p>
      <w:pPr>
        <w:pStyle w:val="Tire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Ir-Regolament tal-Kunsill (UE) 2016/369 tal-15 ta’ Marzu 2016 dwar l-għoti ta’ appoġġ ta’ emerġenza fl-Unjoni.</w:t>
      </w:r>
    </w:p>
    <w:p>
      <w:pPr>
        <w:pStyle w:val="Tire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Ir-Regolament tal-Kunsill (UE) 2020/521 li jattiva l-appoġġ ta’ emerġenza skont ir-Regolament (UE) 2016/369 u li jemenda d-dispożizzjonijiet tiegħu filwaqt li jqis it-tifqigħa tal-COVID-19</w:t>
      </w:r>
    </w:p>
    <w:p>
      <w:pPr>
        <w:pStyle w:val="Tire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Ir-Regolament tal-Kunsill (UE) XXX/XX li jistabbilixxi Strument ta’ Rkupru għall-Unjoni Ewropea li jappoġġa l-irkupru wara l-pandemija tal-COVID-19.</w:t>
      </w:r>
    </w:p>
    <w:p>
      <w:pPr>
        <w:pStyle w:val="ManualHeading2"/>
        <w:rPr>
          <w:bCs/>
          <w:noProof/>
          <w:szCs w:val="24"/>
        </w:rPr>
      </w:pPr>
      <w:r>
        <w:rPr>
          <w:noProof/>
        </w:rPr>
        <w:br w:type="page"/>
      </w:r>
      <w:bookmarkStart w:id="27" w:name="_Toc514941980"/>
      <w:bookmarkStart w:id="28" w:name="_Toc41916645"/>
      <w:r>
        <w:t>1.5.</w:t>
      </w:r>
      <w:r>
        <w:tab/>
      </w:r>
      <w:r>
        <w:rPr>
          <w:noProof/>
        </w:rPr>
        <w:t>It-tul ta’ żmien u l-impatt finanzjarju</w:t>
      </w:r>
      <w:bookmarkEnd w:id="27"/>
      <w:bookmarkEnd w:id="28"/>
      <w:r>
        <w:rPr>
          <w:noProof/>
        </w:rPr>
        <w:t xml:space="preserve"> </w:t>
      </w:r>
    </w:p>
    <w:p>
      <w:pPr>
        <w:pStyle w:val="Text1"/>
        <w:rPr>
          <w:noProof/>
        </w:rPr>
      </w:pPr>
      <w:r>
        <w:rPr>
          <w:noProof/>
        </w:rPr>
        <w:t>X</w:t>
      </w:r>
      <w:r>
        <w:rPr>
          <w:b/>
          <w:i/>
          <w:noProof/>
        </w:rPr>
        <w:t xml:space="preserve"> </w:t>
      </w:r>
      <w:r>
        <w:rPr>
          <w:b/>
          <w:noProof/>
        </w:rPr>
        <w:t>tul ta’ żmien limitat</w:t>
      </w:r>
    </w:p>
    <w:p>
      <w:pPr>
        <w:pStyle w:val="ListDash2"/>
        <w:tabs>
          <w:tab w:val="clear" w:pos="5670"/>
        </w:tabs>
        <w:ind w:left="993"/>
        <w:rPr>
          <w:noProof/>
        </w:rPr>
      </w:pPr>
      <w:r>
        <w:rPr>
          <w:noProof/>
        </w:rPr>
        <w:t>X</w:t>
      </w:r>
      <w:r>
        <w:rPr>
          <w:noProof/>
        </w:rPr>
        <w:tab/>
        <w:t xml:space="preserve">b’effett mill-01/01/2021 sal-31/12/2027 </w:t>
      </w:r>
    </w:p>
    <w:p>
      <w:pPr>
        <w:pStyle w:val="ListDash2"/>
        <w:tabs>
          <w:tab w:val="clear" w:pos="5670"/>
        </w:tabs>
        <w:ind w:left="993"/>
        <w:rPr>
          <w:noProof/>
        </w:rPr>
      </w:pPr>
      <w:r>
        <w:rPr>
          <w:noProof/>
        </w:rPr>
        <w:t>X</w:t>
      </w:r>
      <w:r>
        <w:rPr>
          <w:noProof/>
        </w:rPr>
        <w:tab/>
        <w:t xml:space="preserve">L-impatt finanzjarju mill-2021 sal-2027 għall-approprjazzjonijiet tal-impenji u mill-2021 sal-2032 għall-approprjazzjonijiet ta’ pagament. </w:t>
      </w:r>
    </w:p>
    <w:p>
      <w:pPr>
        <w:pStyle w:val="Text1"/>
        <w:rPr>
          <w:noProof/>
        </w:rPr>
      </w:pPr>
      <w:r>
        <w:rPr>
          <w:noProof/>
        </w:rPr>
        <w:sym w:font="Wingdings" w:char="F0A8"/>
      </w:r>
      <w:r>
        <w:rPr>
          <w:b/>
          <w:i/>
          <w:noProof/>
        </w:rPr>
        <w:t xml:space="preserve"> </w:t>
      </w:r>
      <w:r>
        <w:rPr>
          <w:b/>
          <w:noProof/>
        </w:rPr>
        <w:t>tul ta’ żmien mhux limitat</w:t>
      </w:r>
    </w:p>
    <w:p>
      <w:pPr>
        <w:pStyle w:val="ListDash1"/>
        <w:rPr>
          <w:noProof/>
        </w:rPr>
      </w:pPr>
      <w:r>
        <w:rPr>
          <w:noProof/>
        </w:rPr>
        <w:t>Implimentazzjoni b’perjodu ta’ bidu mis-SSSS sas-SSSS,</w:t>
      </w:r>
    </w:p>
    <w:p>
      <w:pPr>
        <w:pStyle w:val="ListDash1"/>
        <w:rPr>
          <w:noProof/>
        </w:rPr>
      </w:pPr>
      <w:r>
        <w:rPr>
          <w:noProof/>
        </w:rPr>
        <w:t>segwit minn tħaddim fuq skala sħiħa.</w:t>
      </w:r>
    </w:p>
    <w:p>
      <w:pPr>
        <w:pStyle w:val="ManualHeading2"/>
        <w:rPr>
          <w:noProof/>
        </w:rPr>
      </w:pPr>
      <w:bookmarkStart w:id="29" w:name="_Toc514941981"/>
      <w:bookmarkStart w:id="30" w:name="_Toc41916646"/>
      <w:r>
        <w:t>1.6.</w:t>
      </w:r>
      <w:r>
        <w:tab/>
      </w:r>
      <w:r>
        <w:rPr>
          <w:noProof/>
        </w:rPr>
        <w:t>Mod(i) ta’ ġestjoni ppjanat(i)</w:t>
      </w:r>
      <w:r>
        <w:rPr>
          <w:rStyle w:val="FootnoteReference"/>
          <w:noProof/>
        </w:rPr>
        <w:footnoteReference w:id="21"/>
      </w:r>
      <w:bookmarkEnd w:id="29"/>
      <w:bookmarkEnd w:id="30"/>
    </w:p>
    <w:p>
      <w:pPr>
        <w:pStyle w:val="Text1"/>
        <w:rPr>
          <w:noProof/>
        </w:rPr>
      </w:pPr>
      <w:r>
        <w:rPr>
          <w:noProof/>
        </w:rPr>
        <w:t>X</w:t>
      </w:r>
      <w:r>
        <w:rPr>
          <w:i/>
          <w:noProof/>
        </w:rPr>
        <w:t xml:space="preserve"> </w:t>
      </w:r>
      <w:r>
        <w:rPr>
          <w:b/>
          <w:noProof/>
        </w:rPr>
        <w:t>Ġestjoni Diretta</w:t>
      </w:r>
      <w:r>
        <w:rPr>
          <w:noProof/>
        </w:rPr>
        <w:t xml:space="preserve"> mill-Kummissjoni</w:t>
      </w:r>
    </w:p>
    <w:p>
      <w:pPr>
        <w:pStyle w:val="ListDash2"/>
        <w:tabs>
          <w:tab w:val="num" w:pos="4678"/>
        </w:tabs>
        <w:ind w:left="1134"/>
        <w:rPr>
          <w:rFonts w:cs="EUAlbertina"/>
          <w:noProof/>
        </w:rPr>
      </w:pPr>
      <w:r>
        <w:rPr>
          <w:noProof/>
        </w:rPr>
        <w:t xml:space="preserve">X mid-dipartimenti tagħha, inkluż mill-persunal tagħha fid-delegazzjonijiet tal-Unjoni; </w:t>
      </w:r>
    </w:p>
    <w:p>
      <w:pPr>
        <w:pStyle w:val="ListDash2"/>
        <w:tabs>
          <w:tab w:val="clear" w:pos="5670"/>
          <w:tab w:val="num" w:pos="1276"/>
        </w:tabs>
        <w:ind w:left="1134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ab/>
        <w:t xml:space="preserve">mill-aġenziji eżekuttivi </w:t>
      </w:r>
    </w:p>
    <w:p>
      <w:pPr>
        <w:pStyle w:val="Text1"/>
        <w:rPr>
          <w:noProof/>
        </w:rPr>
      </w:pPr>
      <w:r>
        <w:rPr>
          <w:noProof/>
        </w:rPr>
        <w:sym w:font="Wingdings" w:char="F0A8"/>
      </w:r>
      <w:r>
        <w:rPr>
          <w:b/>
          <w:i/>
          <w:noProof/>
        </w:rPr>
        <w:t xml:space="preserve"> </w:t>
      </w:r>
      <w:r>
        <w:rPr>
          <w:b/>
          <w:noProof/>
        </w:rPr>
        <w:t>Ġestjoni kondiviża</w:t>
      </w:r>
      <w:r>
        <w:rPr>
          <w:noProof/>
        </w:rPr>
        <w:t xml:space="preserve"> mal-Istati Membri </w:t>
      </w:r>
    </w:p>
    <w:p>
      <w:pPr>
        <w:pStyle w:val="Text1"/>
        <w:rPr>
          <w:noProof/>
        </w:rPr>
      </w:pPr>
      <w:r>
        <w:rPr>
          <w:noProof/>
        </w:rPr>
        <w:t>X</w:t>
      </w:r>
      <w:r>
        <w:rPr>
          <w:i/>
          <w:noProof/>
        </w:rPr>
        <w:t xml:space="preserve"> </w:t>
      </w:r>
      <w:r>
        <w:rPr>
          <w:b/>
          <w:noProof/>
        </w:rPr>
        <w:t>Ġestjoni indiretta</w:t>
      </w:r>
      <w:r>
        <w:rPr>
          <w:noProof/>
        </w:rPr>
        <w:t xml:space="preserve"> billi l-kompiti tal-implimentazzjoni tal-baġit jiġu fdati lil:</w:t>
      </w:r>
    </w:p>
    <w:p>
      <w:pPr>
        <w:pStyle w:val="ListDash2"/>
        <w:tabs>
          <w:tab w:val="num" w:pos="4678"/>
        </w:tabs>
        <w:ind w:left="1276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 xml:space="preserve"> pajjiżi terzi jew lill-korpi nnominati minnhom;</w:t>
      </w:r>
    </w:p>
    <w:p>
      <w:pPr>
        <w:pStyle w:val="ListDash2"/>
        <w:tabs>
          <w:tab w:val="num" w:pos="4678"/>
        </w:tabs>
        <w:ind w:left="1276"/>
        <w:rPr>
          <w:noProof/>
        </w:rPr>
      </w:pPr>
      <w:r>
        <w:rPr>
          <w:noProof/>
        </w:rPr>
        <w:t>X organizzazzjonijiet internazzjonali u l-aġenziji tagħhom (iridu jiġu speċifikati);</w:t>
      </w:r>
    </w:p>
    <w:p>
      <w:pPr>
        <w:pStyle w:val="ListDash2"/>
        <w:tabs>
          <w:tab w:val="num" w:pos="4678"/>
        </w:tabs>
        <w:ind w:left="1276"/>
        <w:rPr>
          <w:noProof/>
        </w:rPr>
      </w:pPr>
      <w:r>
        <w:rPr>
          <w:noProof/>
        </w:rPr>
        <w:t>X il-BEI u l-Fond Ewropew tal-Investiment;</w:t>
      </w:r>
    </w:p>
    <w:p>
      <w:pPr>
        <w:pStyle w:val="ListDash2"/>
        <w:tabs>
          <w:tab w:val="num" w:pos="4678"/>
        </w:tabs>
        <w:ind w:left="1276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 xml:space="preserve"> korpi li jissemmew fl-Artikoli 70 u 71 tar-Regolament Finanzjarju;</w:t>
      </w:r>
    </w:p>
    <w:p>
      <w:pPr>
        <w:pStyle w:val="ListDash2"/>
        <w:tabs>
          <w:tab w:val="num" w:pos="4678"/>
        </w:tabs>
        <w:ind w:left="1276"/>
        <w:rPr>
          <w:noProof/>
        </w:rPr>
      </w:pPr>
      <w:r>
        <w:rPr>
          <w:noProof/>
        </w:rPr>
        <w:t>X korpi tal-liġi pubblika;</w:t>
      </w:r>
    </w:p>
    <w:p>
      <w:pPr>
        <w:pStyle w:val="ListDash2"/>
        <w:tabs>
          <w:tab w:val="num" w:pos="4678"/>
        </w:tabs>
        <w:ind w:left="1276"/>
        <w:rPr>
          <w:noProof/>
        </w:rPr>
      </w:pPr>
      <w:r>
        <w:rPr>
          <w:noProof/>
        </w:rPr>
        <w:t>X korpi rregolati mid-dritt privat li l-missjoni tas-servizz pubbliku tagħhom tkun li huma jipprovdu garanziji finanzjarji adegwati;</w:t>
      </w:r>
    </w:p>
    <w:p>
      <w:pPr>
        <w:pStyle w:val="ListDash2"/>
        <w:tabs>
          <w:tab w:val="num" w:pos="4678"/>
        </w:tabs>
        <w:ind w:left="1276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 xml:space="preserve"> korpi rregolati bil-liġi privata ta’ Stat Membru li jkunu fdati bl-implimentazzjoni ta’ sħubija pubblika-privata u li jipprovdu garanziji finanzjarji adegwati;</w:t>
      </w:r>
    </w:p>
    <w:p>
      <w:pPr>
        <w:pStyle w:val="ListDash2"/>
        <w:tabs>
          <w:tab w:val="num" w:pos="4678"/>
        </w:tabs>
        <w:ind w:left="1276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 xml:space="preserve"> persuni fdati bl-implimentazzjoni ta’ azzjonijiet speċifiċi fil-PESK skont it-Titolu V TUE u li huma identifikati fl-att bażiku rilevanti.</w:t>
      </w:r>
    </w:p>
    <w:p>
      <w:pPr>
        <w:pStyle w:val="Text2"/>
        <w:ind w:left="1276"/>
        <w:rPr>
          <w:noProof/>
        </w:rPr>
      </w:pPr>
      <w:r>
        <w:rPr>
          <w:noProof/>
        </w:rPr>
        <w:t>KUMMENTI:</w:t>
      </w:r>
    </w:p>
    <w:p>
      <w:pPr>
        <w:pStyle w:val="Text2"/>
        <w:ind w:left="1276"/>
        <w:rPr>
          <w:noProof/>
        </w:rPr>
      </w:pPr>
      <w:r>
        <w:rPr>
          <w:noProof/>
        </w:rPr>
        <w:t>L-introduzzjoni tal-possibbiltà ta’ mod ta’ ġestjoni indiretta tal-eżekuzzjoni tal-baġit tal-Mekkaniżmu tal-Unjoni flimkien mal-modalità ta’ ġestjoni diretta użata sa issa tipprovdi strument addizzjonali biex tiġi ottimizzata l-implimentazzjoni tal-baġit. Il-varjetà ta’ korpi skont il-lista se ttejjeb l-effiċjenza ġenerali fl-assorbiment tal-fondi tal-Unjoni fid-dawl taż-żieda fil-baġit. Minħabba l-kuntest ta’ politika tal-protezzjoni ċivili li ħafna drabi jittratta avvenimenti imprevedibbli (tipi differenti ta’ diżastri naturali u kkawżati mill-bniedem), huwa essenzjali li jkun garantit qafas QFP inklużiv (f’termini ta’ atturi involuti) u flessibbli.</w:t>
      </w:r>
    </w:p>
    <w:p>
      <w:pPr>
        <w:pStyle w:val="Text2"/>
        <w:rPr>
          <w:noProof/>
        </w:rPr>
        <w:sectPr>
          <w:pgSz w:w="11907" w:h="16840" w:code="9"/>
          <w:pgMar w:top="1134" w:right="1418" w:bottom="1134" w:left="1418" w:header="709" w:footer="709" w:gutter="0"/>
          <w:cols w:space="708"/>
          <w:docGrid w:linePitch="360"/>
        </w:sectPr>
      </w:pPr>
    </w:p>
    <w:p>
      <w:pPr>
        <w:pStyle w:val="ManualHeading1"/>
        <w:rPr>
          <w:bCs/>
          <w:noProof/>
          <w:szCs w:val="24"/>
        </w:rPr>
      </w:pPr>
      <w:bookmarkStart w:id="31" w:name="_Toc514941982"/>
      <w:bookmarkStart w:id="32" w:name="_Toc41916647"/>
      <w:r>
        <w:t>2.</w:t>
      </w:r>
      <w:r>
        <w:tab/>
      </w:r>
      <w:r>
        <w:rPr>
          <w:noProof/>
        </w:rPr>
        <w:t>MIŻURI TA’ ĠESTJONI</w:t>
      </w:r>
      <w:bookmarkEnd w:id="31"/>
      <w:bookmarkEnd w:id="32"/>
      <w:r>
        <w:rPr>
          <w:noProof/>
        </w:rPr>
        <w:t xml:space="preserve"> </w:t>
      </w:r>
    </w:p>
    <w:p>
      <w:pPr>
        <w:pStyle w:val="ManualHeading2"/>
        <w:rPr>
          <w:noProof/>
        </w:rPr>
      </w:pPr>
      <w:bookmarkStart w:id="33" w:name="_Toc514941983"/>
      <w:bookmarkStart w:id="34" w:name="_Toc41916648"/>
      <w:r>
        <w:t>2.1.</w:t>
      </w:r>
      <w:r>
        <w:tab/>
      </w:r>
      <w:r>
        <w:rPr>
          <w:noProof/>
        </w:rPr>
        <w:t>Regoli ta’ monitoraġġ u ta’ rapportar</w:t>
      </w:r>
      <w:bookmarkEnd w:id="33"/>
      <w:bookmarkEnd w:id="34"/>
      <w:r>
        <w:rPr>
          <w:noProof/>
        </w:rPr>
        <w:t xml:space="preserve"> </w:t>
      </w:r>
    </w:p>
    <w:p>
      <w:pPr>
        <w:pStyle w:val="Text1"/>
        <w:rPr>
          <w:i/>
          <w:noProof/>
          <w:sz w:val="20"/>
          <w:szCs w:val="20"/>
        </w:rPr>
      </w:pPr>
      <w:r>
        <w:rPr>
          <w:i/>
          <w:noProof/>
          <w:sz w:val="20"/>
          <w:szCs w:val="20"/>
        </w:rPr>
        <w:t>Speċifika l-frekwenza u l-kundizzjonijiet.</w:t>
      </w:r>
    </w:p>
    <w:p>
      <w:pPr>
        <w:pStyle w:val="Text1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noProof/>
        </w:rPr>
      </w:pPr>
      <w:r>
        <w:rPr>
          <w:noProof/>
        </w:rPr>
        <w:t>Azzjonijiet u miżuri li jirċievu assistenza finanzjarja taħt dawn id-Deċiżjonijiet għandhom jiġu mmonitorjati regolarment.</w:t>
      </w:r>
    </w:p>
    <w:p>
      <w:pPr>
        <w:pStyle w:val="Text1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noProof/>
        </w:rPr>
      </w:pPr>
      <w:r>
        <w:rPr>
          <w:noProof/>
        </w:rPr>
        <w:t>Il-Kummissjoni hija meħtieġa li tevalwa l-Mekkaniżmu tal-Unjoni skont l-Artikolu 34 tad-Deċiżjoni 1313/2013/UE.</w:t>
      </w:r>
    </w:p>
    <w:p>
      <w:pPr>
        <w:pStyle w:val="ManualHeading2"/>
        <w:rPr>
          <w:bCs/>
          <w:noProof/>
          <w:szCs w:val="24"/>
        </w:rPr>
      </w:pPr>
      <w:bookmarkStart w:id="35" w:name="_Toc514941984"/>
      <w:bookmarkStart w:id="36" w:name="_Toc41916649"/>
      <w:r>
        <w:t>2.2.</w:t>
      </w:r>
      <w:r>
        <w:tab/>
      </w:r>
      <w:r>
        <w:rPr>
          <w:noProof/>
        </w:rPr>
        <w:t>Sistema(i) ta’ ġestjoni u ta’ kontroll</w:t>
      </w:r>
      <w:bookmarkEnd w:id="35"/>
      <w:bookmarkEnd w:id="36"/>
      <w:r>
        <w:rPr>
          <w:noProof/>
        </w:rPr>
        <w:t xml:space="preserve"> </w:t>
      </w:r>
    </w:p>
    <w:p>
      <w:pPr>
        <w:pStyle w:val="ManualHeading3"/>
        <w:rPr>
          <w:noProof/>
        </w:rPr>
      </w:pPr>
      <w:bookmarkStart w:id="37" w:name="_Toc514941985"/>
      <w:bookmarkStart w:id="38" w:name="_Toc41916650"/>
      <w:r>
        <w:t>2.2.1.</w:t>
      </w:r>
      <w:r>
        <w:tab/>
      </w:r>
      <w:r>
        <w:rPr>
          <w:noProof/>
        </w:rPr>
        <w:t>Ġustifikazzjoni tal-mod(i) ta’ ġestjoni, il-mekkaniżmu/i għall-implimentazzjoni tal-finanzjament, il-modalitajiet ta’ pagament u l-istrateġija ta’ kontroll proposta</w:t>
      </w:r>
      <w:bookmarkEnd w:id="37"/>
      <w:bookmarkEnd w:id="38"/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 xml:space="preserve">L-assistenza finanzjarja dwar il-prevenzjoni u t-tħejjija permezz tal-Mekkaniżmu tal-Unjoni tintefaq skont programm ta’ ħidma annwali adottat mill-Kumitat tal-Protezzjoni Ċivili. Il-Kummissjoni regolarment tinforma lill-Kumitat dwar l-implimentazzjoni tal-programm ta’ ħidma. 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 xml:space="preserve">L-implimentazzjoni se ssir permezz ta’ għotjiet u kuntratti b’modalitajiet ta’ pagament ibbażati fuq l-esperjenza li ssawret fil-passat. 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 xml:space="preserve">Fuq il-bażi tat-tagħlimiet meħuda mill-implimentazzjoni tal-Mekkaniżmu tal-Unjoni fl-imgħoddi u biex tiġi żgurata implimentazzjoni effettiva tal-objettivi tal-Mekkaniżmu tal-Unjoni, il-Kummissjoni biħsiebha timplimenta l-azzjonijiet b’ġestjoni diretta u indiretta billi tqis b’mod sħiħ il-prinċipji tal-ekonomija, l-effiċjenza u l-aħjar valur għall-flus. </w:t>
      </w:r>
    </w:p>
    <w:p>
      <w:pPr>
        <w:pStyle w:val="ManualHeading3"/>
        <w:rPr>
          <w:noProof/>
        </w:rPr>
      </w:pPr>
      <w:bookmarkStart w:id="39" w:name="_Toc514941986"/>
      <w:bookmarkStart w:id="40" w:name="_Toc41916651"/>
      <w:r>
        <w:t>2.2.2.</w:t>
      </w:r>
      <w:r>
        <w:tab/>
      </w:r>
      <w:r>
        <w:rPr>
          <w:noProof/>
        </w:rPr>
        <w:t>Informazzjoni dwar ir-riskji identifikati u s-sistema/i ta’ kontroll intern stabbiliti għall-mitigazzjoni tagħhom</w:t>
      </w:r>
      <w:bookmarkEnd w:id="39"/>
      <w:bookmarkEnd w:id="40"/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 xml:space="preserve">Is-sistema ta’ kontroll intern eżistenti tal-Kummissjoni Ewropea tapplika biex tiżgura li l-fondi disponibbli permezz tal-Mekkaniżmu tal-Unjoni jintużaw sew u f’konformità ma’ leġiżlazzjoni xierqa. 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Is-sistema attwali hija stabbilita kif ġej: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 xml:space="preserve">1. It-tim tal-kontroll intern fis-servizz ewlieni (id-Direttorat Ġenerali għall-Protezzjoni Ċivili u l-Operazzjonijiet tal-Għajnuna Umanitarja Ewropej / DĠ ECHO) jiffoka fuq il-konformità mal-proċeduri amministrattivi u l-leġiżlazzjoni fis-seħħ fil-qasam tal-protezzjoni ċivili. Il-qafas ta’ Kontroll Intern tal-Kummissjoni jintuża għal dan l-għan. 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 xml:space="preserve">2. Awditjar regolari ta’ għotjiet u kuntratti minn awdituri esterni, li jingħataw taħt il-baġit tal-protezzjoni ċivili huma inkorporati b’mod sħiħ fil-pjan ta’ verifika annwali tad-DĠ ECHO. 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3. Evalwazzjoni ta’ attivitajiet ġenerali minn evalwaturi esterni.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L-azzjonijiet imwettqa jistgħu jiġu awditjati mill-uffiċċju Ewropew ta’ Kontra l-Frodi, l-OLAF u l-Qorti tal-Awdituri.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Dwar is-superviżjoni u l-monitoraġġ, l-esperjenza estensiva miksuba mill-implimentazzjoni tal-istrument ta’ għajnuna umanitarja se tiġi applikata, bil-bidliet meħtieġa, għall-implimentazzjoni tal-Mekkaniżmu tal-Unjoni taħt ġestjoni indiretta.</w:t>
      </w:r>
    </w:p>
    <w:p>
      <w:pPr>
        <w:pStyle w:val="ManualHeading3"/>
        <w:rPr>
          <w:noProof/>
        </w:rPr>
      </w:pPr>
      <w:bookmarkStart w:id="41" w:name="_Toc514941987"/>
      <w:bookmarkStart w:id="42" w:name="_Toc41916652"/>
      <w:r>
        <w:t>2.2.3.</w:t>
      </w:r>
      <w:r>
        <w:tab/>
      </w:r>
      <w:r>
        <w:rPr>
          <w:noProof/>
        </w:rPr>
        <w:t>Stima u ġustifikazzjoni tal-kosteffettività tal-kontrolli (proporzjon tal-“kostijiet tal-kontroll ÷ il-valur tal-fondi relatati ġestiti”) u valutazzjoni tal-livelli mistennija tar-riskju ta’ errur (mal-ħlas u fl-għeluq)</w:t>
      </w:r>
      <w:bookmarkEnd w:id="41"/>
      <w:bookmarkEnd w:id="42"/>
      <w:r>
        <w:rPr>
          <w:noProof/>
        </w:rPr>
        <w:t xml:space="preserve"> 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 xml:space="preserve">L-ispiża stmata tal-istrateġija ta’ kontroll tad-DĠ ECHO tirrappreżenta 0,3 % tal-ġestjoni indiretta tal-baġit tal-2019 u 0,4 % tal-ġestjoni diretta tal-baġit tal-2019. L-elementi prinċipali ta’ dan l-indikatur huma: 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 xml:space="preserve">– it-total tal-ispejjeż tal-persunal tal-esperti tad-DĠ ECHO f’dan il-qasam, flimkien ma’ dawk tal-unitajiet finanzjarji u operazzjonali mmultiplikat bit-tul ta’ ħin stmat iddedikat għall-attivitajiet ta’ assigurazzjoni tal-kwalità, kontroll u monitoraġġ; 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 xml:space="preserve">– ir-riżorsi totali fis-settur tal-awditjar estern tad-DĠ ECHO ddedikati għall-awditi u l-verifiki. 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 xml:space="preserve">Meta jitqies il-kost limitat ħafna ta’ tali kontrolli flimkien mal-benefiċċji kwantifikabbli (korrezzjonijiet u rkupri) u mhux kwantifikabbli (effett ta’ deterrent u l-effett ta’ assigurazzjoni tal-kwalità tal-kontrolli) marbuta magħhom, il-Kummissjoni tista’ tikkonkludi li l-benefiċċji kwantifikabbli u mhux kwantifikabbli li jirriżultaw mill-kontrolli jissuperaw sew il-kost limitat tagħhom. 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 xml:space="preserve">Fir-rigward tal-entitajiet inkarigati li jimplimentaw il-finanzjament tal-Unjoni taħt modalità ta’ ġestjoni indiretta, il-Kummissjoni tikkontribwixxi sa 7 % tal-ispejjeż diretti eliġibbli tagħhom biex tiżgura s-superviżjoni u l-ġestjoni tal-finanzjament tal-Unjoni. 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Dan huwa kkonfermat mir-rata pluriennali ta’ erruri residwi ta’ 0,87 % irrappurtata mill-Kummissjoni fl-2019 għad-dipartiment tagħha għall-għajnuna umanitarja u l-protezzjoni ċivili.</w:t>
      </w:r>
    </w:p>
    <w:p>
      <w:pPr>
        <w:pStyle w:val="ManualHeading2"/>
        <w:rPr>
          <w:bCs/>
          <w:noProof/>
          <w:szCs w:val="24"/>
        </w:rPr>
      </w:pPr>
      <w:bookmarkStart w:id="43" w:name="_Toc514941988"/>
      <w:bookmarkStart w:id="44" w:name="_Toc41916653"/>
      <w:r>
        <w:t>2.3.</w:t>
      </w:r>
      <w:r>
        <w:tab/>
      </w:r>
      <w:r>
        <w:rPr>
          <w:noProof/>
        </w:rPr>
        <w:t>Miżuri għall-prevenzjoni ta’ frodi u ta’ irregolaritajiet</w:t>
      </w:r>
      <w:bookmarkEnd w:id="43"/>
      <w:bookmarkEnd w:id="44"/>
      <w:r>
        <w:rPr>
          <w:noProof/>
        </w:rPr>
        <w:t xml:space="preserve"> </w:t>
      </w:r>
    </w:p>
    <w:p>
      <w:pPr>
        <w:pStyle w:val="Text1"/>
        <w:rPr>
          <w:i/>
          <w:noProof/>
          <w:sz w:val="20"/>
          <w:szCs w:val="20"/>
        </w:rPr>
      </w:pPr>
      <w:r>
        <w:rPr>
          <w:i/>
          <w:noProof/>
          <w:sz w:val="20"/>
          <w:szCs w:val="20"/>
        </w:rPr>
        <w:t>Speċifika l-miżuri ta’ prevenzjoni u ta’ protezzjoni eżistenti jew previsti, eż. mill-Istrateġija Kontra l-Frodi.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 xml:space="preserve">L-istrateġija tad-DĠ ECHO kontra l-frodi, f’konformità mal-istrateġija tal-Kummissjoni kontra l-frodi, tintuża sabiex tiżgura li: 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 xml:space="preserve">– Il-kontrolli interni relatati mal-ġlieda kontra l-frodi tad-DĠ ECHO huma kompletament allinjati mal-istrateġija kontra l-frodi tal-Kummissjoni; AFS; 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 xml:space="preserve">– L-approċċ tal-ġestjoni tar-riskju ta’ frodi tad-DĠ ECHO huwa mmirat sabiex jidentifika ż-żoni f’riskju ta’ frodi u reazzjoni adegwata. 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 xml:space="preserve">Is-sistemi użati biex jintefqu l-fondi tal-Unjoni f’pajjiżi terzi jippermettu li </w:t>
      </w:r>
      <w:r>
        <w:rPr>
          <w:i/>
          <w:noProof/>
        </w:rPr>
        <w:t>data</w:t>
      </w:r>
      <w:r>
        <w:rPr>
          <w:noProof/>
        </w:rPr>
        <w:t xml:space="preserve"> rilevanti tiġi rkuprata bil-ħsieb li din id-</w:t>
      </w:r>
      <w:r>
        <w:rPr>
          <w:i/>
          <w:noProof/>
        </w:rPr>
        <w:t>data</w:t>
      </w:r>
      <w:r>
        <w:rPr>
          <w:noProof/>
        </w:rPr>
        <w:t xml:space="preserve"> tintuża għall-ġestjoni tar-riskju tal-frodi (pereż. biex jinkixef il-finanzjament doppju); 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Fejn meħtieġ, jistgħu jiġu stabbiliti gruppi ta’ netwerk u għodod adegwati tal-IT ddedikati għall-analiżi ta’ każijiet tal-frodi relatati mas-setturi.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  <w:sectPr>
          <w:pgSz w:w="11907" w:h="16840" w:code="9"/>
          <w:pgMar w:top="1134" w:right="1418" w:bottom="1134" w:left="1418" w:header="709" w:footer="709" w:gutter="0"/>
          <w:cols w:space="708"/>
          <w:docGrid w:linePitch="360"/>
        </w:sectPr>
      </w:pPr>
    </w:p>
    <w:p>
      <w:pPr>
        <w:pStyle w:val="ManualHeading1"/>
        <w:rPr>
          <w:bCs/>
          <w:noProof/>
          <w:szCs w:val="24"/>
        </w:rPr>
      </w:pPr>
      <w:bookmarkStart w:id="45" w:name="_Toc514941989"/>
      <w:bookmarkStart w:id="46" w:name="_Toc41916654"/>
      <w:r>
        <w:t>3.</w:t>
      </w:r>
      <w:r>
        <w:tab/>
      </w:r>
      <w:r>
        <w:rPr>
          <w:noProof/>
        </w:rPr>
        <w:t>IMPATT FINANZJARJU STMAT TAL-PROPOSTA / TAL-INIZJATTIVA</w:t>
      </w:r>
      <w:bookmarkEnd w:id="45"/>
      <w:bookmarkEnd w:id="46"/>
      <w:r>
        <w:rPr>
          <w:noProof/>
        </w:rPr>
        <w:t xml:space="preserve"> </w:t>
      </w:r>
    </w:p>
    <w:p>
      <w:pPr>
        <w:pStyle w:val="ManualHeading2"/>
        <w:rPr>
          <w:noProof/>
        </w:rPr>
      </w:pPr>
      <w:bookmarkStart w:id="47" w:name="_Toc514941990"/>
      <w:bookmarkStart w:id="48" w:name="_Toc41916655"/>
      <w:r>
        <w:t>3.1.</w:t>
      </w:r>
      <w:r>
        <w:tab/>
      </w:r>
      <w:r>
        <w:rPr>
          <w:noProof/>
        </w:rPr>
        <w:t>Intestatura tal-qafas finanzjarju pluriennali u l-linja baġitarja ġdida tan-nefqa proposta / l-linji baġitarji ġodda tan-nefqa proposti</w:t>
      </w:r>
      <w:bookmarkEnd w:id="47"/>
      <w:bookmarkEnd w:id="48"/>
      <w:r>
        <w:rPr>
          <w:noProof/>
        </w:rPr>
        <w:t xml:space="preserve"> </w:t>
      </w:r>
    </w:p>
    <w:tbl>
      <w:tblPr>
        <w:tblW w:w="1056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3960"/>
        <w:gridCol w:w="1080"/>
        <w:gridCol w:w="1044"/>
        <w:gridCol w:w="1134"/>
        <w:gridCol w:w="814"/>
        <w:gridCol w:w="1448"/>
      </w:tblGrid>
      <w:tr>
        <w:tc>
          <w:tcPr>
            <w:tcW w:w="1080" w:type="dxa"/>
            <w:vMerge w:val="restart"/>
            <w:vAlign w:val="center"/>
          </w:tcPr>
          <w:p>
            <w:pPr>
              <w:spacing w:before="60" w:after="60"/>
              <w:jc w:val="center"/>
              <w:rPr>
                <w:noProof/>
              </w:rPr>
            </w:pPr>
            <w:r>
              <w:rPr>
                <w:noProof/>
                <w:sz w:val="18"/>
              </w:rPr>
              <w:t>Intestatura tal-qafas finanzjarju pluriennali</w:t>
            </w:r>
          </w:p>
        </w:tc>
        <w:tc>
          <w:tcPr>
            <w:tcW w:w="3960" w:type="dxa"/>
            <w:vAlign w:val="center"/>
          </w:tcPr>
          <w:p>
            <w:pPr>
              <w:spacing w:before="60" w:after="60"/>
              <w:jc w:val="center"/>
              <w:rPr>
                <w:noProof/>
              </w:rPr>
            </w:pPr>
            <w:r>
              <w:rPr>
                <w:noProof/>
                <w:sz w:val="20"/>
              </w:rPr>
              <w:t>Linja baġitarja</w:t>
            </w:r>
          </w:p>
        </w:tc>
        <w:tc>
          <w:tcPr>
            <w:tcW w:w="1080" w:type="dxa"/>
            <w:vAlign w:val="center"/>
          </w:tcPr>
          <w:p>
            <w:pPr>
              <w:spacing w:before="60" w:after="60"/>
              <w:jc w:val="center"/>
              <w:rPr>
                <w:noProof/>
              </w:rPr>
            </w:pPr>
            <w:r>
              <w:rPr>
                <w:noProof/>
                <w:sz w:val="18"/>
              </w:rPr>
              <w:t>Tip</w:t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br/>
            </w:r>
            <w:r>
              <w:rPr>
                <w:noProof/>
                <w:sz w:val="18"/>
              </w:rPr>
              <w:t>ta’ nefqa</w:t>
            </w:r>
          </w:p>
        </w:tc>
        <w:tc>
          <w:tcPr>
            <w:tcW w:w="4440" w:type="dxa"/>
            <w:gridSpan w:val="4"/>
            <w:vAlign w:val="center"/>
          </w:tcPr>
          <w:p>
            <w:pPr>
              <w:spacing w:before="60" w:after="60"/>
              <w:jc w:val="center"/>
              <w:rPr>
                <w:noProof/>
              </w:rPr>
            </w:pPr>
            <w:r>
              <w:rPr>
                <w:noProof/>
                <w:sz w:val="20"/>
              </w:rPr>
              <w:t xml:space="preserve">Kontribuzzjoni </w:t>
            </w:r>
          </w:p>
        </w:tc>
      </w:tr>
      <w:tr>
        <w:tc>
          <w:tcPr>
            <w:tcW w:w="1080" w:type="dxa"/>
            <w:vMerge/>
            <w:vAlign w:val="center"/>
          </w:tcPr>
          <w:p>
            <w:pPr>
              <w:jc w:val="center"/>
              <w:rPr>
                <w:noProof/>
              </w:rPr>
            </w:pPr>
          </w:p>
        </w:tc>
        <w:tc>
          <w:tcPr>
            <w:tcW w:w="3960" w:type="dxa"/>
            <w:vAlign w:val="center"/>
          </w:tcPr>
          <w:p>
            <w:pPr>
              <w:rPr>
                <w:noProof/>
              </w:rPr>
            </w:pPr>
            <w:r>
              <w:rPr>
                <w:noProof/>
                <w:sz w:val="20"/>
              </w:rPr>
              <w:t>Numru 14: Reazzjoni għall-Kriżijiet</w:t>
            </w:r>
          </w:p>
          <w:p>
            <w:pPr>
              <w:rPr>
                <w:noProof/>
              </w:rPr>
            </w:pPr>
            <w:r>
              <w:rPr>
                <w:noProof/>
                <w:sz w:val="20"/>
              </w:rPr>
              <w:t>Intestatura 5: Sigurtà u Difiża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noProof/>
              </w:rPr>
            </w:pPr>
            <w:r>
              <w:rPr>
                <w:noProof/>
                <w:sz w:val="18"/>
                <w:szCs w:val="18"/>
              </w:rPr>
              <w:t>Diff./Mhux diff</w:t>
            </w:r>
            <w:r>
              <w:rPr>
                <w:rStyle w:val="FootnoteReference"/>
                <w:noProof/>
                <w:sz w:val="18"/>
                <w:szCs w:val="18"/>
              </w:rPr>
              <w:footnoteReference w:id="22"/>
            </w:r>
            <w:r>
              <w:rPr>
                <w:noProof/>
              </w:rPr>
              <w:t>.</w:t>
            </w:r>
          </w:p>
        </w:tc>
        <w:tc>
          <w:tcPr>
            <w:tcW w:w="1044" w:type="dxa"/>
            <w:vAlign w:val="center"/>
          </w:tcPr>
          <w:p>
            <w:pPr>
              <w:jc w:val="center"/>
              <w:rPr>
                <w:noProof/>
              </w:rPr>
            </w:pPr>
            <w:r>
              <w:rPr>
                <w:noProof/>
                <w:sz w:val="18"/>
                <w:szCs w:val="18"/>
              </w:rPr>
              <w:t>minn pajjiżi tal-EFTA</w:t>
            </w:r>
            <w:r>
              <w:rPr>
                <w:rStyle w:val="FootnoteReference"/>
                <w:noProof/>
                <w:sz w:val="18"/>
                <w:szCs w:val="18"/>
              </w:rPr>
              <w:footnoteReference w:id="23"/>
            </w:r>
          </w:p>
          <w:p>
            <w:pPr>
              <w:spacing w:before="0" w:after="0"/>
              <w:jc w:val="center"/>
              <w:rPr>
                <w:b/>
                <w:noProof/>
                <w:sz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noProof/>
              </w:rPr>
            </w:pPr>
            <w:r>
              <w:rPr>
                <w:noProof/>
                <w:sz w:val="18"/>
                <w:szCs w:val="18"/>
              </w:rPr>
              <w:t>minn pajjiżi kandidati</w:t>
            </w:r>
            <w:r>
              <w:rPr>
                <w:rStyle w:val="FootnoteReference"/>
                <w:noProof/>
                <w:sz w:val="18"/>
                <w:szCs w:val="18"/>
              </w:rPr>
              <w:footnoteReference w:id="24"/>
            </w:r>
          </w:p>
          <w:p>
            <w:pPr>
              <w:spacing w:before="0" w:after="0"/>
              <w:jc w:val="center"/>
              <w:rPr>
                <w:noProof/>
                <w:sz w:val="18"/>
              </w:rPr>
            </w:pPr>
          </w:p>
        </w:tc>
        <w:tc>
          <w:tcPr>
            <w:tcW w:w="814" w:type="dxa"/>
            <w:vAlign w:val="center"/>
          </w:tcPr>
          <w:p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minn pajjiżi terzi</w:t>
            </w:r>
            <w:r>
              <w:rPr>
                <w:rStyle w:val="FootnoteReference"/>
                <w:noProof/>
                <w:sz w:val="18"/>
                <w:szCs w:val="18"/>
              </w:rPr>
              <w:footnoteReference w:id="25"/>
            </w:r>
          </w:p>
        </w:tc>
        <w:tc>
          <w:tcPr>
            <w:tcW w:w="1448" w:type="dxa"/>
            <w:vAlign w:val="center"/>
          </w:tcPr>
          <w:p>
            <w:pPr>
              <w:jc w:val="center"/>
              <w:rPr>
                <w:noProof/>
              </w:rPr>
            </w:pPr>
            <w:r>
              <w:rPr>
                <w:noProof/>
                <w:sz w:val="16"/>
              </w:rPr>
              <w:t xml:space="preserve">fis-sens tal-Artikolu [21(2)(b)] tar-Regolament Finanzjarju </w:t>
            </w:r>
          </w:p>
        </w:tc>
      </w:tr>
      <w:tr>
        <w:tc>
          <w:tcPr>
            <w:tcW w:w="1080" w:type="dxa"/>
            <w:vAlign w:val="center"/>
          </w:tcPr>
          <w:p>
            <w:pPr>
              <w:jc w:val="center"/>
              <w:rPr>
                <w:noProof/>
              </w:rPr>
            </w:pPr>
            <w:r>
              <w:rPr>
                <w:noProof/>
              </w:rPr>
              <w:t>5</w:t>
            </w:r>
          </w:p>
        </w:tc>
        <w:tc>
          <w:tcPr>
            <w:tcW w:w="3960" w:type="dxa"/>
            <w:vAlign w:val="center"/>
          </w:tcPr>
          <w:p>
            <w:pPr>
              <w:rPr>
                <w:noProof/>
                <w:sz w:val="20"/>
              </w:rPr>
            </w:pPr>
            <w:r>
              <w:rPr>
                <w:noProof/>
              </w:rPr>
              <w:t>14 01 01 Mekkaniżmi ta’ protezzjoni ċivili tal-Unjoni — Nefqa ta’ sostenn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22"/>
                <w:szCs w:val="18"/>
              </w:rPr>
              <w:t>Mhux diff.</w:t>
            </w:r>
          </w:p>
        </w:tc>
        <w:tc>
          <w:tcPr>
            <w:tcW w:w="1044" w:type="dxa"/>
            <w:vAlign w:val="center"/>
          </w:tcPr>
          <w:p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22"/>
              </w:rPr>
              <w:t>IVA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22"/>
              </w:rPr>
              <w:t>IVA</w:t>
            </w:r>
          </w:p>
        </w:tc>
        <w:tc>
          <w:tcPr>
            <w:tcW w:w="814" w:type="dxa"/>
            <w:vAlign w:val="center"/>
          </w:tcPr>
          <w:p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22"/>
              </w:rPr>
              <w:t>IVA</w:t>
            </w:r>
          </w:p>
        </w:tc>
        <w:tc>
          <w:tcPr>
            <w:tcW w:w="1448" w:type="dxa"/>
            <w:vAlign w:val="center"/>
          </w:tcPr>
          <w:p>
            <w:pPr>
              <w:jc w:val="center"/>
              <w:rPr>
                <w:noProof/>
                <w:sz w:val="16"/>
              </w:rPr>
            </w:pPr>
            <w:r>
              <w:rPr>
                <w:noProof/>
                <w:sz w:val="22"/>
              </w:rPr>
              <w:t>LE</w:t>
            </w:r>
          </w:p>
        </w:tc>
      </w:tr>
      <w:tr>
        <w:tc>
          <w:tcPr>
            <w:tcW w:w="1080" w:type="dxa"/>
            <w:vAlign w:val="center"/>
          </w:tcPr>
          <w:p>
            <w:pPr>
              <w:jc w:val="center"/>
              <w:rPr>
                <w:noProof/>
                <w:sz w:val="22"/>
              </w:rPr>
            </w:pPr>
            <w:r>
              <w:rPr>
                <w:noProof/>
                <w:sz w:val="22"/>
              </w:rPr>
              <w:t>5</w:t>
            </w:r>
          </w:p>
        </w:tc>
        <w:tc>
          <w:tcPr>
            <w:tcW w:w="3960" w:type="dxa"/>
            <w:vAlign w:val="center"/>
          </w:tcPr>
          <w:p>
            <w:pPr>
              <w:spacing w:before="60"/>
              <w:jc w:val="left"/>
              <w:rPr>
                <w:noProof/>
                <w:sz w:val="22"/>
              </w:rPr>
            </w:pPr>
            <w:r>
              <w:rPr>
                <w:noProof/>
              </w:rPr>
              <w:t>14 02 01 — Mekkaniżmu tal-Unjoni għall-protezzjoni ċivili: Prevenzjoni u tħejjija, u rispons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noProof/>
                <w:color w:val="0000FF"/>
              </w:rPr>
            </w:pPr>
            <w:r>
              <w:rPr>
                <w:noProof/>
                <w:sz w:val="22"/>
              </w:rPr>
              <w:t>Diff</w:t>
            </w:r>
          </w:p>
        </w:tc>
        <w:tc>
          <w:tcPr>
            <w:tcW w:w="1044" w:type="dxa"/>
            <w:vAlign w:val="center"/>
          </w:tcPr>
          <w:p>
            <w:pPr>
              <w:jc w:val="center"/>
              <w:rPr>
                <w:noProof/>
              </w:rPr>
            </w:pPr>
            <w:r>
              <w:rPr>
                <w:noProof/>
                <w:sz w:val="22"/>
              </w:rPr>
              <w:t>IVA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noProof/>
              </w:rPr>
            </w:pPr>
            <w:r>
              <w:rPr>
                <w:noProof/>
                <w:sz w:val="22"/>
              </w:rPr>
              <w:t>IVA</w:t>
            </w:r>
          </w:p>
        </w:tc>
        <w:tc>
          <w:tcPr>
            <w:tcW w:w="814" w:type="dxa"/>
            <w:vAlign w:val="center"/>
          </w:tcPr>
          <w:p>
            <w:pPr>
              <w:jc w:val="center"/>
              <w:rPr>
                <w:noProof/>
              </w:rPr>
            </w:pPr>
            <w:r>
              <w:rPr>
                <w:noProof/>
                <w:sz w:val="22"/>
              </w:rPr>
              <w:t>IVA</w:t>
            </w:r>
          </w:p>
        </w:tc>
        <w:tc>
          <w:tcPr>
            <w:tcW w:w="1448" w:type="dxa"/>
            <w:vAlign w:val="center"/>
          </w:tcPr>
          <w:p>
            <w:pPr>
              <w:jc w:val="center"/>
              <w:rPr>
                <w:noProof/>
              </w:rPr>
            </w:pPr>
            <w:r>
              <w:rPr>
                <w:noProof/>
                <w:sz w:val="22"/>
              </w:rPr>
              <w:t>LE</w:t>
            </w:r>
          </w:p>
        </w:tc>
      </w:tr>
    </w:tbl>
    <w:p>
      <w:pPr>
        <w:rPr>
          <w:noProof/>
        </w:rPr>
        <w:sectPr>
          <w:pgSz w:w="11907" w:h="16840" w:code="1"/>
          <w:pgMar w:top="1134" w:right="1418" w:bottom="1134" w:left="1418" w:header="709" w:footer="709" w:gutter="0"/>
          <w:cols w:space="708"/>
          <w:docGrid w:linePitch="360"/>
        </w:sectPr>
      </w:pPr>
    </w:p>
    <w:p>
      <w:pPr>
        <w:pStyle w:val="ManualHeading2"/>
        <w:rPr>
          <w:bCs/>
          <w:noProof/>
          <w:szCs w:val="24"/>
        </w:rPr>
      </w:pPr>
      <w:bookmarkStart w:id="49" w:name="_Toc514941991"/>
      <w:bookmarkStart w:id="50" w:name="_Toc41916656"/>
      <w:r>
        <w:t>3.2.</w:t>
      </w:r>
      <w:r>
        <w:tab/>
      </w:r>
      <w:r>
        <w:rPr>
          <w:noProof/>
        </w:rPr>
        <w:t>Impatt stmat fuq in-nefqa</w:t>
      </w:r>
      <w:bookmarkEnd w:id="49"/>
      <w:bookmarkEnd w:id="50"/>
      <w:r>
        <w:rPr>
          <w:noProof/>
        </w:rPr>
        <w:t xml:space="preserve"> </w:t>
      </w:r>
    </w:p>
    <w:p>
      <w:pPr>
        <w:pStyle w:val="ManualHeading3"/>
        <w:rPr>
          <w:noProof/>
          <w:u w:val="single"/>
        </w:rPr>
      </w:pPr>
      <w:bookmarkStart w:id="51" w:name="_Toc514941992"/>
      <w:bookmarkStart w:id="52" w:name="_Toc41916657"/>
      <w:r>
        <w:t>3.2.1.</w:t>
      </w:r>
      <w:r>
        <w:tab/>
      </w:r>
      <w:r>
        <w:rPr>
          <w:noProof/>
        </w:rPr>
        <w:t>Sommarju tal-impatt stmat fuq in-nefqa</w:t>
      </w:r>
      <w:bookmarkEnd w:id="51"/>
      <w:bookmarkEnd w:id="52"/>
      <w:r>
        <w:rPr>
          <w:noProof/>
        </w:rPr>
        <w:t xml:space="preserve"> </w:t>
      </w:r>
    </w:p>
    <w:p>
      <w:pPr>
        <w:rPr>
          <w:noProof/>
          <w:sz w:val="22"/>
        </w:rPr>
      </w:pPr>
      <w:r>
        <w:rPr>
          <w:noProof/>
        </w:rPr>
        <w:t>Din it-tabella tippreżenta l-pakkett finanzjarju allokat lill-Mekkaniżmu tal-Protezzjoni Ċivili tal-Unjoni għall-perjodu 2021–2027 taħt l-Artikolu 19(1a). Din it-tabella tissostitwixxi dik ippreżentata fl-Istqarrija Finanzjarja Leġiżlattiva tal-proposta COM(2019) 125 final.</w:t>
      </w:r>
    </w:p>
    <w:p>
      <w:pPr>
        <w:rPr>
          <w:noProof/>
        </w:rPr>
      </w:pPr>
      <w:r>
        <w:rPr>
          <w:noProof/>
        </w:rPr>
        <w:t>It-tqassim indikattiv tan-nefqa mill-Intestatura 5 huwa kif ġej:</w:t>
      </w:r>
    </w:p>
    <w:p>
      <w:pPr>
        <w:jc w:val="right"/>
        <w:rPr>
          <w:noProof/>
          <w:sz w:val="20"/>
        </w:rPr>
      </w:pPr>
      <w:r>
        <w:rPr>
          <w:noProof/>
          <w:sz w:val="20"/>
        </w:rPr>
        <w:t>EUR miljuni (sa tliet pożizzjonijiet deċimali)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44"/>
        <w:gridCol w:w="1080"/>
        <w:gridCol w:w="7817"/>
      </w:tblGrid>
      <w:tr>
        <w:trPr>
          <w:jc w:val="center"/>
        </w:trPr>
        <w:tc>
          <w:tcPr>
            <w:tcW w:w="4744" w:type="dxa"/>
            <w:shd w:val="thinDiagStripe" w:color="C0C0C0" w:fill="auto"/>
            <w:vAlign w:val="center"/>
          </w:tcPr>
          <w:p>
            <w:pPr>
              <w:spacing w:before="60" w:after="60"/>
              <w:jc w:val="center"/>
              <w:rPr>
                <w:b/>
                <w:noProof/>
              </w:rPr>
            </w:pPr>
            <w:r>
              <w:rPr>
                <w:b/>
                <w:noProof/>
                <w:sz w:val="22"/>
              </w:rPr>
              <w:t>Intestatura tal-qafas finanzjarju</w:t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br/>
            </w:r>
            <w:r>
              <w:rPr>
                <w:b/>
                <w:noProof/>
                <w:sz w:val="22"/>
              </w:rPr>
              <w:t xml:space="preserve">pluriennali </w:t>
            </w:r>
          </w:p>
        </w:tc>
        <w:tc>
          <w:tcPr>
            <w:tcW w:w="1080" w:type="dxa"/>
            <w:vAlign w:val="center"/>
          </w:tcPr>
          <w:p>
            <w:pPr>
              <w:spacing w:before="60" w:after="60"/>
              <w:jc w:val="center"/>
              <w:rPr>
                <w:noProof/>
                <w:color w:val="000000" w:themeColor="text1"/>
              </w:rPr>
            </w:pPr>
            <w:r>
              <w:rPr>
                <w:b/>
                <w:noProof/>
                <w:color w:val="000000" w:themeColor="text1"/>
                <w:sz w:val="22"/>
              </w:rPr>
              <w:t>5</w:t>
            </w:r>
          </w:p>
        </w:tc>
        <w:tc>
          <w:tcPr>
            <w:tcW w:w="7817" w:type="dxa"/>
            <w:vAlign w:val="center"/>
          </w:tcPr>
          <w:p>
            <w:pPr>
              <w:spacing w:before="60" w:after="60"/>
              <w:rPr>
                <w:noProof/>
                <w:color w:val="000000" w:themeColor="text1"/>
              </w:rPr>
            </w:pPr>
            <w:r>
              <w:rPr>
                <w:noProof/>
              </w:rPr>
              <w:t>Reżiljenza, Sigurtà u Difiża</w:t>
            </w:r>
          </w:p>
        </w:tc>
      </w:tr>
    </w:tbl>
    <w:p>
      <w:pPr>
        <w:rPr>
          <w:noProof/>
          <w:sz w:val="16"/>
        </w:rPr>
      </w:pPr>
    </w:p>
    <w:tbl>
      <w:tblPr>
        <w:tblW w:w="14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03"/>
        <w:gridCol w:w="1440"/>
        <w:gridCol w:w="654"/>
        <w:gridCol w:w="868"/>
        <w:gridCol w:w="868"/>
        <w:gridCol w:w="868"/>
        <w:gridCol w:w="868"/>
        <w:gridCol w:w="868"/>
        <w:gridCol w:w="868"/>
        <w:gridCol w:w="868"/>
        <w:gridCol w:w="1144"/>
        <w:gridCol w:w="1054"/>
      </w:tblGrid>
      <w:tr>
        <w:trPr>
          <w:jc w:val="center"/>
        </w:trPr>
        <w:tc>
          <w:tcPr>
            <w:tcW w:w="619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b/>
                <w:noProof/>
                <w:sz w:val="20"/>
              </w:rPr>
            </w:pPr>
          </w:p>
        </w:tc>
        <w:tc>
          <w:tcPr>
            <w:tcW w:w="868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2021</w:t>
            </w:r>
          </w:p>
        </w:tc>
        <w:tc>
          <w:tcPr>
            <w:tcW w:w="868" w:type="dxa"/>
            <w:vAlign w:val="center"/>
          </w:tcPr>
          <w:p>
            <w:pPr>
              <w:jc w:val="center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2022</w:t>
            </w:r>
          </w:p>
        </w:tc>
        <w:tc>
          <w:tcPr>
            <w:tcW w:w="868" w:type="dxa"/>
            <w:vAlign w:val="center"/>
          </w:tcPr>
          <w:p>
            <w:pPr>
              <w:jc w:val="center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2023</w:t>
            </w:r>
          </w:p>
        </w:tc>
        <w:tc>
          <w:tcPr>
            <w:tcW w:w="868" w:type="dxa"/>
            <w:vAlign w:val="center"/>
          </w:tcPr>
          <w:p>
            <w:pPr>
              <w:jc w:val="center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2024</w:t>
            </w:r>
          </w:p>
        </w:tc>
        <w:tc>
          <w:tcPr>
            <w:tcW w:w="868" w:type="dxa"/>
            <w:vAlign w:val="center"/>
          </w:tcPr>
          <w:p>
            <w:pPr>
              <w:jc w:val="center"/>
              <w:rPr>
                <w:b/>
                <w:noProof/>
                <w:sz w:val="18"/>
              </w:rPr>
            </w:pPr>
            <w:r>
              <w:rPr>
                <w:b/>
                <w:noProof/>
                <w:sz w:val="18"/>
              </w:rPr>
              <w:t>2025</w:t>
            </w:r>
          </w:p>
        </w:tc>
        <w:tc>
          <w:tcPr>
            <w:tcW w:w="868" w:type="dxa"/>
            <w:vAlign w:val="center"/>
          </w:tcPr>
          <w:p>
            <w:pPr>
              <w:jc w:val="center"/>
              <w:rPr>
                <w:b/>
                <w:noProof/>
                <w:sz w:val="18"/>
              </w:rPr>
            </w:pPr>
            <w:r>
              <w:rPr>
                <w:b/>
                <w:noProof/>
                <w:sz w:val="18"/>
              </w:rPr>
              <w:t>2026</w:t>
            </w:r>
          </w:p>
        </w:tc>
        <w:tc>
          <w:tcPr>
            <w:tcW w:w="868" w:type="dxa"/>
            <w:vAlign w:val="center"/>
          </w:tcPr>
          <w:p>
            <w:pPr>
              <w:jc w:val="center"/>
              <w:rPr>
                <w:b/>
                <w:noProof/>
                <w:sz w:val="18"/>
              </w:rPr>
            </w:pPr>
            <w:r>
              <w:rPr>
                <w:b/>
                <w:noProof/>
                <w:sz w:val="18"/>
              </w:rPr>
              <w:t>2027</w:t>
            </w:r>
          </w:p>
        </w:tc>
        <w:tc>
          <w:tcPr>
            <w:tcW w:w="1144" w:type="dxa"/>
          </w:tcPr>
          <w:p>
            <w:pPr>
              <w:jc w:val="center"/>
              <w:rPr>
                <w:b/>
                <w:i/>
                <w:noProof/>
                <w:sz w:val="20"/>
              </w:rPr>
            </w:pPr>
            <w:r>
              <w:rPr>
                <w:b/>
                <w:i/>
                <w:noProof/>
                <w:sz w:val="20"/>
              </w:rPr>
              <w:t>Wara l-2027</w:t>
            </w:r>
          </w:p>
        </w:tc>
        <w:tc>
          <w:tcPr>
            <w:tcW w:w="1054" w:type="dxa"/>
            <w:vAlign w:val="center"/>
          </w:tcPr>
          <w:p>
            <w:pPr>
              <w:jc w:val="center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TOTAL</w:t>
            </w:r>
          </w:p>
        </w:tc>
      </w:tr>
      <w:tr>
        <w:trPr>
          <w:trHeight w:val="433"/>
          <w:jc w:val="center"/>
        </w:trPr>
        <w:tc>
          <w:tcPr>
            <w:tcW w:w="4103" w:type="dxa"/>
            <w:vMerge w:val="restart"/>
            <w:vAlign w:val="center"/>
          </w:tcPr>
          <w:p>
            <w:pPr>
              <w:rPr>
                <w:noProof/>
                <w:sz w:val="20"/>
              </w:rPr>
            </w:pPr>
            <w:r>
              <w:rPr>
                <w:noProof/>
                <w:sz w:val="20"/>
              </w:rPr>
              <w:t>14 02 01 Prevenzjoni u Tħejjija tal-Mekkaniżmu tal-Unjoni għall-Protezzjoni Ċivili, u Rispons</w:t>
            </w:r>
          </w:p>
        </w:tc>
        <w:tc>
          <w:tcPr>
            <w:tcW w:w="1440" w:type="dxa"/>
            <w:vAlign w:val="center"/>
          </w:tcPr>
          <w:p>
            <w:pPr>
              <w:spacing w:before="20" w:after="20"/>
              <w:jc w:val="left"/>
              <w:rPr>
                <w:noProof/>
                <w:sz w:val="18"/>
              </w:rPr>
            </w:pPr>
            <w:r>
              <w:rPr>
                <w:noProof/>
                <w:sz w:val="18"/>
              </w:rPr>
              <w:t>Impenji</w:t>
            </w:r>
          </w:p>
        </w:tc>
        <w:tc>
          <w:tcPr>
            <w:tcW w:w="654" w:type="dxa"/>
            <w:vAlign w:val="center"/>
          </w:tcPr>
          <w:p>
            <w:pPr>
              <w:spacing w:before="20" w:after="20"/>
              <w:jc w:val="center"/>
              <w:rPr>
                <w:noProof/>
                <w:sz w:val="14"/>
              </w:rPr>
            </w:pPr>
            <w:r>
              <w:rPr>
                <w:noProof/>
                <w:sz w:val="14"/>
              </w:rPr>
              <w:t>(1)</w:t>
            </w:r>
          </w:p>
        </w:tc>
        <w:tc>
          <w:tcPr>
            <w:tcW w:w="868" w:type="dxa"/>
          </w:tcPr>
          <w:p>
            <w:pPr>
              <w:spacing w:before="20" w:after="20"/>
              <w:jc w:val="right"/>
              <w:rPr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>89 703</w:t>
            </w:r>
          </w:p>
        </w:tc>
        <w:tc>
          <w:tcPr>
            <w:tcW w:w="868" w:type="dxa"/>
          </w:tcPr>
          <w:p>
            <w:pPr>
              <w:spacing w:before="20" w:after="20"/>
              <w:jc w:val="right"/>
              <w:rPr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>94 744</w:t>
            </w:r>
          </w:p>
        </w:tc>
        <w:tc>
          <w:tcPr>
            <w:tcW w:w="868" w:type="dxa"/>
          </w:tcPr>
          <w:p>
            <w:pPr>
              <w:spacing w:before="20" w:after="20"/>
              <w:jc w:val="right"/>
              <w:rPr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>101 055</w:t>
            </w:r>
          </w:p>
        </w:tc>
        <w:tc>
          <w:tcPr>
            <w:tcW w:w="868" w:type="dxa"/>
          </w:tcPr>
          <w:p>
            <w:pPr>
              <w:spacing w:before="20" w:after="20"/>
              <w:jc w:val="right"/>
              <w:rPr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>106 454</w:t>
            </w:r>
          </w:p>
        </w:tc>
        <w:tc>
          <w:tcPr>
            <w:tcW w:w="868" w:type="dxa"/>
          </w:tcPr>
          <w:p>
            <w:pPr>
              <w:spacing w:before="20" w:after="20"/>
              <w:jc w:val="right"/>
              <w:rPr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>282 036</w:t>
            </w:r>
          </w:p>
        </w:tc>
        <w:tc>
          <w:tcPr>
            <w:tcW w:w="868" w:type="dxa"/>
          </w:tcPr>
          <w:p>
            <w:pPr>
              <w:spacing w:before="20" w:after="20"/>
              <w:jc w:val="right"/>
              <w:rPr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>292 363</w:t>
            </w:r>
          </w:p>
        </w:tc>
        <w:tc>
          <w:tcPr>
            <w:tcW w:w="868" w:type="dxa"/>
          </w:tcPr>
          <w:p>
            <w:pPr>
              <w:spacing w:before="20" w:after="20"/>
              <w:jc w:val="right"/>
              <w:rPr>
                <w:b/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>298 210</w:t>
            </w:r>
          </w:p>
        </w:tc>
        <w:tc>
          <w:tcPr>
            <w:tcW w:w="1144" w:type="dxa"/>
            <w:shd w:val="clear" w:color="auto" w:fill="A6A6A6" w:themeFill="background1" w:themeFillShade="A6"/>
          </w:tcPr>
          <w:p>
            <w:pPr>
              <w:spacing w:before="20" w:after="20"/>
              <w:jc w:val="right"/>
              <w:rPr>
                <w:b/>
                <w:noProof/>
                <w:sz w:val="16"/>
                <w:szCs w:val="20"/>
              </w:rPr>
            </w:pPr>
          </w:p>
        </w:tc>
        <w:tc>
          <w:tcPr>
            <w:tcW w:w="1054" w:type="dxa"/>
          </w:tcPr>
          <w:p>
            <w:pPr>
              <w:spacing w:before="20" w:after="20"/>
              <w:jc w:val="right"/>
              <w:rPr>
                <w:b/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>1 264 565</w:t>
            </w:r>
          </w:p>
        </w:tc>
      </w:tr>
      <w:tr>
        <w:trPr>
          <w:trHeight w:val="411"/>
          <w:jc w:val="center"/>
        </w:trPr>
        <w:tc>
          <w:tcPr>
            <w:tcW w:w="4103" w:type="dxa"/>
            <w:vMerge/>
          </w:tcPr>
          <w:p>
            <w:pPr>
              <w:jc w:val="center"/>
              <w:rPr>
                <w:noProof/>
                <w:sz w:val="20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20" w:after="20"/>
              <w:jc w:val="left"/>
              <w:rPr>
                <w:noProof/>
                <w:sz w:val="18"/>
              </w:rPr>
            </w:pPr>
            <w:r>
              <w:rPr>
                <w:noProof/>
                <w:sz w:val="18"/>
              </w:rPr>
              <w:t>Pagamenti</w:t>
            </w:r>
          </w:p>
        </w:tc>
        <w:tc>
          <w:tcPr>
            <w:tcW w:w="654" w:type="dxa"/>
            <w:vAlign w:val="center"/>
          </w:tcPr>
          <w:p>
            <w:pPr>
              <w:spacing w:before="20" w:after="20"/>
              <w:jc w:val="center"/>
              <w:rPr>
                <w:noProof/>
                <w:sz w:val="14"/>
              </w:rPr>
            </w:pPr>
            <w:r>
              <w:rPr>
                <w:noProof/>
                <w:sz w:val="14"/>
              </w:rPr>
              <w:t>(2)</w:t>
            </w:r>
          </w:p>
        </w:tc>
        <w:tc>
          <w:tcPr>
            <w:tcW w:w="868" w:type="dxa"/>
          </w:tcPr>
          <w:p>
            <w:pPr>
              <w:spacing w:before="20" w:after="20"/>
              <w:jc w:val="right"/>
              <w:rPr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>25 613</w:t>
            </w:r>
          </w:p>
        </w:tc>
        <w:tc>
          <w:tcPr>
            <w:tcW w:w="868" w:type="dxa"/>
          </w:tcPr>
          <w:p>
            <w:pPr>
              <w:spacing w:before="20" w:after="20"/>
              <w:jc w:val="right"/>
              <w:rPr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>47 027</w:t>
            </w:r>
          </w:p>
        </w:tc>
        <w:tc>
          <w:tcPr>
            <w:tcW w:w="868" w:type="dxa"/>
          </w:tcPr>
          <w:p>
            <w:pPr>
              <w:spacing w:before="20" w:after="20"/>
              <w:jc w:val="right"/>
              <w:rPr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>72 889</w:t>
            </w:r>
          </w:p>
        </w:tc>
        <w:tc>
          <w:tcPr>
            <w:tcW w:w="868" w:type="dxa"/>
          </w:tcPr>
          <w:p>
            <w:pPr>
              <w:spacing w:before="20" w:after="20"/>
              <w:jc w:val="right"/>
              <w:rPr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>87 778</w:t>
            </w:r>
          </w:p>
        </w:tc>
        <w:tc>
          <w:tcPr>
            <w:tcW w:w="868" w:type="dxa"/>
          </w:tcPr>
          <w:p>
            <w:pPr>
              <w:spacing w:before="20" w:after="20"/>
              <w:jc w:val="right"/>
              <w:rPr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>143 087</w:t>
            </w:r>
          </w:p>
        </w:tc>
        <w:tc>
          <w:tcPr>
            <w:tcW w:w="868" w:type="dxa"/>
          </w:tcPr>
          <w:p>
            <w:pPr>
              <w:spacing w:before="20" w:after="20"/>
              <w:jc w:val="right"/>
              <w:rPr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>187 377</w:t>
            </w:r>
          </w:p>
        </w:tc>
        <w:tc>
          <w:tcPr>
            <w:tcW w:w="868" w:type="dxa"/>
          </w:tcPr>
          <w:p>
            <w:pPr>
              <w:spacing w:before="20" w:after="20"/>
              <w:jc w:val="right"/>
              <w:rPr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>236 920</w:t>
            </w:r>
          </w:p>
        </w:tc>
        <w:tc>
          <w:tcPr>
            <w:tcW w:w="1144" w:type="dxa"/>
          </w:tcPr>
          <w:p>
            <w:pPr>
              <w:spacing w:before="20" w:after="20"/>
              <w:jc w:val="right"/>
              <w:rPr>
                <w:b/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>463 876</w:t>
            </w:r>
          </w:p>
        </w:tc>
        <w:tc>
          <w:tcPr>
            <w:tcW w:w="1054" w:type="dxa"/>
          </w:tcPr>
          <w:p>
            <w:pPr>
              <w:spacing w:before="20" w:after="20"/>
              <w:jc w:val="right"/>
              <w:rPr>
                <w:b/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>1262 565</w:t>
            </w:r>
          </w:p>
        </w:tc>
      </w:tr>
      <w:tr>
        <w:trPr>
          <w:trHeight w:val="319"/>
          <w:jc w:val="center"/>
        </w:trPr>
        <w:tc>
          <w:tcPr>
            <w:tcW w:w="4103" w:type="dxa"/>
            <w:vAlign w:val="center"/>
          </w:tcPr>
          <w:p>
            <w:pPr>
              <w:spacing w:before="20" w:after="20"/>
              <w:jc w:val="left"/>
              <w:rPr>
                <w:noProof/>
              </w:rPr>
            </w:pPr>
            <w:r>
              <w:rPr>
                <w:noProof/>
                <w:sz w:val="20"/>
                <w:szCs w:val="20"/>
              </w:rPr>
              <w:t>Approprjazzjonijiet ta’ natura amministrattiva ffinanzjati mill-pakkett tal-programm</w:t>
            </w:r>
            <w:r>
              <w:rPr>
                <w:rStyle w:val="FootnoteReference"/>
                <w:noProof/>
                <w:sz w:val="20"/>
                <w:szCs w:val="20"/>
              </w:rPr>
              <w:footnoteReference w:id="26"/>
            </w:r>
            <w:r>
              <w:rPr>
                <w:noProof/>
                <w:sz w:val="21"/>
                <w:szCs w:val="21"/>
              </w:rPr>
              <w:t xml:space="preserve"> </w:t>
            </w:r>
          </w:p>
        </w:tc>
        <w:tc>
          <w:tcPr>
            <w:tcW w:w="1440" w:type="dxa"/>
            <w:vAlign w:val="center"/>
          </w:tcPr>
          <w:p>
            <w:pPr>
              <w:spacing w:before="40" w:after="40"/>
              <w:jc w:val="left"/>
              <w:rPr>
                <w:noProof/>
                <w:sz w:val="18"/>
              </w:rPr>
            </w:pPr>
            <w:r>
              <w:rPr>
                <w:noProof/>
                <w:sz w:val="18"/>
              </w:rPr>
              <w:t>Impenji = Pagamenti</w:t>
            </w:r>
          </w:p>
        </w:tc>
        <w:tc>
          <w:tcPr>
            <w:tcW w:w="654" w:type="dxa"/>
            <w:vAlign w:val="center"/>
          </w:tcPr>
          <w:p>
            <w:pPr>
              <w:spacing w:before="40" w:after="40"/>
              <w:jc w:val="center"/>
              <w:rPr>
                <w:noProof/>
                <w:sz w:val="14"/>
              </w:rPr>
            </w:pPr>
            <w:r>
              <w:rPr>
                <w:noProof/>
                <w:sz w:val="14"/>
              </w:rPr>
              <w:t>(3)</w:t>
            </w:r>
          </w:p>
        </w:tc>
        <w:tc>
          <w:tcPr>
            <w:tcW w:w="868" w:type="dxa"/>
          </w:tcPr>
          <w:p>
            <w:pPr>
              <w:spacing w:before="40" w:after="40"/>
              <w:jc w:val="right"/>
              <w:rPr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>0 500</w:t>
            </w:r>
          </w:p>
        </w:tc>
        <w:tc>
          <w:tcPr>
            <w:tcW w:w="868" w:type="dxa"/>
          </w:tcPr>
          <w:p>
            <w:pPr>
              <w:spacing w:before="40" w:after="40"/>
              <w:jc w:val="right"/>
              <w:rPr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>0 510</w:t>
            </w:r>
          </w:p>
        </w:tc>
        <w:tc>
          <w:tcPr>
            <w:tcW w:w="868" w:type="dxa"/>
          </w:tcPr>
          <w:p>
            <w:pPr>
              <w:spacing w:before="40" w:after="40"/>
              <w:jc w:val="right"/>
              <w:rPr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>0 520</w:t>
            </w:r>
          </w:p>
        </w:tc>
        <w:tc>
          <w:tcPr>
            <w:tcW w:w="868" w:type="dxa"/>
          </w:tcPr>
          <w:p>
            <w:pPr>
              <w:spacing w:before="40" w:after="40"/>
              <w:jc w:val="right"/>
              <w:rPr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>0 531</w:t>
            </w:r>
          </w:p>
        </w:tc>
        <w:tc>
          <w:tcPr>
            <w:tcW w:w="868" w:type="dxa"/>
          </w:tcPr>
          <w:p>
            <w:pPr>
              <w:spacing w:before="40" w:after="40"/>
              <w:jc w:val="right"/>
              <w:rPr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>0 541</w:t>
            </w:r>
          </w:p>
        </w:tc>
        <w:tc>
          <w:tcPr>
            <w:tcW w:w="868" w:type="dxa"/>
          </w:tcPr>
          <w:p>
            <w:pPr>
              <w:spacing w:before="40" w:after="40"/>
              <w:jc w:val="right"/>
              <w:rPr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>0 552</w:t>
            </w:r>
          </w:p>
        </w:tc>
        <w:tc>
          <w:tcPr>
            <w:tcW w:w="868" w:type="dxa"/>
          </w:tcPr>
          <w:p>
            <w:pPr>
              <w:spacing w:before="40" w:after="40"/>
              <w:jc w:val="right"/>
              <w:rPr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>0 563</w:t>
            </w:r>
          </w:p>
        </w:tc>
        <w:tc>
          <w:tcPr>
            <w:tcW w:w="1144" w:type="dxa"/>
            <w:shd w:val="clear" w:color="auto" w:fill="A6A6A6" w:themeFill="background1" w:themeFillShade="A6"/>
          </w:tcPr>
          <w:p>
            <w:pPr>
              <w:spacing w:before="40" w:after="40"/>
              <w:jc w:val="right"/>
              <w:rPr>
                <w:noProof/>
                <w:sz w:val="16"/>
                <w:szCs w:val="20"/>
              </w:rPr>
            </w:pPr>
          </w:p>
        </w:tc>
        <w:tc>
          <w:tcPr>
            <w:tcW w:w="1054" w:type="dxa"/>
          </w:tcPr>
          <w:p>
            <w:pPr>
              <w:spacing w:before="40" w:after="40"/>
              <w:jc w:val="right"/>
              <w:rPr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>3 717</w:t>
            </w:r>
          </w:p>
        </w:tc>
      </w:tr>
      <w:tr>
        <w:trPr>
          <w:jc w:val="center"/>
        </w:trPr>
        <w:tc>
          <w:tcPr>
            <w:tcW w:w="4103" w:type="dxa"/>
            <w:vMerge w:val="restart"/>
            <w:vAlign w:val="center"/>
          </w:tcPr>
          <w:p>
            <w:pPr>
              <w:jc w:val="left"/>
              <w:rPr>
                <w:b/>
                <w:noProof/>
              </w:rPr>
            </w:pPr>
            <w:r>
              <w:rPr>
                <w:b/>
                <w:noProof/>
                <w:sz w:val="22"/>
              </w:rPr>
              <w:t>TOTAL tal-approprjazzjonijiet għall-pakkett tal-programm</w:t>
            </w:r>
          </w:p>
        </w:tc>
        <w:tc>
          <w:tcPr>
            <w:tcW w:w="1440" w:type="dxa"/>
            <w:vAlign w:val="center"/>
          </w:tcPr>
          <w:p>
            <w:pPr>
              <w:jc w:val="left"/>
              <w:rPr>
                <w:noProof/>
                <w:sz w:val="18"/>
              </w:rPr>
            </w:pPr>
            <w:r>
              <w:rPr>
                <w:noProof/>
                <w:sz w:val="18"/>
              </w:rPr>
              <w:t>Impenji</w:t>
            </w:r>
          </w:p>
        </w:tc>
        <w:tc>
          <w:tcPr>
            <w:tcW w:w="654" w:type="dxa"/>
            <w:vAlign w:val="center"/>
          </w:tcPr>
          <w:p>
            <w:pPr>
              <w:jc w:val="center"/>
              <w:rPr>
                <w:noProof/>
                <w:sz w:val="14"/>
              </w:rPr>
            </w:pPr>
            <w:r>
              <w:rPr>
                <w:noProof/>
                <w:sz w:val="14"/>
              </w:rPr>
              <w:t>=1+3</w:t>
            </w:r>
          </w:p>
        </w:tc>
        <w:tc>
          <w:tcPr>
            <w:tcW w:w="868" w:type="dxa"/>
          </w:tcPr>
          <w:p>
            <w:pPr>
              <w:spacing w:before="20" w:after="20"/>
              <w:jc w:val="right"/>
              <w:rPr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 xml:space="preserve"> 90 203 </w:t>
            </w:r>
          </w:p>
        </w:tc>
        <w:tc>
          <w:tcPr>
            <w:tcW w:w="868" w:type="dxa"/>
          </w:tcPr>
          <w:p>
            <w:pPr>
              <w:spacing w:before="20" w:after="20"/>
              <w:jc w:val="right"/>
              <w:rPr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 xml:space="preserve"> 95 254 </w:t>
            </w:r>
          </w:p>
        </w:tc>
        <w:tc>
          <w:tcPr>
            <w:tcW w:w="868" w:type="dxa"/>
          </w:tcPr>
          <w:p>
            <w:pPr>
              <w:spacing w:before="20" w:after="20"/>
              <w:jc w:val="right"/>
              <w:rPr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 xml:space="preserve"> 101 575 </w:t>
            </w:r>
          </w:p>
        </w:tc>
        <w:tc>
          <w:tcPr>
            <w:tcW w:w="868" w:type="dxa"/>
          </w:tcPr>
          <w:p>
            <w:pPr>
              <w:spacing w:before="20" w:after="20"/>
              <w:jc w:val="right"/>
              <w:rPr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 xml:space="preserve"> 106 985 </w:t>
            </w:r>
          </w:p>
        </w:tc>
        <w:tc>
          <w:tcPr>
            <w:tcW w:w="868" w:type="dxa"/>
          </w:tcPr>
          <w:p>
            <w:pPr>
              <w:spacing w:before="20" w:after="20"/>
              <w:jc w:val="right"/>
              <w:rPr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 xml:space="preserve"> 282 577 </w:t>
            </w:r>
          </w:p>
        </w:tc>
        <w:tc>
          <w:tcPr>
            <w:tcW w:w="868" w:type="dxa"/>
          </w:tcPr>
          <w:p>
            <w:pPr>
              <w:spacing w:before="20" w:after="20"/>
              <w:jc w:val="right"/>
              <w:rPr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 xml:space="preserve"> 292 915 </w:t>
            </w:r>
          </w:p>
        </w:tc>
        <w:tc>
          <w:tcPr>
            <w:tcW w:w="868" w:type="dxa"/>
          </w:tcPr>
          <w:p>
            <w:pPr>
              <w:spacing w:before="20" w:after="20"/>
              <w:jc w:val="right"/>
              <w:rPr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 xml:space="preserve"> 298 773 </w:t>
            </w:r>
          </w:p>
        </w:tc>
        <w:tc>
          <w:tcPr>
            <w:tcW w:w="1144" w:type="dxa"/>
            <w:shd w:val="clear" w:color="auto" w:fill="A6A6A6" w:themeFill="background1" w:themeFillShade="A6"/>
          </w:tcPr>
          <w:p>
            <w:pPr>
              <w:spacing w:before="20" w:after="20"/>
              <w:jc w:val="right"/>
              <w:rPr>
                <w:b/>
                <w:noProof/>
                <w:sz w:val="16"/>
                <w:szCs w:val="20"/>
              </w:rPr>
            </w:pPr>
          </w:p>
        </w:tc>
        <w:tc>
          <w:tcPr>
            <w:tcW w:w="1054" w:type="dxa"/>
          </w:tcPr>
          <w:p>
            <w:pPr>
              <w:spacing w:before="20" w:after="20"/>
              <w:jc w:val="right"/>
              <w:rPr>
                <w:b/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>1 268 282</w:t>
            </w:r>
          </w:p>
        </w:tc>
      </w:tr>
      <w:tr>
        <w:trPr>
          <w:jc w:val="center"/>
        </w:trPr>
        <w:tc>
          <w:tcPr>
            <w:tcW w:w="4103" w:type="dxa"/>
            <w:vMerge/>
          </w:tcPr>
          <w:p>
            <w:pPr>
              <w:rPr>
                <w:noProof/>
                <w:sz w:val="20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left"/>
              <w:rPr>
                <w:noProof/>
                <w:sz w:val="18"/>
              </w:rPr>
            </w:pPr>
            <w:r>
              <w:rPr>
                <w:noProof/>
                <w:sz w:val="18"/>
              </w:rPr>
              <w:t>Pagamenti</w:t>
            </w:r>
          </w:p>
        </w:tc>
        <w:tc>
          <w:tcPr>
            <w:tcW w:w="654" w:type="dxa"/>
            <w:vAlign w:val="center"/>
          </w:tcPr>
          <w:p>
            <w:pPr>
              <w:jc w:val="center"/>
              <w:rPr>
                <w:noProof/>
                <w:sz w:val="14"/>
              </w:rPr>
            </w:pPr>
            <w:r>
              <w:rPr>
                <w:noProof/>
                <w:sz w:val="14"/>
              </w:rPr>
              <w:t>=2+3</w:t>
            </w:r>
          </w:p>
        </w:tc>
        <w:tc>
          <w:tcPr>
            <w:tcW w:w="868" w:type="dxa"/>
          </w:tcPr>
          <w:p>
            <w:pPr>
              <w:spacing w:before="20" w:after="20"/>
              <w:jc w:val="right"/>
              <w:rPr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 xml:space="preserve"> 26 113 </w:t>
            </w:r>
          </w:p>
        </w:tc>
        <w:tc>
          <w:tcPr>
            <w:tcW w:w="868" w:type="dxa"/>
          </w:tcPr>
          <w:p>
            <w:pPr>
              <w:spacing w:before="20" w:after="20"/>
              <w:jc w:val="right"/>
              <w:rPr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 xml:space="preserve"> 47 537 </w:t>
            </w:r>
          </w:p>
        </w:tc>
        <w:tc>
          <w:tcPr>
            <w:tcW w:w="868" w:type="dxa"/>
          </w:tcPr>
          <w:p>
            <w:pPr>
              <w:spacing w:before="20" w:after="20"/>
              <w:jc w:val="right"/>
              <w:rPr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 xml:space="preserve"> 73 409 </w:t>
            </w:r>
          </w:p>
        </w:tc>
        <w:tc>
          <w:tcPr>
            <w:tcW w:w="868" w:type="dxa"/>
          </w:tcPr>
          <w:p>
            <w:pPr>
              <w:spacing w:before="20" w:after="20"/>
              <w:jc w:val="right"/>
              <w:rPr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 xml:space="preserve"> 88 309 </w:t>
            </w:r>
          </w:p>
        </w:tc>
        <w:tc>
          <w:tcPr>
            <w:tcW w:w="868" w:type="dxa"/>
          </w:tcPr>
          <w:p>
            <w:pPr>
              <w:spacing w:before="20" w:after="20"/>
              <w:jc w:val="right"/>
              <w:rPr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 xml:space="preserve"> 143 628 </w:t>
            </w:r>
          </w:p>
        </w:tc>
        <w:tc>
          <w:tcPr>
            <w:tcW w:w="868" w:type="dxa"/>
          </w:tcPr>
          <w:p>
            <w:pPr>
              <w:spacing w:before="20" w:after="20"/>
              <w:jc w:val="right"/>
              <w:rPr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 xml:space="preserve"> 187 929 </w:t>
            </w:r>
          </w:p>
        </w:tc>
        <w:tc>
          <w:tcPr>
            <w:tcW w:w="868" w:type="dxa"/>
          </w:tcPr>
          <w:p>
            <w:pPr>
              <w:spacing w:before="20" w:after="20"/>
              <w:jc w:val="right"/>
              <w:rPr>
                <w:b/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 xml:space="preserve"> 237 483 </w:t>
            </w:r>
          </w:p>
        </w:tc>
        <w:tc>
          <w:tcPr>
            <w:tcW w:w="1144" w:type="dxa"/>
          </w:tcPr>
          <w:p>
            <w:pPr>
              <w:spacing w:before="20" w:after="20"/>
              <w:jc w:val="right"/>
              <w:rPr>
                <w:b/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 xml:space="preserve"> 463 876 </w:t>
            </w:r>
          </w:p>
        </w:tc>
        <w:tc>
          <w:tcPr>
            <w:tcW w:w="1054" w:type="dxa"/>
          </w:tcPr>
          <w:p>
            <w:pPr>
              <w:spacing w:before="20" w:after="20"/>
              <w:jc w:val="right"/>
              <w:rPr>
                <w:b/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 xml:space="preserve"> 1 268 282 </w:t>
            </w:r>
          </w:p>
        </w:tc>
      </w:tr>
    </w:tbl>
    <w:p>
      <w:pPr>
        <w:rPr>
          <w:iCs/>
          <w:noProof/>
        </w:rPr>
      </w:pPr>
    </w:p>
    <w:p>
      <w:pPr>
        <w:rPr>
          <w:iCs/>
          <w:noProof/>
        </w:rPr>
      </w:pPr>
    </w:p>
    <w:p>
      <w:pPr>
        <w:rPr>
          <w:iCs/>
          <w:noProof/>
        </w:rPr>
      </w:pPr>
    </w:p>
    <w:p>
      <w:pPr>
        <w:rPr>
          <w:iCs/>
          <w:noProof/>
        </w:rPr>
      </w:pPr>
    </w:p>
    <w:p>
      <w:pPr>
        <w:rPr>
          <w:iCs/>
          <w:noProof/>
        </w:rPr>
      </w:pPr>
    </w:p>
    <w:p>
      <w:pPr>
        <w:rPr>
          <w:iCs/>
          <w:noProof/>
        </w:rPr>
      </w:pPr>
    </w:p>
    <w:p>
      <w:pPr>
        <w:rPr>
          <w:i/>
          <w:noProof/>
        </w:rPr>
      </w:pPr>
      <w:r>
        <w:rPr>
          <w:noProof/>
        </w:rPr>
        <w:t>Apparti l-pakkett finanzjarju definit fl-Artikolu 19 (1a), EUR 2 187 620 000 (bi prezzijiet attwali) se jkun disponibbli dħul assenjat estern, skont it-tifsira tal-Artikolu 21(5) tar-Regolament Finanzjarju bħala finanzjament mill-Istrument ta’ Rkupru tal-Unjoni Ewropea. Minn dan l-ammont sa EUR 22 580 000 jista’ jiġi ddedikat għan-nefqa amministrattiva, inklużi l-ispejjeż għall-persunal estern.</w:t>
      </w:r>
    </w:p>
    <w:p>
      <w:pPr>
        <w:rPr>
          <w:noProof/>
        </w:rPr>
      </w:pPr>
      <w:r>
        <w:rPr>
          <w:noProof/>
        </w:rPr>
        <w:t>It-tqassim indikattiv tan-nefqa minn dħul assenjat estern huwa kif ġej:</w:t>
      </w:r>
    </w:p>
    <w:p>
      <w:pPr>
        <w:rPr>
          <w:noProof/>
        </w:rPr>
      </w:pPr>
    </w:p>
    <w:tbl>
      <w:tblPr>
        <w:tblW w:w="14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80"/>
        <w:gridCol w:w="1260"/>
        <w:gridCol w:w="540"/>
        <w:gridCol w:w="990"/>
        <w:gridCol w:w="990"/>
        <w:gridCol w:w="990"/>
        <w:gridCol w:w="976"/>
        <w:gridCol w:w="1004"/>
        <w:gridCol w:w="990"/>
        <w:gridCol w:w="990"/>
        <w:gridCol w:w="1033"/>
        <w:gridCol w:w="1127"/>
      </w:tblGrid>
      <w:t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76" w:lineRule="auto"/>
              <w:jc w:val="center"/>
              <w:rPr>
                <w:noProof/>
              </w:rPr>
            </w:pPr>
            <w:r>
              <w:rPr>
                <w:noProof/>
              </w:rPr>
              <w:t>Mekkaniżmu tal-Unjoni / RescEU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276" w:lineRule="auto"/>
              <w:rPr>
                <w:noProof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276" w:lineRule="auto"/>
              <w:jc w:val="center"/>
              <w:rPr>
                <w:noProof/>
                <w:sz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76" w:lineRule="auto"/>
              <w:jc w:val="center"/>
              <w:rPr>
                <w:noProof/>
                <w:sz w:val="20"/>
              </w:rPr>
            </w:pPr>
            <w:r>
              <w:rPr>
                <w:b/>
                <w:noProof/>
                <w:sz w:val="20"/>
              </w:rPr>
              <w:t>2021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76" w:lineRule="auto"/>
              <w:jc w:val="center"/>
              <w:rPr>
                <w:noProof/>
                <w:sz w:val="20"/>
              </w:rPr>
            </w:pPr>
            <w:r>
              <w:rPr>
                <w:b/>
                <w:noProof/>
                <w:sz w:val="20"/>
              </w:rPr>
              <w:t>2022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76" w:lineRule="auto"/>
              <w:jc w:val="center"/>
              <w:rPr>
                <w:noProof/>
                <w:sz w:val="20"/>
              </w:rPr>
            </w:pPr>
            <w:r>
              <w:rPr>
                <w:b/>
                <w:noProof/>
                <w:sz w:val="20"/>
              </w:rPr>
              <w:t>2023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76" w:lineRule="auto"/>
              <w:jc w:val="center"/>
              <w:rPr>
                <w:noProof/>
                <w:sz w:val="20"/>
              </w:rPr>
            </w:pPr>
            <w:r>
              <w:rPr>
                <w:b/>
                <w:noProof/>
                <w:sz w:val="20"/>
              </w:rPr>
              <w:t>2024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76" w:lineRule="auto"/>
              <w:jc w:val="center"/>
              <w:rPr>
                <w:b/>
                <w:noProof/>
                <w:sz w:val="18"/>
              </w:rPr>
            </w:pPr>
            <w:r>
              <w:rPr>
                <w:b/>
                <w:noProof/>
                <w:sz w:val="18"/>
              </w:rPr>
              <w:t>2025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76" w:lineRule="auto"/>
              <w:jc w:val="center"/>
              <w:rPr>
                <w:b/>
                <w:noProof/>
                <w:sz w:val="18"/>
              </w:rPr>
            </w:pPr>
            <w:r>
              <w:rPr>
                <w:b/>
                <w:noProof/>
                <w:sz w:val="18"/>
              </w:rPr>
              <w:t>2026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76" w:lineRule="auto"/>
              <w:jc w:val="center"/>
              <w:rPr>
                <w:b/>
                <w:noProof/>
                <w:sz w:val="18"/>
              </w:rPr>
            </w:pPr>
            <w:r>
              <w:rPr>
                <w:b/>
                <w:noProof/>
                <w:sz w:val="18"/>
              </w:rPr>
              <w:t>2027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b/>
                <w:noProof/>
                <w:sz w:val="20"/>
              </w:rPr>
            </w:pPr>
            <w:r>
              <w:rPr>
                <w:b/>
                <w:i/>
                <w:noProof/>
                <w:sz w:val="20"/>
              </w:rPr>
              <w:t>Wara l-2027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76" w:lineRule="auto"/>
              <w:jc w:val="center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TOTAL</w:t>
            </w:r>
          </w:p>
        </w:tc>
      </w:tr>
      <w:tr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76" w:lineRule="auto"/>
              <w:jc w:val="center"/>
              <w:rPr>
                <w:noProof/>
                <w:sz w:val="22"/>
              </w:rPr>
            </w:pPr>
            <w:r>
              <w:rPr>
                <w:noProof/>
                <w:sz w:val="22"/>
              </w:rPr>
              <w:t>Nefqa operazzjonali minn dħul assenjat estern tal-EURI</w:t>
            </w:r>
          </w:p>
          <w:p>
            <w:pPr>
              <w:spacing w:line="276" w:lineRule="auto"/>
              <w:jc w:val="center"/>
              <w:rPr>
                <w:noProof/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Impenji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noProof/>
                <w:sz w:val="20"/>
              </w:rPr>
            </w:pPr>
            <w:r>
              <w:rPr>
                <w:noProof/>
                <w:sz w:val="14"/>
              </w:rPr>
              <w:t>(1)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b/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>525 290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b/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>535 800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b/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>546 510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b/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>557 440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276" w:lineRule="auto"/>
              <w:jc w:val="center"/>
              <w:rPr>
                <w:b/>
                <w:noProof/>
                <w:sz w:val="16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276" w:lineRule="auto"/>
              <w:jc w:val="center"/>
              <w:rPr>
                <w:b/>
                <w:noProof/>
                <w:sz w:val="16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276" w:lineRule="auto"/>
              <w:jc w:val="center"/>
              <w:rPr>
                <w:b/>
                <w:noProof/>
                <w:sz w:val="16"/>
                <w:szCs w:val="20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276" w:lineRule="auto"/>
              <w:jc w:val="center"/>
              <w:rPr>
                <w:b/>
                <w:i/>
                <w:noProof/>
                <w:sz w:val="16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b/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>2165 040</w:t>
            </w:r>
          </w:p>
        </w:tc>
      </w:tr>
      <w:tr>
        <w:tc>
          <w:tcPr>
            <w:tcW w:w="3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before="0" w:after="0" w:line="276" w:lineRule="auto"/>
              <w:jc w:val="left"/>
              <w:rPr>
                <w:noProof/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Pagamenti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noProof/>
                <w:sz w:val="20"/>
              </w:rPr>
            </w:pPr>
            <w:r>
              <w:rPr>
                <w:noProof/>
                <w:sz w:val="14"/>
              </w:rPr>
              <w:t>(2)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b/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>150 192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b/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>270 024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b/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>409 595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b/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>320 738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b/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>209 535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b/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>72 916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b/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>9 477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b/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>722 563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b/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>2165 040</w:t>
            </w:r>
          </w:p>
        </w:tc>
      </w:tr>
      <w:t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76" w:lineRule="auto"/>
              <w:jc w:val="center"/>
              <w:rPr>
                <w:noProof/>
                <w:sz w:val="22"/>
              </w:rPr>
            </w:pPr>
            <w:r>
              <w:rPr>
                <w:noProof/>
                <w:sz w:val="22"/>
              </w:rPr>
              <w:t>Nefqa ta’ appoġġ amministrattiv minn dħul assenjat estern tal-EURI</w:t>
            </w:r>
          </w:p>
          <w:p>
            <w:pPr>
              <w:spacing w:line="276" w:lineRule="auto"/>
              <w:jc w:val="center"/>
              <w:rPr>
                <w:noProof/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76" w:lineRule="auto"/>
              <w:rPr>
                <w:noProof/>
                <w:sz w:val="20"/>
              </w:rPr>
            </w:pPr>
            <w:r>
              <w:rPr>
                <w:noProof/>
                <w:sz w:val="18"/>
              </w:rPr>
              <w:t>Impenji = Pagamenti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76" w:lineRule="auto"/>
              <w:jc w:val="center"/>
              <w:rPr>
                <w:noProof/>
                <w:sz w:val="20"/>
              </w:rPr>
            </w:pPr>
            <w:r>
              <w:rPr>
                <w:noProof/>
                <w:sz w:val="14"/>
              </w:rPr>
              <w:t>(3)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b/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 xml:space="preserve"> 3 040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b/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 xml:space="preserve"> 3 100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b/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 xml:space="preserve"> 3 160 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b/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 xml:space="preserve"> 3 220 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276" w:lineRule="auto"/>
              <w:jc w:val="center"/>
              <w:rPr>
                <w:b/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 xml:space="preserve"> 3 290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276" w:lineRule="auto"/>
              <w:jc w:val="center"/>
              <w:rPr>
                <w:b/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 xml:space="preserve"> 3 350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276" w:lineRule="auto"/>
              <w:jc w:val="center"/>
              <w:rPr>
                <w:b/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 xml:space="preserve"> 3 420 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276" w:lineRule="auto"/>
              <w:jc w:val="center"/>
              <w:rPr>
                <w:b/>
                <w:i/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 xml:space="preserve"> 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b/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 xml:space="preserve"> 22 580 </w:t>
            </w:r>
          </w:p>
        </w:tc>
      </w:tr>
      <w:tr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76" w:lineRule="auto"/>
              <w:jc w:val="center"/>
              <w:rPr>
                <w:noProof/>
                <w:sz w:val="22"/>
              </w:rPr>
            </w:pPr>
            <w:r>
              <w:rPr>
                <w:noProof/>
                <w:sz w:val="22"/>
              </w:rPr>
              <w:t>Total tad-dħul assenjat estern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Impenji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noProof/>
                <w:sz w:val="20"/>
              </w:rPr>
            </w:pPr>
            <w:r>
              <w:rPr>
                <w:noProof/>
                <w:sz w:val="14"/>
              </w:rPr>
              <w:t>=1+3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b/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 xml:space="preserve"> 528 330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b/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 xml:space="preserve"> 538 900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rPr>
                <w:b/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 xml:space="preserve"> 549 670 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b/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 xml:space="preserve"> 560 660 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276" w:lineRule="auto"/>
              <w:jc w:val="center"/>
              <w:rPr>
                <w:b/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 xml:space="preserve"> 3 290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276" w:lineRule="auto"/>
              <w:jc w:val="center"/>
              <w:rPr>
                <w:b/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 xml:space="preserve"> 3 350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276" w:lineRule="auto"/>
              <w:jc w:val="center"/>
              <w:rPr>
                <w:b/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 xml:space="preserve"> 3 420 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276" w:lineRule="auto"/>
              <w:jc w:val="center"/>
              <w:rPr>
                <w:b/>
                <w:i/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 xml:space="preserve"> 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76" w:lineRule="auto"/>
              <w:jc w:val="center"/>
              <w:rPr>
                <w:b/>
                <w:noProof/>
                <w:sz w:val="16"/>
              </w:rPr>
            </w:pPr>
            <w:r>
              <w:rPr>
                <w:b/>
                <w:noProof/>
                <w:sz w:val="16"/>
              </w:rPr>
              <w:t xml:space="preserve">2 187 620 </w:t>
            </w:r>
          </w:p>
        </w:tc>
      </w:tr>
      <w:tr>
        <w:tc>
          <w:tcPr>
            <w:tcW w:w="3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before="0" w:after="0" w:line="276" w:lineRule="auto"/>
              <w:jc w:val="left"/>
              <w:rPr>
                <w:noProof/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Pagamenti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noProof/>
                <w:sz w:val="14"/>
              </w:rPr>
            </w:pPr>
            <w:r>
              <w:rPr>
                <w:noProof/>
                <w:sz w:val="14"/>
              </w:rPr>
              <w:t>=2+3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b/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 xml:space="preserve"> 153 232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b/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 xml:space="preserve"> 273 124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b/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 xml:space="preserve"> 412 755 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b/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 xml:space="preserve"> 323 958 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rPr>
                <w:b/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 xml:space="preserve"> 212 825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b/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 xml:space="preserve"> 76 266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rPr>
                <w:b/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 xml:space="preserve"> 12 897 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b/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 xml:space="preserve"> 722 563 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b/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 xml:space="preserve"> 2 187 620 </w:t>
            </w:r>
          </w:p>
        </w:tc>
      </w:tr>
    </w:tbl>
    <w:p>
      <w:pPr>
        <w:rPr>
          <w:noProof/>
        </w:rPr>
      </w:pPr>
    </w:p>
    <w:p>
      <w:pPr>
        <w:rPr>
          <w:noProof/>
        </w:rPr>
      </w:pPr>
      <w:r>
        <w:rPr>
          <w:noProof/>
        </w:rPr>
        <w:br w:type="page"/>
      </w:r>
    </w:p>
    <w:p>
      <w:pPr>
        <w:rPr>
          <w:noProof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44"/>
        <w:gridCol w:w="1080"/>
        <w:gridCol w:w="7817"/>
      </w:tblGrid>
      <w:tr>
        <w:trPr>
          <w:jc w:val="center"/>
        </w:trPr>
        <w:tc>
          <w:tcPr>
            <w:tcW w:w="4744" w:type="dxa"/>
            <w:shd w:val="thinDiagStripe" w:color="C0C0C0" w:fill="auto"/>
            <w:vAlign w:val="center"/>
          </w:tcPr>
          <w:p>
            <w:pPr>
              <w:spacing w:before="60" w:after="60"/>
              <w:jc w:val="center"/>
              <w:rPr>
                <w:b/>
                <w:noProof/>
              </w:rPr>
            </w:pPr>
            <w:r>
              <w:rPr>
                <w:noProof/>
              </w:rPr>
              <w:br w:type="page"/>
            </w:r>
            <w:r>
              <w:rPr>
                <w:b/>
                <w:noProof/>
                <w:sz w:val="22"/>
              </w:rPr>
              <w:t xml:space="preserve">Intestatura tal-qafas finanzjarju </w:t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br/>
            </w:r>
            <w:r>
              <w:rPr>
                <w:b/>
                <w:noProof/>
                <w:sz w:val="22"/>
              </w:rPr>
              <w:t xml:space="preserve">pluriennali </w:t>
            </w:r>
          </w:p>
        </w:tc>
        <w:tc>
          <w:tcPr>
            <w:tcW w:w="1080" w:type="dxa"/>
            <w:shd w:val="thinDiagStripe" w:color="C0C0C0" w:fill="auto"/>
            <w:vAlign w:val="center"/>
          </w:tcPr>
          <w:p>
            <w:pPr>
              <w:spacing w:before="60" w:after="60"/>
              <w:jc w:val="center"/>
              <w:rPr>
                <w:noProof/>
              </w:rPr>
            </w:pPr>
            <w:r>
              <w:rPr>
                <w:noProof/>
              </w:rPr>
              <w:t>7</w:t>
            </w:r>
          </w:p>
        </w:tc>
        <w:tc>
          <w:tcPr>
            <w:tcW w:w="7817" w:type="dxa"/>
            <w:vAlign w:val="center"/>
          </w:tcPr>
          <w:p>
            <w:pPr>
              <w:spacing w:before="60" w:after="60"/>
              <w:rPr>
                <w:noProof/>
              </w:rPr>
            </w:pPr>
            <w:r>
              <w:rPr>
                <w:noProof/>
                <w:sz w:val="22"/>
              </w:rPr>
              <w:t>“Nefqa amministrattiva”</w:t>
            </w:r>
          </w:p>
        </w:tc>
      </w:tr>
    </w:tbl>
    <w:p>
      <w:pPr>
        <w:jc w:val="left"/>
        <w:rPr>
          <w:noProof/>
          <w:sz w:val="20"/>
        </w:rPr>
      </w:pPr>
      <w:r>
        <w:rPr>
          <w:noProof/>
          <w:sz w:val="20"/>
        </w:rPr>
        <w:t>EUR miljuni (sa tliet pożizzjonijiet deċimali)</w:t>
      </w:r>
    </w:p>
    <w:tbl>
      <w:tblPr>
        <w:tblW w:w="144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99"/>
        <w:gridCol w:w="2046"/>
        <w:gridCol w:w="868"/>
        <w:gridCol w:w="868"/>
        <w:gridCol w:w="868"/>
        <w:gridCol w:w="868"/>
        <w:gridCol w:w="868"/>
        <w:gridCol w:w="868"/>
        <w:gridCol w:w="868"/>
        <w:gridCol w:w="887"/>
        <w:gridCol w:w="1291"/>
      </w:tblGrid>
      <w:tr>
        <w:trPr>
          <w:jc w:val="center"/>
        </w:trPr>
        <w:tc>
          <w:tcPr>
            <w:tcW w:w="6245" w:type="dxa"/>
            <w:gridSpan w:val="2"/>
            <w:tcBorders>
              <w:top w:val="nil"/>
              <w:left w:val="nil"/>
            </w:tcBorders>
            <w:vAlign w:val="center"/>
          </w:tcPr>
          <w:p>
            <w:pPr>
              <w:jc w:val="center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jc w:val="center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2021</w:t>
            </w:r>
          </w:p>
        </w:tc>
        <w:tc>
          <w:tcPr>
            <w:tcW w:w="868" w:type="dxa"/>
            <w:vAlign w:val="center"/>
          </w:tcPr>
          <w:p>
            <w:pPr>
              <w:jc w:val="center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2022</w:t>
            </w:r>
          </w:p>
        </w:tc>
        <w:tc>
          <w:tcPr>
            <w:tcW w:w="868" w:type="dxa"/>
            <w:vAlign w:val="center"/>
          </w:tcPr>
          <w:p>
            <w:pPr>
              <w:jc w:val="center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2023</w:t>
            </w:r>
          </w:p>
        </w:tc>
        <w:tc>
          <w:tcPr>
            <w:tcW w:w="868" w:type="dxa"/>
            <w:vAlign w:val="center"/>
          </w:tcPr>
          <w:p>
            <w:pPr>
              <w:jc w:val="center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2024</w:t>
            </w:r>
          </w:p>
        </w:tc>
        <w:tc>
          <w:tcPr>
            <w:tcW w:w="868" w:type="dxa"/>
            <w:vAlign w:val="center"/>
          </w:tcPr>
          <w:p>
            <w:pPr>
              <w:jc w:val="center"/>
              <w:rPr>
                <w:b/>
                <w:noProof/>
                <w:sz w:val="18"/>
              </w:rPr>
            </w:pPr>
            <w:r>
              <w:rPr>
                <w:b/>
                <w:noProof/>
                <w:sz w:val="18"/>
              </w:rPr>
              <w:t>2025</w:t>
            </w:r>
          </w:p>
        </w:tc>
        <w:tc>
          <w:tcPr>
            <w:tcW w:w="868" w:type="dxa"/>
            <w:vAlign w:val="center"/>
          </w:tcPr>
          <w:p>
            <w:pPr>
              <w:jc w:val="center"/>
              <w:rPr>
                <w:b/>
                <w:noProof/>
                <w:sz w:val="18"/>
              </w:rPr>
            </w:pPr>
            <w:r>
              <w:rPr>
                <w:b/>
                <w:noProof/>
                <w:sz w:val="18"/>
              </w:rPr>
              <w:t>2026</w:t>
            </w:r>
          </w:p>
        </w:tc>
        <w:tc>
          <w:tcPr>
            <w:tcW w:w="868" w:type="dxa"/>
            <w:vAlign w:val="center"/>
          </w:tcPr>
          <w:p>
            <w:pPr>
              <w:jc w:val="center"/>
              <w:rPr>
                <w:b/>
                <w:noProof/>
                <w:sz w:val="18"/>
              </w:rPr>
            </w:pPr>
            <w:r>
              <w:rPr>
                <w:b/>
                <w:noProof/>
                <w:sz w:val="18"/>
              </w:rPr>
              <w:t>2027</w:t>
            </w:r>
          </w:p>
        </w:tc>
        <w:tc>
          <w:tcPr>
            <w:tcW w:w="887" w:type="dxa"/>
          </w:tcPr>
          <w:p>
            <w:pPr>
              <w:jc w:val="center"/>
              <w:rPr>
                <w:b/>
                <w:noProof/>
                <w:sz w:val="20"/>
              </w:rPr>
            </w:pPr>
            <w:r>
              <w:rPr>
                <w:b/>
                <w:i/>
                <w:noProof/>
                <w:sz w:val="20"/>
              </w:rPr>
              <w:t>Wara l-2027</w:t>
            </w:r>
          </w:p>
        </w:tc>
        <w:tc>
          <w:tcPr>
            <w:tcW w:w="1291" w:type="dxa"/>
            <w:vAlign w:val="center"/>
          </w:tcPr>
          <w:p>
            <w:pPr>
              <w:jc w:val="center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TOTAL</w:t>
            </w:r>
          </w:p>
        </w:tc>
      </w:tr>
      <w:tr>
        <w:trPr>
          <w:trHeight w:val="313"/>
          <w:jc w:val="center"/>
        </w:trPr>
        <w:tc>
          <w:tcPr>
            <w:tcW w:w="6245" w:type="dxa"/>
            <w:gridSpan w:val="2"/>
            <w:vAlign w:val="center"/>
          </w:tcPr>
          <w:p>
            <w:pPr>
              <w:spacing w:before="20" w:after="20"/>
              <w:rPr>
                <w:noProof/>
              </w:rPr>
            </w:pPr>
            <w:r>
              <w:rPr>
                <w:noProof/>
                <w:sz w:val="22"/>
              </w:rPr>
              <w:t xml:space="preserve">Riżorsi umani </w:t>
            </w:r>
          </w:p>
        </w:tc>
        <w:tc>
          <w:tcPr>
            <w:tcW w:w="868" w:type="dxa"/>
            <w:shd w:val="clear" w:color="auto" w:fill="auto"/>
          </w:tcPr>
          <w:p>
            <w:pPr>
              <w:spacing w:before="20" w:after="20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1 500</w:t>
            </w:r>
          </w:p>
        </w:tc>
        <w:tc>
          <w:tcPr>
            <w:tcW w:w="868" w:type="dxa"/>
            <w:shd w:val="clear" w:color="auto" w:fill="auto"/>
          </w:tcPr>
          <w:p>
            <w:pPr>
              <w:spacing w:before="20" w:after="20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1 500</w:t>
            </w:r>
          </w:p>
        </w:tc>
        <w:tc>
          <w:tcPr>
            <w:tcW w:w="868" w:type="dxa"/>
            <w:shd w:val="clear" w:color="auto" w:fill="auto"/>
          </w:tcPr>
          <w:p>
            <w:pPr>
              <w:spacing w:before="20" w:after="20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1 500</w:t>
            </w:r>
          </w:p>
        </w:tc>
        <w:tc>
          <w:tcPr>
            <w:tcW w:w="868" w:type="dxa"/>
            <w:shd w:val="clear" w:color="auto" w:fill="auto"/>
          </w:tcPr>
          <w:p>
            <w:pPr>
              <w:spacing w:before="20" w:after="20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1 500</w:t>
            </w:r>
          </w:p>
        </w:tc>
        <w:tc>
          <w:tcPr>
            <w:tcW w:w="868" w:type="dxa"/>
            <w:shd w:val="clear" w:color="auto" w:fill="auto"/>
          </w:tcPr>
          <w:p>
            <w:pPr>
              <w:spacing w:before="20" w:after="20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1 500</w:t>
            </w:r>
          </w:p>
        </w:tc>
        <w:tc>
          <w:tcPr>
            <w:tcW w:w="868" w:type="dxa"/>
            <w:shd w:val="clear" w:color="auto" w:fill="auto"/>
          </w:tcPr>
          <w:p>
            <w:pPr>
              <w:spacing w:before="20" w:after="20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1 500</w:t>
            </w:r>
          </w:p>
        </w:tc>
        <w:tc>
          <w:tcPr>
            <w:tcW w:w="868" w:type="dxa"/>
            <w:shd w:val="clear" w:color="auto" w:fill="auto"/>
          </w:tcPr>
          <w:p>
            <w:pPr>
              <w:spacing w:before="20" w:after="20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1,500</w:t>
            </w:r>
          </w:p>
        </w:tc>
        <w:tc>
          <w:tcPr>
            <w:tcW w:w="887" w:type="dxa"/>
            <w:shd w:val="clear" w:color="auto" w:fill="auto"/>
          </w:tcPr>
          <w:p>
            <w:pPr>
              <w:spacing w:before="20" w:after="20"/>
              <w:jc w:val="right"/>
              <w:rPr>
                <w:b/>
                <w:noProof/>
                <w:sz w:val="16"/>
                <w:szCs w:val="16"/>
                <w:highlight w:val="yellow"/>
              </w:rPr>
            </w:pPr>
          </w:p>
        </w:tc>
        <w:tc>
          <w:tcPr>
            <w:tcW w:w="1291" w:type="dxa"/>
            <w:shd w:val="clear" w:color="auto" w:fill="auto"/>
          </w:tcPr>
          <w:p>
            <w:pPr>
              <w:spacing w:before="20" w:after="20"/>
              <w:jc w:val="right"/>
              <w:rPr>
                <w:b/>
                <w:noProof/>
                <w:sz w:val="16"/>
                <w:szCs w:val="16"/>
                <w:highlight w:val="yellow"/>
              </w:rPr>
            </w:pPr>
            <w:r>
              <w:rPr>
                <w:noProof/>
                <w:sz w:val="16"/>
                <w:szCs w:val="16"/>
              </w:rPr>
              <w:t>10 500</w:t>
            </w:r>
          </w:p>
        </w:tc>
      </w:tr>
      <w:tr>
        <w:trPr>
          <w:trHeight w:val="351"/>
          <w:jc w:val="center"/>
        </w:trPr>
        <w:tc>
          <w:tcPr>
            <w:tcW w:w="6245" w:type="dxa"/>
            <w:gridSpan w:val="2"/>
            <w:vAlign w:val="center"/>
          </w:tcPr>
          <w:p>
            <w:pPr>
              <w:spacing w:before="20" w:after="20"/>
              <w:rPr>
                <w:noProof/>
              </w:rPr>
            </w:pPr>
            <w:r>
              <w:rPr>
                <w:noProof/>
                <w:sz w:val="22"/>
              </w:rPr>
              <w:t xml:space="preserve">Nefqa amministrattiva oħra </w:t>
            </w:r>
          </w:p>
        </w:tc>
        <w:tc>
          <w:tcPr>
            <w:tcW w:w="868" w:type="dxa"/>
          </w:tcPr>
          <w:p>
            <w:pPr>
              <w:spacing w:before="20" w:after="20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868" w:type="dxa"/>
          </w:tcPr>
          <w:p>
            <w:pPr>
              <w:spacing w:before="20" w:after="20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868" w:type="dxa"/>
          </w:tcPr>
          <w:p>
            <w:pPr>
              <w:spacing w:before="20" w:after="20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868" w:type="dxa"/>
          </w:tcPr>
          <w:p>
            <w:pPr>
              <w:spacing w:before="20" w:after="20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868" w:type="dxa"/>
          </w:tcPr>
          <w:p>
            <w:pPr>
              <w:spacing w:before="20" w:after="20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868" w:type="dxa"/>
          </w:tcPr>
          <w:p>
            <w:pPr>
              <w:spacing w:before="20" w:after="20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868" w:type="dxa"/>
          </w:tcPr>
          <w:p>
            <w:pPr>
              <w:spacing w:before="20" w:after="20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887" w:type="dxa"/>
            <w:shd w:val="clear" w:color="auto" w:fill="A6A6A6"/>
          </w:tcPr>
          <w:p>
            <w:pPr>
              <w:spacing w:before="20" w:after="20"/>
              <w:jc w:val="right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1291" w:type="dxa"/>
          </w:tcPr>
          <w:p>
            <w:pPr>
              <w:spacing w:before="20" w:after="20"/>
              <w:jc w:val="right"/>
              <w:rPr>
                <w:b/>
                <w:noProof/>
                <w:sz w:val="16"/>
                <w:szCs w:val="16"/>
              </w:rPr>
            </w:pPr>
          </w:p>
        </w:tc>
      </w:tr>
      <w:tr>
        <w:trPr>
          <w:trHeight w:val="351"/>
          <w:jc w:val="center"/>
        </w:trPr>
        <w:tc>
          <w:tcPr>
            <w:tcW w:w="4199" w:type="dxa"/>
            <w:vAlign w:val="center"/>
          </w:tcPr>
          <w:p>
            <w:pPr>
              <w:spacing w:before="20" w:after="20"/>
              <w:jc w:val="left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TOTAL tal-approprjazzjonijiet skont l-INTESTATURA 7 tal-qafas finanzjarju pluriennali</w:t>
            </w:r>
          </w:p>
        </w:tc>
        <w:tc>
          <w:tcPr>
            <w:tcW w:w="2046" w:type="dxa"/>
          </w:tcPr>
          <w:p>
            <w:pPr>
              <w:spacing w:before="20" w:after="20"/>
              <w:rPr>
                <w:noProof/>
                <w:sz w:val="22"/>
              </w:rPr>
            </w:pPr>
            <w:r>
              <w:rPr>
                <w:noProof/>
              </w:rPr>
              <w:t>xx</w:t>
            </w:r>
          </w:p>
        </w:tc>
        <w:tc>
          <w:tcPr>
            <w:tcW w:w="868" w:type="dxa"/>
            <w:shd w:val="clear" w:color="auto" w:fill="auto"/>
          </w:tcPr>
          <w:p>
            <w:pPr>
              <w:spacing w:before="20" w:after="20"/>
              <w:jc w:val="right"/>
              <w:rPr>
                <w:b/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1 500</w:t>
            </w:r>
          </w:p>
        </w:tc>
        <w:tc>
          <w:tcPr>
            <w:tcW w:w="868" w:type="dxa"/>
            <w:shd w:val="clear" w:color="auto" w:fill="auto"/>
          </w:tcPr>
          <w:p>
            <w:pPr>
              <w:spacing w:before="20" w:after="20"/>
              <w:jc w:val="right"/>
              <w:rPr>
                <w:b/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1 500</w:t>
            </w:r>
          </w:p>
        </w:tc>
        <w:tc>
          <w:tcPr>
            <w:tcW w:w="868" w:type="dxa"/>
            <w:shd w:val="clear" w:color="auto" w:fill="auto"/>
          </w:tcPr>
          <w:p>
            <w:pPr>
              <w:spacing w:before="20" w:after="20"/>
              <w:jc w:val="right"/>
              <w:rPr>
                <w:b/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1 500</w:t>
            </w:r>
          </w:p>
        </w:tc>
        <w:tc>
          <w:tcPr>
            <w:tcW w:w="868" w:type="dxa"/>
            <w:shd w:val="clear" w:color="auto" w:fill="auto"/>
          </w:tcPr>
          <w:p>
            <w:pPr>
              <w:spacing w:before="20" w:after="20"/>
              <w:jc w:val="right"/>
              <w:rPr>
                <w:b/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1 500</w:t>
            </w:r>
          </w:p>
        </w:tc>
        <w:tc>
          <w:tcPr>
            <w:tcW w:w="868" w:type="dxa"/>
            <w:shd w:val="clear" w:color="auto" w:fill="auto"/>
          </w:tcPr>
          <w:p>
            <w:pPr>
              <w:spacing w:before="20" w:after="20"/>
              <w:jc w:val="right"/>
              <w:rPr>
                <w:b/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1 500</w:t>
            </w:r>
          </w:p>
        </w:tc>
        <w:tc>
          <w:tcPr>
            <w:tcW w:w="868" w:type="dxa"/>
            <w:shd w:val="clear" w:color="auto" w:fill="auto"/>
          </w:tcPr>
          <w:p>
            <w:pPr>
              <w:spacing w:before="20" w:after="20"/>
              <w:jc w:val="right"/>
              <w:rPr>
                <w:b/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1 500</w:t>
            </w:r>
          </w:p>
        </w:tc>
        <w:tc>
          <w:tcPr>
            <w:tcW w:w="868" w:type="dxa"/>
            <w:shd w:val="clear" w:color="auto" w:fill="auto"/>
          </w:tcPr>
          <w:p>
            <w:pPr>
              <w:spacing w:before="20" w:after="20"/>
              <w:jc w:val="right"/>
              <w:rPr>
                <w:b/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1 500</w:t>
            </w:r>
          </w:p>
        </w:tc>
        <w:tc>
          <w:tcPr>
            <w:tcW w:w="887" w:type="dxa"/>
            <w:shd w:val="clear" w:color="auto" w:fill="auto"/>
          </w:tcPr>
          <w:p>
            <w:pPr>
              <w:spacing w:before="20" w:after="20"/>
              <w:jc w:val="right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1291" w:type="dxa"/>
            <w:shd w:val="clear" w:color="auto" w:fill="auto"/>
          </w:tcPr>
          <w:p>
            <w:pPr>
              <w:spacing w:before="20" w:after="20"/>
              <w:jc w:val="right"/>
              <w:rPr>
                <w:b/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10 500</w:t>
            </w:r>
          </w:p>
        </w:tc>
      </w:tr>
    </w:tbl>
    <w:p>
      <w:pPr>
        <w:jc w:val="right"/>
        <w:rPr>
          <w:noProof/>
          <w:sz w:val="20"/>
        </w:rPr>
      </w:pPr>
      <w:r>
        <w:rPr>
          <w:noProof/>
          <w:sz w:val="20"/>
        </w:rPr>
        <w:t>EUR miljuni (sa tliet pożizzjonijiet deċimali)</w:t>
      </w:r>
    </w:p>
    <w:tbl>
      <w:tblPr>
        <w:tblW w:w="145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73"/>
        <w:gridCol w:w="1560"/>
        <w:gridCol w:w="534"/>
        <w:gridCol w:w="868"/>
        <w:gridCol w:w="868"/>
        <w:gridCol w:w="868"/>
        <w:gridCol w:w="868"/>
        <w:gridCol w:w="868"/>
        <w:gridCol w:w="868"/>
        <w:gridCol w:w="868"/>
        <w:gridCol w:w="877"/>
        <w:gridCol w:w="1292"/>
      </w:tblGrid>
      <w:tr>
        <w:trPr>
          <w:jc w:val="center"/>
        </w:trPr>
        <w:tc>
          <w:tcPr>
            <w:tcW w:w="4173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jc w:val="center"/>
              <w:rPr>
                <w:noProof/>
              </w:rPr>
            </w:pP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</w:tcPr>
          <w:p>
            <w:pPr>
              <w:rPr>
                <w:noProof/>
                <w:sz w:val="20"/>
              </w:rPr>
            </w:pPr>
          </w:p>
        </w:tc>
        <w:tc>
          <w:tcPr>
            <w:tcW w:w="534" w:type="dxa"/>
            <w:tcBorders>
              <w:top w:val="nil"/>
              <w:left w:val="nil"/>
            </w:tcBorders>
          </w:tcPr>
          <w:p>
            <w:pPr>
              <w:jc w:val="center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jc w:val="center"/>
              <w:rPr>
                <w:noProof/>
                <w:sz w:val="20"/>
              </w:rPr>
            </w:pPr>
            <w:r>
              <w:rPr>
                <w:b/>
                <w:noProof/>
                <w:sz w:val="20"/>
              </w:rPr>
              <w:t>2021</w:t>
            </w:r>
          </w:p>
        </w:tc>
        <w:tc>
          <w:tcPr>
            <w:tcW w:w="868" w:type="dxa"/>
            <w:vAlign w:val="center"/>
          </w:tcPr>
          <w:p>
            <w:pPr>
              <w:jc w:val="center"/>
              <w:rPr>
                <w:noProof/>
                <w:sz w:val="20"/>
              </w:rPr>
            </w:pPr>
            <w:r>
              <w:rPr>
                <w:b/>
                <w:noProof/>
                <w:sz w:val="20"/>
              </w:rPr>
              <w:t>2022</w:t>
            </w:r>
          </w:p>
        </w:tc>
        <w:tc>
          <w:tcPr>
            <w:tcW w:w="868" w:type="dxa"/>
            <w:vAlign w:val="center"/>
          </w:tcPr>
          <w:p>
            <w:pPr>
              <w:jc w:val="center"/>
              <w:rPr>
                <w:noProof/>
                <w:sz w:val="20"/>
              </w:rPr>
            </w:pPr>
            <w:r>
              <w:rPr>
                <w:b/>
                <w:noProof/>
                <w:sz w:val="20"/>
              </w:rPr>
              <w:t>2023</w:t>
            </w:r>
          </w:p>
        </w:tc>
        <w:tc>
          <w:tcPr>
            <w:tcW w:w="868" w:type="dxa"/>
            <w:vAlign w:val="center"/>
          </w:tcPr>
          <w:p>
            <w:pPr>
              <w:jc w:val="center"/>
              <w:rPr>
                <w:noProof/>
                <w:sz w:val="20"/>
              </w:rPr>
            </w:pPr>
            <w:r>
              <w:rPr>
                <w:b/>
                <w:noProof/>
                <w:sz w:val="20"/>
              </w:rPr>
              <w:t>2024</w:t>
            </w:r>
          </w:p>
        </w:tc>
        <w:tc>
          <w:tcPr>
            <w:tcW w:w="868" w:type="dxa"/>
            <w:vAlign w:val="center"/>
          </w:tcPr>
          <w:p>
            <w:pPr>
              <w:jc w:val="center"/>
              <w:rPr>
                <w:b/>
                <w:noProof/>
                <w:sz w:val="18"/>
              </w:rPr>
            </w:pPr>
            <w:r>
              <w:rPr>
                <w:b/>
                <w:noProof/>
                <w:sz w:val="18"/>
              </w:rPr>
              <w:t>2025</w:t>
            </w:r>
          </w:p>
        </w:tc>
        <w:tc>
          <w:tcPr>
            <w:tcW w:w="868" w:type="dxa"/>
            <w:vAlign w:val="center"/>
          </w:tcPr>
          <w:p>
            <w:pPr>
              <w:jc w:val="center"/>
              <w:rPr>
                <w:b/>
                <w:noProof/>
                <w:sz w:val="18"/>
              </w:rPr>
            </w:pPr>
            <w:r>
              <w:rPr>
                <w:b/>
                <w:noProof/>
                <w:sz w:val="18"/>
              </w:rPr>
              <w:t>2026</w:t>
            </w:r>
          </w:p>
        </w:tc>
        <w:tc>
          <w:tcPr>
            <w:tcW w:w="868" w:type="dxa"/>
            <w:vAlign w:val="center"/>
          </w:tcPr>
          <w:p>
            <w:pPr>
              <w:jc w:val="center"/>
              <w:rPr>
                <w:b/>
                <w:noProof/>
                <w:sz w:val="18"/>
              </w:rPr>
            </w:pPr>
            <w:r>
              <w:rPr>
                <w:b/>
                <w:noProof/>
                <w:sz w:val="18"/>
              </w:rPr>
              <w:t>2027</w:t>
            </w:r>
          </w:p>
        </w:tc>
        <w:tc>
          <w:tcPr>
            <w:tcW w:w="877" w:type="dxa"/>
          </w:tcPr>
          <w:p>
            <w:pPr>
              <w:jc w:val="center"/>
              <w:rPr>
                <w:b/>
                <w:noProof/>
                <w:sz w:val="20"/>
              </w:rPr>
            </w:pPr>
            <w:r>
              <w:rPr>
                <w:b/>
                <w:i/>
                <w:noProof/>
                <w:sz w:val="20"/>
              </w:rPr>
              <w:t>Wara l-2027</w:t>
            </w:r>
          </w:p>
        </w:tc>
        <w:tc>
          <w:tcPr>
            <w:tcW w:w="1292" w:type="dxa"/>
            <w:vAlign w:val="center"/>
          </w:tcPr>
          <w:p>
            <w:pPr>
              <w:jc w:val="center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TOTAL</w:t>
            </w:r>
          </w:p>
        </w:tc>
      </w:tr>
      <w:tr>
        <w:trPr>
          <w:jc w:val="center"/>
        </w:trPr>
        <w:tc>
          <w:tcPr>
            <w:tcW w:w="4173" w:type="dxa"/>
            <w:vMerge w:val="restart"/>
            <w:shd w:val="clear" w:color="auto" w:fill="C0C0C0"/>
            <w:vAlign w:val="center"/>
          </w:tcPr>
          <w:p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  <w:sz w:val="22"/>
              </w:rPr>
              <w:t xml:space="preserve">TOTAL tal-approprjazzjonijiet </w:t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br/>
            </w:r>
            <w:r>
              <w:rPr>
                <w:b/>
                <w:noProof/>
                <w:sz w:val="22"/>
              </w:rPr>
              <w:t xml:space="preserve">fl-INTESTATURI </w:t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br/>
            </w:r>
            <w:r>
              <w:rPr>
                <w:noProof/>
                <w:sz w:val="22"/>
              </w:rPr>
              <w:t>kollha tal-qafas finanzjarju pluriennali</w:t>
            </w:r>
            <w:r>
              <w:rPr>
                <w:b/>
                <w:noProof/>
                <w:sz w:val="22"/>
              </w:rPr>
              <w:t xml:space="preserve"> 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rPr>
                <w:noProof/>
                <w:sz w:val="14"/>
              </w:rPr>
            </w:pPr>
            <w:r>
              <w:rPr>
                <w:noProof/>
                <w:sz w:val="18"/>
              </w:rPr>
              <w:t>Impenji</w:t>
            </w:r>
          </w:p>
        </w:tc>
        <w:tc>
          <w:tcPr>
            <w:tcW w:w="868" w:type="dxa"/>
          </w:tcPr>
          <w:p>
            <w:pPr>
              <w:spacing w:before="60" w:after="60"/>
              <w:jc w:val="right"/>
              <w:rPr>
                <w:noProof/>
                <w:sz w:val="16"/>
                <w:szCs w:val="16"/>
                <w:highlight w:val="yellow"/>
              </w:rPr>
            </w:pPr>
            <w:r>
              <w:rPr>
                <w:noProof/>
                <w:sz w:val="16"/>
              </w:rPr>
              <w:t>91 703</w:t>
            </w:r>
          </w:p>
        </w:tc>
        <w:tc>
          <w:tcPr>
            <w:tcW w:w="868" w:type="dxa"/>
          </w:tcPr>
          <w:p>
            <w:pPr>
              <w:spacing w:before="60" w:after="60"/>
              <w:jc w:val="right"/>
              <w:rPr>
                <w:noProof/>
                <w:sz w:val="16"/>
                <w:szCs w:val="16"/>
                <w:highlight w:val="yellow"/>
              </w:rPr>
            </w:pPr>
            <w:r>
              <w:rPr>
                <w:noProof/>
                <w:sz w:val="16"/>
              </w:rPr>
              <w:t>96 754</w:t>
            </w:r>
          </w:p>
        </w:tc>
        <w:tc>
          <w:tcPr>
            <w:tcW w:w="868" w:type="dxa"/>
          </w:tcPr>
          <w:p>
            <w:pPr>
              <w:spacing w:before="60" w:after="60"/>
              <w:jc w:val="right"/>
              <w:rPr>
                <w:noProof/>
                <w:sz w:val="16"/>
                <w:szCs w:val="16"/>
                <w:highlight w:val="yellow"/>
              </w:rPr>
            </w:pPr>
            <w:r>
              <w:rPr>
                <w:noProof/>
                <w:sz w:val="16"/>
              </w:rPr>
              <w:t>103 075</w:t>
            </w:r>
          </w:p>
        </w:tc>
        <w:tc>
          <w:tcPr>
            <w:tcW w:w="868" w:type="dxa"/>
          </w:tcPr>
          <w:p>
            <w:pPr>
              <w:spacing w:before="60" w:after="60"/>
              <w:jc w:val="right"/>
              <w:rPr>
                <w:noProof/>
                <w:sz w:val="16"/>
                <w:szCs w:val="16"/>
                <w:highlight w:val="yellow"/>
              </w:rPr>
            </w:pPr>
            <w:r>
              <w:rPr>
                <w:noProof/>
                <w:sz w:val="16"/>
              </w:rPr>
              <w:t>108 485</w:t>
            </w:r>
          </w:p>
        </w:tc>
        <w:tc>
          <w:tcPr>
            <w:tcW w:w="868" w:type="dxa"/>
          </w:tcPr>
          <w:p>
            <w:pPr>
              <w:spacing w:before="60" w:after="60"/>
              <w:jc w:val="right"/>
              <w:rPr>
                <w:noProof/>
                <w:sz w:val="16"/>
                <w:szCs w:val="16"/>
                <w:highlight w:val="yellow"/>
              </w:rPr>
            </w:pPr>
            <w:r>
              <w:rPr>
                <w:noProof/>
                <w:sz w:val="16"/>
              </w:rPr>
              <w:t>284 077</w:t>
            </w:r>
          </w:p>
        </w:tc>
        <w:tc>
          <w:tcPr>
            <w:tcW w:w="868" w:type="dxa"/>
          </w:tcPr>
          <w:p>
            <w:pPr>
              <w:spacing w:before="60" w:after="60"/>
              <w:jc w:val="right"/>
              <w:rPr>
                <w:noProof/>
                <w:sz w:val="16"/>
                <w:szCs w:val="16"/>
                <w:highlight w:val="yellow"/>
              </w:rPr>
            </w:pPr>
            <w:r>
              <w:rPr>
                <w:noProof/>
                <w:sz w:val="16"/>
              </w:rPr>
              <w:t>294 415</w:t>
            </w:r>
          </w:p>
        </w:tc>
        <w:tc>
          <w:tcPr>
            <w:tcW w:w="868" w:type="dxa"/>
          </w:tcPr>
          <w:p>
            <w:pPr>
              <w:spacing w:before="60" w:after="60"/>
              <w:jc w:val="right"/>
              <w:rPr>
                <w:noProof/>
                <w:sz w:val="16"/>
                <w:szCs w:val="16"/>
                <w:highlight w:val="yellow"/>
              </w:rPr>
            </w:pPr>
            <w:r>
              <w:rPr>
                <w:noProof/>
                <w:sz w:val="16"/>
              </w:rPr>
              <w:t>300 273</w:t>
            </w:r>
          </w:p>
        </w:tc>
        <w:tc>
          <w:tcPr>
            <w:tcW w:w="877" w:type="dxa"/>
            <w:shd w:val="clear" w:color="auto" w:fill="A6A6A6" w:themeFill="background1" w:themeFillShade="A6"/>
          </w:tcPr>
          <w:p>
            <w:pPr>
              <w:spacing w:before="60" w:after="60"/>
              <w:jc w:val="right"/>
              <w:rPr>
                <w:b/>
                <w:noProof/>
                <w:sz w:val="16"/>
                <w:szCs w:val="16"/>
                <w:highlight w:val="yellow"/>
              </w:rPr>
            </w:pPr>
          </w:p>
        </w:tc>
        <w:tc>
          <w:tcPr>
            <w:tcW w:w="1292" w:type="dxa"/>
            <w:vAlign w:val="center"/>
          </w:tcPr>
          <w:p>
            <w:pPr>
              <w:spacing w:before="60" w:after="60"/>
              <w:jc w:val="right"/>
              <w:rPr>
                <w:b/>
                <w:noProof/>
                <w:sz w:val="16"/>
                <w:szCs w:val="16"/>
                <w:highlight w:val="yellow"/>
              </w:rPr>
            </w:pPr>
            <w:r>
              <w:rPr>
                <w:b/>
                <w:noProof/>
                <w:sz w:val="16"/>
              </w:rPr>
              <w:t>1 </w:t>
            </w:r>
            <w:r>
              <w:rPr>
                <w:b/>
                <w:noProof/>
                <w:sz w:val="16"/>
                <w:szCs w:val="20"/>
              </w:rPr>
              <w:t>278 782</w:t>
            </w:r>
          </w:p>
        </w:tc>
      </w:tr>
      <w:tr>
        <w:trPr>
          <w:jc w:val="center"/>
        </w:trPr>
        <w:tc>
          <w:tcPr>
            <w:tcW w:w="4173" w:type="dxa"/>
            <w:vMerge/>
            <w:shd w:val="clear" w:color="auto" w:fill="C0C0C0"/>
          </w:tcPr>
          <w:p>
            <w:pPr>
              <w:rPr>
                <w:noProof/>
                <w:sz w:val="20"/>
              </w:rPr>
            </w:pPr>
          </w:p>
        </w:tc>
        <w:tc>
          <w:tcPr>
            <w:tcW w:w="2094" w:type="dxa"/>
            <w:gridSpan w:val="2"/>
            <w:vAlign w:val="center"/>
          </w:tcPr>
          <w:p>
            <w:pPr>
              <w:rPr>
                <w:noProof/>
                <w:sz w:val="14"/>
              </w:rPr>
            </w:pPr>
            <w:r>
              <w:rPr>
                <w:noProof/>
                <w:sz w:val="18"/>
              </w:rPr>
              <w:t>Pagamenti</w:t>
            </w:r>
          </w:p>
        </w:tc>
        <w:tc>
          <w:tcPr>
            <w:tcW w:w="868" w:type="dxa"/>
          </w:tcPr>
          <w:p>
            <w:pPr>
              <w:spacing w:before="60" w:after="60"/>
              <w:jc w:val="right"/>
              <w:rPr>
                <w:noProof/>
                <w:sz w:val="16"/>
                <w:szCs w:val="16"/>
                <w:highlight w:val="yellow"/>
              </w:rPr>
            </w:pPr>
            <w:r>
              <w:rPr>
                <w:noProof/>
                <w:sz w:val="16"/>
              </w:rPr>
              <w:t>27 613</w:t>
            </w:r>
          </w:p>
        </w:tc>
        <w:tc>
          <w:tcPr>
            <w:tcW w:w="868" w:type="dxa"/>
          </w:tcPr>
          <w:p>
            <w:pPr>
              <w:spacing w:before="60" w:after="60"/>
              <w:jc w:val="right"/>
              <w:rPr>
                <w:noProof/>
                <w:sz w:val="16"/>
                <w:szCs w:val="16"/>
                <w:highlight w:val="yellow"/>
              </w:rPr>
            </w:pPr>
            <w:r>
              <w:rPr>
                <w:noProof/>
                <w:sz w:val="16"/>
              </w:rPr>
              <w:t>49 037</w:t>
            </w:r>
          </w:p>
        </w:tc>
        <w:tc>
          <w:tcPr>
            <w:tcW w:w="868" w:type="dxa"/>
          </w:tcPr>
          <w:p>
            <w:pPr>
              <w:spacing w:before="60" w:after="60"/>
              <w:jc w:val="right"/>
              <w:rPr>
                <w:noProof/>
                <w:sz w:val="16"/>
                <w:szCs w:val="16"/>
                <w:highlight w:val="yellow"/>
              </w:rPr>
            </w:pPr>
            <w:r>
              <w:rPr>
                <w:noProof/>
                <w:sz w:val="16"/>
              </w:rPr>
              <w:t>74 909</w:t>
            </w:r>
          </w:p>
        </w:tc>
        <w:tc>
          <w:tcPr>
            <w:tcW w:w="868" w:type="dxa"/>
          </w:tcPr>
          <w:p>
            <w:pPr>
              <w:spacing w:before="60" w:after="60"/>
              <w:jc w:val="right"/>
              <w:rPr>
                <w:noProof/>
                <w:sz w:val="16"/>
                <w:szCs w:val="16"/>
                <w:highlight w:val="yellow"/>
              </w:rPr>
            </w:pPr>
            <w:r>
              <w:rPr>
                <w:noProof/>
                <w:sz w:val="16"/>
              </w:rPr>
              <w:t>89 809</w:t>
            </w:r>
          </w:p>
        </w:tc>
        <w:tc>
          <w:tcPr>
            <w:tcW w:w="868" w:type="dxa"/>
          </w:tcPr>
          <w:p>
            <w:pPr>
              <w:spacing w:before="60" w:after="60"/>
              <w:jc w:val="right"/>
              <w:rPr>
                <w:noProof/>
                <w:sz w:val="16"/>
                <w:szCs w:val="16"/>
                <w:highlight w:val="yellow"/>
              </w:rPr>
            </w:pPr>
            <w:r>
              <w:rPr>
                <w:noProof/>
                <w:sz w:val="16"/>
              </w:rPr>
              <w:t>145 128</w:t>
            </w:r>
          </w:p>
        </w:tc>
        <w:tc>
          <w:tcPr>
            <w:tcW w:w="868" w:type="dxa"/>
          </w:tcPr>
          <w:p>
            <w:pPr>
              <w:spacing w:before="60" w:after="60"/>
              <w:jc w:val="right"/>
              <w:rPr>
                <w:noProof/>
                <w:sz w:val="16"/>
                <w:szCs w:val="16"/>
                <w:highlight w:val="yellow"/>
              </w:rPr>
            </w:pPr>
            <w:r>
              <w:rPr>
                <w:noProof/>
                <w:sz w:val="16"/>
              </w:rPr>
              <w:t>189 429</w:t>
            </w:r>
          </w:p>
        </w:tc>
        <w:tc>
          <w:tcPr>
            <w:tcW w:w="868" w:type="dxa"/>
          </w:tcPr>
          <w:p>
            <w:pPr>
              <w:spacing w:before="60" w:after="60"/>
              <w:jc w:val="right"/>
              <w:rPr>
                <w:noProof/>
                <w:sz w:val="16"/>
                <w:szCs w:val="16"/>
                <w:highlight w:val="yellow"/>
              </w:rPr>
            </w:pPr>
            <w:r>
              <w:rPr>
                <w:noProof/>
                <w:sz w:val="16"/>
              </w:rPr>
              <w:t>238 983</w:t>
            </w:r>
          </w:p>
        </w:tc>
        <w:tc>
          <w:tcPr>
            <w:tcW w:w="877" w:type="dxa"/>
          </w:tcPr>
          <w:p>
            <w:pPr>
              <w:spacing w:before="60" w:after="60"/>
              <w:jc w:val="right"/>
              <w:rPr>
                <w:b/>
                <w:noProof/>
                <w:sz w:val="16"/>
                <w:szCs w:val="16"/>
                <w:highlight w:val="yellow"/>
              </w:rPr>
            </w:pPr>
            <w:r>
              <w:rPr>
                <w:noProof/>
                <w:sz w:val="16"/>
                <w:szCs w:val="16"/>
              </w:rPr>
              <w:t>463 876</w:t>
            </w:r>
          </w:p>
        </w:tc>
        <w:tc>
          <w:tcPr>
            <w:tcW w:w="1292" w:type="dxa"/>
          </w:tcPr>
          <w:p>
            <w:pPr>
              <w:spacing w:before="60" w:after="60"/>
              <w:jc w:val="right"/>
              <w:rPr>
                <w:b/>
                <w:noProof/>
                <w:sz w:val="16"/>
                <w:szCs w:val="16"/>
                <w:highlight w:val="yellow"/>
              </w:rPr>
            </w:pPr>
            <w:r>
              <w:rPr>
                <w:noProof/>
                <w:sz w:val="16"/>
                <w:szCs w:val="16"/>
              </w:rPr>
              <w:t>1 </w:t>
            </w:r>
            <w:r>
              <w:rPr>
                <w:noProof/>
                <w:sz w:val="16"/>
              </w:rPr>
              <w:t>278 782</w:t>
            </w:r>
          </w:p>
        </w:tc>
      </w:tr>
    </w:tbl>
    <w:p>
      <w:pPr>
        <w:rPr>
          <w:noProof/>
        </w:rPr>
        <w:sectPr>
          <w:headerReference w:type="default" r:id="rId16"/>
          <w:footerReference w:type="default" r:id="rId17"/>
          <w:headerReference w:type="first" r:id="rId18"/>
          <w:footerReference w:type="first" r:id="rId19"/>
          <w:pgSz w:w="16840" w:h="11907" w:orient="landscape" w:code="9"/>
          <w:pgMar w:top="1134" w:right="1418" w:bottom="1134" w:left="1418" w:header="709" w:footer="709" w:gutter="0"/>
          <w:cols w:space="708"/>
          <w:docGrid w:linePitch="360"/>
        </w:sectPr>
      </w:pPr>
    </w:p>
    <w:p>
      <w:pPr>
        <w:pStyle w:val="ManualHeading3"/>
        <w:rPr>
          <w:bCs/>
          <w:noProof/>
          <w:szCs w:val="24"/>
        </w:rPr>
      </w:pPr>
      <w:bookmarkStart w:id="53" w:name="_Toc514941993"/>
      <w:bookmarkStart w:id="54" w:name="_Toc41916658"/>
      <w:r>
        <w:t>3.2.2.</w:t>
      </w:r>
      <w:r>
        <w:tab/>
      </w:r>
      <w:r>
        <w:rPr>
          <w:noProof/>
        </w:rPr>
        <w:t>Sommarju tal-impatt stmat fuq l-approprjazzjonijiet ta’ natura amministrattiva</w:t>
      </w:r>
      <w:bookmarkEnd w:id="53"/>
      <w:bookmarkEnd w:id="54"/>
    </w:p>
    <w:p>
      <w:pPr>
        <w:pStyle w:val="ListDash1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ab/>
        <w:t xml:space="preserve">Il-proposta / l-inizjattiva ma teħtieġx l-użu ta’ approprjazzjonijiet ta’ natura amministrattiva </w:t>
      </w:r>
    </w:p>
    <w:p>
      <w:pPr>
        <w:pStyle w:val="ListDash1"/>
        <w:rPr>
          <w:noProof/>
        </w:rPr>
      </w:pPr>
      <w:r>
        <w:rPr>
          <w:noProof/>
        </w:rPr>
        <w:t>X</w:t>
      </w:r>
      <w:r>
        <w:rPr>
          <w:noProof/>
        </w:rPr>
        <w:tab/>
        <w:t>Il-proposta / l-inizjattiva teħtieġ l-użu ta’ approprjazzjonijiet ta’ natura amministrattiva, kif spjegat hawn taħt:</w:t>
      </w:r>
    </w:p>
    <w:p>
      <w:pPr>
        <w:rPr>
          <w:noProof/>
          <w:sz w:val="20"/>
        </w:rPr>
      </w:pPr>
      <w:r>
        <w:rPr>
          <w:noProof/>
          <w:sz w:val="20"/>
        </w:rPr>
        <w:t>EUR miljuni (sa tliet pożizzjonijiet deċimali)</w:t>
      </w:r>
    </w:p>
    <w:tbl>
      <w:tblPr>
        <w:tblW w:w="10620" w:type="dxa"/>
        <w:tblInd w:w="-6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rPr>
          <w:trHeight w:val="585"/>
        </w:trPr>
        <w:tc>
          <w:tcPr>
            <w:tcW w:w="1980" w:type="dxa"/>
            <w:vAlign w:val="center"/>
          </w:tcPr>
          <w:p>
            <w:pPr>
              <w:spacing w:before="60" w:after="60" w:line="200" w:lineRule="exact"/>
              <w:jc w:val="center"/>
              <w:rPr>
                <w:b/>
                <w:noProof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</w:rPr>
              <w:t>Snin</w:t>
            </w: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center"/>
              <w:rPr>
                <w:noProof/>
                <w:sz w:val="16"/>
                <w:szCs w:val="16"/>
              </w:rPr>
            </w:pPr>
            <w:r>
              <w:rPr>
                <w:b/>
                <w:noProof/>
                <w:sz w:val="20"/>
              </w:rPr>
              <w:t>2021</w:t>
            </w: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center"/>
              <w:rPr>
                <w:noProof/>
                <w:sz w:val="16"/>
                <w:szCs w:val="16"/>
              </w:rPr>
            </w:pPr>
            <w:r>
              <w:rPr>
                <w:b/>
                <w:noProof/>
                <w:sz w:val="20"/>
              </w:rPr>
              <w:t>2022</w:t>
            </w: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center"/>
              <w:rPr>
                <w:noProof/>
                <w:sz w:val="16"/>
                <w:szCs w:val="16"/>
              </w:rPr>
            </w:pPr>
            <w:r>
              <w:rPr>
                <w:b/>
                <w:noProof/>
                <w:sz w:val="20"/>
              </w:rPr>
              <w:t>2023</w:t>
            </w: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center"/>
              <w:rPr>
                <w:noProof/>
                <w:sz w:val="16"/>
                <w:szCs w:val="16"/>
              </w:rPr>
            </w:pPr>
            <w:r>
              <w:rPr>
                <w:b/>
                <w:noProof/>
                <w:sz w:val="20"/>
              </w:rPr>
              <w:t>2024</w:t>
            </w:r>
          </w:p>
        </w:tc>
        <w:tc>
          <w:tcPr>
            <w:tcW w:w="1080" w:type="dxa"/>
            <w:vAlign w:val="center"/>
          </w:tcPr>
          <w:p>
            <w:pPr>
              <w:spacing w:line="200" w:lineRule="exact"/>
              <w:jc w:val="center"/>
              <w:rPr>
                <w:b/>
                <w:noProof/>
                <w:sz w:val="16"/>
                <w:szCs w:val="16"/>
              </w:rPr>
            </w:pPr>
            <w:r>
              <w:rPr>
                <w:b/>
                <w:noProof/>
                <w:sz w:val="18"/>
              </w:rPr>
              <w:t>2025</w:t>
            </w:r>
          </w:p>
        </w:tc>
        <w:tc>
          <w:tcPr>
            <w:tcW w:w="1080" w:type="dxa"/>
            <w:vAlign w:val="center"/>
          </w:tcPr>
          <w:p>
            <w:pPr>
              <w:spacing w:line="200" w:lineRule="exact"/>
              <w:jc w:val="center"/>
              <w:rPr>
                <w:b/>
                <w:noProof/>
                <w:sz w:val="16"/>
                <w:szCs w:val="16"/>
              </w:rPr>
            </w:pPr>
            <w:r>
              <w:rPr>
                <w:b/>
                <w:noProof/>
                <w:sz w:val="18"/>
              </w:rPr>
              <w:t>2026</w:t>
            </w:r>
          </w:p>
        </w:tc>
        <w:tc>
          <w:tcPr>
            <w:tcW w:w="1080" w:type="dxa"/>
            <w:vAlign w:val="center"/>
          </w:tcPr>
          <w:p>
            <w:pPr>
              <w:spacing w:line="200" w:lineRule="exact"/>
              <w:jc w:val="center"/>
              <w:rPr>
                <w:b/>
                <w:noProof/>
                <w:sz w:val="16"/>
                <w:szCs w:val="16"/>
              </w:rPr>
            </w:pPr>
            <w:r>
              <w:rPr>
                <w:b/>
                <w:noProof/>
                <w:sz w:val="18"/>
              </w:rPr>
              <w:t>2027</w:t>
            </w: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center"/>
              <w:rPr>
                <w:b/>
                <w:noProof/>
                <w:sz w:val="16"/>
                <w:szCs w:val="16"/>
              </w:rPr>
            </w:pPr>
            <w:r>
              <w:rPr>
                <w:b/>
                <w:noProof/>
                <w:sz w:val="16"/>
              </w:rPr>
              <w:t>TOTAL</w:t>
            </w:r>
          </w:p>
        </w:tc>
      </w:tr>
    </w:tbl>
    <w:p>
      <w:pPr>
        <w:spacing w:line="200" w:lineRule="exact"/>
        <w:rPr>
          <w:noProof/>
          <w:sz w:val="16"/>
          <w:szCs w:val="16"/>
        </w:rPr>
      </w:pPr>
    </w:p>
    <w:tbl>
      <w:tblPr>
        <w:tblW w:w="10620" w:type="dxa"/>
        <w:tblInd w:w="-6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rPr>
          <w:trHeight w:val="585"/>
        </w:trPr>
        <w:tc>
          <w:tcPr>
            <w:tcW w:w="1980" w:type="dxa"/>
            <w:shd w:val="clear" w:color="auto" w:fill="CCCCCC"/>
            <w:vAlign w:val="center"/>
          </w:tcPr>
          <w:p>
            <w:pPr>
              <w:spacing w:before="60" w:after="60" w:line="200" w:lineRule="exact"/>
              <w:jc w:val="center"/>
              <w:rPr>
                <w:b/>
                <w:noProof/>
                <w:sz w:val="16"/>
                <w:szCs w:val="16"/>
              </w:rPr>
            </w:pPr>
            <w:r>
              <w:rPr>
                <w:b/>
                <w:noProof/>
                <w:sz w:val="16"/>
              </w:rPr>
              <w:t>INTESTATURA 7</w:t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br/>
            </w:r>
            <w:r>
              <w:rPr>
                <w:b/>
                <w:noProof/>
                <w:sz w:val="16"/>
              </w:rPr>
              <w:t>tal-qafas finanzjarju pluriennali</w:t>
            </w: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</w:tr>
      <w:tr>
        <w:trPr>
          <w:trHeight w:val="585"/>
        </w:trPr>
        <w:tc>
          <w:tcPr>
            <w:tcW w:w="1980" w:type="dxa"/>
            <w:vAlign w:val="center"/>
          </w:tcPr>
          <w:p>
            <w:pPr>
              <w:spacing w:before="60" w:after="60" w:line="200" w:lineRule="exact"/>
              <w:ind w:left="72"/>
              <w:jc w:val="lef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 xml:space="preserve">Riżorsi umani </w:t>
            </w:r>
          </w:p>
        </w:tc>
        <w:tc>
          <w:tcPr>
            <w:tcW w:w="1080" w:type="dxa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1 500</w:t>
            </w:r>
          </w:p>
        </w:tc>
        <w:tc>
          <w:tcPr>
            <w:tcW w:w="1080" w:type="dxa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1 500</w:t>
            </w:r>
          </w:p>
        </w:tc>
        <w:tc>
          <w:tcPr>
            <w:tcW w:w="1080" w:type="dxa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1 500</w:t>
            </w:r>
          </w:p>
        </w:tc>
        <w:tc>
          <w:tcPr>
            <w:tcW w:w="1080" w:type="dxa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1 500</w:t>
            </w:r>
          </w:p>
        </w:tc>
        <w:tc>
          <w:tcPr>
            <w:tcW w:w="1080" w:type="dxa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1 500</w:t>
            </w:r>
          </w:p>
        </w:tc>
        <w:tc>
          <w:tcPr>
            <w:tcW w:w="1080" w:type="dxa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1 500</w:t>
            </w:r>
          </w:p>
        </w:tc>
        <w:tc>
          <w:tcPr>
            <w:tcW w:w="1080" w:type="dxa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1 500</w:t>
            </w:r>
          </w:p>
        </w:tc>
        <w:tc>
          <w:tcPr>
            <w:tcW w:w="1080" w:type="dxa"/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10 500</w:t>
            </w:r>
          </w:p>
        </w:tc>
      </w:tr>
      <w:tr>
        <w:trPr>
          <w:trHeight w:val="585"/>
        </w:trPr>
        <w:tc>
          <w:tcPr>
            <w:tcW w:w="1980" w:type="dxa"/>
            <w:vAlign w:val="center"/>
          </w:tcPr>
          <w:p>
            <w:pPr>
              <w:spacing w:before="60" w:after="60" w:line="200" w:lineRule="exact"/>
              <w:ind w:left="72"/>
              <w:jc w:val="lef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 xml:space="preserve">Nefqa amministrattiva oħra </w:t>
            </w:r>
          </w:p>
        </w:tc>
        <w:tc>
          <w:tcPr>
            <w:tcW w:w="1080" w:type="dxa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xxx</w:t>
            </w:r>
          </w:p>
        </w:tc>
        <w:tc>
          <w:tcPr>
            <w:tcW w:w="1080" w:type="dxa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xxx</w:t>
            </w:r>
          </w:p>
        </w:tc>
        <w:tc>
          <w:tcPr>
            <w:tcW w:w="1080" w:type="dxa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xxx</w:t>
            </w:r>
          </w:p>
        </w:tc>
        <w:tc>
          <w:tcPr>
            <w:tcW w:w="1080" w:type="dxa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xxx</w:t>
            </w:r>
          </w:p>
        </w:tc>
        <w:tc>
          <w:tcPr>
            <w:tcW w:w="1080" w:type="dxa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xxx</w:t>
            </w:r>
          </w:p>
        </w:tc>
        <w:tc>
          <w:tcPr>
            <w:tcW w:w="1080" w:type="dxa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xxx</w:t>
            </w:r>
          </w:p>
        </w:tc>
        <w:tc>
          <w:tcPr>
            <w:tcW w:w="1080" w:type="dxa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xxx</w:t>
            </w:r>
          </w:p>
        </w:tc>
        <w:tc>
          <w:tcPr>
            <w:tcW w:w="1080" w:type="dxa"/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xxx</w:t>
            </w:r>
          </w:p>
        </w:tc>
      </w:tr>
      <w:tr>
        <w:trPr>
          <w:trHeight w:val="585"/>
        </w:trPr>
        <w:tc>
          <w:tcPr>
            <w:tcW w:w="1980" w:type="dxa"/>
            <w:shd w:val="clear" w:color="auto" w:fill="CCCCCC"/>
            <w:vAlign w:val="center"/>
          </w:tcPr>
          <w:p>
            <w:pPr>
              <w:spacing w:before="60" w:after="60" w:line="200" w:lineRule="exact"/>
              <w:jc w:val="center"/>
              <w:rPr>
                <w:b/>
                <w:noProof/>
                <w:sz w:val="16"/>
                <w:szCs w:val="16"/>
              </w:rPr>
            </w:pPr>
            <w:r>
              <w:rPr>
                <w:b/>
                <w:noProof/>
                <w:sz w:val="16"/>
              </w:rPr>
              <w:t>Subtotal INTESTATURA 7</w:t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br/>
            </w:r>
            <w:r>
              <w:rPr>
                <w:b/>
                <w:noProof/>
                <w:sz w:val="16"/>
              </w:rPr>
              <w:t xml:space="preserve">tal-qafas finanzjarju pluriennali </w:t>
            </w:r>
          </w:p>
        </w:tc>
        <w:tc>
          <w:tcPr>
            <w:tcW w:w="1080" w:type="dxa"/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1 500</w:t>
            </w:r>
          </w:p>
        </w:tc>
        <w:tc>
          <w:tcPr>
            <w:tcW w:w="1080" w:type="dxa"/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1 500</w:t>
            </w:r>
          </w:p>
        </w:tc>
        <w:tc>
          <w:tcPr>
            <w:tcW w:w="1080" w:type="dxa"/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1 500</w:t>
            </w:r>
          </w:p>
        </w:tc>
        <w:tc>
          <w:tcPr>
            <w:tcW w:w="1080" w:type="dxa"/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1 500</w:t>
            </w:r>
          </w:p>
        </w:tc>
        <w:tc>
          <w:tcPr>
            <w:tcW w:w="1080" w:type="dxa"/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1 500</w:t>
            </w:r>
          </w:p>
        </w:tc>
        <w:tc>
          <w:tcPr>
            <w:tcW w:w="1080" w:type="dxa"/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1 500</w:t>
            </w:r>
          </w:p>
        </w:tc>
        <w:tc>
          <w:tcPr>
            <w:tcW w:w="1080" w:type="dxa"/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1 500</w:t>
            </w:r>
          </w:p>
        </w:tc>
        <w:tc>
          <w:tcPr>
            <w:tcW w:w="1080" w:type="dxa"/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</w:rPr>
              <w:t>10 500</w:t>
            </w:r>
          </w:p>
        </w:tc>
      </w:tr>
    </w:tbl>
    <w:p>
      <w:pPr>
        <w:spacing w:line="200" w:lineRule="exact"/>
        <w:rPr>
          <w:noProof/>
          <w:sz w:val="16"/>
          <w:szCs w:val="16"/>
        </w:rPr>
      </w:pPr>
    </w:p>
    <w:tbl>
      <w:tblPr>
        <w:tblW w:w="10620" w:type="dxa"/>
        <w:tblInd w:w="-6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rPr>
          <w:trHeight w:val="585"/>
        </w:trPr>
        <w:tc>
          <w:tcPr>
            <w:tcW w:w="1980" w:type="dxa"/>
            <w:shd w:val="clear" w:color="auto" w:fill="CCCCCC"/>
            <w:vAlign w:val="center"/>
          </w:tcPr>
          <w:p>
            <w:pPr>
              <w:spacing w:before="60" w:after="60" w:line="200" w:lineRule="exact"/>
              <w:jc w:val="center"/>
              <w:rPr>
                <w:noProof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</w:rPr>
              <w:t>Barra mill-Intestatura 7</w:t>
            </w:r>
            <w:r>
              <w:rPr>
                <w:rStyle w:val="FootnoteReference"/>
                <w:b/>
                <w:noProof/>
                <w:sz w:val="16"/>
                <w:szCs w:val="16"/>
              </w:rPr>
              <w:footnoteReference w:id="27"/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br/>
            </w:r>
            <w:r>
              <w:rPr>
                <w:b/>
                <w:noProof/>
                <w:sz w:val="16"/>
                <w:szCs w:val="16"/>
              </w:rPr>
              <w:t xml:space="preserve">of the multiannual financial framework </w:t>
            </w:r>
          </w:p>
          <w:p>
            <w:pPr>
              <w:spacing w:before="0" w:after="0" w:line="200" w:lineRule="exact"/>
              <w:jc w:val="center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1080" w:type="dxa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1080" w:type="dxa"/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</w:tr>
      <w:tr>
        <w:trPr>
          <w:trHeight w:val="585"/>
        </w:trPr>
        <w:tc>
          <w:tcPr>
            <w:tcW w:w="1980" w:type="dxa"/>
            <w:vAlign w:val="center"/>
          </w:tcPr>
          <w:p>
            <w:pPr>
              <w:spacing w:before="60" w:after="60" w:line="200" w:lineRule="exact"/>
              <w:ind w:left="72"/>
              <w:jc w:val="lef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Riżorsi umani</w:t>
            </w:r>
            <w:r>
              <w:rPr>
                <w:rStyle w:val="FootnoteReference"/>
                <w:noProof/>
                <w:sz w:val="16"/>
              </w:rPr>
              <w:footnoteReference w:id="28"/>
            </w:r>
            <w:r>
              <w:rPr>
                <w:rStyle w:val="FootnoteReference"/>
                <w:noProof/>
                <w:sz w:val="16"/>
              </w:rPr>
              <w:footnoteReference w:id="29"/>
            </w:r>
            <w:r>
              <w:rPr>
                <w:noProof/>
                <w:sz w:val="16"/>
              </w:rPr>
              <w:t xml:space="preserve"> </w:t>
            </w:r>
          </w:p>
        </w:tc>
        <w:tc>
          <w:tcPr>
            <w:tcW w:w="1080" w:type="dxa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1 600</w:t>
            </w:r>
          </w:p>
        </w:tc>
        <w:tc>
          <w:tcPr>
            <w:tcW w:w="1080" w:type="dxa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1 600</w:t>
            </w:r>
          </w:p>
        </w:tc>
        <w:tc>
          <w:tcPr>
            <w:tcW w:w="1080" w:type="dxa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1 600</w:t>
            </w:r>
          </w:p>
        </w:tc>
        <w:tc>
          <w:tcPr>
            <w:tcW w:w="1080" w:type="dxa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1 600</w:t>
            </w:r>
          </w:p>
        </w:tc>
        <w:tc>
          <w:tcPr>
            <w:tcW w:w="1080" w:type="dxa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1 600</w:t>
            </w:r>
          </w:p>
        </w:tc>
        <w:tc>
          <w:tcPr>
            <w:tcW w:w="1080" w:type="dxa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1 600</w:t>
            </w:r>
          </w:p>
        </w:tc>
        <w:tc>
          <w:tcPr>
            <w:tcW w:w="1080" w:type="dxa"/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1 600</w:t>
            </w:r>
          </w:p>
        </w:tc>
        <w:tc>
          <w:tcPr>
            <w:tcW w:w="1080" w:type="dxa"/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11 200</w:t>
            </w:r>
          </w:p>
        </w:tc>
      </w:tr>
      <w:tr>
        <w:trPr>
          <w:trHeight w:val="585"/>
        </w:trPr>
        <w:tc>
          <w:tcPr>
            <w:tcW w:w="1980" w:type="dxa"/>
            <w:vAlign w:val="center"/>
          </w:tcPr>
          <w:p>
            <w:pPr>
              <w:spacing w:before="60" w:after="60" w:line="200" w:lineRule="exact"/>
              <w:ind w:left="72"/>
              <w:jc w:val="lef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 xml:space="preserve">Nefqa oħra </w:t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br/>
            </w:r>
            <w:r>
              <w:rPr>
                <w:noProof/>
                <w:sz w:val="16"/>
              </w:rPr>
              <w:t>ta’ natura amministrattiva</w:t>
            </w:r>
          </w:p>
        </w:tc>
        <w:tc>
          <w:tcPr>
            <w:tcW w:w="1080" w:type="dxa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0 500</w:t>
            </w:r>
          </w:p>
        </w:tc>
        <w:tc>
          <w:tcPr>
            <w:tcW w:w="1080" w:type="dxa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0 510</w:t>
            </w:r>
          </w:p>
        </w:tc>
        <w:tc>
          <w:tcPr>
            <w:tcW w:w="1080" w:type="dxa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0 520</w:t>
            </w:r>
          </w:p>
        </w:tc>
        <w:tc>
          <w:tcPr>
            <w:tcW w:w="1080" w:type="dxa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0 531</w:t>
            </w:r>
          </w:p>
        </w:tc>
        <w:tc>
          <w:tcPr>
            <w:tcW w:w="1080" w:type="dxa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0 541</w:t>
            </w:r>
          </w:p>
        </w:tc>
        <w:tc>
          <w:tcPr>
            <w:tcW w:w="1080" w:type="dxa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0 552</w:t>
            </w:r>
          </w:p>
        </w:tc>
        <w:tc>
          <w:tcPr>
            <w:tcW w:w="1080" w:type="dxa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0 563</w:t>
            </w:r>
          </w:p>
        </w:tc>
        <w:tc>
          <w:tcPr>
            <w:tcW w:w="1080" w:type="dxa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3 717</w:t>
            </w:r>
          </w:p>
        </w:tc>
      </w:tr>
      <w:tr>
        <w:trPr>
          <w:trHeight w:val="585"/>
        </w:trPr>
        <w:tc>
          <w:tcPr>
            <w:tcW w:w="1980" w:type="dxa"/>
            <w:vAlign w:val="center"/>
          </w:tcPr>
          <w:p>
            <w:pPr>
              <w:spacing w:before="60" w:after="60" w:line="200" w:lineRule="exact"/>
              <w:ind w:left="72"/>
              <w:jc w:val="lef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 xml:space="preserve">Nefqa oħra </w:t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br/>
            </w:r>
            <w:r>
              <w:rPr>
                <w:noProof/>
                <w:sz w:val="16"/>
              </w:rPr>
              <w:t>ta’ natura amministrattiva</w:t>
            </w:r>
          </w:p>
        </w:tc>
        <w:tc>
          <w:tcPr>
            <w:tcW w:w="1080" w:type="dxa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1 440</w:t>
            </w:r>
          </w:p>
        </w:tc>
        <w:tc>
          <w:tcPr>
            <w:tcW w:w="1080" w:type="dxa"/>
          </w:tcPr>
          <w:p>
            <w:pPr>
              <w:spacing w:before="60" w:after="60" w:line="200" w:lineRule="exac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1 500</w:t>
            </w:r>
          </w:p>
        </w:tc>
        <w:tc>
          <w:tcPr>
            <w:tcW w:w="1080" w:type="dxa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1 560</w:t>
            </w:r>
          </w:p>
        </w:tc>
        <w:tc>
          <w:tcPr>
            <w:tcW w:w="1080" w:type="dxa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1 620</w:t>
            </w:r>
          </w:p>
        </w:tc>
        <w:tc>
          <w:tcPr>
            <w:tcW w:w="1080" w:type="dxa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1 690</w:t>
            </w:r>
          </w:p>
        </w:tc>
        <w:tc>
          <w:tcPr>
            <w:tcW w:w="1080" w:type="dxa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1 750</w:t>
            </w:r>
          </w:p>
        </w:tc>
        <w:tc>
          <w:tcPr>
            <w:tcW w:w="1080" w:type="dxa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1 820</w:t>
            </w:r>
          </w:p>
        </w:tc>
        <w:tc>
          <w:tcPr>
            <w:tcW w:w="1080" w:type="dxa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11 380</w:t>
            </w:r>
          </w:p>
        </w:tc>
      </w:tr>
      <w:tr>
        <w:trPr>
          <w:trHeight w:val="585"/>
        </w:trPr>
        <w:tc>
          <w:tcPr>
            <w:tcW w:w="1980" w:type="dxa"/>
            <w:shd w:val="clear" w:color="auto" w:fill="CCCCCC"/>
            <w:vAlign w:val="center"/>
          </w:tcPr>
          <w:p>
            <w:pPr>
              <w:spacing w:before="60" w:after="60" w:line="200" w:lineRule="exact"/>
              <w:jc w:val="center"/>
              <w:rPr>
                <w:b/>
                <w:noProof/>
                <w:sz w:val="16"/>
                <w:szCs w:val="16"/>
              </w:rPr>
            </w:pPr>
            <w:r>
              <w:rPr>
                <w:b/>
                <w:noProof/>
                <w:sz w:val="16"/>
              </w:rPr>
              <w:t xml:space="preserve">Subtotal </w:t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br/>
            </w:r>
            <w:r>
              <w:rPr>
                <w:b/>
                <w:noProof/>
                <w:sz w:val="16"/>
              </w:rPr>
              <w:t>Barra mill-INTESTATURA 7</w:t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br/>
            </w:r>
            <w:r>
              <w:rPr>
                <w:b/>
                <w:noProof/>
                <w:sz w:val="16"/>
              </w:rPr>
              <w:t xml:space="preserve">tal-qafas finanzjarju pluriennali </w:t>
            </w:r>
          </w:p>
        </w:tc>
        <w:tc>
          <w:tcPr>
            <w:tcW w:w="1080" w:type="dxa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3 540</w:t>
            </w:r>
          </w:p>
        </w:tc>
        <w:tc>
          <w:tcPr>
            <w:tcW w:w="1080" w:type="dxa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3 610</w:t>
            </w:r>
          </w:p>
        </w:tc>
        <w:tc>
          <w:tcPr>
            <w:tcW w:w="1080" w:type="dxa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3 680</w:t>
            </w:r>
          </w:p>
        </w:tc>
        <w:tc>
          <w:tcPr>
            <w:tcW w:w="1080" w:type="dxa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3 751</w:t>
            </w:r>
          </w:p>
        </w:tc>
        <w:tc>
          <w:tcPr>
            <w:tcW w:w="1080" w:type="dxa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3 831</w:t>
            </w:r>
          </w:p>
        </w:tc>
        <w:tc>
          <w:tcPr>
            <w:tcW w:w="1080" w:type="dxa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3 902</w:t>
            </w:r>
          </w:p>
        </w:tc>
        <w:tc>
          <w:tcPr>
            <w:tcW w:w="1080" w:type="dxa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3 983</w:t>
            </w:r>
          </w:p>
        </w:tc>
        <w:tc>
          <w:tcPr>
            <w:tcW w:w="1080" w:type="dxa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26 297</w:t>
            </w:r>
          </w:p>
        </w:tc>
      </w:tr>
    </w:tbl>
    <w:p>
      <w:pPr>
        <w:spacing w:line="200" w:lineRule="exact"/>
        <w:rPr>
          <w:noProof/>
          <w:sz w:val="16"/>
          <w:szCs w:val="16"/>
        </w:rPr>
      </w:pPr>
    </w:p>
    <w:tbl>
      <w:tblPr>
        <w:tblW w:w="10620" w:type="dxa"/>
        <w:tblInd w:w="-612" w:type="dxa"/>
        <w:tblLayout w:type="fixed"/>
        <w:tblLook w:val="01E0" w:firstRow="1" w:lastRow="1" w:firstColumn="1" w:lastColumn="1" w:noHBand="0" w:noVBand="0"/>
      </w:tblPr>
      <w:tblGrid>
        <w:gridCol w:w="1980"/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rPr>
          <w:trHeight w:val="585"/>
        </w:trPr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>
            <w:pPr>
              <w:spacing w:before="60" w:after="60" w:line="200" w:lineRule="exact"/>
              <w:jc w:val="center"/>
              <w:rPr>
                <w:noProof/>
                <w:sz w:val="16"/>
                <w:szCs w:val="16"/>
              </w:rPr>
            </w:pPr>
            <w:r>
              <w:rPr>
                <w:b/>
                <w:noProof/>
                <w:sz w:val="16"/>
              </w:rPr>
              <w:t>TOTAL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5 040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5 110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5 180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5 251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5 331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5 402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5 483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36 797</w:t>
            </w:r>
          </w:p>
        </w:tc>
      </w:tr>
    </w:tbl>
    <w:p>
      <w:pPr>
        <w:rPr>
          <w:noProof/>
          <w:sz w:val="18"/>
        </w:rPr>
      </w:pPr>
      <w:r>
        <w:rPr>
          <w:noProof/>
          <w:sz w:val="18"/>
        </w:rPr>
        <w:t>L-approprjazzjonijiet meħtieġa għar-riżorsi umani u għal nefqa oħra ta’ natura amministrattiva se jiġu koperti mill-approprjazzjonijiet tad-DĠ li diġà jkunu assenjati għall-ġestjoni tal-azzjoni u / jew li diġà jkunu ġew riassenjati fid-DĠ, flimkien, jekk ikun meħtieġ, ma’ kwalunkwe allokazzjoni addizzjonali li tista’ tingħata lid-DĠ tal-ġestjoni skont il-proċedura annwali ta’ allokazzjoni u fid-dawl tal-limitazzjonijiet baġitarji.</w:t>
      </w:r>
    </w:p>
    <w:p>
      <w:pPr>
        <w:spacing w:before="0" w:after="200" w:line="276" w:lineRule="auto"/>
        <w:jc w:val="left"/>
        <w:rPr>
          <w:noProof/>
          <w:sz w:val="18"/>
        </w:rPr>
      </w:pPr>
      <w:r>
        <w:rPr>
          <w:noProof/>
        </w:rPr>
        <w:br w:type="page"/>
      </w:r>
    </w:p>
    <w:p>
      <w:pPr>
        <w:pStyle w:val="ManualHeading4"/>
        <w:rPr>
          <w:bCs/>
          <w:noProof/>
          <w:szCs w:val="24"/>
        </w:rPr>
      </w:pPr>
      <w:r>
        <w:t>3.2.2.1.</w:t>
      </w:r>
      <w:r>
        <w:tab/>
      </w:r>
      <w:r>
        <w:rPr>
          <w:noProof/>
        </w:rPr>
        <w:t>Ir-rekwiżiti stmati tar-riżorsi umani</w:t>
      </w:r>
    </w:p>
    <w:p>
      <w:pPr>
        <w:pStyle w:val="ListDash1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ab/>
        <w:t xml:space="preserve">Il-proposta/l-inzjattiva ma teħtieġx l-użu ta’ riżorsi umani. </w:t>
      </w:r>
    </w:p>
    <w:p>
      <w:pPr>
        <w:pStyle w:val="ListDash1"/>
        <w:rPr>
          <w:noProof/>
        </w:rPr>
      </w:pPr>
      <w:r>
        <w:rPr>
          <w:noProof/>
        </w:rPr>
        <w:t>X</w:t>
      </w:r>
      <w:r>
        <w:rPr>
          <w:noProof/>
        </w:rPr>
        <w:tab/>
        <w:t>Il-proposta / l-inizjattiva teħtieġ l-użu ta’ riżorsi umani, kif spjegat hawn taħt:</w:t>
      </w:r>
    </w:p>
    <w:p>
      <w:pPr>
        <w:spacing w:after="60"/>
        <w:jc w:val="right"/>
        <w:rPr>
          <w:i/>
          <w:noProof/>
          <w:sz w:val="20"/>
        </w:rPr>
      </w:pPr>
      <w:r>
        <w:rPr>
          <w:i/>
          <w:noProof/>
          <w:sz w:val="20"/>
        </w:rPr>
        <w:t>L-istima trid tiġi espressa f’unitajiet ekwivalenti għall-full-time</w:t>
      </w:r>
    </w:p>
    <w:tbl>
      <w:tblPr>
        <w:tblW w:w="5717" w:type="pct"/>
        <w:tblInd w:w="-6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1"/>
        <w:gridCol w:w="1565"/>
        <w:gridCol w:w="990"/>
        <w:gridCol w:w="1134"/>
        <w:gridCol w:w="990"/>
        <w:gridCol w:w="1134"/>
        <w:gridCol w:w="1132"/>
        <w:gridCol w:w="994"/>
        <w:gridCol w:w="1119"/>
      </w:tblGrid>
      <w:tr>
        <w:trPr>
          <w:trHeight w:val="289"/>
        </w:trPr>
        <w:tc>
          <w:tcPr>
            <w:tcW w:w="1472" w:type="pct"/>
            <w:gridSpan w:val="2"/>
            <w:vAlign w:val="center"/>
          </w:tcPr>
          <w:p>
            <w:pPr>
              <w:pStyle w:val="Text1"/>
              <w:spacing w:before="40" w:after="40"/>
              <w:ind w:left="0"/>
              <w:jc w:val="center"/>
              <w:rPr>
                <w:i/>
                <w:noProof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</w:rPr>
              <w:t>Snin</w:t>
            </w:r>
          </w:p>
        </w:tc>
        <w:tc>
          <w:tcPr>
            <w:tcW w:w="466" w:type="pct"/>
            <w:shd w:val="clear" w:color="auto" w:fill="auto"/>
            <w:vAlign w:val="center"/>
          </w:tcPr>
          <w:p>
            <w:pPr>
              <w:spacing w:before="20" w:after="20"/>
              <w:jc w:val="center"/>
              <w:rPr>
                <w:b/>
                <w:noProof/>
                <w:sz w:val="16"/>
                <w:szCs w:val="16"/>
              </w:rPr>
            </w:pPr>
            <w:r>
              <w:rPr>
                <w:b/>
                <w:noProof/>
                <w:sz w:val="20"/>
              </w:rPr>
              <w:t>2021</w:t>
            </w:r>
          </w:p>
        </w:tc>
        <w:tc>
          <w:tcPr>
            <w:tcW w:w="534" w:type="pct"/>
            <w:shd w:val="clear" w:color="auto" w:fill="auto"/>
            <w:vAlign w:val="center"/>
          </w:tcPr>
          <w:p>
            <w:pPr>
              <w:spacing w:before="20" w:after="20"/>
              <w:jc w:val="center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2022</w:t>
            </w:r>
          </w:p>
        </w:tc>
        <w:tc>
          <w:tcPr>
            <w:tcW w:w="466" w:type="pct"/>
            <w:shd w:val="clear" w:color="auto" w:fill="auto"/>
            <w:vAlign w:val="center"/>
          </w:tcPr>
          <w:p>
            <w:pPr>
              <w:spacing w:before="20" w:after="20"/>
              <w:jc w:val="center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2023</w:t>
            </w:r>
          </w:p>
        </w:tc>
        <w:tc>
          <w:tcPr>
            <w:tcW w:w="534" w:type="pct"/>
            <w:shd w:val="clear" w:color="auto" w:fill="auto"/>
            <w:vAlign w:val="center"/>
          </w:tcPr>
          <w:p>
            <w:pPr>
              <w:spacing w:before="20" w:after="20"/>
              <w:jc w:val="center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2024</w:t>
            </w:r>
          </w:p>
        </w:tc>
        <w:tc>
          <w:tcPr>
            <w:tcW w:w="533" w:type="pct"/>
            <w:shd w:val="clear" w:color="auto" w:fill="auto"/>
            <w:vAlign w:val="center"/>
          </w:tcPr>
          <w:p>
            <w:pPr>
              <w:jc w:val="center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2025</w:t>
            </w:r>
          </w:p>
        </w:tc>
        <w:tc>
          <w:tcPr>
            <w:tcW w:w="468" w:type="pct"/>
            <w:shd w:val="clear" w:color="auto" w:fill="auto"/>
            <w:vAlign w:val="center"/>
          </w:tcPr>
          <w:p>
            <w:pPr>
              <w:jc w:val="center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2026</w:t>
            </w:r>
          </w:p>
        </w:tc>
        <w:tc>
          <w:tcPr>
            <w:tcW w:w="527" w:type="pct"/>
            <w:shd w:val="clear" w:color="auto" w:fill="auto"/>
            <w:vAlign w:val="center"/>
          </w:tcPr>
          <w:p>
            <w:pPr>
              <w:jc w:val="center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2027</w:t>
            </w:r>
          </w:p>
        </w:tc>
      </w:tr>
      <w:tr>
        <w:trPr>
          <w:trHeight w:val="289"/>
        </w:trPr>
        <w:tc>
          <w:tcPr>
            <w:tcW w:w="5000" w:type="pct"/>
            <w:gridSpan w:val="9"/>
          </w:tcPr>
          <w:p>
            <w:pPr>
              <w:jc w:val="left"/>
              <w:rPr>
                <w:noProof/>
                <w:sz w:val="16"/>
                <w:szCs w:val="16"/>
              </w:rPr>
            </w:pPr>
            <w:r>
              <w:rPr>
                <w:b/>
                <w:noProof/>
                <w:sz w:val="16"/>
              </w:rPr>
              <w:sym w:font="Wingdings" w:char="F09F"/>
            </w:r>
            <w:r>
              <w:rPr>
                <w:b/>
                <w:noProof/>
                <w:sz w:val="16"/>
              </w:rPr>
              <w:t xml:space="preserve"> Pożizzjonijiet fil-pjan ta’ stabbiliment (uffiċjali u aġenti temporanji)</w:t>
            </w:r>
          </w:p>
        </w:tc>
      </w:tr>
      <w:tr>
        <w:trPr>
          <w:trHeight w:val="289"/>
        </w:trPr>
        <w:tc>
          <w:tcPr>
            <w:tcW w:w="1472" w:type="pct"/>
            <w:gridSpan w:val="2"/>
          </w:tcPr>
          <w:p>
            <w:pPr>
              <w:pStyle w:val="Text1"/>
              <w:spacing w:beforeLines="20" w:before="48" w:afterLines="20" w:after="48"/>
              <w:ind w:left="134"/>
              <w:jc w:val="left"/>
              <w:rPr>
                <w:b/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Kwartieri Ġenerali u Uffiċċji tar-Rappreżentanza tal-Kummissjoni</w:t>
            </w:r>
          </w:p>
        </w:tc>
        <w:tc>
          <w:tcPr>
            <w:tcW w:w="466" w:type="pct"/>
            <w:shd w:val="clear" w:color="auto" w:fill="auto"/>
          </w:tcPr>
          <w:p>
            <w:pPr>
              <w:spacing w:beforeLines="20" w:before="48" w:afterLines="20" w:after="48"/>
              <w:jc w:val="center"/>
              <w:rPr>
                <w:noProof/>
                <w:sz w:val="20"/>
                <w:szCs w:val="16"/>
              </w:rPr>
            </w:pPr>
            <w:r>
              <w:rPr>
                <w:noProof/>
                <w:sz w:val="20"/>
                <w:szCs w:val="16"/>
              </w:rPr>
              <w:t>10</w:t>
            </w:r>
          </w:p>
        </w:tc>
        <w:tc>
          <w:tcPr>
            <w:tcW w:w="534" w:type="pct"/>
            <w:shd w:val="clear" w:color="auto" w:fill="auto"/>
          </w:tcPr>
          <w:p>
            <w:pPr>
              <w:spacing w:beforeLines="20" w:before="48" w:afterLines="20" w:after="48"/>
              <w:jc w:val="center"/>
              <w:rPr>
                <w:noProof/>
                <w:sz w:val="20"/>
                <w:szCs w:val="16"/>
              </w:rPr>
            </w:pPr>
            <w:r>
              <w:rPr>
                <w:noProof/>
                <w:sz w:val="20"/>
                <w:szCs w:val="16"/>
              </w:rPr>
              <w:t>10</w:t>
            </w:r>
          </w:p>
        </w:tc>
        <w:tc>
          <w:tcPr>
            <w:tcW w:w="466" w:type="pct"/>
            <w:shd w:val="clear" w:color="auto" w:fill="auto"/>
          </w:tcPr>
          <w:p>
            <w:pPr>
              <w:spacing w:beforeLines="20" w:before="48" w:afterLines="20" w:after="48"/>
              <w:jc w:val="center"/>
              <w:rPr>
                <w:noProof/>
                <w:sz w:val="20"/>
                <w:szCs w:val="16"/>
              </w:rPr>
            </w:pPr>
            <w:r>
              <w:rPr>
                <w:noProof/>
                <w:sz w:val="20"/>
                <w:szCs w:val="16"/>
              </w:rPr>
              <w:t>10</w:t>
            </w:r>
          </w:p>
        </w:tc>
        <w:tc>
          <w:tcPr>
            <w:tcW w:w="534" w:type="pct"/>
            <w:shd w:val="clear" w:color="auto" w:fill="auto"/>
          </w:tcPr>
          <w:p>
            <w:pPr>
              <w:spacing w:beforeLines="20" w:before="48" w:afterLines="20" w:after="48"/>
              <w:jc w:val="center"/>
              <w:rPr>
                <w:noProof/>
                <w:sz w:val="20"/>
                <w:szCs w:val="16"/>
              </w:rPr>
            </w:pPr>
            <w:r>
              <w:rPr>
                <w:noProof/>
                <w:sz w:val="20"/>
                <w:szCs w:val="16"/>
              </w:rPr>
              <w:t>10</w:t>
            </w:r>
          </w:p>
        </w:tc>
        <w:tc>
          <w:tcPr>
            <w:tcW w:w="533" w:type="pct"/>
            <w:shd w:val="clear" w:color="auto" w:fill="auto"/>
          </w:tcPr>
          <w:p>
            <w:pPr>
              <w:spacing w:beforeLines="20" w:before="48" w:afterLines="20" w:after="48"/>
              <w:jc w:val="center"/>
              <w:rPr>
                <w:noProof/>
                <w:sz w:val="20"/>
                <w:szCs w:val="16"/>
              </w:rPr>
            </w:pPr>
            <w:r>
              <w:rPr>
                <w:noProof/>
                <w:sz w:val="20"/>
                <w:szCs w:val="16"/>
              </w:rPr>
              <w:t>10</w:t>
            </w:r>
          </w:p>
        </w:tc>
        <w:tc>
          <w:tcPr>
            <w:tcW w:w="468" w:type="pct"/>
            <w:shd w:val="clear" w:color="auto" w:fill="auto"/>
          </w:tcPr>
          <w:p>
            <w:pPr>
              <w:spacing w:beforeLines="20" w:before="48" w:afterLines="20" w:after="48"/>
              <w:jc w:val="center"/>
              <w:rPr>
                <w:noProof/>
                <w:sz w:val="20"/>
                <w:szCs w:val="16"/>
              </w:rPr>
            </w:pPr>
            <w:r>
              <w:rPr>
                <w:noProof/>
                <w:sz w:val="20"/>
                <w:szCs w:val="16"/>
              </w:rPr>
              <w:t>10</w:t>
            </w:r>
          </w:p>
        </w:tc>
        <w:tc>
          <w:tcPr>
            <w:tcW w:w="527" w:type="pct"/>
            <w:shd w:val="clear" w:color="auto" w:fill="auto"/>
          </w:tcPr>
          <w:p>
            <w:pPr>
              <w:spacing w:beforeLines="20" w:before="48" w:afterLines="20" w:after="48"/>
              <w:jc w:val="center"/>
              <w:rPr>
                <w:noProof/>
                <w:sz w:val="20"/>
                <w:szCs w:val="16"/>
              </w:rPr>
            </w:pPr>
            <w:r>
              <w:rPr>
                <w:noProof/>
                <w:sz w:val="20"/>
                <w:szCs w:val="16"/>
              </w:rPr>
              <w:t>10</w:t>
            </w:r>
          </w:p>
        </w:tc>
      </w:tr>
      <w:tr>
        <w:trPr>
          <w:trHeight w:val="289"/>
        </w:trPr>
        <w:tc>
          <w:tcPr>
            <w:tcW w:w="1472" w:type="pct"/>
            <w:gridSpan w:val="2"/>
          </w:tcPr>
          <w:p>
            <w:pPr>
              <w:pStyle w:val="Text1"/>
              <w:spacing w:beforeLines="20" w:before="48" w:afterLines="20" w:after="48"/>
              <w:ind w:left="134"/>
              <w:jc w:val="lef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Delegazzjonijiet</w:t>
            </w:r>
          </w:p>
        </w:tc>
        <w:tc>
          <w:tcPr>
            <w:tcW w:w="466" w:type="pct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</w:t>
            </w:r>
          </w:p>
        </w:tc>
        <w:tc>
          <w:tcPr>
            <w:tcW w:w="534" w:type="pct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</w:t>
            </w:r>
          </w:p>
        </w:tc>
        <w:tc>
          <w:tcPr>
            <w:tcW w:w="466" w:type="pct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</w:t>
            </w:r>
          </w:p>
        </w:tc>
        <w:tc>
          <w:tcPr>
            <w:tcW w:w="534" w:type="pct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</w:t>
            </w:r>
          </w:p>
        </w:tc>
        <w:tc>
          <w:tcPr>
            <w:tcW w:w="533" w:type="pct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</w:t>
            </w:r>
          </w:p>
        </w:tc>
        <w:tc>
          <w:tcPr>
            <w:tcW w:w="468" w:type="pct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</w:t>
            </w:r>
          </w:p>
        </w:tc>
        <w:tc>
          <w:tcPr>
            <w:tcW w:w="527" w:type="pct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</w:t>
            </w:r>
          </w:p>
        </w:tc>
      </w:tr>
      <w:tr>
        <w:trPr>
          <w:trHeight w:val="289"/>
        </w:trPr>
        <w:tc>
          <w:tcPr>
            <w:tcW w:w="1472" w:type="pct"/>
            <w:gridSpan w:val="2"/>
          </w:tcPr>
          <w:p>
            <w:pPr>
              <w:pStyle w:val="Text1"/>
              <w:spacing w:beforeLines="20" w:before="48" w:afterLines="20" w:after="48"/>
              <w:ind w:left="134"/>
              <w:jc w:val="lef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Riċerka</w:t>
            </w:r>
          </w:p>
        </w:tc>
        <w:tc>
          <w:tcPr>
            <w:tcW w:w="466" w:type="pct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</w:t>
            </w:r>
          </w:p>
        </w:tc>
        <w:tc>
          <w:tcPr>
            <w:tcW w:w="534" w:type="pct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</w:t>
            </w:r>
          </w:p>
        </w:tc>
        <w:tc>
          <w:tcPr>
            <w:tcW w:w="466" w:type="pct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</w:t>
            </w:r>
          </w:p>
        </w:tc>
        <w:tc>
          <w:tcPr>
            <w:tcW w:w="534" w:type="pct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</w:t>
            </w:r>
          </w:p>
        </w:tc>
        <w:tc>
          <w:tcPr>
            <w:tcW w:w="533" w:type="pct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</w:t>
            </w:r>
          </w:p>
        </w:tc>
        <w:tc>
          <w:tcPr>
            <w:tcW w:w="468" w:type="pct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</w:t>
            </w:r>
          </w:p>
        </w:tc>
        <w:tc>
          <w:tcPr>
            <w:tcW w:w="527" w:type="pct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</w:t>
            </w:r>
          </w:p>
        </w:tc>
      </w:tr>
      <w:tr>
        <w:trPr>
          <w:trHeight w:val="293"/>
        </w:trPr>
        <w:tc>
          <w:tcPr>
            <w:tcW w:w="5000" w:type="pct"/>
            <w:gridSpan w:val="9"/>
          </w:tcPr>
          <w:p>
            <w:pPr>
              <w:pStyle w:val="Text1"/>
              <w:spacing w:before="60" w:after="60"/>
              <w:ind w:left="0"/>
              <w:jc w:val="left"/>
              <w:rPr>
                <w:b/>
                <w:noProof/>
                <w:sz w:val="16"/>
                <w:szCs w:val="16"/>
              </w:rPr>
            </w:pPr>
            <w:r>
              <w:rPr>
                <w:b/>
                <w:noProof/>
                <w:sz w:val="16"/>
              </w:rPr>
              <w:sym w:font="Wingdings" w:char="F09F"/>
            </w:r>
            <w:r>
              <w:rPr>
                <w:b/>
                <w:noProof/>
                <w:sz w:val="16"/>
                <w:szCs w:val="16"/>
              </w:rPr>
              <w:t xml:space="preserve"> Persunal estern (f’unità Ekwivalenti għal Full-Time: FTE) FTE) - AC, AL, END, INT u JED</w:t>
            </w:r>
            <w:r>
              <w:rPr>
                <w:noProof/>
                <w:sz w:val="16"/>
                <w:szCs w:val="16"/>
              </w:rPr>
              <w:t xml:space="preserve"> </w:t>
            </w:r>
            <w:r>
              <w:rPr>
                <w:rStyle w:val="FootnoteReference"/>
                <w:noProof/>
                <w:sz w:val="16"/>
                <w:szCs w:val="16"/>
              </w:rPr>
              <w:footnoteReference w:id="30"/>
            </w:r>
          </w:p>
          <w:p>
            <w:pPr>
              <w:pStyle w:val="Text1"/>
              <w:spacing w:before="0" w:after="0"/>
              <w:ind w:left="0"/>
              <w:jc w:val="lef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Intestatura 7</w:t>
            </w:r>
          </w:p>
        </w:tc>
      </w:tr>
      <w:tr>
        <w:trPr>
          <w:trHeight w:val="485"/>
        </w:trPr>
        <w:tc>
          <w:tcPr>
            <w:tcW w:w="735" w:type="pct"/>
            <w:vMerge w:val="restart"/>
            <w:vAlign w:val="center"/>
          </w:tcPr>
          <w:p>
            <w:pPr>
              <w:pStyle w:val="Text1"/>
              <w:spacing w:beforeLines="20" w:before="48" w:afterLines="20" w:after="48"/>
              <w:ind w:left="136"/>
              <w:jc w:val="left"/>
              <w:rPr>
                <w:b/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Iffinazjati mill-INTESTATURA 7 tal-qafas finanzjarju pluriennali</w:t>
            </w:r>
            <w:r>
              <w:rPr>
                <w:b/>
                <w:noProof/>
                <w:sz w:val="16"/>
                <w:szCs w:val="16"/>
              </w:rPr>
              <w:t xml:space="preserve"> </w:t>
            </w:r>
          </w:p>
        </w:tc>
        <w:tc>
          <w:tcPr>
            <w:tcW w:w="737" w:type="pct"/>
            <w:vAlign w:val="center"/>
          </w:tcPr>
          <w:p>
            <w:pPr>
              <w:pStyle w:val="Text1"/>
              <w:spacing w:beforeLines="20" w:before="48" w:afterLines="20" w:after="48"/>
              <w:ind w:left="136"/>
              <w:jc w:val="left"/>
              <w:rPr>
                <w:b/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 fil-Kwartieri Ġenerali</w:t>
            </w:r>
          </w:p>
        </w:tc>
        <w:tc>
          <w:tcPr>
            <w:tcW w:w="466" w:type="pct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91</w:t>
            </w:r>
          </w:p>
        </w:tc>
        <w:tc>
          <w:tcPr>
            <w:tcW w:w="534" w:type="pct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92</w:t>
            </w:r>
          </w:p>
        </w:tc>
        <w:tc>
          <w:tcPr>
            <w:tcW w:w="466" w:type="pct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93</w:t>
            </w:r>
          </w:p>
        </w:tc>
        <w:tc>
          <w:tcPr>
            <w:tcW w:w="534" w:type="pct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94</w:t>
            </w:r>
          </w:p>
        </w:tc>
        <w:tc>
          <w:tcPr>
            <w:tcW w:w="533" w:type="pct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94</w:t>
            </w:r>
          </w:p>
        </w:tc>
        <w:tc>
          <w:tcPr>
            <w:tcW w:w="468" w:type="pct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94</w:t>
            </w:r>
          </w:p>
        </w:tc>
        <w:tc>
          <w:tcPr>
            <w:tcW w:w="527" w:type="pct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94</w:t>
            </w:r>
          </w:p>
        </w:tc>
      </w:tr>
      <w:tr>
        <w:trPr>
          <w:trHeight w:val="289"/>
        </w:trPr>
        <w:tc>
          <w:tcPr>
            <w:tcW w:w="735" w:type="pct"/>
            <w:vMerge/>
            <w:vAlign w:val="center"/>
          </w:tcPr>
          <w:p>
            <w:pPr>
              <w:pStyle w:val="Text1"/>
              <w:spacing w:beforeLines="20" w:before="48" w:afterLines="20" w:after="48"/>
              <w:ind w:left="136"/>
              <w:jc w:val="left"/>
              <w:rPr>
                <w:noProof/>
                <w:sz w:val="16"/>
                <w:szCs w:val="16"/>
              </w:rPr>
            </w:pPr>
          </w:p>
        </w:tc>
        <w:tc>
          <w:tcPr>
            <w:tcW w:w="737" w:type="pct"/>
            <w:vAlign w:val="center"/>
          </w:tcPr>
          <w:p>
            <w:pPr>
              <w:pStyle w:val="Text1"/>
              <w:spacing w:beforeLines="20" w:before="48" w:afterLines="20" w:after="48"/>
              <w:ind w:left="136"/>
              <w:jc w:val="lef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- fid-Delegazzjonijiet </w:t>
            </w:r>
          </w:p>
        </w:tc>
        <w:tc>
          <w:tcPr>
            <w:tcW w:w="466" w:type="pct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</w:t>
            </w:r>
          </w:p>
        </w:tc>
        <w:tc>
          <w:tcPr>
            <w:tcW w:w="534" w:type="pct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</w:t>
            </w:r>
          </w:p>
        </w:tc>
        <w:tc>
          <w:tcPr>
            <w:tcW w:w="466" w:type="pct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</w:t>
            </w:r>
          </w:p>
        </w:tc>
        <w:tc>
          <w:tcPr>
            <w:tcW w:w="534" w:type="pct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</w:t>
            </w:r>
          </w:p>
        </w:tc>
        <w:tc>
          <w:tcPr>
            <w:tcW w:w="533" w:type="pct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</w:t>
            </w:r>
          </w:p>
        </w:tc>
        <w:tc>
          <w:tcPr>
            <w:tcW w:w="468" w:type="pct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</w:t>
            </w:r>
          </w:p>
        </w:tc>
        <w:tc>
          <w:tcPr>
            <w:tcW w:w="527" w:type="pct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</w:t>
            </w:r>
          </w:p>
        </w:tc>
      </w:tr>
      <w:tr>
        <w:trPr>
          <w:trHeight w:val="370"/>
        </w:trPr>
        <w:tc>
          <w:tcPr>
            <w:tcW w:w="735" w:type="pct"/>
            <w:vMerge w:val="restart"/>
            <w:vAlign w:val="center"/>
          </w:tcPr>
          <w:p>
            <w:pPr>
              <w:pStyle w:val="Text1"/>
              <w:spacing w:beforeLines="20" w:before="48" w:afterLines="20" w:after="48"/>
              <w:ind w:left="136"/>
              <w:jc w:val="left"/>
              <w:rPr>
                <w:b/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Iffinanzjati mill-pakkett tal-programm</w:t>
            </w:r>
            <w:r>
              <w:rPr>
                <w:b/>
                <w:noProof/>
                <w:sz w:val="16"/>
                <w:szCs w:val="16"/>
              </w:rPr>
              <w:t xml:space="preserve"> </w:t>
            </w:r>
            <w:r>
              <w:rPr>
                <w:rStyle w:val="FootnoteReference"/>
                <w:b/>
                <w:noProof/>
                <w:sz w:val="16"/>
                <w:szCs w:val="16"/>
              </w:rPr>
              <w:footnoteReference w:id="31"/>
            </w:r>
          </w:p>
        </w:tc>
        <w:tc>
          <w:tcPr>
            <w:tcW w:w="737" w:type="pct"/>
            <w:shd w:val="clear" w:color="auto" w:fill="auto"/>
            <w:vAlign w:val="center"/>
          </w:tcPr>
          <w:p>
            <w:pPr>
              <w:pStyle w:val="Text1"/>
              <w:spacing w:beforeLines="20" w:before="48" w:afterLines="20" w:after="48"/>
              <w:ind w:left="136"/>
              <w:jc w:val="left"/>
              <w:rPr>
                <w:b/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 fil-Kwartieri Ġenerali</w:t>
            </w:r>
          </w:p>
        </w:tc>
        <w:tc>
          <w:tcPr>
            <w:tcW w:w="466" w:type="pct"/>
            <w:shd w:val="clear" w:color="auto" w:fill="auto"/>
            <w:vAlign w:val="center"/>
          </w:tcPr>
          <w:p>
            <w:pPr>
              <w:pStyle w:val="Text1"/>
              <w:spacing w:beforeLines="20" w:before="48" w:afterLines="20" w:after="48"/>
              <w:ind w:left="0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</w:t>
            </w:r>
          </w:p>
        </w:tc>
        <w:tc>
          <w:tcPr>
            <w:tcW w:w="534" w:type="pct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</w:t>
            </w:r>
          </w:p>
        </w:tc>
        <w:tc>
          <w:tcPr>
            <w:tcW w:w="466" w:type="pct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</w:t>
            </w:r>
          </w:p>
        </w:tc>
        <w:tc>
          <w:tcPr>
            <w:tcW w:w="534" w:type="pct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</w:t>
            </w:r>
          </w:p>
        </w:tc>
        <w:tc>
          <w:tcPr>
            <w:tcW w:w="533" w:type="pct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</w:t>
            </w:r>
          </w:p>
        </w:tc>
        <w:tc>
          <w:tcPr>
            <w:tcW w:w="468" w:type="pct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</w:t>
            </w:r>
          </w:p>
        </w:tc>
        <w:tc>
          <w:tcPr>
            <w:tcW w:w="527" w:type="pct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</w:t>
            </w:r>
          </w:p>
        </w:tc>
      </w:tr>
      <w:tr>
        <w:trPr>
          <w:trHeight w:val="289"/>
        </w:trPr>
        <w:tc>
          <w:tcPr>
            <w:tcW w:w="735" w:type="pct"/>
            <w:vMerge/>
          </w:tcPr>
          <w:p>
            <w:pPr>
              <w:pStyle w:val="Text1"/>
              <w:spacing w:beforeLines="20" w:before="48" w:afterLines="20" w:after="48"/>
              <w:ind w:left="136"/>
              <w:jc w:val="left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737" w:type="pct"/>
            <w:shd w:val="clear" w:color="auto" w:fill="auto"/>
            <w:vAlign w:val="center"/>
          </w:tcPr>
          <w:p>
            <w:pPr>
              <w:pStyle w:val="Text1"/>
              <w:spacing w:beforeLines="20" w:before="48" w:afterLines="20" w:after="48"/>
              <w:ind w:left="136"/>
              <w:jc w:val="left"/>
              <w:rPr>
                <w:b/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- fid-Delegazzjonijiet </w:t>
            </w:r>
          </w:p>
        </w:tc>
        <w:tc>
          <w:tcPr>
            <w:tcW w:w="466" w:type="pct"/>
            <w:shd w:val="clear" w:color="auto" w:fill="auto"/>
            <w:vAlign w:val="center"/>
          </w:tcPr>
          <w:p>
            <w:pPr>
              <w:pStyle w:val="Text1"/>
              <w:spacing w:beforeLines="20" w:before="48" w:afterLines="20" w:after="48"/>
              <w:ind w:left="0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</w:t>
            </w:r>
          </w:p>
        </w:tc>
        <w:tc>
          <w:tcPr>
            <w:tcW w:w="534" w:type="pct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</w:t>
            </w:r>
          </w:p>
        </w:tc>
        <w:tc>
          <w:tcPr>
            <w:tcW w:w="466" w:type="pct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</w:t>
            </w:r>
          </w:p>
        </w:tc>
        <w:tc>
          <w:tcPr>
            <w:tcW w:w="534" w:type="pct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</w:t>
            </w:r>
          </w:p>
        </w:tc>
        <w:tc>
          <w:tcPr>
            <w:tcW w:w="533" w:type="pct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</w:t>
            </w:r>
          </w:p>
        </w:tc>
        <w:tc>
          <w:tcPr>
            <w:tcW w:w="468" w:type="pct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</w:t>
            </w:r>
          </w:p>
        </w:tc>
        <w:tc>
          <w:tcPr>
            <w:tcW w:w="527" w:type="pct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</w:t>
            </w:r>
          </w:p>
        </w:tc>
      </w:tr>
      <w:tr>
        <w:trPr>
          <w:trHeight w:val="289"/>
        </w:trPr>
        <w:tc>
          <w:tcPr>
            <w:tcW w:w="1472" w:type="pct"/>
            <w:gridSpan w:val="2"/>
          </w:tcPr>
          <w:p>
            <w:pPr>
              <w:pStyle w:val="Text1"/>
              <w:spacing w:beforeLines="20" w:before="48" w:afterLines="20" w:after="48"/>
              <w:ind w:left="136"/>
              <w:jc w:val="lef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Riċerka</w:t>
            </w:r>
          </w:p>
        </w:tc>
        <w:tc>
          <w:tcPr>
            <w:tcW w:w="466" w:type="pct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</w:t>
            </w:r>
          </w:p>
        </w:tc>
        <w:tc>
          <w:tcPr>
            <w:tcW w:w="534" w:type="pct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</w:t>
            </w:r>
          </w:p>
        </w:tc>
        <w:tc>
          <w:tcPr>
            <w:tcW w:w="466" w:type="pct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</w:t>
            </w:r>
          </w:p>
        </w:tc>
        <w:tc>
          <w:tcPr>
            <w:tcW w:w="534" w:type="pct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</w:t>
            </w:r>
          </w:p>
        </w:tc>
        <w:tc>
          <w:tcPr>
            <w:tcW w:w="533" w:type="pct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</w:t>
            </w:r>
          </w:p>
        </w:tc>
        <w:tc>
          <w:tcPr>
            <w:tcW w:w="468" w:type="pct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</w:t>
            </w:r>
          </w:p>
        </w:tc>
        <w:tc>
          <w:tcPr>
            <w:tcW w:w="527" w:type="pct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</w:t>
            </w:r>
          </w:p>
        </w:tc>
      </w:tr>
      <w:tr>
        <w:trPr>
          <w:trHeight w:val="289"/>
        </w:trPr>
        <w:tc>
          <w:tcPr>
            <w:tcW w:w="1472" w:type="pct"/>
            <w:gridSpan w:val="2"/>
            <w:tcBorders>
              <w:bottom w:val="double" w:sz="4" w:space="0" w:color="auto"/>
            </w:tcBorders>
          </w:tcPr>
          <w:p>
            <w:pPr>
              <w:pStyle w:val="Text1"/>
              <w:spacing w:beforeLines="20" w:before="48" w:afterLines="20" w:after="48"/>
              <w:ind w:left="134"/>
              <w:jc w:val="lef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Dħul assenjat (ieħor)</w:t>
            </w:r>
          </w:p>
        </w:tc>
        <w:tc>
          <w:tcPr>
            <w:tcW w:w="466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20</w:t>
            </w:r>
          </w:p>
        </w:tc>
        <w:tc>
          <w:tcPr>
            <w:tcW w:w="534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20</w:t>
            </w:r>
          </w:p>
        </w:tc>
        <w:tc>
          <w:tcPr>
            <w:tcW w:w="466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20</w:t>
            </w:r>
          </w:p>
        </w:tc>
        <w:tc>
          <w:tcPr>
            <w:tcW w:w="534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20</w:t>
            </w:r>
          </w:p>
        </w:tc>
        <w:tc>
          <w:tcPr>
            <w:tcW w:w="533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20</w:t>
            </w:r>
          </w:p>
        </w:tc>
        <w:tc>
          <w:tcPr>
            <w:tcW w:w="468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20</w:t>
            </w:r>
          </w:p>
        </w:tc>
        <w:tc>
          <w:tcPr>
            <w:tcW w:w="527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20</w:t>
            </w:r>
          </w:p>
        </w:tc>
      </w:tr>
      <w:tr>
        <w:trPr>
          <w:trHeight w:val="289"/>
        </w:trPr>
        <w:tc>
          <w:tcPr>
            <w:tcW w:w="1472" w:type="pct"/>
            <w:gridSpan w:val="2"/>
            <w:tcBorders>
              <w:top w:val="double" w:sz="4" w:space="0" w:color="auto"/>
            </w:tcBorders>
          </w:tcPr>
          <w:p>
            <w:pPr>
              <w:pStyle w:val="Text1"/>
              <w:spacing w:beforeLines="20" w:before="48" w:afterLines="20" w:after="48"/>
              <w:ind w:left="136"/>
              <w:jc w:val="left"/>
              <w:rPr>
                <w:noProof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</w:rPr>
              <w:t>TOTAL</w:t>
            </w:r>
          </w:p>
        </w:tc>
        <w:tc>
          <w:tcPr>
            <w:tcW w:w="466" w:type="pct"/>
            <w:tcBorders>
              <w:top w:val="double" w:sz="4" w:space="0" w:color="auto"/>
            </w:tcBorders>
            <w:shd w:val="clear" w:color="auto" w:fill="auto"/>
          </w:tcPr>
          <w:p>
            <w:pPr>
              <w:spacing w:beforeLines="20" w:before="48" w:afterLines="20" w:after="48"/>
              <w:jc w:val="center"/>
              <w:rPr>
                <w:b/>
                <w:noProof/>
                <w:sz w:val="20"/>
                <w:szCs w:val="16"/>
              </w:rPr>
            </w:pPr>
            <w:r>
              <w:rPr>
                <w:noProof/>
                <w:sz w:val="20"/>
                <w:szCs w:val="16"/>
              </w:rPr>
              <w:t>30</w:t>
            </w:r>
          </w:p>
        </w:tc>
        <w:tc>
          <w:tcPr>
            <w:tcW w:w="534" w:type="pct"/>
            <w:tcBorders>
              <w:top w:val="double" w:sz="4" w:space="0" w:color="auto"/>
            </w:tcBorders>
            <w:shd w:val="clear" w:color="auto" w:fill="auto"/>
          </w:tcPr>
          <w:p>
            <w:pPr>
              <w:spacing w:beforeLines="20" w:before="48" w:afterLines="20" w:after="48"/>
              <w:jc w:val="center"/>
              <w:rPr>
                <w:b/>
                <w:noProof/>
                <w:sz w:val="20"/>
                <w:szCs w:val="16"/>
              </w:rPr>
            </w:pPr>
            <w:r>
              <w:rPr>
                <w:noProof/>
                <w:sz w:val="20"/>
                <w:szCs w:val="16"/>
              </w:rPr>
              <w:t>30</w:t>
            </w:r>
          </w:p>
        </w:tc>
        <w:tc>
          <w:tcPr>
            <w:tcW w:w="466" w:type="pct"/>
            <w:tcBorders>
              <w:top w:val="double" w:sz="4" w:space="0" w:color="auto"/>
            </w:tcBorders>
            <w:shd w:val="clear" w:color="auto" w:fill="auto"/>
          </w:tcPr>
          <w:p>
            <w:pPr>
              <w:spacing w:beforeLines="20" w:before="48" w:afterLines="20" w:after="48"/>
              <w:jc w:val="center"/>
              <w:rPr>
                <w:b/>
                <w:noProof/>
                <w:sz w:val="20"/>
                <w:szCs w:val="16"/>
              </w:rPr>
            </w:pPr>
            <w:r>
              <w:rPr>
                <w:noProof/>
                <w:sz w:val="20"/>
                <w:szCs w:val="16"/>
              </w:rPr>
              <w:t>30</w:t>
            </w:r>
          </w:p>
        </w:tc>
        <w:tc>
          <w:tcPr>
            <w:tcW w:w="534" w:type="pct"/>
            <w:tcBorders>
              <w:top w:val="double" w:sz="4" w:space="0" w:color="auto"/>
            </w:tcBorders>
            <w:shd w:val="clear" w:color="auto" w:fill="auto"/>
          </w:tcPr>
          <w:p>
            <w:pPr>
              <w:spacing w:beforeLines="20" w:before="48" w:afterLines="20" w:after="48"/>
              <w:jc w:val="center"/>
              <w:rPr>
                <w:b/>
                <w:noProof/>
                <w:sz w:val="20"/>
                <w:szCs w:val="16"/>
              </w:rPr>
            </w:pPr>
            <w:r>
              <w:rPr>
                <w:noProof/>
                <w:sz w:val="20"/>
                <w:szCs w:val="16"/>
              </w:rPr>
              <w:t>30</w:t>
            </w:r>
          </w:p>
        </w:tc>
        <w:tc>
          <w:tcPr>
            <w:tcW w:w="533" w:type="pct"/>
            <w:tcBorders>
              <w:top w:val="double" w:sz="4" w:space="0" w:color="auto"/>
            </w:tcBorders>
            <w:shd w:val="clear" w:color="auto" w:fill="auto"/>
          </w:tcPr>
          <w:p>
            <w:pPr>
              <w:spacing w:beforeLines="20" w:before="48" w:afterLines="20" w:after="48"/>
              <w:jc w:val="center"/>
              <w:rPr>
                <w:b/>
                <w:noProof/>
                <w:sz w:val="20"/>
                <w:szCs w:val="16"/>
              </w:rPr>
            </w:pPr>
            <w:r>
              <w:rPr>
                <w:noProof/>
                <w:sz w:val="20"/>
                <w:szCs w:val="16"/>
              </w:rPr>
              <w:t>30</w:t>
            </w:r>
          </w:p>
        </w:tc>
        <w:tc>
          <w:tcPr>
            <w:tcW w:w="468" w:type="pct"/>
            <w:tcBorders>
              <w:top w:val="double" w:sz="4" w:space="0" w:color="auto"/>
            </w:tcBorders>
            <w:shd w:val="clear" w:color="auto" w:fill="auto"/>
          </w:tcPr>
          <w:p>
            <w:pPr>
              <w:spacing w:beforeLines="20" w:before="48" w:afterLines="20" w:after="48"/>
              <w:jc w:val="center"/>
              <w:rPr>
                <w:b/>
                <w:noProof/>
                <w:sz w:val="20"/>
                <w:szCs w:val="16"/>
              </w:rPr>
            </w:pPr>
            <w:r>
              <w:rPr>
                <w:noProof/>
                <w:sz w:val="20"/>
                <w:szCs w:val="16"/>
              </w:rPr>
              <w:t>30</w:t>
            </w:r>
          </w:p>
        </w:tc>
        <w:tc>
          <w:tcPr>
            <w:tcW w:w="527" w:type="pct"/>
            <w:tcBorders>
              <w:top w:val="double" w:sz="4" w:space="0" w:color="auto"/>
            </w:tcBorders>
            <w:shd w:val="clear" w:color="auto" w:fill="auto"/>
          </w:tcPr>
          <w:p>
            <w:pPr>
              <w:spacing w:beforeLines="20" w:before="48" w:afterLines="20" w:after="48"/>
              <w:jc w:val="center"/>
              <w:rPr>
                <w:b/>
                <w:noProof/>
                <w:sz w:val="20"/>
                <w:szCs w:val="16"/>
              </w:rPr>
            </w:pPr>
            <w:r>
              <w:rPr>
                <w:noProof/>
                <w:sz w:val="20"/>
                <w:szCs w:val="16"/>
              </w:rPr>
              <w:t>30</w:t>
            </w:r>
          </w:p>
        </w:tc>
      </w:tr>
    </w:tbl>
    <w:p>
      <w:pPr>
        <w:pStyle w:val="Text1"/>
        <w:rPr>
          <w:noProof/>
          <w:sz w:val="18"/>
          <w:szCs w:val="18"/>
        </w:rPr>
      </w:pPr>
      <w:r>
        <w:rPr>
          <w:noProof/>
          <w:sz w:val="18"/>
          <w:szCs w:val="18"/>
        </w:rPr>
        <w:t xml:space="preserve">Ir-riżorsi umani meħtieġa se jiġu ssodisfati mill-persunal mid-DĠ li diġà jkun assenjat għall-ġestjoni tal-azzjoni u/jew kien ġie skjerat mill-ġdid fid-DĠ, flimkien, jekk ikun neċessarju, ma’ kwalunkwe allokazzjoni addizzjonali li tista’ tingħata lid-DĠ maniġerjali skont il-proċedura annwali ta’ allokazzjoni u fid-dawl tal-limitazzjonijiet baġitarji. </w:t>
      </w:r>
    </w:p>
    <w:p>
      <w:pPr>
        <w:rPr>
          <w:noProof/>
          <w:sz w:val="20"/>
        </w:rPr>
      </w:pPr>
      <w:r>
        <w:rPr>
          <w:noProof/>
          <w:sz w:val="20"/>
        </w:rPr>
        <w:t>Deskrizzjoni tal-kompiti li jridu jitwettqu:</w:t>
      </w:r>
    </w:p>
    <w:tbl>
      <w:tblPr>
        <w:tblW w:w="10632" w:type="dxa"/>
        <w:tblInd w:w="-60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40"/>
        <w:gridCol w:w="7392"/>
      </w:tblGrid>
      <w:tr>
        <w:tc>
          <w:tcPr>
            <w:tcW w:w="3240" w:type="dxa"/>
          </w:tcPr>
          <w:p>
            <w:pPr>
              <w:rPr>
                <w:noProof/>
                <w:sz w:val="20"/>
              </w:rPr>
            </w:pPr>
            <w:r>
              <w:rPr>
                <w:noProof/>
                <w:sz w:val="20"/>
              </w:rPr>
              <w:t>Uffiċjali u aġenti temporanji</w:t>
            </w:r>
          </w:p>
        </w:tc>
        <w:tc>
          <w:tcPr>
            <w:tcW w:w="7392" w:type="dxa"/>
          </w:tcPr>
          <w:p>
            <w:pPr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Din it-tabella turi ċ-ċifri tal-ħtiġijiet tal-</w:t>
            </w:r>
            <w:r>
              <w:rPr>
                <w:noProof/>
                <w:sz w:val="20"/>
              </w:rPr>
              <w:t>persunal</w:t>
            </w:r>
            <w:r>
              <w:rPr>
                <w:noProof/>
                <w:sz w:val="20"/>
                <w:szCs w:val="20"/>
              </w:rPr>
              <w:t xml:space="preserve"> minbarra dawk previsti fil-proposta </w:t>
            </w:r>
            <w:r>
              <w:rPr>
                <w:noProof/>
                <w:sz w:val="20"/>
              </w:rPr>
              <w:t>COM(2019) 125 final</w:t>
            </w:r>
            <w:r>
              <w:rPr>
                <w:noProof/>
                <w:sz w:val="20"/>
                <w:szCs w:val="20"/>
              </w:rPr>
              <w:t>. Din it-talba hija ġustifikata minn żieda sinifikanti fil-baġit propost u l-ħtieġa li jiġu ġestiti attivitajiet ġodda jew kumplessità akbar.</w:t>
            </w:r>
          </w:p>
          <w:p>
            <w:pPr>
              <w:rPr>
                <w:noProof/>
                <w:sz w:val="20"/>
              </w:rPr>
            </w:pPr>
            <w:r>
              <w:rPr>
                <w:noProof/>
                <w:sz w:val="20"/>
              </w:rPr>
              <w:t>L-FTEs magħżula se jaħdmu fuq l-iżvilupp tal-politika; kwistjonijiet legali, b’enfasi partikolari fuq kwistjonijiet ta’ akkwist; mmaniġġjar finanzjarju; verifika u valutazzjoni.</w:t>
            </w:r>
          </w:p>
        </w:tc>
      </w:tr>
      <w:tr>
        <w:tc>
          <w:tcPr>
            <w:tcW w:w="3240" w:type="dxa"/>
          </w:tcPr>
          <w:p>
            <w:pPr>
              <w:spacing w:before="60" w:after="60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Persunal estern</w:t>
            </w:r>
          </w:p>
        </w:tc>
        <w:tc>
          <w:tcPr>
            <w:tcW w:w="7392" w:type="dxa"/>
          </w:tcPr>
          <w:p>
            <w:pPr>
              <w:rPr>
                <w:noProof/>
                <w:sz w:val="20"/>
              </w:rPr>
            </w:pPr>
            <w:r>
              <w:rPr>
                <w:noProof/>
                <w:sz w:val="20"/>
              </w:rPr>
              <w:t>L-FTEs magħżula se jaħdmu fuq l-iżvilupp tal-politika; kwistjonijiet legali, b’enfasi partikolari fuq kwistjonijiet ta’ akkwist; mmaniġġar finanzjarju; awditjar u evalwazzjoni.</w:t>
            </w:r>
          </w:p>
        </w:tc>
      </w:tr>
    </w:tbl>
    <w:p>
      <w:pPr>
        <w:rPr>
          <w:noProof/>
        </w:rPr>
        <w:sectPr>
          <w:headerReference w:type="default" r:id="rId20"/>
          <w:footerReference w:type="default" r:id="rId21"/>
          <w:headerReference w:type="first" r:id="rId22"/>
          <w:footerReference w:type="first" r:id="rId23"/>
          <w:pgSz w:w="11907" w:h="16840"/>
          <w:pgMar w:top="1134" w:right="1418" w:bottom="1134" w:left="1418" w:header="709" w:footer="709" w:gutter="0"/>
          <w:cols w:space="708"/>
          <w:docGrid w:linePitch="360"/>
        </w:sectPr>
      </w:pPr>
    </w:p>
    <w:p>
      <w:pPr>
        <w:rPr>
          <w:noProof/>
        </w:rPr>
      </w:pPr>
    </w:p>
    <w:p>
      <w:pPr>
        <w:pStyle w:val="ManualHeading2"/>
        <w:rPr>
          <w:bCs/>
          <w:noProof/>
          <w:szCs w:val="24"/>
        </w:rPr>
      </w:pPr>
      <w:bookmarkStart w:id="55" w:name="_Toc514941995"/>
      <w:bookmarkStart w:id="56" w:name="_Toc41916659"/>
      <w:r>
        <w:t>3.3.</w:t>
      </w:r>
      <w:r>
        <w:tab/>
      </w:r>
      <w:r>
        <w:rPr>
          <w:noProof/>
        </w:rPr>
        <w:t>Impatt stmat fuq id-dħul</w:t>
      </w:r>
      <w:bookmarkEnd w:id="55"/>
      <w:bookmarkEnd w:id="56"/>
      <w:r>
        <w:rPr>
          <w:noProof/>
        </w:rPr>
        <w:t xml:space="preserve"> </w:t>
      </w:r>
    </w:p>
    <w:p>
      <w:pPr>
        <w:pStyle w:val="ListDash1"/>
        <w:rPr>
          <w:noProof/>
        </w:rPr>
      </w:pPr>
      <w:r>
        <w:rPr>
          <w:noProof/>
        </w:rPr>
        <w:t>X</w:t>
      </w:r>
      <w:r>
        <w:rPr>
          <w:noProof/>
        </w:rPr>
        <w:tab/>
        <w:t>Il-proposta / l-inizjattiva ma għandha l-ebda impatt finanzjarju fuq id-dħul.</w:t>
      </w:r>
    </w:p>
    <w:p>
      <w:pPr>
        <w:pStyle w:val="ListDash1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ab/>
        <w:t>Il-proposta / l-inizjattiva għandha l-impatt finanzjarju li ġej:</w:t>
      </w:r>
    </w:p>
    <w:p>
      <w:pPr>
        <w:pStyle w:val="Tiret2"/>
        <w:numPr>
          <w:ilvl w:val="0"/>
          <w:numId w:val="26"/>
        </w:numPr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ab/>
        <w:t xml:space="preserve">fuq ir-riżorsi proprji </w:t>
      </w:r>
    </w:p>
    <w:p>
      <w:pPr>
        <w:pStyle w:val="Tiret2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ab/>
        <w:t>fuq dħul ieħor</w:t>
      </w:r>
    </w:p>
    <w:p>
      <w:pPr>
        <w:rPr>
          <w:noProof/>
        </w:rPr>
      </w:pPr>
      <w:r>
        <w:rPr>
          <w:noProof/>
        </w:rPr>
        <w:t xml:space="preserve">indika jekk id-dħul huwiex assenjat għal-linji tan-nefqa </w:t>
      </w:r>
      <w:r>
        <w:rPr>
          <w:noProof/>
        </w:rPr>
        <w:sym w:font="Wingdings" w:char="F0A8"/>
      </w:r>
      <w:r>
        <w:rPr>
          <w:noProof/>
        </w:rPr>
        <w:tab/>
      </w:r>
    </w:p>
    <w:p>
      <w:pPr>
        <w:jc w:val="right"/>
        <w:rPr>
          <w:i/>
          <w:noProof/>
          <w:sz w:val="20"/>
        </w:rPr>
      </w:pPr>
      <w:r>
        <w:rPr>
          <w:noProof/>
        </w:rPr>
        <w:t>EUR miljuni (sa tliet pożizzjonijiet deċimali)</w:t>
      </w:r>
    </w:p>
    <w:tbl>
      <w:tblPr>
        <w:tblW w:w="93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44"/>
        <w:gridCol w:w="1080"/>
        <w:gridCol w:w="900"/>
        <w:gridCol w:w="900"/>
        <w:gridCol w:w="1080"/>
        <w:gridCol w:w="1080"/>
        <w:gridCol w:w="1080"/>
        <w:gridCol w:w="1080"/>
      </w:tblGrid>
      <w:tr>
        <w:trPr>
          <w:trHeight w:val="388"/>
          <w:jc w:val="center"/>
        </w:trPr>
        <w:tc>
          <w:tcPr>
            <w:tcW w:w="2144" w:type="dxa"/>
            <w:vMerge w:val="restart"/>
            <w:vAlign w:val="center"/>
          </w:tcPr>
          <w:p>
            <w:pPr>
              <w:spacing w:before="40" w:after="40"/>
              <w:rPr>
                <w:noProof/>
                <w:sz w:val="18"/>
              </w:rPr>
            </w:pPr>
            <w:r>
              <w:rPr>
                <w:noProof/>
                <w:sz w:val="18"/>
              </w:rPr>
              <w:t>Linja baġitarja tad-dħul:</w:t>
            </w:r>
          </w:p>
        </w:tc>
        <w:tc>
          <w:tcPr>
            <w:tcW w:w="7200" w:type="dxa"/>
            <w:gridSpan w:val="7"/>
            <w:vAlign w:val="center"/>
          </w:tcPr>
          <w:p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Impatt tal-proposta / tal-inizjattiva</w:t>
            </w:r>
            <w:r>
              <w:rPr>
                <w:rStyle w:val="FootnoteReference"/>
                <w:noProof/>
                <w:sz w:val="18"/>
                <w:szCs w:val="18"/>
              </w:rPr>
              <w:footnoteReference w:id="32"/>
            </w:r>
          </w:p>
        </w:tc>
      </w:tr>
      <w:tr>
        <w:trPr>
          <w:trHeight w:val="388"/>
          <w:jc w:val="center"/>
        </w:trPr>
        <w:tc>
          <w:tcPr>
            <w:tcW w:w="2144" w:type="dxa"/>
            <w:vMerge/>
          </w:tcPr>
          <w:p>
            <w:pPr>
              <w:spacing w:before="40" w:after="40"/>
              <w:rPr>
                <w:noProof/>
                <w:sz w:val="18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noProof/>
                <w:sz w:val="18"/>
              </w:rPr>
            </w:pPr>
            <w:r>
              <w:rPr>
                <w:b/>
                <w:noProof/>
                <w:sz w:val="20"/>
              </w:rPr>
              <w:t>2021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2022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2023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2024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2025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2026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2027</w:t>
            </w:r>
          </w:p>
        </w:tc>
      </w:tr>
      <w:tr>
        <w:trPr>
          <w:trHeight w:val="388"/>
          <w:jc w:val="center"/>
        </w:trPr>
        <w:tc>
          <w:tcPr>
            <w:tcW w:w="2144" w:type="dxa"/>
            <w:vAlign w:val="center"/>
          </w:tcPr>
          <w:p>
            <w:pPr>
              <w:spacing w:before="40" w:after="40"/>
              <w:rPr>
                <w:noProof/>
                <w:sz w:val="18"/>
              </w:rPr>
            </w:pPr>
            <w:r>
              <w:rPr>
                <w:noProof/>
                <w:sz w:val="18"/>
              </w:rPr>
              <w:t>Artikolu ………….</w:t>
            </w:r>
          </w:p>
        </w:tc>
        <w:tc>
          <w:tcPr>
            <w:tcW w:w="1080" w:type="dxa"/>
          </w:tcPr>
          <w:p>
            <w:pPr>
              <w:spacing w:beforeLines="40" w:before="96" w:afterLines="40" w:after="96"/>
              <w:jc w:val="center"/>
              <w:rPr>
                <w:noProof/>
                <w:sz w:val="18"/>
              </w:rPr>
            </w:pPr>
          </w:p>
        </w:tc>
        <w:tc>
          <w:tcPr>
            <w:tcW w:w="900" w:type="dxa"/>
          </w:tcPr>
          <w:p>
            <w:pPr>
              <w:spacing w:beforeLines="40" w:before="96" w:afterLines="40" w:after="96"/>
              <w:jc w:val="center"/>
              <w:rPr>
                <w:noProof/>
                <w:sz w:val="18"/>
              </w:rPr>
            </w:pPr>
          </w:p>
        </w:tc>
        <w:tc>
          <w:tcPr>
            <w:tcW w:w="900" w:type="dxa"/>
          </w:tcPr>
          <w:p>
            <w:pPr>
              <w:spacing w:beforeLines="40" w:before="96" w:afterLines="40" w:after="96"/>
              <w:jc w:val="center"/>
              <w:rPr>
                <w:noProof/>
                <w:sz w:val="18"/>
              </w:rPr>
            </w:pPr>
          </w:p>
        </w:tc>
        <w:tc>
          <w:tcPr>
            <w:tcW w:w="1080" w:type="dxa"/>
          </w:tcPr>
          <w:p>
            <w:pPr>
              <w:spacing w:beforeLines="40" w:before="96" w:afterLines="40" w:after="96"/>
              <w:jc w:val="center"/>
              <w:rPr>
                <w:noProof/>
                <w:sz w:val="18"/>
              </w:rPr>
            </w:pPr>
          </w:p>
        </w:tc>
        <w:tc>
          <w:tcPr>
            <w:tcW w:w="1080" w:type="dxa"/>
          </w:tcPr>
          <w:p>
            <w:pPr>
              <w:spacing w:beforeLines="40" w:before="96" w:afterLines="40" w:after="96"/>
              <w:jc w:val="center"/>
              <w:rPr>
                <w:noProof/>
                <w:sz w:val="18"/>
              </w:rPr>
            </w:pPr>
          </w:p>
        </w:tc>
        <w:tc>
          <w:tcPr>
            <w:tcW w:w="1080" w:type="dxa"/>
          </w:tcPr>
          <w:p>
            <w:pPr>
              <w:spacing w:beforeLines="40" w:before="96" w:afterLines="40" w:after="96"/>
              <w:jc w:val="center"/>
              <w:rPr>
                <w:noProof/>
                <w:sz w:val="18"/>
              </w:rPr>
            </w:pPr>
          </w:p>
        </w:tc>
        <w:tc>
          <w:tcPr>
            <w:tcW w:w="1080" w:type="dxa"/>
          </w:tcPr>
          <w:p>
            <w:pPr>
              <w:spacing w:beforeLines="40" w:before="96" w:afterLines="40" w:after="96"/>
              <w:jc w:val="center"/>
              <w:rPr>
                <w:noProof/>
                <w:sz w:val="18"/>
              </w:rPr>
            </w:pPr>
          </w:p>
        </w:tc>
      </w:tr>
    </w:tbl>
    <w:p>
      <w:pPr>
        <w:pStyle w:val="Text1"/>
        <w:rPr>
          <w:noProof/>
          <w:sz w:val="20"/>
          <w:szCs w:val="20"/>
        </w:rPr>
      </w:pPr>
      <w:r>
        <w:rPr>
          <w:noProof/>
          <w:sz w:val="20"/>
          <w:szCs w:val="20"/>
        </w:rPr>
        <w:t>Għad-dħul assenjat, speċifika l-linja/i baġitarja/i tan-nefqa affettwata/i.</w:t>
      </w:r>
    </w:p>
    <w:p>
      <w:pPr>
        <w:pStyle w:val="Text1"/>
        <w:rPr>
          <w:noProof/>
        </w:rPr>
      </w:pPr>
    </w:p>
    <w:p>
      <w:pPr>
        <w:pStyle w:val="Text1"/>
        <w:rPr>
          <w:rStyle w:val="CommentReference"/>
          <w:noProof/>
        </w:rPr>
      </w:pPr>
      <w:r>
        <w:rPr>
          <w:noProof/>
          <w:sz w:val="20"/>
          <w:szCs w:val="20"/>
        </w:rPr>
        <w:t>Rimarki oħra (pereż. il-metodu/il-formula li ntużaw għall-kalkolu tal-impatt fuq id-dħul jew kwalunkwe informazzjoni oħra).</w:t>
      </w:r>
      <w:r>
        <w:rPr>
          <w:noProof/>
        </w:rPr>
        <w:t xml:space="preserve"> </w:t>
      </w:r>
    </w:p>
    <w:p>
      <w:pPr>
        <w:rPr>
          <w:noProof/>
        </w:rPr>
      </w:pPr>
    </w:p>
    <w:sectPr>
      <w:pgSz w:w="11907" w:h="16839"/>
      <w:pgMar w:top="1134" w:right="1417" w:bottom="1134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spacing w:before="0" w:after="0"/>
      </w:pPr>
      <w:r>
        <w:separator/>
      </w:r>
    </w:p>
  </w:endnote>
  <w:endnote w:type="continuationSeparator" w:id="0">
    <w:p>
      <w:pPr>
        <w:spacing w:before="0" w:after="0"/>
      </w:pPr>
      <w:r>
        <w:continuationSeparator/>
      </w:r>
    </w:p>
  </w:endnote>
  <w:endnote w:type="continuationNotice" w:id="1">
    <w:p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UAlbertina">
    <w:altName w:val="EU Alberti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MT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tab/>
    </w:r>
    <w:r>
      <w:rPr>
        <w:rFonts w:ascii="Arial" w:hAnsi="Arial" w:cs="Arial"/>
        <w:b/>
        <w:sz w:val="48"/>
      </w:rPr>
      <w:t>MT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MT</w:t>
    </w:r>
    <w:r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23</w:t>
    </w:r>
    <w:r>
      <w:fldChar w:fldCharType="end"/>
    </w:r>
    <w:r>
      <w:tab/>
    </w:r>
    <w:r>
      <w:tab/>
    </w:r>
    <w:r>
      <w:rPr>
        <w:rFonts w:ascii="Arial" w:hAnsi="Arial" w:cs="Arial"/>
        <w:b/>
        <w:sz w:val="48"/>
      </w:rPr>
      <w:t>MT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Landscape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MT</w:t>
    </w:r>
    <w:r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0</w:t>
    </w:r>
    <w:r>
      <w:fldChar w:fldCharType="end"/>
    </w:r>
    <w:r>
      <w:tab/>
    </w:r>
    <w:r>
      <w:tab/>
    </w:r>
    <w:r>
      <w:rPr>
        <w:rFonts w:ascii="Arial" w:hAnsi="Arial" w:cs="Arial"/>
        <w:b/>
        <w:sz w:val="48"/>
      </w:rPr>
      <w:t>MT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Landscape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MT</w:t>
    </w:r>
    <w:r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0</w:t>
    </w:r>
    <w:r>
      <w:fldChar w:fldCharType="end"/>
    </w:r>
    <w:r>
      <w:tab/>
    </w:r>
    <w:r>
      <w:tab/>
    </w:r>
    <w:r>
      <w:rPr>
        <w:rFonts w:ascii="Arial" w:hAnsi="Arial" w:cs="Arial"/>
        <w:b/>
        <w:sz w:val="48"/>
      </w:rPr>
      <w:t>MT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pPr>
        <w:spacing w:before="0" w:after="0"/>
      </w:pPr>
      <w:r>
        <w:separator/>
      </w:r>
    </w:p>
  </w:footnote>
  <w:footnote w:type="continuationSeparator" w:id="0">
    <w:p>
      <w:pPr>
        <w:spacing w:before="0" w:after="0"/>
      </w:pPr>
      <w:r>
        <w:continuationSeparator/>
      </w:r>
    </w:p>
  </w:footnote>
  <w:footnote w:type="continuationNotice" w:id="1">
    <w:p>
      <w:pPr>
        <w:spacing w:before="0" w:after="0"/>
      </w:pPr>
    </w:p>
  </w:footnote>
  <w:footnote w:id="2">
    <w:p>
      <w:pPr>
        <w:pStyle w:val="FootnoteText"/>
      </w:pPr>
      <w:r>
        <w:rPr>
          <w:rStyle w:val="FootnoteReference"/>
        </w:rPr>
        <w:footnoteRef/>
      </w:r>
      <w:r>
        <w:tab/>
        <w:t>COM(2019)125 tas-</w:t>
      </w:r>
      <w:r>
        <w:rPr>
          <w:color w:val="444444"/>
          <w:shd w:val="clear" w:color="auto" w:fill="FFFFFF"/>
        </w:rPr>
        <w:t>7.3.2019.</w:t>
      </w:r>
    </w:p>
  </w:footnote>
  <w:footnote w:id="3">
    <w:p>
      <w:pPr>
        <w:pStyle w:val="FootnoteText"/>
      </w:pPr>
      <w:r>
        <w:rPr>
          <w:rStyle w:val="FootnoteReference"/>
        </w:rPr>
        <w:footnoteRef/>
      </w:r>
      <w:r>
        <w:tab/>
        <w:t>ĠU C , , p. .</w:t>
      </w:r>
    </w:p>
  </w:footnote>
  <w:footnote w:id="4">
    <w:p>
      <w:pPr>
        <w:pStyle w:val="FootnoteText"/>
      </w:pPr>
      <w:r>
        <w:rPr>
          <w:rStyle w:val="FootnoteReference"/>
        </w:rPr>
        <w:footnoteRef/>
      </w:r>
      <w:r>
        <w:tab/>
        <w:t>ĠU C , , p. .</w:t>
      </w:r>
    </w:p>
  </w:footnote>
  <w:footnote w:id="5">
    <w:p>
      <w:pPr>
        <w:pStyle w:val="FootnoteText"/>
      </w:pPr>
      <w:r>
        <w:rPr>
          <w:rStyle w:val="FootnoteReference"/>
        </w:rPr>
        <w:footnoteRef/>
      </w:r>
      <w:r>
        <w:tab/>
        <w:t>Id-Deċiżjoni Nru 1313/2013/UE tal-Parlament Ewropew u tal-Kunsill tas-17 ta’ Diċembru 2013 dwar Mekkaniżmu tal-Unjoni għall-Protezzjoni Ċivili (ĠU L 347, 20.12.2013, p. 924).</w:t>
      </w:r>
    </w:p>
  </w:footnote>
  <w:footnote w:id="6">
    <w:p>
      <w:pPr>
        <w:pStyle w:val="FootnoteText"/>
      </w:pPr>
      <w:r>
        <w:rPr>
          <w:rStyle w:val="FootnoteReference"/>
        </w:rPr>
        <w:footnoteRef/>
      </w:r>
      <w:r>
        <w:tab/>
        <w:t xml:space="preserve">Id-Dikjarazzjoni konġunta tal-Membri tal-Kunsill Ewropew, </w:t>
      </w:r>
      <w:hyperlink r:id="rId1" w:history="1">
        <w:r>
          <w:rPr>
            <w:rStyle w:val="Hyperlink"/>
          </w:rPr>
          <w:t>https://www.consilium.europa.eu/media/43092/26-vc-euco-statement-mt.pdf</w:t>
        </w:r>
      </w:hyperlink>
      <w:r>
        <w:t xml:space="preserve"> </w:t>
      </w:r>
    </w:p>
  </w:footnote>
  <w:footnote w:id="7">
    <w:p>
      <w:pPr>
        <w:pStyle w:val="FootnoteText"/>
      </w:pPr>
      <w:r>
        <w:rPr>
          <w:rStyle w:val="FootnoteReference"/>
        </w:rPr>
        <w:footnoteRef/>
      </w:r>
      <w:r>
        <w:tab/>
        <w:t>Ir-Riżoluzzjoni tal-Parlament Ewropew tas-17 ta’ April 2020 dwar azzjoni koordinata tal-UE biex tikkumbatti l-pandemija tal-COVID-19 u l-konsegwenzi tagħha (2020/2616(RSP))</w:t>
      </w:r>
    </w:p>
  </w:footnote>
  <w:footnote w:id="8">
    <w:p>
      <w:pPr>
        <w:pStyle w:val="FootnoteText"/>
      </w:pPr>
      <w:r>
        <w:rPr>
          <w:rStyle w:val="FootnoteReference"/>
        </w:rPr>
        <w:footnoteRef/>
      </w:r>
      <w:r>
        <w:tab/>
        <w:t xml:space="preserve">Id-Direttiva 2004/35/KE tal-Parlament Ewropew u tal-Kunsill tal-21 ta’ April 2004 dwar ir-responsabbiltà ambjentali f’dak li għandu x’jaqsam mal-prevenzjoni u r-rimedju għal danni ambjentali (ĠU 143, 30.04.2004, p.56.) </w:t>
      </w:r>
    </w:p>
  </w:footnote>
  <w:footnote w:id="9">
    <w:p>
      <w:pPr>
        <w:pStyle w:val="FootnoteText"/>
      </w:pPr>
      <w:r>
        <w:rPr>
          <w:rStyle w:val="FootnoteReference"/>
        </w:rPr>
        <w:footnoteRef/>
      </w:r>
      <w:r>
        <w:tab/>
        <w:t>Ir-Regolament (UE, Euratom) 2018/1046 tal-Parlament Ewropew u tal-Kunsill</w:t>
      </w:r>
      <w:r>
        <w:rPr>
          <w:rFonts w:ascii="Segoe UI" w:hAnsi="Segoe UI"/>
          <w:color w:val="444444"/>
          <w:sz w:val="21"/>
          <w:szCs w:val="21"/>
          <w:shd w:val="clear" w:color="auto" w:fill="FFFFFF"/>
        </w:rPr>
        <w:t xml:space="preserve"> </w:t>
      </w:r>
      <w:r>
        <w:t>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 (ĠU L 193, 30.7.2018, p. 1)</w:t>
      </w:r>
    </w:p>
  </w:footnote>
  <w:footnote w:id="10">
    <w:p>
      <w:pPr>
        <w:pStyle w:val="FootnoteText"/>
      </w:pPr>
      <w:r>
        <w:rPr>
          <w:rStyle w:val="FootnoteReference"/>
        </w:rPr>
        <w:footnoteRef/>
      </w:r>
      <w:r>
        <w:tab/>
        <w:t>Ir-Regolament (UE, Euratom) Nru 883/2013 tal-Parlament Ewropew u tal-Kunsill tal-11 ta’ Settembru 2013 dwar investigazzjonijiet immexxija mill-Uffiċċju Ewropew ta’ Kontra l-Frodi (OLAF) u li jħassar ir-Regolament (KE) Nru 1073/1999 tal-Parlament Ewropew u tal-Kunsill u r-Regolament tal-Kunsill (Euratom) Nru 1074/1999 (ĠU L 248, 18.9.2013, p. 1)</w:t>
      </w:r>
    </w:p>
  </w:footnote>
  <w:footnote w:id="11">
    <w:p>
      <w:pPr>
        <w:pStyle w:val="FootnoteText"/>
      </w:pPr>
      <w:r>
        <w:rPr>
          <w:rStyle w:val="FootnoteReference"/>
        </w:rPr>
        <w:footnoteRef/>
      </w:r>
      <w:r>
        <w:tab/>
        <w:t>Ir-Regolament tal-Kunsill (KE, Euratom) Nru 2988/95 tat-18 ta’ Diċembru 1995 dwar il-protezzjoni tal-interessi finanzjarji tal-Komunità Ewropea (ĠU L 312, 23.12.1995, p. 1)</w:t>
      </w:r>
    </w:p>
  </w:footnote>
  <w:footnote w:id="12">
    <w:p>
      <w:pPr>
        <w:pStyle w:val="FootnoteText"/>
      </w:pPr>
      <w:r>
        <w:rPr>
          <w:rStyle w:val="FootnoteReference"/>
        </w:rPr>
        <w:footnoteRef/>
      </w:r>
      <w:r>
        <w:tab/>
        <w:t>Ir-Regolament tal-Kunsill (Euratom, KE) Nru 2185/96 tal-11 ta’ Novembru 1996 dwar il-verifiki u l-ispezzjonijiet fuq il-post imwettqa mill-Kummissjoni sabiex tipproteġi l-interessi finanzjarji tal-Komunità Ewropea kontra l-frodi u irregolaritajiet oħra (ĠU L 292, 15.11.1996, p. 2).</w:t>
      </w:r>
    </w:p>
  </w:footnote>
  <w:footnote w:id="13">
    <w:p>
      <w:pPr>
        <w:pStyle w:val="FootnoteText"/>
      </w:pPr>
      <w:r>
        <w:rPr>
          <w:rStyle w:val="FootnoteReference"/>
        </w:rPr>
        <w:footnoteRef/>
      </w:r>
      <w:r>
        <w:tab/>
        <w:t>Ir-Regolament tal-Kunsill (UE) 2017/1939 tat-12 ta’ Ottubru 2017 li jimplimenta kooperazzjoni msaħħa dwar l-istabbiliment tal-Uffiċċju tal-Prosekutur Pubbliku Ewropew (“l-UPPE”) (ĠU L 283, 31.10.2017, p. 1)</w:t>
      </w:r>
    </w:p>
  </w:footnote>
  <w:footnote w:id="14">
    <w:p>
      <w:pPr>
        <w:pStyle w:val="FootnoteText"/>
      </w:pPr>
      <w:r>
        <w:rPr>
          <w:rStyle w:val="FootnoteReference"/>
        </w:rPr>
        <w:footnoteRef/>
      </w:r>
      <w:r>
        <w:tab/>
        <w:t>Id-Direttiva (UE) 2017/1371 tal-Parlament Ewropew u tal-Kunsill tal-5 ta’ Lulju 2017 dwar il-ġlieda kontra l-frodi tal-interessi finanzjarji tal-Unjoni permezz tal-liġi kriminali, (</w:t>
      </w:r>
      <w:r>
        <w:rPr>
          <w:iCs/>
          <w:color w:val="444444"/>
          <w:shd w:val="clear" w:color="auto" w:fill="FFFFFF"/>
        </w:rPr>
        <w:t>ĠU L 198, 28.7.2017, p. 29)</w:t>
      </w:r>
    </w:p>
  </w:footnote>
  <w:footnote w:id="15">
    <w:p>
      <w:pPr>
        <w:pStyle w:val="FootnoteText"/>
      </w:pPr>
      <w:r>
        <w:rPr>
          <w:rStyle w:val="FootnoteReference"/>
        </w:rPr>
        <w:footnoteRef/>
      </w:r>
      <w:r>
        <w:tab/>
        <w:t>ĠU L …….</w:t>
      </w:r>
    </w:p>
  </w:footnote>
  <w:footnote w:id="16">
    <w:p>
      <w:pPr>
        <w:pStyle w:val="FootnoteText"/>
      </w:pPr>
      <w:r>
        <w:rPr>
          <w:rStyle w:val="FootnoteReference"/>
        </w:rPr>
        <w:footnoteRef/>
      </w:r>
      <w:r>
        <w:tab/>
        <w:t xml:space="preserve">Ir-Regolament (UE) 2019/... tal-Parlament Ewropew u tal-Kunsill li jistabbilixxi l-programm spazjali tal-Unjoni u l-Aġenzija tal-Unjoni Ewropea għall-Programm Spazjali u li jħassar ir-Regolamenti (UE) Nru 912/2010, (UE) Nru 1285/2013 u (UE) Nru 377/2014 u d-Deċiżjoni 541/2014/UE </w:t>
      </w:r>
    </w:p>
  </w:footnote>
  <w:footnote w:id="17">
    <w:p>
      <w:pPr>
        <w:pStyle w:val="FootnoteText"/>
        <w:rPr>
          <w:szCs w:val="24"/>
        </w:rPr>
      </w:pPr>
      <w:r>
        <w:rPr>
          <w:rStyle w:val="FootnoteReference"/>
        </w:rPr>
        <w:footnoteRef/>
      </w:r>
      <w:r>
        <w:tab/>
        <w:t>Kif imsemmi fl-Artikolu 58(2)(a) jew (b) tar-Regolament Finanzjarju.</w:t>
      </w:r>
    </w:p>
  </w:footnote>
  <w:footnote w:id="18">
    <w:p>
      <w:pPr>
        <w:pStyle w:val="FootnoteText"/>
      </w:pPr>
      <w:r>
        <w:rPr>
          <w:rStyle w:val="FootnoteReference"/>
        </w:rPr>
        <w:footnoteRef/>
      </w:r>
      <w:r>
        <w:tab/>
        <w:t>COM(2019) 125 final tas-7.03.2019</w:t>
      </w:r>
    </w:p>
  </w:footnote>
  <w:footnote w:id="19">
    <w:p>
      <w:pPr>
        <w:pStyle w:val="FootnoteText"/>
      </w:pPr>
      <w:r>
        <w:rPr>
          <w:rStyle w:val="FootnoteReference"/>
        </w:rPr>
        <w:footnoteRef/>
      </w:r>
      <w:r>
        <w:tab/>
        <w:t>Il-Qorti Ewropea tal-Awdituri, “Il-Mekkaniżmu tal-Unjoni għall-Protezzjoni Ċivili: il-koordinazzjoni tar-reazzjonijiet għal diżastri barra l-UE kienet effettiva b’mod ġenerali”, ir-Rapport Speċjali nru 33, 2016.</w:t>
      </w:r>
    </w:p>
  </w:footnote>
  <w:footnote w:id="20">
    <w:p>
      <w:pPr>
        <w:pStyle w:val="FootnoteText"/>
      </w:pPr>
      <w:r>
        <w:rPr>
          <w:rStyle w:val="FootnoteReference"/>
        </w:rPr>
        <w:footnoteRef/>
      </w:r>
      <w:r>
        <w:tab/>
        <w:t>Dokument ta’ Ħidma tal-Persunal tal-Kummissjoni, “Overview of Natural and Man-made Disaster Risks the European Union may face”, SWD(2017)176 final, 23.5.2017.</w:t>
      </w:r>
    </w:p>
  </w:footnote>
  <w:footnote w:id="21">
    <w:p>
      <w:pPr>
        <w:pStyle w:val="FootnoteText"/>
        <w:jc w:val="left"/>
        <w:rPr>
          <w:szCs w:val="24"/>
        </w:rPr>
      </w:pPr>
      <w:r>
        <w:rPr>
          <w:rStyle w:val="FootnoteReference"/>
        </w:rPr>
        <w:footnoteRef/>
      </w:r>
      <w:r>
        <w:tab/>
        <w:t xml:space="preserve">Id-dettalji tal-modi ta’ ġestjoni u r-referenzi għar-Regolament Finanzjarju jinsabu fis-sit BudgWeb: </w:t>
      </w:r>
      <w:hyperlink r:id="rId2" w:history="1">
        <w:r>
          <w:rPr>
            <w:rStyle w:val="Hyperlink"/>
          </w:rPr>
          <w:t>https://myintracomm.ec.europa.eu/budgweb/MT/man/budgmanag/Pages/budgmanag.aspx</w:t>
        </w:r>
      </w:hyperlink>
      <w:r>
        <w:t xml:space="preserve"> </w:t>
      </w:r>
    </w:p>
  </w:footnote>
  <w:footnote w:id="22">
    <w:p>
      <w:pPr>
        <w:pStyle w:val="FootnoteText"/>
        <w:rPr>
          <w:szCs w:val="24"/>
        </w:rPr>
      </w:pPr>
      <w:r>
        <w:rPr>
          <w:rStyle w:val="FootnoteReference"/>
        </w:rPr>
        <w:footnoteRef/>
      </w:r>
      <w:r>
        <w:tab/>
        <w:t>Diff. = Approprjazzjonijiet differenzjati / Mhux diff. = Approprjazzjonijiet mhux differenzjati.</w:t>
      </w:r>
    </w:p>
  </w:footnote>
  <w:footnote w:id="23">
    <w:p>
      <w:pPr>
        <w:pStyle w:val="FootnoteText"/>
        <w:rPr>
          <w:szCs w:val="24"/>
        </w:rPr>
      </w:pPr>
      <w:r>
        <w:rPr>
          <w:rStyle w:val="FootnoteReference"/>
        </w:rPr>
        <w:footnoteRef/>
      </w:r>
      <w:r>
        <w:tab/>
        <w:t>l-EFTA: Assoċjazzjoni Ewropea tal-Kummerċ Ħieles. Il-pajjiżi tal-EFTA li huma parti miż-ŻEE jistgħu jissieħbu fil-Mekkaniżmu tal-Unjoni għall-Protezzjoni Ċivili bħala “Stati Parteċipanti” kif previst fl-Artikolu 28(1) a tad-Deċiżjoni Nru 1313/2013/UE.</w:t>
      </w:r>
    </w:p>
  </w:footnote>
  <w:footnote w:id="24">
    <w:p>
      <w:pPr>
        <w:pStyle w:val="FootnoteText"/>
      </w:pPr>
      <w:r>
        <w:rPr>
          <w:rStyle w:val="FootnoteReference"/>
        </w:rPr>
        <w:footnoteRef/>
      </w:r>
      <w:r>
        <w:tab/>
        <w:t>Pajjiżi kandidati u, fejn ikun applikabbli, pajjiżi potenzjalment kandidati mill-Balkani tal-Punent. Dawn il-pajjiżi jistgħu jissieħbu fil-Mekkaniżmu tal-Unjoni għall-Protezzjoni Ċivili bħala “Stati Parteċipanti” kif previst fl-Artikolu 28(1) b tad-Deċiżjoni Nru 1313/2013/UE.</w:t>
      </w:r>
    </w:p>
  </w:footnote>
  <w:footnote w:id="25">
    <w:p>
      <w:pPr>
        <w:pStyle w:val="FootnoteText"/>
      </w:pPr>
      <w:r>
        <w:rPr>
          <w:rStyle w:val="FootnoteReference"/>
        </w:rPr>
        <w:footnoteRef/>
      </w:r>
      <w:r>
        <w:tab/>
        <w:t>Għall-finijiet ta’ din it-tabella, ir-referenza għal pajjiżi terzi jenħtieġ li tinftiehem bħala “pajjiżi Ewropej oħrajn” li għadhom mhumiex parti mill-Mekkaniżmu tal-Unjoni għall-Protezzjoni Ċivili, iżda li jistgħu jingħaqdu fil-futur kif previst fl-Artikolu 28(1) a tad-Deċiżjoni Nru 1313/2013/UE. Ma huma mistennija l-ebda kontribuzzjonijiet minn pajjiżi terzi għajr dawk speċifikati hawn fuq.</w:t>
      </w:r>
    </w:p>
  </w:footnote>
  <w:footnote w:id="26">
    <w:p>
      <w:pPr>
        <w:pStyle w:val="FootnoteText"/>
        <w:rPr>
          <w:szCs w:val="24"/>
        </w:rPr>
      </w:pPr>
      <w:r>
        <w:rPr>
          <w:rStyle w:val="FootnoteReference"/>
        </w:rPr>
        <w:footnoteRef/>
      </w:r>
      <w:r>
        <w:tab/>
        <w:t>Assistenza teknika u / jew amministrattiva u nefqa li jappoġġaw l-implimentazzjoni ta’ programmi u / jew ta’ azzjonijiet tal-UE (li qabel kienu l-linji “BA”), riċerka indiretta u riċerka diretta.</w:t>
      </w:r>
    </w:p>
  </w:footnote>
  <w:footnote w:id="27">
    <w:p>
      <w:pPr>
        <w:pStyle w:val="FootnoteText"/>
        <w:rPr>
          <w:szCs w:val="24"/>
        </w:rPr>
      </w:pPr>
      <w:r>
        <w:rPr>
          <w:rStyle w:val="FootnoteReference"/>
        </w:rPr>
        <w:footnoteRef/>
      </w:r>
      <w:r>
        <w:tab/>
        <w:t>Dħul assenjat</w:t>
      </w:r>
    </w:p>
  </w:footnote>
  <w:footnote w:id="28">
    <w:p>
      <w:pPr>
        <w:pStyle w:val="FootnoteText"/>
      </w:pPr>
      <w:r>
        <w:rPr>
          <w:rStyle w:val="FootnoteReference"/>
        </w:rPr>
        <w:footnoteRef/>
      </w:r>
      <w:r>
        <w:tab/>
        <w:t>Dħul assenjat</w:t>
      </w:r>
    </w:p>
  </w:footnote>
  <w:footnote w:id="29">
    <w:p>
      <w:pPr>
        <w:pStyle w:val="FootnoteText"/>
      </w:pPr>
      <w:r>
        <w:rPr>
          <w:rStyle w:val="FootnoteReference"/>
        </w:rPr>
        <w:footnoteRef/>
      </w:r>
      <w:r>
        <w:tab/>
        <w:t>Dħul assenjat</w:t>
      </w:r>
    </w:p>
  </w:footnote>
  <w:footnote w:id="30">
    <w:p>
      <w:pPr>
        <w:pStyle w:val="FootnoteText"/>
        <w:rPr>
          <w:szCs w:val="24"/>
        </w:rPr>
      </w:pPr>
      <w:r>
        <w:rPr>
          <w:rStyle w:val="FootnoteReference"/>
        </w:rPr>
        <w:footnoteRef/>
      </w:r>
      <w:r>
        <w:tab/>
        <w:t xml:space="preserve">AC = Persunal Kuntrattwali; AL = Persunal Lokali; END = Espert Nazzjonali Sekondat; INT = persunal tal-aġenziji; JPD = Esperti Subordinati fid-Delegazzjonijiet. </w:t>
      </w:r>
    </w:p>
  </w:footnote>
  <w:footnote w:id="31">
    <w:p>
      <w:pPr>
        <w:pStyle w:val="FootnoteText"/>
        <w:rPr>
          <w:szCs w:val="24"/>
        </w:rPr>
      </w:pPr>
      <w:r>
        <w:rPr>
          <w:rStyle w:val="FootnoteReference"/>
        </w:rPr>
        <w:footnoteRef/>
      </w:r>
      <w:r>
        <w:tab/>
        <w:t>Sottolimitu għall-persunal estern kopert minn approprjazzjonijiet operazzjonali (li qabel kienu l-linji “BA”).</w:t>
      </w:r>
    </w:p>
  </w:footnote>
  <w:footnote w:id="32">
    <w:p>
      <w:pPr>
        <w:pStyle w:val="FootnoteText"/>
        <w:rPr>
          <w:szCs w:val="24"/>
        </w:rPr>
      </w:pPr>
      <w:r>
        <w:rPr>
          <w:rStyle w:val="FootnoteReference"/>
        </w:rPr>
        <w:footnoteRef/>
      </w:r>
      <w:r>
        <w:tab/>
        <w:t>Fir-rigward tar-riżorsi proprji tradizzjonali (id-dazji doganali, l-imposti fuq iz-zokkor), l-ammonti indikati jridu jkunu ammonti netti, jiġifieri ammonti grossi wara t-tnaqqis ta’ 20 % tal-kostijiet tal-ġbir.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Landscap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Landscap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270C580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8CAAC36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B6F0B25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7E8C1CE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CF5698D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92AC36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3182BC2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2F3C7B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9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2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4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5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6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7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8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9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5670"/>
        </w:tabs>
        <w:ind w:left="5670" w:hanging="283"/>
      </w:pPr>
      <w:rPr>
        <w:rFonts w:ascii="Times New Roman" w:hAnsi="Times New Roman" w:cs="Times New Roman"/>
      </w:rPr>
    </w:lvl>
  </w:abstractNum>
  <w:abstractNum w:abstractNumId="21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2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3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4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5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6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8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4"/>
  </w:num>
  <w:num w:numId="5">
    <w:abstractNumId w:val="3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  <w:lvlOverride w:ilvl="0">
      <w:startOverride w:val="1"/>
    </w:lvlOverride>
  </w:num>
  <w:num w:numId="9">
    <w:abstractNumId w:val="28"/>
    <w:lvlOverride w:ilvl="0">
      <w:startOverride w:val="1"/>
    </w:lvlOverride>
  </w:num>
  <w:num w:numId="10">
    <w:abstractNumId w:val="17"/>
    <w:lvlOverride w:ilvl="0">
      <w:startOverride w:val="1"/>
    </w:lvlOverride>
  </w:num>
  <w:num w:numId="11">
    <w:abstractNumId w:val="6"/>
  </w:num>
  <w:num w:numId="12">
    <w:abstractNumId w:val="2"/>
  </w:num>
  <w:num w:numId="13">
    <w:abstractNumId w:val="1"/>
  </w:num>
  <w:num w:numId="14">
    <w:abstractNumId w:val="0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</w:num>
  <w:num w:numId="19">
    <w:abstractNumId w:val="20"/>
  </w:num>
  <w:num w:numId="20">
    <w:abstractNumId w:val="8"/>
  </w:num>
  <w:num w:numId="21">
    <w:abstractNumId w:val="15"/>
  </w:num>
  <w:num w:numId="22">
    <w:abstractNumId w:val="9"/>
  </w:num>
  <w:num w:numId="23">
    <w:abstractNumId w:val="16"/>
  </w:num>
  <w:num w:numId="24">
    <w:abstractNumId w:val="10"/>
  </w:num>
  <w:num w:numId="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7"/>
    <w:lvlOverride w:ilvl="0">
      <w:startOverride w:val="1"/>
    </w:lvlOverride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5"/>
  </w:num>
  <w:num w:numId="30">
    <w:abstractNumId w:val="17"/>
  </w:num>
  <w:num w:numId="31">
    <w:abstractNumId w:val="27"/>
  </w:num>
  <w:num w:numId="32">
    <w:abstractNumId w:val="14"/>
  </w:num>
  <w:num w:numId="33">
    <w:abstractNumId w:val="18"/>
  </w:num>
  <w:num w:numId="34">
    <w:abstractNumId w:val="12"/>
  </w:num>
  <w:num w:numId="35">
    <w:abstractNumId w:val="26"/>
  </w:num>
  <w:num w:numId="36">
    <w:abstractNumId w:val="11"/>
  </w:num>
  <w:num w:numId="37">
    <w:abstractNumId w:val="19"/>
  </w:num>
  <w:num w:numId="38">
    <w:abstractNumId w:val="23"/>
  </w:num>
  <w:num w:numId="39">
    <w:abstractNumId w:val="24"/>
  </w:num>
  <w:num w:numId="40">
    <w:abstractNumId w:val="13"/>
  </w:num>
  <w:num w:numId="41">
    <w:abstractNumId w:val="22"/>
  </w:num>
  <w:num w:numId="42">
    <w:abstractNumId w:val="28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hideGrammaticalErrors/>
  <w:attachedTemplate r:id="rId1"/>
  <w:revisionView w:markup="0"/>
  <w:defaultTabStop w:val="720"/>
  <w:hyphenationZone w:val="425"/>
  <w:characterSpacingControl w:val="doNotCompress"/>
  <w:hdrShapeDefaults>
    <o:shapedefaults v:ext="edit" spidmax="5836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R_RefLast" w:val="0"/>
    <w:docVar w:name="DQCDateTime" w:val="2020-06-02 10:26:21"/>
    <w:docVar w:name="DQCResult_Distribution" w:val="0;2"/>
    <w:docVar w:name="DQCResult_DocumentContent" w:val="0;0"/>
    <w:docVar w:name="DQCResult_DocumentSize" w:val="0;0"/>
    <w:docVar w:name="DQCResult_DocumentVersions" w:val="0;0"/>
    <w:docVar w:name="DQCResult_InvalidFootnotes" w:val="0;0"/>
    <w:docVar w:name="DQCResult_LinkedStyles" w:val="0;0"/>
    <w:docVar w:name="DQCResult_ModifiedMargins" w:val="0;17"/>
    <w:docVar w:name="DQCResult_ModifiedMarkers" w:val="0;0"/>
    <w:docVar w:name="DQCResult_ModifiedNumbering" w:val="0;0"/>
    <w:docVar w:name="DQCResult_Objects" w:val="0;0"/>
    <w:docVar w:name="DQCResult_Sections" w:val="0;0"/>
    <w:docVar w:name="DQCResult_StructureCheck" w:val="0;0"/>
    <w:docVar w:name="DQCResult_SuperfluousWhitespace" w:val="0;27"/>
    <w:docVar w:name="DQCResult_UnknownFonts" w:val="0;0"/>
    <w:docVar w:name="DQCResult_UnknownStyles" w:val="0;14"/>
    <w:docVar w:name="DQCStatus" w:val="Green"/>
    <w:docVar w:name="DQCVersion" w:val="3"/>
    <w:docVar w:name="DQCWithWarnings" w:val="0"/>
    <w:docVar w:name="LW_CORRIGENDUM" w:val="&lt;UNUSED&gt;"/>
    <w:docVar w:name="LW_COVERPAGE_EXISTS" w:val="True"/>
    <w:docVar w:name="LW_COVERPAGE_GUID" w:val="1CDD8727-7A85-4B40-84AC-C207B009CF41"/>
    <w:docVar w:name="LW_COVERPAGE_TYPE" w:val="1"/>
    <w:docVar w:name="LW_CROSSREFERENCE" w:val="&lt;UNUSED&gt;"/>
    <w:docVar w:name="LW_DocType" w:val="COM"/>
    <w:docVar w:name="LW_EMISSION" w:val="2.6.2020"/>
    <w:docVar w:name="LW_EMISSION_ISODATE" w:val="2020-06-02"/>
    <w:docVar w:name="LW_EMISSION_LOCATION" w:val="BRX"/>
    <w:docVar w:name="LW_EMISSION_PREFIX" w:val="Brussell, "/>
    <w:docVar w:name="LW_EMISSION_SUFFIX" w:val=" "/>
    <w:docVar w:name="LW_ID_DOCMODEL" w:val="SJ-025"/>
    <w:docVar w:name="LW_ID_DOCSIGNATURE" w:val="SJ-025"/>
    <w:docVar w:name="LW_ID_DOCSTRUCTURE" w:val="COM/PL/ORG"/>
    <w:docVar w:name="LW_ID_DOCTYPE" w:val="SJ-025"/>
    <w:docVar w:name="LW_ID_EXP.MOTIFS.NEW" w:val="EM_PL_"/>
    <w:docVar w:name="LW_ID_STATUT" w:val="SJ-025"/>
    <w:docVar w:name="LW_INTERETEEE.CP" w:val="(Test b\u8217?relevanza g\u295?a\u380?-\u379?EE)"/>
    <w:docVar w:name="LW_LANGUE" w:val="MT"/>
    <w:docVar w:name="LW_LEVEL_OF_SENSITIVITY" w:val="Standard treatment"/>
    <w:docVar w:name="LW_NOM.INST" w:val="IL-KUMMISSJONI EWROPEA"/>
    <w:docVar w:name="LW_NOM.INST_JOINTDOC" w:val="&lt;EMPTY&gt;"/>
    <w:docVar w:name="LW_PART_NBR" w:val="1"/>
    <w:docVar w:name="LW_PART_NBR_TOTAL" w:val="1"/>
    <w:docVar w:name="LW_REF.II.NEW.CP" w:val="COD"/>
    <w:docVar w:name="LW_REF.II.NEW.CP_NUMBER" w:val="0097"/>
    <w:docVar w:name="LW_REF.II.NEW.CP_YEAR" w:val="2020"/>
    <w:docVar w:name="LW_REF.INST.NEW" w:val="COM"/>
    <w:docVar w:name="LW_REF.INST.NEW_ADOPTED" w:val="final"/>
    <w:docVar w:name="LW_REF.INST.NEW_TEXT" w:val="(2020) 220"/>
    <w:docVar w:name="LW_REF.INTERNE" w:val="&lt;UNUSED&gt;"/>
    <w:docVar w:name="LW_SENSITIVITY" w:val="&lt;?xml version=&quot;1.0&quot; encoding=&quot;utf-8&quot;?&gt;_x000d__x000a_&lt;SensitivityLevel xmlns:xsi=&quot;http://www.w3.org/2001/XMLSchema-instance&quot; xmlns:xsd=&quot;http://www.w3.org/2001/XMLSchema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TATUT.CP" w:val="Proposta g\u295?al"/>
    <w:docVar w:name="LW_SUPERTITRE" w:val="&lt;UNUSED&gt;"/>
    <w:docVar w:name="LW_TITRE.OBJ.CP" w:val="li temenda d-De\u267?i\u380?joni 1313/2013/UE dwar Mekkani\u380?mu tal-Unjoni g\u295?all-Protezzjoni \u266?ivili"/>
    <w:docVar w:name="LW_TYPE.DOC.CP" w:val="DE\u266?I\u379?JONI TAL-PARLAMENT EWROPEW U TAL-KUNSILL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table of figures" w:uiPriority="0"/>
    <w:lsdException w:name="annotation reference" w:uiPriority="0"/>
    <w:lsdException w:name="page number" w:uiPriority="0"/>
    <w:lsdException w:name="List Bullet" w:uiPriority="0"/>
    <w:lsdException w:name="List Number" w:uiPriority="0"/>
    <w:lsdException w:name="List Bullet 2" w:uiPriority="0"/>
    <w:lsdException w:name="List Bullet 3" w:uiPriority="0"/>
    <w:lsdException w:name="List Bullet 4" w:uiPriority="0"/>
    <w:lsdException w:name="List Number 2" w:uiPriority="0"/>
    <w:lsdException w:name="List Number 3" w:uiPriority="0"/>
    <w:lsdException w:name="List Number 4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mt-MT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35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35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35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35"/>
      </w:numPr>
      <w:outlineLvl w:val="3"/>
    </w:pPr>
    <w:rPr>
      <w:rFonts w:eastAsiaTheme="majorEastAsia"/>
      <w:bCs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ListBullet">
    <w:name w:val="List Bullet"/>
    <w:basedOn w:val="Normal"/>
    <w:unhideWhenUsed/>
    <w:pPr>
      <w:numPr>
        <w:numId w:val="2"/>
      </w:numPr>
      <w:contextualSpacing/>
    </w:pPr>
  </w:style>
  <w:style w:type="paragraph" w:styleId="ListBullet2">
    <w:name w:val="List Bullet 2"/>
    <w:basedOn w:val="Normal"/>
    <w:unhideWhenUsed/>
    <w:pPr>
      <w:numPr>
        <w:numId w:val="3"/>
      </w:numPr>
      <w:contextualSpacing/>
    </w:pPr>
  </w:style>
  <w:style w:type="paragraph" w:styleId="ListBullet3">
    <w:name w:val="List Bullet 3"/>
    <w:basedOn w:val="Normal"/>
    <w:unhideWhenUsed/>
    <w:pPr>
      <w:numPr>
        <w:numId w:val="4"/>
      </w:numPr>
      <w:contextualSpacing/>
    </w:pPr>
  </w:style>
  <w:style w:type="paragraph" w:styleId="ListBullet4">
    <w:name w:val="List Bullet 4"/>
    <w:basedOn w:val="Normal"/>
    <w:unhideWhenUsed/>
    <w:pPr>
      <w:numPr>
        <w:numId w:val="5"/>
      </w:numPr>
      <w:contextualSpacing/>
    </w:pPr>
  </w:style>
  <w:style w:type="paragraph" w:styleId="BalloonText">
    <w:name w:val="Balloon Text"/>
    <w:basedOn w:val="Normal"/>
    <w:link w:val="BalloonTextChar"/>
    <w:unhideWhenUsed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mt-MT"/>
    </w:rPr>
  </w:style>
  <w:style w:type="character" w:styleId="CommentReference">
    <w:name w:val="annotation reference"/>
    <w:basedOn w:val="DefaultParagraphFont"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hAnsi="Times New Roman" w:cs="Times New Roman"/>
      <w:sz w:val="20"/>
      <w:szCs w:val="20"/>
      <w:lang w:val="mt-MT"/>
    </w:rPr>
  </w:style>
  <w:style w:type="paragraph" w:styleId="CommentSubject">
    <w:name w:val="annotation subject"/>
    <w:basedOn w:val="CommentText"/>
    <w:next w:val="CommentText"/>
    <w:link w:val="CommentSubjectChar"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rPr>
      <w:rFonts w:ascii="Times New Roman" w:hAnsi="Times New Roman" w:cs="Times New Roman"/>
      <w:b/>
      <w:bCs/>
      <w:sz w:val="20"/>
      <w:szCs w:val="20"/>
      <w:lang w:val="mt-MT"/>
    </w:rPr>
  </w:style>
  <w:style w:type="paragraph" w:styleId="Revision">
    <w:name w:val="Revision"/>
    <w:hidden/>
    <w:uiPriority w:val="99"/>
    <w:semiHidden/>
    <w:pPr>
      <w:spacing w:after="0" w:line="240" w:lineRule="auto"/>
    </w:pPr>
    <w:rPr>
      <w:rFonts w:ascii="Times New Roman" w:hAnsi="Times New Roman" w:cs="Times New Roman"/>
      <w:sz w:val="24"/>
    </w:rPr>
  </w:style>
  <w:style w:type="character" w:customStyle="1" w:styleId="highlight">
    <w:name w:val="highlight"/>
    <w:basedOn w:val="DefaultParagraphFont"/>
  </w:style>
  <w:style w:type="character" w:customStyle="1" w:styleId="boldface">
    <w:name w:val="boldface"/>
    <w:basedOn w:val="DefaultParagraphFont"/>
  </w:style>
  <w:style w:type="paragraph" w:customStyle="1" w:styleId="norm">
    <w:name w:val="norm"/>
    <w:basedOn w:val="Normal"/>
    <w:pPr>
      <w:spacing w:before="100" w:beforeAutospacing="1" w:after="100" w:afterAutospacing="1"/>
      <w:jc w:val="left"/>
    </w:pPr>
    <w:rPr>
      <w:rFonts w:eastAsia="Times New Roman"/>
      <w:szCs w:val="24"/>
      <w:lang w:eastAsia="en-IE"/>
    </w:rPr>
  </w:style>
  <w:style w:type="paragraph" w:customStyle="1" w:styleId="Point1number0">
    <w:name w:val="Point 1 number"/>
    <w:basedOn w:val="Point1"/>
  </w:style>
  <w:style w:type="paragraph" w:styleId="Caption">
    <w:name w:val="caption"/>
    <w:basedOn w:val="Normal"/>
    <w:next w:val="Normal"/>
    <w:unhideWhenUsed/>
    <w:qFormat/>
    <w:pPr>
      <w:spacing w:before="0" w:after="200"/>
    </w:pPr>
    <w:rPr>
      <w:i/>
      <w:iCs/>
      <w:color w:val="1F497D" w:themeColor="text2"/>
      <w:sz w:val="18"/>
      <w:szCs w:val="18"/>
    </w:rPr>
  </w:style>
  <w:style w:type="paragraph" w:styleId="TableofFigures">
    <w:name w:val="table of figures"/>
    <w:basedOn w:val="Normal"/>
    <w:next w:val="Normal"/>
    <w:unhideWhenUsed/>
    <w:pPr>
      <w:spacing w:after="0"/>
    </w:pPr>
  </w:style>
  <w:style w:type="paragraph" w:styleId="ListNumber">
    <w:name w:val="List Number"/>
    <w:basedOn w:val="Normal"/>
    <w:unhideWhenUsed/>
    <w:pPr>
      <w:numPr>
        <w:numId w:val="11"/>
      </w:numPr>
      <w:contextualSpacing/>
    </w:pPr>
  </w:style>
  <w:style w:type="paragraph" w:styleId="ListNumber2">
    <w:name w:val="List Number 2"/>
    <w:basedOn w:val="Normal"/>
    <w:unhideWhenUsed/>
    <w:pPr>
      <w:numPr>
        <w:numId w:val="12"/>
      </w:numPr>
      <w:contextualSpacing/>
    </w:pPr>
  </w:style>
  <w:style w:type="paragraph" w:styleId="ListNumber3">
    <w:name w:val="List Number 3"/>
    <w:basedOn w:val="Normal"/>
    <w:unhideWhenUsed/>
    <w:pPr>
      <w:numPr>
        <w:numId w:val="13"/>
      </w:numPr>
      <w:contextualSpacing/>
    </w:pPr>
  </w:style>
  <w:style w:type="paragraph" w:styleId="ListNumber4">
    <w:name w:val="List Number 4"/>
    <w:basedOn w:val="Normal"/>
    <w:unhideWhenUsed/>
    <w:pPr>
      <w:numPr>
        <w:numId w:val="14"/>
      </w:numPr>
      <w:contextualSpacing/>
    </w:pPr>
  </w:style>
  <w:style w:type="paragraph" w:customStyle="1" w:styleId="normalt">
    <w:name w:val="normalt"/>
    <w:basedOn w:val="Considrant"/>
    <w:pPr>
      <w:numPr>
        <w:numId w:val="0"/>
      </w:numPr>
      <w:ind w:left="709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Point">
    <w:name w:val="Point ()"/>
    <w:basedOn w:val="Normal"/>
    <w:rPr>
      <w:szCs w:val="24"/>
    </w:rPr>
  </w:style>
  <w:style w:type="paragraph" w:customStyle="1" w:styleId="Text0">
    <w:name w:val="Text 0"/>
    <w:basedOn w:val="Normal"/>
    <w:rPr>
      <w:szCs w:val="24"/>
    </w:rPr>
  </w:style>
  <w:style w:type="paragraph" w:customStyle="1" w:styleId="noraml">
    <w:name w:val="noraml"/>
    <w:basedOn w:val="Point0letter"/>
    <w:pPr>
      <w:numPr>
        <w:numId w:val="0"/>
      </w:numPr>
      <w:ind w:left="850"/>
    </w:pPr>
  </w:style>
  <w:style w:type="paragraph" w:customStyle="1" w:styleId="ListDash1">
    <w:name w:val="List Dash 1"/>
    <w:basedOn w:val="Normal"/>
    <w:pPr>
      <w:numPr>
        <w:numId w:val="18"/>
      </w:numPr>
    </w:pPr>
    <w:rPr>
      <w:rFonts w:eastAsia="Times New Roman"/>
      <w:lang w:eastAsia="de-DE"/>
    </w:rPr>
  </w:style>
  <w:style w:type="paragraph" w:customStyle="1" w:styleId="ListDash2">
    <w:name w:val="List Dash 2"/>
    <w:basedOn w:val="Normal"/>
    <w:pPr>
      <w:numPr>
        <w:numId w:val="19"/>
      </w:numPr>
    </w:pPr>
    <w:rPr>
      <w:rFonts w:eastAsia="Times New Roman"/>
      <w:lang w:eastAsia="de-DE"/>
    </w:rPr>
  </w:style>
  <w:style w:type="paragraph" w:customStyle="1" w:styleId="ListNumberLevel2">
    <w:name w:val="List Number (Level 2)"/>
    <w:basedOn w:val="Normal"/>
    <w:pPr>
      <w:tabs>
        <w:tab w:val="num" w:pos="1417"/>
      </w:tabs>
      <w:ind w:left="1417" w:hanging="708"/>
    </w:pPr>
    <w:rPr>
      <w:rFonts w:eastAsia="Times New Roman"/>
      <w:lang w:eastAsia="de-DE"/>
    </w:rPr>
  </w:style>
  <w:style w:type="paragraph" w:customStyle="1" w:styleId="ListNumberLevel3">
    <w:name w:val="List Number (Level 3)"/>
    <w:basedOn w:val="Normal"/>
    <w:pPr>
      <w:tabs>
        <w:tab w:val="num" w:pos="2126"/>
      </w:tabs>
      <w:ind w:left="2126" w:hanging="709"/>
    </w:pPr>
    <w:rPr>
      <w:rFonts w:eastAsia="Times New Roman"/>
      <w:lang w:eastAsia="de-DE"/>
    </w:rPr>
  </w:style>
  <w:style w:type="paragraph" w:customStyle="1" w:styleId="ListNumberLevel4">
    <w:name w:val="List Number (Level 4)"/>
    <w:basedOn w:val="Normal"/>
    <w:pPr>
      <w:tabs>
        <w:tab w:val="num" w:pos="2835"/>
      </w:tabs>
      <w:ind w:left="2835" w:hanging="709"/>
    </w:pPr>
    <w:rPr>
      <w:rFonts w:eastAsia="Times New Roman"/>
      <w:lang w:eastAsia="de-DE"/>
    </w:rPr>
  </w:style>
  <w:style w:type="paragraph" w:customStyle="1" w:styleId="FooterCoverPage">
    <w:name w:val="Footer Cover Page"/>
    <w:basedOn w:val="Normal"/>
    <w:link w:val="FooterCoverPageChar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FooterCoverPageChar">
    <w:name w:val="Footer Cover Page Char"/>
    <w:basedOn w:val="DefaultParagraphFont"/>
    <w:link w:val="FooterCoverPage"/>
    <w:rPr>
      <w:rFonts w:ascii="Times New Roman" w:hAnsi="Times New Roman" w:cs="Times New Roman"/>
      <w:sz w:val="24"/>
      <w:lang w:val="mt-MT"/>
    </w:rPr>
  </w:style>
  <w:style w:type="character" w:customStyle="1" w:styleId="FooterSensitivityChar">
    <w:name w:val="Footer Sensitivity Char"/>
    <w:basedOn w:val="DefaultParagraphFont"/>
    <w:rPr>
      <w:rFonts w:ascii="Times New Roman" w:hAnsi="Times New Roman" w:cs="Times New Roman"/>
      <w:b/>
      <w:sz w:val="32"/>
      <w:lang w:val="mt-MT"/>
    </w:rPr>
  </w:style>
  <w:style w:type="paragraph" w:customStyle="1" w:styleId="HeaderCoverPage">
    <w:name w:val="Header Cover Page"/>
    <w:basedOn w:val="Normal"/>
    <w:link w:val="HeaderCoverPageChar"/>
    <w:pPr>
      <w:tabs>
        <w:tab w:val="center" w:pos="4535"/>
        <w:tab w:val="right" w:pos="9071"/>
      </w:tabs>
      <w:spacing w:before="0"/>
    </w:pPr>
  </w:style>
  <w:style w:type="character" w:customStyle="1" w:styleId="HeaderCoverPageChar">
    <w:name w:val="Header Cover Page Char"/>
    <w:basedOn w:val="DefaultParagraphFont"/>
    <w:link w:val="HeaderCoverPage"/>
    <w:rPr>
      <w:rFonts w:ascii="Times New Roman" w:hAnsi="Times New Roman" w:cs="Times New Roman"/>
      <w:sz w:val="24"/>
      <w:lang w:val="mt-MT"/>
    </w:rPr>
  </w:style>
  <w:style w:type="character" w:customStyle="1" w:styleId="HeaderSensitivityChar">
    <w:name w:val="Header Sensitivity Char"/>
    <w:basedOn w:val="DefaultParagraphFont"/>
    <w:rPr>
      <w:rFonts w:ascii="Times New Roman" w:hAnsi="Times New Roman" w:cs="Times New Roman"/>
      <w:b/>
      <w:sz w:val="32"/>
      <w:lang w:val="mt-M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before="0"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rFonts w:ascii="Times New Roman" w:hAnsi="Times New Roman" w:cs="Times New Roman"/>
      <w:sz w:val="20"/>
      <w:szCs w:val="20"/>
      <w:lang w:val="mt-M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ListBullet1">
    <w:name w:val="List Bullet 1"/>
    <w:basedOn w:val="Normal"/>
    <w:pPr>
      <w:numPr>
        <w:numId w:val="20"/>
      </w:numPr>
    </w:pPr>
    <w:rPr>
      <w:rFonts w:eastAsia="Times New Roman"/>
      <w:lang w:eastAsia="de-DE"/>
    </w:rPr>
  </w:style>
  <w:style w:type="paragraph" w:customStyle="1" w:styleId="ListDash">
    <w:name w:val="List Dash"/>
    <w:basedOn w:val="Normal"/>
    <w:pPr>
      <w:numPr>
        <w:numId w:val="21"/>
      </w:numPr>
    </w:pPr>
    <w:rPr>
      <w:rFonts w:eastAsia="Times New Roman"/>
      <w:lang w:eastAsia="de-DE"/>
    </w:rPr>
  </w:style>
  <w:style w:type="table" w:styleId="TableGrid">
    <w:name w:val="Table Grid"/>
    <w:basedOn w:val="TableNormal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Dash3">
    <w:name w:val="List Dash 3"/>
    <w:basedOn w:val="Normal"/>
    <w:pPr>
      <w:numPr>
        <w:numId w:val="22"/>
      </w:numPr>
    </w:pPr>
    <w:rPr>
      <w:rFonts w:eastAsia="Times New Roman"/>
      <w:lang w:eastAsia="en-GB"/>
    </w:rPr>
  </w:style>
  <w:style w:type="paragraph" w:customStyle="1" w:styleId="ListDash4">
    <w:name w:val="List Dash 4"/>
    <w:basedOn w:val="Normal"/>
    <w:pPr>
      <w:numPr>
        <w:numId w:val="23"/>
      </w:numPr>
    </w:pPr>
    <w:rPr>
      <w:rFonts w:eastAsia="Times New Roman"/>
      <w:lang w:eastAsia="en-GB"/>
    </w:rPr>
  </w:style>
  <w:style w:type="paragraph" w:customStyle="1" w:styleId="ListNumber1">
    <w:name w:val="List Number 1"/>
    <w:basedOn w:val="Text1"/>
    <w:pPr>
      <w:numPr>
        <w:numId w:val="24"/>
      </w:numPr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pPr>
      <w:numPr>
        <w:ilvl w:val="1"/>
        <w:numId w:val="24"/>
      </w:numPr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pPr>
      <w:numPr>
        <w:ilvl w:val="2"/>
        <w:numId w:val="24"/>
      </w:numPr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pPr>
      <w:numPr>
        <w:ilvl w:val="3"/>
        <w:numId w:val="24"/>
      </w:numPr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pPr>
      <w:jc w:val="center"/>
    </w:pPr>
    <w:rPr>
      <w:rFonts w:eastAsia="Times New Roman"/>
      <w:b/>
      <w:u w:val="single"/>
      <w:lang w:eastAsia="en-GB"/>
    </w:rPr>
  </w:style>
  <w:style w:type="paragraph" w:customStyle="1" w:styleId="Annexetitreexposglobal">
    <w:name w:val="Annexe titre (exposé global)"/>
    <w:basedOn w:val="Normal"/>
    <w:next w:val="Normal"/>
    <w:pPr>
      <w:jc w:val="center"/>
    </w:pPr>
    <w:rPr>
      <w:rFonts w:eastAsia="Times New Roman"/>
      <w:b/>
      <w:u w:val="single"/>
      <w:lang w:eastAsia="en-GB"/>
    </w:rPr>
  </w:style>
  <w:style w:type="paragraph" w:customStyle="1" w:styleId="Annexetitrefichefinacte">
    <w:name w:val="Annexe titre (fiche fin. acte)"/>
    <w:basedOn w:val="Normal"/>
    <w:next w:val="Normal"/>
    <w:pPr>
      <w:jc w:val="center"/>
    </w:pPr>
    <w:rPr>
      <w:rFonts w:eastAsia="Times New Roman"/>
      <w:b/>
      <w:u w:val="single"/>
      <w:lang w:eastAsia="en-GB"/>
    </w:rPr>
  </w:style>
  <w:style w:type="paragraph" w:customStyle="1" w:styleId="Annexetitrefichefinglobale">
    <w:name w:val="Annexe titre (fiche fin. globale)"/>
    <w:basedOn w:val="Normal"/>
    <w:next w:val="Normal"/>
    <w:pPr>
      <w:jc w:val="center"/>
    </w:pPr>
    <w:rPr>
      <w:rFonts w:eastAsia="Times New Roman"/>
      <w:b/>
      <w:u w:val="single"/>
      <w:lang w:eastAsia="en-GB"/>
    </w:rPr>
  </w:style>
  <w:style w:type="paragraph" w:customStyle="1" w:styleId="Annexetitreglobale">
    <w:name w:val="Annexe titre (globale)"/>
    <w:basedOn w:val="Normal"/>
    <w:next w:val="Normal"/>
    <w:pPr>
      <w:jc w:val="center"/>
    </w:pPr>
    <w:rPr>
      <w:rFonts w:eastAsia="Times New Roman"/>
      <w:b/>
      <w:u w:val="single"/>
      <w:lang w:eastAsia="en-GB"/>
    </w:rPr>
  </w:style>
  <w:style w:type="paragraph" w:customStyle="1" w:styleId="Exposdesmotifstitreglobal">
    <w:name w:val="Exposé des motifs titre (global)"/>
    <w:basedOn w:val="Normal"/>
    <w:next w:val="Normal"/>
    <w:pPr>
      <w:jc w:val="center"/>
    </w:pPr>
    <w:rPr>
      <w:rFonts w:eastAsia="Times New Roman"/>
      <w:b/>
      <w:u w:val="single"/>
      <w:lang w:eastAsia="en-GB"/>
    </w:rPr>
  </w:style>
  <w:style w:type="paragraph" w:customStyle="1" w:styleId="Langueoriginale">
    <w:name w:val="Langue originale"/>
    <w:basedOn w:val="Normal"/>
    <w:pPr>
      <w:spacing w:before="360"/>
      <w:jc w:val="center"/>
    </w:pPr>
    <w:rPr>
      <w:rFonts w:eastAsia="Times New Roman"/>
      <w:caps/>
      <w:lang w:eastAsia="en-GB"/>
    </w:rPr>
  </w:style>
  <w:style w:type="paragraph" w:customStyle="1" w:styleId="Phrasefinale">
    <w:name w:val="Phrase finale"/>
    <w:basedOn w:val="Normal"/>
    <w:next w:val="Normal"/>
    <w:pPr>
      <w:spacing w:before="360" w:after="0"/>
      <w:jc w:val="center"/>
    </w:pPr>
    <w:rPr>
      <w:rFonts w:eastAsia="Times New Roman"/>
      <w:lang w:eastAsia="en-GB"/>
    </w:rPr>
  </w:style>
  <w:style w:type="paragraph" w:customStyle="1" w:styleId="Prliminairetitre">
    <w:name w:val="Préliminaire titre"/>
    <w:basedOn w:val="Normal"/>
    <w:next w:val="Normal"/>
    <w:pPr>
      <w:spacing w:before="360" w:after="360"/>
      <w:jc w:val="center"/>
    </w:pPr>
    <w:rPr>
      <w:rFonts w:eastAsia="Times New Roman"/>
      <w:b/>
      <w:lang w:eastAsia="en-GB"/>
    </w:rPr>
  </w:style>
  <w:style w:type="paragraph" w:customStyle="1" w:styleId="Prliminairetype">
    <w:name w:val="Préliminaire type"/>
    <w:basedOn w:val="Normal"/>
    <w:next w:val="Normal"/>
    <w:pPr>
      <w:spacing w:before="360" w:after="0"/>
      <w:jc w:val="center"/>
    </w:pPr>
    <w:rPr>
      <w:rFonts w:eastAsia="Times New Roman"/>
      <w:b/>
      <w:lang w:eastAsia="en-GB"/>
    </w:rPr>
  </w:style>
  <w:style w:type="paragraph" w:customStyle="1" w:styleId="Rfrenceinstitutionelle">
    <w:name w:val="Référence institutionelle"/>
    <w:basedOn w:val="Normal"/>
    <w:next w:val="Statut"/>
    <w:pPr>
      <w:spacing w:before="0" w:after="240"/>
      <w:ind w:left="5103"/>
      <w:jc w:val="left"/>
    </w:pPr>
    <w:rPr>
      <w:rFonts w:eastAsia="Times New Roman"/>
      <w:lang w:eastAsia="en-GB"/>
    </w:rPr>
  </w:style>
  <w:style w:type="paragraph" w:customStyle="1" w:styleId="Rfrenceinterinstitutionelle">
    <w:name w:val="Référence interinstitutionelle"/>
    <w:basedOn w:val="Normal"/>
    <w:next w:val="Statut"/>
    <w:pPr>
      <w:spacing w:before="0" w:after="0"/>
      <w:ind w:left="5103"/>
      <w:jc w:val="left"/>
    </w:pPr>
    <w:rPr>
      <w:rFonts w:eastAsia="Times New Roman"/>
      <w:lang w:eastAsia="en-GB"/>
    </w:rPr>
  </w:style>
  <w:style w:type="paragraph" w:customStyle="1" w:styleId="Rfrenceinterinstitutionelleprliminaire">
    <w:name w:val="Référence interinstitutionelle (préliminaire)"/>
    <w:basedOn w:val="Normal"/>
    <w:next w:val="Normal"/>
    <w:pPr>
      <w:spacing w:before="0" w:after="0"/>
      <w:ind w:left="5103"/>
      <w:jc w:val="left"/>
    </w:pPr>
    <w:rPr>
      <w:rFonts w:eastAsia="Times New Roman"/>
      <w:lang w:eastAsia="en-GB"/>
    </w:rPr>
  </w:style>
  <w:style w:type="paragraph" w:customStyle="1" w:styleId="Sous-titreobjetprliminaire">
    <w:name w:val="Sous-titre objet (préliminaire)"/>
    <w:basedOn w:val="Normal"/>
    <w:pPr>
      <w:spacing w:before="0" w:after="0"/>
      <w:jc w:val="center"/>
    </w:pPr>
    <w:rPr>
      <w:rFonts w:eastAsia="Times New Roman"/>
      <w:b/>
      <w:lang w:eastAsia="en-GB"/>
    </w:rPr>
  </w:style>
  <w:style w:type="paragraph" w:customStyle="1" w:styleId="Statutprliminaire">
    <w:name w:val="Statut (préliminaire)"/>
    <w:basedOn w:val="Normal"/>
    <w:next w:val="Normal"/>
    <w:pPr>
      <w:spacing w:before="360" w:after="0"/>
      <w:jc w:val="center"/>
    </w:pPr>
    <w:rPr>
      <w:rFonts w:eastAsia="Times New Roman"/>
      <w:lang w:eastAsia="en-GB"/>
    </w:rPr>
  </w:style>
  <w:style w:type="paragraph" w:customStyle="1" w:styleId="Titreobjetprliminaire">
    <w:name w:val="Titre objet (préliminaire)"/>
    <w:basedOn w:val="Normal"/>
    <w:next w:val="Normal"/>
    <w:pPr>
      <w:spacing w:before="360" w:after="360"/>
      <w:jc w:val="center"/>
    </w:pPr>
    <w:rPr>
      <w:rFonts w:eastAsia="Times New Roman"/>
      <w:b/>
      <w:lang w:eastAsia="en-GB"/>
    </w:rPr>
  </w:style>
  <w:style w:type="paragraph" w:customStyle="1" w:styleId="Typedudocumentprliminaire">
    <w:name w:val="Type du document (préliminaire)"/>
    <w:basedOn w:val="Normal"/>
    <w:next w:val="Normal"/>
    <w:pPr>
      <w:spacing w:before="360" w:after="0"/>
      <w:jc w:val="center"/>
    </w:pPr>
    <w:rPr>
      <w:rFonts w:eastAsia="Times New Roman"/>
      <w:b/>
      <w:lang w:eastAsia="en-GB"/>
    </w:rPr>
  </w:style>
  <w:style w:type="paragraph" w:customStyle="1" w:styleId="Fichefinancirestandardtitre">
    <w:name w:val="Fiche financière (standard) titre"/>
    <w:basedOn w:val="Normal"/>
    <w:next w:val="Normal"/>
    <w:pPr>
      <w:jc w:val="center"/>
    </w:pPr>
    <w:rPr>
      <w:rFonts w:eastAsia="Times New Roman"/>
      <w:b/>
      <w:u w:val="single"/>
      <w:lang w:eastAsia="en-GB"/>
    </w:rPr>
  </w:style>
  <w:style w:type="paragraph" w:customStyle="1" w:styleId="Fichefinancirestandardtitreacte">
    <w:name w:val="Fiche financière (standard) titre (acte)"/>
    <w:basedOn w:val="Normal"/>
    <w:next w:val="Normal"/>
    <w:pPr>
      <w:jc w:val="center"/>
    </w:pPr>
    <w:rPr>
      <w:rFonts w:eastAsia="Times New Roman"/>
      <w:b/>
      <w:u w:val="single"/>
      <w:lang w:eastAsia="en-GB"/>
    </w:rPr>
  </w:style>
  <w:style w:type="paragraph" w:customStyle="1" w:styleId="Fichefinanciretravailtitre">
    <w:name w:val="Fiche financière (travail) titre"/>
    <w:basedOn w:val="Normal"/>
    <w:next w:val="Normal"/>
    <w:pPr>
      <w:jc w:val="center"/>
    </w:pPr>
    <w:rPr>
      <w:rFonts w:eastAsia="Times New Roman"/>
      <w:b/>
      <w:u w:val="single"/>
      <w:lang w:eastAsia="en-GB"/>
    </w:rPr>
  </w:style>
  <w:style w:type="paragraph" w:customStyle="1" w:styleId="Fichefinanciretravailtitreacte">
    <w:name w:val="Fiche financière (travail) titre (acte)"/>
    <w:basedOn w:val="Normal"/>
    <w:next w:val="Normal"/>
    <w:pPr>
      <w:jc w:val="center"/>
    </w:pPr>
    <w:rPr>
      <w:rFonts w:eastAsia="Times New Roman"/>
      <w:b/>
      <w:u w:val="single"/>
      <w:lang w:eastAsia="en-GB"/>
    </w:rPr>
  </w:style>
  <w:style w:type="paragraph" w:customStyle="1" w:styleId="Fichefinancireattributiontitre">
    <w:name w:val="Fiche financière (attribution) titre"/>
    <w:basedOn w:val="Normal"/>
    <w:next w:val="Normal"/>
    <w:pPr>
      <w:jc w:val="center"/>
    </w:pPr>
    <w:rPr>
      <w:rFonts w:eastAsia="Times New Roman"/>
      <w:b/>
      <w:u w:val="single"/>
      <w:lang w:eastAsia="en-GB"/>
    </w:rPr>
  </w:style>
  <w:style w:type="paragraph" w:customStyle="1" w:styleId="Fichefinancireattributiontitreacte">
    <w:name w:val="Fiche financière (attribution) titre (acte)"/>
    <w:basedOn w:val="Normal"/>
    <w:next w:val="Normal"/>
    <w:pPr>
      <w:jc w:val="center"/>
    </w:pPr>
    <w:rPr>
      <w:rFonts w:eastAsia="Times New Roman"/>
      <w:b/>
      <w:u w:val="single"/>
      <w:lang w:eastAsia="en-GB"/>
    </w:rPr>
  </w:style>
  <w:style w:type="character" w:styleId="PageNumber">
    <w:name w:val="page number"/>
  </w:style>
  <w:style w:type="character" w:customStyle="1" w:styleId="tw4winMark">
    <w:name w:val="tw4winMark"/>
    <w:rPr>
      <w:vanish/>
      <w:color w:val="800080"/>
      <w:vertAlign w:val="subscript"/>
    </w:rPr>
  </w:style>
  <w:style w:type="character" w:styleId="FollowedHyperlink">
    <w:name w:val="FollowedHyperlink"/>
    <w:uiPriority w:val="99"/>
    <w:rPr>
      <w:color w:val="800080"/>
      <w:u w:val="single"/>
    </w:rPr>
  </w:style>
  <w:style w:type="paragraph" w:customStyle="1" w:styleId="Sous-titreobjet">
    <w:name w:val="Sous-titre objet"/>
    <w:basedOn w:val="Normal"/>
    <w:pPr>
      <w:spacing w:before="0" w:after="0"/>
      <w:jc w:val="center"/>
    </w:pPr>
    <w:rPr>
      <w:rFonts w:eastAsia="Times New Roman"/>
      <w:b/>
      <w:lang w:eastAsia="en-GB"/>
    </w:rPr>
  </w:style>
  <w:style w:type="paragraph" w:customStyle="1" w:styleId="Sous-titreobjetPagedecouverture">
    <w:name w:val="Sous-titre objet (Page de couverture)"/>
    <w:basedOn w:val="Sous-titreobjet"/>
  </w:style>
  <w:style w:type="paragraph" w:customStyle="1" w:styleId="msonormal0">
    <w:name w:val="msonormal"/>
    <w:basedOn w:val="Normal"/>
    <w:pPr>
      <w:spacing w:before="100" w:beforeAutospacing="1" w:after="100" w:afterAutospacing="1"/>
      <w:jc w:val="left"/>
    </w:pPr>
    <w:rPr>
      <w:rFonts w:eastAsia="Times New Roman"/>
      <w:szCs w:val="24"/>
      <w:lang w:eastAsia="fr-BE"/>
    </w:rPr>
  </w:style>
  <w:style w:type="character" w:customStyle="1" w:styleId="tw4winError">
    <w:name w:val="tw4winError"/>
    <w:rPr>
      <w:color w:val="00FF00"/>
      <w:sz w:val="40"/>
      <w:lang w:val="mt-MT" w:eastAsia="en-GB"/>
    </w:rPr>
  </w:style>
  <w:style w:type="character" w:customStyle="1" w:styleId="tw4winTerm">
    <w:name w:val="tw4winTerm"/>
    <w:rPr>
      <w:color w:val="0000FF"/>
      <w:lang w:val="mt-MT" w:eastAsia="en-GB"/>
    </w:rPr>
  </w:style>
  <w:style w:type="character" w:customStyle="1" w:styleId="tw4winPopup">
    <w:name w:val="tw4winPopup"/>
    <w:rPr>
      <w:noProof/>
      <w:color w:val="008000"/>
      <w:lang w:val="mt-MT" w:eastAsia="en-GB"/>
    </w:rPr>
  </w:style>
  <w:style w:type="character" w:customStyle="1" w:styleId="tw4winJump">
    <w:name w:val="tw4winJump"/>
    <w:rPr>
      <w:noProof/>
      <w:color w:val="008080"/>
      <w:lang w:val="mt-MT" w:eastAsia="en-GB"/>
    </w:rPr>
  </w:style>
  <w:style w:type="character" w:customStyle="1" w:styleId="tw4winExternal">
    <w:name w:val="tw4winExternal"/>
    <w:rPr>
      <w:noProof/>
      <w:color w:val="808080"/>
      <w:lang w:val="mt-MT" w:eastAsia="en-GB"/>
    </w:rPr>
  </w:style>
  <w:style w:type="character" w:customStyle="1" w:styleId="tw4winInternal">
    <w:name w:val="tw4winInternal"/>
    <w:rPr>
      <w:noProof/>
      <w:color w:val="FF0000"/>
      <w:lang w:val="mt-MT" w:eastAsia="en-GB"/>
    </w:rPr>
  </w:style>
  <w:style w:type="character" w:customStyle="1" w:styleId="DONOTTRANSLATE">
    <w:name w:val="DO_NOT_TRANSLATE"/>
    <w:rPr>
      <w:noProof/>
      <w:color w:val="800000"/>
      <w:lang w:val="mt-MT" w:eastAsia="en-GB"/>
    </w:rPr>
  </w:style>
  <w:style w:type="paragraph" w:customStyle="1" w:styleId="Numpar">
    <w:name w:val="Num par"/>
    <w:basedOn w:val="Normal"/>
    <w:pPr>
      <w:pBdr>
        <w:top w:val="nil"/>
        <w:left w:val="nil"/>
        <w:bottom w:val="nil"/>
        <w:right w:val="nil"/>
        <w:between w:val="nil"/>
        <w:bar w:val="nil"/>
      </w:pBdr>
      <w:spacing w:before="0" w:after="240"/>
    </w:pPr>
    <w:rPr>
      <w:rFonts w:eastAsia="Arial Unicode MS"/>
      <w:bCs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5"/>
        <w:tab w:val="right" w:pos="9071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Times New Roman"/>
      <w:sz w:val="24"/>
      <w:lang w:val="mt-MT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  <w:sz w:val="24"/>
      <w:lang w:val="mt-M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</w:pPr>
  </w:style>
  <w:style w:type="paragraph" w:customStyle="1" w:styleId="HeaderLandscape">
    <w:name w:val="HeaderLandscape"/>
    <w:basedOn w:val="Normal"/>
    <w:pPr>
      <w:tabs>
        <w:tab w:val="center" w:pos="7285"/>
        <w:tab w:val="right" w:pos="14003"/>
      </w:tabs>
      <w:spacing w:before="0"/>
    </w:pPr>
  </w:style>
  <w:style w:type="paragraph" w:customStyle="1" w:styleId="FooterLandscape">
    <w:name w:val="FooterLandscape"/>
    <w:basedOn w:val="Normal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HeaderSensitivityRight">
    <w:name w:val="Header Sensitivity Right"/>
    <w:basedOn w:val="Normal"/>
    <w:pPr>
      <w:spacing w:before="0"/>
      <w:jc w:val="right"/>
    </w:pPr>
    <w:rPr>
      <w:sz w:val="28"/>
    </w:rPr>
  </w:style>
  <w:style w:type="paragraph" w:customStyle="1" w:styleId="FooterSensitivity">
    <w:name w:val="Foot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Tiret0">
    <w:name w:val="Tiret 0"/>
    <w:basedOn w:val="Point0"/>
    <w:pPr>
      <w:numPr>
        <w:numId w:val="29"/>
      </w:numPr>
    </w:pPr>
  </w:style>
  <w:style w:type="paragraph" w:customStyle="1" w:styleId="Tiret1">
    <w:name w:val="Tiret 1"/>
    <w:basedOn w:val="Point1"/>
    <w:pPr>
      <w:numPr>
        <w:numId w:val="30"/>
      </w:numPr>
    </w:pPr>
  </w:style>
  <w:style w:type="paragraph" w:customStyle="1" w:styleId="Tiret2">
    <w:name w:val="Tiret 2"/>
    <w:basedOn w:val="Point2"/>
    <w:pPr>
      <w:numPr>
        <w:numId w:val="31"/>
      </w:numPr>
    </w:pPr>
  </w:style>
  <w:style w:type="paragraph" w:customStyle="1" w:styleId="Tiret3">
    <w:name w:val="Tiret 3"/>
    <w:basedOn w:val="Point3"/>
    <w:pPr>
      <w:numPr>
        <w:numId w:val="32"/>
      </w:numPr>
    </w:pPr>
  </w:style>
  <w:style w:type="paragraph" w:customStyle="1" w:styleId="Tiret4">
    <w:name w:val="Tiret 4"/>
    <w:basedOn w:val="Point4"/>
    <w:pPr>
      <w:numPr>
        <w:numId w:val="33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34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34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34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34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36"/>
      </w:numPr>
    </w:pPr>
  </w:style>
  <w:style w:type="paragraph" w:customStyle="1" w:styleId="Point1number">
    <w:name w:val="Point 1 (number)"/>
    <w:basedOn w:val="Normal"/>
    <w:pPr>
      <w:numPr>
        <w:ilvl w:val="2"/>
        <w:numId w:val="36"/>
      </w:numPr>
    </w:pPr>
  </w:style>
  <w:style w:type="paragraph" w:customStyle="1" w:styleId="Point2number">
    <w:name w:val="Point 2 (number)"/>
    <w:basedOn w:val="Normal"/>
    <w:pPr>
      <w:numPr>
        <w:ilvl w:val="4"/>
        <w:numId w:val="36"/>
      </w:numPr>
    </w:pPr>
  </w:style>
  <w:style w:type="paragraph" w:customStyle="1" w:styleId="Point3number">
    <w:name w:val="Point 3 (number)"/>
    <w:basedOn w:val="Normal"/>
    <w:pPr>
      <w:numPr>
        <w:ilvl w:val="6"/>
        <w:numId w:val="36"/>
      </w:numPr>
    </w:pPr>
  </w:style>
  <w:style w:type="paragraph" w:customStyle="1" w:styleId="Point0letter">
    <w:name w:val="Point 0 (letter)"/>
    <w:basedOn w:val="Normal"/>
    <w:pPr>
      <w:numPr>
        <w:ilvl w:val="1"/>
        <w:numId w:val="36"/>
      </w:numPr>
    </w:pPr>
  </w:style>
  <w:style w:type="paragraph" w:customStyle="1" w:styleId="Point1letter">
    <w:name w:val="Point 1 (letter)"/>
    <w:basedOn w:val="Normal"/>
    <w:pPr>
      <w:numPr>
        <w:ilvl w:val="3"/>
        <w:numId w:val="36"/>
      </w:numPr>
    </w:pPr>
  </w:style>
  <w:style w:type="paragraph" w:customStyle="1" w:styleId="Point2letter">
    <w:name w:val="Point 2 (letter)"/>
    <w:basedOn w:val="Normal"/>
    <w:pPr>
      <w:numPr>
        <w:ilvl w:val="5"/>
        <w:numId w:val="36"/>
      </w:numPr>
    </w:pPr>
  </w:style>
  <w:style w:type="paragraph" w:customStyle="1" w:styleId="Point3letter">
    <w:name w:val="Point 3 (letter)"/>
    <w:basedOn w:val="Normal"/>
    <w:pPr>
      <w:numPr>
        <w:ilvl w:val="7"/>
        <w:numId w:val="36"/>
      </w:numPr>
    </w:pPr>
  </w:style>
  <w:style w:type="paragraph" w:customStyle="1" w:styleId="Point4letter">
    <w:name w:val="Point 4 (letter)"/>
    <w:basedOn w:val="Normal"/>
    <w:pPr>
      <w:numPr>
        <w:ilvl w:val="8"/>
        <w:numId w:val="36"/>
      </w:numPr>
    </w:pPr>
  </w:style>
  <w:style w:type="paragraph" w:customStyle="1" w:styleId="Bullet0">
    <w:name w:val="Bullet 0"/>
    <w:basedOn w:val="Normal"/>
    <w:pPr>
      <w:numPr>
        <w:numId w:val="37"/>
      </w:numPr>
    </w:pPr>
  </w:style>
  <w:style w:type="paragraph" w:customStyle="1" w:styleId="Bullet1">
    <w:name w:val="Bullet 1"/>
    <w:basedOn w:val="Normal"/>
    <w:pPr>
      <w:numPr>
        <w:numId w:val="38"/>
      </w:numPr>
    </w:pPr>
  </w:style>
  <w:style w:type="paragraph" w:customStyle="1" w:styleId="Bullet2">
    <w:name w:val="Bullet 2"/>
    <w:basedOn w:val="Normal"/>
    <w:pPr>
      <w:numPr>
        <w:numId w:val="39"/>
      </w:numPr>
    </w:pPr>
  </w:style>
  <w:style w:type="paragraph" w:customStyle="1" w:styleId="Bullet3">
    <w:name w:val="Bullet 3"/>
    <w:basedOn w:val="Normal"/>
    <w:pPr>
      <w:numPr>
        <w:numId w:val="40"/>
      </w:numPr>
    </w:pPr>
  </w:style>
  <w:style w:type="paragraph" w:customStyle="1" w:styleId="Bullet4">
    <w:name w:val="Bullet 4"/>
    <w:basedOn w:val="Normal"/>
    <w:pPr>
      <w:numPr>
        <w:numId w:val="41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SecurityMarking">
    <w:name w:val="SecurityMarking"/>
    <w:basedOn w:val="Normal"/>
    <w:pPr>
      <w:spacing w:before="0" w:after="0" w:line="276" w:lineRule="auto"/>
      <w:ind w:left="5103"/>
      <w:jc w:val="left"/>
    </w:pPr>
    <w:rPr>
      <w:sz w:val="28"/>
    </w:rPr>
  </w:style>
  <w:style w:type="paragraph" w:customStyle="1" w:styleId="DateMarking">
    <w:name w:val="DateMarking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ReleasableTo">
    <w:name w:val="ReleasableTo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42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Titreobjet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IntrtEEE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al"/>
    <w:next w:val="Titreobjet"/>
    <w:pPr>
      <w:spacing w:before="360" w:after="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pPr>
      <w:spacing w:before="360" w:after="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itreobjetPagedecouverture">
    <w:name w:val="Titre objet (Page de couverture)"/>
    <w:basedOn w:val="Titreobjet"/>
    <w:next w:val="IntrtEEEPagedecouverture"/>
  </w:style>
  <w:style w:type="paragraph" w:customStyle="1" w:styleId="TypedudocumentPagedecouverture">
    <w:name w:val="Type du document (Page de couverture)"/>
    <w:basedOn w:val="Typedudocument"/>
    <w:next w:val="Titreobje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pPr>
      <w:spacing w:after="240"/>
    </w:pPr>
  </w:style>
  <w:style w:type="paragraph" w:customStyle="1" w:styleId="Accompagnant">
    <w:name w:val="Accompagnant"/>
    <w:basedOn w:val="Normal"/>
    <w:next w:val="Typeacteprincipal"/>
    <w:pPr>
      <w:spacing w:before="0" w:after="240"/>
      <w:jc w:val="center"/>
    </w:pPr>
    <w:rPr>
      <w:b/>
      <w:i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Rfrencecroise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Normal"/>
    <w:pPr>
      <w:spacing w:before="360" w:after="0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table of figures" w:uiPriority="0"/>
    <w:lsdException w:name="annotation reference" w:uiPriority="0"/>
    <w:lsdException w:name="page number" w:uiPriority="0"/>
    <w:lsdException w:name="List Bullet" w:uiPriority="0"/>
    <w:lsdException w:name="List Number" w:uiPriority="0"/>
    <w:lsdException w:name="List Bullet 2" w:uiPriority="0"/>
    <w:lsdException w:name="List Bullet 3" w:uiPriority="0"/>
    <w:lsdException w:name="List Bullet 4" w:uiPriority="0"/>
    <w:lsdException w:name="List Number 2" w:uiPriority="0"/>
    <w:lsdException w:name="List Number 3" w:uiPriority="0"/>
    <w:lsdException w:name="List Number 4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mt-MT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35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35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35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35"/>
      </w:numPr>
      <w:outlineLvl w:val="3"/>
    </w:pPr>
    <w:rPr>
      <w:rFonts w:eastAsiaTheme="majorEastAsia"/>
      <w:bCs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ListBullet">
    <w:name w:val="List Bullet"/>
    <w:basedOn w:val="Normal"/>
    <w:unhideWhenUsed/>
    <w:pPr>
      <w:numPr>
        <w:numId w:val="2"/>
      </w:numPr>
      <w:contextualSpacing/>
    </w:pPr>
  </w:style>
  <w:style w:type="paragraph" w:styleId="ListBullet2">
    <w:name w:val="List Bullet 2"/>
    <w:basedOn w:val="Normal"/>
    <w:unhideWhenUsed/>
    <w:pPr>
      <w:numPr>
        <w:numId w:val="3"/>
      </w:numPr>
      <w:contextualSpacing/>
    </w:pPr>
  </w:style>
  <w:style w:type="paragraph" w:styleId="ListBullet3">
    <w:name w:val="List Bullet 3"/>
    <w:basedOn w:val="Normal"/>
    <w:unhideWhenUsed/>
    <w:pPr>
      <w:numPr>
        <w:numId w:val="4"/>
      </w:numPr>
      <w:contextualSpacing/>
    </w:pPr>
  </w:style>
  <w:style w:type="paragraph" w:styleId="ListBullet4">
    <w:name w:val="List Bullet 4"/>
    <w:basedOn w:val="Normal"/>
    <w:unhideWhenUsed/>
    <w:pPr>
      <w:numPr>
        <w:numId w:val="5"/>
      </w:numPr>
      <w:contextualSpacing/>
    </w:pPr>
  </w:style>
  <w:style w:type="paragraph" w:styleId="BalloonText">
    <w:name w:val="Balloon Text"/>
    <w:basedOn w:val="Normal"/>
    <w:link w:val="BalloonTextChar"/>
    <w:unhideWhenUsed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mt-MT"/>
    </w:rPr>
  </w:style>
  <w:style w:type="character" w:styleId="CommentReference">
    <w:name w:val="annotation reference"/>
    <w:basedOn w:val="DefaultParagraphFont"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hAnsi="Times New Roman" w:cs="Times New Roman"/>
      <w:sz w:val="20"/>
      <w:szCs w:val="20"/>
      <w:lang w:val="mt-MT"/>
    </w:rPr>
  </w:style>
  <w:style w:type="paragraph" w:styleId="CommentSubject">
    <w:name w:val="annotation subject"/>
    <w:basedOn w:val="CommentText"/>
    <w:next w:val="CommentText"/>
    <w:link w:val="CommentSubjectChar"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rPr>
      <w:rFonts w:ascii="Times New Roman" w:hAnsi="Times New Roman" w:cs="Times New Roman"/>
      <w:b/>
      <w:bCs/>
      <w:sz w:val="20"/>
      <w:szCs w:val="20"/>
      <w:lang w:val="mt-MT"/>
    </w:rPr>
  </w:style>
  <w:style w:type="paragraph" w:styleId="Revision">
    <w:name w:val="Revision"/>
    <w:hidden/>
    <w:uiPriority w:val="99"/>
    <w:semiHidden/>
    <w:pPr>
      <w:spacing w:after="0" w:line="240" w:lineRule="auto"/>
    </w:pPr>
    <w:rPr>
      <w:rFonts w:ascii="Times New Roman" w:hAnsi="Times New Roman" w:cs="Times New Roman"/>
      <w:sz w:val="24"/>
    </w:rPr>
  </w:style>
  <w:style w:type="character" w:customStyle="1" w:styleId="highlight">
    <w:name w:val="highlight"/>
    <w:basedOn w:val="DefaultParagraphFont"/>
  </w:style>
  <w:style w:type="character" w:customStyle="1" w:styleId="boldface">
    <w:name w:val="boldface"/>
    <w:basedOn w:val="DefaultParagraphFont"/>
  </w:style>
  <w:style w:type="paragraph" w:customStyle="1" w:styleId="norm">
    <w:name w:val="norm"/>
    <w:basedOn w:val="Normal"/>
    <w:pPr>
      <w:spacing w:before="100" w:beforeAutospacing="1" w:after="100" w:afterAutospacing="1"/>
      <w:jc w:val="left"/>
    </w:pPr>
    <w:rPr>
      <w:rFonts w:eastAsia="Times New Roman"/>
      <w:szCs w:val="24"/>
      <w:lang w:eastAsia="en-IE"/>
    </w:rPr>
  </w:style>
  <w:style w:type="paragraph" w:customStyle="1" w:styleId="Point1number0">
    <w:name w:val="Point 1 number"/>
    <w:basedOn w:val="Point1"/>
  </w:style>
  <w:style w:type="paragraph" w:styleId="Caption">
    <w:name w:val="caption"/>
    <w:basedOn w:val="Normal"/>
    <w:next w:val="Normal"/>
    <w:unhideWhenUsed/>
    <w:qFormat/>
    <w:pPr>
      <w:spacing w:before="0" w:after="200"/>
    </w:pPr>
    <w:rPr>
      <w:i/>
      <w:iCs/>
      <w:color w:val="1F497D" w:themeColor="text2"/>
      <w:sz w:val="18"/>
      <w:szCs w:val="18"/>
    </w:rPr>
  </w:style>
  <w:style w:type="paragraph" w:styleId="TableofFigures">
    <w:name w:val="table of figures"/>
    <w:basedOn w:val="Normal"/>
    <w:next w:val="Normal"/>
    <w:unhideWhenUsed/>
    <w:pPr>
      <w:spacing w:after="0"/>
    </w:pPr>
  </w:style>
  <w:style w:type="paragraph" w:styleId="ListNumber">
    <w:name w:val="List Number"/>
    <w:basedOn w:val="Normal"/>
    <w:unhideWhenUsed/>
    <w:pPr>
      <w:numPr>
        <w:numId w:val="11"/>
      </w:numPr>
      <w:contextualSpacing/>
    </w:pPr>
  </w:style>
  <w:style w:type="paragraph" w:styleId="ListNumber2">
    <w:name w:val="List Number 2"/>
    <w:basedOn w:val="Normal"/>
    <w:unhideWhenUsed/>
    <w:pPr>
      <w:numPr>
        <w:numId w:val="12"/>
      </w:numPr>
      <w:contextualSpacing/>
    </w:pPr>
  </w:style>
  <w:style w:type="paragraph" w:styleId="ListNumber3">
    <w:name w:val="List Number 3"/>
    <w:basedOn w:val="Normal"/>
    <w:unhideWhenUsed/>
    <w:pPr>
      <w:numPr>
        <w:numId w:val="13"/>
      </w:numPr>
      <w:contextualSpacing/>
    </w:pPr>
  </w:style>
  <w:style w:type="paragraph" w:styleId="ListNumber4">
    <w:name w:val="List Number 4"/>
    <w:basedOn w:val="Normal"/>
    <w:unhideWhenUsed/>
    <w:pPr>
      <w:numPr>
        <w:numId w:val="14"/>
      </w:numPr>
      <w:contextualSpacing/>
    </w:pPr>
  </w:style>
  <w:style w:type="paragraph" w:customStyle="1" w:styleId="normalt">
    <w:name w:val="normalt"/>
    <w:basedOn w:val="Considrant"/>
    <w:pPr>
      <w:numPr>
        <w:numId w:val="0"/>
      </w:numPr>
      <w:ind w:left="709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Point">
    <w:name w:val="Point ()"/>
    <w:basedOn w:val="Normal"/>
    <w:rPr>
      <w:szCs w:val="24"/>
    </w:rPr>
  </w:style>
  <w:style w:type="paragraph" w:customStyle="1" w:styleId="Text0">
    <w:name w:val="Text 0"/>
    <w:basedOn w:val="Normal"/>
    <w:rPr>
      <w:szCs w:val="24"/>
    </w:rPr>
  </w:style>
  <w:style w:type="paragraph" w:customStyle="1" w:styleId="noraml">
    <w:name w:val="noraml"/>
    <w:basedOn w:val="Point0letter"/>
    <w:pPr>
      <w:numPr>
        <w:numId w:val="0"/>
      </w:numPr>
      <w:ind w:left="850"/>
    </w:pPr>
  </w:style>
  <w:style w:type="paragraph" w:customStyle="1" w:styleId="ListDash1">
    <w:name w:val="List Dash 1"/>
    <w:basedOn w:val="Normal"/>
    <w:pPr>
      <w:numPr>
        <w:numId w:val="18"/>
      </w:numPr>
    </w:pPr>
    <w:rPr>
      <w:rFonts w:eastAsia="Times New Roman"/>
      <w:lang w:eastAsia="de-DE"/>
    </w:rPr>
  </w:style>
  <w:style w:type="paragraph" w:customStyle="1" w:styleId="ListDash2">
    <w:name w:val="List Dash 2"/>
    <w:basedOn w:val="Normal"/>
    <w:pPr>
      <w:numPr>
        <w:numId w:val="19"/>
      </w:numPr>
    </w:pPr>
    <w:rPr>
      <w:rFonts w:eastAsia="Times New Roman"/>
      <w:lang w:eastAsia="de-DE"/>
    </w:rPr>
  </w:style>
  <w:style w:type="paragraph" w:customStyle="1" w:styleId="ListNumberLevel2">
    <w:name w:val="List Number (Level 2)"/>
    <w:basedOn w:val="Normal"/>
    <w:pPr>
      <w:tabs>
        <w:tab w:val="num" w:pos="1417"/>
      </w:tabs>
      <w:ind w:left="1417" w:hanging="708"/>
    </w:pPr>
    <w:rPr>
      <w:rFonts w:eastAsia="Times New Roman"/>
      <w:lang w:eastAsia="de-DE"/>
    </w:rPr>
  </w:style>
  <w:style w:type="paragraph" w:customStyle="1" w:styleId="ListNumberLevel3">
    <w:name w:val="List Number (Level 3)"/>
    <w:basedOn w:val="Normal"/>
    <w:pPr>
      <w:tabs>
        <w:tab w:val="num" w:pos="2126"/>
      </w:tabs>
      <w:ind w:left="2126" w:hanging="709"/>
    </w:pPr>
    <w:rPr>
      <w:rFonts w:eastAsia="Times New Roman"/>
      <w:lang w:eastAsia="de-DE"/>
    </w:rPr>
  </w:style>
  <w:style w:type="paragraph" w:customStyle="1" w:styleId="ListNumberLevel4">
    <w:name w:val="List Number (Level 4)"/>
    <w:basedOn w:val="Normal"/>
    <w:pPr>
      <w:tabs>
        <w:tab w:val="num" w:pos="2835"/>
      </w:tabs>
      <w:ind w:left="2835" w:hanging="709"/>
    </w:pPr>
    <w:rPr>
      <w:rFonts w:eastAsia="Times New Roman"/>
      <w:lang w:eastAsia="de-DE"/>
    </w:rPr>
  </w:style>
  <w:style w:type="paragraph" w:customStyle="1" w:styleId="FooterCoverPage">
    <w:name w:val="Footer Cover Page"/>
    <w:basedOn w:val="Normal"/>
    <w:link w:val="FooterCoverPageChar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FooterCoverPageChar">
    <w:name w:val="Footer Cover Page Char"/>
    <w:basedOn w:val="DefaultParagraphFont"/>
    <w:link w:val="FooterCoverPage"/>
    <w:rPr>
      <w:rFonts w:ascii="Times New Roman" w:hAnsi="Times New Roman" w:cs="Times New Roman"/>
      <w:sz w:val="24"/>
      <w:lang w:val="mt-MT"/>
    </w:rPr>
  </w:style>
  <w:style w:type="character" w:customStyle="1" w:styleId="FooterSensitivityChar">
    <w:name w:val="Footer Sensitivity Char"/>
    <w:basedOn w:val="DefaultParagraphFont"/>
    <w:rPr>
      <w:rFonts w:ascii="Times New Roman" w:hAnsi="Times New Roman" w:cs="Times New Roman"/>
      <w:b/>
      <w:sz w:val="32"/>
      <w:lang w:val="mt-MT"/>
    </w:rPr>
  </w:style>
  <w:style w:type="paragraph" w:customStyle="1" w:styleId="HeaderCoverPage">
    <w:name w:val="Header Cover Page"/>
    <w:basedOn w:val="Normal"/>
    <w:link w:val="HeaderCoverPageChar"/>
    <w:pPr>
      <w:tabs>
        <w:tab w:val="center" w:pos="4535"/>
        <w:tab w:val="right" w:pos="9071"/>
      </w:tabs>
      <w:spacing w:before="0"/>
    </w:pPr>
  </w:style>
  <w:style w:type="character" w:customStyle="1" w:styleId="HeaderCoverPageChar">
    <w:name w:val="Header Cover Page Char"/>
    <w:basedOn w:val="DefaultParagraphFont"/>
    <w:link w:val="HeaderCoverPage"/>
    <w:rPr>
      <w:rFonts w:ascii="Times New Roman" w:hAnsi="Times New Roman" w:cs="Times New Roman"/>
      <w:sz w:val="24"/>
      <w:lang w:val="mt-MT"/>
    </w:rPr>
  </w:style>
  <w:style w:type="character" w:customStyle="1" w:styleId="HeaderSensitivityChar">
    <w:name w:val="Header Sensitivity Char"/>
    <w:basedOn w:val="DefaultParagraphFont"/>
    <w:rPr>
      <w:rFonts w:ascii="Times New Roman" w:hAnsi="Times New Roman" w:cs="Times New Roman"/>
      <w:b/>
      <w:sz w:val="32"/>
      <w:lang w:val="mt-M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before="0"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rFonts w:ascii="Times New Roman" w:hAnsi="Times New Roman" w:cs="Times New Roman"/>
      <w:sz w:val="20"/>
      <w:szCs w:val="20"/>
      <w:lang w:val="mt-M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ListBullet1">
    <w:name w:val="List Bullet 1"/>
    <w:basedOn w:val="Normal"/>
    <w:pPr>
      <w:numPr>
        <w:numId w:val="20"/>
      </w:numPr>
    </w:pPr>
    <w:rPr>
      <w:rFonts w:eastAsia="Times New Roman"/>
      <w:lang w:eastAsia="de-DE"/>
    </w:rPr>
  </w:style>
  <w:style w:type="paragraph" w:customStyle="1" w:styleId="ListDash">
    <w:name w:val="List Dash"/>
    <w:basedOn w:val="Normal"/>
    <w:pPr>
      <w:numPr>
        <w:numId w:val="21"/>
      </w:numPr>
    </w:pPr>
    <w:rPr>
      <w:rFonts w:eastAsia="Times New Roman"/>
      <w:lang w:eastAsia="de-DE"/>
    </w:rPr>
  </w:style>
  <w:style w:type="table" w:styleId="TableGrid">
    <w:name w:val="Table Grid"/>
    <w:basedOn w:val="TableNormal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Dash3">
    <w:name w:val="List Dash 3"/>
    <w:basedOn w:val="Normal"/>
    <w:pPr>
      <w:numPr>
        <w:numId w:val="22"/>
      </w:numPr>
    </w:pPr>
    <w:rPr>
      <w:rFonts w:eastAsia="Times New Roman"/>
      <w:lang w:eastAsia="en-GB"/>
    </w:rPr>
  </w:style>
  <w:style w:type="paragraph" w:customStyle="1" w:styleId="ListDash4">
    <w:name w:val="List Dash 4"/>
    <w:basedOn w:val="Normal"/>
    <w:pPr>
      <w:numPr>
        <w:numId w:val="23"/>
      </w:numPr>
    </w:pPr>
    <w:rPr>
      <w:rFonts w:eastAsia="Times New Roman"/>
      <w:lang w:eastAsia="en-GB"/>
    </w:rPr>
  </w:style>
  <w:style w:type="paragraph" w:customStyle="1" w:styleId="ListNumber1">
    <w:name w:val="List Number 1"/>
    <w:basedOn w:val="Text1"/>
    <w:pPr>
      <w:numPr>
        <w:numId w:val="24"/>
      </w:numPr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pPr>
      <w:numPr>
        <w:ilvl w:val="1"/>
        <w:numId w:val="24"/>
      </w:numPr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pPr>
      <w:numPr>
        <w:ilvl w:val="2"/>
        <w:numId w:val="24"/>
      </w:numPr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pPr>
      <w:numPr>
        <w:ilvl w:val="3"/>
        <w:numId w:val="24"/>
      </w:numPr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pPr>
      <w:jc w:val="center"/>
    </w:pPr>
    <w:rPr>
      <w:rFonts w:eastAsia="Times New Roman"/>
      <w:b/>
      <w:u w:val="single"/>
      <w:lang w:eastAsia="en-GB"/>
    </w:rPr>
  </w:style>
  <w:style w:type="paragraph" w:customStyle="1" w:styleId="Annexetitreexposglobal">
    <w:name w:val="Annexe titre (exposé global)"/>
    <w:basedOn w:val="Normal"/>
    <w:next w:val="Normal"/>
    <w:pPr>
      <w:jc w:val="center"/>
    </w:pPr>
    <w:rPr>
      <w:rFonts w:eastAsia="Times New Roman"/>
      <w:b/>
      <w:u w:val="single"/>
      <w:lang w:eastAsia="en-GB"/>
    </w:rPr>
  </w:style>
  <w:style w:type="paragraph" w:customStyle="1" w:styleId="Annexetitrefichefinacte">
    <w:name w:val="Annexe titre (fiche fin. acte)"/>
    <w:basedOn w:val="Normal"/>
    <w:next w:val="Normal"/>
    <w:pPr>
      <w:jc w:val="center"/>
    </w:pPr>
    <w:rPr>
      <w:rFonts w:eastAsia="Times New Roman"/>
      <w:b/>
      <w:u w:val="single"/>
      <w:lang w:eastAsia="en-GB"/>
    </w:rPr>
  </w:style>
  <w:style w:type="paragraph" w:customStyle="1" w:styleId="Annexetitrefichefinglobale">
    <w:name w:val="Annexe titre (fiche fin. globale)"/>
    <w:basedOn w:val="Normal"/>
    <w:next w:val="Normal"/>
    <w:pPr>
      <w:jc w:val="center"/>
    </w:pPr>
    <w:rPr>
      <w:rFonts w:eastAsia="Times New Roman"/>
      <w:b/>
      <w:u w:val="single"/>
      <w:lang w:eastAsia="en-GB"/>
    </w:rPr>
  </w:style>
  <w:style w:type="paragraph" w:customStyle="1" w:styleId="Annexetitreglobale">
    <w:name w:val="Annexe titre (globale)"/>
    <w:basedOn w:val="Normal"/>
    <w:next w:val="Normal"/>
    <w:pPr>
      <w:jc w:val="center"/>
    </w:pPr>
    <w:rPr>
      <w:rFonts w:eastAsia="Times New Roman"/>
      <w:b/>
      <w:u w:val="single"/>
      <w:lang w:eastAsia="en-GB"/>
    </w:rPr>
  </w:style>
  <w:style w:type="paragraph" w:customStyle="1" w:styleId="Exposdesmotifstitreglobal">
    <w:name w:val="Exposé des motifs titre (global)"/>
    <w:basedOn w:val="Normal"/>
    <w:next w:val="Normal"/>
    <w:pPr>
      <w:jc w:val="center"/>
    </w:pPr>
    <w:rPr>
      <w:rFonts w:eastAsia="Times New Roman"/>
      <w:b/>
      <w:u w:val="single"/>
      <w:lang w:eastAsia="en-GB"/>
    </w:rPr>
  </w:style>
  <w:style w:type="paragraph" w:customStyle="1" w:styleId="Langueoriginale">
    <w:name w:val="Langue originale"/>
    <w:basedOn w:val="Normal"/>
    <w:pPr>
      <w:spacing w:before="360"/>
      <w:jc w:val="center"/>
    </w:pPr>
    <w:rPr>
      <w:rFonts w:eastAsia="Times New Roman"/>
      <w:caps/>
      <w:lang w:eastAsia="en-GB"/>
    </w:rPr>
  </w:style>
  <w:style w:type="paragraph" w:customStyle="1" w:styleId="Phrasefinale">
    <w:name w:val="Phrase finale"/>
    <w:basedOn w:val="Normal"/>
    <w:next w:val="Normal"/>
    <w:pPr>
      <w:spacing w:before="360" w:after="0"/>
      <w:jc w:val="center"/>
    </w:pPr>
    <w:rPr>
      <w:rFonts w:eastAsia="Times New Roman"/>
      <w:lang w:eastAsia="en-GB"/>
    </w:rPr>
  </w:style>
  <w:style w:type="paragraph" w:customStyle="1" w:styleId="Prliminairetitre">
    <w:name w:val="Préliminaire titre"/>
    <w:basedOn w:val="Normal"/>
    <w:next w:val="Normal"/>
    <w:pPr>
      <w:spacing w:before="360" w:after="360"/>
      <w:jc w:val="center"/>
    </w:pPr>
    <w:rPr>
      <w:rFonts w:eastAsia="Times New Roman"/>
      <w:b/>
      <w:lang w:eastAsia="en-GB"/>
    </w:rPr>
  </w:style>
  <w:style w:type="paragraph" w:customStyle="1" w:styleId="Prliminairetype">
    <w:name w:val="Préliminaire type"/>
    <w:basedOn w:val="Normal"/>
    <w:next w:val="Normal"/>
    <w:pPr>
      <w:spacing w:before="360" w:after="0"/>
      <w:jc w:val="center"/>
    </w:pPr>
    <w:rPr>
      <w:rFonts w:eastAsia="Times New Roman"/>
      <w:b/>
      <w:lang w:eastAsia="en-GB"/>
    </w:rPr>
  </w:style>
  <w:style w:type="paragraph" w:customStyle="1" w:styleId="Rfrenceinstitutionelle">
    <w:name w:val="Référence institutionelle"/>
    <w:basedOn w:val="Normal"/>
    <w:next w:val="Statut"/>
    <w:pPr>
      <w:spacing w:before="0" w:after="240"/>
      <w:ind w:left="5103"/>
      <w:jc w:val="left"/>
    </w:pPr>
    <w:rPr>
      <w:rFonts w:eastAsia="Times New Roman"/>
      <w:lang w:eastAsia="en-GB"/>
    </w:rPr>
  </w:style>
  <w:style w:type="paragraph" w:customStyle="1" w:styleId="Rfrenceinterinstitutionelle">
    <w:name w:val="Référence interinstitutionelle"/>
    <w:basedOn w:val="Normal"/>
    <w:next w:val="Statut"/>
    <w:pPr>
      <w:spacing w:before="0" w:after="0"/>
      <w:ind w:left="5103"/>
      <w:jc w:val="left"/>
    </w:pPr>
    <w:rPr>
      <w:rFonts w:eastAsia="Times New Roman"/>
      <w:lang w:eastAsia="en-GB"/>
    </w:rPr>
  </w:style>
  <w:style w:type="paragraph" w:customStyle="1" w:styleId="Rfrenceinterinstitutionelleprliminaire">
    <w:name w:val="Référence interinstitutionelle (préliminaire)"/>
    <w:basedOn w:val="Normal"/>
    <w:next w:val="Normal"/>
    <w:pPr>
      <w:spacing w:before="0" w:after="0"/>
      <w:ind w:left="5103"/>
      <w:jc w:val="left"/>
    </w:pPr>
    <w:rPr>
      <w:rFonts w:eastAsia="Times New Roman"/>
      <w:lang w:eastAsia="en-GB"/>
    </w:rPr>
  </w:style>
  <w:style w:type="paragraph" w:customStyle="1" w:styleId="Sous-titreobjetprliminaire">
    <w:name w:val="Sous-titre objet (préliminaire)"/>
    <w:basedOn w:val="Normal"/>
    <w:pPr>
      <w:spacing w:before="0" w:after="0"/>
      <w:jc w:val="center"/>
    </w:pPr>
    <w:rPr>
      <w:rFonts w:eastAsia="Times New Roman"/>
      <w:b/>
      <w:lang w:eastAsia="en-GB"/>
    </w:rPr>
  </w:style>
  <w:style w:type="paragraph" w:customStyle="1" w:styleId="Statutprliminaire">
    <w:name w:val="Statut (préliminaire)"/>
    <w:basedOn w:val="Normal"/>
    <w:next w:val="Normal"/>
    <w:pPr>
      <w:spacing w:before="360" w:after="0"/>
      <w:jc w:val="center"/>
    </w:pPr>
    <w:rPr>
      <w:rFonts w:eastAsia="Times New Roman"/>
      <w:lang w:eastAsia="en-GB"/>
    </w:rPr>
  </w:style>
  <w:style w:type="paragraph" w:customStyle="1" w:styleId="Titreobjetprliminaire">
    <w:name w:val="Titre objet (préliminaire)"/>
    <w:basedOn w:val="Normal"/>
    <w:next w:val="Normal"/>
    <w:pPr>
      <w:spacing w:before="360" w:after="360"/>
      <w:jc w:val="center"/>
    </w:pPr>
    <w:rPr>
      <w:rFonts w:eastAsia="Times New Roman"/>
      <w:b/>
      <w:lang w:eastAsia="en-GB"/>
    </w:rPr>
  </w:style>
  <w:style w:type="paragraph" w:customStyle="1" w:styleId="Typedudocumentprliminaire">
    <w:name w:val="Type du document (préliminaire)"/>
    <w:basedOn w:val="Normal"/>
    <w:next w:val="Normal"/>
    <w:pPr>
      <w:spacing w:before="360" w:after="0"/>
      <w:jc w:val="center"/>
    </w:pPr>
    <w:rPr>
      <w:rFonts w:eastAsia="Times New Roman"/>
      <w:b/>
      <w:lang w:eastAsia="en-GB"/>
    </w:rPr>
  </w:style>
  <w:style w:type="paragraph" w:customStyle="1" w:styleId="Fichefinancirestandardtitre">
    <w:name w:val="Fiche financière (standard) titre"/>
    <w:basedOn w:val="Normal"/>
    <w:next w:val="Normal"/>
    <w:pPr>
      <w:jc w:val="center"/>
    </w:pPr>
    <w:rPr>
      <w:rFonts w:eastAsia="Times New Roman"/>
      <w:b/>
      <w:u w:val="single"/>
      <w:lang w:eastAsia="en-GB"/>
    </w:rPr>
  </w:style>
  <w:style w:type="paragraph" w:customStyle="1" w:styleId="Fichefinancirestandardtitreacte">
    <w:name w:val="Fiche financière (standard) titre (acte)"/>
    <w:basedOn w:val="Normal"/>
    <w:next w:val="Normal"/>
    <w:pPr>
      <w:jc w:val="center"/>
    </w:pPr>
    <w:rPr>
      <w:rFonts w:eastAsia="Times New Roman"/>
      <w:b/>
      <w:u w:val="single"/>
      <w:lang w:eastAsia="en-GB"/>
    </w:rPr>
  </w:style>
  <w:style w:type="paragraph" w:customStyle="1" w:styleId="Fichefinanciretravailtitre">
    <w:name w:val="Fiche financière (travail) titre"/>
    <w:basedOn w:val="Normal"/>
    <w:next w:val="Normal"/>
    <w:pPr>
      <w:jc w:val="center"/>
    </w:pPr>
    <w:rPr>
      <w:rFonts w:eastAsia="Times New Roman"/>
      <w:b/>
      <w:u w:val="single"/>
      <w:lang w:eastAsia="en-GB"/>
    </w:rPr>
  </w:style>
  <w:style w:type="paragraph" w:customStyle="1" w:styleId="Fichefinanciretravailtitreacte">
    <w:name w:val="Fiche financière (travail) titre (acte)"/>
    <w:basedOn w:val="Normal"/>
    <w:next w:val="Normal"/>
    <w:pPr>
      <w:jc w:val="center"/>
    </w:pPr>
    <w:rPr>
      <w:rFonts w:eastAsia="Times New Roman"/>
      <w:b/>
      <w:u w:val="single"/>
      <w:lang w:eastAsia="en-GB"/>
    </w:rPr>
  </w:style>
  <w:style w:type="paragraph" w:customStyle="1" w:styleId="Fichefinancireattributiontitre">
    <w:name w:val="Fiche financière (attribution) titre"/>
    <w:basedOn w:val="Normal"/>
    <w:next w:val="Normal"/>
    <w:pPr>
      <w:jc w:val="center"/>
    </w:pPr>
    <w:rPr>
      <w:rFonts w:eastAsia="Times New Roman"/>
      <w:b/>
      <w:u w:val="single"/>
      <w:lang w:eastAsia="en-GB"/>
    </w:rPr>
  </w:style>
  <w:style w:type="paragraph" w:customStyle="1" w:styleId="Fichefinancireattributiontitreacte">
    <w:name w:val="Fiche financière (attribution) titre (acte)"/>
    <w:basedOn w:val="Normal"/>
    <w:next w:val="Normal"/>
    <w:pPr>
      <w:jc w:val="center"/>
    </w:pPr>
    <w:rPr>
      <w:rFonts w:eastAsia="Times New Roman"/>
      <w:b/>
      <w:u w:val="single"/>
      <w:lang w:eastAsia="en-GB"/>
    </w:rPr>
  </w:style>
  <w:style w:type="character" w:styleId="PageNumber">
    <w:name w:val="page number"/>
  </w:style>
  <w:style w:type="character" w:customStyle="1" w:styleId="tw4winMark">
    <w:name w:val="tw4winMark"/>
    <w:rPr>
      <w:vanish/>
      <w:color w:val="800080"/>
      <w:vertAlign w:val="subscript"/>
    </w:rPr>
  </w:style>
  <w:style w:type="character" w:styleId="FollowedHyperlink">
    <w:name w:val="FollowedHyperlink"/>
    <w:uiPriority w:val="99"/>
    <w:rPr>
      <w:color w:val="800080"/>
      <w:u w:val="single"/>
    </w:rPr>
  </w:style>
  <w:style w:type="paragraph" w:customStyle="1" w:styleId="Sous-titreobjet">
    <w:name w:val="Sous-titre objet"/>
    <w:basedOn w:val="Normal"/>
    <w:pPr>
      <w:spacing w:before="0" w:after="0"/>
      <w:jc w:val="center"/>
    </w:pPr>
    <w:rPr>
      <w:rFonts w:eastAsia="Times New Roman"/>
      <w:b/>
      <w:lang w:eastAsia="en-GB"/>
    </w:rPr>
  </w:style>
  <w:style w:type="paragraph" w:customStyle="1" w:styleId="Sous-titreobjetPagedecouverture">
    <w:name w:val="Sous-titre objet (Page de couverture)"/>
    <w:basedOn w:val="Sous-titreobjet"/>
  </w:style>
  <w:style w:type="paragraph" w:customStyle="1" w:styleId="msonormal0">
    <w:name w:val="msonormal"/>
    <w:basedOn w:val="Normal"/>
    <w:pPr>
      <w:spacing w:before="100" w:beforeAutospacing="1" w:after="100" w:afterAutospacing="1"/>
      <w:jc w:val="left"/>
    </w:pPr>
    <w:rPr>
      <w:rFonts w:eastAsia="Times New Roman"/>
      <w:szCs w:val="24"/>
      <w:lang w:eastAsia="fr-BE"/>
    </w:rPr>
  </w:style>
  <w:style w:type="character" w:customStyle="1" w:styleId="tw4winError">
    <w:name w:val="tw4winError"/>
    <w:rPr>
      <w:color w:val="00FF00"/>
      <w:sz w:val="40"/>
      <w:lang w:val="mt-MT" w:eastAsia="en-GB"/>
    </w:rPr>
  </w:style>
  <w:style w:type="character" w:customStyle="1" w:styleId="tw4winTerm">
    <w:name w:val="tw4winTerm"/>
    <w:rPr>
      <w:color w:val="0000FF"/>
      <w:lang w:val="mt-MT" w:eastAsia="en-GB"/>
    </w:rPr>
  </w:style>
  <w:style w:type="character" w:customStyle="1" w:styleId="tw4winPopup">
    <w:name w:val="tw4winPopup"/>
    <w:rPr>
      <w:noProof/>
      <w:color w:val="008000"/>
      <w:lang w:val="mt-MT" w:eastAsia="en-GB"/>
    </w:rPr>
  </w:style>
  <w:style w:type="character" w:customStyle="1" w:styleId="tw4winJump">
    <w:name w:val="tw4winJump"/>
    <w:rPr>
      <w:noProof/>
      <w:color w:val="008080"/>
      <w:lang w:val="mt-MT" w:eastAsia="en-GB"/>
    </w:rPr>
  </w:style>
  <w:style w:type="character" w:customStyle="1" w:styleId="tw4winExternal">
    <w:name w:val="tw4winExternal"/>
    <w:rPr>
      <w:noProof/>
      <w:color w:val="808080"/>
      <w:lang w:val="mt-MT" w:eastAsia="en-GB"/>
    </w:rPr>
  </w:style>
  <w:style w:type="character" w:customStyle="1" w:styleId="tw4winInternal">
    <w:name w:val="tw4winInternal"/>
    <w:rPr>
      <w:noProof/>
      <w:color w:val="FF0000"/>
      <w:lang w:val="mt-MT" w:eastAsia="en-GB"/>
    </w:rPr>
  </w:style>
  <w:style w:type="character" w:customStyle="1" w:styleId="DONOTTRANSLATE">
    <w:name w:val="DO_NOT_TRANSLATE"/>
    <w:rPr>
      <w:noProof/>
      <w:color w:val="800000"/>
      <w:lang w:val="mt-MT" w:eastAsia="en-GB"/>
    </w:rPr>
  </w:style>
  <w:style w:type="paragraph" w:customStyle="1" w:styleId="Numpar">
    <w:name w:val="Num par"/>
    <w:basedOn w:val="Normal"/>
    <w:pPr>
      <w:pBdr>
        <w:top w:val="nil"/>
        <w:left w:val="nil"/>
        <w:bottom w:val="nil"/>
        <w:right w:val="nil"/>
        <w:between w:val="nil"/>
        <w:bar w:val="nil"/>
      </w:pBdr>
      <w:spacing w:before="0" w:after="240"/>
    </w:pPr>
    <w:rPr>
      <w:rFonts w:eastAsia="Arial Unicode MS"/>
      <w:bCs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5"/>
        <w:tab w:val="right" w:pos="9071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Times New Roman"/>
      <w:sz w:val="24"/>
      <w:lang w:val="mt-MT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  <w:sz w:val="24"/>
      <w:lang w:val="mt-M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</w:pPr>
  </w:style>
  <w:style w:type="paragraph" w:customStyle="1" w:styleId="HeaderLandscape">
    <w:name w:val="HeaderLandscape"/>
    <w:basedOn w:val="Normal"/>
    <w:pPr>
      <w:tabs>
        <w:tab w:val="center" w:pos="7285"/>
        <w:tab w:val="right" w:pos="14003"/>
      </w:tabs>
      <w:spacing w:before="0"/>
    </w:pPr>
  </w:style>
  <w:style w:type="paragraph" w:customStyle="1" w:styleId="FooterLandscape">
    <w:name w:val="FooterLandscape"/>
    <w:basedOn w:val="Normal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HeaderSensitivityRight">
    <w:name w:val="Header Sensitivity Right"/>
    <w:basedOn w:val="Normal"/>
    <w:pPr>
      <w:spacing w:before="0"/>
      <w:jc w:val="right"/>
    </w:pPr>
    <w:rPr>
      <w:sz w:val="28"/>
    </w:rPr>
  </w:style>
  <w:style w:type="paragraph" w:customStyle="1" w:styleId="FooterSensitivity">
    <w:name w:val="Foot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Tiret0">
    <w:name w:val="Tiret 0"/>
    <w:basedOn w:val="Point0"/>
    <w:pPr>
      <w:numPr>
        <w:numId w:val="29"/>
      </w:numPr>
    </w:pPr>
  </w:style>
  <w:style w:type="paragraph" w:customStyle="1" w:styleId="Tiret1">
    <w:name w:val="Tiret 1"/>
    <w:basedOn w:val="Point1"/>
    <w:pPr>
      <w:numPr>
        <w:numId w:val="30"/>
      </w:numPr>
    </w:pPr>
  </w:style>
  <w:style w:type="paragraph" w:customStyle="1" w:styleId="Tiret2">
    <w:name w:val="Tiret 2"/>
    <w:basedOn w:val="Point2"/>
    <w:pPr>
      <w:numPr>
        <w:numId w:val="31"/>
      </w:numPr>
    </w:pPr>
  </w:style>
  <w:style w:type="paragraph" w:customStyle="1" w:styleId="Tiret3">
    <w:name w:val="Tiret 3"/>
    <w:basedOn w:val="Point3"/>
    <w:pPr>
      <w:numPr>
        <w:numId w:val="32"/>
      </w:numPr>
    </w:pPr>
  </w:style>
  <w:style w:type="paragraph" w:customStyle="1" w:styleId="Tiret4">
    <w:name w:val="Tiret 4"/>
    <w:basedOn w:val="Point4"/>
    <w:pPr>
      <w:numPr>
        <w:numId w:val="33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34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34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34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34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36"/>
      </w:numPr>
    </w:pPr>
  </w:style>
  <w:style w:type="paragraph" w:customStyle="1" w:styleId="Point1number">
    <w:name w:val="Point 1 (number)"/>
    <w:basedOn w:val="Normal"/>
    <w:pPr>
      <w:numPr>
        <w:ilvl w:val="2"/>
        <w:numId w:val="36"/>
      </w:numPr>
    </w:pPr>
  </w:style>
  <w:style w:type="paragraph" w:customStyle="1" w:styleId="Point2number">
    <w:name w:val="Point 2 (number)"/>
    <w:basedOn w:val="Normal"/>
    <w:pPr>
      <w:numPr>
        <w:ilvl w:val="4"/>
        <w:numId w:val="36"/>
      </w:numPr>
    </w:pPr>
  </w:style>
  <w:style w:type="paragraph" w:customStyle="1" w:styleId="Point3number">
    <w:name w:val="Point 3 (number)"/>
    <w:basedOn w:val="Normal"/>
    <w:pPr>
      <w:numPr>
        <w:ilvl w:val="6"/>
        <w:numId w:val="36"/>
      </w:numPr>
    </w:pPr>
  </w:style>
  <w:style w:type="paragraph" w:customStyle="1" w:styleId="Point0letter">
    <w:name w:val="Point 0 (letter)"/>
    <w:basedOn w:val="Normal"/>
    <w:pPr>
      <w:numPr>
        <w:ilvl w:val="1"/>
        <w:numId w:val="36"/>
      </w:numPr>
    </w:pPr>
  </w:style>
  <w:style w:type="paragraph" w:customStyle="1" w:styleId="Point1letter">
    <w:name w:val="Point 1 (letter)"/>
    <w:basedOn w:val="Normal"/>
    <w:pPr>
      <w:numPr>
        <w:ilvl w:val="3"/>
        <w:numId w:val="36"/>
      </w:numPr>
    </w:pPr>
  </w:style>
  <w:style w:type="paragraph" w:customStyle="1" w:styleId="Point2letter">
    <w:name w:val="Point 2 (letter)"/>
    <w:basedOn w:val="Normal"/>
    <w:pPr>
      <w:numPr>
        <w:ilvl w:val="5"/>
        <w:numId w:val="36"/>
      </w:numPr>
    </w:pPr>
  </w:style>
  <w:style w:type="paragraph" w:customStyle="1" w:styleId="Point3letter">
    <w:name w:val="Point 3 (letter)"/>
    <w:basedOn w:val="Normal"/>
    <w:pPr>
      <w:numPr>
        <w:ilvl w:val="7"/>
        <w:numId w:val="36"/>
      </w:numPr>
    </w:pPr>
  </w:style>
  <w:style w:type="paragraph" w:customStyle="1" w:styleId="Point4letter">
    <w:name w:val="Point 4 (letter)"/>
    <w:basedOn w:val="Normal"/>
    <w:pPr>
      <w:numPr>
        <w:ilvl w:val="8"/>
        <w:numId w:val="36"/>
      </w:numPr>
    </w:pPr>
  </w:style>
  <w:style w:type="paragraph" w:customStyle="1" w:styleId="Bullet0">
    <w:name w:val="Bullet 0"/>
    <w:basedOn w:val="Normal"/>
    <w:pPr>
      <w:numPr>
        <w:numId w:val="37"/>
      </w:numPr>
    </w:pPr>
  </w:style>
  <w:style w:type="paragraph" w:customStyle="1" w:styleId="Bullet1">
    <w:name w:val="Bullet 1"/>
    <w:basedOn w:val="Normal"/>
    <w:pPr>
      <w:numPr>
        <w:numId w:val="38"/>
      </w:numPr>
    </w:pPr>
  </w:style>
  <w:style w:type="paragraph" w:customStyle="1" w:styleId="Bullet2">
    <w:name w:val="Bullet 2"/>
    <w:basedOn w:val="Normal"/>
    <w:pPr>
      <w:numPr>
        <w:numId w:val="39"/>
      </w:numPr>
    </w:pPr>
  </w:style>
  <w:style w:type="paragraph" w:customStyle="1" w:styleId="Bullet3">
    <w:name w:val="Bullet 3"/>
    <w:basedOn w:val="Normal"/>
    <w:pPr>
      <w:numPr>
        <w:numId w:val="40"/>
      </w:numPr>
    </w:pPr>
  </w:style>
  <w:style w:type="paragraph" w:customStyle="1" w:styleId="Bullet4">
    <w:name w:val="Bullet 4"/>
    <w:basedOn w:val="Normal"/>
    <w:pPr>
      <w:numPr>
        <w:numId w:val="41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SecurityMarking">
    <w:name w:val="SecurityMarking"/>
    <w:basedOn w:val="Normal"/>
    <w:pPr>
      <w:spacing w:before="0" w:after="0" w:line="276" w:lineRule="auto"/>
      <w:ind w:left="5103"/>
      <w:jc w:val="left"/>
    </w:pPr>
    <w:rPr>
      <w:sz w:val="28"/>
    </w:rPr>
  </w:style>
  <w:style w:type="paragraph" w:customStyle="1" w:styleId="DateMarking">
    <w:name w:val="DateMarking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ReleasableTo">
    <w:name w:val="ReleasableTo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42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Titreobjet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IntrtEEE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al"/>
    <w:next w:val="Titreobjet"/>
    <w:pPr>
      <w:spacing w:before="360" w:after="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pPr>
      <w:spacing w:before="360" w:after="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itreobjetPagedecouverture">
    <w:name w:val="Titre objet (Page de couverture)"/>
    <w:basedOn w:val="Titreobjet"/>
    <w:next w:val="IntrtEEEPagedecouverture"/>
  </w:style>
  <w:style w:type="paragraph" w:customStyle="1" w:styleId="TypedudocumentPagedecouverture">
    <w:name w:val="Type du document (Page de couverture)"/>
    <w:basedOn w:val="Typedudocument"/>
    <w:next w:val="Titreobje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pPr>
      <w:spacing w:after="240"/>
    </w:pPr>
  </w:style>
  <w:style w:type="paragraph" w:customStyle="1" w:styleId="Accompagnant">
    <w:name w:val="Accompagnant"/>
    <w:basedOn w:val="Normal"/>
    <w:next w:val="Typeacteprincipal"/>
    <w:pPr>
      <w:spacing w:before="0" w:after="240"/>
      <w:jc w:val="center"/>
    </w:pPr>
    <w:rPr>
      <w:b/>
      <w:i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Rfrencecroise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Normal"/>
    <w:pPr>
      <w:spacing w:before="360" w:after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1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1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48253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572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9539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9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22119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6320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0536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4917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6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3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6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footer" Target="footer6.xml"/><Relationship Id="rId7" Type="http://schemas.microsoft.com/office/2007/relationships/stylesWithEffects" Target="stylesWithEffects.xml"/><Relationship Id="rId12" Type="http://schemas.openxmlformats.org/officeDocument/2006/relationships/image" Target="media/image1.emf"/><Relationship Id="rId17" Type="http://schemas.openxmlformats.org/officeDocument/2006/relationships/footer" Target="footer4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23" Type="http://schemas.openxmlformats.org/officeDocument/2006/relationships/footer" Target="footer7.xml"/><Relationship Id="rId10" Type="http://schemas.openxmlformats.org/officeDocument/2006/relationships/footnotes" Target="footnotes.xml"/><Relationship Id="rId19" Type="http://schemas.openxmlformats.org/officeDocument/2006/relationships/footer" Target="footer5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Relationship Id="rId22" Type="http://schemas.openxmlformats.org/officeDocument/2006/relationships/header" Target="header4.xml"/></Relationships>
</file>

<file path=word/_rels/footnotes.xml.rels><?xml version='1.0' encoding='UTF-8' standalone='yes'?>
<Relationships xmlns="http://schemas.openxmlformats.org/package/2006/relationships"><Relationship Id="rId2" Type="http://schemas.openxmlformats.org/officeDocument/2006/relationships/hyperlink" Target="https://myintracomm.ec.europa.eu/budgweb/MT/man/budgmanag/Pages/budgmanag.aspx" TargetMode="External"/><Relationship Id="rId1" Type="http://schemas.openxmlformats.org/officeDocument/2006/relationships/hyperlink" Target="https://www.consilium.europa.eu/media/43092/26-vc-euco-statement-mt.pdf" TargetMode="External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Public\Documents\Templates\COM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5035DF7AF93945BFBCEF7349104FBF" ma:contentTypeVersion="0" ma:contentTypeDescription="Create a new document." ma:contentTypeScope="" ma:versionID="4520faae18ad6378bc483200924bc68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298a1a8e83205e5a36c7145419b8c1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4880E89A-4378-4E9F-B78E-0AEAAAAC80E7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672F723-0BEE-473B-A117-CA4F01AED7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1678238-87AB-4748-997F-4B780A35A5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8CE16B6-FC0B-4D52-8CD6-9BF78149E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COM.dotm</Template>
  <TotalTime>2</TotalTime>
  <Pages>25</Pages>
  <Words>11887</Words>
  <Characters>85471</Characters>
  <Application>Microsoft Office Word</Application>
  <DocSecurity>0</DocSecurity>
  <Lines>1899</Lines>
  <Paragraphs>993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96365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21</cp:revision>
  <cp:lastPrinted>2020-05-26T10:54:00Z</cp:lastPrinted>
  <dcterms:created xsi:type="dcterms:W3CDTF">2020-06-01T14:18:00Z</dcterms:created>
  <dcterms:modified xsi:type="dcterms:W3CDTF">2020-06-02T08:26:00Z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>COM/PL/ORG</vt:lpwstr>
  </property>
  <property fmtid="{D5CDD505-2E9C-101B-9397-08002B2CF9AE}" pid="3" name="Version">
    <vt:lpwstr>7.0.8.0</vt:lpwstr>
  </property>
  <property fmtid="{D5CDD505-2E9C-101B-9397-08002B2CF9AE}" pid="4" name="Last edited using">
    <vt:lpwstr>LW 7.0, Build 20190717</vt:lpwstr>
  </property>
  <property fmtid="{D5CDD505-2E9C-101B-9397-08002B2CF9AE}" pid="5" name="Created using">
    <vt:lpwstr>LW 7.0, Build 20190717</vt:lpwstr>
  </property>
  <property fmtid="{D5CDD505-2E9C-101B-9397-08002B2CF9AE}" pid="6" name="Part">
    <vt:lpwstr>1</vt:lpwstr>
  </property>
  <property fmtid="{D5CDD505-2E9C-101B-9397-08002B2CF9AE}" pid="7" name="Total parts">
    <vt:lpwstr>1</vt:lpwstr>
  </property>
  <property fmtid="{D5CDD505-2E9C-101B-9397-08002B2CF9AE}" pid="8" name="Level of sensitivity">
    <vt:lpwstr>Standard treatment</vt:lpwstr>
  </property>
  <property fmtid="{D5CDD505-2E9C-101B-9397-08002B2CF9AE}" pid="9" name="LWTemplateID">
    <vt:lpwstr>SJ-025</vt:lpwstr>
  </property>
  <property fmtid="{D5CDD505-2E9C-101B-9397-08002B2CF9AE}" pid="10" name="ContentTypeId">
    <vt:lpwstr>0x010100B05035DF7AF93945BFBCEF7349104FBF</vt:lpwstr>
  </property>
  <property fmtid="{D5CDD505-2E9C-101B-9397-08002B2CF9AE}" pid="11" name="IsMyDocuments">
    <vt:bool>true</vt:bool>
  </property>
  <property fmtid="{D5CDD505-2E9C-101B-9397-08002B2CF9AE}" pid="12" name="DQCStatus">
    <vt:lpwstr>Green (DQC version 03)</vt:lpwstr>
  </property>
  <property name="OP_sanitized" fmtid="{D5CDD505-2E9C-101B-9397-08002B2CF9AE}" pid="13">
    <vt:lpwstr>True</vt:lpwstr>
  </property>
</Properties>
</file>