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alt="E3EF37AF-B9F3-4B58-9800-A3A19D8CA358" style="width:450.7pt;height:365.6pt">
            <v:imagedata r:id="rId9" o:title=""/>
          </v:shape>
        </w:pict>
      </w:r>
    </w:p>
    <w:p>
      <w:pPr>
        <w:rPr>
          <w:noProof/>
        </w:rPr>
        <w:sectPr>
          <w:footerReference w:type="default" r:id="rId10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lastRenderedPageBreak/>
        <w:t>MEMORANDUM TA’ SPJEGAZZJONI</w:t>
      </w:r>
    </w:p>
    <w:p>
      <w:pPr>
        <w:pStyle w:val="ManualHeading1"/>
        <w:rPr>
          <w:noProof/>
        </w:rPr>
      </w:pPr>
      <w:r>
        <w:rPr>
          <w:noProof/>
        </w:rPr>
        <w:t>1.</w:t>
      </w:r>
      <w:r>
        <w:rPr>
          <w:noProof/>
        </w:rPr>
        <w:tab/>
        <w:t>KUNTEST TAL-PROPOSTA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Raġunijiet u objettivi tal-proposta</w:t>
      </w:r>
    </w:p>
    <w:p>
      <w:pPr>
        <w:rPr>
          <w:noProof/>
        </w:rPr>
      </w:pPr>
      <w:r>
        <w:rPr>
          <w:noProof/>
        </w:rPr>
        <w:t xml:space="preserve">L-għan ewlieni tal-proposta huwa li ddaħħal fil-liġi tal-Unjoni l-emendi fil-miżuri ta’ konservazzjoni u ta’ infurzar li l-Organizzazzjoni tas-Sajd fl-Atlantiku tal-Majjistral (NAFO) adottat waqt l-aħħar laqgħa annwali tagħha fl-2019. Il-proposta tinkludi wkoll it-titjib editorjali tan-NAFO u tadatta l-kliem għall-kuntest legali tal-UE. In-NAFO hija l-organizzazzjoni reġjonali għall-ġestjoni tas-sajd li hija responsabbli għall-ġestjoni tar-riżorsi tas-sajd fl-Atlantiku tal-Majjistral li huma f’idejha. Il-miżuri ta’ konservazzjoni u ta’ ġestjoni tan-NAFO japplikaw biss għaż-Żona Regolatorja tan-NAFO li tinsab fl-ibħra internazzjonali u li hija ddefinita bħala ż-żona li tinsab lil hinn miż-żona li fiha s-sajd jaqa’ taħt il-ġuriżdizzjoni tal-istati kostali. L-UE ilha mill-1979 Parti Kontraenti tan-NAFO. </w:t>
      </w:r>
    </w:p>
    <w:p>
      <w:pPr>
        <w:rPr>
          <w:rFonts w:eastAsia="Arial Unicode MS"/>
          <w:noProof/>
        </w:rPr>
      </w:pPr>
      <w:r>
        <w:rPr>
          <w:noProof/>
        </w:rPr>
        <w:t xml:space="preserve">Skont il-Konvenzjoni tan-NAFO, il-miżuri ta’ konservazzjoni li l-Kummissjoni tan-NAFO tadotta huma vinkolanti (skont l-Artikolu XIV u l-Artikoli VI.8 u VI.9 tagħha) u l-partijiet kontraenti huma obbligati jimplimentawhom. </w:t>
      </w:r>
    </w:p>
    <w:p>
      <w:pPr>
        <w:rPr>
          <w:noProof/>
        </w:rPr>
      </w:pPr>
      <w:r>
        <w:rPr>
          <w:noProof/>
        </w:rPr>
        <w:t>L-Artikolu 3(5) tat-Trattat dwar l-Unjoni Ewropea jistipula li l-UE trid tħares bis-sħiħ il-liġi internazzjonali. Dan jinkludi l-fatt li tikkonforma mal-miżuri ta’ konservazzjoni u ta’ infurzar tan-NAFO.</w:t>
      </w:r>
    </w:p>
    <w:p>
      <w:pPr>
        <w:rPr>
          <w:rFonts w:eastAsia="Arial Unicode MS"/>
          <w:noProof/>
        </w:rPr>
      </w:pPr>
      <w:r>
        <w:rPr>
          <w:noProof/>
        </w:rPr>
        <w:t>Bis-saħħa tar-Regolament (UE) 2019/833, il-miżuri ta’ konservazzjoni u ta’ infurzar tan-NAFO ddaħħlu fil-liġi tal-Unjoni. Din il-proposta tkopri b’mod ewlieni l-emendi riċenti li n-NAFO adottat. Dawn l-emendi daħlu fis-seħħ fit-2 ta’ Diċembru 2019 għall-Unjoni u japplikaw minn dik id-data.</w:t>
      </w:r>
    </w:p>
    <w:p>
      <w:pPr>
        <w:pStyle w:val="ManualHeading2"/>
        <w:rPr>
          <w:rFonts w:eastAsia="Arial Unicode MS"/>
          <w:noProof/>
          <w:color w:val="000000"/>
          <w:u w:color="000000"/>
          <w:bdr w:val="nil"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Konsistenza mad-dispożizzjonijiet eżistenti fil-qasam ta’ politika</w:t>
      </w:r>
    </w:p>
    <w:p>
      <w:pPr>
        <w:rPr>
          <w:rFonts w:eastAsia="Arial Unicode MS"/>
          <w:noProof/>
        </w:rPr>
      </w:pPr>
      <w:r>
        <w:rPr>
          <w:noProof/>
        </w:rPr>
        <w:t xml:space="preserve">Din il-proposta hija konsistenti mar-Regolament (UE) 2019/833.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Din il-proposta hija konformi mal-Parti VI tar-Regolament (UE) Nru 1380/2013 dwar il-Politika Komuni tas-Sajd (li tittratta l-politika esterna), u tipprevedi li l-Unjoni twettaq is-sajd estern tagħha skont l-obbligi internazzjonali tagħha u ssejjes l-attivitajiet tas-sajd tal-UE fuq il-kooperazzjoni reġjonali fil-qasam tas-sajd u tinvolvi lill-Aġenzija Ewropea għall-Kontroll tas-Sajd f’dan biex tiżgura l-konformità.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Il-proposta tikkumplimenta r-Regolament (UE) 2017/2403 dwar il-ġestjoni ta’ flotot tas-sajd esterni, li jipprevedi li l-bastimenti tas-sajd tal-Unjoni tinħarġilhom awtorizzazzjoni tas-sajd mill-organizzazzjonijiet reġjonali għall-ġestjoni tas-sajd, u tikkumplimenta r-Regolament tal-Kunsill (KE) Nru 1005/2008 dwar is-sajd illegali, mhux irrappurtat u mhux irregolat, li jipprevedi l-inklużjoni tal-lista tan-NAFO tal-bastimenti li jwettqu sajd illegali, mhux irrappurtat u mhux irregolat (is-sajd IUU) fil-lista tal-Unjoni tal-bastimenti li jwettqu dan it-tip ta’ sajd.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Din il-proposta ma tkoprix l-opportunitajiet tas-sajd tal-UE li d-deċiżjonijiet dwarhom teħodhom in-NAFO. Skont l-Artikolu 43(3) tat-Trattat dwar il-Funzjonament tal-Unjoni Ewropea (it-TFUE), huwa l-Kunsill li għandu d-dritt jadotta miżuri dwar l-iffissar tal-prezzijiet, tad-dazji, tal-għajnuna u tal-limiti kwantitattivi u dwar l-iffissar tal-opportunitajiet tas-sajd u l-allokazzjoni tagħhom.</w:t>
      </w:r>
      <w:r>
        <w:t xml:space="preserve"> 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Konsistenza ma’ politiki oħra tal-Unjoni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  <w:szCs w:val="24"/>
        </w:rPr>
      </w:pPr>
      <w:r>
        <w:rPr>
          <w:noProof/>
        </w:rPr>
        <w:t xml:space="preserve">Il-proposta hija konsistenti ma’ politiki oħrajn tal-Unjoni. </w:t>
      </w:r>
    </w:p>
    <w:p>
      <w:pPr>
        <w:pStyle w:val="ManualHeading1"/>
        <w:rPr>
          <w:noProof/>
        </w:rPr>
      </w:pPr>
      <w:r>
        <w:rPr>
          <w:noProof/>
        </w:rPr>
        <w:lastRenderedPageBreak/>
        <w:t>2.</w:t>
      </w:r>
      <w:r>
        <w:rPr>
          <w:noProof/>
        </w:rPr>
        <w:tab/>
        <w:t>BAŻI ĠURIDIKA, SUSSIDJARJETÀ U PROPORZJONALITÀ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Bażi ġuridika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  <w:szCs w:val="24"/>
        </w:rPr>
      </w:pPr>
      <w:r>
        <w:rPr>
          <w:noProof/>
        </w:rPr>
        <w:t>Il-proposta hija bbażata fuq l-Artikolu 43(2) tat-TFUE minħabba li tistabbilixxi d-dispożizzjonijiet li huma meħtieġa biex jintlaħqu l-objettivi tal-Politika Komuni tas-Sajd.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 xml:space="preserve">Sussidjarjetà (għall-kompetenza mhux esklużiva)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  <w:szCs w:val="24"/>
        </w:rPr>
      </w:pPr>
      <w:r>
        <w:rPr>
          <w:noProof/>
        </w:rPr>
        <w:t>Il-proposta tidħol fl-ambitu tal-kompetenza esklużiva tal-Unjoni (l-Artikolu 3(1)(d) tat-TFUE). Għalhekk il-prinċipju tas-sussidjarjetà ma japplikax.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Proporzjonalità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Il-proposta se tiżgura li jintlaħqu l-obbligi tal-UE marbutin man-NAFO mingħajr ma tmur lil hinn minn dak li huwa meħtieġ biex jintlaħaq dan il-għan.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Għażla tal-istrument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  <w:szCs w:val="24"/>
        </w:rPr>
      </w:pPr>
      <w:r>
        <w:rPr>
          <w:noProof/>
        </w:rPr>
        <w:t>L-istrument magħżul jemenda r-Regolament (UE) 2019/833.</w:t>
      </w:r>
    </w:p>
    <w:p>
      <w:pPr>
        <w:pStyle w:val="ManualHeading1"/>
        <w:rPr>
          <w:noProof/>
        </w:rPr>
      </w:pPr>
      <w:r>
        <w:rPr>
          <w:noProof/>
        </w:rPr>
        <w:t>3.</w:t>
      </w:r>
      <w:r>
        <w:rPr>
          <w:noProof/>
        </w:rPr>
        <w:tab/>
        <w:t xml:space="preserve">RIŻULTATI TAL-EVALWAZZJONIJIET </w:t>
      </w:r>
      <w:r>
        <w:rPr>
          <w:i/>
          <w:iCs/>
          <w:noProof/>
        </w:rPr>
        <w:t>EX-POST</w:t>
      </w:r>
      <w:r>
        <w:rPr>
          <w:noProof/>
        </w:rPr>
        <w:t>, TAL-KONSULTAZZJONIJIET MAL-PARTIJIET IKKONĊERNATI U TAL-VALUTAZZJONIJIET TAL-IMPATT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 xml:space="preserve">Evalwazzjonijiet </w:t>
      </w:r>
      <w:r>
        <w:rPr>
          <w:i/>
          <w:iCs/>
          <w:noProof/>
          <w:u w:color="000000"/>
          <w:bdr w:val="nil"/>
        </w:rPr>
        <w:t>ex-post</w:t>
      </w:r>
      <w:r>
        <w:rPr>
          <w:noProof/>
          <w:u w:color="000000"/>
          <w:bdr w:val="nil"/>
        </w:rPr>
        <w:t>/kontrolli tal-idoneità tal-leġiżlazzjoni eżistenti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  <w:szCs w:val="24"/>
        </w:rPr>
      </w:pPr>
      <w:r>
        <w:rPr>
          <w:noProof/>
        </w:rPr>
        <w:t>Mhumiex rilevanti.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Konsultazzjonijiet mal-partijiet ikkonċernati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 xml:space="preserve">L-għan ta’ din il-proposta huwa li temenda r-Regolament (UE) 2019/833 billi ddaħħal fih l-iktar bidliet riċenti fil-miżuri ta’ konservazzjoni u ta’ infurzar li ġew adottati waqt l-aħħar laqgħa annwali tan-NAFO f’Settembru tal-2019. Dawn l-emendi jorbtu lill-partijiet kontraenti. L-esperti nazzjonali u r-rappreżentanti tal-industrija tal-Istati Membri tal-UE ġew ikkonsultati kemm fil-perjodu ta’ qabel il-laqgħa annwali tan-NAFO li matulha ġew adottati dawn ir-rakkomandazzjonijiet u kemm waqt in-negozjati li saru fin-NAFO. 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Ġbir u użu tal-għarfien espert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  <w:szCs w:val="24"/>
        </w:rPr>
      </w:pPr>
      <w:r>
        <w:rPr>
          <w:noProof/>
        </w:rPr>
        <w:t>Din il-proposta ddaħħal fil-liġi tal-Unjoni rakkomandazzjoni tan-NAFO li ġiet adottata skont il-pariri xjentifiċi u dwar il-kontroll tal-kumitati permanenti tan-NAFO.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Valutazzjoni tal-impatt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  <w:szCs w:val="24"/>
        </w:rPr>
      </w:pPr>
      <w:r>
        <w:rPr>
          <w:noProof/>
        </w:rPr>
        <w:t>Mhix rilevanti. Din il-proposta ddaħħal fil-liġi tal-Unjoni rakkomandazzjoni tan-NAFO li torbot lill-Partijiet Kontraenti u li tapplika direttament għall-Istati Membri.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Idoneità regolatorja u simplifikazzjoni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  <w:szCs w:val="24"/>
        </w:rPr>
      </w:pPr>
      <w:r>
        <w:rPr>
          <w:noProof/>
        </w:rPr>
        <w:t>Din il-proposta mhix marbuta mal-idoneità regolatorja u mas-simplifikazzjoni (il-programm imsejjaħ “REFIT”).</w:t>
      </w:r>
    </w:p>
    <w:p>
      <w:pPr>
        <w:pStyle w:val="ManualHeading2"/>
        <w:rPr>
          <w:noProof/>
        </w:rPr>
      </w:pPr>
      <w:r>
        <w:t xml:space="preserve"> </w:t>
      </w: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Drittijiet fundamentali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  <w:szCs w:val="24"/>
        </w:rPr>
      </w:pPr>
      <w:r>
        <w:rPr>
          <w:noProof/>
        </w:rPr>
        <w:t>Din il-proposta ma għandha l-ebda impatt fuq il-ħarsien tad-drittijiet fundamentali.</w:t>
      </w:r>
    </w:p>
    <w:p>
      <w:pPr>
        <w:pStyle w:val="ManualHeading1"/>
        <w:rPr>
          <w:noProof/>
        </w:rPr>
      </w:pPr>
      <w:r>
        <w:rPr>
          <w:noProof/>
        </w:rPr>
        <w:lastRenderedPageBreak/>
        <w:t>4.</w:t>
      </w:r>
      <w:r>
        <w:rPr>
          <w:noProof/>
        </w:rPr>
        <w:tab/>
        <w:t>IMPLIKAZZJONIJIET BAĠITARJI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  <w:szCs w:val="24"/>
        </w:rPr>
      </w:pPr>
      <w:r>
        <w:rPr>
          <w:noProof/>
        </w:rPr>
        <w:t>Din il-proposta ma għandha l-ebda implikazzjoni fuq il-baġit.</w:t>
      </w:r>
    </w:p>
    <w:p>
      <w:pPr>
        <w:pStyle w:val="ManualHeading1"/>
        <w:rPr>
          <w:noProof/>
        </w:rPr>
      </w:pPr>
      <w:r>
        <w:rPr>
          <w:noProof/>
        </w:rPr>
        <w:t>5.</w:t>
      </w:r>
      <w:r>
        <w:rPr>
          <w:noProof/>
        </w:rPr>
        <w:tab/>
        <w:t>ELEMENTI OĦRA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Pjanijiet ta’ implimentazzjoni u arranġamenti dwar il-monitoraġġ, l-evalwazzjoni u r-rappurtar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  <w:szCs w:val="24"/>
        </w:rPr>
      </w:pPr>
      <w:r>
        <w:rPr>
          <w:noProof/>
        </w:rPr>
        <w:t>Ma japplikawx.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Dokumenti ta’ spjegazzjoni (għad-direttivi)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  <w:szCs w:val="24"/>
        </w:rPr>
      </w:pPr>
      <w:r>
        <w:rPr>
          <w:noProof/>
        </w:rPr>
        <w:t>Ma japplikawx.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Spjegazzjoni fid-dettall tad-dispożizzjonijiet speċifiċi tal-proposta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Il-proposta tinkludi emendi tekniċi bħat-titjib u l-kjarifika tal-kliem li jintuża b’rabta mal-limiti tal-qbid u tal-isforz, mal-għeluq tas-sajd, mal-qabdiet li jinżammu abbord, mad-daqs tal-malji, mal-ġurnali ta’ abbord dwar is-sajd u mal-ġurnali ta’ abbord tal-produzzjoni, fosthom id-dmirijiet addizzjonali tal-ispezzjoni u s-simplifikazzjoni tar-rapporti dwar il-qabdiet ta’ kull xahar.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Il-proposta tinkludi wkoll il-bidliet editorjali li n-NAFO għamlet fi ftit dispożizzjonijiet li għandhom x’jaqsmu mal-ħalibatt ta’ Greenland, mal-ġurnal ta’ abbord tal-produzzjoni, mal-kontroreferenzi għall-każijiet ta’ ksur u mal-proċeduri tal-ksur. Hija ddaħħal definizzjonijiet marbutin mas-sit web tan-NAFO marbut mal-monitoraġġ, mal-kontroll u mas-sorveljanza u referenza għalih, flimkien mal-protokoll rilevanti biex jingħata aċċess għal dan is-sit web.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</w:pPr>
      <w:r>
        <w:rPr>
          <w:noProof/>
        </w:rPr>
        <w:t xml:space="preserve">Il-proposta temenda wkoll ir-Regolament (UE) 2019/833 billi tiċċara l-użu tal-istrumenti tal-kejl u tagħmilha ċara li għandhom jintużaw l-istandards tan-NAFO. Il-proposta tinkorpora d-definizzjoni ta’ “bastiment tas-sajd” mogħtija fil-kuntest tal-miżuri ta’ konservazzjoni u ta’ infurzar tan-NAFO minħabba li din għandha kamp ta’ applikazzjoni usa’ minn dak tad-definizzjoni mogħtija fir-Regolament tal-Kunsill (KE) Nru 1224/2009. Dan se jippermetti lill-awtoritajiet ta’ kontroll u ta’ infurzar tal-UE jaħdmu f’konformità mal-Partijiet Kontraenti l-oħrajn tan-NAFO. Il-proposta ttejjeb il-fluss tal-informazzjoni bejn l-awtoritajiet tas-sajd tal-Istati Membri, il-Kummissjoni u s-Segretarjat tan-NAFO u tirrikonoxxi r-rwol li l-Aġenzija Ewropea għall-Kontroll tas-Sajd għandha fil-koordinazzjoni tal-mezzi li jintużaw għall-ispezzjoni fil-kuntest tal-Iskema Konġunta ta’ Spezzjoni u ta’ Sorveljanza tan-NAFO. Hija ddaħħal dispożizzjonijiet biex tipproteġi l-kelb il-baħar ta’ Greenland. Hija tiċċara l-ħtieġa li l-Parti Kontraenti li tkun l-Istat tal-port tagħti l-kunsens tagħha għall-ispetturi ta’ Parti Kontraenti oħra, kif ukoll l-arranġamenti tal-kiri li għandhom japplikaw fil-livell tan-NAFO. Il-proposta tiddelega wkoll is-setgħa lill-Kummissjoni li temenda d-dispożizzjonijiet tan-NAFO dwar il-konservazzjoni u l-infurzar li huma marbutin mad-daqs tal-malji, mal-għeriebel jew mal-gradilji u mal-ktajjen bil-kuċinilli li jintużaw fis-sajd għall-gambli tat-Tramuntana, u r-restrizzjonijiet fuq iż-żoni fejn jistgħu jsiru l-attivitajiet tas-sajd tal-qiegħ. Dawn id-dispożizzjonijiet x’aktarx jiġu emendati waqt il-laqgħat annwali tan-NAFO li jmiss, jiġifieri mill-2020 ’il quddiem, u x’aktarx li se jidħlu fis-seħħ qabel l-istaġun tas-sajd tal-2021. Dawn id-dispożizzjonijiet se jkollhom jiġu emendati mill-ewwel biex il-bastimenti tal-Unjoni jkunu jistgħu jistadu bl-istess mod bħall-bastimenti tal-Partijiet Kontraenti l-oħrajn tan-NAFO f’kull staġun tas-sajd li jkun imiss. </w:t>
      </w:r>
    </w:p>
    <w:p>
      <w:pPr>
        <w:rPr>
          <w:noProof/>
        </w:rPr>
        <w:sectPr>
          <w:footerReference w:type="default" r:id="rId11"/>
          <w:footerReference w:type="first" r:id="rId12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Rfrenceinterinstitutionnelle"/>
        <w:rPr>
          <w:noProof/>
        </w:rPr>
      </w:pPr>
      <w:r>
        <w:rPr>
          <w:noProof/>
        </w:rPr>
        <w:lastRenderedPageBreak/>
        <w:t>2020/0095 (COD)</w:t>
      </w:r>
    </w:p>
    <w:p>
      <w:pPr>
        <w:pStyle w:val="Statut"/>
        <w:rPr>
          <w:noProof/>
        </w:rPr>
      </w:pPr>
      <w:r>
        <w:rPr>
          <w:noProof/>
        </w:rPr>
        <w:t>Proposta għal</w:t>
      </w:r>
    </w:p>
    <w:p>
      <w:pPr>
        <w:pStyle w:val="Typedudocument"/>
        <w:rPr>
          <w:noProof/>
        </w:rPr>
      </w:pPr>
      <w:r>
        <w:rPr>
          <w:noProof/>
        </w:rPr>
        <w:t>REGOLAMENT TAL-PARLAMENT EWROPEW U TAL-KUNSILL</w:t>
      </w:r>
    </w:p>
    <w:p>
      <w:pPr>
        <w:pStyle w:val="Titreobjet"/>
        <w:rPr>
          <w:noProof/>
        </w:rPr>
      </w:pPr>
      <w:r>
        <w:rPr>
          <w:noProof/>
        </w:rPr>
        <w:t>li jemenda r-Regolament (UE) 2019/833 tal-Parlament Ewropew u tal-Kunsill tal-20 ta’ Mejju 2019 li jistabbilixxi miżuri ta’ konservazzjoni u ta’ infurzar li japplikaw fiż-Żona Regolatorja tal-Organizzazzjoni tas-Sajd fl-Atlantiku tal-Majjistral</w:t>
      </w:r>
    </w:p>
    <w:p>
      <w:pPr>
        <w:pStyle w:val="Institutionquiagit"/>
        <w:rPr>
          <w:noProof/>
        </w:rPr>
      </w:pPr>
      <w:r>
        <w:rPr>
          <w:noProof/>
        </w:rPr>
        <w:t>IL-PARLAMENT EWROPEW U L-KUNSILL TAL-UNJONI EWROPEA,</w:t>
      </w:r>
    </w:p>
    <w:p>
      <w:pPr>
        <w:rPr>
          <w:noProof/>
        </w:rPr>
      </w:pPr>
      <w:r>
        <w:rPr>
          <w:noProof/>
        </w:rPr>
        <w:t>Wara li kkunsidraw it-Trattat dwar il-Funzjonament tal-Unjoni Ewropea, u b’mod partikulari l-Artikolu 43(2) tiegħu,</w:t>
      </w:r>
    </w:p>
    <w:p>
      <w:pPr>
        <w:rPr>
          <w:noProof/>
        </w:rPr>
      </w:pPr>
      <w:r>
        <w:rPr>
          <w:noProof/>
        </w:rPr>
        <w:t>Wara li kkunsidraw il-proposta tal-Kummissjoni Ewropea,</w:t>
      </w:r>
    </w:p>
    <w:p>
      <w:pPr>
        <w:rPr>
          <w:noProof/>
        </w:rPr>
      </w:pPr>
      <w:r>
        <w:rPr>
          <w:noProof/>
        </w:rPr>
        <w:t>Wara li l-abbozz tal-att leġiżlattiv intbagħat lill-parlamenti nazzjonali,</w:t>
      </w:r>
    </w:p>
    <w:p>
      <w:pPr>
        <w:rPr>
          <w:noProof/>
        </w:rPr>
      </w:pPr>
      <w:r>
        <w:rPr>
          <w:noProof/>
        </w:rPr>
        <w:t>Wara li kkunsidraw l-opinjoni tal-Kumitat Ekonomiku u Soċjali Ewropew</w:t>
      </w:r>
      <w:r>
        <w:rPr>
          <w:rStyle w:val="FootnoteReference0"/>
          <w:noProof/>
        </w:rPr>
        <w:footnoteReference w:id="1"/>
      </w:r>
      <w:r>
        <w:rPr>
          <w:noProof/>
        </w:rPr>
        <w:t xml:space="preserve">, </w:t>
      </w:r>
    </w:p>
    <w:p>
      <w:pPr>
        <w:rPr>
          <w:noProof/>
        </w:rPr>
      </w:pPr>
      <w:r>
        <w:rPr>
          <w:noProof/>
        </w:rPr>
        <w:t>Filwaqt li jaġixxu skont il-proċedura leġiżlattiva ordinarja,</w:t>
      </w:r>
    </w:p>
    <w:p>
      <w:pPr>
        <w:rPr>
          <w:noProof/>
        </w:rPr>
      </w:pPr>
      <w:r>
        <w:rPr>
          <w:noProof/>
        </w:rPr>
        <w:t>Billi:</w:t>
      </w:r>
    </w:p>
    <w:p>
      <w:pPr>
        <w:pStyle w:val="ManualConsidrant"/>
        <w:rPr>
          <w:noProof/>
        </w:rPr>
      </w:pPr>
      <w:r>
        <w:t>(1)</w:t>
      </w:r>
      <w:r>
        <w:tab/>
      </w:r>
      <w:r>
        <w:rPr>
          <w:noProof/>
        </w:rPr>
        <w:t>Minn meta ġie adottat ir-Regolament (UE) 2019/833 tal-Parlament Ewropew u tal-Kunsill</w:t>
      </w:r>
      <w:r>
        <w:rPr>
          <w:rStyle w:val="FootnoteReference0"/>
          <w:noProof/>
        </w:rPr>
        <w:footnoteReference w:id="2"/>
      </w:r>
      <w:r>
        <w:rPr>
          <w:noProof/>
        </w:rPr>
        <w:t xml:space="preserve"> ’l hawn, l-Organizzazzjoni tas-Sajd fl-Atlantiku tal-Majjistral (NAFO) adottat għadd ta’ deċiżjonijiet li jorbtu legalment għall-konservazzjoni tar-riżorsi tas-sajd li huma f’idejha waqt il-41 laqgħa annwali tagħha.</w:t>
      </w:r>
    </w:p>
    <w:p>
      <w:pPr>
        <w:pStyle w:val="ManualConsidrant"/>
        <w:rPr>
          <w:noProof/>
        </w:rPr>
      </w:pPr>
      <w:r>
        <w:t>(2)</w:t>
      </w:r>
      <w:r>
        <w:tab/>
      </w:r>
      <w:r>
        <w:rPr>
          <w:noProof/>
        </w:rPr>
        <w:t>Dawk id-deċiżjonijiet huma indirizzati lill-Partijiet Kontraenti tan-NAFO, iżda jinkludu wkoll obbligi għall-operaturi. Wara li l-miżuri ta’ konservazzjoni u ta’ infurzar (CEM) tan-NAFO daħlu fis-seħħ fit-2 ta’ Diċembru 2019, dawn bdew jorbtu lill-Partijiet Kontraenti kollha tan-NAFO. F’dak li għandu x’jaqsam mal-Unjoni, dawn iridu jiddaħħlu fil-liġi tal-Unjoni sal-punt li fih mhumiex diġà previsti mil-liġi tal-Unjoni.</w:t>
      </w:r>
    </w:p>
    <w:p>
      <w:pPr>
        <w:pStyle w:val="ManualConsidrant"/>
        <w:rPr>
          <w:noProof/>
        </w:rPr>
      </w:pPr>
      <w:r>
        <w:t>(3)</w:t>
      </w:r>
      <w:r>
        <w:tab/>
      </w:r>
      <w:r>
        <w:rPr>
          <w:noProof/>
        </w:rPr>
        <w:t xml:space="preserve">Għalhekk jenħtieġ li r-Regolament (UE) 2019/833 jiġi adattat biex jibda japplika l-istandards tan-NAFO marbutin mal-kejl tal-malji u biex idaħħal id-definizzjoni ta’ bastiment tas-sajd li tuża n-NAFO sabiex l-awtoritajiet ta’ kontroll u ta’ infurzar tal-UE jkunu jistgħu jaħdmu f’konformità mal-Partijiet Kontraenti l-oħrajn tan-NAFO u sabiex jitjieb il-fluss tal-informazzjoni bejn l-awtoritajiet tal-Istati Membri, il-Kummissjoni u s-Segretarju Eżekuttiv tan-NAFO. </w:t>
      </w:r>
    </w:p>
    <w:p>
      <w:pPr>
        <w:pStyle w:val="ManualConsidrant"/>
        <w:rPr>
          <w:noProof/>
        </w:rPr>
      </w:pPr>
      <w:r>
        <w:t>(4)</w:t>
      </w:r>
      <w:r>
        <w:tab/>
      </w:r>
      <w:r>
        <w:rPr>
          <w:noProof/>
        </w:rPr>
        <w:t>Skont l-Artikolu 3(c) u (i) tar-Regolament (UE) 2019/473</w:t>
      </w:r>
      <w:r>
        <w:rPr>
          <w:rStyle w:val="FootnoteReference0"/>
          <w:noProof/>
        </w:rPr>
        <w:footnoteReference w:id="3"/>
      </w:r>
      <w:r>
        <w:rPr>
          <w:noProof/>
        </w:rPr>
        <w:t xml:space="preserve">, il-missjoni tal-Aġenzija Ewropea għall-Kontroll tas-Sajd (EFCA) hija, fost l-oħrajn, li torganizza l-koordinazzjoni operattiva tal-attivitajiet ta’ kontroll u ta’ spezzjoni tas-sajd mill-Istati </w:t>
      </w:r>
      <w:r>
        <w:rPr>
          <w:noProof/>
        </w:rPr>
        <w:lastRenderedPageBreak/>
        <w:t xml:space="preserve">Membri għall-implimentazzjoni tal-programmi internazzjonali ta’ kontroll u ta’ spezzjoni bħall-Iskema Konġunta ta’ Spezzjoni u ta’ Sorveljanza tan-NAFO, u li tgħin lill-Istati Membri fir-rappurtar tal-informazzjoni dwar l-attivitajiet tas-sajd u dwar l-attivitajiet ta’ kontroll u ta’ spezzjoni lill-Kummissjoni u lil partijiet terzi. Għalhekk huwa xieraq li l-EFCA tiġi stabbilita bħala l-korp li għandu jirċievi l-informazzjoni marbuta mal-ispezzjoni u mal-kontroll, bħar-rapporti ta’ spezzjoni fuq il-baħar u n-notifiki tal-iskema tal-osservaturi ta’ kontroll mingħand l-Istati Membri, u li għandu jibgħatha lis-Segretarju Eżekuttiv tan-NAFO. </w:t>
      </w:r>
    </w:p>
    <w:p>
      <w:pPr>
        <w:pStyle w:val="ManualConsidrant"/>
        <w:rPr>
          <w:noProof/>
        </w:rPr>
      </w:pPr>
      <w:r>
        <w:t>(5)</w:t>
      </w:r>
      <w:r>
        <w:tab/>
      </w:r>
      <w:r>
        <w:rPr>
          <w:noProof/>
        </w:rPr>
        <w:t xml:space="preserve">Il-proċedura tas-CEM biex il-Partijiet Kontraenti jibagħtu l-informazzjoni lis-sit web tan-NAFO marbut mal-monitoraġġ, mal-kontroll u mas-sorveljanza issa hija li dawn jibagħtu l-informazzjoni li trid tittella’ f’dak is-sit lis-Segretarju Eżekuttiv tan-NAFO. Għalhekk jeħtieġ li jiġu aġġornati d-dispożizzjonijiet rilevanti tar-Regolament biex ikunu jirriflettu din il-bidla u biex jiġu ċċarati l-mezzi li l-Istati Membri għandhom jużaw biex jibagħtu l-informazzjoni. </w:t>
      </w:r>
    </w:p>
    <w:p>
      <w:pPr>
        <w:pStyle w:val="ManualConsidrant"/>
        <w:rPr>
          <w:noProof/>
        </w:rPr>
      </w:pPr>
      <w:r>
        <w:t>(6)</w:t>
      </w:r>
      <w:r>
        <w:tab/>
      </w:r>
      <w:r>
        <w:rPr>
          <w:noProof/>
        </w:rPr>
        <w:t>Jeħtieġ li jiddaħħlu wkoll id-dispożizzjonijiet tas-CEM marbutin mal-ħarsien tal-kelb il-baħar ta’ Greenland, li d-dispożizzjonijiet marbutin mal-arranġamenti tal-kiri jiġu allinjati ma’ dawk mogħtija fis-CEM tan-NAFO u li tiġi speċifikata l-ħtieġa li l-Parti Kontraenti li tkun l-Istat tal-port tagħti l-kunsens tagħha biex l-ispetturi ta’ Parti Kontraenti oħra jintbagħtu abbord il-bastimenti tas-sajd.</w:t>
      </w:r>
    </w:p>
    <w:p>
      <w:pPr>
        <w:pStyle w:val="ManualConsidrant"/>
        <w:rPr>
          <w:noProof/>
        </w:rPr>
      </w:pPr>
      <w:r>
        <w:t>(7)</w:t>
      </w:r>
      <w:r>
        <w:tab/>
      </w:r>
      <w:r>
        <w:rPr>
          <w:noProof/>
        </w:rPr>
        <w:t>Ċerti dispożizzjonijiet tas-CEM x’aktarx jiġu emendati waqt il-laqgħat annwali tan-NAFO minħabba li jiddaħħlu miżuri tekniċi ġodda b’rabta mat-tibdil fil-bijomassa tal-istokkijiet u minħabba li jiġu riveduti r-restrizzjonijiet fuq iż-żoni fejn jistgħu jsiru l-attivitajiet tas-sajd tal-qiegħ. Għalhekk, sabiex l-emendi futuri tas-CEM jiddaħħlu malajr fil-liġi tal-Unjoni qabel jibda l-istaġun tas-sajd, jenħtieġ li l-Kummissjoni tingħata s-setgħa tadotta atti f’konformità mal-Artikolu 290 tat-Trattat dwar il-Funzjonament tal-Unjoni Ewropea b’rabta mal-aspetti li ġejjin: mar-regolazzjoni tad-daqs tal-malji, tal-għeriebel jew tal-gradilji u tal-ktajjen bil-kuċinilli li jintużaw fis-sajd għall-gambli tat-Tramuntana; u mar-restrizzjonijiet fuq iż-żoni fejn jistgħu jsiru l-attivitajiet tas-sajd tal-qiegħ. Huwa importanti ferm li l-Kummissjoni twettaq il-konsultazzjonijiet ix-xierqa matul il-ħidma ta’ tħejjija tagħha, inkluż fil-livell tal-esperti, u li dawk il-konsultazzjonijiet twettaqhom skont il-prinċipji stabbiliti fil-Ftehim Interistituzzjonali tat-13 ta’ April 2016 dwar it-Tfassil Aħjar tal-Liġijiet</w:t>
      </w:r>
      <w:r>
        <w:rPr>
          <w:rStyle w:val="FootnoteReference0"/>
          <w:noProof/>
        </w:rPr>
        <w:footnoteReference w:id="4"/>
      </w:r>
      <w:r>
        <w:rPr>
          <w:noProof/>
        </w:rPr>
        <w:t>. B’mod partikulari, biex tiġi żgurata parteċipazzjoni ugwali fit-tħejjija tal-atti delegati, il-Parlament Ewropew u l-Kunsill jirċievu d-dokumenti kollha fl-istess ħin li fih jirċevuhom l-esperti tal-Istati Membri, u l-esperti tagħhom ikollhom aċċess sistematiku għal-laqgħat tal-gruppi tal-esperti tal-Kummissjoni li jkunu qed jittrattaw it-tħejjija tal-atti delegati.</w:t>
      </w:r>
    </w:p>
    <w:p>
      <w:pPr>
        <w:pStyle w:val="ManualConsidrant"/>
        <w:rPr>
          <w:noProof/>
        </w:rPr>
      </w:pPr>
      <w:r>
        <w:t>(8)</w:t>
      </w:r>
      <w:r>
        <w:tab/>
      </w:r>
      <w:r>
        <w:rPr>
          <w:noProof/>
        </w:rPr>
        <w:t>Għalhekk jenħtieġ li r-Regolament (UE) 2019/833 jiġi emendat kif xieraq,</w:t>
      </w:r>
    </w:p>
    <w:p>
      <w:pPr>
        <w:pStyle w:val="Formuledadoption"/>
        <w:rPr>
          <w:noProof/>
        </w:rPr>
      </w:pPr>
      <w:r>
        <w:rPr>
          <w:noProof/>
        </w:rPr>
        <w:t>ADOTTAW DAN IR-REGOLAMENT:</w:t>
      </w:r>
    </w:p>
    <w:p>
      <w:pPr>
        <w:pStyle w:val="Titrearticle"/>
        <w:rPr>
          <w:noProof/>
        </w:rPr>
      </w:pPr>
      <w:r>
        <w:rPr>
          <w:noProof/>
        </w:rPr>
        <w:t>Artikolu 1</w:t>
      </w:r>
    </w:p>
    <w:p>
      <w:pPr>
        <w:jc w:val="center"/>
        <w:rPr>
          <w:b/>
          <w:noProof/>
        </w:rPr>
      </w:pPr>
      <w:r>
        <w:rPr>
          <w:b/>
          <w:noProof/>
        </w:rPr>
        <w:t>Emendi fir-Regolament (UE) 2019/833</w:t>
      </w:r>
    </w:p>
    <w:p>
      <w:pPr>
        <w:rPr>
          <w:noProof/>
        </w:rPr>
      </w:pPr>
      <w:r>
        <w:rPr>
          <w:noProof/>
        </w:rPr>
        <w:t>Ir-Regolament (UE) 2019/833 b’dan huwa emendat kif ġej:</w:t>
      </w:r>
    </w:p>
    <w:p>
      <w:pPr>
        <w:pStyle w:val="Point0"/>
        <w:rPr>
          <w:noProof/>
        </w:rPr>
      </w:pPr>
      <w:r>
        <w:t>(1)</w:t>
      </w:r>
      <w:r>
        <w:tab/>
      </w:r>
      <w:r>
        <w:rPr>
          <w:noProof/>
        </w:rPr>
        <w:t xml:space="preserve">l-Artikolu 3 huwa emendat kif ġej: </w:t>
      </w:r>
    </w:p>
    <w:p>
      <w:pPr>
        <w:pStyle w:val="Point1"/>
        <w:rPr>
          <w:noProof/>
        </w:rPr>
      </w:pPr>
      <w:r>
        <w:lastRenderedPageBreak/>
        <w:t>(a)</w:t>
      </w:r>
      <w:r>
        <w:tab/>
      </w:r>
      <w:r>
        <w:rPr>
          <w:noProof/>
        </w:rPr>
        <w:t>il-punt (6) huwa sostitwit b’dan li ġej:</w:t>
      </w:r>
    </w:p>
    <w:p>
      <w:pPr>
        <w:pStyle w:val="Text1"/>
        <w:rPr>
          <w:noProof/>
        </w:rPr>
      </w:pPr>
      <w:r>
        <w:rPr>
          <w:noProof/>
        </w:rPr>
        <w:t>“(6) “bastiment tas-sajd” tfisser kull bastiment tal-Unjoni li jkun mgħammar biex iwettaq l-attivitajiet tas-sajd jew li jkun maħsub għal dan il-għan jew li jkun involut fl-attivitajiet tas-sajd, fosthom fl-ipproċessar tal-ħut, fit-trażbord jew f’kull attività oħra bi tħejjija għall-attivitajiet tas-sajd jew b’rabta magħhom, fosthom l-attivitajiet tas-sajd sperimentali jew esploratorju;”;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>jiżdied il-punt (31) li ġej:</w:t>
      </w:r>
    </w:p>
    <w:p>
      <w:pPr>
        <w:pStyle w:val="Text1"/>
        <w:rPr>
          <w:noProof/>
        </w:rPr>
      </w:pPr>
      <w:r>
        <w:rPr>
          <w:noProof/>
        </w:rPr>
        <w:t>“(31) “is-sit web marbut mal-MCS” tfisser is-sit web tan-NAFO marbut mal-monitoraġġ, mal-kontroll u mas-sorveljanza li fih informazzjoni li hija rilevanti għall-ispezzjonijiet fuq il-baħar u għall-ispezzjonijiet fil-port. L-Anness II.XX tas-CEM imsemmi fil-punt 45 tal-Anness ta’ dan ir-Regolament jiddeskrivi l-proċedura biex l-individwi fil-Partijiet Kontraenti jingħataw aċċess għal dan is-sit web.”;</w:t>
      </w:r>
    </w:p>
    <w:p>
      <w:pPr>
        <w:pStyle w:val="Point0"/>
        <w:rPr>
          <w:noProof/>
        </w:rPr>
      </w:pPr>
      <w:r>
        <w:t>(2)</w:t>
      </w:r>
      <w:r>
        <w:tab/>
      </w:r>
      <w:r>
        <w:rPr>
          <w:noProof/>
        </w:rPr>
        <w:t xml:space="preserve">l-Artikolu 5 huwa emendat kif ġej: 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>il-paragrafu 2 huwa sostitwit b’dan li ġej:</w:t>
      </w:r>
    </w:p>
    <w:p>
      <w:pPr>
        <w:pStyle w:val="Text1"/>
        <w:rPr>
          <w:noProof/>
        </w:rPr>
      </w:pPr>
      <w:r>
        <w:rPr>
          <w:noProof/>
        </w:rPr>
        <w:t>“2. L-Istati Membri jistgħu jippermettu lill-bastimenti tas-sajd li jtajru l-bandiera tagħhom jistadu għall-istokkijiet li għalihom l-Unjoni ma tkunx ingħatat kwota skont l-opportunitajiet tas-sajd li jkunu fis-seħħ (il-kwota “għal stokkijiet oħrajn”), jekk tkun teżisti t-tali kwota u jekk is-Segretarju Eżekuttiv tan-NAFO ma jkunx għarrafhom li ngħalaq dak is-sajd.”;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ab/>
        <w:t>il-paragrafu 3(c) huwa sostitwit b’dan li ġej:</w:t>
      </w:r>
    </w:p>
    <w:p>
      <w:pPr>
        <w:pStyle w:val="Text1"/>
        <w:rPr>
          <w:noProof/>
        </w:rPr>
      </w:pPr>
      <w:r>
        <w:rPr>
          <w:noProof/>
        </w:rPr>
        <w:t>“(c) javża lill-Kummissjoni u lill-EFCA bl-ismijiet tal-bastimenti tal-Unjoni li jkun beħsiebhom jistadu għall-istokkijiet skont il-kwota “għal stokkijiet oħrajn” tal-inqas 48 siegħa qabel kull dħul fiż-Żona Regolatorja u wara li jkun ilhom tal-inqas 48 siegħa li jkunu ħarġu minnha. Jekk ikun possibbli, ma’ dik in-notifika għandha tintbagħat stima tal-qabda mistennija. Meta l-Kummissjoni tqis li jkunu ġew issodisfati l-kundizzjonijiet rilevanti stabbiliti fis-CEM tan-NAFO, hija għandha tgħarraf lis-Segretarju Eżekuttiv tan-NAFO b’dan.”;</w:t>
      </w:r>
    </w:p>
    <w:p>
      <w:pPr>
        <w:pStyle w:val="Point0"/>
        <w:rPr>
          <w:noProof/>
        </w:rPr>
      </w:pPr>
      <w:r>
        <w:t>(3)</w:t>
      </w:r>
      <w:r>
        <w:tab/>
      </w:r>
      <w:r>
        <w:rPr>
          <w:noProof/>
        </w:rPr>
        <w:t xml:space="preserve">l-Artikolu 6(1) huwa emendat kif ġej: 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 xml:space="preserve">il-punt (d) huwa sostitwit b’dan li ġej: </w:t>
      </w:r>
    </w:p>
    <w:p>
      <w:pPr>
        <w:pStyle w:val="Text1"/>
        <w:rPr>
          <w:noProof/>
        </w:rPr>
      </w:pPr>
      <w:r>
        <w:rPr>
          <w:noProof/>
        </w:rPr>
        <w:t>“(d) jagħlaq is-sajd dirett għar-redfish fid-Diviżjoni 3M bejn 24:00 f’UTC tal-jum li fih ikun stmat li l-qabda totali rrappurtata tkun laħqet il-50 % mit-TAC għar-redfish fid-Diviżjoni 3M, kif innotifikat skont il-paragrafu 3, u l-1 ta’ Lulju;”;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 xml:space="preserve">il-punt (e) huwa sostitwit b’dan li ġej: </w:t>
      </w:r>
    </w:p>
    <w:p>
      <w:pPr>
        <w:pStyle w:val="Text1"/>
        <w:rPr>
          <w:noProof/>
        </w:rPr>
      </w:pPr>
      <w:r>
        <w:rPr>
          <w:noProof/>
        </w:rPr>
        <w:t>“(e) jagħlaq is-sajd dirett għar-redfish fid-Diviżjoni 3M f’24:00 f’UTC tal-jum li fih ikun stmat li l-qabda totali rrappurtata tkun laħqet il-100 % mit-TAC għar-redfish fid-Diviżjoni 3M, kif innotifikat skont il-paragrafu 3;”;</w:t>
      </w:r>
    </w:p>
    <w:p>
      <w:pPr>
        <w:pStyle w:val="Point0"/>
        <w:rPr>
          <w:noProof/>
        </w:rPr>
      </w:pPr>
      <w:r>
        <w:t>(4)</w:t>
      </w:r>
      <w:r>
        <w:tab/>
      </w:r>
      <w:r>
        <w:rPr>
          <w:noProof/>
        </w:rPr>
        <w:t xml:space="preserve">l-Artikolu 7(2) huwa emendat kif ġej: 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 xml:space="preserve">il-punt (a) huwa sostitwit b’dan li ġej: </w:t>
      </w:r>
    </w:p>
    <w:p>
      <w:pPr>
        <w:pStyle w:val="Text1"/>
        <w:rPr>
          <w:noProof/>
        </w:rPr>
      </w:pPr>
      <w:r>
        <w:rPr>
          <w:noProof/>
        </w:rPr>
        <w:t xml:space="preserve">“(a) meta l-Unjoni ma tkun ingħatat l-ebda kwota għal dak l-istokk f’dik id-Diviżjoni skont l-opportunitajiet tas-sajd li jkunu fis-seħħ;”; 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 xml:space="preserve">il-punt (b) huwa sostitwit b’dan li ġej: </w:t>
      </w:r>
    </w:p>
    <w:p>
      <w:pPr>
        <w:pStyle w:val="Text1"/>
        <w:rPr>
          <w:noProof/>
        </w:rPr>
      </w:pPr>
      <w:r>
        <w:rPr>
          <w:noProof/>
        </w:rPr>
        <w:t>“(b) meta jkun hemm projbizzjoni fis-seħħ fuq is-sajd għal dak l-istokk partikulari (moratorju); jew”;</w:t>
      </w:r>
    </w:p>
    <w:p>
      <w:pPr>
        <w:pStyle w:val="Point0"/>
        <w:rPr>
          <w:noProof/>
        </w:rPr>
      </w:pPr>
      <w:r>
        <w:lastRenderedPageBreak/>
        <w:t>(5)</w:t>
      </w:r>
      <w:r>
        <w:tab/>
      </w:r>
      <w:r>
        <w:rPr>
          <w:noProof/>
        </w:rPr>
        <w:t xml:space="preserve">l-Artikolu 10 huwa emendat kif ġej: 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 xml:space="preserve">il-paragrafu 1 huwa emendat kif ġej: </w:t>
      </w:r>
    </w:p>
    <w:p>
      <w:pPr>
        <w:ind w:left="130" w:firstLine="720"/>
        <w:rPr>
          <w:noProof/>
        </w:rPr>
      </w:pPr>
      <w:r>
        <w:rPr>
          <w:noProof/>
        </w:rPr>
        <w:t>(i) il-punt (c) huwa sostitwit b’dan li ġej:</w:t>
      </w:r>
    </w:p>
    <w:p>
      <w:pPr>
        <w:pStyle w:val="Text1"/>
        <w:rPr>
          <w:noProof/>
        </w:rPr>
      </w:pPr>
      <w:r>
        <w:rPr>
          <w:noProof/>
        </w:rPr>
        <w:t xml:space="preserve">“(c) kull Stat Membru għandu jibgħat lill-Kummissjoni l-isem ta’ kull port li jkun għażel għal dan il-għan, li għandha tibagħtu lis-Segretarju Eżekuttiv tan-NEAFC. Kull bidla sussegwenti f’dik il-lista għandha tintbagħat tal-inqas 20 jum qabel ma tidħol fis-seħħ dik il-bidla u l-lista aġġornata mibgħuta għandha tieħu post il-lista l-oħra;”; </w:t>
      </w:r>
    </w:p>
    <w:p>
      <w:pPr>
        <w:ind w:left="130" w:firstLine="720"/>
        <w:rPr>
          <w:noProof/>
        </w:rPr>
      </w:pPr>
      <w:r>
        <w:rPr>
          <w:noProof/>
        </w:rPr>
        <w:t xml:space="preserve">(ii) il-punt (e) huwa sostitwit b’dan li ġej:  </w:t>
      </w:r>
    </w:p>
    <w:p>
      <w:pPr>
        <w:pStyle w:val="Text1"/>
        <w:rPr>
          <w:noProof/>
        </w:rPr>
      </w:pPr>
      <w:r>
        <w:rPr>
          <w:noProof/>
        </w:rPr>
        <w:t>“(e) kull Stat Membru għandu jispezzjona l-ħatt l-art kollu tal-ħalibatt ta’ Greenland li jsir fil-portijiet tiegħu u għandu jħejji rapport tal-ispezzjoni fil-format preskritt fl-Anness IV.C tas-CEM imsemmi fil-punt 9 tal-Anness ta’ dan ir-Regolament u jibagħtu lis-Segretarju Eżekuttiv tan-NAFO fi żmien 14-il jum tax-xogħol mid-data meta jkun temm l-ispezzjoni, u jibgħat kopja tiegħu lill-Kummissjoni u lill-EFCA. Fir-rapport għandhom jiġu identifikati l-każijiet kollha ta’ ksur ta’ dan ir-Regolament li jkunu ġew innutati waqt l-ispezzjoni fil-port u għandhom jingħataw id-dettalji dwarhom. Ir-rapport għandu jkun fih l-informazzjoni rilevanti kollha li tkun disponibbli b’rabta mal-każijiet ta’ ksur li jkunu ġew innutati fuq il-baħar waqt il-vjaġġ attwali tal-bastiment tas-sajd spezzjonat.”;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>il-paragrafu 2(d)(i) huwa sostitwit b’dan li ġej:</w:t>
      </w:r>
    </w:p>
    <w:p>
      <w:pPr>
        <w:pStyle w:val="Text1"/>
        <w:rPr>
          <w:noProof/>
        </w:rPr>
      </w:pPr>
      <w:r>
        <w:rPr>
          <w:noProof/>
        </w:rPr>
        <w:t>“huwa ma jirċievi l-ebda konferma dwar dan fi żmien 72 siegħa minn meta jkun bagħat in-notifika tiegħu skont il-punt (a); jew”;</w:t>
      </w:r>
    </w:p>
    <w:p>
      <w:pPr>
        <w:pStyle w:val="Point0"/>
        <w:rPr>
          <w:noProof/>
        </w:rPr>
      </w:pPr>
      <w:r>
        <w:t>(6)</w:t>
      </w:r>
      <w:r>
        <w:tab/>
      </w:r>
      <w:r>
        <w:rPr>
          <w:noProof/>
        </w:rPr>
        <w:t>fl-Artikolu 12, jiżdiedu l-paragrafi 9 u 10 li ġejjin:</w:t>
      </w:r>
    </w:p>
    <w:p>
      <w:pPr>
        <w:pStyle w:val="Text1"/>
        <w:rPr>
          <w:noProof/>
        </w:rPr>
      </w:pPr>
      <w:r>
        <w:rPr>
          <w:noProof/>
        </w:rPr>
        <w:t>“9. Għandu jkun ipprojbit li wieħed jistad b’mod dirett għall-kelb il-baħar ta’ Greenland (</w:t>
      </w:r>
      <w:r>
        <w:rPr>
          <w:i/>
          <w:noProof/>
        </w:rPr>
        <w:t>Somniosus microcephalus</w:t>
      </w:r>
      <w:r>
        <w:rPr>
          <w:noProof/>
        </w:rPr>
        <w:t>) fiż-Żona Regolatorja.</w:t>
      </w:r>
    </w:p>
    <w:p>
      <w:pPr>
        <w:pStyle w:val="Text1"/>
        <w:rPr>
          <w:noProof/>
        </w:rPr>
      </w:pPr>
      <w:r>
        <w:rPr>
          <w:noProof/>
        </w:rPr>
        <w:t>10. Il-bastimenti tas-sajd li jtajru l-bandiera ta’ Stat Membru għandhom iwettqu l-isforzi raġonevoli kollha biex inaqqsu kemm jista’ jkun il-qabdiet inċidentali tal-klieb il-baħar ta’ Greenland u l-mortalità tagħhom u biex, meta dawn jinqabdu ħajjin, jeħilsuhom b’mod li jagħmlilhom l-inqas ħsara possibbli.”;</w:t>
      </w:r>
    </w:p>
    <w:p>
      <w:pPr>
        <w:pStyle w:val="Point0"/>
        <w:rPr>
          <w:noProof/>
        </w:rPr>
      </w:pPr>
      <w:r>
        <w:t>(7)</w:t>
      </w:r>
      <w:r>
        <w:tab/>
      </w:r>
      <w:r>
        <w:rPr>
          <w:noProof/>
        </w:rPr>
        <w:t xml:space="preserve">l-Artikolu 13 huwa emendat kif ġej: 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 xml:space="preserve">il-paragrafu 1 huwa sostitwit b’dan li ġej: </w:t>
      </w:r>
    </w:p>
    <w:p>
      <w:pPr>
        <w:pStyle w:val="Text1"/>
        <w:rPr>
          <w:noProof/>
        </w:rPr>
      </w:pPr>
      <w:r>
        <w:rPr>
          <w:noProof/>
        </w:rPr>
        <w:t xml:space="preserve">“1. Għall-finijiet ta’ dan l-Artikolu, id-daqs tal-malji għandu jitkejjel skont l-Anness III.A tas-CEM imsemmi fil-punt 10 tal-Anness ta’ dan ir-Regolament.”; 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 xml:space="preserve">il-paragrafu 2(a) huwa sostitwit b’dan li ġej: </w:t>
      </w:r>
    </w:p>
    <w:p>
      <w:pPr>
        <w:pStyle w:val="Text1"/>
        <w:rPr>
          <w:noProof/>
        </w:rPr>
      </w:pPr>
      <w:r>
        <w:rPr>
          <w:noProof/>
        </w:rPr>
        <w:t>“(a) 40 mm għall-gambli, inklużi l-gambli tat-Tramuntana (PRA);”;</w:t>
      </w:r>
    </w:p>
    <w:p>
      <w:pPr>
        <w:pStyle w:val="Point0"/>
        <w:rPr>
          <w:noProof/>
        </w:rPr>
      </w:pPr>
      <w:r>
        <w:t>(8)</w:t>
      </w:r>
      <w:r>
        <w:tab/>
      </w:r>
      <w:r>
        <w:rPr>
          <w:noProof/>
        </w:rPr>
        <w:t>fl-Artikolu 18 jitħassar il-paragrafu 4;</w:t>
      </w:r>
    </w:p>
    <w:p>
      <w:pPr>
        <w:pStyle w:val="Point0"/>
        <w:rPr>
          <w:i/>
          <w:noProof/>
        </w:rPr>
      </w:pPr>
      <w:r>
        <w:t>(9)</w:t>
      </w:r>
      <w:r>
        <w:tab/>
      </w:r>
      <w:r>
        <w:rPr>
          <w:noProof/>
        </w:rPr>
        <w:t>l-Artikolu 23 huwa sostitwit b’dan li ġej:</w:t>
      </w:r>
    </w:p>
    <w:p>
      <w:pPr>
        <w:jc w:val="center"/>
        <w:rPr>
          <w:i/>
          <w:noProof/>
        </w:rPr>
      </w:pPr>
      <w:r>
        <w:rPr>
          <w:noProof/>
        </w:rPr>
        <w:t>“</w:t>
      </w:r>
      <w:r>
        <w:rPr>
          <w:i/>
          <w:noProof/>
        </w:rPr>
        <w:t>Artikolu 23</w:t>
      </w:r>
    </w:p>
    <w:p>
      <w:pPr>
        <w:jc w:val="center"/>
        <w:rPr>
          <w:b/>
          <w:noProof/>
        </w:rPr>
      </w:pPr>
      <w:r>
        <w:rPr>
          <w:b/>
          <w:noProof/>
        </w:rPr>
        <w:t>Arranġamenti tal-kiri</w:t>
      </w:r>
    </w:p>
    <w:p>
      <w:pPr>
        <w:pStyle w:val="Text1"/>
        <w:rPr>
          <w:noProof/>
        </w:rPr>
      </w:pPr>
      <w:r>
        <w:rPr>
          <w:noProof/>
        </w:rPr>
        <w:t xml:space="preserve">1. Għall-finijiet ta’ dan l-Artikolu, “Parti Kontraenti li qed tikri” għandha tirreferi għall-Parti Kontraenti li għandha allokazzjoni kif indikat fl-Anness I.A u fl-Anness I.B tas-CEM, jew għall-Istat Membru li għandu allokazzjoni ta’ </w:t>
      </w:r>
      <w:r>
        <w:rPr>
          <w:noProof/>
        </w:rPr>
        <w:lastRenderedPageBreak/>
        <w:t>opportunitajiet tas-sajd, u “Parti Kontraenti li hija l-Istat tal-bandiera” għandha tirreferi għall-Parti Kontraenti jew għall-Istat Membru fejn huwa rreġistrat il-bastiment mikri.</w:t>
      </w:r>
    </w:p>
    <w:p>
      <w:pPr>
        <w:pStyle w:val="Text1"/>
        <w:rPr>
          <w:noProof/>
        </w:rPr>
      </w:pPr>
      <w:r>
        <w:rPr>
          <w:noProof/>
        </w:rPr>
        <w:t>2. L-allokazzjoni kollha tas-sajd ta’ Parti Kontraenti li qed tikri, jew parti minnha, tista’ tinqabad bl-użu ta’ bastiment awtorizzat mikri (minn hawn ’il quddiem imsejjaħ “bastiment mikri”) li jtajjar il-bandiera ta’ Parti Kontraenti oħra, bil-kundizzjonijiet li ġejjin:</w:t>
      </w:r>
    </w:p>
    <w:p>
      <w:pPr>
        <w:pStyle w:val="Text1"/>
        <w:rPr>
          <w:noProof/>
        </w:rPr>
      </w:pPr>
      <w:r>
        <w:rPr>
          <w:noProof/>
        </w:rPr>
        <w:t>(a) il-Parti Kontraenti li tkun l-Istat tal-bandiera tkun qablet bil-miktub mal-arranġament tal-kiri;</w:t>
      </w:r>
    </w:p>
    <w:p>
      <w:pPr>
        <w:pStyle w:val="Text1"/>
        <w:rPr>
          <w:noProof/>
        </w:rPr>
      </w:pPr>
      <w:r>
        <w:rPr>
          <w:noProof/>
        </w:rPr>
        <w:t>(b) l-arranġament tal-kiri jkun limitat għal bastiment wieħed tas-sajd għal kull Parti Kontraenti li tkun l-Istat tal-bandiera f’kull sena kalendarja;</w:t>
      </w:r>
    </w:p>
    <w:p>
      <w:pPr>
        <w:pStyle w:val="Text1"/>
        <w:rPr>
          <w:noProof/>
        </w:rPr>
      </w:pPr>
      <w:r>
        <w:rPr>
          <w:noProof/>
        </w:rPr>
        <w:t>(c) f’sena kalendarja, il-perjodu tal-ħidmiet tas-sajd skont l-arranġament tal-kiri ma jkunx jaqbeż is-sitt xhur meta jittieħed kollu f’daqqa; u</w:t>
      </w:r>
    </w:p>
    <w:p>
      <w:pPr>
        <w:pStyle w:val="Text1"/>
        <w:rPr>
          <w:noProof/>
        </w:rPr>
      </w:pPr>
      <w:r>
        <w:rPr>
          <w:noProof/>
        </w:rPr>
        <w:t>(d) il-bastiment mikri ma jkunx bastiment li qabel kien ġie identifikat bħala bastiment li wettaq is-sajd IUU.</w:t>
      </w:r>
    </w:p>
    <w:p>
      <w:pPr>
        <w:pStyle w:val="Text1"/>
        <w:rPr>
          <w:noProof/>
        </w:rPr>
      </w:pPr>
      <w:r>
        <w:rPr>
          <w:noProof/>
        </w:rPr>
        <w:t>3. Il-qabdiet u l-qabdiet aċċessorji kollha li l-bastiment mikri jagħmel skont l-arranġament tal-kiri għandhom jiġu attribwiti lill-Parti Kontraenti li qed tikri.</w:t>
      </w:r>
    </w:p>
    <w:p>
      <w:pPr>
        <w:pStyle w:val="Text1"/>
        <w:rPr>
          <w:noProof/>
        </w:rPr>
      </w:pPr>
      <w:r>
        <w:rPr>
          <w:noProof/>
        </w:rPr>
        <w:t>4. Meta l-bastiment mikri jkun qed iwettaq ħidmiet tas-sajd skont l-arranġament tal-kiri, il-Parti Kontraenti li tkun l-Istat tal-bandiera ma għandhiex tawtorizzah jistad għal xi waħda mill-allokazzjonijiet tagħha u ma għandhiex tawtorizzah jistad skont arranġament tal-kiri ieħor fl-istess ħin.</w:t>
      </w:r>
    </w:p>
    <w:p>
      <w:pPr>
        <w:pStyle w:val="Text1"/>
        <w:rPr>
          <w:noProof/>
        </w:rPr>
      </w:pPr>
      <w:r>
        <w:rPr>
          <w:noProof/>
        </w:rPr>
        <w:t>5. Ma jista’ jsir l-ebda trażbord fuq il-baħar mingħajr l-awtorizzazzjoni minn qabel tal-Parti Kontraenti li qed tikri, li għandha tiżgura li dan isir taħt is-superviżjoni ta’ osservatur li jkun abbord.</w:t>
      </w:r>
    </w:p>
    <w:p>
      <w:pPr>
        <w:pStyle w:val="Text1"/>
        <w:rPr>
          <w:noProof/>
        </w:rPr>
      </w:pPr>
      <w:r>
        <w:rPr>
          <w:noProof/>
        </w:rPr>
        <w:t>6. Qabel ma jibda jitħaddem l-arranġament tal-kiri, il-Parti Kontraenti li tkun l-Istat tal-bandiera għandha tgħarraf lis-Segretarju Eżekuttiv tan-NAFO bil-miktub li hija taqbel miegħu u għandha tagħti kopja tal-avviż li joħroġ is-Segretarju Eżekuttiv tan-NAFO bid-dettalji tal-kiri lill-bastiment mikri.</w:t>
      </w:r>
    </w:p>
    <w:p>
      <w:pPr>
        <w:pStyle w:val="Text1"/>
        <w:rPr>
          <w:noProof/>
        </w:rPr>
      </w:pPr>
      <w:r>
        <w:rPr>
          <w:noProof/>
        </w:rPr>
        <w:t>7. Meta l-bastiment mikri jkun bastiment tas-sajd tal-Unjoni, l-Istat Membru tal-bandiera għandu jgħarraf lill-Kummissjoni bil-miktub b’dan qabel ma jibda jitħaddem l-arranġament tal-kiri. Meta l-Kummissjoni tqis li jkunu ġew issodisfati l-kundizzjonijiet rilevanti stabbiliti fis-CEM, hija għandha tgħarraf lis-Segretarju Eżekuttiv tan-NAFO li hija taqbel mal-arranġament tal-kiri.</w:t>
      </w:r>
    </w:p>
    <w:p>
      <w:pPr>
        <w:pStyle w:val="Text1"/>
        <w:rPr>
          <w:noProof/>
        </w:rPr>
      </w:pPr>
      <w:r>
        <w:rPr>
          <w:noProof/>
        </w:rPr>
        <w:t>8. Qabel id-data li fiha jidħol fis-seħħ l-arranġament tal-kiri, il-Parti Kontraenti li qed tikri għandha tibgħat l-informazzjoni li ġejja bil-miktub lis-Segretarju Eżekuttiv tan-NAFO u lill-bastiment mikri, li għandu dejjem iżomm kopja tagħha abbord:</w:t>
      </w:r>
    </w:p>
    <w:p>
      <w:pPr>
        <w:pStyle w:val="Text1"/>
        <w:rPr>
          <w:noProof/>
        </w:rPr>
      </w:pPr>
      <w:r>
        <w:rPr>
          <w:noProof/>
        </w:rPr>
        <w:t>(a) isem il-bastiment, ir-reġistrazzjoni tiegħu fl-Istat tal-bandiera, in-numru tal-OMI tiegħu u l-Istat tal-bandiera tiegħu;</w:t>
      </w:r>
    </w:p>
    <w:p>
      <w:pPr>
        <w:pStyle w:val="Text1"/>
        <w:rPr>
          <w:noProof/>
        </w:rPr>
      </w:pPr>
      <w:r>
        <w:rPr>
          <w:noProof/>
        </w:rPr>
        <w:t>(b) l-isem jew l-ismijiet u l-Istat jew l-Istati tal-bandiera ta’ qabel tal-bastiment, jekk kellu;</w:t>
      </w:r>
    </w:p>
    <w:p>
      <w:pPr>
        <w:pStyle w:val="Text1"/>
        <w:rPr>
          <w:noProof/>
        </w:rPr>
      </w:pPr>
      <w:r>
        <w:rPr>
          <w:noProof/>
        </w:rPr>
        <w:t>(c) l-isem u l-indirizz tas-sid jew tas-sidien u tal-operaturi tal-bastiment;</w:t>
      </w:r>
    </w:p>
    <w:p>
      <w:pPr>
        <w:pStyle w:val="Text1"/>
        <w:rPr>
          <w:noProof/>
        </w:rPr>
      </w:pPr>
      <w:r>
        <w:rPr>
          <w:noProof/>
        </w:rPr>
        <w:t>(d) kopja tal-arranġament tal-kiri u ta’ kull awtorizzazzjoni jew liċenzja tas-sajd li l-Parti Kontraenti li qed tikri tkun ħarġet għall-bastiment mikri; u</w:t>
      </w:r>
    </w:p>
    <w:p>
      <w:pPr>
        <w:pStyle w:val="Text1"/>
        <w:rPr>
          <w:noProof/>
        </w:rPr>
      </w:pPr>
      <w:r>
        <w:rPr>
          <w:noProof/>
        </w:rPr>
        <w:t>(e) l-allokazzjoni mogħtija lill-bastiment.</w:t>
      </w:r>
    </w:p>
    <w:p>
      <w:pPr>
        <w:pStyle w:val="Text1"/>
        <w:rPr>
          <w:noProof/>
        </w:rPr>
      </w:pPr>
      <w:r>
        <w:rPr>
          <w:noProof/>
        </w:rPr>
        <w:lastRenderedPageBreak/>
        <w:t>9. Meta l-Parti Kontraenti li qed tikri tkun l-Unjoni Ewropea, l-Istat Membru li qed jikri għandu jgħarraf lill-Kummissjoni bl-informazzjoni msemmija fil-paragrafu 8 qabel ma jidħol fis-seħħ l-arranġament tal-kiri. Meta l-Kummissjoni tqis li jkunu ġew issodisfati l-kundizzjonijiet rilevanti stabbiliti fis-CEM, hija għandha tibgħat l-informazzjoni lis-Segretarju Eżekuttiv tan-NAFO.</w:t>
      </w:r>
    </w:p>
    <w:p>
      <w:pPr>
        <w:pStyle w:val="Text1"/>
        <w:rPr>
          <w:noProof/>
        </w:rPr>
      </w:pPr>
      <w:r>
        <w:rPr>
          <w:noProof/>
        </w:rPr>
        <w:t>10. Meta l-bastiment mikri jkun bastiment tas-sajd tal-Unjoni, l-Istat Membru tal-bandiera għandu jgħarraf lill-Kummissjoni minnufih malli jseħħ xi wieħed mill-avvenimenti li ġejjin:</w:t>
      </w:r>
    </w:p>
    <w:p>
      <w:pPr>
        <w:pStyle w:val="Text1"/>
        <w:rPr>
          <w:noProof/>
        </w:rPr>
      </w:pPr>
      <w:r>
        <w:rPr>
          <w:noProof/>
        </w:rPr>
        <w:t>(a) malli jinbdew il-ħidmiet tas-sajd skont l-arranġament tal-kiri;</w:t>
      </w:r>
    </w:p>
    <w:p>
      <w:pPr>
        <w:pStyle w:val="Text1"/>
        <w:rPr>
          <w:noProof/>
        </w:rPr>
      </w:pPr>
      <w:r>
        <w:rPr>
          <w:noProof/>
        </w:rPr>
        <w:t>(b) malli jiġu sospiżi l-ħidmiet tas-sajd skont l-arranġament tal-kiri;</w:t>
      </w:r>
    </w:p>
    <w:p>
      <w:pPr>
        <w:pStyle w:val="Text1"/>
        <w:rPr>
          <w:noProof/>
        </w:rPr>
      </w:pPr>
      <w:r>
        <w:rPr>
          <w:noProof/>
        </w:rPr>
        <w:t>(c) malli jerġgħu jinbdew il-ħidmiet tas-sajd skont arranġament tal-kiri li jkun ġie sospiż;</w:t>
      </w:r>
    </w:p>
    <w:p>
      <w:pPr>
        <w:pStyle w:val="Text1"/>
        <w:rPr>
          <w:noProof/>
        </w:rPr>
      </w:pPr>
      <w:r>
        <w:rPr>
          <w:noProof/>
        </w:rPr>
        <w:t>(d) malli jintemmu l-ħidmiet tas-sajd skont l-arranġament tal-kiri.</w:t>
      </w:r>
    </w:p>
    <w:p>
      <w:pPr>
        <w:pStyle w:val="Text1"/>
        <w:rPr>
          <w:noProof/>
        </w:rPr>
      </w:pPr>
      <w:r>
        <w:rPr>
          <w:noProof/>
        </w:rPr>
        <w:t>11. Il-Parti Kontraenti li tkun l-Istat tal-bandiera għandha żżomm reġistru separat tad-</w:t>
      </w:r>
      <w:r>
        <w:rPr>
          <w:i/>
          <w:iCs/>
          <w:noProof/>
        </w:rPr>
        <w:t>data</w:t>
      </w:r>
      <w:r>
        <w:rPr>
          <w:noProof/>
        </w:rPr>
        <w:t xml:space="preserve"> dwar il-qabdiet u dwar il-qabdiet aċċessorji mill-ħidmiet tas-sajd skont kull arranġament tal-kiri ta’ bastiment li jtajjar il-bandiera tiegħu u għandha tibgħat rapport dwarhom lill-Kummissjoni, li għandha tibgħat dak ir-rapport lill-Parti Kontraenti li qed tikri u lis-Segretarju Eżekuttiv tan-NAFO.”;</w:t>
      </w:r>
    </w:p>
    <w:p>
      <w:pPr>
        <w:pStyle w:val="Point0"/>
        <w:rPr>
          <w:noProof/>
        </w:rPr>
      </w:pPr>
      <w:r>
        <w:t>(10)</w:t>
      </w:r>
      <w:r>
        <w:tab/>
      </w:r>
      <w:r>
        <w:rPr>
          <w:noProof/>
        </w:rPr>
        <w:t>l-Artikolu 25 huwa emendat kif ġej: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 xml:space="preserve">il-paragrafu 2(a) huwa sostitwit b’dan li ġej: </w:t>
      </w:r>
    </w:p>
    <w:p>
      <w:pPr>
        <w:pStyle w:val="Text1"/>
        <w:rPr>
          <w:noProof/>
        </w:rPr>
      </w:pPr>
      <w:r>
        <w:rPr>
          <w:noProof/>
        </w:rPr>
        <w:t>“(a) fih jiġu rreġistrati b’mod preċiż il-qabdiet minn kull tkarkira jew minn kull kalata, imqassmin skont id-Diviżjoni;”;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>il-paragrafu 3 huwa emendat kif ġej:</w:t>
      </w:r>
    </w:p>
    <w:p>
      <w:pPr>
        <w:pStyle w:val="Text1"/>
        <w:rPr>
          <w:noProof/>
        </w:rPr>
      </w:pPr>
      <w:r>
        <w:rPr>
          <w:noProof/>
        </w:rPr>
        <w:t xml:space="preserve">(i) il-punt (b) huwa sostitwit b’dan li ġej: </w:t>
      </w:r>
    </w:p>
    <w:p>
      <w:pPr>
        <w:pStyle w:val="Text1"/>
        <w:rPr>
          <w:noProof/>
        </w:rPr>
      </w:pPr>
      <w:r>
        <w:rPr>
          <w:noProof/>
        </w:rPr>
        <w:t>“(b) tiġi rreġistrata l-produzzjoni ta’ kull speċi u ta’ kull tip ta’ prodott, imqassma skont id-Diviżjoni;”;</w:t>
      </w:r>
    </w:p>
    <w:p>
      <w:pPr>
        <w:pStyle w:val="Text1"/>
        <w:rPr>
          <w:noProof/>
        </w:rPr>
      </w:pPr>
      <w:r>
        <w:rPr>
          <w:noProof/>
        </w:rPr>
        <w:t xml:space="preserve">(ii) il-punt (d) huwa sostitwit b’dan li ġej: </w:t>
      </w:r>
    </w:p>
    <w:p>
      <w:pPr>
        <w:pStyle w:val="Text1"/>
        <w:rPr>
          <w:noProof/>
        </w:rPr>
      </w:pPr>
      <w:r>
        <w:rPr>
          <w:noProof/>
        </w:rPr>
        <w:t xml:space="preserve">“(d) kull entrata tiġi rreġistrata skont l-Artikolu 24;”; </w:t>
      </w:r>
    </w:p>
    <w:p>
      <w:pPr>
        <w:pStyle w:val="Text1"/>
        <w:rPr>
          <w:noProof/>
        </w:rPr>
      </w:pPr>
      <w:r>
        <w:rPr>
          <w:noProof/>
        </w:rPr>
        <w:t>(iii) jiżdied il-punt (e) li ġej:</w:t>
      </w:r>
    </w:p>
    <w:p>
      <w:pPr>
        <w:pStyle w:val="Text1"/>
        <w:rPr>
          <w:noProof/>
        </w:rPr>
      </w:pPr>
      <w:r>
        <w:rPr>
          <w:noProof/>
        </w:rPr>
        <w:t>“(e) u li fih, meta l-produzzjoni tkun seħħet fil-jum tal-ispezzjoni, l-informazzjoni marbuta ma’ kull qabda pproċessata għal dak il-jum titqiegħed għad-dispożizzjoni tal-ispettur meta dan jitlobha.”;</w:t>
      </w:r>
    </w:p>
    <w:p>
      <w:pPr>
        <w:pStyle w:val="Point1"/>
        <w:rPr>
          <w:noProof/>
        </w:rPr>
      </w:pPr>
      <w:r>
        <w:t>(c)</w:t>
      </w:r>
      <w:r>
        <w:tab/>
      </w:r>
      <w:r>
        <w:rPr>
          <w:noProof/>
        </w:rPr>
        <w:t>il-paragrafu 6 huwa emendat kif ġej:</w:t>
      </w:r>
    </w:p>
    <w:p>
      <w:pPr>
        <w:pStyle w:val="Text1"/>
        <w:rPr>
          <w:noProof/>
        </w:rPr>
      </w:pPr>
      <w:r>
        <w:rPr>
          <w:noProof/>
        </w:rPr>
        <w:t xml:space="preserve">(i) il-punt (c) huwa sostitwit b’dan li ġej:  </w:t>
      </w:r>
    </w:p>
    <w:p>
      <w:pPr>
        <w:pStyle w:val="Text1"/>
        <w:rPr>
          <w:noProof/>
        </w:rPr>
      </w:pPr>
      <w:r>
        <w:rPr>
          <w:noProof/>
        </w:rPr>
        <w:t>“(c) ir-rapport dwar il-qabdiet (CAT): l-għadd ta’ ħut li nżamm u l-għadd ta’ ħut li ġie skartat fil-jum ta’ qabel ir-rapport, imqassam skont l-ispeċi u skont id-Diviżjoni, inkluż is-sajd li matulu ma nqabad l-ebda ħut, li għandu jintbagħat ta’ kuljum qabel 12:00 f’UTC, sakemm din l-informazzjoni ma tkunx intbagħtet mod ieħor f’rapport tat-tip “COX”. Is-sajd li matulu ma jkun inqabad l-ebda ħut li nżamm jew li ġie skartat għandu jiġi rrappurtat billi jintuża l-kodiċi tal-alfa-3 “MZZ” (speċijiet tal-baħar mhux speċifikati) u ammont ta’ “0”, hekk kif juru l-eżempji li ġejjin: (//CA/MZZ 0// u //RJ/MZZ 0//);”;</w:t>
      </w:r>
    </w:p>
    <w:p>
      <w:pPr>
        <w:pStyle w:val="Text1"/>
        <w:rPr>
          <w:noProof/>
        </w:rPr>
      </w:pPr>
      <w:r>
        <w:rPr>
          <w:noProof/>
        </w:rPr>
        <w:lastRenderedPageBreak/>
        <w:t>(ii) it-tieni subparagrafu huwa sostitwit b’dan li ġej:</w:t>
      </w:r>
    </w:p>
    <w:p>
      <w:pPr>
        <w:pStyle w:val="Text1"/>
        <w:rPr>
          <w:noProof/>
        </w:rPr>
      </w:pPr>
      <w:r>
        <w:rPr>
          <w:noProof/>
        </w:rPr>
        <w:t>“Il-qabdiet għandhom jiġu rrappurtati fil-livell tal-ispeċijiet bil-kodiċi tal-alfa-3 li jikkorrispondi magħhom mogħti fl-Anness I.C tas-CEM imsemmi fil-punt 11 tal-Anness ta’ dan ir-Regolament jew, jekk ma jkunux inkluzi fl-Anness I.C, bil-kodiċi mogħti fil-Lista tal-ispeċijiet għall-finijiet tal-istatistika dwar is-sajd tas-sistema ta’ informazzjoni tal-FAO dwar ix-xjenza akkwatika u s-sajd. Għandu jiġi rreġistrat ukoll il-piż stmat tal-klieb il-baħar li jinqabdu waqt kull ġabra jew waqt kull kalata.”;</w:t>
      </w:r>
    </w:p>
    <w:p>
      <w:pPr>
        <w:pStyle w:val="Point1"/>
        <w:rPr>
          <w:noProof/>
        </w:rPr>
      </w:pPr>
      <w:r>
        <w:t>(d)</w:t>
      </w:r>
      <w:r>
        <w:tab/>
      </w:r>
      <w:r>
        <w:rPr>
          <w:noProof/>
        </w:rPr>
        <w:t>fil-paragrafu 9, jiżdied it-tieni subparagrafu li ġej:</w:t>
      </w:r>
    </w:p>
    <w:p>
      <w:pPr>
        <w:pStyle w:val="Text1"/>
        <w:rPr>
          <w:noProof/>
        </w:rPr>
      </w:pPr>
      <w:r>
        <w:rPr>
          <w:noProof/>
        </w:rPr>
        <w:t>“Il-paragrafu (a) ta’ hawn fuq ma japplikax jekk il-qabdiet kollha jkunu ġew irrappurtati skont il-paragrafu 6 ta’ dan l-Artikolu.”;</w:t>
      </w:r>
    </w:p>
    <w:p>
      <w:pPr>
        <w:pStyle w:val="Point0"/>
        <w:rPr>
          <w:noProof/>
        </w:rPr>
      </w:pPr>
      <w:r>
        <w:t>(11)</w:t>
      </w:r>
      <w:r>
        <w:tab/>
      </w:r>
      <w:r>
        <w:rPr>
          <w:noProof/>
        </w:rPr>
        <w:t>l-Artikolu 27 huwa emendat kif ġej:</w:t>
      </w:r>
    </w:p>
    <w:p>
      <w:pPr>
        <w:pStyle w:val="Point1"/>
        <w:rPr>
          <w:noProof/>
        </w:rPr>
      </w:pPr>
      <w:r>
        <w:t>(a)</w:t>
      </w:r>
      <w:r>
        <w:tab/>
      </w:r>
      <w:r>
        <w:rPr>
          <w:noProof/>
        </w:rPr>
        <w:t>fil-paragrafu 5, jiżdied il-punt (g) li ġej:</w:t>
      </w:r>
    </w:p>
    <w:p>
      <w:pPr>
        <w:pStyle w:val="Text1"/>
        <w:rPr>
          <w:noProof/>
        </w:rPr>
      </w:pPr>
      <w:r>
        <w:rPr>
          <w:noProof/>
        </w:rPr>
        <w:t>“(g) jibgħat ir-rapport ta’ kuljum tal-osservatur imsemmi fil-paragrafu 11(e) lis-Segretarju Eżekuttiv tan-NAFO b’mod elettroniku u mingħajr dewmien wara li jirċevih.”;</w:t>
      </w:r>
    </w:p>
    <w:p>
      <w:pPr>
        <w:pStyle w:val="Point1"/>
        <w:rPr>
          <w:noProof/>
        </w:rPr>
      </w:pPr>
      <w:r>
        <w:t>(b)</w:t>
      </w:r>
      <w:r>
        <w:tab/>
      </w:r>
      <w:r>
        <w:rPr>
          <w:noProof/>
        </w:rPr>
        <w:t xml:space="preserve">il-paragrafu 7 huwa sostitwit b’dan li ġej: </w:t>
      </w:r>
    </w:p>
    <w:p>
      <w:pPr>
        <w:pStyle w:val="Text1"/>
        <w:rPr>
          <w:noProof/>
        </w:rPr>
      </w:pPr>
      <w:r>
        <w:rPr>
          <w:noProof/>
        </w:rPr>
        <w:t>“7. Kull Stat Membru għandu jipprovdi:</w:t>
      </w:r>
    </w:p>
    <w:p>
      <w:pPr>
        <w:pStyle w:val="Text1"/>
        <w:rPr>
          <w:noProof/>
        </w:rPr>
      </w:pPr>
      <w:r>
        <w:rPr>
          <w:noProof/>
        </w:rPr>
        <w:t>(a) sa mhux aktar tard minn 24 siegħa qabel ma osservatur jintbagħat abbord bastiment tas-sajd, isem il-bastiment tas-sajd u s-sinjal internazzjonali tas-sejħa bir-radju tiegħu, flimkien ma’ isem l-osservatur ikkonċernat u n-numru tal-identità tiegħu (jekk dan ikun japplika);</w:t>
      </w:r>
    </w:p>
    <w:p>
      <w:pPr>
        <w:pStyle w:val="Text1"/>
        <w:rPr>
          <w:noProof/>
        </w:rPr>
      </w:pPr>
      <w:r>
        <w:rPr>
          <w:noProof/>
        </w:rPr>
        <w:t>(b) fi żmien 20 jum minn meta l-bastiment jasal fil-port, ir-rapport tal-osservatur dwar il-vjaġġ imsemmi fil-paragrafu 11;</w:t>
      </w:r>
    </w:p>
    <w:p>
      <w:pPr>
        <w:pStyle w:val="Text1"/>
        <w:rPr>
          <w:noProof/>
        </w:rPr>
      </w:pPr>
      <w:r>
        <w:rPr>
          <w:noProof/>
        </w:rPr>
        <w:t>(c) sal-15 ta’ Frar ta’ kull sena, rapport dwar il-konformità tiegħu mal-obbligi stabbiliti f’dan l-Artikolu b’rabta mas-sena kalendarja ta’ qabel.”;</w:t>
      </w:r>
    </w:p>
    <w:p>
      <w:pPr>
        <w:pStyle w:val="Point1"/>
        <w:rPr>
          <w:noProof/>
        </w:rPr>
      </w:pPr>
      <w:r>
        <w:t>(c)</w:t>
      </w:r>
      <w:r>
        <w:tab/>
      </w:r>
      <w:r>
        <w:rPr>
          <w:noProof/>
        </w:rPr>
        <w:t xml:space="preserve">il-paragrafu 15 huwa sostitwit b’dan li ġej: </w:t>
      </w:r>
    </w:p>
    <w:p>
      <w:pPr>
        <w:pStyle w:val="Text1"/>
        <w:rPr>
          <w:noProof/>
        </w:rPr>
      </w:pPr>
      <w:r>
        <w:rPr>
          <w:noProof/>
        </w:rPr>
        <w:t>“15. L-informazzjoni li l-Istati Membri jridu jipprovdu skont il-paragrafu 3(c) u (d), skont il-paragrafu 5(a), skont il-paragrafu 6(c) u skont il-paragrafu 7 għandha tintbagħat lill-EFCA u kopja tagħha għandha tintbagħat lill-Kummissjoni. L-EFCA għandha tiżgura li din l-informazzjoni tintbagħat lis-Segretarju Eżekuttiv tan-NAFO mingħajr dewmien biex tiġi ppubblikata fuq is-sit web tan-NAFO marbut mal-MCS.”;</w:t>
      </w:r>
    </w:p>
    <w:p>
      <w:pPr>
        <w:pStyle w:val="Point0"/>
        <w:rPr>
          <w:noProof/>
        </w:rPr>
      </w:pPr>
      <w:r>
        <w:t>(12)</w:t>
      </w:r>
      <w:r>
        <w:tab/>
      </w:r>
      <w:r>
        <w:rPr>
          <w:noProof/>
        </w:rPr>
        <w:t xml:space="preserve">l-Artikolu 28 huwa emendat kif ġej: </w:t>
      </w:r>
    </w:p>
    <w:p>
      <w:pPr>
        <w:pStyle w:val="Text1"/>
        <w:rPr>
          <w:noProof/>
          <w:sz w:val="16"/>
        </w:rPr>
      </w:pPr>
      <w:r>
        <w:rPr>
          <w:noProof/>
        </w:rPr>
        <w:t xml:space="preserve">(a) </w:t>
      </w:r>
      <w:r>
        <w:rPr>
          <w:noProof/>
        </w:rPr>
        <w:tab/>
        <w:t xml:space="preserve">il-paragrafu 2 huwa sostitwit b’dan li ġej: </w:t>
      </w:r>
    </w:p>
    <w:p>
      <w:pPr>
        <w:pStyle w:val="Text1"/>
        <w:rPr>
          <w:noProof/>
          <w:sz w:val="16"/>
        </w:rPr>
      </w:pPr>
      <w:r>
        <w:rPr>
          <w:noProof/>
        </w:rPr>
        <w:t xml:space="preserve">“2. L-ispezzjoni u s-sorveljanza għandhom iwettquhom l-ispetturi li l-Istati Membri, l-EFCA u l-Kummissjoni jassenjaw għal dan. L-Istat Membru u l-Kummissjoni għandhom jgħarrfu lill-EFCA bl-ispetturi permezz tal-Iskema.”;  </w:t>
      </w:r>
    </w:p>
    <w:p>
      <w:pPr>
        <w:pStyle w:val="Text1"/>
        <w:rPr>
          <w:noProof/>
        </w:rPr>
      </w:pPr>
      <w:r>
        <w:rPr>
          <w:noProof/>
        </w:rPr>
        <w:t xml:space="preserve">(b) </w:t>
      </w:r>
      <w:r>
        <w:rPr>
          <w:noProof/>
        </w:rPr>
        <w:tab/>
        <w:t xml:space="preserve">il-paragrafu 7 huwa sostitwit b’dan li ġej: </w:t>
      </w:r>
    </w:p>
    <w:p>
      <w:pPr>
        <w:pStyle w:val="Text1"/>
        <w:rPr>
          <w:noProof/>
          <w:highlight w:val="yellow"/>
        </w:rPr>
      </w:pPr>
      <w:r>
        <w:rPr>
          <w:noProof/>
        </w:rPr>
        <w:t>“7. L-ispetturi li jżuru bastiment tar-riċerka għandhom jinnutaw l-istatus tal-bastiment u għandhom jillimitaw il-proċeduri ta’ spezzjoni għal dawk li huma meħtieġa biex jiżguraw ruħhom li l-bastiment qed iwettaq attivitajiet li huma konsistenti mal-pjan tar-riċerka tiegħu. Meta l-ispetturi jkollhom raġunijiet validi biex jissuspettaw li l-bastiment qed iwettaq attivitajiet li mhumiex konsistenti mal-</w:t>
      </w:r>
      <w:r>
        <w:rPr>
          <w:noProof/>
        </w:rPr>
        <w:lastRenderedPageBreak/>
        <w:t>pjan tar-riċerka tiegħu, il-Kummissjoni u l-EFCA għandhom jiġu infurmati mill-ewwel b’dan u s-CEM għandhom japplikaw għalkollox.”;</w:t>
      </w:r>
    </w:p>
    <w:p>
      <w:pPr>
        <w:pStyle w:val="Point0"/>
        <w:rPr>
          <w:noProof/>
        </w:rPr>
      </w:pPr>
      <w:r>
        <w:t>(13)</w:t>
      </w:r>
      <w:r>
        <w:tab/>
      </w:r>
      <w:r>
        <w:rPr>
          <w:noProof/>
        </w:rPr>
        <w:t xml:space="preserve">l-Artikolu 30 huwa emendat kif ġej: </w:t>
      </w:r>
    </w:p>
    <w:p>
      <w:pPr>
        <w:pStyle w:val="Text1"/>
        <w:rPr>
          <w:noProof/>
          <w:sz w:val="16"/>
        </w:rPr>
      </w:pPr>
      <w:r>
        <w:rPr>
          <w:noProof/>
        </w:rPr>
        <w:t xml:space="preserve">(a) </w:t>
      </w:r>
      <w:r>
        <w:rPr>
          <w:noProof/>
        </w:rPr>
        <w:tab/>
        <w:t>il-paragrafu 2(a) huwa sostitwit b’dan li ġej:</w:t>
      </w:r>
    </w:p>
    <w:p>
      <w:pPr>
        <w:pStyle w:val="Text1"/>
        <w:rPr>
          <w:noProof/>
          <w:sz w:val="16"/>
        </w:rPr>
      </w:pPr>
      <w:r>
        <w:rPr>
          <w:noProof/>
        </w:rPr>
        <w:t xml:space="preserve">“(a) tibgħat it-tali rapport ta’ sorveljanza lill-EFCA, li għandha tibagħtu lis-Segretarju Eżekuttiv tan-NAFO mingħajr dewmien biex dan jibagħtu lill-Parti Kontraenti li tkun l-Istat tal-bandiera tal-bastiment;”; </w:t>
      </w:r>
    </w:p>
    <w:p>
      <w:pPr>
        <w:pStyle w:val="Text1"/>
        <w:rPr>
          <w:noProof/>
        </w:rPr>
      </w:pPr>
      <w:r>
        <w:rPr>
          <w:noProof/>
        </w:rPr>
        <w:t xml:space="preserve">(b) </w:t>
      </w:r>
      <w:r>
        <w:rPr>
          <w:noProof/>
        </w:rPr>
        <w:tab/>
        <w:t xml:space="preserve">il-paragrafu 4 huwa sostitwit b’dan li ġej: </w:t>
      </w:r>
    </w:p>
    <w:p>
      <w:pPr>
        <w:pStyle w:val="Text1"/>
        <w:rPr>
          <w:noProof/>
        </w:rPr>
      </w:pPr>
      <w:r>
        <w:rPr>
          <w:noProof/>
        </w:rPr>
        <w:t>“4. Kull Stat Membru għandu jibgħat ir-rapport tal-investigazzjoni lill-EFCA, li għandha tibagħtu lis-Segretarju Eżekuttiv tan-NAFO u lill-Kummissjoni.”;</w:t>
      </w:r>
    </w:p>
    <w:p>
      <w:pPr>
        <w:pStyle w:val="Point0"/>
        <w:rPr>
          <w:noProof/>
        </w:rPr>
      </w:pPr>
      <w:r>
        <w:t>(14)</w:t>
      </w:r>
      <w:r>
        <w:tab/>
      </w:r>
      <w:r>
        <w:rPr>
          <w:noProof/>
        </w:rPr>
        <w:t xml:space="preserve">l-Artikolu 33 huwa emendat kif ġej: </w:t>
      </w:r>
    </w:p>
    <w:p>
      <w:pPr>
        <w:pStyle w:val="Text1"/>
        <w:rPr>
          <w:noProof/>
          <w:sz w:val="16"/>
        </w:rPr>
      </w:pPr>
      <w:r>
        <w:rPr>
          <w:noProof/>
        </w:rPr>
        <w:t xml:space="preserve">(a) </w:t>
      </w:r>
      <w:r>
        <w:rPr>
          <w:noProof/>
        </w:rPr>
        <w:tab/>
        <w:t xml:space="preserve">il-paragrafu 2(c)(ii) huwa sostitwit b’dan li ġej: </w:t>
      </w:r>
    </w:p>
    <w:p>
      <w:pPr>
        <w:pStyle w:val="Text1"/>
        <w:rPr>
          <w:noProof/>
        </w:rPr>
      </w:pPr>
      <w:r>
        <w:rPr>
          <w:noProof/>
        </w:rPr>
        <w:t>“(ii) jirreġistraw dawn is-sommarji kif ukoll id-differenzi bejn il-qabdiet irreġistrati u l-istimi tagħhom tal-qabdiet abbord fit-taqsimiet rilevanti tar-rapport tal-ispezzjoni;”;</w:t>
      </w:r>
    </w:p>
    <w:p>
      <w:pPr>
        <w:pStyle w:val="Text1"/>
        <w:rPr>
          <w:noProof/>
        </w:rPr>
      </w:pPr>
      <w:r>
        <w:rPr>
          <w:noProof/>
        </w:rPr>
        <w:t xml:space="preserve">(b) </w:t>
      </w:r>
      <w:r>
        <w:rPr>
          <w:noProof/>
        </w:rPr>
        <w:tab/>
        <w:t xml:space="preserve">il-paragrafu 3(a) huwa sostitwit b’dan li ġej: </w:t>
      </w:r>
    </w:p>
    <w:p>
      <w:pPr>
        <w:pStyle w:val="Text1"/>
        <w:rPr>
          <w:noProof/>
        </w:rPr>
      </w:pPr>
      <w:r>
        <w:rPr>
          <w:noProof/>
        </w:rPr>
        <w:t>“(a) jibgħat ir-rapport tal-ispezzjoni fuq il-baħar lill-EFCA, jekk jista’ jkun fi żmien 20 jum minn meta ssir l-ispezzjoni, li min-naħa tagħha għandha tibagħtu lis-Segretarju Eżekuttiv tan-NAFO;”;</w:t>
      </w:r>
    </w:p>
    <w:p>
      <w:pPr>
        <w:pStyle w:val="Point0"/>
        <w:rPr>
          <w:noProof/>
        </w:rPr>
      </w:pPr>
      <w:r>
        <w:t>(15)</w:t>
      </w:r>
      <w:r>
        <w:tab/>
      </w:r>
      <w:r>
        <w:rPr>
          <w:noProof/>
        </w:rPr>
        <w:t xml:space="preserve">l-Artikolu 34 huwa emendat kif ġej: </w:t>
      </w:r>
    </w:p>
    <w:p>
      <w:pPr>
        <w:pStyle w:val="Text1"/>
        <w:rPr>
          <w:noProof/>
        </w:rPr>
      </w:pPr>
      <w:r>
        <w:rPr>
          <w:noProof/>
        </w:rPr>
        <w:t xml:space="preserve">(a) </w:t>
      </w:r>
      <w:r>
        <w:rPr>
          <w:noProof/>
        </w:rPr>
        <w:tab/>
        <w:t xml:space="preserve">il-paragrafu 1(g) huwa sostitwit b’dan li ġej: </w:t>
      </w:r>
    </w:p>
    <w:p>
      <w:pPr>
        <w:pStyle w:val="Text1"/>
        <w:rPr>
          <w:noProof/>
        </w:rPr>
      </w:pPr>
      <w:r>
        <w:rPr>
          <w:noProof/>
        </w:rPr>
        <w:t>“(g) jgħarrfu lill-osservatur li jkun hemm abbord bil-każ ta’ ksur.”;</w:t>
      </w:r>
    </w:p>
    <w:p>
      <w:pPr>
        <w:pStyle w:val="Text1"/>
        <w:rPr>
          <w:noProof/>
        </w:rPr>
      </w:pPr>
      <w:r>
        <w:rPr>
          <w:noProof/>
        </w:rPr>
        <w:t xml:space="preserve">(b) </w:t>
      </w:r>
      <w:r>
        <w:rPr>
          <w:noProof/>
        </w:rPr>
        <w:tab/>
        <w:t>il-paragrafu 2 huwa emendat kif ġej:</w:t>
      </w:r>
    </w:p>
    <w:p>
      <w:pPr>
        <w:pStyle w:val="Text1"/>
        <w:rPr>
          <w:noProof/>
        </w:rPr>
      </w:pPr>
      <w:r>
        <w:rPr>
          <w:noProof/>
        </w:rPr>
        <w:t>(i) il-punt (a) huwa sostitwit b’dan li ġej:</w:t>
      </w:r>
    </w:p>
    <w:p>
      <w:pPr>
        <w:pStyle w:val="Text1"/>
        <w:rPr>
          <w:noProof/>
          <w:highlight w:val="yellow"/>
        </w:rPr>
      </w:pPr>
      <w:r>
        <w:rPr>
          <w:noProof/>
        </w:rPr>
        <w:t>“(a) jibgħat notifika bil-miktub lill-Kummissjoni u lill-EFCA dwar il-każ ta’ ksur irrappurtat mill-ispetturi tiegħu fi żmien 24 siegħa minn x’ħin jinstab il-ksur u, min-naħa tagħha, l-EFCA għandha tibgħat din in-notifika lill-awtorità kompetenti tal-Parti Kontraenti li tkun l-Istat tal-bandiera jew lill-awtorità kompetenti tal-Istat Membru tal-bandiera, jekk dan ikun differenti mill-Istat Membru li jkun qed iwettaq l-ispezzjoni, u lis-Segretarju Eżekuttiv tan-NAFO. In-notifika bil-miktub għandu jkun fiha l-informazzjoni mdaħħla fit-taqsima tar-rapport tal-ispezzjoni mogħti fl-Anness IV.B tas-CEM imsemmi fil-punt 41 tal-Anness ta’ dan ir-Regolament li tittratta l-każijiet ta’ ksur, għandha ssemmi l-miżuri rilevanti u tiddeskrivi fid-dettall il-bażi għall-ħruġ tal-avviż ta’ każ ta’ ksur u l-evidenza li tappoġġa l-avviż u, meta dan ikun possibbli, għandu jkollha magħha l-immaġnijiet tal-irkaptu, tal-qabdiet jew ta’ kull evidenza oħra marbuta mal-każ ta’ ksur imsemmijin fil-paragrafu 1 ta’ dan l-Artikolu;”;</w:t>
      </w:r>
    </w:p>
    <w:p>
      <w:pPr>
        <w:pStyle w:val="Text1"/>
        <w:rPr>
          <w:noProof/>
        </w:rPr>
      </w:pPr>
      <w:r>
        <w:rPr>
          <w:noProof/>
        </w:rPr>
        <w:t>(ii) it-tieni subparagrafu huwa sostitwit b’dan li ġej:</w:t>
      </w:r>
    </w:p>
    <w:p>
      <w:pPr>
        <w:pStyle w:val="Text1"/>
        <w:rPr>
          <w:noProof/>
        </w:rPr>
      </w:pPr>
      <w:r>
        <w:rPr>
          <w:noProof/>
        </w:rPr>
        <w:t>“L-EFCA għandha tibgħat ir-rapport tal-ispezzjoni lis-Segretarju Eżekuttiv tan-NAFO.”;</w:t>
      </w:r>
    </w:p>
    <w:p>
      <w:pPr>
        <w:pStyle w:val="Point0"/>
        <w:rPr>
          <w:noProof/>
        </w:rPr>
      </w:pPr>
      <w:r>
        <w:t>(16)</w:t>
      </w:r>
      <w:r>
        <w:tab/>
      </w:r>
      <w:r>
        <w:rPr>
          <w:noProof/>
        </w:rPr>
        <w:t xml:space="preserve">l-Artikolu 35(1) huwa emendat kif ġej: </w:t>
      </w:r>
    </w:p>
    <w:p>
      <w:pPr>
        <w:pStyle w:val="Text1"/>
        <w:rPr>
          <w:noProof/>
        </w:rPr>
      </w:pPr>
      <w:r>
        <w:rPr>
          <w:noProof/>
        </w:rPr>
        <w:t xml:space="preserve">(a) </w:t>
      </w:r>
      <w:r>
        <w:rPr>
          <w:noProof/>
        </w:rPr>
        <w:tab/>
        <w:t xml:space="preserve">il-punt (a) huwa sostitwit b’dan li ġej: </w:t>
      </w:r>
    </w:p>
    <w:p>
      <w:pPr>
        <w:pStyle w:val="Text1"/>
        <w:rPr>
          <w:noProof/>
        </w:rPr>
      </w:pPr>
      <w:r>
        <w:rPr>
          <w:noProof/>
        </w:rPr>
        <w:lastRenderedPageBreak/>
        <w:t>“(a) is-sajd għall-istokkijiet skont il-kwota “għal stokkijiet oħrajn” mingħajr ma l-Kummissjoni u l-EFCA jiġu avżati bil-quddiem b’dan, bi ksur tal-Artikolu 5;”;</w:t>
      </w:r>
    </w:p>
    <w:p>
      <w:pPr>
        <w:pStyle w:val="Text1"/>
        <w:rPr>
          <w:noProof/>
        </w:rPr>
      </w:pPr>
      <w:r>
        <w:rPr>
          <w:noProof/>
        </w:rPr>
        <w:t xml:space="preserve">(b) </w:t>
      </w:r>
      <w:r>
        <w:rPr>
          <w:noProof/>
        </w:rPr>
        <w:tab/>
        <w:t xml:space="preserve">il-punt (e) huwa sostitwit b’dan li ġej:  </w:t>
      </w:r>
    </w:p>
    <w:p>
      <w:pPr>
        <w:pStyle w:val="Text1"/>
        <w:rPr>
          <w:noProof/>
        </w:rPr>
      </w:pPr>
      <w:r>
        <w:rPr>
          <w:noProof/>
        </w:rPr>
        <w:t>“(e) is-sajd f’żona magħluqa, bi ksur tal-Artikolu 9(5) u tal-Artikolu 18;”;</w:t>
      </w:r>
    </w:p>
    <w:p>
      <w:pPr>
        <w:pStyle w:val="Text1"/>
        <w:rPr>
          <w:noProof/>
        </w:rPr>
      </w:pPr>
      <w:r>
        <w:rPr>
          <w:noProof/>
        </w:rPr>
        <w:t xml:space="preserve">(c) </w:t>
      </w:r>
      <w:r>
        <w:rPr>
          <w:noProof/>
        </w:rPr>
        <w:tab/>
        <w:t xml:space="preserve">il-punt (k) huwa sostitwit b’dan li ġej: </w:t>
      </w:r>
    </w:p>
    <w:p>
      <w:pPr>
        <w:pStyle w:val="Text1"/>
        <w:rPr>
          <w:noProof/>
        </w:rPr>
      </w:pPr>
      <w:r>
        <w:rPr>
          <w:noProof/>
        </w:rPr>
        <w:t>“(k) in-nuqqas li jintbagħtu messaġġi dwar il-qabdiet, bi ksur tal-Artikolu 12(1) u tal-Artikolu 25;”;</w:t>
      </w:r>
    </w:p>
    <w:p>
      <w:pPr>
        <w:pStyle w:val="Text1"/>
        <w:rPr>
          <w:noProof/>
        </w:rPr>
      </w:pPr>
      <w:r>
        <w:rPr>
          <w:noProof/>
        </w:rPr>
        <w:t xml:space="preserve">(d) </w:t>
      </w:r>
      <w:r>
        <w:rPr>
          <w:noProof/>
        </w:rPr>
        <w:tab/>
        <w:t xml:space="preserve">il-paragrafu 5 huwa sostitwit b’dan li ġej: </w:t>
      </w:r>
    </w:p>
    <w:p>
      <w:pPr>
        <w:pStyle w:val="Text1"/>
        <w:rPr>
          <w:noProof/>
        </w:rPr>
      </w:pPr>
      <w:r>
        <w:rPr>
          <w:noProof/>
        </w:rPr>
        <w:t>“5. Għall-finijiet tal-paragrafi 3 u 4, “ir-reġistrazzjoni ħażina tal-qabdiet” tfisser differenza ta’ mill-inqas 10 tunnellati jew ta’ 20 %, skont liema minnhom ikun l-ikbar, bejn l-istimi tal-qabda pproċessata li jkun hemm abbord, b’kollox jew imqassma skont l-ispeċi, li jkunu għamlu l-ispetturi, u ċ-ċifri rreġistrati fil-ġurnal ta’ abbord tal-produzzjoni, ikkalkulata bħala perċentwal taċ-ċifri mogħtija fil-ġurnal ta’ abbord tal-produzzjoni.”;</w:t>
      </w:r>
    </w:p>
    <w:p>
      <w:pPr>
        <w:pStyle w:val="Text1"/>
        <w:rPr>
          <w:noProof/>
        </w:rPr>
      </w:pPr>
      <w:r>
        <w:rPr>
          <w:noProof/>
        </w:rPr>
        <w:t xml:space="preserve">(e) </w:t>
      </w:r>
      <w:r>
        <w:rPr>
          <w:noProof/>
        </w:rPr>
        <w:tab/>
        <w:t>il-paragrafu 6 huwa sostitwit b’dan li ġej:</w:t>
      </w:r>
    </w:p>
    <w:p>
      <w:pPr>
        <w:pStyle w:val="Text1"/>
        <w:rPr>
          <w:noProof/>
        </w:rPr>
      </w:pPr>
      <w:r>
        <w:rPr>
          <w:noProof/>
        </w:rPr>
        <w:t>“6. Bil-qbil tal-Istat Membru tal-bandiera u tal-Parti Kontraenti li tkun l-Istat tal-port jekk din tkun differenti, l-ispetturi ta’ Parti Kontraenti oħra jew ta’ Stat Membru ieħor jistgħu jieħdu sehem fl-ispezzjoni sħiħa u fl-istabbiliment tal-ammont tal-qabda.”;</w:t>
      </w:r>
    </w:p>
    <w:p>
      <w:pPr>
        <w:pStyle w:val="Point0"/>
        <w:rPr>
          <w:noProof/>
        </w:rPr>
      </w:pPr>
      <w:r>
        <w:t>(17)</w:t>
      </w:r>
      <w:r>
        <w:tab/>
      </w:r>
      <w:r>
        <w:rPr>
          <w:noProof/>
        </w:rPr>
        <w:t>l-Artikolu 39 huwa emendat kif ġej:</w:t>
      </w:r>
    </w:p>
    <w:p>
      <w:pPr>
        <w:pStyle w:val="Text1"/>
        <w:rPr>
          <w:noProof/>
          <w:sz w:val="16"/>
        </w:rPr>
      </w:pPr>
      <w:r>
        <w:rPr>
          <w:noProof/>
        </w:rPr>
        <w:t xml:space="preserve">(a) </w:t>
      </w:r>
      <w:r>
        <w:rPr>
          <w:noProof/>
        </w:rPr>
        <w:tab/>
        <w:t xml:space="preserve">il-paragrafu 1 huwa sostitwit b’dan li ġej: </w:t>
      </w:r>
    </w:p>
    <w:p>
      <w:pPr>
        <w:pStyle w:val="Text1"/>
        <w:rPr>
          <w:noProof/>
        </w:rPr>
      </w:pPr>
      <w:r>
        <w:rPr>
          <w:noProof/>
        </w:rPr>
        <w:t>“1. L-Istat Membru tal-port għandu jibgħat lill-Kummissjoni lista tal-portijiet magħżulin li fihom jistgħu jitħallew jidħlu l-bastimenti tas-sajd biex iħottu l-art il-ħut, biex jittrażbordawh u/jew biex jingħataw servizzi portwarji, u għandu jiżgura li, kemm jista’ jkun, kull port magħżul ikollu biżżejjed kapaċità biex fih jitwettqu spezzjonijiet skont dan il-Kapitolu. Il-Kummissjoni għandha tgħarraf lis-Segretarju Eżekuttiv tan-NAFO bil-lista tal-portijiet magħżulin. Kull bidla sussegwenti f’dik il-lista għandha tiġi mgħarrfa tal-inqas 15-il jum qabel ma tidħol fis-seħħ dik il-bidla u l-lista aġġornata mgħarrfa għandha tieħu post il-lista l-oħra.”;</w:t>
      </w:r>
    </w:p>
    <w:p>
      <w:pPr>
        <w:pStyle w:val="Text1"/>
        <w:rPr>
          <w:noProof/>
        </w:rPr>
      </w:pPr>
      <w:r>
        <w:rPr>
          <w:noProof/>
        </w:rPr>
        <w:t xml:space="preserve">(b) </w:t>
      </w:r>
      <w:r>
        <w:rPr>
          <w:noProof/>
        </w:rPr>
        <w:tab/>
        <w:t>il-paragrafu 2 huwa sostitwit b’dan li ġej:</w:t>
      </w:r>
    </w:p>
    <w:p>
      <w:pPr>
        <w:pStyle w:val="Text1"/>
        <w:rPr>
          <w:noProof/>
        </w:rPr>
      </w:pPr>
      <w:r>
        <w:rPr>
          <w:noProof/>
        </w:rPr>
        <w:t>“2. L-Istat Membru tal-port għandu jistabbilixxi perjodu minimu għat-talba minn qabel. Il-perjodu għat-talba minn qabel għandu jkun ta’ tlett ijiem tax-xogħol qabel il-ħin mistenni tal-wasla tal-bastiment fil-port. Madankollu, bi qbil mal-Kummissjoni, l-Istat Membru tal-port jista’ jipprevedi perjodu ieħor għat-talba minn qabel, filwaqt li jqis, fost l-oħrajn, it-tip ta’ prodott maqbud u d-distanza bejn il-postijiet għas-sajd u l-portijiet tiegħu. L-Istat Membru tal-port għandu jibgħat l-informazzjoni dwar il-perjodu għat-talba minn qabel lill-Kummissjoni, li għandha tgħarraf lis-Segretarju Eżekuttiv tan-NAFO b’dan.”;</w:t>
      </w:r>
    </w:p>
    <w:p>
      <w:pPr>
        <w:pStyle w:val="Text1"/>
        <w:rPr>
          <w:noProof/>
        </w:rPr>
      </w:pPr>
      <w:r>
        <w:rPr>
          <w:noProof/>
        </w:rPr>
        <w:t xml:space="preserve">(c) </w:t>
      </w:r>
      <w:r>
        <w:rPr>
          <w:noProof/>
        </w:rPr>
        <w:tab/>
        <w:t xml:space="preserve">il-paragrafu 3 huwa sostitwit b’dan li ġej: </w:t>
      </w:r>
    </w:p>
    <w:p>
      <w:pPr>
        <w:pStyle w:val="Text1"/>
        <w:rPr>
          <w:noProof/>
        </w:rPr>
      </w:pPr>
      <w:r>
        <w:rPr>
          <w:noProof/>
        </w:rPr>
        <w:t>“3. L-Istat Membru tal-port għandu jaħtar lill-awtorità kompetenti li se taġixxi bħala l-punt ta’ kuntatt biex tirċievi t-talbiet skont l-Artikolu 41, biex tirċievi l-konfermi skont l-Artikolu 40(2) u biex toħroġ l-awtorizzazzjonijiet skont il-paragrafu 6 ta’ dan l-Artikolu. L-Istat Membru tal-port għandu jibgħat isem l-awtorità kompetenti u d-</w:t>
      </w:r>
      <w:r>
        <w:rPr>
          <w:noProof/>
        </w:rPr>
        <w:lastRenderedPageBreak/>
        <w:t>dettalji ta’ kuntatt tagħha lill-Kummissjoni, li għandha tgħarraf lis-Segretarju Eżekuttiv tan-NAFO b’dan.”;</w:t>
      </w:r>
    </w:p>
    <w:p>
      <w:pPr>
        <w:pStyle w:val="Text1"/>
        <w:rPr>
          <w:noProof/>
        </w:rPr>
      </w:pPr>
      <w:r>
        <w:rPr>
          <w:noProof/>
        </w:rPr>
        <w:t xml:space="preserve">(d) </w:t>
      </w:r>
      <w:r>
        <w:rPr>
          <w:noProof/>
        </w:rPr>
        <w:tab/>
        <w:t>il-paragrafu 8 huwa sostitwit b’dan li ġej:</w:t>
      </w:r>
    </w:p>
    <w:p>
      <w:pPr>
        <w:pStyle w:val="Text1"/>
        <w:rPr>
          <w:noProof/>
        </w:rPr>
      </w:pPr>
      <w:r>
        <w:rPr>
          <w:noProof/>
        </w:rPr>
        <w:t>“8. L-Istat Membru tal-port għandu jgħarraf minnufih lill-kaptan tal-bastiment bid-deċiżjoni tiegħu li jawtorizza d-dħul fil-port jew le, jew li jawtorizza l-ħatt l-art, it-trażbord jew xi użu ieħor tal-port jew le f’każ li l-bastiment ikun fil-port. Jekk jawtorizza d-dħul fil-port, l-Istat Membru tal-port għandu jagħti lura lill-kaptan tal-bastiment kopja tal-Formola għat-talba minn qabel marbuta mal-kontroll mill-Istat tal-port mogħtija fl-Anness II.L tas-CEM imsemmija fil-punt 43 tal-Anness ta’ dan ir-Regolament bil-Parti C mimlija kif xieraq. Din il-kopja għandha tintbagħat ukoll lis-Segretarju Eżekuttiv tan-NAFO u kopja tagħha għandha tintbagħat lill-Kummissjoni u lill-EFCA. F’każ li ma jawtorizzax id-dħul fil-port, l-Istat Membru tal-port għandu jgħarraf ukoll lill-Parti Kontraenti tan-NAFO li tkun l-Istat tal-bandiera b’dan.”;</w:t>
      </w:r>
    </w:p>
    <w:p>
      <w:pPr>
        <w:pStyle w:val="Text1"/>
        <w:rPr>
          <w:noProof/>
        </w:rPr>
      </w:pPr>
      <w:r>
        <w:rPr>
          <w:noProof/>
        </w:rPr>
        <w:t xml:space="preserve">(e) </w:t>
      </w:r>
      <w:r>
        <w:rPr>
          <w:noProof/>
        </w:rPr>
        <w:tab/>
        <w:t xml:space="preserve">il-paragrafu 9 huwa sostitwit b’dan li ġej: </w:t>
      </w:r>
    </w:p>
    <w:p>
      <w:pPr>
        <w:pStyle w:val="Text1"/>
        <w:rPr>
          <w:noProof/>
        </w:rPr>
      </w:pPr>
      <w:r>
        <w:rPr>
          <w:noProof/>
        </w:rPr>
        <w:t>“9. F’każ li t-talba minn qabel titħassar kif imsemmi fl-Artikolu 41(2), l-Istat Membru tal-port għandu jibgħat kopja tal-Formola għat-talba minn qabel marbuta mal-kontroll mill-Istat tal-port li tkun tħassret lis-Segretarju Eżekuttiv tan-NAFO u jibgħat kopja tagħha lill-Kummissjoni u lill-EFCA.”;</w:t>
      </w:r>
    </w:p>
    <w:p>
      <w:pPr>
        <w:pStyle w:val="Text1"/>
        <w:rPr>
          <w:noProof/>
        </w:rPr>
      </w:pPr>
      <w:r>
        <w:rPr>
          <w:noProof/>
        </w:rPr>
        <w:t xml:space="preserve">(f) </w:t>
      </w:r>
      <w:r>
        <w:rPr>
          <w:noProof/>
        </w:rPr>
        <w:tab/>
        <w:t>il-paragrafu 17 huwa sostitwit b’dan li ġej:</w:t>
      </w:r>
    </w:p>
    <w:p>
      <w:pPr>
        <w:pStyle w:val="Text1"/>
        <w:rPr>
          <w:noProof/>
        </w:rPr>
      </w:pPr>
      <w:r>
        <w:rPr>
          <w:noProof/>
        </w:rPr>
        <w:t>“17. L-Istat Membru tal-port għandu jibgħat kopja ta’ kull rapport dwar l-ispezzjoni marbuta mal-kontroll mill-Istat tal-port lis-Segretarju Eżekuttiv tan-NAFO minnufih u jibgħat kopja tiegħu lill-Kummissjoni u lill-EFCA.”;</w:t>
      </w:r>
    </w:p>
    <w:p>
      <w:pPr>
        <w:pStyle w:val="Point0"/>
        <w:rPr>
          <w:noProof/>
        </w:rPr>
      </w:pPr>
      <w:r>
        <w:t>(18)</w:t>
      </w:r>
      <w:r>
        <w:tab/>
      </w:r>
      <w:r>
        <w:rPr>
          <w:noProof/>
        </w:rPr>
        <w:t xml:space="preserve">l-Artikolu 45 huwa sostitwit b’dan li ġej: </w:t>
      </w:r>
    </w:p>
    <w:p>
      <w:pPr>
        <w:shd w:val="clear" w:color="auto" w:fill="FFFFFF"/>
        <w:spacing w:before="60" w:line="312" w:lineRule="atLeast"/>
        <w:jc w:val="center"/>
        <w:rPr>
          <w:rFonts w:eastAsia="Times New Roman"/>
          <w:bCs/>
          <w:i/>
          <w:noProof/>
          <w:color w:val="444444"/>
          <w:szCs w:val="24"/>
        </w:rPr>
      </w:pPr>
      <w:r>
        <w:rPr>
          <w:bCs/>
          <w:noProof/>
          <w:color w:val="444444"/>
          <w:szCs w:val="24"/>
        </w:rPr>
        <w:t>“</w:t>
      </w:r>
      <w:r>
        <w:rPr>
          <w:bCs/>
          <w:i/>
          <w:noProof/>
          <w:color w:val="444444"/>
          <w:szCs w:val="24"/>
        </w:rPr>
        <w:t>Artikolu 45</w:t>
      </w:r>
    </w:p>
    <w:p>
      <w:pPr>
        <w:shd w:val="clear" w:color="auto" w:fill="FFFFFF"/>
        <w:spacing w:before="60" w:line="312" w:lineRule="atLeast"/>
        <w:jc w:val="center"/>
        <w:rPr>
          <w:rFonts w:eastAsia="Times New Roman"/>
          <w:b/>
          <w:bCs/>
          <w:noProof/>
          <w:color w:val="444444"/>
          <w:szCs w:val="24"/>
        </w:rPr>
      </w:pPr>
      <w:r>
        <w:rPr>
          <w:b/>
          <w:bCs/>
          <w:noProof/>
          <w:color w:val="444444"/>
          <w:szCs w:val="24"/>
        </w:rPr>
        <w:t>Lemħ u spezzjoni fiż-Żona Regolatorja ta’ bastimenti ta’ parti li mhix Parti Kontraenti</w:t>
      </w:r>
    </w:p>
    <w:p>
      <w:pPr>
        <w:pStyle w:val="Text1"/>
        <w:rPr>
          <w:noProof/>
        </w:rPr>
      </w:pPr>
      <w:r>
        <w:rPr>
          <w:noProof/>
        </w:rPr>
        <w:t>L-Istati Membri kollha, jew l-EFCA, meta dan ikun xieraq, li jkunu qed iwettqu spezzjoni u/jew sorveljanza fiż-Żona Regolatorja awtorizzati skont l-Iskema Konġunta ta’ Spezzjoni u ta’ Sorveljanza li jilmħu bastiment ta’ parti li mhix Parti Kontraenti jwettaq attivitajiet tas-sajd fiż-Żona Regolatorja jew li jidentifikaw bastiment ta’ dan it-tip jagħmel dan, għandhom:</w:t>
      </w:r>
    </w:p>
    <w:p>
      <w:pPr>
        <w:pStyle w:val="Text1"/>
        <w:rPr>
          <w:rFonts w:eastAsia="Times New Roman"/>
          <w:noProof/>
          <w:color w:val="444444"/>
          <w:szCs w:val="24"/>
        </w:rPr>
      </w:pPr>
      <w:r>
        <w:rPr>
          <w:noProof/>
        </w:rPr>
        <w:t xml:space="preserve">(a) </w:t>
      </w:r>
      <w:r>
        <w:rPr>
          <w:noProof/>
          <w:color w:val="444444"/>
          <w:szCs w:val="24"/>
        </w:rPr>
        <w:t>jibagħtu l-informazzjoni lill-Kummissjoni minnufih billi jużaw il-format tar-rapport ta’ sorveljanza stabbilit fl-Anness IV.A tas-CEM imsemmi fil-punt 38 tal-Anness ta’ dan ir-Regolament;</w:t>
      </w:r>
    </w:p>
    <w:p>
      <w:pPr>
        <w:pStyle w:val="Text1"/>
        <w:rPr>
          <w:rFonts w:eastAsia="Times New Roman"/>
          <w:noProof/>
          <w:color w:val="444444"/>
          <w:szCs w:val="24"/>
        </w:rPr>
      </w:pPr>
      <w:r>
        <w:rPr>
          <w:noProof/>
        </w:rPr>
        <w:t xml:space="preserve">(b) </w:t>
      </w:r>
      <w:r>
        <w:rPr>
          <w:noProof/>
          <w:color w:val="444444"/>
          <w:szCs w:val="24"/>
        </w:rPr>
        <w:t>jippruvaw jinfurmaw lill-kaptan tal-bastiment li l-bastiment qed jitqies li qed iwettaq sajd IUU u li din l-informazzjoni se tintbagħat lill-Partijiet Kontraenti kollha, lill-organizzazzjonijiet reġjonali għall-ġestjoni tas-sajd rilevanti u lill-Istat tal-bandiera tal-bastiment;</w:t>
      </w:r>
    </w:p>
    <w:p>
      <w:pPr>
        <w:pStyle w:val="Text1"/>
        <w:rPr>
          <w:rFonts w:eastAsia="Times New Roman"/>
          <w:noProof/>
          <w:color w:val="444444"/>
          <w:szCs w:val="24"/>
        </w:rPr>
      </w:pPr>
      <w:r>
        <w:rPr>
          <w:noProof/>
        </w:rPr>
        <w:t xml:space="preserve">(c) </w:t>
      </w:r>
      <w:r>
        <w:rPr>
          <w:noProof/>
          <w:color w:val="444444"/>
          <w:szCs w:val="24"/>
        </w:rPr>
        <w:t>jitolbu permess lill-kaptan tal-bastiment biex jitilgħu abbord il-bastiment u jispezzjonawh, jekk dan ikun xieraq; u</w:t>
      </w:r>
    </w:p>
    <w:p>
      <w:pPr>
        <w:pStyle w:val="Text1"/>
        <w:rPr>
          <w:noProof/>
        </w:rPr>
      </w:pPr>
      <w:r>
        <w:rPr>
          <w:noProof/>
        </w:rPr>
        <w:t>(d) meta l-kaptan tal-bastiment jaqbel li ssir din l-ispezzjoni:</w:t>
      </w:r>
    </w:p>
    <w:p>
      <w:pPr>
        <w:pStyle w:val="Text1"/>
        <w:rPr>
          <w:rFonts w:eastAsia="Times New Roman"/>
          <w:noProof/>
          <w:color w:val="444444"/>
          <w:szCs w:val="24"/>
        </w:rPr>
      </w:pPr>
      <w:r>
        <w:rPr>
          <w:noProof/>
        </w:rPr>
        <w:t xml:space="preserve">(i) </w:t>
      </w:r>
      <w:r>
        <w:rPr>
          <w:noProof/>
          <w:color w:val="444444"/>
          <w:szCs w:val="24"/>
        </w:rPr>
        <w:t>jibagħtu s-sejbiet tal-ispettur lill-Kummissjoni minnufih billi jużaw il-formola tar-rapport tal-ispezzjoni stabbilita fl-Anness IV.B tas-CEM imsemmi fil-punt 41 tal-Anness ta’ dan ir-Regolament; u</w:t>
      </w:r>
    </w:p>
    <w:p>
      <w:pPr>
        <w:pStyle w:val="Text1"/>
        <w:rPr>
          <w:rFonts w:eastAsia="Times New Roman"/>
          <w:noProof/>
          <w:color w:val="444444"/>
          <w:szCs w:val="24"/>
        </w:rPr>
      </w:pPr>
      <w:r>
        <w:rPr>
          <w:noProof/>
        </w:rPr>
        <w:lastRenderedPageBreak/>
        <w:t xml:space="preserve">(ii) </w:t>
      </w:r>
      <w:r>
        <w:rPr>
          <w:noProof/>
          <w:color w:val="444444"/>
          <w:szCs w:val="24"/>
        </w:rPr>
        <w:t>jagħtu kopja tar-rapport tal-ispezzjoni lill-kaptan tal-bastiment.”;</w:t>
      </w:r>
    </w:p>
    <w:p>
      <w:pPr>
        <w:pStyle w:val="Text1"/>
        <w:rPr>
          <w:rFonts w:eastAsia="Times New Roman"/>
          <w:noProof/>
          <w:color w:val="444444"/>
          <w:szCs w:val="24"/>
          <w:lang w:eastAsia="en-GB"/>
        </w:rPr>
      </w:pPr>
    </w:p>
    <w:p>
      <w:pPr>
        <w:pStyle w:val="Point0"/>
        <w:rPr>
          <w:noProof/>
        </w:rPr>
      </w:pPr>
      <w:r>
        <w:t>(19)</w:t>
      </w:r>
      <w:r>
        <w:tab/>
      </w:r>
      <w:r>
        <w:rPr>
          <w:noProof/>
        </w:rPr>
        <w:t>fl-Artikolu 50(2), jiżdiedu l-punti (i), (j) u (k) li ġejjin:</w:t>
      </w:r>
    </w:p>
    <w:p>
      <w:pPr>
        <w:pStyle w:val="Text1"/>
        <w:rPr>
          <w:noProof/>
        </w:rPr>
      </w:pPr>
      <w:r>
        <w:rPr>
          <w:noProof/>
        </w:rPr>
        <w:t xml:space="preserve"> “(i) id-daqs tal-malji stabbilit fl-Artikolu 13(2);</w:t>
      </w:r>
    </w:p>
    <w:p>
      <w:pPr>
        <w:pStyle w:val="Text1"/>
        <w:ind w:left="970"/>
        <w:rPr>
          <w:noProof/>
        </w:rPr>
      </w:pPr>
      <w:r>
        <w:rPr>
          <w:noProof/>
        </w:rPr>
        <w:t>(j) l-ispeċifikazzjonijiet tekniċi stabbiliti fl-Artikolu 14(2) għall-għeriebel, għall-gradilji u għall-ktajjen bil-kuċinilli li jintużaw fis-sajd għall-gambli tat-Tramuntana;</w:t>
      </w:r>
    </w:p>
    <w:p>
      <w:pPr>
        <w:pStyle w:val="Text1"/>
        <w:rPr>
          <w:noProof/>
        </w:rPr>
      </w:pPr>
      <w:r>
        <w:rPr>
          <w:noProof/>
        </w:rPr>
        <w:t xml:space="preserve"> (k) ir-restrizzjonijiet stabbiliti fl-Artikolu 18 fuq iż-żoni fejn jistgħu jsiru l-attivitajiet tas-sajd tal-qiegħ.”;</w:t>
      </w:r>
    </w:p>
    <w:p>
      <w:pPr>
        <w:pStyle w:val="Text1"/>
        <w:rPr>
          <w:noProof/>
        </w:rPr>
      </w:pPr>
    </w:p>
    <w:p>
      <w:pPr>
        <w:pStyle w:val="Point0"/>
        <w:rPr>
          <w:noProof/>
        </w:rPr>
      </w:pPr>
      <w:r>
        <w:t>(20)</w:t>
      </w:r>
      <w:r>
        <w:tab/>
      </w:r>
      <w:r>
        <w:rPr>
          <w:noProof/>
        </w:rPr>
        <w:t>l-Anness huwa emendat kif ġej:</w:t>
      </w:r>
    </w:p>
    <w:p>
      <w:pPr>
        <w:pStyle w:val="Text1"/>
        <w:rPr>
          <w:noProof/>
        </w:rPr>
      </w:pPr>
      <w:r>
        <w:rPr>
          <w:noProof/>
        </w:rPr>
        <w:t xml:space="preserve">(a) </w:t>
      </w:r>
      <w:r>
        <w:rPr>
          <w:noProof/>
        </w:rPr>
        <w:tab/>
        <w:t>il-punt (44) huwa sostitwit b’dan li ġej:</w:t>
      </w:r>
    </w:p>
    <w:p>
      <w:pPr>
        <w:pStyle w:val="Text1"/>
        <w:rPr>
          <w:noProof/>
        </w:rPr>
      </w:pPr>
      <w:r>
        <w:rPr>
          <w:noProof/>
        </w:rPr>
        <w:t>“(44) l-Anness IV.H tas-CEM dwar l-ispezzjonijiet imsemmi fl-Artikolu 39(11);”;</w:t>
      </w:r>
    </w:p>
    <w:p>
      <w:pPr>
        <w:pStyle w:val="Text1"/>
        <w:rPr>
          <w:noProof/>
        </w:rPr>
      </w:pPr>
      <w:r>
        <w:rPr>
          <w:noProof/>
        </w:rPr>
        <w:t xml:space="preserve">(b) </w:t>
      </w:r>
      <w:r>
        <w:rPr>
          <w:noProof/>
        </w:rPr>
        <w:tab/>
        <w:t>jiżdied il-punt (45) li ġej:</w:t>
      </w:r>
    </w:p>
    <w:p>
      <w:pPr>
        <w:pStyle w:val="Text1"/>
        <w:rPr>
          <w:noProof/>
        </w:rPr>
      </w:pPr>
      <w:r>
        <w:rPr>
          <w:noProof/>
        </w:rPr>
        <w:t>“(45) l-Anness II.XX tas-CEM imsemmi fl-Artikolu 3(31).”.</w:t>
      </w:r>
    </w:p>
    <w:p>
      <w:pPr>
        <w:pStyle w:val="Titrearticle"/>
        <w:rPr>
          <w:noProof/>
        </w:rPr>
      </w:pPr>
      <w:r>
        <w:rPr>
          <w:noProof/>
        </w:rPr>
        <w:t>Artikolu 2</w:t>
      </w:r>
    </w:p>
    <w:p>
      <w:pPr>
        <w:rPr>
          <w:noProof/>
        </w:rPr>
      </w:pPr>
      <w:r>
        <w:rPr>
          <w:noProof/>
        </w:rPr>
        <w:t>Dan ir-Regolament għandu jidħol fis-seħħ fl-għoxrin jum wara dak tal-pubblikazzjoni tiegħu f’</w:t>
      </w:r>
      <w:r>
        <w:rPr>
          <w:i/>
          <w:noProof/>
        </w:rPr>
        <w:t>Il-Ġurnal Uffiċjali tal-Unjoni Ewropea</w:t>
      </w:r>
      <w:r>
        <w:rPr>
          <w:noProof/>
        </w:rPr>
        <w:t>.</w:t>
      </w:r>
    </w:p>
    <w:p>
      <w:pPr>
        <w:pStyle w:val="Applicationdirecte"/>
        <w:rPr>
          <w:noProof/>
        </w:rPr>
      </w:pPr>
      <w:r>
        <w:rPr>
          <w:noProof/>
        </w:rPr>
        <w:t>Dan ir-Regolament għandu jorbot fl-intier tiegħu u japplika direttament fl-Istati Membri kollha.</w:t>
      </w:r>
    </w:p>
    <w:p>
      <w:pPr>
        <w:pStyle w:val="Fait"/>
        <w:rPr>
          <w:noProof/>
        </w:rPr>
      </w:pPr>
      <w:r>
        <w:t>Magħmul fi Brussell,</w:t>
      </w:r>
    </w:p>
    <w:p>
      <w:pPr>
        <w:pStyle w:val="Institutionquisigne"/>
        <w:rPr>
          <w:noProof/>
        </w:rPr>
      </w:pPr>
      <w:r>
        <w:rPr>
          <w:noProof/>
        </w:rPr>
        <w:t>Għall-Parlament Ewropew</w:t>
      </w:r>
      <w:r>
        <w:rPr>
          <w:noProof/>
        </w:rPr>
        <w:tab/>
        <w:t>Għall-Kunsill</w:t>
      </w:r>
    </w:p>
    <w:p>
      <w:pPr>
        <w:pStyle w:val="Personnequisigne"/>
        <w:rPr>
          <w:noProof/>
        </w:rPr>
      </w:pPr>
      <w:r>
        <w:rPr>
          <w:noProof/>
        </w:rPr>
        <w:t>Il-President</w:t>
      </w:r>
      <w:r>
        <w:rPr>
          <w:noProof/>
        </w:rPr>
        <w:tab/>
        <w:t>Il-President</w:t>
      </w:r>
    </w:p>
    <w:sect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14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0"/>
        </w:rPr>
        <w:footnoteRef/>
      </w:r>
      <w:r>
        <w:tab/>
        <w:t>ĠU C , , p. .</w:t>
      </w:r>
    </w:p>
  </w:footnote>
  <w:footnote w:id="2">
    <w:p>
      <w:pPr>
        <w:pStyle w:val="FootnoteText"/>
      </w:pPr>
      <w:r>
        <w:rPr>
          <w:rStyle w:val="FootnoteReference0"/>
        </w:rPr>
        <w:footnoteRef/>
      </w:r>
      <w:r>
        <w:tab/>
        <w:t>Ir-Regolament (UE) 2019/833 tal-Parlament Ewropew u tal-Kunsill tal-20 ta’ Mejju 2019 li jistabbilixxi miżuri ta’ konservazzjoni u ta’ infurzar li japplikaw fiż-Żona Regolatorja tal-Organizzazzjoni tas-Sajd fl-Atlantiku tal-Majjistral, li jemenda r-Regolament (UE) 2016/1627 u li jħassar ir-Regolamenti tal-Kunsill (KE) Nru 2115/2005 u (KE) Nru 1386/2007 (ĠU L 141, 28.5.2019, p. 1).</w:t>
      </w:r>
    </w:p>
  </w:footnote>
  <w:footnote w:id="3">
    <w:p>
      <w:pPr>
        <w:pStyle w:val="FootnoteText"/>
      </w:pPr>
      <w:r>
        <w:rPr>
          <w:rStyle w:val="FootnoteReference0"/>
        </w:rPr>
        <w:footnoteRef/>
      </w:r>
      <w:r>
        <w:tab/>
        <w:t>Ir-Regolament (UE) 2019/473 tal-Parlament Ewropew u tal-Kunsill tad-19 ta’ Marzu 2019 dwar l-Aġenzija Ewropea għall-Kontroll tas-Sajd (ĠU L 83, 25.3.2019, p. 18).</w:t>
      </w:r>
    </w:p>
  </w:footnote>
  <w:footnote w:id="4">
    <w:p>
      <w:pPr>
        <w:spacing w:before="0" w:after="0"/>
        <w:ind w:left="851" w:hanging="851"/>
        <w:jc w:val="left"/>
        <w:rPr>
          <w:noProof/>
          <w:sz w:val="20"/>
          <w:szCs w:val="20"/>
        </w:rPr>
      </w:pPr>
      <w:r>
        <w:rPr>
          <w:rStyle w:val="FootnoteReference0"/>
        </w:rPr>
        <w:footnoteRef/>
      </w:r>
      <w:r>
        <w:tab/>
      </w:r>
      <w:r>
        <w:rPr>
          <w:sz w:val="20"/>
          <w:szCs w:val="20"/>
        </w:rPr>
        <w:t>ĠU L 123, 12.5.2016, p. 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22600E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DB225B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6CD4A4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D34A84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F5625A7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741E0A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C7C210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C1601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21"/>
    <w:lvlOverride w:ilvl="0">
      <w:startOverride w:val="1"/>
    </w:lvlOverride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2"/>
  </w:num>
  <w:num w:numId="13">
    <w:abstractNumId w:val="20"/>
  </w:num>
  <w:num w:numId="14">
    <w:abstractNumId w:val="11"/>
  </w:num>
  <w:num w:numId="15">
    <w:abstractNumId w:val="13"/>
  </w:num>
  <w:num w:numId="16">
    <w:abstractNumId w:val="9"/>
  </w:num>
  <w:num w:numId="17">
    <w:abstractNumId w:val="19"/>
  </w:num>
  <w:num w:numId="18">
    <w:abstractNumId w:val="8"/>
  </w:num>
  <w:num w:numId="19">
    <w:abstractNumId w:val="14"/>
  </w:num>
  <w:num w:numId="20">
    <w:abstractNumId w:val="16"/>
  </w:num>
  <w:num w:numId="21">
    <w:abstractNumId w:val="17"/>
  </w:num>
  <w:num w:numId="22">
    <w:abstractNumId w:val="10"/>
  </w:num>
  <w:num w:numId="23">
    <w:abstractNumId w:val="15"/>
  </w:num>
  <w:num w:numId="24">
    <w:abstractNumId w:val="21"/>
  </w:num>
  <w:num w:numId="25">
    <w:abstractNumId w:val="18"/>
  </w:num>
  <w:num w:numId="26">
    <w:abstractNumId w:val="12"/>
  </w:num>
  <w:num w:numId="27">
    <w:abstractNumId w:val="20"/>
  </w:num>
  <w:num w:numId="28">
    <w:abstractNumId w:val="11"/>
  </w:num>
  <w:num w:numId="29">
    <w:abstractNumId w:val="13"/>
  </w:num>
  <w:num w:numId="30">
    <w:abstractNumId w:val="9"/>
  </w:num>
  <w:num w:numId="31">
    <w:abstractNumId w:val="19"/>
  </w:num>
  <w:num w:numId="32">
    <w:abstractNumId w:val="8"/>
  </w:num>
  <w:num w:numId="33">
    <w:abstractNumId w:val="14"/>
  </w:num>
  <w:num w:numId="34">
    <w:abstractNumId w:val="16"/>
  </w:num>
  <w:num w:numId="35">
    <w:abstractNumId w:val="17"/>
  </w:num>
  <w:num w:numId="36">
    <w:abstractNumId w:val="10"/>
  </w:num>
  <w:num w:numId="37">
    <w:abstractNumId w:val="15"/>
  </w:num>
  <w:num w:numId="38">
    <w:abstractNumId w:val="2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0-05-27 09:22:33"/>
    <w:docVar w:name="DQCResult_Distribution" w:val="0;1"/>
    <w:docVar w:name="DQCResult_DocumentContent" w:val="0;0"/>
    <w:docVar w:name="DQCResult_DocumentSize" w:val="0;0"/>
    <w:docVar w:name="DQCResult_DocumentVersions" w:val="0;0"/>
    <w:docVar w:name="DQCResult_InvalidFootnotes" w:val="0;0"/>
    <w:docVar w:name="DQCResult_LinkedStyles" w:val="0;0"/>
    <w:docVar w:name="DQCResult_ModifiedMargins" w:val="0;4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31"/>
    <w:docVar w:name="DQCResult_UnknownFonts" w:val="0;0"/>
    <w:docVar w:name="DQCResult_UnknownStyles" w:val="0;1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E3EF37AF-B9F3-4B58-9800-A3A19D8CA358"/>
    <w:docVar w:name="LW_COVERPAGE_TYPE" w:val="1"/>
    <w:docVar w:name="LW_CROSSREFERENCE" w:val="&lt;UNUSED&gt;"/>
    <w:docVar w:name="LW_DocType" w:val="COM"/>
    <w:docVar w:name="LW_EMISSION" w:val="29.5.2020"/>
    <w:docVar w:name="LW_EMISSION_ISODATE" w:val="2020-05-29"/>
    <w:docVar w:name="LW_EMISSION_LOCATION" w:val="BRX"/>
    <w:docVar w:name="LW_EMISSION_PREFIX" w:val="Brussell, "/>
    <w:docVar w:name="LW_EMISSION_SUFFIX" w:val=" "/>
    <w:docVar w:name="LW_ID_DOCMODEL" w:val="SJ-023"/>
    <w:docVar w:name="LW_ID_DOCSIGNATURE" w:val="SJ-023"/>
    <w:docVar w:name="LW_ID_DOCSTRUCTURE" w:val="COM/PL/ORG"/>
    <w:docVar w:name="LW_ID_DOCTYPE" w:val="SJ-023"/>
    <w:docVar w:name="LW_ID_EXP.MOTIFS.NEW" w:val="EM_PL_"/>
    <w:docVar w:name="LW_ID_STATUT" w:val="SJ-023"/>
    <w:docVar w:name="LW_INTERETEEE.CP" w:val="&lt;UNUSED&gt;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095"/>
    <w:docVar w:name="LW_REF.II.NEW.CP_YEAR" w:val="2020"/>
    <w:docVar w:name="LW_REF.INST.NEW" w:val="COM"/>
    <w:docVar w:name="LW_REF.INST.NEW_ADOPTED" w:val="final"/>
    <w:docVar w:name="LW_REF.INST.NEW_TEXT" w:val="(2020) 215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Proposta g\u295?al"/>
    <w:docVar w:name="LW_SUPERTITRE" w:val="&lt;UNUSED&gt;"/>
    <w:docVar w:name="LW_TITRE.OBJ.CP" w:val="li jemenda r-Regolament (UE) 2019/833 tal-Parlament Ewropew u tal-Kunsill tal-20 ta\u8217? Mejju 2019 li jistabbilixxi mi\u380?uri ta\u8217? konservazzjoni u ta\u8217? infurzar li japplikaw fi\u380?-\u379?ona Regolatorja tal-Organizzazzjoni tas-Sajd fl-Atlantiku tal-Majjistral"/>
    <w:docVar w:name="LW_TYPE.DOC.CP" w:val="REGOLAMENT TAL-PARLAMENT EWROPEW U TAL-KUNSILL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reference">
    <w:name w:val="footnotereference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mt-MT"/>
    </w:rPr>
  </w:style>
  <w:style w:type="character" w:styleId="FootnoteReference0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vr">
    <w:name w:val="hvr"/>
    <w:basedOn w:val="DefaultParagraphFont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mt-M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reference">
    <w:name w:val="footnotereference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mt-MT"/>
    </w:rPr>
  </w:style>
  <w:style w:type="character" w:styleId="FootnoteReference0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vr">
    <w:name w:val="hvr"/>
    <w:basedOn w:val="DefaultParagraphFont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mt-M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5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9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A767394-F6FE-4594-9E69-195592272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3</TotalTime>
  <Pages>15</Pages>
  <Words>4848</Words>
  <Characters>33403</Characters>
  <Application>Microsoft Office Word</Application>
  <DocSecurity>0</DocSecurity>
  <Lines>566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19</cp:revision>
  <dcterms:created xsi:type="dcterms:W3CDTF">2020-05-20T08:04:00Z</dcterms:created>
  <dcterms:modified xsi:type="dcterms:W3CDTF">2020-05-27T07:22:00Z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7.0.8.0</vt:lpwstr>
  </property>
  <property fmtid="{D5CDD505-2E9C-101B-9397-08002B2CF9AE}" pid="4" name="Last edited using">
    <vt:lpwstr>LW 7.0, Build 20190717</vt:lpwstr>
  </property>
  <property fmtid="{D5CDD505-2E9C-101B-9397-08002B2CF9AE}" pid="5" name="Created using">
    <vt:lpwstr>LW 7.0, Build 20190717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SJ-023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