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49E03831-CC23-4433-A598-7656D5CD05F8" style="width:451.25pt;height:338.25pt">
            <v:imagedata r:id="rId8" o:title=""/>
          </v:shape>
        </w:pict>
      </w:r>
    </w:p>
    <w:p>
      <w:pPr>
        <w:rPr>
          <w:noProof/>
        </w:rPr>
        <w:sectPr>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MEMORANDUM TA’ SPJEGAZZJONI</w:t>
      </w:r>
    </w:p>
    <w:p>
      <w:pPr>
        <w:pStyle w:val="ManualHeading1"/>
        <w:rPr>
          <w:noProof/>
        </w:rPr>
      </w:pPr>
      <w:r>
        <w:rPr>
          <w:noProof/>
        </w:rPr>
        <w:t>1.</w:t>
      </w:r>
      <w:r>
        <w:rPr>
          <w:noProof/>
        </w:rPr>
        <w:tab/>
        <w:t>KUNTEST TAL-PROPOSTA</w:t>
      </w:r>
    </w:p>
    <w:p>
      <w:pPr>
        <w:pStyle w:val="ManualHeading2"/>
        <w:rPr>
          <w:rFonts w:eastAsia="Arial Unicode MS"/>
          <w:noProof/>
        </w:rPr>
      </w:pPr>
      <w:r>
        <w:rPr>
          <w:noProof/>
          <w:color w:val="000000"/>
          <w:u w:color="000000"/>
          <w:bdr w:val="nil"/>
        </w:rPr>
        <w:t>•</w:t>
      </w:r>
      <w:r>
        <w:rPr>
          <w:noProof/>
        </w:rPr>
        <w:tab/>
        <w:t>Raġunijiet u objettivi tal-proposta</w:t>
      </w:r>
    </w:p>
    <w:p>
      <w:pPr>
        <w:rPr>
          <w:noProof/>
        </w:rPr>
      </w:pPr>
      <w:r>
        <w:rPr>
          <w:noProof/>
        </w:rPr>
        <w:t>Din id-Deċiżjoni tkopri l-mobilizzazzjoni tal-Fond ta’ Solidarjetà tal-Unjoni Ewropea (FSUE) skont ir-Regolament tal-Kunsill (KE) Nru 2012/2002 (“ir-Regolament”) għal ammont ta’ EUR 278 993 814 biex tingħata assistenza lill-Portugall, lil Spanja, lill-Italja u lill-Awstrija wara diżastri li seħħew f’dawn il-pajjiżi matul l-2019. Din il-mobilizzazzjoni hija akkompanjata mill-Abbozz ta’ Baġit Emendatorju (ABE) Nru 4/2020</w:t>
      </w:r>
      <w:r>
        <w:rPr>
          <w:rStyle w:val="FootnoteReference"/>
          <w:noProof/>
        </w:rPr>
        <w:footnoteReference w:id="1"/>
      </w:r>
      <w:r>
        <w:rPr>
          <w:noProof/>
        </w:rPr>
        <w:t xml:space="preserve"> li jipproponi li l-approprjazzjonijiet meħtieġa jiddaħħlu fil-baġit ġenerali tal-2020 kemm bħala impenji kif ukoll f’pagamenti.</w:t>
      </w:r>
    </w:p>
    <w:p>
      <w:pPr>
        <w:pStyle w:val="ManualHeading2"/>
        <w:spacing w:before="240"/>
        <w:ind w:left="851" w:hanging="851"/>
        <w:rPr>
          <w:noProof/>
        </w:rPr>
      </w:pPr>
      <w:r>
        <w:rPr>
          <w:noProof/>
        </w:rPr>
        <w:t>2.1</w:t>
      </w:r>
      <w:r>
        <w:rPr>
          <w:noProof/>
        </w:rPr>
        <w:tab/>
        <w:t>Il-Portugall - L-Uragan Lorenzo fl-Azores f’Ottubru 2019</w:t>
      </w:r>
    </w:p>
    <w:p>
      <w:pPr>
        <w:rPr>
          <w:noProof/>
        </w:rPr>
      </w:pPr>
      <w:r>
        <w:rPr>
          <w:noProof/>
        </w:rPr>
        <w:t>L-Uragan Lorenzo kien ċiklun tropikali, l-aktar il-Lvant u l-eqreb tal-Ewropa li qatt ġie rreġistrat. Matul l-aħħar ta’ Settembru, dan żviluppa minn mewġa tropikali għal uragan tal-Kategorija 5. Waqt li mexa lejn il-Grigal l-Uragan Lorenzo għadda mill-Azores fit-2 ta’ Ottubru 2019, u dan ikkawża ħsara kbira fl-infrastrutturi pubbliċi u privati u kellu impatt fuq il-ħajja ta’ kuljum tan-nies, in-negozji u l-istituzzjonijiet.</w:t>
      </w:r>
    </w:p>
    <w:p>
      <w:pPr>
        <w:pStyle w:val="Point0"/>
        <w:rPr>
          <w:noProof/>
        </w:rPr>
      </w:pPr>
      <w:r>
        <w:rPr>
          <w:noProof/>
        </w:rPr>
        <w:t>(1)</w:t>
      </w:r>
      <w:r>
        <w:rPr>
          <w:noProof/>
        </w:rPr>
        <w:tab/>
        <w:t>Il-Portugall applika għall-għajnuna mill-FSUE fit-8 ta’ Novembru 2019, fil-limitu ta' żmien ta’ 12-il ġimgħa, wara li ġiet irreġistrata l-ewwel ħsara fit-2 ta’ Ottubru 2019. L-applikazzjoni tirrigwarda reġjun wieħed NUTS livell 2 (Região Autónoma dos Açores) u ġiet ippreżentata bħala “diżastru reġjonali” skont l-Artikolu 2(3) tar-Regolament.</w:t>
      </w:r>
    </w:p>
    <w:p>
      <w:pPr>
        <w:pStyle w:val="Point0"/>
        <w:rPr>
          <w:noProof/>
        </w:rPr>
      </w:pPr>
      <w:r>
        <w:rPr>
          <w:noProof/>
        </w:rPr>
        <w:t>(2)</w:t>
      </w:r>
      <w:r>
        <w:rPr>
          <w:noProof/>
        </w:rPr>
        <w:tab/>
        <w:t>Id-diżastru huwa ta' oriġini naturali u għalhekk jaqa' taħt l-ambitu tal-applikazzjoni tal-FSUE.</w:t>
      </w:r>
    </w:p>
    <w:p>
      <w:pPr>
        <w:pStyle w:val="Point0"/>
        <w:rPr>
          <w:noProof/>
        </w:rPr>
      </w:pPr>
      <w:r>
        <w:rPr>
          <w:noProof/>
        </w:rPr>
        <w:t>(3)</w:t>
      </w:r>
      <w:r>
        <w:rPr>
          <w:noProof/>
        </w:rPr>
        <w:tab/>
        <w:t>L-awtoritajiet Portugiżi jistmaw li l-ħsara diretta totali kkawżata mid-diżastru hija ta’ EUR 328,5 miljun. L-applikazzjoni ġiet ippreżentata fuq il-bażi tal-kriterji tad-“diżastri reġjonali” kif stabbilit fl-Artikolu 2(3) tar-Regolament li jiddefinixxi l-kunċett ta’ “diżastru reġjonali” bħala kwalunkwe diżastru naturali li jirriżulta, f’reġjun fil-livell NUTS 2 ta’ Stat eliġibbli, fi ħsara diretta li taqbeż il-1,5 % tal-PDG ta’ dak ir-reġjun. Għar-reġjuni ultraperiferiċi — li jinkludu l-Azores — il-limitu minimu huwa ta’ 1 % tal-PDG reġjonali. Il-ħsara diretta rrappurtata tirrappreżenta 8,4 % tal-PDG tar-reġjun (EUR 3 927 miljun abbażi tad-</w:t>
      </w:r>
      <w:r>
        <w:rPr>
          <w:i/>
          <w:iCs/>
          <w:noProof/>
        </w:rPr>
        <w:t>data</w:t>
      </w:r>
      <w:r>
        <w:rPr>
          <w:noProof/>
        </w:rPr>
        <w:t xml:space="preserve"> tal-2016) u għalhekk taqbeż il-limitu minimu ta’ 1 %. Għaldaqstant, it-talba mressqa mill-Portugall hija eliġibbli għal kontribuzzjoni mill-FSUE.</w:t>
      </w:r>
    </w:p>
    <w:p>
      <w:pPr>
        <w:pStyle w:val="Point0"/>
        <w:rPr>
          <w:noProof/>
        </w:rPr>
      </w:pPr>
      <w:r>
        <w:rPr>
          <w:noProof/>
        </w:rPr>
        <w:t>(4)</w:t>
      </w:r>
      <w:r>
        <w:rPr>
          <w:noProof/>
        </w:rPr>
        <w:tab/>
        <w:t>Il-ħsara diretta totali hija l-bażi li fuqha jsir il-kalkolu tal-ammont tal-kontribuzzjoni finanzjarja mill-Fond. Il-kontribuzzjoni finanzjarja tista’ tintuża biss għal operazzjonijiet essenzjali ta’ emerġenza u ta' rkupru kif definit fl-Artikolu 3 tar-Regolament.</w:t>
      </w:r>
    </w:p>
    <w:p>
      <w:pPr>
        <w:pStyle w:val="Point0"/>
        <w:rPr>
          <w:noProof/>
        </w:rPr>
      </w:pPr>
      <w:r>
        <w:rPr>
          <w:noProof/>
        </w:rPr>
        <w:t>(5)</w:t>
      </w:r>
      <w:r>
        <w:rPr>
          <w:noProof/>
        </w:rPr>
        <w:tab/>
        <w:t>Fl-applikazzjoni tiegħu, il-Portugall talab għal ħlas bil-quddiem kif stabbilit fl-Artikolu 4a tar-Regolament. Fil-11 ta’ Diċembru 2019, il-Kummissjoni adottat id-Deċiżjoni ta’ Implimentazzjoni C(2019) 9067 fejn allokat 10 % ta’ ħlas bil-quddiem li jammonta għal EUR 821 270 fuq il-kontribuzzjoni finanzjarja antiċipata mill-Fond u mbagħad ħalsitha kollha kemm hi lill-Portugall.</w:t>
      </w:r>
    </w:p>
    <w:p>
      <w:pPr>
        <w:pStyle w:val="Point0"/>
        <w:rPr>
          <w:noProof/>
        </w:rPr>
      </w:pPr>
      <w:r>
        <w:rPr>
          <w:noProof/>
        </w:rPr>
        <w:lastRenderedPageBreak/>
        <w:t>(6)</w:t>
      </w:r>
      <w:r>
        <w:rPr>
          <w:noProof/>
        </w:rPr>
        <w:tab/>
        <w:t>Fl-applikazzjoni tagħhom, l-awtoritajiet Portugiżi jiddeskrivu fid-dettall in-natura u l-impatt tad-diżastru. Mis-26 ta’ Settembru, is-Servizz Reġjonali ta’ Protezzjoni Ċivili u n-Nirien Reġjonali tal-Azores ħejja għall-passaġġ tal-uragan. Il-ħsara prinċipali saret f’żoni partikolarment esposti għar-riħ u l-mewġ, b’mod partikolari fil-portijiet. Barra minn hekk, in-netwerks tal-ilma, tal-enerġija u tal-komunikazzjoni ġew interrotti. It-toroq, l-ajruporti, l-iskejjel u l-isptarijiet kienu danneġġati kif ukoll assi pubbliċi oħra. Bħala konsegwenza, in-nies privati, in-negozji, is-sajd u l-agrikoltura kif ukoll it-turiżmu sofrew telf. Il-ħsara serja lill-infrastruttura tal-protezzjoni kostali ħalliet il-popolazzjoni esposta għal riskji akbar.</w:t>
      </w:r>
    </w:p>
    <w:p>
      <w:pPr>
        <w:pStyle w:val="Point0"/>
        <w:rPr>
          <w:noProof/>
        </w:rPr>
      </w:pPr>
      <w:r>
        <w:rPr>
          <w:noProof/>
        </w:rPr>
        <w:t>(7)</w:t>
      </w:r>
      <w:r>
        <w:rPr>
          <w:noProof/>
        </w:rPr>
        <w:tab/>
        <w:t>Il-Portugall qies li l-ispiża tal-operazzjonijiet ta’ emerġenza u rkupru eliġibbli skont l-Artikolu 3(2) tar-Regolament tammonta għal EUR 279,3 miljun u ppreżentata maqsuma skont it-tip ta’ operazzjoni. Il-parti l-kbira tal-kostijiet eliġibbli (kważi EUR 270 miljun) tikkonċerna kostijiet għar-restawr tal-infrastruttura tat-trasport, b’mod partikolari l-portijiet.</w:t>
      </w:r>
    </w:p>
    <w:p>
      <w:pPr>
        <w:pStyle w:val="Point0"/>
        <w:rPr>
          <w:noProof/>
        </w:rPr>
      </w:pPr>
      <w:r>
        <w:rPr>
          <w:noProof/>
        </w:rPr>
        <w:t>(8)</w:t>
      </w:r>
      <w:r>
        <w:rPr>
          <w:noProof/>
        </w:rPr>
        <w:tab/>
        <w:t xml:space="preserve">L-awtoritajiet Portugiżi kkomunikaw li ma kien hemm l-ebda </w:t>
      </w:r>
      <w:r>
        <w:rPr>
          <w:i/>
          <w:iCs/>
          <w:noProof/>
        </w:rPr>
        <w:t>data</w:t>
      </w:r>
      <w:r>
        <w:rPr>
          <w:noProof/>
        </w:rPr>
        <w:t xml:space="preserve"> disponibbli bħalissa dwar il-kopertura tal-assigurazzjoni tal-kostijiet eliġibbli.</w:t>
      </w:r>
    </w:p>
    <w:p>
      <w:pPr>
        <w:pStyle w:val="Point0"/>
        <w:rPr>
          <w:noProof/>
        </w:rPr>
      </w:pPr>
      <w:r>
        <w:rPr>
          <w:noProof/>
        </w:rPr>
        <w:t>(9)</w:t>
      </w:r>
      <w:r>
        <w:rPr>
          <w:noProof/>
        </w:rPr>
        <w:tab/>
        <w:t>Ir-reġjun milqut huwa "reġjun inqas żviluppat" taħt il-Fondi Strutturali u ta' Investiment Ewropej (2014-2020). L-awtoritajiet Portugiżi indikaw lill-Kummissjoni li ma kellhomx l-intenzjoni li jirriallokaw fondi mill-programmi tal-Fondi SIE għall-miżuri tal-irkupru.</w:t>
      </w:r>
    </w:p>
    <w:p>
      <w:pPr>
        <w:pStyle w:val="Point0"/>
        <w:rPr>
          <w:noProof/>
        </w:rPr>
      </w:pPr>
      <w:r>
        <w:rPr>
          <w:noProof/>
        </w:rPr>
        <w:t>(10)</w:t>
      </w:r>
      <w:r>
        <w:rPr>
          <w:noProof/>
        </w:rPr>
        <w:tab/>
        <w:t>Fir-rigward tal-implimentazzjoni tal-leġiżlazzjoni tal-Unjoni dwar il-prevenzjoni u l-ġestjoni tar-riskji tad-diżastri, bħalissa ma hemm l-ebda proċedura ta’ ksur għaddejja. L-applikazzjoni Portugiża tiddeskrivi fil-qosor li r-Rakkomandazzjoni 2002/413/KE tal-Parlament Ewropew u tal-Kunsill li tistabbilixxi l-prinċipji ġenerali u l-għażliet għal Strateġija Integrata ta’ Ġestjoni taż-Żona Kostali fl-Ewropa sservi bħala bażi ta’ gwida għall-ġestjoni kostali u d-definizzjoni ta’ interventi ta’ protezzjoni kostali fl-Azores. Bħalissa għaddejja ħidma dwar l-implimentazzjoni tad-Direttiva 2007/60/KE dwar il-valutazzjoni u l-immaniġġjar tar-riskji tal-għargħar u d-degradazzjoni kostali.</w:t>
      </w:r>
    </w:p>
    <w:p>
      <w:pPr>
        <w:pStyle w:val="ManualHeading2"/>
        <w:spacing w:before="240"/>
        <w:ind w:left="851" w:hanging="851"/>
        <w:rPr>
          <w:noProof/>
        </w:rPr>
      </w:pPr>
      <w:r>
        <w:rPr>
          <w:noProof/>
        </w:rPr>
        <w:t>2.2</w:t>
      </w:r>
      <w:r>
        <w:rPr>
          <w:noProof/>
        </w:rPr>
        <w:tab/>
        <w:t>Spanja – L-għargħar fir-reġjuni ta’ Valenzja, Murcia, Castilla-La Mancha u Andalusija f’Settembru 2019</w:t>
      </w:r>
    </w:p>
    <w:p>
      <w:pPr>
        <w:rPr>
          <w:noProof/>
        </w:rPr>
      </w:pPr>
      <w:r>
        <w:rPr>
          <w:noProof/>
        </w:rPr>
        <w:t>Mid-9 ta’ Settembru 2019, fenomenu meteoroloġiku rari deskritt bħala “depressjoni iżolata ta’ altitudni għolja” (Depresidón Abalada en niveles Altos, DANA) affettwa l-lvant tal-peniżola Iberiċi. Il-fenomenu, li huwa kkaratterizzat minn xita estrema li wasslet għall-għargħar, laħaq il-quċċata tiegħu bejn it-12 u l-16 ta’ Settembru u żoni kbar ħafna fir-reġjuni ta’ Valenzja, Murcia, Castilla-La Mancha u Andalusija.</w:t>
      </w:r>
    </w:p>
    <w:p>
      <w:pPr>
        <w:pStyle w:val="Point0"/>
        <w:rPr>
          <w:noProof/>
        </w:rPr>
      </w:pPr>
      <w:r>
        <w:rPr>
          <w:noProof/>
        </w:rPr>
        <w:t>(1)</w:t>
      </w:r>
      <w:r>
        <w:rPr>
          <w:noProof/>
        </w:rPr>
        <w:tab/>
        <w:t xml:space="preserve">Spanja applikat għall-għajnuna mill-FSUE fit-28 ta’ Novembru 2019, fil-limitu ta' żmien ta’ 12-il ġimgħa, wara li ġiet irreġistrata l-ewwel ħsara fid-9 ta’ Settembru 2019. L-applikazzjoni tirrigwarda erba’ reġjuni tan-NUTS livell 2 ta’ Spanja (il-Komunità ta’ Valenzja, ir-Reġjun ta’ Murcia, Castilla-La Mancha u Andalusija) u ġiet ippreżentata bħala “diżastru reġjonali” skont l-Artikolu 2(3) tar-Regolament. Wara talba mill-Kummissjoni, ġiet ippreżentata informazzjoni addizzjonali biex tiġi kkompletata l-applikazzjoni fit-18 ta’ Diċembru 2019 u fid-29 ta’ Jannar 2020. </w:t>
      </w:r>
    </w:p>
    <w:p>
      <w:pPr>
        <w:pStyle w:val="Point0"/>
        <w:rPr>
          <w:noProof/>
        </w:rPr>
      </w:pPr>
      <w:r>
        <w:rPr>
          <w:noProof/>
        </w:rPr>
        <w:t>(2)</w:t>
      </w:r>
      <w:r>
        <w:rPr>
          <w:noProof/>
        </w:rPr>
        <w:tab/>
        <w:t>Id-diżastru huwa ta' oriġini naturali u għalhekk jaqa' taħt l-ambitu tal-applikazzjoni tal-FSUE.</w:t>
      </w:r>
    </w:p>
    <w:p>
      <w:pPr>
        <w:pStyle w:val="Point0"/>
        <w:rPr>
          <w:noProof/>
        </w:rPr>
      </w:pPr>
      <w:r>
        <w:rPr>
          <w:noProof/>
        </w:rPr>
        <w:t>(3)</w:t>
      </w:r>
      <w:r>
        <w:rPr>
          <w:noProof/>
        </w:rPr>
        <w:tab/>
        <w:t>L-awtoritajiet Spanjoli stmaw li l-ħsara diretta totali kkawżata mid-diżastru tammonta għal EUR 2 269,7 miljun. L-applikazzjoni ġiet ippreżentata fuq il-bażi tal-</w:t>
      </w:r>
      <w:r>
        <w:rPr>
          <w:noProof/>
        </w:rPr>
        <w:lastRenderedPageBreak/>
        <w:t>kriterji tad-“diżastri reġjonali” kif stabbilit fl-Artikolu 2(3) tar-Regolament li jiddefinixxi l-kunċett ta’ “diżastru reġjonali” bħala kwalunkwe diżastru naturali li jirriżulta, f’reġjun fil-livell NUTS 2 ta’ Stat eliġibbli, fi ħsara diretta li taqbeż il-1,5 % tal-PDG ta’ dak ir-reġjun. Minħabba li d-diżastru jikkonċerna diversi reġjuni japplika l-PDG medju ponderat skont is-sehem tal-ħsara f’kull reġjun. Għaldaqstant, l-ammont ta’ ħsara rrapportata minn Spanja jirrappreżenta 2,65 % tal-PDG reġjonali ponderat.</w:t>
      </w:r>
    </w:p>
    <w:p>
      <w:pPr>
        <w:pStyle w:val="Point0"/>
        <w:rPr>
          <w:noProof/>
        </w:rPr>
      </w:pPr>
      <w:r>
        <w:rPr>
          <w:noProof/>
        </w:rPr>
        <w:t>(4)</w:t>
      </w:r>
      <w:r>
        <w:rPr>
          <w:noProof/>
        </w:rPr>
        <w:tab/>
        <w:t>Il-ħsara diretta totali hija l-bażi li fuqha jsir il-kalkolu tal-ammont tal-kontribuzzjoni finanzjarja mill-Fond. Il-kontribuzzjoni finanzjarja tista’ tintuża biss għal operazzjonijiet essenzjali ta’ emerġenza u ta' rkupru kif definit fl-Artikolu 3 tar-Regolament.</w:t>
      </w:r>
    </w:p>
    <w:p>
      <w:pPr>
        <w:pStyle w:val="Point0"/>
        <w:rPr>
          <w:noProof/>
        </w:rPr>
      </w:pPr>
      <w:r>
        <w:rPr>
          <w:noProof/>
        </w:rPr>
        <w:t>(5)</w:t>
      </w:r>
      <w:r>
        <w:rPr>
          <w:noProof/>
        </w:rPr>
        <w:tab/>
        <w:t>Fl-applikazzjoni tagħha, Spanja talbet għal ħlas bil-quddiem kif stabbilit fl-Artikolu 4a tar-Regolament. Fit-13 ta’ Frar 2020, il-Kummissjoni adottat id-Deċiżjoni ta’ Implimentazzjoni C(2020)905 fejn allokat 10 % ta’ ħlas bil-quddiem li jammonta għal EUR 5 674 336 fuq il-kontribuzzjoni finanzjarja antiċipata mill-Fond u sussegwentament ħalsitha kollha kemm hi lil Spanja.</w:t>
      </w:r>
    </w:p>
    <w:p>
      <w:pPr>
        <w:pStyle w:val="Point0"/>
        <w:rPr>
          <w:noProof/>
        </w:rPr>
      </w:pPr>
      <w:r>
        <w:rPr>
          <w:noProof/>
        </w:rPr>
        <w:t>(6)</w:t>
      </w:r>
      <w:r>
        <w:rPr>
          <w:noProof/>
        </w:rPr>
        <w:tab/>
        <w:t>Fl-applikazzjoni tagħhom, l-awtoritajiet Spanjoli jiddeskrivu fid-dettall in-natura u l-impatt tad-diżastru. L-ammont estrem ta’ xita qabeż ir-rekords ta’ dawn l-aħħar 140 sena u wassal għal għargħar kbar li swew il-ħajja ta’ tmien persuni. Eluf ta’ persuni kellhom jiġu evakwati minn djarhom u tpoġġew f’akkomodazzjoni ta’ emerġenza. DANA kellha impatt gravi fuq il-kundizzjonijiet tal-għajxien tal-popolazzjoni fiż-żoni milquta u kkawżat dannu fiżiku u pubbliku importanti. It-toroq, l-infrastruttura tal-linji ferrovjarji u tal-ajruporti ġarrbu ħsarat u s-servizzi kellhom jiġu sospiżi. L-erożjoni kkawżat ħsara fin-networks tal-ilma, fl-infrastruttura ta’ protezzjoni u fl-ambjent. Bl-istess mod, il-bajjiet ġarrbu erożjoni u l-infrastruttura kostali sofriet ħsara.</w:t>
      </w:r>
    </w:p>
    <w:p>
      <w:pPr>
        <w:pStyle w:val="Point0"/>
        <w:rPr>
          <w:noProof/>
        </w:rPr>
      </w:pPr>
      <w:r>
        <w:rPr>
          <w:noProof/>
        </w:rPr>
        <w:t>(7)</w:t>
      </w:r>
      <w:r>
        <w:rPr>
          <w:noProof/>
        </w:rPr>
        <w:tab/>
        <w:t>Spanja qieset li l-ispiża tal-operazzjonijiet ta’ emerġenza u rkupru eliġibbli skont l-Artikolu 3(2) tar-Regolament tammonta għal EUR 650,6 miljun u ppreżentata maqsuma skont it-tip ta’ operazzjoni. L-akbar sehem ta’ kostijiet eliġibbli (aktar minn EUR 385 miljun) jikkonċerna kostijiet għall-operazzjonijiet ta’ tindif. It-tieni l-akbar sehem jikkonċerna t-tiswija tal-infrastruttura li tammonta għal EUR 247 miljun.</w:t>
      </w:r>
    </w:p>
    <w:p>
      <w:pPr>
        <w:pStyle w:val="Point0"/>
        <w:rPr>
          <w:noProof/>
        </w:rPr>
      </w:pPr>
      <w:r>
        <w:rPr>
          <w:noProof/>
        </w:rPr>
        <w:t>(8)</w:t>
      </w:r>
      <w:r>
        <w:rPr>
          <w:noProof/>
        </w:rPr>
        <w:tab/>
        <w:t>Fuq talba minn Spanja, Copernicus ipprovda immaġnijiet satellitari b’appoġġ għal miżuri ta’ rispons.</w:t>
      </w:r>
    </w:p>
    <w:p>
      <w:pPr>
        <w:pStyle w:val="Point0"/>
        <w:rPr>
          <w:noProof/>
        </w:rPr>
      </w:pPr>
      <w:r>
        <w:rPr>
          <w:noProof/>
        </w:rPr>
        <w:t>(9)</w:t>
      </w:r>
      <w:r>
        <w:rPr>
          <w:noProof/>
        </w:rPr>
        <w:tab/>
        <w:t>L-awtoritajiet Spanjoli kkonfermaw li ma hemm l-ebda kopertura tal-assigurazzjoni tal-kostijiet eliġibbli.</w:t>
      </w:r>
    </w:p>
    <w:p>
      <w:pPr>
        <w:pStyle w:val="Point0"/>
        <w:rPr>
          <w:noProof/>
        </w:rPr>
      </w:pPr>
      <w:r>
        <w:rPr>
          <w:noProof/>
        </w:rPr>
        <w:t>(10)</w:t>
      </w:r>
      <w:r>
        <w:rPr>
          <w:noProof/>
        </w:rPr>
        <w:tab/>
        <w:t>Il-Komunità ta’ Valenzja hija “reġjun aktar żviluppat” taħt il-Fondi Strutturali u ta’ Investiment Ewropej (2014–2020), it-tliet reġjuni l-oħra huma l-hekk imsejħa reġjuni ta’ tranżizzjoni. L-awtoritajiet Spanjoli indikaw lill-Kummissjoni li ma kellhomx l-intenzjoni li jirriallokaw fondi mill-programmi tal-Fondi SIE għall-miżuri tal-irkupru.</w:t>
      </w:r>
    </w:p>
    <w:p>
      <w:pPr>
        <w:pStyle w:val="Point0"/>
        <w:rPr>
          <w:noProof/>
        </w:rPr>
      </w:pPr>
      <w:r>
        <w:rPr>
          <w:noProof/>
        </w:rPr>
        <w:t>(11)</w:t>
      </w:r>
      <w:r>
        <w:rPr>
          <w:noProof/>
        </w:rPr>
        <w:tab/>
        <w:t xml:space="preserve">Fir-rigward tal-implimentazzjoni tal-leġiżlazzjoni tal-Unjoni dwar il-prevenzjoni u l-ġestjoni tar-riskju ta’ diżastri, Spanja infurmat li kienet ittrasponiet id-Direttiva tal-UE dwar l-Għargħar fil-liġi Spanjola u għadha kemm lestiet l-ewwel fażi b’evalwazzjoni tar-riskju u l-istabbiliment ta’ mapep tar-riskju. Ir-riżultati ġew rieżaminati fit-tieni fażi. Ir-riżultat ta’ dan ir-rieżami ġie approvat mill-Kunsill Nazzjonali għall-Protezzjoni Ċivili. Il-pjanijiet il-ġodda huma mistennija għal </w:t>
      </w:r>
      <w:r>
        <w:rPr>
          <w:noProof/>
        </w:rPr>
        <w:lastRenderedPageBreak/>
        <w:t>Diċembru 2022. Barra minn hekk, tfasslu Pjanijiet ta’ Protezzjoni Ċivili kontra r-riskju ta’ għargħar, kemm fil-livell statali kif ukoll fil-Komunitajiet Awtonomi.</w:t>
      </w:r>
    </w:p>
    <w:p>
      <w:pPr>
        <w:pStyle w:val="ManualHeading2"/>
        <w:spacing w:before="240"/>
        <w:ind w:left="851" w:hanging="851"/>
        <w:rPr>
          <w:noProof/>
        </w:rPr>
      </w:pPr>
      <w:bookmarkStart w:id="1" w:name="_Toc484762488"/>
      <w:r>
        <w:rPr>
          <w:noProof/>
        </w:rPr>
        <w:t>2.3</w:t>
      </w:r>
      <w:r>
        <w:rPr>
          <w:noProof/>
        </w:rPr>
        <w:tab/>
        <w:t>L-Italja – Il-każijiet ta’ temp estrem fil-ħarifa tal-2019</w:t>
      </w:r>
    </w:p>
    <w:p>
      <w:pPr>
        <w:rPr>
          <w:noProof/>
          <w:szCs w:val="24"/>
        </w:rPr>
      </w:pPr>
      <w:r>
        <w:rPr>
          <w:noProof/>
        </w:rPr>
        <w:t>Lejn tmiem Ottubru u Novembru tal-2019 sensiela ta’ avvenimenti estremi tat-temp konnessi laqtu l-parti l-kbira tat-territorju Taljan mit-Tramuntana san-Nofsinhar u kkawżaw ħsara serja minn għargħar u uqigħ tal-art u li laħqu l-qofol tagħhom fl-għargħar ta’ Venezja.</w:t>
      </w:r>
    </w:p>
    <w:p>
      <w:pPr>
        <w:pStyle w:val="Text1"/>
        <w:ind w:left="851" w:hanging="851"/>
        <w:rPr>
          <w:noProof/>
        </w:rPr>
      </w:pPr>
      <w:r>
        <w:rPr>
          <w:noProof/>
        </w:rPr>
        <w:t>(1)</w:t>
      </w:r>
      <w:r>
        <w:rPr>
          <w:noProof/>
        </w:rPr>
        <w:tab/>
        <w:t xml:space="preserve">L-Italja applikat għal kontribuzzjoni finanzjarja mill-FSUE fl-10 ta’ Jannar 2020 qabel l-iskadenza ta’ 12-il ġimgħa minn meta ġiet irreġistrata l-ewwel ħsara fl-20 ta’ Ottubru 2019. </w:t>
      </w:r>
    </w:p>
    <w:p>
      <w:pPr>
        <w:pStyle w:val="Text1"/>
        <w:ind w:left="851" w:hanging="851"/>
        <w:rPr>
          <w:noProof/>
        </w:rPr>
      </w:pPr>
      <w:r>
        <w:rPr>
          <w:noProof/>
        </w:rPr>
        <w:t>(2)</w:t>
      </w:r>
      <w:r>
        <w:rPr>
          <w:noProof/>
        </w:rPr>
        <w:tab/>
        <w:t>Id-diżastru huwa ta’ oriġini naturali u jaqa’ fl-ambitu tal-applikazzjoni tal-FSUE.</w:t>
      </w:r>
    </w:p>
    <w:p>
      <w:pPr>
        <w:pStyle w:val="Text1"/>
        <w:ind w:left="851" w:hanging="851"/>
        <w:rPr>
          <w:noProof/>
        </w:rPr>
      </w:pPr>
      <w:r>
        <w:rPr>
          <w:noProof/>
        </w:rPr>
        <w:t>(3)</w:t>
      </w:r>
      <w:r>
        <w:rPr>
          <w:noProof/>
        </w:rPr>
        <w:tab/>
        <w:t>L-applikazzjoni ġiet ippreżentata abbażi tal-kriterji ta’ “diżastru naturali maġġuri” kif stabbilit fl-Artikolu 2(2) tar-Regolament. L-awtoritajiet Taljani stmaw li l-ħsara diretta totali kkawżata mid-diżastru tammonta għal EUR 5 619,878 miljun (ammont aġġornat). Dan l-ammont jirrappreżenta aktar minn 157 % tal-livell limitu applikabbli għall-Italja għall-mobilizzazzjoni tal-FSUE (ħsara ta’ aktar minn EUR 3 biljun fi prezzijiet tal-2011). Għaldaqstant, it-talba mill-Italja hija eliġibbli għal kontribuzzjoni mill-FSUE.</w:t>
      </w:r>
    </w:p>
    <w:p>
      <w:pPr>
        <w:pStyle w:val="Text1"/>
        <w:ind w:left="851" w:hanging="851"/>
        <w:rPr>
          <w:noProof/>
        </w:rPr>
      </w:pPr>
      <w:r>
        <w:rPr>
          <w:noProof/>
        </w:rPr>
        <w:t>(4)</w:t>
      </w:r>
      <w:r>
        <w:rPr>
          <w:noProof/>
        </w:rPr>
        <w:tab/>
        <w:t>L-Italja ma talbitx li jsir ħlas bil-quddiem.</w:t>
      </w:r>
    </w:p>
    <w:p>
      <w:pPr>
        <w:pStyle w:val="Text1"/>
        <w:ind w:left="851" w:hanging="851"/>
        <w:rPr>
          <w:noProof/>
        </w:rPr>
      </w:pPr>
      <w:r>
        <w:rPr>
          <w:noProof/>
        </w:rPr>
        <w:t>(5)</w:t>
      </w:r>
      <w:r>
        <w:rPr>
          <w:noProof/>
        </w:rPr>
        <w:tab/>
        <w:t xml:space="preserve">Fl-applikazzjoni tagħhom, l-awtoritajiet Taljani jiddeskrivu fid-dettall in-natura u l-iskala ta’ qerda kkawżata mill-avvenimenti estremi tat-temp. Id-diżastru laqat it-territorju Taljan b’intensità u impatt differenti fuq il-popolazzjoni, l-ekonomija u l-ambjent, skont il-post. B’kollox, 17-il reġjun sofrew ħsara bil-Veneto, il-Piemonte, il-Ligurja, Sqallija u l-Emilia-Romagna l-aktar milquta. Il-Veneto waħdu u b’mod partikolari l-għargħar gravi tal-belt ta’ Venezja jirriżultaw fi kważi terz (EUR 1,8 biljun) tal-ħsara totali. L-Abruzzo, il-Basilicata, il-Calabria, il-Campania, il-Friuli Venezia-Giulia, il-Lazio, il-Puglia, it-Toskana, u l-Provinċja Awtonoma ta’ Bolzano, sofrew inqas. Il-Marche, il-Valle d’Aosta u l-Provinċja Awtonoma ta’ Trento kienu l-inqas affettwati. </w:t>
      </w:r>
    </w:p>
    <w:p>
      <w:pPr>
        <w:pStyle w:val="Text1"/>
        <w:rPr>
          <w:noProof/>
        </w:rPr>
      </w:pPr>
      <w:r>
        <w:rPr>
          <w:noProof/>
        </w:rPr>
        <w:t>Id-diżastru kkawża b’mod partikolari interruzzjonijiet kbar fin-netwerk tat-toroq fil-livell statali, reġjonali, provinċjali u muniċipali minħabba valangi u siġar imqaċċta, b’mod li għadd ta’ muniċipalitajiet iżolati tal-muntanji u tal-kosta spiċċaw inaċessibbli. Seħħ tħarbit fin-netwerks tax-xmajjar, iċ-ċaqliq tal-inklinazzjoni, valangi u għargħar fil-biċċa l-kbira tar-reġjuni. Il-funzjonament tal-iskejjel u ta’ servizzi pubbliċi oħra ġie interrott. Il-buffuri tar-riħ li laħħqu sa 200 km/h ikkawżaw danni sinifikanti fil-foresti (madwar 8,5 miljun metru kubu ta’ injam) b’konsegwenzi serji għall-ekonomija relatata mal-injam u t-turiżmu. Fil-Veneto, b’mod partikolari, madwar 130 sit protett ta’ Natura 2000 ġarrbu ħsarat fuq medda ta’ aktar minn 414 000 ettaru ta’ art. Kważi f’kull reġjun kien hemm rapporti ta’ għargħar f’bini pubbliku u privat. Telf kbir ġara fl-agrikoltura bi ħsara diretta fl-istrutturi agrikoli (serer, makkinarju). Xi impjanti tat-trattament tas-sistemi tad-drenaġġ instaddu. In-netwerks tal-elettriku u tal-gass ġew interrotti.</w:t>
      </w:r>
    </w:p>
    <w:p>
      <w:pPr>
        <w:pStyle w:val="Text1"/>
        <w:rPr>
          <w:noProof/>
        </w:rPr>
      </w:pPr>
      <w:r>
        <w:rPr>
          <w:noProof/>
        </w:rPr>
        <w:t xml:space="preserve">L-għargħar fil-Veneto kkawża dannu enormi għal proprjetajiet pubbliċi u privati, attivitajiet industrijali kummerċjali u ekonomiċi kif ukoll attivitajiet u servizzi terzjarji. L-ogħla livell ta’ 187 cm ’l fuq mil-livell tal-baħar wassal għal għargħar ta’ aktar minn 85 % tal-belt ta’ Venezja. Il-mewġ ta’ </w:t>
      </w:r>
      <w:r>
        <w:rPr>
          <w:i/>
          <w:iCs/>
          <w:noProof/>
        </w:rPr>
        <w:t>aqua alta</w:t>
      </w:r>
      <w:r>
        <w:rPr>
          <w:noProof/>
        </w:rPr>
        <w:t xml:space="preserve"> kkawżaw ħsara sinifikanti lill-wirt artistiku u kulturali taċ-ċentru storiku ta’ Venezja u lill-assi </w:t>
      </w:r>
      <w:r>
        <w:rPr>
          <w:noProof/>
        </w:rPr>
        <w:lastRenderedPageBreak/>
        <w:t>innumerabbli fuq il-gżejjer prinċipali tal-Laguna, inkluż ħsara lill-artifatti, danni konsiderevoli għall-assi kartaċi bħal kotba, manuskritti u arkivji. L-ilma li daħal f’madwar 75 knisja storika rriżulta fi ħsara strutturali u affettwa arredamenti u wirt vast fl-arkivji. Barra minn hekk, is-sistema ta’ trasport bl-ilma ta’ Venezja ġarrbet ħsara f’diversi strutturi ta’ ħatt l-art, laneċ u speedboats. Barra minn hekk, kien hemm ħsara fit-tagħmir elettriku u elettroniku.</w:t>
      </w:r>
    </w:p>
    <w:p>
      <w:pPr>
        <w:pStyle w:val="Text1"/>
        <w:rPr>
          <w:noProof/>
        </w:rPr>
      </w:pPr>
      <w:r>
        <w:rPr>
          <w:noProof/>
        </w:rPr>
        <w:t>Fil-Piemonte d-diżastru affettwa aktar minn 800 muniċipalità. Fil-Liguria, dan wassal għal għargħar, proċessi ta’ ċediment u uqigħ tal-art, u b’mod partikolari għamel ħsara lis-sistema tat-toroq. Fi Sqallija dan wassal għal riperkussjonijiet kbar fuq il-provvista ta’ servizzi u telf ekonomiku li rriżulta mill-interruzzjoni tal-agrikoltura u l-produzzjoni. Għargħar li affettwa n-netwerk tax-xmajjar fl-Emilia-Romagna wassal għal erożjonijiet tax-xtut tax-xmara, għargħar u wkoll biex ifuru l-fossos u l-kanali b’dannu konsegwenti għal żoni residenzjali, produzzjoni, difiżi fuq ix-xtut tax-xmajjar u għal installazzjonijiet idrawliċi. It-tempesti kkawżaw ukoll dannu konsiderevoli għax-xogħlijiet ta’ difiża tal-kosta, u b’hekk il-qerda kważi sħiħa tal-għaram artifiċjali li jipproteġi l-kosta. L-erożjonijiet tal-art u l-uqigħ tal-art seħħew fiż-żoni bl-għoljiet u muntajużi b’impatt qawwi fuq in-netwerk tat-toroq.</w:t>
      </w:r>
    </w:p>
    <w:p>
      <w:pPr>
        <w:pStyle w:val="Text1"/>
        <w:ind w:left="851" w:hanging="851"/>
        <w:rPr>
          <w:noProof/>
        </w:rPr>
      </w:pPr>
      <w:r>
        <w:rPr>
          <w:noProof/>
        </w:rPr>
        <w:t>(6)</w:t>
      </w:r>
      <w:r>
        <w:rPr>
          <w:noProof/>
        </w:rPr>
        <w:tab/>
        <w:t>Skont l-analiżi tal-Kummissjoni, l-avvenimenti tat-temp matul il-perjodu kopert mill-applikazzjoni jistgħu jitqiesu bħala avveniment wieħed mill-perspettiva meteoroloġika u idroloġika. Barra minn hekk, il-firxa ġeografika u l-ordni ta’ kobor tad-danni mitluba mill-awtoritajiet Taljani jidhru plawżibbli.</w:t>
      </w:r>
    </w:p>
    <w:p>
      <w:pPr>
        <w:pStyle w:val="Text1"/>
        <w:ind w:left="851" w:hanging="851"/>
        <w:rPr>
          <w:noProof/>
        </w:rPr>
      </w:pPr>
      <w:r>
        <w:rPr>
          <w:noProof/>
        </w:rPr>
        <w:t>(7)</w:t>
      </w:r>
      <w:r>
        <w:rPr>
          <w:noProof/>
        </w:rPr>
        <w:tab/>
        <w:t>L-Italja stmat l-ispiża tal-operazzjonijiet ta’ emerġenza u rkupru eliġibbli skont l-Artikolu 3(2) tar-Regolament fil-livell ta’ EUR 1 110,1 miljun u ppreżentata maqsuma skont it-tip ta’ operazzjoni. L-akbar sehem tal-kostijiet eliġibbli (aktar minn EUR 479 miljun) jirrigwarda n-nefqa għar-restawr tal-infrastruttura preventiva u l-protezzjoni tal-wirt kulturali. It-tieni l-akbar sehem jikkonċerna l-kostijiet għar-restawr tal-infrastruttura essenzjali (EUR 465 miljun).</w:t>
      </w:r>
    </w:p>
    <w:p>
      <w:pPr>
        <w:pStyle w:val="Text1"/>
        <w:ind w:left="851" w:hanging="851"/>
        <w:rPr>
          <w:noProof/>
        </w:rPr>
      </w:pPr>
      <w:r>
        <w:rPr>
          <w:noProof/>
        </w:rPr>
        <w:t>(8)</w:t>
      </w:r>
      <w:r>
        <w:rPr>
          <w:noProof/>
        </w:rPr>
        <w:tab/>
        <w:t>L-awtoritajiet Taljani kkonfermaw li ma hemmx kopertura tal-assigurazzjoni li tagħmel tajjeb għall-ispejjeż eliġibbli.</w:t>
      </w:r>
    </w:p>
    <w:p>
      <w:pPr>
        <w:pStyle w:val="Text1"/>
        <w:ind w:left="851" w:hanging="851"/>
        <w:rPr>
          <w:noProof/>
        </w:rPr>
      </w:pPr>
      <w:r>
        <w:rPr>
          <w:noProof/>
        </w:rPr>
        <w:t>(9)</w:t>
      </w:r>
      <w:r>
        <w:rPr>
          <w:noProof/>
        </w:rPr>
        <w:tab/>
        <w:t>Mis-17-il reġjun milqut, ħamsa jikkwalifikaw bħala “reġjuni inqas żviluppati” taħt il-Fondi SIE 2014-2020 (il-Basilicata, il-Calabria, il-Campania, il-Puglia u Sqallija), l-Abruzzo jikkwalifika bħala “reġjuni fi tranżizzjoni” filwaqt li r-reġjuni l-oħra huma “reġjuni aktar żviluppati”. L-awtoritajiet Taljani ma indikawx lill-Kummissjoni l-intenzjoni tagħhom li jirriallokaw fondi mill-programmi tal-Fondi SIE għall-miżuri tal-irkupru.</w:t>
      </w:r>
    </w:p>
    <w:p>
      <w:pPr>
        <w:pStyle w:val="Text1"/>
        <w:ind w:left="851" w:hanging="851"/>
        <w:rPr>
          <w:noProof/>
        </w:rPr>
      </w:pPr>
      <w:r>
        <w:rPr>
          <w:noProof/>
        </w:rPr>
        <w:t>(10)</w:t>
      </w:r>
      <w:r>
        <w:rPr>
          <w:noProof/>
        </w:rPr>
        <w:tab/>
        <w:t>L-Italja ma talbitx għall-attivazzjoni tal-Mekkaniżmu tal-Unjoni għall-Protezzjoni Ċivili. Madankollu, intbagħtet nota ta’ informazzjoni liċ-Ċentru ta’ Koordinazzjoni għal Rispons ta’ Emerġenza (ERCC) permezz tas-Sistema Komuni ta’ Komunikazzjoni u Informazzjoni f’każ ta’ Emerġenza (CECIS).</w:t>
      </w:r>
    </w:p>
    <w:p>
      <w:pPr>
        <w:pStyle w:val="Text1"/>
        <w:ind w:left="851" w:hanging="851"/>
        <w:rPr>
          <w:noProof/>
        </w:rPr>
      </w:pPr>
      <w:r>
        <w:rPr>
          <w:noProof/>
        </w:rPr>
        <w:t>(11)</w:t>
      </w:r>
      <w:r>
        <w:rPr>
          <w:noProof/>
        </w:rPr>
        <w:tab/>
        <w:t>Fir-rigward tal-implimentazzjoni tal-leġiżlazzjoni tal-Unjoni dwar il-prevenzjoni u l-ġestjoni tar-riskji tad-diżastri, bħalissa ma hemm l-ebda proċedura ta’ ksur għaddejja.</w:t>
      </w:r>
    </w:p>
    <w:p>
      <w:pPr>
        <w:pStyle w:val="ManualHeading2"/>
        <w:spacing w:before="240"/>
        <w:ind w:left="851" w:hanging="851"/>
        <w:rPr>
          <w:noProof/>
        </w:rPr>
      </w:pPr>
      <w:r>
        <w:rPr>
          <w:noProof/>
        </w:rPr>
        <w:t>2.4</w:t>
      </w:r>
      <w:r>
        <w:rPr>
          <w:noProof/>
        </w:rPr>
        <w:tab/>
        <w:t>L-Awstrija - L-avvenimenti estremi tat-temp f’Novembru tal-2019</w:t>
      </w:r>
    </w:p>
    <w:p>
      <w:pPr>
        <w:rPr>
          <w:noProof/>
        </w:rPr>
      </w:pPr>
      <w:r>
        <w:rPr>
          <w:noProof/>
        </w:rPr>
        <w:t xml:space="preserve">Bejn il-11 u t-23 ta’ Novembru 2019, il-partijiet tal-Lbiċ tal-Awstrija sofrew minn għargħar kbir, b’mod partikolari f’Kärnten u fit-Tirol tal-Lvant. L-avvenimenti kienu skattati mill-istess kundizzjonijiet meteoroloġiċi li wasslu għal diżastru kbir fl-Italja. It-temp estrem ikkawża </w:t>
      </w:r>
      <w:r>
        <w:rPr>
          <w:noProof/>
        </w:rPr>
        <w:lastRenderedPageBreak/>
        <w:t>ħsara konsiderevoli f’infrastruttura pubblika essenzjali, djar privati, negozji u foresti. L-avvenimenti kienu simili ħafna għal dawk ta’ sena qabel, minkejja li kkawżaw inqas ħsara.</w:t>
      </w:r>
    </w:p>
    <w:p>
      <w:pPr>
        <w:pStyle w:val="ManualHeading2"/>
        <w:ind w:left="851" w:hanging="851"/>
        <w:rPr>
          <w:b w:val="0"/>
          <w:noProof/>
        </w:rPr>
      </w:pPr>
      <w:r>
        <w:rPr>
          <w:b w:val="0"/>
          <w:noProof/>
        </w:rPr>
        <w:lastRenderedPageBreak/>
        <w:t>(1)</w:t>
      </w:r>
      <w:r>
        <w:rPr>
          <w:noProof/>
        </w:rPr>
        <w:tab/>
      </w:r>
      <w:r>
        <w:rPr>
          <w:b w:val="0"/>
          <w:noProof/>
        </w:rPr>
        <w:t>L-Awstrija applikat għal kontribuzzjoni mill-FSUE fid-29 ta’ Jannar 2020 qabel l-iskadenza ta’ 12-il ġimgħa minn meta ġiet irreġistrata l-ewwel ħsara fil-11 ta’ Novembru 2019. Fid-9 ta’ Marzu 2020, l-Awstrija ppreżentat, fuq inizjattiva tagħha stess, informazzjoni aġġornata bi stimi ta’ ħsara ftit ogħla għar-reġjuni affettwati.</w:t>
      </w:r>
    </w:p>
    <w:p>
      <w:pPr>
        <w:pStyle w:val="ManualHeading2"/>
        <w:ind w:left="851" w:hanging="851"/>
        <w:rPr>
          <w:b w:val="0"/>
          <w:noProof/>
        </w:rPr>
      </w:pPr>
      <w:r>
        <w:rPr>
          <w:b w:val="0"/>
          <w:noProof/>
        </w:rPr>
        <w:t>(2)</w:t>
      </w:r>
      <w:r>
        <w:rPr>
          <w:noProof/>
        </w:rPr>
        <w:tab/>
      </w:r>
      <w:r>
        <w:rPr>
          <w:b w:val="0"/>
          <w:noProof/>
        </w:rPr>
        <w:t>Id-diżastru huwa ta’ oriġini naturali u jaqa’ fl-ambitu tal-applikazzjoni tal-FSUE.</w:t>
      </w:r>
    </w:p>
    <w:p>
      <w:pPr>
        <w:pStyle w:val="ManualHeading2"/>
        <w:ind w:left="851" w:hanging="851"/>
        <w:rPr>
          <w:b w:val="0"/>
          <w:noProof/>
        </w:rPr>
      </w:pPr>
      <w:r>
        <w:rPr>
          <w:b w:val="0"/>
          <w:noProof/>
        </w:rPr>
        <w:t>(3)</w:t>
      </w:r>
      <w:r>
        <w:rPr>
          <w:noProof/>
        </w:rPr>
        <w:tab/>
      </w:r>
      <w:r>
        <w:rPr>
          <w:b w:val="0"/>
          <w:noProof/>
        </w:rPr>
        <w:t>L-awtoritajiet Awstrijaki jistmaw li l-ħsara diretta totali kkawżata mid-diżastru hija ta' EUR 93,2 miljun. Dan l-ammont huwa konsiderevolment taħt il-livell limitu għal diżastru maġġuri applikabbli għall-Awstrija fl-2020 ta’ EUR 2 307,9 miljun (jiġifieri 0,6% tal-Introjtu nazzjonali gross għall-Awstrija). Huwa wkoll taħt il-livell limitu għal dak li jissejjaħ diżastru reġjonali, jiġifieri 1.5 % tal-prodott domestiku gross reġjonali ppeżat skont is-sehem ta’ ħsara fir-reġjuni affettwati. Għaldaqstant, id-diżastru la jikkwalifika bħala “diżastru naturali maġġuri” u lanqas bħala “diżastru naturali reġjonali” skont it-termini tar-Regolament. Madankollu, peress li d-diżastru kien ikkawżat mill-istess kundizzjonijiet meteoroloġiċi li kkawżaw id-disastru maġġuri fl-Italja, l-awtoritajiet Awstrijaċi ppreżentaw l-applikazzjoni tagħhom skont l-hekk imsejħa dispożizzjoni dwar “Stat eliġibbli ġar”, stabbilita fl-Artikolu 2(4) tar-Regolament, li permezz tagħha pajjiż eliġibbli li jsofri mill-istess diżastru li jikkwalifika bħala diżastru maġġuri f’pajjiż tal-viċinat eliġibbli jista’ wkoll jibbenefikaw mill-għajnuna tal-Fond ta’ Solidarjetà. Din il-kundizzjoni hija ssodisfata.</w:t>
      </w:r>
    </w:p>
    <w:p>
      <w:pPr>
        <w:pStyle w:val="ManualHeading2"/>
        <w:ind w:left="851" w:hanging="851"/>
        <w:rPr>
          <w:b w:val="0"/>
          <w:noProof/>
        </w:rPr>
      </w:pPr>
      <w:r>
        <w:rPr>
          <w:b w:val="0"/>
          <w:noProof/>
        </w:rPr>
        <w:t>(4)</w:t>
      </w:r>
      <w:r>
        <w:rPr>
          <w:noProof/>
        </w:rPr>
        <w:tab/>
      </w:r>
      <w:r>
        <w:rPr>
          <w:b w:val="0"/>
          <w:noProof/>
        </w:rPr>
        <w:t xml:space="preserve">L-awtoritajiet Awstrijaċi ma talbux li jsir ħlas bil-quddiem. </w:t>
      </w:r>
    </w:p>
    <w:p>
      <w:pPr>
        <w:pStyle w:val="ManualHeading2"/>
        <w:ind w:left="851" w:hanging="851"/>
        <w:rPr>
          <w:b w:val="0"/>
          <w:noProof/>
        </w:rPr>
      </w:pPr>
      <w:r>
        <w:rPr>
          <w:b w:val="0"/>
          <w:noProof/>
        </w:rPr>
        <w:t>(5)</w:t>
      </w:r>
      <w:r>
        <w:rPr>
          <w:noProof/>
        </w:rPr>
        <w:tab/>
      </w:r>
      <w:r>
        <w:rPr>
          <w:b w:val="0"/>
          <w:noProof/>
        </w:rPr>
        <w:t>L-awtoritajiet Awstrijaċi pprovdew deskrizzjoni dettaljata tal-impatt tad-diżastru. L-akbar ħsara fil-wisa’ kienet ikkawżata fil-Land tal-Awstrija l-aktar lejn in-Nofsinhar, Kärnten, u fil-provinċja li tmiss miegħu tat-Tirol tal-Lvant, it-tnejn li huma żoni Alpini li jmissu mal-Italja. Land Salzburg u l-Land Styria sofrew dannu minuri. Xita qawwija twassal għall-għargħar ta’ ħafna korsiji tal-ilma u kkawżat ħsara l-aktar għall-infrastruttura tat-trasport u l-għeluq ta’ toroq. Diversi pontijiet ġarrbu ħsara kbira. Ħalbiet ta' borra u valangi ta' qawwa mhux tas-soltu żiedu mal-problemi u kkawżaw ħsarat fil-foresterija. Il-konnessjonijiet ferrovjarji ġew interrotti, id-djar u l-bini pubbliku ġew mgħarrqa, xi residenzi kienu maqtugħin b’mod temporanju u l-provvista tal-elettriku ġiet interrotta.</w:t>
      </w:r>
    </w:p>
    <w:p>
      <w:pPr>
        <w:pStyle w:val="ManualHeading2"/>
        <w:ind w:left="851" w:hanging="851"/>
        <w:rPr>
          <w:b w:val="0"/>
          <w:noProof/>
        </w:rPr>
      </w:pPr>
      <w:r>
        <w:rPr>
          <w:b w:val="0"/>
          <w:noProof/>
        </w:rPr>
        <w:t>(6)</w:t>
      </w:r>
      <w:r>
        <w:rPr>
          <w:noProof/>
        </w:rPr>
        <w:tab/>
      </w:r>
      <w:r>
        <w:rPr>
          <w:b w:val="0"/>
          <w:noProof/>
        </w:rPr>
        <w:t xml:space="preserve">L-Awstrija stmat l-ispiża tal-operazzjonijiet ta’ emerġenza u rkupru eliġibbli skont l-Artikolu 3(2) tar-Regolament fil-livell ta’ EUR 61,3 miljun u ppreżentatha maqsuma skont it-tip ta’ operazzjoni. L-akbar sehem (aktar minn EUR 40 miljun) tal-kostijiet eliġibbli jirrigwarda l-kostijiet biex tkun rimedjata l-ħsara fin-netwerk tat-trasport. Miżuri kontra l-erożjoni tal-ħamrija jammontaw għal madwar EUR 13-il miljun. </w:t>
      </w:r>
    </w:p>
    <w:p>
      <w:pPr>
        <w:pStyle w:val="ManualHeading2"/>
        <w:ind w:left="851" w:hanging="851"/>
        <w:rPr>
          <w:b w:val="0"/>
          <w:noProof/>
        </w:rPr>
      </w:pPr>
      <w:r>
        <w:rPr>
          <w:b w:val="0"/>
          <w:noProof/>
        </w:rPr>
        <w:t>(7)</w:t>
      </w:r>
      <w:r>
        <w:rPr>
          <w:noProof/>
        </w:rPr>
        <w:tab/>
      </w:r>
      <w:r>
        <w:rPr>
          <w:b w:val="0"/>
          <w:noProof/>
        </w:rPr>
        <w:t>L-awtoritajiet Awstrijaċi kkonfermaw li ma hemm l-ebda kopertura tal-assigurazzjoni li tagħmel tajjeb għall-ispejjeż eliġibbli.</w:t>
      </w:r>
    </w:p>
    <w:p>
      <w:pPr>
        <w:pStyle w:val="ManualHeading2"/>
        <w:ind w:left="851" w:hanging="851"/>
        <w:rPr>
          <w:b w:val="0"/>
          <w:noProof/>
        </w:rPr>
      </w:pPr>
      <w:r>
        <w:rPr>
          <w:b w:val="0"/>
          <w:noProof/>
        </w:rPr>
        <w:t>(8)</w:t>
      </w:r>
      <w:r>
        <w:rPr>
          <w:noProof/>
        </w:rPr>
        <w:tab/>
      </w:r>
      <w:r>
        <w:rPr>
          <w:b w:val="0"/>
          <w:noProof/>
        </w:rPr>
        <w:t>Ir-reġjuni milquta huma “reġjuni aktar żviluppati” skont il-Fondi SIE 2014-2020. Fl-applikazzjoni tagħhom, l-awtoritajiet Awstrijaċi indikaw li għandhom l-intenzjoni li jużaw il-flejjes mill-Programm Awstrijak għall-Iżvilupp Rurali ffinanzjat mill-Fond Agrikolu Ewropew għall-Iżvilupp Rurali għall-ħolqien mill-ġdid ta’ foresti protettivi.</w:t>
      </w:r>
    </w:p>
    <w:p>
      <w:pPr>
        <w:pStyle w:val="ManualHeading2"/>
        <w:ind w:left="851" w:hanging="851"/>
        <w:rPr>
          <w:b w:val="0"/>
          <w:noProof/>
        </w:rPr>
      </w:pPr>
      <w:r>
        <w:rPr>
          <w:b w:val="0"/>
          <w:noProof/>
        </w:rPr>
        <w:t>(9)</w:t>
      </w:r>
      <w:r>
        <w:rPr>
          <w:noProof/>
        </w:rPr>
        <w:tab/>
      </w:r>
      <w:r>
        <w:rPr>
          <w:b w:val="0"/>
          <w:noProof/>
        </w:rPr>
        <w:t>L-Awstrija ma talbitx għall-attivazzjoni tal-Mekkaniżmu tal-Unjoni għall-Protezzjoni Ċivili.</w:t>
      </w:r>
    </w:p>
    <w:p>
      <w:pPr>
        <w:pStyle w:val="ManualHeading2"/>
        <w:ind w:left="851" w:hanging="851"/>
        <w:rPr>
          <w:b w:val="0"/>
          <w:noProof/>
        </w:rPr>
      </w:pPr>
      <w:r>
        <w:rPr>
          <w:b w:val="0"/>
          <w:noProof/>
        </w:rPr>
        <w:t>(10)</w:t>
      </w:r>
      <w:r>
        <w:rPr>
          <w:noProof/>
        </w:rPr>
        <w:tab/>
      </w:r>
      <w:r>
        <w:rPr>
          <w:b w:val="0"/>
          <w:noProof/>
        </w:rPr>
        <w:t>Fir-rigward tal-implimentazzjoni tal-leġiżlazzjoni tal-Unjoni dwar il-prevenzjoni u l-ġestjoni tar-riskji tad-diżastri, bħalissa ma hemm l-ebda proċedura ta’ ksur għaddejja.</w:t>
      </w:r>
    </w:p>
    <w:p>
      <w:pPr>
        <w:pStyle w:val="ManualHeading2"/>
        <w:spacing w:before="240"/>
        <w:ind w:left="851" w:hanging="851"/>
        <w:rPr>
          <w:noProof/>
        </w:rPr>
      </w:pPr>
      <w:r>
        <w:rPr>
          <w:noProof/>
        </w:rPr>
        <w:lastRenderedPageBreak/>
        <w:t>2.5</w:t>
      </w:r>
      <w:r>
        <w:rPr>
          <w:noProof/>
        </w:rPr>
        <w:tab/>
        <w:t>Konklużjoni</w:t>
      </w:r>
    </w:p>
    <w:p>
      <w:pPr>
        <w:rPr>
          <w:noProof/>
        </w:rPr>
      </w:pPr>
      <w:r>
        <w:rPr>
          <w:noProof/>
        </w:rPr>
        <w:t>Minħabba r-raġunijiet stabbiliti hawn fuq, id-diżastri msemmija fl-applikazzjonijiet ippreżentati mill-Portugall, Spanja, l-Italja u l-Awstrija jissodisfaw ir-rekwiżiti biex jiġi mobilizzat il-FSUE.</w:t>
      </w:r>
    </w:p>
    <w:p>
      <w:pPr>
        <w:pStyle w:val="ManualHeading1"/>
        <w:rPr>
          <w:noProof/>
        </w:rPr>
      </w:pPr>
      <w:r>
        <w:rPr>
          <w:noProof/>
        </w:rPr>
        <w:t>3.</w:t>
      </w:r>
      <w:r>
        <w:rPr>
          <w:noProof/>
        </w:rPr>
        <w:tab/>
        <w:t xml:space="preserve">Finanzjament mill-allokazzjonijiet tal-FSUE għall- </w:t>
      </w:r>
      <w:bookmarkEnd w:id="1"/>
      <w:r>
        <w:rPr>
          <w:noProof/>
        </w:rPr>
        <w:t>2020</w:t>
      </w:r>
    </w:p>
    <w:p>
      <w:pPr>
        <w:rPr>
          <w:noProof/>
        </w:rPr>
      </w:pPr>
      <w:r>
        <w:rPr>
          <w:noProof/>
        </w:rPr>
        <w:t>Ir-Regolament tal-Kunsill (UE, EURATOM) Nru 1311/2013 tat-2 ta’ Diċembru 2013 li jistabbilixxi l-qafas finanzjarju pluriennali għas-snin 2014-2020</w:t>
      </w:r>
      <w:r>
        <w:rPr>
          <w:rStyle w:val="FootnoteReference"/>
          <w:noProof/>
        </w:rPr>
        <w:footnoteReference w:id="2"/>
      </w:r>
      <w:r>
        <w:rPr>
          <w:noProof/>
        </w:rPr>
        <w:t xml:space="preserve"> (minn issa ’l quddiem “ir-Regolament dwar il-QFP”), u b’mod partikolari l-Artikolu 10 tiegħu, jippermetti l-mobilizzazzjoni tal-FSUE, b’limitu massimu annwali ta’ EUR 500 000 000 (prezzijiet tal-2011). Il-Punt 11 tal-Ftehim Interistituzzjonali tat-2 ta’ Diċembru 2013 bejn il-Parlament Ewropew, il-Kunsill u l-Kummissjoni dwar dixxiplina baġitarja, dwar kooperazzjoni f’materji ta’ baġit u dwar ġestjoni finanzjarja tajba</w:t>
      </w:r>
      <w:r>
        <w:rPr>
          <w:rStyle w:val="FootnoteReference"/>
          <w:noProof/>
        </w:rPr>
        <w:footnoteReference w:id="3"/>
      </w:r>
      <w:r>
        <w:rPr>
          <w:noProof/>
        </w:rPr>
        <w:t xml:space="preserve"> (IIA) jistabbilixxi l-modalitajiet għall-mobilizzazzjoni tal-FSUE.</w:t>
      </w:r>
    </w:p>
    <w:p>
      <w:pPr>
        <w:rPr>
          <w:noProof/>
          <w:snapToGrid w:val="0"/>
        </w:rPr>
      </w:pPr>
      <w:r>
        <w:rPr>
          <w:noProof/>
          <w:snapToGrid w:val="0"/>
        </w:rPr>
        <w:t>Billi s-solidarjetà kienet il-ġustifikazzjoni ċentrali għall-ħolqien tal-FSUE, il-Kummissjoni hija tal-fehma li jenħtieġ li l-għajnuna tkun progressiva. Dan ifisser li, skont prattika preċedenti, jenħtieġ li l-porzjon tal-ħsara li jaqbeż il-livell limitu ta’ “diżastru naturali maġġuri” għall-mobilizzazzjoni tal-FSUE (jiġifieri 0,6 % tal-ING jew EUR 3 biljun fil-prezzijiet tal-2011, skont liema minnhom ikun l-iżgħar ammont) iwassal għal intensità ta’ għajnuna akbar mill-ħsara sal-livell limitu. Ir-rata applikata fil-passat biex jiġu definiti l-allokazzjonijiet għal diżastri maġġuri hija ta’ 2,5 % tal-ħsara diretta totali taħt il-livell limitu, u 6 % għall-parti tal-ħsarat 'il fuq minn dan. Għal diżastri reġjonali u diżastri aċċettati taħt id-dispożizzjoni ta’ “pajjiż tal-viċinat” ir-rata hija ta’ 2,5 %.</w:t>
      </w:r>
    </w:p>
    <w:p>
      <w:pPr>
        <w:rPr>
          <w:noProof/>
          <w:snapToGrid w:val="0"/>
        </w:rPr>
      </w:pPr>
      <w:r>
        <w:rPr>
          <w:noProof/>
          <w:snapToGrid w:val="0"/>
        </w:rPr>
        <w:t>Il-kontribuzzjoni ma tistax taqbeż l-ispiża totali stmata tal-operazzjonijiet eliġibbli. Il-metodoloġija biex tiġi kkalkulata l-għajnuna kienet imfassla fir-Rapport Annwali tal-2002-2003 dwar il-FSUE u aċċettata mill-Kunsill u mill-Parlament Ewropew.</w:t>
      </w:r>
    </w:p>
    <w:p>
      <w:pPr>
        <w:rPr>
          <w:noProof/>
        </w:rPr>
      </w:pPr>
      <w:r>
        <w:rPr>
          <w:noProof/>
        </w:rPr>
        <w:t>Abbażi tal-applikazzjonijiet mill-Portugall, Spanja, l-Italja u l-Awstrija, il-kalkolu tal-kontribuzzjoni finanzjarja mill-FSUE, ibbażat fuq l-istima tal-ħsara diretta totali kkawżata, huwa kif ġej:</w:t>
      </w:r>
    </w:p>
    <w:tbl>
      <w:tblPr>
        <w:tblW w:w="10774"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77"/>
        <w:gridCol w:w="1417"/>
        <w:gridCol w:w="992"/>
        <w:gridCol w:w="1254"/>
        <w:gridCol w:w="1014"/>
        <w:gridCol w:w="1276"/>
        <w:gridCol w:w="1276"/>
        <w:gridCol w:w="1294"/>
        <w:gridCol w:w="974"/>
      </w:tblGrid>
      <w:tr>
        <w:trPr>
          <w:trHeight w:val="648"/>
          <w:jc w:val="center"/>
        </w:trPr>
        <w:tc>
          <w:tcPr>
            <w:tcW w:w="1277" w:type="dxa"/>
            <w:tcBorders>
              <w:top w:val="single" w:sz="4" w:space="0" w:color="auto"/>
              <w:left w:val="single" w:sz="4" w:space="0" w:color="auto"/>
              <w:bottom w:val="dotted" w:sz="4" w:space="0" w:color="auto"/>
            </w:tcBorders>
            <w:shd w:val="clear" w:color="auto" w:fill="EEECE1"/>
            <w:vAlign w:val="center"/>
            <w:hideMark/>
          </w:tcPr>
          <w:p>
            <w:pPr>
              <w:spacing w:after="0"/>
              <w:rPr>
                <w:b/>
                <w:noProof/>
                <w:snapToGrid w:val="0"/>
                <w:sz w:val="18"/>
                <w:szCs w:val="18"/>
              </w:rPr>
            </w:pPr>
            <w:r>
              <w:rPr>
                <w:b/>
                <w:noProof/>
                <w:snapToGrid w:val="0"/>
                <w:sz w:val="18"/>
                <w:szCs w:val="18"/>
              </w:rPr>
              <w:t>L-Istati Membri</w:t>
            </w:r>
          </w:p>
        </w:tc>
        <w:tc>
          <w:tcPr>
            <w:tcW w:w="1417"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Kwalifikazzjoni tad-diżastru</w:t>
            </w:r>
          </w:p>
        </w:tc>
        <w:tc>
          <w:tcPr>
            <w:tcW w:w="992"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Ħsara diretta totali</w:t>
            </w:r>
          </w:p>
          <w:p>
            <w:pPr>
              <w:spacing w:before="0" w:after="0"/>
              <w:ind w:right="59"/>
              <w:jc w:val="center"/>
              <w:rPr>
                <w:i/>
                <w:noProof/>
                <w:snapToGrid w:val="0"/>
                <w:sz w:val="18"/>
                <w:szCs w:val="18"/>
              </w:rPr>
            </w:pPr>
          </w:p>
          <w:p>
            <w:pPr>
              <w:spacing w:before="0" w:after="0"/>
              <w:ind w:right="59"/>
              <w:jc w:val="center"/>
              <w:rPr>
                <w:i/>
                <w:noProof/>
                <w:snapToGrid w:val="0"/>
                <w:sz w:val="18"/>
                <w:szCs w:val="18"/>
              </w:rPr>
            </w:pPr>
          </w:p>
          <w:p>
            <w:pPr>
              <w:spacing w:before="0" w:after="0"/>
              <w:ind w:right="59"/>
              <w:jc w:val="center"/>
              <w:rPr>
                <w:i/>
                <w:noProof/>
                <w:snapToGrid w:val="0"/>
                <w:sz w:val="18"/>
                <w:szCs w:val="18"/>
              </w:rPr>
            </w:pPr>
            <w:r>
              <w:rPr>
                <w:i/>
                <w:noProof/>
                <w:snapToGrid w:val="0"/>
                <w:sz w:val="18"/>
                <w:szCs w:val="18"/>
              </w:rPr>
              <w:t>(f’miljuni ta’ EUR)</w:t>
            </w:r>
          </w:p>
        </w:tc>
        <w:tc>
          <w:tcPr>
            <w:tcW w:w="1254" w:type="dxa"/>
            <w:tcBorders>
              <w:top w:val="single" w:sz="4" w:space="0" w:color="auto"/>
            </w:tcBorders>
            <w:shd w:val="clear" w:color="auto" w:fill="EEECE1"/>
          </w:tcPr>
          <w:p>
            <w:pPr>
              <w:spacing w:before="0" w:after="0"/>
              <w:jc w:val="center"/>
              <w:rPr>
                <w:i/>
                <w:noProof/>
                <w:snapToGrid w:val="0"/>
                <w:sz w:val="18"/>
                <w:szCs w:val="18"/>
              </w:rPr>
            </w:pPr>
            <w:r>
              <w:rPr>
                <w:i/>
                <w:noProof/>
                <w:snapToGrid w:val="0"/>
                <w:sz w:val="18"/>
                <w:szCs w:val="18"/>
              </w:rPr>
              <w:t>Livell limitu applikat għad-diżastri reġjonali</w:t>
            </w:r>
            <w:r>
              <w:rPr>
                <w:noProof/>
              </w:rPr>
              <w:t xml:space="preserve"> </w:t>
            </w:r>
            <w:r>
              <w:rPr>
                <w:noProof/>
              </w:rPr>
              <w:br/>
            </w:r>
            <w:r>
              <w:rPr>
                <w:i/>
                <w:noProof/>
                <w:snapToGrid w:val="0"/>
                <w:sz w:val="16"/>
                <w:szCs w:val="16"/>
              </w:rPr>
              <w:t>[1.5 % tal-PDG/</w:t>
            </w:r>
            <w:r>
              <w:rPr>
                <w:noProof/>
              </w:rPr>
              <w:t xml:space="preserve"> </w:t>
            </w:r>
            <w:r>
              <w:rPr>
                <w:noProof/>
              </w:rPr>
              <w:br/>
            </w:r>
            <w:r>
              <w:rPr>
                <w:i/>
                <w:noProof/>
                <w:snapToGrid w:val="0"/>
                <w:sz w:val="16"/>
                <w:szCs w:val="16"/>
              </w:rPr>
              <w:t>1 % tal-PDG tar-reġjuni ultraperifiċi]</w:t>
            </w:r>
            <w:r>
              <w:rPr>
                <w:i/>
                <w:noProof/>
                <w:snapToGrid w:val="0"/>
                <w:sz w:val="18"/>
                <w:szCs w:val="18"/>
              </w:rPr>
              <w:t xml:space="preserve"> </w:t>
            </w:r>
            <w:r>
              <w:rPr>
                <w:noProof/>
              </w:rPr>
              <w:t xml:space="preserve"> </w:t>
            </w:r>
            <w:r>
              <w:rPr>
                <w:noProof/>
              </w:rPr>
              <w:br/>
              <w:t xml:space="preserve"> </w:t>
            </w:r>
            <w:r>
              <w:rPr>
                <w:noProof/>
              </w:rPr>
              <w:br/>
            </w:r>
            <w:r>
              <w:rPr>
                <w:i/>
                <w:noProof/>
                <w:snapToGrid w:val="0"/>
                <w:sz w:val="18"/>
                <w:szCs w:val="18"/>
              </w:rPr>
              <w:t>(f’miljuni ta’ EUR)</w:t>
            </w:r>
          </w:p>
        </w:tc>
        <w:tc>
          <w:tcPr>
            <w:tcW w:w="1014"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Livell limitu għal diżastru maġġuri</w:t>
            </w: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(f’miljuni ta’ 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2,5 % tal-ħsara diretta sal-livell limitu</w:t>
            </w: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6 % tal-ħsara diretta 'l fuq mil-livell limitu</w:t>
            </w:r>
          </w:p>
          <w:p>
            <w:pPr>
              <w:spacing w:before="0" w:after="0"/>
              <w:jc w:val="center"/>
              <w:rPr>
                <w:i/>
                <w:noProof/>
                <w:snapToGrid w:val="0"/>
                <w:sz w:val="18"/>
                <w:szCs w:val="18"/>
              </w:rPr>
            </w:pPr>
          </w:p>
          <w:p>
            <w:pPr>
              <w:spacing w:before="0" w:after="0"/>
              <w:jc w:val="center"/>
              <w:rPr>
                <w:b/>
                <w:i/>
                <w:noProof/>
                <w:snapToGrid w:val="0"/>
                <w:sz w:val="18"/>
                <w:szCs w:val="18"/>
              </w:rPr>
            </w:pPr>
            <w:r>
              <w:rPr>
                <w:i/>
                <w:noProof/>
                <w:snapToGrid w:val="0"/>
                <w:sz w:val="18"/>
                <w:szCs w:val="18"/>
              </w:rPr>
              <w:t>(EUR)</w:t>
            </w:r>
          </w:p>
        </w:tc>
        <w:tc>
          <w:tcPr>
            <w:tcW w:w="1294" w:type="dxa"/>
            <w:tcBorders>
              <w:top w:val="single" w:sz="4" w:space="0" w:color="auto"/>
              <w:bottom w:val="dotted" w:sz="4" w:space="0" w:color="auto"/>
            </w:tcBorders>
            <w:shd w:val="clear" w:color="auto" w:fill="EEECE1"/>
          </w:tcPr>
          <w:p>
            <w:pPr>
              <w:spacing w:before="0" w:after="0"/>
              <w:jc w:val="center"/>
              <w:rPr>
                <w:b/>
                <w:i/>
                <w:noProof/>
                <w:snapToGrid w:val="0"/>
                <w:sz w:val="18"/>
                <w:szCs w:val="18"/>
              </w:rPr>
            </w:pPr>
            <w:r>
              <w:rPr>
                <w:b/>
                <w:i/>
                <w:noProof/>
                <w:snapToGrid w:val="0"/>
                <w:sz w:val="18"/>
                <w:szCs w:val="18"/>
              </w:rPr>
              <w:t>Ammont totali tal-Għajnuna proposta</w:t>
            </w:r>
          </w:p>
          <w:p>
            <w:pPr>
              <w:spacing w:before="0" w:after="0"/>
              <w:jc w:val="center"/>
              <w:rPr>
                <w:i/>
                <w:noProof/>
                <w:snapToGrid w:val="0"/>
                <w:sz w:val="18"/>
                <w:szCs w:val="18"/>
              </w:rPr>
            </w:pPr>
            <w:r>
              <w:rPr>
                <w:b/>
                <w:i/>
                <w:noProof/>
                <w:snapToGrid w:val="0"/>
                <w:sz w:val="18"/>
                <w:szCs w:val="18"/>
              </w:rPr>
              <w:t>(EUR)</w:t>
            </w:r>
          </w:p>
        </w:tc>
        <w:tc>
          <w:tcPr>
            <w:tcW w:w="974" w:type="dxa"/>
            <w:tcBorders>
              <w:top w:val="single" w:sz="4" w:space="0" w:color="auto"/>
              <w:bottom w:val="dotted" w:sz="4" w:space="0" w:color="auto"/>
              <w:right w:val="single" w:sz="4" w:space="0" w:color="auto"/>
            </w:tcBorders>
            <w:shd w:val="clear" w:color="auto" w:fill="EEECE1"/>
          </w:tcPr>
          <w:p>
            <w:pPr>
              <w:spacing w:before="0" w:after="0"/>
              <w:jc w:val="center"/>
              <w:rPr>
                <w:b/>
                <w:i/>
                <w:noProof/>
                <w:snapToGrid w:val="0"/>
                <w:sz w:val="18"/>
                <w:szCs w:val="18"/>
              </w:rPr>
            </w:pPr>
            <w:r>
              <w:rPr>
                <w:b/>
                <w:i/>
                <w:noProof/>
                <w:snapToGrid w:val="0"/>
                <w:sz w:val="18"/>
                <w:szCs w:val="18"/>
              </w:rPr>
              <w:t>Ħlas bil-quddiem imħallas</w:t>
            </w:r>
          </w:p>
          <w:p>
            <w:pPr>
              <w:spacing w:before="0" w:after="0"/>
              <w:jc w:val="center"/>
              <w:rPr>
                <w:b/>
                <w:i/>
                <w:noProof/>
                <w:snapToGrid w:val="0"/>
                <w:sz w:val="18"/>
                <w:szCs w:val="18"/>
              </w:rPr>
            </w:pPr>
          </w:p>
          <w:p>
            <w:pPr>
              <w:spacing w:before="0" w:after="0"/>
              <w:jc w:val="center"/>
              <w:rPr>
                <w:b/>
                <w:i/>
                <w:noProof/>
                <w:snapToGrid w:val="0"/>
                <w:sz w:val="18"/>
                <w:szCs w:val="18"/>
              </w:rPr>
            </w:pPr>
          </w:p>
          <w:p>
            <w:pPr>
              <w:spacing w:before="0" w:after="0"/>
              <w:jc w:val="center"/>
              <w:rPr>
                <w:b/>
                <w:i/>
                <w:noProof/>
                <w:snapToGrid w:val="0"/>
                <w:sz w:val="18"/>
                <w:szCs w:val="18"/>
              </w:rPr>
            </w:pPr>
            <w:r>
              <w:rPr>
                <w:b/>
                <w:i/>
                <w:noProof/>
                <w:snapToGrid w:val="0"/>
                <w:sz w:val="18"/>
                <w:szCs w:val="18"/>
              </w:rPr>
              <w:t>(EUR)</w:t>
            </w:r>
          </w:p>
        </w:tc>
      </w:tr>
      <w:tr>
        <w:trPr>
          <w:trHeight w:val="436"/>
          <w:jc w:val="center"/>
        </w:trPr>
        <w:tc>
          <w:tcPr>
            <w:tcW w:w="1277" w:type="dxa"/>
            <w:tcBorders>
              <w:top w:val="dotted" w:sz="4" w:space="0" w:color="auto"/>
              <w:left w:val="single" w:sz="4" w:space="0" w:color="auto"/>
              <w:bottom w:val="dotted" w:sz="4" w:space="0" w:color="auto"/>
            </w:tcBorders>
            <w:shd w:val="clear" w:color="auto" w:fill="EEECE1"/>
            <w:vAlign w:val="center"/>
            <w:hideMark/>
          </w:tcPr>
          <w:p>
            <w:pPr>
              <w:spacing w:before="0" w:after="0"/>
              <w:jc w:val="left"/>
              <w:rPr>
                <w:noProof/>
                <w:snapToGrid w:val="0"/>
                <w:sz w:val="18"/>
                <w:szCs w:val="18"/>
              </w:rPr>
            </w:pPr>
            <w:r>
              <w:rPr>
                <w:noProof/>
                <w:snapToGrid w:val="0"/>
                <w:sz w:val="18"/>
                <w:szCs w:val="18"/>
              </w:rPr>
              <w:t>IL-PORTUGALL</w:t>
            </w:r>
          </w:p>
        </w:tc>
        <w:tc>
          <w:tcPr>
            <w:tcW w:w="1417"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Reġjonali</w:t>
            </w:r>
          </w:p>
          <w:p>
            <w:pPr>
              <w:spacing w:before="0" w:after="0"/>
              <w:jc w:val="center"/>
              <w:rPr>
                <w:i/>
                <w:iCs/>
                <w:noProof/>
                <w:sz w:val="18"/>
                <w:szCs w:val="18"/>
              </w:rPr>
            </w:pPr>
            <w:r>
              <w:rPr>
                <w:i/>
                <w:iCs/>
                <w:noProof/>
                <w:sz w:val="18"/>
                <w:szCs w:val="18"/>
              </w:rPr>
              <w:t>(L-Art. 2(3))</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328 508</w:t>
            </w:r>
          </w:p>
        </w:tc>
        <w:tc>
          <w:tcPr>
            <w:tcW w:w="1254" w:type="dxa"/>
            <w:tcBorders>
              <w:bottom w:val="dotted" w:sz="4" w:space="0" w:color="auto"/>
            </w:tcBorders>
            <w:vAlign w:val="center"/>
          </w:tcPr>
          <w:p>
            <w:pPr>
              <w:spacing w:before="0" w:after="0"/>
              <w:jc w:val="right"/>
              <w:rPr>
                <w:noProof/>
                <w:sz w:val="18"/>
                <w:szCs w:val="18"/>
              </w:rPr>
            </w:pPr>
            <w:r>
              <w:rPr>
                <w:i/>
                <w:iCs/>
                <w:noProof/>
                <w:sz w:val="18"/>
                <w:szCs w:val="18"/>
              </w:rPr>
              <w:t>39 271</w:t>
            </w:r>
          </w:p>
        </w:tc>
        <w:tc>
          <w:tcPr>
            <w:tcW w:w="1014" w:type="dxa"/>
            <w:tcBorders>
              <w:top w:val="dotted" w:sz="4" w:space="0" w:color="auto"/>
              <w:bottom w:val="dotted" w:sz="4" w:space="0" w:color="auto"/>
            </w:tcBorders>
            <w:vAlign w:val="center"/>
          </w:tcPr>
          <w:p>
            <w:pPr>
              <w:spacing w:before="0" w:after="0"/>
              <w:jc w:val="right"/>
              <w:rPr>
                <w:b/>
                <w:noProof/>
                <w:sz w:val="18"/>
                <w:szCs w:val="18"/>
              </w:rPr>
            </w:pPr>
            <w:r>
              <w:rPr>
                <w:b/>
                <w:noProof/>
                <w:sz w:val="18"/>
                <w:szCs w:val="18"/>
              </w:rPr>
              <w:t>-</w:t>
            </w:r>
          </w:p>
        </w:tc>
        <w:tc>
          <w:tcPr>
            <w:tcW w:w="1276" w:type="dxa"/>
            <w:tcBorders>
              <w:top w:val="dotted" w:sz="4" w:space="0" w:color="auto"/>
              <w:bottom w:val="dotted" w:sz="4" w:space="0" w:color="auto"/>
            </w:tcBorders>
            <w:vAlign w:val="center"/>
          </w:tcPr>
          <w:p>
            <w:pPr>
              <w:spacing w:before="0" w:after="0"/>
              <w:jc w:val="right"/>
              <w:rPr>
                <w:noProof/>
                <w:sz w:val="18"/>
                <w:szCs w:val="18"/>
              </w:rPr>
            </w:pPr>
            <w:r>
              <w:rPr>
                <w:i/>
                <w:iCs/>
                <w:noProof/>
                <w:sz w:val="18"/>
                <w:szCs w:val="18"/>
              </w:rPr>
              <w:t>8 212 697</w:t>
            </w:r>
          </w:p>
        </w:tc>
        <w:tc>
          <w:tcPr>
            <w:tcW w:w="1276" w:type="dxa"/>
            <w:tcBorders>
              <w:top w:val="dotted" w:sz="4" w:space="0" w:color="auto"/>
              <w:bottom w:val="dotted" w:sz="4" w:space="0" w:color="auto"/>
            </w:tcBorders>
            <w:shd w:val="clear" w:color="auto" w:fill="auto"/>
            <w:vAlign w:val="center"/>
          </w:tcPr>
          <w:p>
            <w:pPr>
              <w:spacing w:before="0" w:after="0"/>
              <w:jc w:val="right"/>
              <w:rPr>
                <w:b/>
                <w:noProof/>
                <w:sz w:val="18"/>
                <w:szCs w:val="18"/>
              </w:rPr>
            </w:pPr>
            <w:r>
              <w:rPr>
                <w:b/>
                <w:noProof/>
                <w:sz w:val="18"/>
                <w:szCs w:val="18"/>
              </w:rPr>
              <w:t>-</w:t>
            </w:r>
          </w:p>
        </w:tc>
        <w:tc>
          <w:tcPr>
            <w:tcW w:w="1294" w:type="dxa"/>
            <w:tcBorders>
              <w:top w:val="dotted" w:sz="4" w:space="0" w:color="auto"/>
              <w:bottom w:val="dotted" w:sz="4" w:space="0" w:color="auto"/>
            </w:tcBorders>
            <w:shd w:val="clear" w:color="auto" w:fill="auto"/>
            <w:vAlign w:val="center"/>
          </w:tcPr>
          <w:p>
            <w:pPr>
              <w:spacing w:before="0" w:after="0"/>
              <w:jc w:val="right"/>
              <w:rPr>
                <w:b/>
                <w:i/>
                <w:iCs/>
                <w:noProof/>
                <w:sz w:val="18"/>
                <w:szCs w:val="18"/>
              </w:rPr>
            </w:pPr>
            <w:r>
              <w:rPr>
                <w:i/>
                <w:iCs/>
                <w:noProof/>
                <w:sz w:val="18"/>
                <w:szCs w:val="18"/>
              </w:rPr>
              <w:t>8 212 697</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r>
              <w:rPr>
                <w:i/>
                <w:iCs/>
                <w:noProof/>
                <w:sz w:val="18"/>
                <w:szCs w:val="18"/>
              </w:rPr>
              <w:t>821 270</w:t>
            </w:r>
          </w:p>
        </w:tc>
      </w:tr>
      <w:tr>
        <w:trPr>
          <w:trHeight w:val="444"/>
          <w:jc w:val="center"/>
        </w:trPr>
        <w:tc>
          <w:tcPr>
            <w:tcW w:w="1277"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t>SPANJA</w:t>
            </w:r>
          </w:p>
        </w:tc>
        <w:tc>
          <w:tcPr>
            <w:tcW w:w="1417"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Reġjonali</w:t>
            </w:r>
          </w:p>
          <w:p>
            <w:pPr>
              <w:spacing w:before="0" w:after="0"/>
              <w:jc w:val="center"/>
              <w:rPr>
                <w:i/>
                <w:iCs/>
                <w:noProof/>
                <w:sz w:val="18"/>
                <w:szCs w:val="18"/>
              </w:rPr>
            </w:pPr>
            <w:r>
              <w:rPr>
                <w:i/>
                <w:iCs/>
                <w:noProof/>
                <w:sz w:val="18"/>
                <w:szCs w:val="18"/>
              </w:rPr>
              <w:t>(L-Art. 2(3))</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2 269,734</w:t>
            </w:r>
          </w:p>
        </w:tc>
        <w:tc>
          <w:tcPr>
            <w:tcW w:w="125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1 287,076</w:t>
            </w:r>
          </w:p>
        </w:tc>
        <w:tc>
          <w:tcPr>
            <w:tcW w:w="101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56 743 358</w:t>
            </w:r>
          </w:p>
        </w:tc>
        <w:tc>
          <w:tcPr>
            <w:tcW w:w="1276"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w:t>
            </w:r>
          </w:p>
        </w:tc>
        <w:tc>
          <w:tcPr>
            <w:tcW w:w="1294"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56 743 358</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r>
              <w:rPr>
                <w:i/>
                <w:iCs/>
                <w:noProof/>
                <w:sz w:val="18"/>
                <w:szCs w:val="18"/>
              </w:rPr>
              <w:t>5 674 336</w:t>
            </w:r>
          </w:p>
        </w:tc>
      </w:tr>
      <w:tr>
        <w:trPr>
          <w:trHeight w:val="658"/>
          <w:jc w:val="center"/>
        </w:trPr>
        <w:tc>
          <w:tcPr>
            <w:tcW w:w="1277"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t>L-ITALJA</w:t>
            </w:r>
          </w:p>
        </w:tc>
        <w:tc>
          <w:tcPr>
            <w:tcW w:w="1417"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Maġġuri</w:t>
            </w:r>
          </w:p>
          <w:p>
            <w:pPr>
              <w:spacing w:before="0" w:after="0"/>
              <w:jc w:val="center"/>
              <w:rPr>
                <w:i/>
                <w:iCs/>
                <w:noProof/>
                <w:sz w:val="18"/>
                <w:szCs w:val="18"/>
              </w:rPr>
            </w:pPr>
            <w:r>
              <w:rPr>
                <w:i/>
                <w:iCs/>
                <w:noProof/>
                <w:sz w:val="18"/>
                <w:szCs w:val="18"/>
              </w:rPr>
              <w:t>(L-Art. 2(2))</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5 619,878</w:t>
            </w:r>
          </w:p>
        </w:tc>
        <w:tc>
          <w:tcPr>
            <w:tcW w:w="125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101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3 585,278</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89 631 943</w:t>
            </w:r>
          </w:p>
        </w:tc>
        <w:tc>
          <w:tcPr>
            <w:tcW w:w="1276"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122 076 039</w:t>
            </w:r>
          </w:p>
        </w:tc>
        <w:tc>
          <w:tcPr>
            <w:tcW w:w="1294"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211 707 982</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r>
              <w:rPr>
                <w:i/>
                <w:iCs/>
                <w:noProof/>
                <w:sz w:val="18"/>
                <w:szCs w:val="18"/>
              </w:rPr>
              <w:t>-</w:t>
            </w:r>
          </w:p>
        </w:tc>
      </w:tr>
      <w:tr>
        <w:trPr>
          <w:trHeight w:val="658"/>
          <w:jc w:val="center"/>
        </w:trPr>
        <w:tc>
          <w:tcPr>
            <w:tcW w:w="1277"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lastRenderedPageBreak/>
              <w:t>L-AWSTRIJA</w:t>
            </w:r>
          </w:p>
        </w:tc>
        <w:tc>
          <w:tcPr>
            <w:tcW w:w="1417"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Pajjiż ġar</w:t>
            </w:r>
          </w:p>
          <w:p>
            <w:pPr>
              <w:spacing w:before="0" w:after="0"/>
              <w:jc w:val="center"/>
              <w:rPr>
                <w:i/>
                <w:iCs/>
                <w:noProof/>
                <w:sz w:val="18"/>
                <w:szCs w:val="18"/>
              </w:rPr>
            </w:pPr>
            <w:r>
              <w:rPr>
                <w:i/>
                <w:iCs/>
                <w:noProof/>
                <w:sz w:val="18"/>
                <w:szCs w:val="18"/>
              </w:rPr>
              <w:t>(L-Art. 2(4))</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93 191</w:t>
            </w:r>
          </w:p>
        </w:tc>
        <w:tc>
          <w:tcPr>
            <w:tcW w:w="1254" w:type="dxa"/>
            <w:tcBorders>
              <w:top w:val="dotted" w:sz="4" w:space="0" w:color="auto"/>
              <w:bottom w:val="single" w:sz="4" w:space="0" w:color="auto"/>
            </w:tcBorders>
            <w:vAlign w:val="center"/>
          </w:tcPr>
          <w:p>
            <w:pPr>
              <w:spacing w:before="0" w:after="0"/>
              <w:jc w:val="right"/>
              <w:rPr>
                <w:i/>
                <w:iCs/>
                <w:noProof/>
                <w:sz w:val="18"/>
                <w:szCs w:val="18"/>
              </w:rPr>
            </w:pPr>
            <w:r>
              <w:rPr>
                <w:i/>
                <w:iCs/>
                <w:noProof/>
                <w:sz w:val="18"/>
                <w:szCs w:val="18"/>
              </w:rPr>
              <w:t>-</w:t>
            </w:r>
          </w:p>
        </w:tc>
        <w:tc>
          <w:tcPr>
            <w:tcW w:w="101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2 329 777</w:t>
            </w:r>
          </w:p>
        </w:tc>
        <w:tc>
          <w:tcPr>
            <w:tcW w:w="1276"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w:t>
            </w:r>
          </w:p>
        </w:tc>
        <w:tc>
          <w:tcPr>
            <w:tcW w:w="1294"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2 329 777</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r>
              <w:rPr>
                <w:i/>
                <w:iCs/>
                <w:noProof/>
                <w:sz w:val="18"/>
                <w:szCs w:val="18"/>
              </w:rPr>
              <w:t>-</w:t>
            </w:r>
          </w:p>
        </w:tc>
      </w:tr>
      <w:tr>
        <w:trPr>
          <w:trHeight w:val="213"/>
          <w:jc w:val="center"/>
        </w:trPr>
        <w:tc>
          <w:tcPr>
            <w:tcW w:w="1277" w:type="dxa"/>
            <w:tcBorders>
              <w:top w:val="single" w:sz="4" w:space="0" w:color="auto"/>
              <w:left w:val="single" w:sz="4" w:space="0" w:color="auto"/>
              <w:bottom w:val="single" w:sz="4" w:space="0" w:color="auto"/>
            </w:tcBorders>
            <w:shd w:val="clear" w:color="auto" w:fill="EEECE1"/>
            <w:vAlign w:val="center"/>
          </w:tcPr>
          <w:p>
            <w:pPr>
              <w:spacing w:before="0" w:after="0"/>
              <w:jc w:val="left"/>
              <w:rPr>
                <w:b/>
                <w:noProof/>
                <w:snapToGrid w:val="0"/>
                <w:sz w:val="18"/>
                <w:szCs w:val="18"/>
              </w:rPr>
            </w:pPr>
            <w:r>
              <w:rPr>
                <w:b/>
                <w:noProof/>
                <w:snapToGrid w:val="0"/>
                <w:sz w:val="18"/>
                <w:szCs w:val="18"/>
              </w:rPr>
              <w:t>TOTAL</w:t>
            </w:r>
          </w:p>
        </w:tc>
        <w:tc>
          <w:tcPr>
            <w:tcW w:w="1417" w:type="dxa"/>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5812" w:type="dxa"/>
            <w:gridSpan w:val="5"/>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1294" w:type="dxa"/>
            <w:tcBorders>
              <w:top w:val="single" w:sz="4" w:space="0" w:color="auto"/>
              <w:bottom w:val="single" w:sz="4" w:space="0" w:color="auto"/>
            </w:tcBorders>
            <w:vAlign w:val="center"/>
          </w:tcPr>
          <w:p>
            <w:pPr>
              <w:spacing w:before="0" w:after="0"/>
              <w:jc w:val="right"/>
              <w:rPr>
                <w:b/>
                <w:bCs/>
                <w:i/>
                <w:iCs/>
                <w:noProof/>
                <w:sz w:val="18"/>
                <w:szCs w:val="18"/>
              </w:rPr>
            </w:pPr>
            <w:r>
              <w:rPr>
                <w:i/>
                <w:iCs/>
                <w:noProof/>
                <w:sz w:val="18"/>
                <w:szCs w:val="18"/>
              </w:rPr>
              <w:t xml:space="preserve">278 993 814 </w:t>
            </w:r>
          </w:p>
        </w:tc>
        <w:tc>
          <w:tcPr>
            <w:tcW w:w="974" w:type="dxa"/>
            <w:tcBorders>
              <w:top w:val="single" w:sz="4" w:space="0" w:color="auto"/>
              <w:bottom w:val="single" w:sz="4" w:space="0" w:color="auto"/>
              <w:right w:val="single" w:sz="4" w:space="0" w:color="auto"/>
            </w:tcBorders>
          </w:tcPr>
          <w:p>
            <w:pPr>
              <w:spacing w:before="60" w:after="0"/>
              <w:jc w:val="right"/>
              <w:rPr>
                <w:b/>
                <w:bCs/>
                <w:i/>
                <w:iCs/>
                <w:noProof/>
                <w:sz w:val="18"/>
                <w:szCs w:val="18"/>
              </w:rPr>
            </w:pPr>
          </w:p>
        </w:tc>
      </w:tr>
    </w:tbl>
    <w:p>
      <w:pPr>
        <w:rPr>
          <w:noProof/>
        </w:rPr>
      </w:pPr>
      <w:r>
        <w:rPr>
          <w:noProof/>
        </w:rPr>
        <w:t>Skont l-Artikolu 10(1) tar-Regolament dwar il-QFP, l-ammont totali disponibbli għall-mobilizzazzjoni tal-FSUE fil-bidu tal-2020 kien ta’ EUR 1 150 524 045, billi hija s-somma tal-allokazzjoni tal-2020 ta’ EUR 597 546 284, flimkien mal-allokazzjoni tal-2019 ta’ EUR 552 977 761 li baqgħu ma ntefqux u li ġew riportati għall-2020.</w:t>
      </w:r>
    </w:p>
    <w:p>
      <w:pPr>
        <w:rPr>
          <w:noProof/>
        </w:rPr>
      </w:pPr>
      <w:r>
        <w:rPr>
          <w:noProof/>
        </w:rPr>
        <w:t>L-ammont li jista’ jiġi mobilizzat f’dan l-istadju tas-sena 2020 huwa ta’ EUR 1 001 137 474. Dan jikkorrispondi għall-ammont totali disponibbli għall-mobilizzazzjoni tal-FSUE fil-bidu tal-2020 (EUR 1 150 524 045), nieqes l-ammont miżmum ta’ EUR 149 386 571 sabiex jiġi rispettat l-obbligu li jitwarrbu 25 % mill-allokazzjoni annwali tal-2020 sal-1 ta’ Ottubru 2020 kif stipulat mill-Artikolu 10(1) tar-Regolament dwar il-QFP.</w:t>
      </w:r>
    </w:p>
    <w:tbl>
      <w:tblPr>
        <w:tblStyle w:val="TableGrid"/>
        <w:tblW w:w="0" w:type="auto"/>
        <w:jc w:val="center"/>
        <w:tblLook w:val="04A0" w:firstRow="1" w:lastRow="0" w:firstColumn="1" w:lastColumn="0" w:noHBand="0" w:noVBand="1"/>
      </w:tblPr>
      <w:tblGrid>
        <w:gridCol w:w="6644"/>
        <w:gridCol w:w="1897"/>
      </w:tblGrid>
      <w:tr>
        <w:trPr>
          <w:trHeight w:val="490"/>
          <w:jc w:val="center"/>
        </w:trPr>
        <w:tc>
          <w:tcPr>
            <w:tcW w:w="6644" w:type="dxa"/>
            <w:shd w:val="clear" w:color="auto" w:fill="D9D9D9" w:themeFill="background1" w:themeFillShade="D9"/>
            <w:vAlign w:val="center"/>
          </w:tcPr>
          <w:p>
            <w:pPr>
              <w:keepNext/>
              <w:spacing w:after="0"/>
              <w:jc w:val="center"/>
              <w:rPr>
                <w:b/>
                <w:noProof/>
                <w:sz w:val="20"/>
                <w:szCs w:val="20"/>
              </w:rPr>
            </w:pPr>
            <w:r>
              <w:rPr>
                <w:b/>
                <w:noProof/>
                <w:sz w:val="20"/>
                <w:szCs w:val="20"/>
              </w:rPr>
              <w:t>Tabella sommarja tal-finanzjament mill-FSUE</w:t>
            </w:r>
          </w:p>
        </w:tc>
        <w:tc>
          <w:tcPr>
            <w:tcW w:w="1897" w:type="dxa"/>
            <w:shd w:val="clear" w:color="auto" w:fill="D9D9D9" w:themeFill="background1" w:themeFillShade="D9"/>
            <w:vAlign w:val="center"/>
          </w:tcPr>
          <w:p>
            <w:pPr>
              <w:keepNext/>
              <w:spacing w:after="0"/>
              <w:jc w:val="center"/>
              <w:rPr>
                <w:b/>
                <w:noProof/>
                <w:sz w:val="20"/>
                <w:szCs w:val="20"/>
              </w:rPr>
            </w:pPr>
            <w:r>
              <w:rPr>
                <w:b/>
                <w:noProof/>
                <w:sz w:val="20"/>
                <w:szCs w:val="20"/>
              </w:rPr>
              <w:t>Ammont</w:t>
            </w:r>
          </w:p>
          <w:p>
            <w:pPr>
              <w:keepNext/>
              <w:spacing w:after="0"/>
              <w:jc w:val="center"/>
              <w:rPr>
                <w:noProof/>
                <w:sz w:val="20"/>
                <w:szCs w:val="20"/>
              </w:rPr>
            </w:pPr>
            <w:r>
              <w:rPr>
                <w:b/>
                <w:noProof/>
                <w:sz w:val="20"/>
                <w:szCs w:val="20"/>
              </w:rPr>
              <w:t>EUR</w:t>
            </w:r>
          </w:p>
        </w:tc>
      </w:tr>
      <w:tr>
        <w:trPr>
          <w:trHeight w:val="258"/>
          <w:jc w:val="center"/>
        </w:trPr>
        <w:tc>
          <w:tcPr>
            <w:tcW w:w="6644" w:type="dxa"/>
          </w:tcPr>
          <w:p>
            <w:pPr>
              <w:keepNext/>
              <w:spacing w:after="0"/>
              <w:rPr>
                <w:noProof/>
                <w:sz w:val="20"/>
                <w:szCs w:val="20"/>
              </w:rPr>
            </w:pPr>
            <w:r>
              <w:rPr>
                <w:noProof/>
                <w:sz w:val="20"/>
                <w:szCs w:val="20"/>
              </w:rPr>
              <w:t>Allokazzjoni tal-2019 riportata għall-2020</w:t>
            </w:r>
          </w:p>
        </w:tc>
        <w:tc>
          <w:tcPr>
            <w:tcW w:w="1897" w:type="dxa"/>
          </w:tcPr>
          <w:p>
            <w:pPr>
              <w:keepNext/>
              <w:spacing w:after="0"/>
              <w:jc w:val="right"/>
              <w:rPr>
                <w:noProof/>
                <w:sz w:val="20"/>
                <w:szCs w:val="20"/>
              </w:rPr>
            </w:pPr>
            <w:r>
              <w:rPr>
                <w:noProof/>
                <w:sz w:val="20"/>
                <w:szCs w:val="20"/>
              </w:rPr>
              <w:t>552 977 761</w:t>
            </w:r>
          </w:p>
        </w:tc>
      </w:tr>
      <w:tr>
        <w:trPr>
          <w:trHeight w:val="297"/>
          <w:jc w:val="center"/>
        </w:trPr>
        <w:tc>
          <w:tcPr>
            <w:tcW w:w="6644" w:type="dxa"/>
          </w:tcPr>
          <w:p>
            <w:pPr>
              <w:keepNext/>
              <w:spacing w:after="0"/>
              <w:rPr>
                <w:noProof/>
                <w:sz w:val="20"/>
                <w:szCs w:val="20"/>
              </w:rPr>
            </w:pPr>
            <w:r>
              <w:rPr>
                <w:noProof/>
                <w:sz w:val="20"/>
                <w:szCs w:val="20"/>
              </w:rPr>
              <w:t>Allokazzjoni tal-2020</w:t>
            </w:r>
          </w:p>
        </w:tc>
        <w:tc>
          <w:tcPr>
            <w:tcW w:w="1897" w:type="dxa"/>
          </w:tcPr>
          <w:p>
            <w:pPr>
              <w:keepNext/>
              <w:spacing w:after="0"/>
              <w:jc w:val="right"/>
              <w:rPr>
                <w:noProof/>
                <w:sz w:val="20"/>
                <w:szCs w:val="20"/>
              </w:rPr>
            </w:pPr>
            <w:r>
              <w:rPr>
                <w:noProof/>
                <w:sz w:val="20"/>
                <w:szCs w:val="20"/>
              </w:rPr>
              <w:t>597 546 284</w:t>
            </w:r>
          </w:p>
          <w:p>
            <w:pPr>
              <w:keepNext/>
              <w:spacing w:after="0"/>
              <w:jc w:val="right"/>
              <w:rPr>
                <w:noProof/>
                <w:sz w:val="20"/>
                <w:szCs w:val="20"/>
              </w:rPr>
            </w:pPr>
            <w:r>
              <w:rPr>
                <w:noProof/>
                <w:sz w:val="20"/>
                <w:szCs w:val="20"/>
              </w:rPr>
              <w:t>-----------------</w:t>
            </w:r>
          </w:p>
        </w:tc>
      </w:tr>
      <w:tr>
        <w:trPr>
          <w:trHeight w:val="245"/>
          <w:jc w:val="center"/>
        </w:trPr>
        <w:tc>
          <w:tcPr>
            <w:tcW w:w="6644" w:type="dxa"/>
          </w:tcPr>
          <w:p>
            <w:pPr>
              <w:keepNext/>
              <w:spacing w:after="0"/>
              <w:rPr>
                <w:b/>
                <w:noProof/>
                <w:sz w:val="20"/>
                <w:szCs w:val="20"/>
              </w:rPr>
            </w:pPr>
            <w:r>
              <w:rPr>
                <w:b/>
                <w:noProof/>
                <w:sz w:val="20"/>
                <w:szCs w:val="20"/>
              </w:rPr>
              <w:t>Total disponibbli fil-bidu tal-2020</w:t>
            </w:r>
          </w:p>
        </w:tc>
        <w:tc>
          <w:tcPr>
            <w:tcW w:w="1897" w:type="dxa"/>
          </w:tcPr>
          <w:p>
            <w:pPr>
              <w:keepNext/>
              <w:spacing w:after="0"/>
              <w:jc w:val="right"/>
              <w:rPr>
                <w:b/>
                <w:noProof/>
                <w:sz w:val="20"/>
                <w:szCs w:val="20"/>
              </w:rPr>
            </w:pPr>
            <w:r>
              <w:rPr>
                <w:b/>
                <w:noProof/>
                <w:sz w:val="20"/>
                <w:szCs w:val="20"/>
              </w:rPr>
              <w:t>1 150 524 045</w:t>
            </w:r>
          </w:p>
        </w:tc>
      </w:tr>
      <w:tr>
        <w:trPr>
          <w:trHeight w:val="299"/>
          <w:jc w:val="center"/>
        </w:trPr>
        <w:tc>
          <w:tcPr>
            <w:tcW w:w="6644" w:type="dxa"/>
          </w:tcPr>
          <w:p>
            <w:pPr>
              <w:keepNext/>
              <w:spacing w:after="0"/>
              <w:rPr>
                <w:noProof/>
                <w:sz w:val="20"/>
                <w:szCs w:val="20"/>
              </w:rPr>
            </w:pPr>
            <w:r>
              <w:rPr>
                <w:noProof/>
                <w:sz w:val="20"/>
                <w:szCs w:val="20"/>
              </w:rPr>
              <w:t>Bit-tnaqqis ta’ 25 % tal-allokazzjoni tal-2020 miżmum</w:t>
            </w:r>
          </w:p>
        </w:tc>
        <w:tc>
          <w:tcPr>
            <w:tcW w:w="1897" w:type="dxa"/>
          </w:tcPr>
          <w:p>
            <w:pPr>
              <w:keepNext/>
              <w:spacing w:after="0"/>
              <w:jc w:val="right"/>
              <w:rPr>
                <w:noProof/>
                <w:sz w:val="20"/>
                <w:szCs w:val="20"/>
              </w:rPr>
            </w:pPr>
            <w:r>
              <w:rPr>
                <w:noProof/>
                <w:sz w:val="20"/>
                <w:szCs w:val="20"/>
              </w:rPr>
              <w:t>-149 386 571</w:t>
            </w:r>
          </w:p>
          <w:p>
            <w:pPr>
              <w:keepNext/>
              <w:spacing w:after="0"/>
              <w:jc w:val="right"/>
              <w:rPr>
                <w:noProof/>
                <w:sz w:val="20"/>
                <w:szCs w:val="20"/>
              </w:rPr>
            </w:pPr>
            <w:r>
              <w:rPr>
                <w:noProof/>
                <w:sz w:val="20"/>
                <w:szCs w:val="20"/>
              </w:rPr>
              <w:t>-----------------</w:t>
            </w:r>
          </w:p>
        </w:tc>
      </w:tr>
      <w:tr>
        <w:trPr>
          <w:trHeight w:val="245"/>
          <w:jc w:val="center"/>
        </w:trPr>
        <w:tc>
          <w:tcPr>
            <w:tcW w:w="6644" w:type="dxa"/>
          </w:tcPr>
          <w:p>
            <w:pPr>
              <w:keepNext/>
              <w:spacing w:after="0"/>
              <w:rPr>
                <w:b/>
                <w:noProof/>
                <w:sz w:val="20"/>
                <w:szCs w:val="20"/>
              </w:rPr>
            </w:pPr>
            <w:r>
              <w:rPr>
                <w:b/>
                <w:noProof/>
                <w:sz w:val="20"/>
                <w:szCs w:val="20"/>
              </w:rPr>
              <w:t>Ammont massimu disponibbli attwalment (allokazzjonijiet tal-2019+2020)</w:t>
            </w:r>
          </w:p>
        </w:tc>
        <w:tc>
          <w:tcPr>
            <w:tcW w:w="1897" w:type="dxa"/>
          </w:tcPr>
          <w:p>
            <w:pPr>
              <w:keepNext/>
              <w:spacing w:after="0"/>
              <w:jc w:val="right"/>
              <w:rPr>
                <w:b/>
                <w:noProof/>
                <w:sz w:val="20"/>
                <w:szCs w:val="20"/>
              </w:rPr>
            </w:pPr>
            <w:r>
              <w:rPr>
                <w:b/>
                <w:noProof/>
                <w:sz w:val="20"/>
                <w:szCs w:val="20"/>
              </w:rPr>
              <w:t>1 001 137 474</w:t>
            </w:r>
          </w:p>
        </w:tc>
      </w:tr>
      <w:tr>
        <w:trPr>
          <w:trHeight w:val="245"/>
          <w:jc w:val="center"/>
        </w:trPr>
        <w:tc>
          <w:tcPr>
            <w:tcW w:w="6644" w:type="dxa"/>
          </w:tcPr>
          <w:p>
            <w:pPr>
              <w:keepNext/>
              <w:spacing w:after="0"/>
              <w:rPr>
                <w:bCs/>
                <w:noProof/>
                <w:sz w:val="20"/>
                <w:szCs w:val="20"/>
              </w:rPr>
            </w:pPr>
            <w:r>
              <w:rPr>
                <w:bCs/>
                <w:noProof/>
                <w:sz w:val="20"/>
                <w:szCs w:val="20"/>
              </w:rPr>
              <w:t>Ammont totali ta’ għajnuna proposta biex tiġi mobilizzata għall-Portugall, Spanja, l-Italja u l-Awstrija</w:t>
            </w:r>
          </w:p>
        </w:tc>
        <w:tc>
          <w:tcPr>
            <w:tcW w:w="1897" w:type="dxa"/>
          </w:tcPr>
          <w:p>
            <w:pPr>
              <w:keepNext/>
              <w:spacing w:after="0"/>
              <w:jc w:val="right"/>
              <w:rPr>
                <w:noProof/>
                <w:sz w:val="20"/>
                <w:szCs w:val="20"/>
              </w:rPr>
            </w:pPr>
            <w:r>
              <w:rPr>
                <w:noProof/>
                <w:sz w:val="20"/>
                <w:szCs w:val="20"/>
              </w:rPr>
              <w:t>- 278 993 814</w:t>
            </w:r>
          </w:p>
          <w:p>
            <w:pPr>
              <w:keepNext/>
              <w:spacing w:after="0"/>
              <w:jc w:val="right"/>
              <w:rPr>
                <w:noProof/>
                <w:sz w:val="20"/>
                <w:szCs w:val="20"/>
              </w:rPr>
            </w:pPr>
            <w:r>
              <w:rPr>
                <w:noProof/>
                <w:sz w:val="20"/>
                <w:szCs w:val="20"/>
              </w:rPr>
              <w:t>-----------------</w:t>
            </w:r>
          </w:p>
        </w:tc>
      </w:tr>
      <w:tr>
        <w:trPr>
          <w:trHeight w:val="258"/>
          <w:jc w:val="center"/>
        </w:trPr>
        <w:tc>
          <w:tcPr>
            <w:tcW w:w="6644" w:type="dxa"/>
          </w:tcPr>
          <w:p>
            <w:pPr>
              <w:keepNext/>
              <w:spacing w:after="0"/>
              <w:rPr>
                <w:b/>
                <w:noProof/>
                <w:sz w:val="20"/>
                <w:szCs w:val="20"/>
              </w:rPr>
            </w:pPr>
            <w:r>
              <w:rPr>
                <w:b/>
                <w:noProof/>
                <w:sz w:val="20"/>
                <w:szCs w:val="20"/>
              </w:rPr>
              <w:t>Disponibbiltajiet li fadal sal-1 ta’ Ottubru 2020</w:t>
            </w:r>
          </w:p>
        </w:tc>
        <w:tc>
          <w:tcPr>
            <w:tcW w:w="1897" w:type="dxa"/>
          </w:tcPr>
          <w:p>
            <w:pPr>
              <w:keepNext/>
              <w:spacing w:after="0"/>
              <w:jc w:val="right"/>
              <w:rPr>
                <w:b/>
                <w:noProof/>
                <w:sz w:val="20"/>
                <w:szCs w:val="20"/>
              </w:rPr>
            </w:pPr>
            <w:r>
              <w:rPr>
                <w:b/>
                <w:noProof/>
                <w:sz w:val="20"/>
                <w:szCs w:val="20"/>
              </w:rPr>
              <w:t>722 143 660</w:t>
            </w:r>
          </w:p>
        </w:tc>
      </w:tr>
    </w:tbl>
    <w:p>
      <w:pPr>
        <w:pBdr>
          <w:top w:val="nil"/>
          <w:left w:val="nil"/>
          <w:bottom w:val="nil"/>
          <w:right w:val="nil"/>
          <w:between w:val="nil"/>
          <w:bar w:val="nil"/>
        </w:pBdr>
        <w:spacing w:before="0" w:after="240"/>
        <w:rPr>
          <w:noProof/>
        </w:rPr>
      </w:pPr>
    </w:p>
    <w:p>
      <w:pPr>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Statut"/>
        <w:rPr>
          <w:noProof/>
        </w:rPr>
      </w:pPr>
      <w:r>
        <w:rPr>
          <w:noProof/>
        </w:rPr>
        <w:lastRenderedPageBreak/>
        <w:t>Proposta għal</w:t>
      </w:r>
    </w:p>
    <w:p>
      <w:pPr>
        <w:pStyle w:val="Typedudocument"/>
        <w:rPr>
          <w:noProof/>
        </w:rPr>
      </w:pPr>
      <w:r>
        <w:rPr>
          <w:noProof/>
        </w:rPr>
        <w:t>DEĊIŻJONI TAL-PARLAMENT EWROPEW U TAL-KUNSILL</w:t>
      </w:r>
    </w:p>
    <w:p>
      <w:pPr>
        <w:pStyle w:val="Titreobjet"/>
        <w:rPr>
          <w:noProof/>
        </w:rPr>
      </w:pPr>
      <w:r>
        <w:rPr>
          <w:noProof/>
        </w:rPr>
        <w:t>dwar il-mobilizzazzjoni tal-Fond ta' Solidarjetà tal-Unjoni Ewropea biex tingħata assistenza lill-Portugall, Spanja, l-Italja u l-Awstrija</w:t>
      </w:r>
    </w:p>
    <w:p>
      <w:pPr>
        <w:pStyle w:val="Institutionquiagit"/>
        <w:spacing w:before="480" w:after="360"/>
        <w:rPr>
          <w:noProof/>
        </w:rPr>
      </w:pPr>
      <w:r>
        <w:rPr>
          <w:noProof/>
        </w:rPr>
        <w:t>IL-PARLAMENT EWROPEW U L-KUNSILL TAL-UNJONI EWROPEA,</w:t>
      </w:r>
    </w:p>
    <w:p>
      <w:pPr>
        <w:rPr>
          <w:noProof/>
        </w:rPr>
      </w:pPr>
      <w:r>
        <w:rPr>
          <w:noProof/>
        </w:rPr>
        <w:t>Wara li kkunsidraw it-Trattat dwar il-Funzjonament tal-Unjoni Ewropea,</w:t>
      </w:r>
    </w:p>
    <w:p>
      <w:pPr>
        <w:rPr>
          <w:noProof/>
        </w:rPr>
      </w:pPr>
      <w:r>
        <w:rPr>
          <w:noProof/>
        </w:rPr>
        <w:t>Wara li kkunsidraw ir-Regolament tal-Kunsill (KE) Nru 2012/2002 tal-11 ta’ Novembru 2002 li jistabbilixxi l-Fond ta’ Solidarjetà tal-Unjoni Ewropea</w:t>
      </w:r>
      <w:r>
        <w:rPr>
          <w:rStyle w:val="FootnoteReference"/>
          <w:noProof/>
        </w:rPr>
        <w:footnoteReference w:id="4"/>
      </w:r>
      <w:r>
        <w:rPr>
          <w:noProof/>
        </w:rPr>
        <w:t>, u b’mod partikolari l-Artikolu 4(3) tiegħu,</w:t>
      </w:r>
    </w:p>
    <w:p>
      <w:pPr>
        <w:rPr>
          <w:noProof/>
        </w:rPr>
      </w:pPr>
      <w:r>
        <w:rPr>
          <w:noProof/>
        </w:rPr>
        <w:t>Wara li kkunsidraw il-Ftehim Interistituzzjonali tat-2 ta’ Diċembru 2013 bejn il-Parlament Ewropew, il-Kunsill u l-Kummissjoni dwar dixxiplina baġitarja, dwar kooperazzjoni f’materji baġitarji u dwar ġestjoni finanzjarja tajba</w:t>
      </w:r>
      <w:r>
        <w:rPr>
          <w:rStyle w:val="FootnoteReference"/>
          <w:noProof/>
        </w:rPr>
        <w:footnoteReference w:id="5"/>
      </w:r>
      <w:r>
        <w:rPr>
          <w:noProof/>
        </w:rPr>
        <w:t>, u b’mod partikolari l-punt 11 tiegħu,</w:t>
      </w:r>
    </w:p>
    <w:p>
      <w:pPr>
        <w:rPr>
          <w:noProof/>
        </w:rPr>
      </w:pPr>
      <w:r>
        <w:rPr>
          <w:noProof/>
        </w:rPr>
        <w:t>Wara li kkunsidraw il-proposta tal-Kummissjoni Ewropea,</w:t>
      </w:r>
    </w:p>
    <w:p>
      <w:pPr>
        <w:spacing w:after="360"/>
        <w:rPr>
          <w:noProof/>
        </w:rPr>
      </w:pPr>
      <w:r>
        <w:rPr>
          <w:noProof/>
        </w:rPr>
        <w:t>Billi:</w:t>
      </w:r>
    </w:p>
    <w:p>
      <w:pPr>
        <w:pStyle w:val="Point0"/>
        <w:rPr>
          <w:noProof/>
        </w:rPr>
      </w:pPr>
      <w:r>
        <w:rPr>
          <w:noProof/>
        </w:rPr>
        <w:t>(1)</w:t>
      </w:r>
      <w:r>
        <w:rPr>
          <w:noProof/>
        </w:rPr>
        <w:tab/>
        <w:t xml:space="preserve">Il-Fond ta’ Solidarjetà tal-Unjoni Ewropea ("il-Fond") għandu l-għan li jippermetti lill-Unjoni tirrispondi b’mod rapidu, effiċjenti u flessibbli għal sitwazzjonijiet ta’ emerġenza sabiex tintwera solidarjetà mal-popolazzjonijiet tar-reġjuni milquta minn diżastri naturali. </w:t>
      </w:r>
    </w:p>
    <w:p>
      <w:pPr>
        <w:pStyle w:val="Point0"/>
        <w:rPr>
          <w:noProof/>
        </w:rPr>
      </w:pPr>
      <w:r>
        <w:rPr>
          <w:noProof/>
        </w:rPr>
        <w:t>(2)</w:t>
      </w:r>
      <w:r>
        <w:rPr>
          <w:noProof/>
        </w:rPr>
        <w:tab/>
        <w:t>Il-Fond ma għandux jaqbeż l-ammont annwali massimu ta’ EUR 500 000 000 (bil-prezzijiet tal-2011), kif stabbilit fl-Artikolu 10 tar-Regolament tal-Kunsill (UE, Euratom) Nru 1311/2013</w:t>
      </w:r>
      <w:r>
        <w:rPr>
          <w:rStyle w:val="FootnoteReference"/>
          <w:noProof/>
        </w:rPr>
        <w:footnoteReference w:id="6"/>
      </w:r>
      <w:r>
        <w:rPr>
          <w:noProof/>
        </w:rPr>
        <w:t>.</w:t>
      </w:r>
    </w:p>
    <w:p>
      <w:pPr>
        <w:pStyle w:val="Point0"/>
        <w:rPr>
          <w:noProof/>
        </w:rPr>
      </w:pPr>
      <w:r>
        <w:rPr>
          <w:noProof/>
        </w:rPr>
        <w:t>(3)</w:t>
      </w:r>
      <w:r>
        <w:rPr>
          <w:noProof/>
        </w:rPr>
        <w:tab/>
        <w:t>Fit-8 ta’ Novembru 2019, il-Portugall ressaq applikazzjoni biex jimmobilizza l-Fond, wara avvenimenti estremi tat-temp fl-Azores.</w:t>
      </w:r>
    </w:p>
    <w:p>
      <w:pPr>
        <w:pStyle w:val="Point0"/>
        <w:rPr>
          <w:noProof/>
        </w:rPr>
      </w:pPr>
      <w:r>
        <w:rPr>
          <w:noProof/>
        </w:rPr>
        <w:t>(4)</w:t>
      </w:r>
      <w:r>
        <w:rPr>
          <w:noProof/>
        </w:rPr>
        <w:tab/>
        <w:t xml:space="preserve">Fit-28 ta’ Novembru 2019, Spanja ressqet applikazzjoni biex timmobilizza l-Fond, wara xita estrema li rriżultat f’għargħar fir-reġjuni ta’ Valenzja, Murcia, Castilla-La Mancha u Andalusija. </w:t>
      </w:r>
    </w:p>
    <w:p>
      <w:pPr>
        <w:pStyle w:val="Point0"/>
        <w:rPr>
          <w:noProof/>
        </w:rPr>
      </w:pPr>
      <w:r>
        <w:rPr>
          <w:noProof/>
        </w:rPr>
        <w:t>(5)</w:t>
      </w:r>
      <w:r>
        <w:rPr>
          <w:noProof/>
        </w:rPr>
        <w:tab/>
        <w:t>Fl-10 ta’ Jannar 2020, l-Italja ressqet applikazzjoni biex timmobilizza l-Fond, wara avvenimenti estremi tat-temp fi 17-il reġjun fil-ħarifa 2019.</w:t>
      </w:r>
    </w:p>
    <w:p>
      <w:pPr>
        <w:pStyle w:val="Point0"/>
        <w:rPr>
          <w:noProof/>
        </w:rPr>
      </w:pPr>
      <w:r>
        <w:rPr>
          <w:noProof/>
        </w:rPr>
        <w:t>(6)</w:t>
      </w:r>
      <w:r>
        <w:rPr>
          <w:noProof/>
        </w:rPr>
        <w:tab/>
        <w:t>Fid-29 ta’ Jannar 2020, l-Awstrija ressqet applikazzjoni biex timmobilizza l-Fond, wara avvenimenti estremi tat-temp f’Novembru 2019.</w:t>
      </w:r>
    </w:p>
    <w:p>
      <w:pPr>
        <w:pStyle w:val="Point0"/>
        <w:rPr>
          <w:noProof/>
        </w:rPr>
      </w:pPr>
      <w:r>
        <w:rPr>
          <w:noProof/>
        </w:rPr>
        <w:t>(7)</w:t>
      </w:r>
      <w:r>
        <w:rPr>
          <w:noProof/>
        </w:rPr>
        <w:tab/>
        <w:t>L-applikazzjonijiet mill-Portugall, Spanja, l-Italja u l-Awstrija jissodisfaw il-kundizzjonijiet sabiex tingħata kontribuzzjoni finanzjarja mill-Fond, kif stabbilit fl-Artikolu 4 tar-Regolament (KE) Nru 2012/2002.</w:t>
      </w:r>
    </w:p>
    <w:p>
      <w:pPr>
        <w:pStyle w:val="Point0"/>
        <w:rPr>
          <w:noProof/>
        </w:rPr>
      </w:pPr>
      <w:r>
        <w:rPr>
          <w:noProof/>
        </w:rPr>
        <w:lastRenderedPageBreak/>
        <w:t>(8)</w:t>
      </w:r>
      <w:r>
        <w:rPr>
          <w:noProof/>
        </w:rPr>
        <w:tab/>
        <w:t>Għaldaqstant, jenħtieġ li l-Fond jiġi mobilizzat sabiex jipprovdi kontribuzzjoni finanzjarja lill-Portugall, Spanja, l-Italja u l-Awstrija.</w:t>
      </w:r>
    </w:p>
    <w:p>
      <w:pPr>
        <w:pStyle w:val="Point0"/>
        <w:rPr>
          <w:noProof/>
        </w:rPr>
      </w:pPr>
      <w:r>
        <w:rPr>
          <w:noProof/>
        </w:rPr>
        <w:t>(9)</w:t>
      </w:r>
      <w:r>
        <w:rPr>
          <w:noProof/>
        </w:rPr>
        <w:tab/>
        <w:t>Sabiex jitnaqqas kemm jista’ jkun iż-żmien meħtieġ biex jiġi mobilizzat il-Fond, din id-Deċiżjoni jenħtieġ li tapplika mid-data tal-adozzjoni tagħha.</w:t>
      </w:r>
    </w:p>
    <w:p>
      <w:pPr>
        <w:pStyle w:val="Formuledadoption"/>
        <w:rPr>
          <w:noProof/>
        </w:rPr>
      </w:pPr>
      <w:r>
        <w:rPr>
          <w:noProof/>
        </w:rPr>
        <w:t>ADOTTAW DIN ID-DEĊIŻJONI:</w:t>
      </w:r>
    </w:p>
    <w:p>
      <w:pPr>
        <w:pStyle w:val="Titrearticle"/>
        <w:spacing w:before="240"/>
        <w:rPr>
          <w:noProof/>
        </w:rPr>
      </w:pPr>
      <w:r>
        <w:rPr>
          <w:noProof/>
        </w:rPr>
        <w:t>Artikolu 1</w:t>
      </w:r>
    </w:p>
    <w:p>
      <w:pPr>
        <w:pStyle w:val="FootnoteText"/>
        <w:spacing w:before="120" w:after="120"/>
        <w:ind w:left="0" w:firstLine="0"/>
        <w:rPr>
          <w:noProof/>
          <w:sz w:val="24"/>
          <w:szCs w:val="24"/>
        </w:rPr>
      </w:pPr>
      <w:r>
        <w:rPr>
          <w:noProof/>
          <w:sz w:val="24"/>
          <w:szCs w:val="24"/>
        </w:rPr>
        <w:t>Għall-baġit ġenerali tal-Unjoni Ewropea għas-sena finanzjarja 2020, il-Fond ta’ Solidarjetà tal-Unjoni Ewropea għandu jkun mobilizzat kif ġej f’approprjazzjonijiet ta’ impenn u ta’ pagament:</w:t>
      </w:r>
    </w:p>
    <w:p>
      <w:pPr>
        <w:pStyle w:val="FootnoteText"/>
        <w:spacing w:before="120" w:after="120"/>
        <w:ind w:firstLine="0"/>
        <w:rPr>
          <w:noProof/>
          <w:sz w:val="24"/>
          <w:szCs w:val="24"/>
        </w:rPr>
      </w:pPr>
      <w:r>
        <w:rPr>
          <w:noProof/>
          <w:sz w:val="24"/>
          <w:szCs w:val="24"/>
        </w:rPr>
        <w:t>(a) l-ammont ta’ EUR 8 212 697 għandu jiġi pprovdut lill-Portugall;</w:t>
      </w:r>
    </w:p>
    <w:p>
      <w:pPr>
        <w:pStyle w:val="FootnoteText"/>
        <w:spacing w:before="120" w:after="120"/>
        <w:ind w:firstLine="0"/>
        <w:rPr>
          <w:noProof/>
          <w:sz w:val="24"/>
          <w:szCs w:val="24"/>
        </w:rPr>
      </w:pPr>
      <w:r>
        <w:rPr>
          <w:noProof/>
          <w:sz w:val="24"/>
          <w:szCs w:val="24"/>
        </w:rPr>
        <w:t>(b) l-ammont ta’ EUR 56 743 358 għandu jiġi pprovdut lil Spanja;</w:t>
      </w:r>
    </w:p>
    <w:p>
      <w:pPr>
        <w:pStyle w:val="FootnoteText"/>
        <w:spacing w:before="120" w:after="120"/>
        <w:ind w:firstLine="0"/>
        <w:rPr>
          <w:noProof/>
          <w:sz w:val="24"/>
          <w:szCs w:val="24"/>
        </w:rPr>
      </w:pPr>
      <w:r>
        <w:rPr>
          <w:noProof/>
          <w:sz w:val="24"/>
          <w:szCs w:val="24"/>
        </w:rPr>
        <w:t>(c) l-ammont ta’ EUR 211 707 982 għandu jiġi pprovdut lill-Italja;</w:t>
      </w:r>
    </w:p>
    <w:p>
      <w:pPr>
        <w:pStyle w:val="FootnoteText"/>
        <w:spacing w:before="120" w:after="120"/>
        <w:ind w:firstLine="0"/>
        <w:rPr>
          <w:noProof/>
          <w:sz w:val="24"/>
          <w:szCs w:val="24"/>
        </w:rPr>
      </w:pPr>
      <w:r>
        <w:rPr>
          <w:noProof/>
          <w:sz w:val="24"/>
          <w:szCs w:val="24"/>
        </w:rPr>
        <w:t>(d) l-ammont ta’ EUR 2 329 777 għandu jiġi pprovdut lill-Awstrija.</w:t>
      </w:r>
    </w:p>
    <w:p>
      <w:pPr>
        <w:pStyle w:val="Titrearticle"/>
        <w:rPr>
          <w:noProof/>
        </w:rPr>
      </w:pPr>
      <w:r>
        <w:rPr>
          <w:noProof/>
        </w:rPr>
        <w:t>Artikolu 2</w:t>
      </w:r>
    </w:p>
    <w:p>
      <w:pPr>
        <w:rPr>
          <w:noProof/>
        </w:rPr>
      </w:pPr>
      <w:r>
        <w:rPr>
          <w:noProof/>
        </w:rPr>
        <w:t>Din id-Deċiżjoni għandha tidħol fis-seħħ fil-jum tal-pubblikazzjoni tagħha f’</w:t>
      </w:r>
      <w:r>
        <w:rPr>
          <w:i/>
          <w:iCs/>
          <w:noProof/>
        </w:rPr>
        <w:t>Il-Ġurnal Uffiċjali tal-Unjoni Ewropea</w:t>
      </w:r>
      <w:r>
        <w:rPr>
          <w:noProof/>
        </w:rPr>
        <w:t>.</w:t>
      </w:r>
    </w:p>
    <w:p>
      <w:pPr>
        <w:rPr>
          <w:i/>
          <w:noProof/>
        </w:rPr>
      </w:pPr>
      <w:r>
        <w:rPr>
          <w:noProof/>
        </w:rPr>
        <w:t>Għandha tapplika minn… [</w:t>
      </w:r>
      <w:r>
        <w:rPr>
          <w:i/>
          <w:noProof/>
        </w:rPr>
        <w:t>id-data tal-adozzjoni tagħha</w:t>
      </w:r>
      <w:r>
        <w:rPr>
          <w:noProof/>
        </w:rPr>
        <w:t>]</w:t>
      </w:r>
      <w:r>
        <w:rPr>
          <w:rStyle w:val="FootnoteReference"/>
          <w:noProof/>
        </w:rPr>
        <w:footnoteReference w:customMarkFollows="1" w:id="7"/>
        <w:sym w:font="Symbol" w:char="F02A"/>
      </w:r>
      <w:r>
        <w:rPr>
          <w:rStyle w:val="FootnoteReference"/>
          <w:noProof/>
        </w:rPr>
        <w:sym w:font="Symbol" w:char="F02A"/>
      </w:r>
      <w:r>
        <w:rPr>
          <w:rStyle w:val="FootnoteReference"/>
          <w:noProof/>
        </w:rPr>
        <w:sym w:font="Symbol" w:char="F02A"/>
      </w:r>
      <w:r>
        <w:rPr>
          <w:i/>
          <w:noProof/>
        </w:rPr>
        <w:t>.</w:t>
      </w:r>
    </w:p>
    <w:p>
      <w:pPr>
        <w:pStyle w:val="Fait"/>
        <w:rPr>
          <w:noProof/>
        </w:rPr>
      </w:pPr>
      <w:r>
        <w:rPr>
          <w:noProof/>
        </w:rPr>
        <w:t>Magħmul fi Brussell,</w:t>
      </w:r>
    </w:p>
    <w:p>
      <w:pPr>
        <w:pStyle w:val="Institutionquisigne"/>
        <w:rPr>
          <w:noProof/>
        </w:rPr>
      </w:pPr>
      <w:r>
        <w:rPr>
          <w:noProof/>
        </w:rPr>
        <w:t>Għall-Parlament Ewropew</w:t>
      </w:r>
      <w:r>
        <w:rPr>
          <w:noProof/>
        </w:rPr>
        <w:tab/>
        <w:t>Għall-Kunsill</w:t>
      </w:r>
    </w:p>
    <w:p>
      <w:pPr>
        <w:pStyle w:val="Personnequisigne"/>
        <w:rPr>
          <w:noProof/>
        </w:rPr>
      </w:pPr>
      <w:r>
        <w:rPr>
          <w:noProof/>
        </w:rPr>
        <w:t>Il-President</w:t>
      </w:r>
      <w:r>
        <w:rPr>
          <w:noProof/>
        </w:rPr>
        <w:tab/>
        <w:t>Il-President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MT</w:t>
    </w:r>
    <w:r>
      <w:rPr>
        <w:rFonts w:ascii="Arial" w:hAnsi="Arial" w:cs="Arial"/>
        <w:b/>
        <w:sz w:val="48"/>
      </w:rPr>
      <w:tab/>
    </w:r>
    <w:r>
      <w:rPr>
        <w:rFonts w:ascii="Arial" w:hAnsi="Arial" w:cs="Arial"/>
        <w:b/>
        <w:sz w:val="48"/>
      </w:rPr>
      <w:tab/>
    </w:r>
    <w:r>
      <w:tab/>
    </w:r>
    <w:r>
      <w:rPr>
        <w:rFonts w:ascii="Arial" w:hAnsi="Arial" w:cs="Arial"/>
        <w:b/>
        <w:sz w:val="48"/>
      </w:rPr>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MT</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COM(2020) 190, 30.4.2020.</w:t>
      </w:r>
    </w:p>
  </w:footnote>
  <w:footnote w:id="2">
    <w:p>
      <w:pPr>
        <w:pStyle w:val="FootnoteText"/>
        <w:rPr>
          <w:lang w:val="fr-BE"/>
        </w:rPr>
      </w:pPr>
      <w:r>
        <w:rPr>
          <w:rStyle w:val="FootnoteReference"/>
        </w:rPr>
        <w:footnoteRef/>
      </w:r>
      <w:r>
        <w:rPr>
          <w:lang w:val="fr-BE"/>
        </w:rPr>
        <w:tab/>
        <w:t>ĠU L 347, 20.12.2013, p. 884.</w:t>
      </w:r>
    </w:p>
  </w:footnote>
  <w:footnote w:id="3">
    <w:p>
      <w:pPr>
        <w:pStyle w:val="FootnoteText"/>
        <w:rPr>
          <w:lang w:val="fr-BE"/>
        </w:rPr>
      </w:pPr>
      <w:r>
        <w:rPr>
          <w:rStyle w:val="FootnoteReference"/>
        </w:rPr>
        <w:footnoteRef/>
      </w:r>
      <w:r>
        <w:rPr>
          <w:lang w:val="fr-BE"/>
        </w:rPr>
        <w:tab/>
        <w:t>ĠU C 373, 20.12.2013, p. 1.</w:t>
      </w:r>
    </w:p>
  </w:footnote>
  <w:footnote w:id="4">
    <w:p>
      <w:pPr>
        <w:pStyle w:val="FootnoteText"/>
        <w:rPr>
          <w:lang w:val="fr-BE"/>
        </w:rPr>
      </w:pPr>
      <w:r>
        <w:rPr>
          <w:rStyle w:val="FootnoteReference"/>
        </w:rPr>
        <w:footnoteRef/>
      </w:r>
      <w:r>
        <w:rPr>
          <w:lang w:val="fr-BE"/>
        </w:rPr>
        <w:tab/>
      </w:r>
      <w:r>
        <w:rPr>
          <w:shd w:val="clear" w:color="auto" w:fill="FFFFFF"/>
          <w:lang w:val="fr-BE"/>
        </w:rPr>
        <w:t>ĠU L 311, 14.11.2002, p. 3.</w:t>
      </w:r>
    </w:p>
  </w:footnote>
  <w:footnote w:id="5">
    <w:p>
      <w:pPr>
        <w:pStyle w:val="FootnoteText"/>
        <w:rPr>
          <w:lang w:val="fr-BE"/>
        </w:rPr>
      </w:pPr>
      <w:r>
        <w:rPr>
          <w:rStyle w:val="FootnoteReference"/>
        </w:rPr>
        <w:footnoteRef/>
      </w:r>
      <w:r>
        <w:rPr>
          <w:lang w:val="fr-BE"/>
        </w:rPr>
        <w:tab/>
        <w:t>ĠU C 373, 20.12.2013, p. 1.</w:t>
      </w:r>
    </w:p>
  </w:footnote>
  <w:footnote w:id="6">
    <w:p>
      <w:pPr>
        <w:pStyle w:val="FootnoteText"/>
        <w:rPr>
          <w:lang w:val="fr-BE"/>
        </w:rPr>
      </w:pPr>
      <w:r>
        <w:rPr>
          <w:rStyle w:val="FootnoteReference"/>
        </w:rPr>
        <w:footnoteRef/>
      </w:r>
      <w:r>
        <w:rPr>
          <w:lang w:val="fr-BE"/>
        </w:rPr>
        <w:tab/>
        <w:t>Ir-Regolament tal-Kunsill (UE, Euratom) Nru 1311/2013 tat-2 ta’ Diċembru 2013 li jistabbilixxi l-qafas finanzjarju pluriennali għas-snin 2014-2020 (ĠU L 347, 20.12.2013, p. 884).</w:t>
      </w:r>
    </w:p>
  </w:footnote>
  <w:footnote w:id="7">
    <w:p>
      <w:pPr>
        <w:pStyle w:val="FootnoteText"/>
      </w:pPr>
      <w:r>
        <w:rPr>
          <w:rStyle w:val="FootnoteReference"/>
        </w:rPr>
        <w:sym w:font="Symbol" w:char="F02A"/>
      </w:r>
      <w:r>
        <w:rPr>
          <w:rStyle w:val="FootnoteReference"/>
        </w:rPr>
        <w:sym w:font="Symbol" w:char="F02A"/>
      </w:r>
      <w:r>
        <w:t xml:space="preserve"> </w:t>
      </w:r>
      <w:r>
        <w:rPr>
          <w:i/>
        </w:rPr>
        <w:t>Id-data trid tiddaħħal mill-Parlament qabel il-pubblikazzjoni fil-ĠU.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5-11 19:10:41"/>
    <w:docVar w:name="DQCResult_Distribution" w:val="0;1"/>
    <w:docVar w:name="DQCResult_DocumentContent" w:val="0;0"/>
    <w:docVar w:name="DQCResult_DocumentSize" w:val="0;0"/>
    <w:docVar w:name="DQCResult_DocumentVersions" w:val="0;0"/>
    <w:docVar w:name="DQCResult_InvalidFootnotes" w:val="0;1"/>
    <w:docVar w:name="DQCResult_LinkedStyles" w:val="0;0"/>
    <w:docVar w:name="DQCResult_ModifiedMargins" w:val="0;16"/>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9E03831-CC23-4433-A598-7656D5CD05F8"/>
    <w:docVar w:name="LW_COVERPAGE_TYPE" w:val="1"/>
    <w:docVar w:name="LW_CROSSREFERENCE" w:val="&lt;UNUSED&gt;"/>
    <w:docVar w:name="LW_DocType" w:val="COM"/>
    <w:docVar w:name="LW_EMISSION" w:val="30.4.2020"/>
    <w:docVar w:name="LW_EMISSION_ISODATE" w:val="2020-04-30"/>
    <w:docVar w:name="LW_EMISSION_LOCATION" w:val="BRX"/>
    <w:docVar w:name="LW_EMISSION_PREFIX" w:val="Brussell,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MT"/>
    <w:docVar w:name="LW_LEVEL_OF_SENSITIVITY" w:val="Standard treatment"/>
    <w:docVar w:name="LW_NOM.INST" w:val="IL-KUMMISSJONI EWROPEA"/>
    <w:docVar w:name="LW_NOM.INST_JOINTDOC" w:val="&lt;EMPTY&gt;"/>
    <w:docVar w:name="LW_PART_NBR" w:val="1"/>
    <w:docVar w:name="LW_PART_NBR_TOTAL" w:val="1"/>
    <w:docVar w:name="LW_REF.II.NEW.CP" w:val="&lt;UNUSED&gt;"/>
    <w:docVar w:name="LW_REF.II.NEW.CP_NUMBER" w:val="&lt;UNUSED&gt;"/>
    <w:docVar w:name="LW_REF.II.NEW.CP_YEAR" w:val="2020"/>
    <w:docVar w:name="LW_REF.INST.NEW" w:val="COM"/>
    <w:docVar w:name="LW_REF.INST.NEW_ADOPTED" w:val="final"/>
    <w:docVar w:name="LW_REF.INST.NEW_TEXT" w:val="(2020) 2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g\u295?al"/>
    <w:docVar w:name="LW_SUPERTITRE" w:val="&lt;UNUSED&gt;"/>
    <w:docVar w:name="LW_TITRE.OBJ.CP" w:val="dwar il-mobilizzazzjoni tal-Fond ta' Solidarjetà tal-Unjoni Ewropea biex ting\u295?ata assistenza lill-Portugall, Spanja, l-Italja u l-Awstrija"/>
    <w:docVar w:name="LW_TYPE.DOC.CP" w:val="DE\u266?I\u379?JONI TAL-PARLAMENT EWROPEW U TAL-KUNSIL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mt-MT"/>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mt-M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mt-M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mt-MT"/>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mt-M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mt-M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9</Pages>
  <Words>4276</Words>
  <Characters>24376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dcterms:created xsi:type="dcterms:W3CDTF">2020-05-11T08:25:00Z</dcterms:created>
  <dcterms:modified xsi:type="dcterms:W3CDTF">2020-05-11T17:10:00Z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