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alt="1F7FCFC6-E8CA-4F8B-B7B1-61FE0A0C70C2" style="width:450.15pt;height:307.3pt">
            <v:imagedata r:id="rId9" o:title=""/>
          </v:shape>
        </w:pict>
      </w:r>
    </w:p>
    <w:bookmarkEnd w:id="0"/>
    <w:p>
      <w:pPr>
        <w:rPr>
          <w:noProof/>
          <w:lang w:val="en-US"/>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bookmarkStart w:id="1" w:name="_GoBack" w:displacedByCustomXml="next"/>
    <w:bookmarkEnd w:id="1" w:displacedByCustomXml="next"/>
    <w:sdt>
      <w:sdtPr>
        <w:rPr>
          <w:rFonts w:ascii="Times New Roman" w:eastAsia="Calibri" w:hAnsi="Times New Roman"/>
          <w:b w:val="0"/>
          <w:bCs w:val="0"/>
          <w:noProof/>
          <w:color w:val="auto"/>
          <w:sz w:val="24"/>
          <w:szCs w:val="24"/>
          <w:lang w:eastAsia="en-US"/>
        </w:rPr>
        <w:id w:val="-1133089857"/>
        <w:docPartObj>
          <w:docPartGallery w:val="Table of Contents"/>
          <w:docPartUnique/>
        </w:docPartObj>
      </w:sdtPr>
      <w:sdtEndPr>
        <w:rPr>
          <w:sz w:val="22"/>
          <w:szCs w:val="22"/>
        </w:rPr>
      </w:sdtEndPr>
      <w:sdtContent>
        <w:p>
          <w:pPr>
            <w:pStyle w:val="TOCHeading"/>
            <w:rPr>
              <w:rFonts w:ascii="Times New Roman" w:hAnsi="Times New Roman"/>
              <w:noProof/>
              <w:color w:val="auto"/>
              <w:sz w:val="24"/>
              <w:szCs w:val="24"/>
            </w:rPr>
          </w:pPr>
          <w:r>
            <w:rPr>
              <w:rFonts w:ascii="Times New Roman" w:hAnsi="Times New Roman"/>
              <w:noProof/>
              <w:color w:val="auto"/>
              <w:sz w:val="24"/>
              <w:szCs w:val="24"/>
            </w:rPr>
            <w:t>Werrej</w:t>
          </w:r>
        </w:p>
        <w:p>
          <w:pPr>
            <w:pStyle w:val="TOC1"/>
            <w:rPr>
              <w:rFonts w:asciiTheme="minorHAnsi" w:eastAsiaTheme="minorEastAsia" w:hAnsiTheme="minorHAnsi" w:cstheme="minorBidi"/>
              <w:noProof/>
              <w:lang w:val="en-US"/>
            </w:rPr>
          </w:pPr>
          <w:r>
            <w:rPr>
              <w:rFonts w:ascii="Times New Roman" w:hAnsi="Times New Roman"/>
              <w:b/>
              <w:bCs/>
              <w:noProof/>
              <w:sz w:val="24"/>
              <w:szCs w:val="24"/>
            </w:rPr>
            <w:fldChar w:fldCharType="begin"/>
          </w:r>
          <w:r>
            <w:rPr>
              <w:rFonts w:ascii="Times New Roman" w:hAnsi="Times New Roman"/>
              <w:b/>
              <w:bCs/>
              <w:noProof/>
              <w:sz w:val="24"/>
              <w:szCs w:val="24"/>
            </w:rPr>
            <w:instrText xml:space="preserve"> TOC \o "1-5" \h \z \u </w:instrText>
          </w:r>
          <w:r>
            <w:rPr>
              <w:rFonts w:ascii="Times New Roman" w:hAnsi="Times New Roman"/>
              <w:b/>
              <w:bCs/>
              <w:noProof/>
              <w:sz w:val="24"/>
              <w:szCs w:val="24"/>
            </w:rPr>
            <w:fldChar w:fldCharType="separate"/>
          </w:r>
          <w:hyperlink w:anchor="_Toc56000788" w:history="1">
            <w:r>
              <w:rPr>
                <w:rStyle w:val="Hyperlink"/>
                <w:noProof/>
              </w:rPr>
              <w:t>Lista ta’ akronimi u abbrevjazzjonijiet</w:t>
            </w:r>
            <w:r>
              <w:rPr>
                <w:noProof/>
                <w:webHidden/>
              </w:rPr>
              <w:tab/>
            </w:r>
            <w:r>
              <w:rPr>
                <w:noProof/>
                <w:webHidden/>
              </w:rPr>
              <w:fldChar w:fldCharType="begin"/>
            </w:r>
            <w:r>
              <w:rPr>
                <w:noProof/>
                <w:webHidden/>
              </w:rPr>
              <w:instrText xml:space="preserve"> PAGEREF _Toc56000788 \h </w:instrText>
            </w:r>
            <w:r>
              <w:rPr>
                <w:noProof/>
                <w:webHidden/>
              </w:rPr>
            </w:r>
            <w:r>
              <w:rPr>
                <w:noProof/>
                <w:webHidden/>
              </w:rPr>
              <w:fldChar w:fldCharType="separate"/>
            </w:r>
            <w:r>
              <w:rPr>
                <w:noProof/>
                <w:webHidden/>
              </w:rPr>
              <w:t>2</w:t>
            </w:r>
            <w:r>
              <w:rPr>
                <w:noProof/>
                <w:webHidden/>
              </w:rPr>
              <w:fldChar w:fldCharType="end"/>
            </w:r>
          </w:hyperlink>
        </w:p>
        <w:p>
          <w:pPr>
            <w:pStyle w:val="TOC1"/>
            <w:rPr>
              <w:rFonts w:asciiTheme="minorHAnsi" w:eastAsiaTheme="minorEastAsia" w:hAnsiTheme="minorHAnsi" w:cstheme="minorBidi"/>
              <w:noProof/>
              <w:lang w:val="en-US"/>
            </w:rPr>
          </w:pPr>
          <w:hyperlink w:anchor="_Toc56000789" w:history="1">
            <w:r>
              <w:rPr>
                <w:rStyle w:val="Hyperlink"/>
                <w:noProof/>
              </w:rPr>
              <w:t>1. INTRODUZZJONI</w:t>
            </w:r>
            <w:r>
              <w:rPr>
                <w:noProof/>
                <w:webHidden/>
              </w:rPr>
              <w:tab/>
            </w:r>
            <w:r>
              <w:rPr>
                <w:noProof/>
                <w:webHidden/>
              </w:rPr>
              <w:fldChar w:fldCharType="begin"/>
            </w:r>
            <w:r>
              <w:rPr>
                <w:noProof/>
                <w:webHidden/>
              </w:rPr>
              <w:instrText xml:space="preserve"> PAGEREF _Toc56000789 \h </w:instrText>
            </w:r>
            <w:r>
              <w:rPr>
                <w:noProof/>
                <w:webHidden/>
              </w:rPr>
            </w:r>
            <w:r>
              <w:rPr>
                <w:noProof/>
                <w:webHidden/>
              </w:rPr>
              <w:fldChar w:fldCharType="separate"/>
            </w:r>
            <w:r>
              <w:rPr>
                <w:noProof/>
                <w:webHidden/>
              </w:rPr>
              <w:t>4</w:t>
            </w:r>
            <w:r>
              <w:rPr>
                <w:noProof/>
                <w:webHidden/>
              </w:rPr>
              <w:fldChar w:fldCharType="end"/>
            </w:r>
          </w:hyperlink>
        </w:p>
        <w:p>
          <w:pPr>
            <w:pStyle w:val="TOC1"/>
            <w:rPr>
              <w:rFonts w:asciiTheme="minorHAnsi" w:eastAsiaTheme="minorEastAsia" w:hAnsiTheme="minorHAnsi" w:cstheme="minorBidi"/>
              <w:noProof/>
              <w:lang w:val="en-US"/>
            </w:rPr>
          </w:pPr>
          <w:hyperlink w:anchor="_Toc56000790" w:history="1">
            <w:r>
              <w:rPr>
                <w:rStyle w:val="Hyperlink"/>
                <w:noProof/>
              </w:rPr>
              <w:t>2. INFRASTRUTTURA TAL-EU ETS</w:t>
            </w:r>
            <w:r>
              <w:rPr>
                <w:noProof/>
                <w:webHidden/>
              </w:rPr>
              <w:tab/>
            </w:r>
            <w:r>
              <w:rPr>
                <w:noProof/>
                <w:webHidden/>
              </w:rPr>
              <w:fldChar w:fldCharType="begin"/>
            </w:r>
            <w:r>
              <w:rPr>
                <w:noProof/>
                <w:webHidden/>
              </w:rPr>
              <w:instrText xml:space="preserve"> PAGEREF _Toc56000790 \h </w:instrText>
            </w:r>
            <w:r>
              <w:rPr>
                <w:noProof/>
                <w:webHidden/>
              </w:rPr>
            </w:r>
            <w:r>
              <w:rPr>
                <w:noProof/>
                <w:webHidden/>
              </w:rPr>
              <w:fldChar w:fldCharType="separate"/>
            </w:r>
            <w:r>
              <w:rPr>
                <w:noProof/>
                <w:webHidden/>
              </w:rPr>
              <w:t>6</w:t>
            </w:r>
            <w:r>
              <w:rPr>
                <w:noProof/>
                <w:webHidden/>
              </w:rPr>
              <w:fldChar w:fldCharType="end"/>
            </w:r>
          </w:hyperlink>
        </w:p>
        <w:p>
          <w:pPr>
            <w:pStyle w:val="TOC1"/>
            <w:rPr>
              <w:rFonts w:asciiTheme="minorHAnsi" w:eastAsiaTheme="minorEastAsia" w:hAnsiTheme="minorHAnsi" w:cstheme="minorBidi"/>
              <w:noProof/>
              <w:lang w:val="en-US"/>
            </w:rPr>
          </w:pPr>
          <w:hyperlink w:anchor="_Toc56000791" w:history="1">
            <w:r>
              <w:rPr>
                <w:rStyle w:val="Hyperlink"/>
                <w:noProof/>
              </w:rPr>
              <w:t>2.2 Ir-Reġistru tal-Unjoni u r-Reġistru tat-Tranżazzjonijiet tal-Unjoni Ewropea (EUTL)</w:t>
            </w:r>
            <w:r>
              <w:rPr>
                <w:noProof/>
                <w:webHidden/>
              </w:rPr>
              <w:tab/>
            </w:r>
            <w:r>
              <w:rPr>
                <w:noProof/>
                <w:webHidden/>
              </w:rPr>
              <w:fldChar w:fldCharType="begin"/>
            </w:r>
            <w:r>
              <w:rPr>
                <w:noProof/>
                <w:webHidden/>
              </w:rPr>
              <w:instrText xml:space="preserve"> PAGEREF _Toc56000791 \h </w:instrText>
            </w:r>
            <w:r>
              <w:rPr>
                <w:noProof/>
                <w:webHidden/>
              </w:rPr>
            </w:r>
            <w:r>
              <w:rPr>
                <w:noProof/>
                <w:webHidden/>
              </w:rPr>
              <w:fldChar w:fldCharType="separate"/>
            </w:r>
            <w:r>
              <w:rPr>
                <w:noProof/>
                <w:webHidden/>
              </w:rPr>
              <w:t>8</w:t>
            </w:r>
            <w:r>
              <w:rPr>
                <w:noProof/>
                <w:webHidden/>
              </w:rPr>
              <w:fldChar w:fldCharType="end"/>
            </w:r>
          </w:hyperlink>
        </w:p>
        <w:p>
          <w:pPr>
            <w:pStyle w:val="TOC1"/>
            <w:rPr>
              <w:rFonts w:asciiTheme="minorHAnsi" w:eastAsiaTheme="minorEastAsia" w:hAnsiTheme="minorHAnsi" w:cstheme="minorBidi"/>
              <w:noProof/>
              <w:lang w:val="en-US"/>
            </w:rPr>
          </w:pPr>
          <w:hyperlink w:anchor="_Toc56000792" w:history="1">
            <w:r>
              <w:rPr>
                <w:rStyle w:val="Hyperlink"/>
                <w:noProof/>
              </w:rPr>
              <w:t>3. FUNZJONAMENT TAS-SUQ TAL-KARBONJU FL-2019</w:t>
            </w:r>
            <w:r>
              <w:rPr>
                <w:noProof/>
                <w:webHidden/>
              </w:rPr>
              <w:tab/>
            </w:r>
            <w:r>
              <w:rPr>
                <w:noProof/>
                <w:webHidden/>
              </w:rPr>
              <w:fldChar w:fldCharType="begin"/>
            </w:r>
            <w:r>
              <w:rPr>
                <w:noProof/>
                <w:webHidden/>
              </w:rPr>
              <w:instrText xml:space="preserve"> PAGEREF _Toc56000792 \h </w:instrText>
            </w:r>
            <w:r>
              <w:rPr>
                <w:noProof/>
                <w:webHidden/>
              </w:rPr>
            </w:r>
            <w:r>
              <w:rPr>
                <w:noProof/>
                <w:webHidden/>
              </w:rPr>
              <w:fldChar w:fldCharType="separate"/>
            </w:r>
            <w:r>
              <w:rPr>
                <w:noProof/>
                <w:webHidden/>
              </w:rPr>
              <w:t>9</w:t>
            </w:r>
            <w:r>
              <w:rPr>
                <w:noProof/>
                <w:webHidden/>
              </w:rPr>
              <w:fldChar w:fldCharType="end"/>
            </w:r>
          </w:hyperlink>
        </w:p>
        <w:p>
          <w:pPr>
            <w:pStyle w:val="TOC2"/>
            <w:tabs>
              <w:tab w:val="right" w:leader="dot" w:pos="9016"/>
            </w:tabs>
            <w:rPr>
              <w:rFonts w:asciiTheme="minorHAnsi" w:eastAsiaTheme="minorEastAsia" w:hAnsiTheme="minorHAnsi" w:cstheme="minorBidi"/>
              <w:noProof/>
              <w:lang w:val="en-US"/>
            </w:rPr>
          </w:pPr>
          <w:hyperlink w:anchor="_Toc56000793" w:history="1">
            <w:r>
              <w:rPr>
                <w:rStyle w:val="Hyperlink"/>
                <w:noProof/>
              </w:rPr>
              <w:t>3.1. Provvista: kwoti mqiegħda fiċ-ċirkolazzjoni</w:t>
            </w:r>
            <w:r>
              <w:rPr>
                <w:noProof/>
                <w:webHidden/>
              </w:rPr>
              <w:tab/>
            </w:r>
            <w:r>
              <w:rPr>
                <w:noProof/>
                <w:webHidden/>
              </w:rPr>
              <w:fldChar w:fldCharType="begin"/>
            </w:r>
            <w:r>
              <w:rPr>
                <w:noProof/>
                <w:webHidden/>
              </w:rPr>
              <w:instrText xml:space="preserve"> PAGEREF _Toc56000793 \h </w:instrText>
            </w:r>
            <w:r>
              <w:rPr>
                <w:noProof/>
                <w:webHidden/>
              </w:rPr>
            </w:r>
            <w:r>
              <w:rPr>
                <w:noProof/>
                <w:webHidden/>
              </w:rPr>
              <w:fldChar w:fldCharType="separate"/>
            </w:r>
            <w:r>
              <w:rPr>
                <w:noProof/>
                <w:webHidden/>
              </w:rPr>
              <w:t>10</w:t>
            </w:r>
            <w:r>
              <w:rPr>
                <w:noProof/>
                <w:webHidden/>
              </w:rPr>
              <w:fldChar w:fldCharType="end"/>
            </w:r>
          </w:hyperlink>
        </w:p>
        <w:p>
          <w:pPr>
            <w:pStyle w:val="TOC3"/>
            <w:tabs>
              <w:tab w:val="right" w:leader="dot" w:pos="9016"/>
            </w:tabs>
            <w:rPr>
              <w:rFonts w:asciiTheme="minorHAnsi" w:eastAsiaTheme="minorEastAsia" w:hAnsiTheme="minorHAnsi" w:cstheme="minorBidi"/>
              <w:noProof/>
              <w:lang w:val="en-US"/>
            </w:rPr>
          </w:pPr>
          <w:hyperlink w:anchor="_Toc56000794" w:history="1">
            <w:r>
              <w:rPr>
                <w:rStyle w:val="Hyperlink"/>
                <w:noProof/>
              </w:rPr>
              <w:t>3.1.1. Limitu massimu</w:t>
            </w:r>
            <w:r>
              <w:rPr>
                <w:noProof/>
                <w:webHidden/>
              </w:rPr>
              <w:tab/>
            </w:r>
            <w:r>
              <w:rPr>
                <w:noProof/>
                <w:webHidden/>
              </w:rPr>
              <w:fldChar w:fldCharType="begin"/>
            </w:r>
            <w:r>
              <w:rPr>
                <w:noProof/>
                <w:webHidden/>
              </w:rPr>
              <w:instrText xml:space="preserve"> PAGEREF _Toc56000794 \h </w:instrText>
            </w:r>
            <w:r>
              <w:rPr>
                <w:noProof/>
                <w:webHidden/>
              </w:rPr>
            </w:r>
            <w:r>
              <w:rPr>
                <w:noProof/>
                <w:webHidden/>
              </w:rPr>
              <w:fldChar w:fldCharType="separate"/>
            </w:r>
            <w:r>
              <w:rPr>
                <w:noProof/>
                <w:webHidden/>
              </w:rPr>
              <w:t>10</w:t>
            </w:r>
            <w:r>
              <w:rPr>
                <w:noProof/>
                <w:webHidden/>
              </w:rPr>
              <w:fldChar w:fldCharType="end"/>
            </w:r>
          </w:hyperlink>
        </w:p>
        <w:p>
          <w:pPr>
            <w:pStyle w:val="TOC3"/>
            <w:tabs>
              <w:tab w:val="right" w:leader="dot" w:pos="9016"/>
            </w:tabs>
            <w:rPr>
              <w:rFonts w:asciiTheme="minorHAnsi" w:eastAsiaTheme="minorEastAsia" w:hAnsiTheme="minorHAnsi" w:cstheme="minorBidi"/>
              <w:noProof/>
              <w:lang w:val="en-US"/>
            </w:rPr>
          </w:pPr>
          <w:hyperlink w:anchor="_Toc56000795" w:history="1">
            <w:r>
              <w:rPr>
                <w:rStyle w:val="Hyperlink"/>
                <w:noProof/>
              </w:rPr>
              <w:t>3.1.2. Kwoti maħruġa</w:t>
            </w:r>
            <w:r>
              <w:rPr>
                <w:noProof/>
                <w:webHidden/>
              </w:rPr>
              <w:tab/>
            </w:r>
            <w:r>
              <w:rPr>
                <w:noProof/>
                <w:webHidden/>
              </w:rPr>
              <w:fldChar w:fldCharType="begin"/>
            </w:r>
            <w:r>
              <w:rPr>
                <w:noProof/>
                <w:webHidden/>
              </w:rPr>
              <w:instrText xml:space="preserve"> PAGEREF _Toc56000795 \h </w:instrText>
            </w:r>
            <w:r>
              <w:rPr>
                <w:noProof/>
                <w:webHidden/>
              </w:rPr>
            </w:r>
            <w:r>
              <w:rPr>
                <w:noProof/>
                <w:webHidden/>
              </w:rPr>
              <w:fldChar w:fldCharType="separate"/>
            </w:r>
            <w:r>
              <w:rPr>
                <w:noProof/>
                <w:webHidden/>
              </w:rPr>
              <w:t>13</w:t>
            </w:r>
            <w:r>
              <w:rPr>
                <w:noProof/>
                <w:webHidden/>
              </w:rPr>
              <w:fldChar w:fldCharType="end"/>
            </w:r>
          </w:hyperlink>
        </w:p>
        <w:p>
          <w:pPr>
            <w:pStyle w:val="TOC4"/>
            <w:tabs>
              <w:tab w:val="right" w:leader="dot" w:pos="9016"/>
            </w:tabs>
            <w:rPr>
              <w:rFonts w:asciiTheme="minorHAnsi" w:eastAsiaTheme="minorEastAsia" w:hAnsiTheme="minorHAnsi" w:cstheme="minorBidi"/>
              <w:noProof/>
              <w:lang w:val="en-US"/>
            </w:rPr>
          </w:pPr>
          <w:hyperlink w:anchor="_Toc56000796" w:history="1">
            <w:r>
              <w:rPr>
                <w:rStyle w:val="Hyperlink"/>
                <w:noProof/>
              </w:rPr>
              <w:t>3.1.2.1.Allokazzjoni bla ħlas</w:t>
            </w:r>
            <w:r>
              <w:rPr>
                <w:noProof/>
                <w:webHidden/>
              </w:rPr>
              <w:tab/>
            </w:r>
            <w:r>
              <w:rPr>
                <w:noProof/>
                <w:webHidden/>
              </w:rPr>
              <w:fldChar w:fldCharType="begin"/>
            </w:r>
            <w:r>
              <w:rPr>
                <w:noProof/>
                <w:webHidden/>
              </w:rPr>
              <w:instrText xml:space="preserve"> PAGEREF _Toc56000796 \h </w:instrText>
            </w:r>
            <w:r>
              <w:rPr>
                <w:noProof/>
                <w:webHidden/>
              </w:rPr>
            </w:r>
            <w:r>
              <w:rPr>
                <w:noProof/>
                <w:webHidden/>
              </w:rPr>
              <w:fldChar w:fldCharType="separate"/>
            </w:r>
            <w:r>
              <w:rPr>
                <w:noProof/>
                <w:webHidden/>
              </w:rPr>
              <w:t>13</w:t>
            </w:r>
            <w:r>
              <w:rPr>
                <w:noProof/>
                <w:webHidden/>
              </w:rPr>
              <w:fldChar w:fldCharType="end"/>
            </w:r>
          </w:hyperlink>
        </w:p>
        <w:p>
          <w:pPr>
            <w:pStyle w:val="TOC4"/>
            <w:tabs>
              <w:tab w:val="right" w:leader="dot" w:pos="9016"/>
            </w:tabs>
            <w:rPr>
              <w:rFonts w:asciiTheme="minorHAnsi" w:eastAsiaTheme="minorEastAsia" w:hAnsiTheme="minorHAnsi" w:cstheme="minorBidi"/>
              <w:noProof/>
              <w:lang w:val="en-US"/>
            </w:rPr>
          </w:pPr>
          <w:hyperlink w:anchor="_Toc56000797" w:history="1">
            <w:r>
              <w:rPr>
                <w:rStyle w:val="Hyperlink"/>
                <w:rFonts w:ascii="Times New Roman" w:hAnsi="Times New Roman"/>
                <w:bCs/>
                <w:i/>
                <w:noProof/>
              </w:rPr>
              <w:t>3.1.2.2. Irkantar ta’ kwoti</w:t>
            </w:r>
            <w:r>
              <w:rPr>
                <w:noProof/>
                <w:webHidden/>
              </w:rPr>
              <w:tab/>
            </w:r>
            <w:r>
              <w:rPr>
                <w:noProof/>
                <w:webHidden/>
              </w:rPr>
              <w:fldChar w:fldCharType="begin"/>
            </w:r>
            <w:r>
              <w:rPr>
                <w:noProof/>
                <w:webHidden/>
              </w:rPr>
              <w:instrText xml:space="preserve"> PAGEREF _Toc56000797 \h </w:instrText>
            </w:r>
            <w:r>
              <w:rPr>
                <w:noProof/>
                <w:webHidden/>
              </w:rPr>
            </w:r>
            <w:r>
              <w:rPr>
                <w:noProof/>
                <w:webHidden/>
              </w:rPr>
              <w:fldChar w:fldCharType="separate"/>
            </w:r>
            <w:r>
              <w:rPr>
                <w:noProof/>
                <w:webHidden/>
              </w:rPr>
              <w:t>15</w:t>
            </w:r>
            <w:r>
              <w:rPr>
                <w:noProof/>
                <w:webHidden/>
              </w:rPr>
              <w:fldChar w:fldCharType="end"/>
            </w:r>
          </w:hyperlink>
        </w:p>
        <w:p>
          <w:pPr>
            <w:pStyle w:val="TOC4"/>
            <w:tabs>
              <w:tab w:val="right" w:leader="dot" w:pos="9016"/>
            </w:tabs>
            <w:rPr>
              <w:rFonts w:asciiTheme="minorHAnsi" w:eastAsiaTheme="minorEastAsia" w:hAnsiTheme="minorHAnsi" w:cstheme="minorBidi"/>
              <w:noProof/>
              <w:lang w:val="en-US"/>
            </w:rPr>
          </w:pPr>
          <w:hyperlink w:anchor="_Toc56000798" w:history="1">
            <w:r>
              <w:rPr>
                <w:rStyle w:val="Hyperlink"/>
                <w:noProof/>
              </w:rPr>
              <w:t>3.1.2.3. Deroga minn irkantar sħiħ għall-produzzjoni tal-elettriku u s-sħana</w:t>
            </w:r>
            <w:r>
              <w:rPr>
                <w:noProof/>
                <w:webHidden/>
              </w:rPr>
              <w:tab/>
            </w:r>
            <w:r>
              <w:rPr>
                <w:noProof/>
                <w:webHidden/>
              </w:rPr>
              <w:fldChar w:fldCharType="begin"/>
            </w:r>
            <w:r>
              <w:rPr>
                <w:noProof/>
                <w:webHidden/>
              </w:rPr>
              <w:instrText xml:space="preserve"> PAGEREF _Toc56000798 \h </w:instrText>
            </w:r>
            <w:r>
              <w:rPr>
                <w:noProof/>
                <w:webHidden/>
              </w:rPr>
            </w:r>
            <w:r>
              <w:rPr>
                <w:noProof/>
                <w:webHidden/>
              </w:rPr>
              <w:fldChar w:fldCharType="separate"/>
            </w:r>
            <w:r>
              <w:rPr>
                <w:noProof/>
                <w:webHidden/>
              </w:rPr>
              <w:t>18</w:t>
            </w:r>
            <w:r>
              <w:rPr>
                <w:noProof/>
                <w:webHidden/>
              </w:rPr>
              <w:fldChar w:fldCharType="end"/>
            </w:r>
          </w:hyperlink>
        </w:p>
        <w:p>
          <w:pPr>
            <w:pStyle w:val="TOC4"/>
            <w:tabs>
              <w:tab w:val="right" w:leader="dot" w:pos="9016"/>
            </w:tabs>
            <w:rPr>
              <w:rFonts w:asciiTheme="minorHAnsi" w:eastAsiaTheme="minorEastAsia" w:hAnsiTheme="minorHAnsi" w:cstheme="minorBidi"/>
              <w:noProof/>
              <w:lang w:val="en-US"/>
            </w:rPr>
          </w:pPr>
          <w:hyperlink w:anchor="_Toc56000799" w:history="1">
            <w:r>
              <w:rPr>
                <w:rStyle w:val="Hyperlink"/>
                <w:noProof/>
              </w:rPr>
              <w:t>3.1.2.4. Il-programm NER 300</w:t>
            </w:r>
            <w:r>
              <w:rPr>
                <w:noProof/>
                <w:webHidden/>
              </w:rPr>
              <w:tab/>
            </w:r>
            <w:r>
              <w:rPr>
                <w:noProof/>
                <w:webHidden/>
              </w:rPr>
              <w:fldChar w:fldCharType="begin"/>
            </w:r>
            <w:r>
              <w:rPr>
                <w:noProof/>
                <w:webHidden/>
              </w:rPr>
              <w:instrText xml:space="preserve"> PAGEREF _Toc56000799 \h </w:instrText>
            </w:r>
            <w:r>
              <w:rPr>
                <w:noProof/>
                <w:webHidden/>
              </w:rPr>
            </w:r>
            <w:r>
              <w:rPr>
                <w:noProof/>
                <w:webHidden/>
              </w:rPr>
              <w:fldChar w:fldCharType="separate"/>
            </w:r>
            <w:r>
              <w:rPr>
                <w:noProof/>
                <w:webHidden/>
              </w:rPr>
              <w:t>21</w:t>
            </w:r>
            <w:r>
              <w:rPr>
                <w:noProof/>
                <w:webHidden/>
              </w:rPr>
              <w:fldChar w:fldCharType="end"/>
            </w:r>
          </w:hyperlink>
        </w:p>
        <w:p>
          <w:pPr>
            <w:pStyle w:val="TOC4"/>
            <w:tabs>
              <w:tab w:val="right" w:leader="dot" w:pos="9016"/>
            </w:tabs>
            <w:rPr>
              <w:rFonts w:asciiTheme="minorHAnsi" w:eastAsiaTheme="minorEastAsia" w:hAnsiTheme="minorHAnsi" w:cstheme="minorBidi"/>
              <w:noProof/>
              <w:lang w:val="en-US"/>
            </w:rPr>
          </w:pPr>
          <w:hyperlink w:anchor="_Toc56000800" w:history="1">
            <w:r>
              <w:rPr>
                <w:rStyle w:val="Hyperlink"/>
                <w:noProof/>
              </w:rPr>
              <w:t>3.1.2.5. Il-Fond għall-Innovazzjoni</w:t>
            </w:r>
            <w:r>
              <w:rPr>
                <w:noProof/>
                <w:webHidden/>
              </w:rPr>
              <w:tab/>
            </w:r>
            <w:r>
              <w:rPr>
                <w:noProof/>
                <w:webHidden/>
              </w:rPr>
              <w:fldChar w:fldCharType="begin"/>
            </w:r>
            <w:r>
              <w:rPr>
                <w:noProof/>
                <w:webHidden/>
              </w:rPr>
              <w:instrText xml:space="preserve"> PAGEREF _Toc56000800 \h </w:instrText>
            </w:r>
            <w:r>
              <w:rPr>
                <w:noProof/>
                <w:webHidden/>
              </w:rPr>
            </w:r>
            <w:r>
              <w:rPr>
                <w:noProof/>
                <w:webHidden/>
              </w:rPr>
              <w:fldChar w:fldCharType="separate"/>
            </w:r>
            <w:r>
              <w:rPr>
                <w:noProof/>
                <w:webHidden/>
              </w:rPr>
              <w:t>22</w:t>
            </w:r>
            <w:r>
              <w:rPr>
                <w:noProof/>
                <w:webHidden/>
              </w:rPr>
              <w:fldChar w:fldCharType="end"/>
            </w:r>
          </w:hyperlink>
        </w:p>
        <w:p>
          <w:pPr>
            <w:pStyle w:val="TOC4"/>
            <w:tabs>
              <w:tab w:val="right" w:leader="dot" w:pos="9016"/>
            </w:tabs>
            <w:rPr>
              <w:rFonts w:asciiTheme="minorHAnsi" w:eastAsiaTheme="minorEastAsia" w:hAnsiTheme="minorHAnsi" w:cstheme="minorBidi"/>
              <w:noProof/>
              <w:lang w:val="en-US"/>
            </w:rPr>
          </w:pPr>
          <w:hyperlink w:anchor="_Toc56000801" w:history="1">
            <w:r>
              <w:rPr>
                <w:rStyle w:val="Hyperlink"/>
                <w:noProof/>
              </w:rPr>
              <w:t>3.1.2.6. Il-Fond għall-Modernizzazzjoni</w:t>
            </w:r>
            <w:r>
              <w:rPr>
                <w:noProof/>
                <w:webHidden/>
              </w:rPr>
              <w:tab/>
            </w:r>
            <w:r>
              <w:rPr>
                <w:noProof/>
                <w:webHidden/>
              </w:rPr>
              <w:fldChar w:fldCharType="begin"/>
            </w:r>
            <w:r>
              <w:rPr>
                <w:noProof/>
                <w:webHidden/>
              </w:rPr>
              <w:instrText xml:space="preserve"> PAGEREF _Toc56000801 \h </w:instrText>
            </w:r>
            <w:r>
              <w:rPr>
                <w:noProof/>
                <w:webHidden/>
              </w:rPr>
            </w:r>
            <w:r>
              <w:rPr>
                <w:noProof/>
                <w:webHidden/>
              </w:rPr>
              <w:fldChar w:fldCharType="separate"/>
            </w:r>
            <w:r>
              <w:rPr>
                <w:noProof/>
                <w:webHidden/>
              </w:rPr>
              <w:t>23</w:t>
            </w:r>
            <w:r>
              <w:rPr>
                <w:noProof/>
                <w:webHidden/>
              </w:rPr>
              <w:fldChar w:fldCharType="end"/>
            </w:r>
          </w:hyperlink>
        </w:p>
        <w:p>
          <w:pPr>
            <w:pStyle w:val="TOC4"/>
            <w:tabs>
              <w:tab w:val="right" w:leader="dot" w:pos="9016"/>
            </w:tabs>
            <w:rPr>
              <w:rFonts w:asciiTheme="minorHAnsi" w:eastAsiaTheme="minorEastAsia" w:hAnsiTheme="minorHAnsi" w:cstheme="minorBidi"/>
              <w:noProof/>
              <w:lang w:val="en-US"/>
            </w:rPr>
          </w:pPr>
          <w:hyperlink w:anchor="_Toc56000802" w:history="1">
            <w:r>
              <w:rPr>
                <w:rStyle w:val="Hyperlink"/>
                <w:noProof/>
              </w:rPr>
              <w:t>3.1.2.7. Kumpens għall-ispejjeż indiretti tal-karbonju</w:t>
            </w:r>
            <w:r>
              <w:rPr>
                <w:noProof/>
                <w:webHidden/>
              </w:rPr>
              <w:tab/>
            </w:r>
            <w:r>
              <w:rPr>
                <w:noProof/>
                <w:webHidden/>
              </w:rPr>
              <w:fldChar w:fldCharType="begin"/>
            </w:r>
            <w:r>
              <w:rPr>
                <w:noProof/>
                <w:webHidden/>
              </w:rPr>
              <w:instrText xml:space="preserve"> PAGEREF _Toc56000802 \h </w:instrText>
            </w:r>
            <w:r>
              <w:rPr>
                <w:noProof/>
                <w:webHidden/>
              </w:rPr>
            </w:r>
            <w:r>
              <w:rPr>
                <w:noProof/>
                <w:webHidden/>
              </w:rPr>
              <w:fldChar w:fldCharType="separate"/>
            </w:r>
            <w:r>
              <w:rPr>
                <w:noProof/>
                <w:webHidden/>
              </w:rPr>
              <w:t>24</w:t>
            </w:r>
            <w:r>
              <w:rPr>
                <w:noProof/>
                <w:webHidden/>
              </w:rPr>
              <w:fldChar w:fldCharType="end"/>
            </w:r>
          </w:hyperlink>
        </w:p>
        <w:p>
          <w:pPr>
            <w:pStyle w:val="TOC3"/>
            <w:tabs>
              <w:tab w:val="right" w:leader="dot" w:pos="9016"/>
            </w:tabs>
            <w:rPr>
              <w:rFonts w:asciiTheme="minorHAnsi" w:eastAsiaTheme="minorEastAsia" w:hAnsiTheme="minorHAnsi" w:cstheme="minorBidi"/>
              <w:noProof/>
              <w:lang w:val="en-US"/>
            </w:rPr>
          </w:pPr>
          <w:hyperlink w:anchor="_Toc56000803" w:history="1">
            <w:r>
              <w:rPr>
                <w:rStyle w:val="Hyperlink"/>
                <w:noProof/>
              </w:rPr>
              <w:t>3.1.3. Krediti internazzjonali</w:t>
            </w:r>
            <w:r>
              <w:rPr>
                <w:noProof/>
                <w:webHidden/>
              </w:rPr>
              <w:tab/>
            </w:r>
            <w:r>
              <w:rPr>
                <w:noProof/>
                <w:webHidden/>
              </w:rPr>
              <w:fldChar w:fldCharType="begin"/>
            </w:r>
            <w:r>
              <w:rPr>
                <w:noProof/>
                <w:webHidden/>
              </w:rPr>
              <w:instrText xml:space="preserve"> PAGEREF _Toc56000803 \h </w:instrText>
            </w:r>
            <w:r>
              <w:rPr>
                <w:noProof/>
                <w:webHidden/>
              </w:rPr>
            </w:r>
            <w:r>
              <w:rPr>
                <w:noProof/>
                <w:webHidden/>
              </w:rPr>
              <w:fldChar w:fldCharType="separate"/>
            </w:r>
            <w:r>
              <w:rPr>
                <w:noProof/>
                <w:webHidden/>
              </w:rPr>
              <w:t>26</w:t>
            </w:r>
            <w:r>
              <w:rPr>
                <w:noProof/>
                <w:webHidden/>
              </w:rPr>
              <w:fldChar w:fldCharType="end"/>
            </w:r>
          </w:hyperlink>
        </w:p>
        <w:p>
          <w:pPr>
            <w:pStyle w:val="TOC2"/>
            <w:tabs>
              <w:tab w:val="right" w:leader="dot" w:pos="9016"/>
            </w:tabs>
            <w:rPr>
              <w:rFonts w:asciiTheme="minorHAnsi" w:eastAsiaTheme="minorEastAsia" w:hAnsiTheme="minorHAnsi" w:cstheme="minorBidi"/>
              <w:noProof/>
              <w:lang w:val="en-US"/>
            </w:rPr>
          </w:pPr>
          <w:hyperlink w:anchor="_Toc56000804" w:history="1">
            <w:r>
              <w:rPr>
                <w:rStyle w:val="Hyperlink"/>
                <w:noProof/>
              </w:rPr>
              <w:t>3.2. Domanda: kwoti li nħarġu miċ-ċirkolazzjoni</w:t>
            </w:r>
            <w:r>
              <w:rPr>
                <w:noProof/>
                <w:webHidden/>
              </w:rPr>
              <w:tab/>
            </w:r>
            <w:r>
              <w:rPr>
                <w:noProof/>
                <w:webHidden/>
              </w:rPr>
              <w:fldChar w:fldCharType="begin"/>
            </w:r>
            <w:r>
              <w:rPr>
                <w:noProof/>
                <w:webHidden/>
              </w:rPr>
              <w:instrText xml:space="preserve"> PAGEREF _Toc56000804 \h </w:instrText>
            </w:r>
            <w:r>
              <w:rPr>
                <w:noProof/>
                <w:webHidden/>
              </w:rPr>
            </w:r>
            <w:r>
              <w:rPr>
                <w:noProof/>
                <w:webHidden/>
              </w:rPr>
              <w:fldChar w:fldCharType="separate"/>
            </w:r>
            <w:r>
              <w:rPr>
                <w:noProof/>
                <w:webHidden/>
              </w:rPr>
              <w:t>27</w:t>
            </w:r>
            <w:r>
              <w:rPr>
                <w:noProof/>
                <w:webHidden/>
              </w:rPr>
              <w:fldChar w:fldCharType="end"/>
            </w:r>
          </w:hyperlink>
        </w:p>
        <w:p>
          <w:pPr>
            <w:pStyle w:val="TOC2"/>
            <w:tabs>
              <w:tab w:val="right" w:leader="dot" w:pos="9016"/>
            </w:tabs>
            <w:rPr>
              <w:rFonts w:asciiTheme="minorHAnsi" w:eastAsiaTheme="minorEastAsia" w:hAnsiTheme="minorHAnsi" w:cstheme="minorBidi"/>
              <w:noProof/>
              <w:lang w:val="en-US"/>
            </w:rPr>
          </w:pPr>
          <w:hyperlink w:anchor="_Toc56000805" w:history="1">
            <w:r>
              <w:rPr>
                <w:rStyle w:val="Hyperlink"/>
                <w:noProof/>
              </w:rPr>
              <w:t>3.3. Ibbilanċjar tal-provvista u tad-domanda</w:t>
            </w:r>
            <w:r>
              <w:rPr>
                <w:noProof/>
                <w:webHidden/>
              </w:rPr>
              <w:tab/>
            </w:r>
            <w:r>
              <w:rPr>
                <w:noProof/>
                <w:webHidden/>
              </w:rPr>
              <w:fldChar w:fldCharType="begin"/>
            </w:r>
            <w:r>
              <w:rPr>
                <w:noProof/>
                <w:webHidden/>
              </w:rPr>
              <w:instrText xml:space="preserve"> PAGEREF _Toc56000805 \h </w:instrText>
            </w:r>
            <w:r>
              <w:rPr>
                <w:noProof/>
                <w:webHidden/>
              </w:rPr>
            </w:r>
            <w:r>
              <w:rPr>
                <w:noProof/>
                <w:webHidden/>
              </w:rPr>
              <w:fldChar w:fldCharType="separate"/>
            </w:r>
            <w:r>
              <w:rPr>
                <w:noProof/>
                <w:webHidden/>
              </w:rPr>
              <w:t>28</w:t>
            </w:r>
            <w:r>
              <w:rPr>
                <w:noProof/>
                <w:webHidden/>
              </w:rPr>
              <w:fldChar w:fldCharType="end"/>
            </w:r>
          </w:hyperlink>
        </w:p>
        <w:p>
          <w:pPr>
            <w:pStyle w:val="TOC1"/>
            <w:rPr>
              <w:rFonts w:asciiTheme="minorHAnsi" w:eastAsiaTheme="minorEastAsia" w:hAnsiTheme="minorHAnsi" w:cstheme="minorBidi"/>
              <w:noProof/>
              <w:lang w:val="en-US"/>
            </w:rPr>
          </w:pPr>
          <w:hyperlink w:anchor="_Toc56000806" w:history="1">
            <w:r>
              <w:rPr>
                <w:rStyle w:val="Hyperlink"/>
                <w:noProof/>
              </w:rPr>
              <w:t>4. AVJAZZJONI</w:t>
            </w:r>
            <w:r>
              <w:rPr>
                <w:noProof/>
                <w:webHidden/>
              </w:rPr>
              <w:tab/>
            </w:r>
            <w:r>
              <w:rPr>
                <w:noProof/>
                <w:webHidden/>
              </w:rPr>
              <w:fldChar w:fldCharType="begin"/>
            </w:r>
            <w:r>
              <w:rPr>
                <w:noProof/>
                <w:webHidden/>
              </w:rPr>
              <w:instrText xml:space="preserve"> PAGEREF _Toc56000806 \h </w:instrText>
            </w:r>
            <w:r>
              <w:rPr>
                <w:noProof/>
                <w:webHidden/>
              </w:rPr>
            </w:r>
            <w:r>
              <w:rPr>
                <w:noProof/>
                <w:webHidden/>
              </w:rPr>
              <w:fldChar w:fldCharType="separate"/>
            </w:r>
            <w:r>
              <w:rPr>
                <w:noProof/>
                <w:webHidden/>
              </w:rPr>
              <w:t>31</w:t>
            </w:r>
            <w:r>
              <w:rPr>
                <w:noProof/>
                <w:webHidden/>
              </w:rPr>
              <w:fldChar w:fldCharType="end"/>
            </w:r>
          </w:hyperlink>
        </w:p>
        <w:p>
          <w:pPr>
            <w:pStyle w:val="TOC1"/>
            <w:rPr>
              <w:rFonts w:asciiTheme="minorHAnsi" w:eastAsiaTheme="minorEastAsia" w:hAnsiTheme="minorHAnsi" w:cstheme="minorBidi"/>
              <w:noProof/>
              <w:lang w:val="en-US"/>
            </w:rPr>
          </w:pPr>
          <w:hyperlink w:anchor="_Toc56000807" w:history="1">
            <w:r>
              <w:rPr>
                <w:rStyle w:val="Hyperlink"/>
                <w:noProof/>
              </w:rPr>
              <w:t>5. SORVELJANZA TAS-SUQ</w:t>
            </w:r>
            <w:r>
              <w:rPr>
                <w:noProof/>
                <w:webHidden/>
              </w:rPr>
              <w:tab/>
            </w:r>
            <w:r>
              <w:rPr>
                <w:noProof/>
                <w:webHidden/>
              </w:rPr>
              <w:fldChar w:fldCharType="begin"/>
            </w:r>
            <w:r>
              <w:rPr>
                <w:noProof/>
                <w:webHidden/>
              </w:rPr>
              <w:instrText xml:space="preserve"> PAGEREF _Toc56000807 \h </w:instrText>
            </w:r>
            <w:r>
              <w:rPr>
                <w:noProof/>
                <w:webHidden/>
              </w:rPr>
            </w:r>
            <w:r>
              <w:rPr>
                <w:noProof/>
                <w:webHidden/>
              </w:rPr>
              <w:fldChar w:fldCharType="separate"/>
            </w:r>
            <w:r>
              <w:rPr>
                <w:noProof/>
                <w:webHidden/>
              </w:rPr>
              <w:t>34</w:t>
            </w:r>
            <w:r>
              <w:rPr>
                <w:noProof/>
                <w:webHidden/>
              </w:rPr>
              <w:fldChar w:fldCharType="end"/>
            </w:r>
          </w:hyperlink>
        </w:p>
        <w:p>
          <w:pPr>
            <w:pStyle w:val="TOC1"/>
            <w:rPr>
              <w:rFonts w:asciiTheme="minorHAnsi" w:eastAsiaTheme="minorEastAsia" w:hAnsiTheme="minorHAnsi" w:cstheme="minorBidi"/>
              <w:noProof/>
              <w:lang w:val="en-US"/>
            </w:rPr>
          </w:pPr>
          <w:hyperlink w:anchor="_Toc56000808" w:history="1">
            <w:r>
              <w:rPr>
                <w:rStyle w:val="Hyperlink"/>
                <w:noProof/>
              </w:rPr>
              <w:t>6. MONITORAĠĠ, RAPPORTAR U VERIFIKA TAL-EMISSJONIJIET</w:t>
            </w:r>
            <w:r>
              <w:rPr>
                <w:noProof/>
                <w:webHidden/>
              </w:rPr>
              <w:tab/>
            </w:r>
            <w:r>
              <w:rPr>
                <w:noProof/>
                <w:webHidden/>
              </w:rPr>
              <w:fldChar w:fldCharType="begin"/>
            </w:r>
            <w:r>
              <w:rPr>
                <w:noProof/>
                <w:webHidden/>
              </w:rPr>
              <w:instrText xml:space="preserve"> PAGEREF _Toc56000808 \h </w:instrText>
            </w:r>
            <w:r>
              <w:rPr>
                <w:noProof/>
                <w:webHidden/>
              </w:rPr>
            </w:r>
            <w:r>
              <w:rPr>
                <w:noProof/>
                <w:webHidden/>
              </w:rPr>
              <w:fldChar w:fldCharType="separate"/>
            </w:r>
            <w:r>
              <w:rPr>
                <w:noProof/>
                <w:webHidden/>
              </w:rPr>
              <w:t>36</w:t>
            </w:r>
            <w:r>
              <w:rPr>
                <w:noProof/>
                <w:webHidden/>
              </w:rPr>
              <w:fldChar w:fldCharType="end"/>
            </w:r>
          </w:hyperlink>
        </w:p>
        <w:p>
          <w:pPr>
            <w:pStyle w:val="TOC1"/>
            <w:rPr>
              <w:rFonts w:asciiTheme="minorHAnsi" w:eastAsiaTheme="minorEastAsia" w:hAnsiTheme="minorHAnsi" w:cstheme="minorBidi"/>
              <w:noProof/>
              <w:lang w:val="en-US"/>
            </w:rPr>
          </w:pPr>
          <w:hyperlink w:anchor="_Toc56000809" w:history="1">
            <w:r>
              <w:rPr>
                <w:rStyle w:val="Hyperlink"/>
                <w:noProof/>
              </w:rPr>
              <w:t>7. ĦARSA ĠENERALI LEJN L-ARRANĠAMENTI AMMINISTRATTIVI</w:t>
            </w:r>
            <w:r>
              <w:rPr>
                <w:noProof/>
                <w:webHidden/>
              </w:rPr>
              <w:tab/>
            </w:r>
            <w:r>
              <w:rPr>
                <w:noProof/>
                <w:webHidden/>
              </w:rPr>
              <w:fldChar w:fldCharType="begin"/>
            </w:r>
            <w:r>
              <w:rPr>
                <w:noProof/>
                <w:webHidden/>
              </w:rPr>
              <w:instrText xml:space="preserve"> PAGEREF _Toc56000809 \h </w:instrText>
            </w:r>
            <w:r>
              <w:rPr>
                <w:noProof/>
                <w:webHidden/>
              </w:rPr>
            </w:r>
            <w:r>
              <w:rPr>
                <w:noProof/>
                <w:webHidden/>
              </w:rPr>
              <w:fldChar w:fldCharType="separate"/>
            </w:r>
            <w:r>
              <w:rPr>
                <w:noProof/>
                <w:webHidden/>
              </w:rPr>
              <w:t>38</w:t>
            </w:r>
            <w:r>
              <w:rPr>
                <w:noProof/>
                <w:webHidden/>
              </w:rPr>
              <w:fldChar w:fldCharType="end"/>
            </w:r>
          </w:hyperlink>
        </w:p>
        <w:p>
          <w:pPr>
            <w:pStyle w:val="TOC1"/>
            <w:rPr>
              <w:rFonts w:asciiTheme="minorHAnsi" w:eastAsiaTheme="minorEastAsia" w:hAnsiTheme="minorHAnsi" w:cstheme="minorBidi"/>
              <w:noProof/>
              <w:lang w:val="en-US"/>
            </w:rPr>
          </w:pPr>
          <w:hyperlink w:anchor="_Toc56000810" w:history="1">
            <w:r>
              <w:rPr>
                <w:rStyle w:val="Hyperlink"/>
                <w:noProof/>
              </w:rPr>
              <w:t>8. KONFORMITÀ U INFURZAR</w:t>
            </w:r>
            <w:r>
              <w:rPr>
                <w:noProof/>
                <w:webHidden/>
              </w:rPr>
              <w:tab/>
            </w:r>
            <w:r>
              <w:rPr>
                <w:noProof/>
                <w:webHidden/>
              </w:rPr>
              <w:fldChar w:fldCharType="begin"/>
            </w:r>
            <w:r>
              <w:rPr>
                <w:noProof/>
                <w:webHidden/>
              </w:rPr>
              <w:instrText xml:space="preserve"> PAGEREF _Toc56000810 \h </w:instrText>
            </w:r>
            <w:r>
              <w:rPr>
                <w:noProof/>
                <w:webHidden/>
              </w:rPr>
            </w:r>
            <w:r>
              <w:rPr>
                <w:noProof/>
                <w:webHidden/>
              </w:rPr>
              <w:fldChar w:fldCharType="separate"/>
            </w:r>
            <w:r>
              <w:rPr>
                <w:noProof/>
                <w:webHidden/>
              </w:rPr>
              <w:t>39</w:t>
            </w:r>
            <w:r>
              <w:rPr>
                <w:noProof/>
                <w:webHidden/>
              </w:rPr>
              <w:fldChar w:fldCharType="end"/>
            </w:r>
          </w:hyperlink>
        </w:p>
        <w:p>
          <w:pPr>
            <w:pStyle w:val="TOC1"/>
            <w:rPr>
              <w:rFonts w:asciiTheme="minorHAnsi" w:eastAsiaTheme="minorEastAsia" w:hAnsiTheme="minorHAnsi" w:cstheme="minorBidi"/>
              <w:noProof/>
              <w:lang w:val="en-US"/>
            </w:rPr>
          </w:pPr>
          <w:hyperlink w:anchor="_Toc56000811" w:history="1">
            <w:r>
              <w:rPr>
                <w:rStyle w:val="Hyperlink"/>
                <w:noProof/>
              </w:rPr>
              <w:t>9. KONKLUŻJONIJIET U ASPETTATTIVI</w:t>
            </w:r>
            <w:r>
              <w:rPr>
                <w:noProof/>
                <w:webHidden/>
              </w:rPr>
              <w:tab/>
            </w:r>
            <w:r>
              <w:rPr>
                <w:noProof/>
                <w:webHidden/>
              </w:rPr>
              <w:fldChar w:fldCharType="begin"/>
            </w:r>
            <w:r>
              <w:rPr>
                <w:noProof/>
                <w:webHidden/>
              </w:rPr>
              <w:instrText xml:space="preserve"> PAGEREF _Toc56000811 \h </w:instrText>
            </w:r>
            <w:r>
              <w:rPr>
                <w:noProof/>
                <w:webHidden/>
              </w:rPr>
            </w:r>
            <w:r>
              <w:rPr>
                <w:noProof/>
                <w:webHidden/>
              </w:rPr>
              <w:fldChar w:fldCharType="separate"/>
            </w:r>
            <w:r>
              <w:rPr>
                <w:noProof/>
                <w:webHidden/>
              </w:rPr>
              <w:t>41</w:t>
            </w:r>
            <w:r>
              <w:rPr>
                <w:noProof/>
                <w:webHidden/>
              </w:rPr>
              <w:fldChar w:fldCharType="end"/>
            </w:r>
          </w:hyperlink>
        </w:p>
        <w:p>
          <w:pPr>
            <w:pStyle w:val="TOC1"/>
            <w:rPr>
              <w:rFonts w:asciiTheme="minorHAnsi" w:eastAsiaTheme="minorEastAsia" w:hAnsiTheme="minorHAnsi" w:cstheme="minorBidi"/>
              <w:noProof/>
              <w:lang w:val="en-US"/>
            </w:rPr>
          </w:pPr>
          <w:hyperlink w:anchor="_Toc56000812" w:history="1">
            <w:r>
              <w:rPr>
                <w:rStyle w:val="Hyperlink"/>
                <w:noProof/>
              </w:rPr>
              <w:t>ANNESS</w:t>
            </w:r>
            <w:r>
              <w:rPr>
                <w:noProof/>
                <w:webHidden/>
              </w:rPr>
              <w:tab/>
            </w:r>
            <w:r>
              <w:rPr>
                <w:noProof/>
                <w:webHidden/>
              </w:rPr>
              <w:fldChar w:fldCharType="begin"/>
            </w:r>
            <w:r>
              <w:rPr>
                <w:noProof/>
                <w:webHidden/>
              </w:rPr>
              <w:instrText xml:space="preserve"> PAGEREF _Toc56000812 \h </w:instrText>
            </w:r>
            <w:r>
              <w:rPr>
                <w:noProof/>
                <w:webHidden/>
              </w:rPr>
            </w:r>
            <w:r>
              <w:rPr>
                <w:noProof/>
                <w:webHidden/>
              </w:rPr>
              <w:fldChar w:fldCharType="separate"/>
            </w:r>
            <w:r>
              <w:rPr>
                <w:noProof/>
                <w:webHidden/>
              </w:rPr>
              <w:t>43</w:t>
            </w:r>
            <w:r>
              <w:rPr>
                <w:noProof/>
                <w:webHidden/>
              </w:rPr>
              <w:fldChar w:fldCharType="end"/>
            </w:r>
          </w:hyperlink>
        </w:p>
        <w:p>
          <w:pPr>
            <w:rPr>
              <w:rFonts w:ascii="Times New Roman" w:hAnsi="Times New Roman"/>
              <w:noProof/>
            </w:rPr>
          </w:pPr>
          <w:r>
            <w:rPr>
              <w:rFonts w:ascii="Times New Roman" w:hAnsi="Times New Roman"/>
              <w:b/>
              <w:bCs/>
              <w:noProof/>
              <w:sz w:val="24"/>
              <w:szCs w:val="24"/>
            </w:rPr>
            <w:fldChar w:fldCharType="end"/>
          </w:r>
        </w:p>
      </w:sdtContent>
    </w:sdt>
    <w:p>
      <w:pPr>
        <w:rPr>
          <w:noProof/>
        </w:rPr>
      </w:pPr>
      <w:bookmarkStart w:id="2" w:name="_Toc519009670"/>
    </w:p>
    <w:p>
      <w:pPr>
        <w:pStyle w:val="Heading1"/>
        <w:spacing w:before="0" w:after="120"/>
        <w:rPr>
          <w:noProof/>
          <w:szCs w:val="24"/>
        </w:rPr>
      </w:pPr>
      <w:bookmarkStart w:id="3" w:name="_Toc56000788"/>
      <w:r>
        <w:rPr>
          <w:noProof/>
        </w:rPr>
        <w:t>Lista ta’ akronimi u abbrevjazzjonijiet</w:t>
      </w:r>
      <w:bookmarkEnd w:id="2"/>
      <w:bookmarkEnd w:id="3"/>
    </w:p>
    <w:p>
      <w:pPr>
        <w:spacing w:after="120"/>
        <w:rPr>
          <w:rFonts w:ascii="Times New Roman" w:hAnsi="Times New Roman"/>
          <w:noProof/>
          <w:sz w:val="24"/>
          <w:szCs w:val="24"/>
        </w:rPr>
      </w:pPr>
      <w:r>
        <w:rPr>
          <w:rFonts w:ascii="Times New Roman" w:hAnsi="Times New Roman"/>
          <w:noProof/>
          <w:szCs w:val="24"/>
        </w:rPr>
        <w:t>AVR</w:t>
      </w:r>
      <w:r>
        <w:rPr>
          <w:noProof/>
        </w:rPr>
        <w:tab/>
      </w:r>
      <w:r>
        <w:rPr>
          <w:noProof/>
        </w:rPr>
        <w:tab/>
      </w:r>
      <w:r>
        <w:rPr>
          <w:rFonts w:ascii="Times New Roman" w:hAnsi="Times New Roman"/>
          <w:noProof/>
          <w:sz w:val="24"/>
          <w:szCs w:val="24"/>
        </w:rPr>
        <w:t>Regolament dwar l-Akkreditazzjoni u l-Verifika</w:t>
      </w:r>
    </w:p>
    <w:p>
      <w:pPr>
        <w:spacing w:after="120"/>
        <w:rPr>
          <w:rFonts w:ascii="Times New Roman" w:hAnsi="Times New Roman"/>
          <w:noProof/>
          <w:sz w:val="24"/>
          <w:szCs w:val="24"/>
        </w:rPr>
      </w:pPr>
      <w:r>
        <w:rPr>
          <w:rFonts w:ascii="Times New Roman" w:hAnsi="Times New Roman"/>
          <w:noProof/>
          <w:sz w:val="24"/>
          <w:szCs w:val="24"/>
        </w:rPr>
        <w:t>CA</w:t>
      </w:r>
      <w:r>
        <w:rPr>
          <w:noProof/>
        </w:rPr>
        <w:tab/>
      </w:r>
      <w:r>
        <w:rPr>
          <w:noProof/>
        </w:rPr>
        <w:tab/>
      </w:r>
      <w:r>
        <w:rPr>
          <w:rFonts w:ascii="Times New Roman" w:hAnsi="Times New Roman"/>
          <w:noProof/>
          <w:sz w:val="24"/>
          <w:szCs w:val="24"/>
        </w:rPr>
        <w:t>Awtorità Kompetenti</w:t>
      </w:r>
    </w:p>
    <w:p>
      <w:pPr>
        <w:spacing w:after="120"/>
        <w:rPr>
          <w:rFonts w:ascii="Times New Roman" w:hAnsi="Times New Roman"/>
          <w:noProof/>
          <w:sz w:val="24"/>
          <w:szCs w:val="24"/>
        </w:rPr>
      </w:pPr>
      <w:r>
        <w:rPr>
          <w:rFonts w:ascii="Times New Roman" w:hAnsi="Times New Roman"/>
          <w:noProof/>
          <w:sz w:val="24"/>
          <w:szCs w:val="24"/>
        </w:rPr>
        <w:t>CCS</w:t>
      </w:r>
      <w:r>
        <w:rPr>
          <w:noProof/>
        </w:rPr>
        <w:tab/>
      </w:r>
      <w:r>
        <w:rPr>
          <w:noProof/>
        </w:rPr>
        <w:tab/>
      </w:r>
      <w:r>
        <w:rPr>
          <w:rFonts w:ascii="Times New Roman" w:hAnsi="Times New Roman"/>
          <w:noProof/>
          <w:sz w:val="24"/>
          <w:szCs w:val="24"/>
        </w:rPr>
        <w:t>Ġbir u Ħżin tal-Karbonju</w:t>
      </w:r>
    </w:p>
    <w:p>
      <w:pPr>
        <w:spacing w:after="120"/>
        <w:rPr>
          <w:rFonts w:ascii="Times New Roman" w:hAnsi="Times New Roman"/>
          <w:noProof/>
          <w:sz w:val="24"/>
          <w:szCs w:val="24"/>
        </w:rPr>
      </w:pPr>
      <w:r>
        <w:rPr>
          <w:rFonts w:ascii="Times New Roman" w:hAnsi="Times New Roman"/>
          <w:noProof/>
          <w:sz w:val="24"/>
          <w:szCs w:val="24"/>
        </w:rPr>
        <w:t>CCU</w:t>
      </w:r>
      <w:r>
        <w:rPr>
          <w:noProof/>
        </w:rPr>
        <w:tab/>
      </w:r>
      <w:r>
        <w:rPr>
          <w:noProof/>
        </w:rPr>
        <w:tab/>
      </w:r>
      <w:r>
        <w:rPr>
          <w:rFonts w:ascii="Times New Roman" w:hAnsi="Times New Roman"/>
          <w:noProof/>
          <w:sz w:val="24"/>
          <w:szCs w:val="24"/>
        </w:rPr>
        <w:t>Ġbir u Użu tal-Karbonju</w:t>
      </w:r>
    </w:p>
    <w:p>
      <w:pPr>
        <w:spacing w:after="120"/>
        <w:rPr>
          <w:rFonts w:ascii="Times New Roman" w:hAnsi="Times New Roman"/>
          <w:noProof/>
          <w:sz w:val="24"/>
          <w:szCs w:val="24"/>
        </w:rPr>
      </w:pPr>
      <w:r>
        <w:rPr>
          <w:rFonts w:ascii="Times New Roman" w:hAnsi="Times New Roman"/>
          <w:noProof/>
          <w:sz w:val="24"/>
          <w:szCs w:val="24"/>
        </w:rPr>
        <w:t>CDM</w:t>
      </w:r>
      <w:r>
        <w:rPr>
          <w:noProof/>
        </w:rPr>
        <w:tab/>
      </w:r>
      <w:r>
        <w:rPr>
          <w:noProof/>
        </w:rPr>
        <w:tab/>
      </w:r>
      <w:r>
        <w:rPr>
          <w:rFonts w:ascii="Times New Roman" w:hAnsi="Times New Roman"/>
          <w:noProof/>
          <w:sz w:val="24"/>
          <w:szCs w:val="24"/>
        </w:rPr>
        <w:t>Mekkaniżmu għal Żvilupp Nadif</w:t>
      </w:r>
    </w:p>
    <w:p>
      <w:pPr>
        <w:spacing w:after="120"/>
        <w:rPr>
          <w:rFonts w:ascii="Times New Roman" w:hAnsi="Times New Roman"/>
          <w:noProof/>
          <w:sz w:val="24"/>
          <w:szCs w:val="24"/>
        </w:rPr>
      </w:pPr>
      <w:r>
        <w:rPr>
          <w:rFonts w:ascii="Times New Roman" w:hAnsi="Times New Roman"/>
          <w:noProof/>
          <w:sz w:val="24"/>
          <w:szCs w:val="24"/>
        </w:rPr>
        <w:t>CERs</w:t>
      </w:r>
      <w:r>
        <w:rPr>
          <w:noProof/>
        </w:rPr>
        <w:tab/>
      </w:r>
      <w:r>
        <w:rPr>
          <w:noProof/>
        </w:rPr>
        <w:tab/>
      </w:r>
      <w:r>
        <w:rPr>
          <w:rFonts w:ascii="Times New Roman" w:hAnsi="Times New Roman"/>
          <w:noProof/>
          <w:sz w:val="24"/>
          <w:szCs w:val="24"/>
        </w:rPr>
        <w:t>Tnaqqis Iċċertifikat ta’ Emissjonijiet</w:t>
      </w:r>
    </w:p>
    <w:p>
      <w:pPr>
        <w:spacing w:after="120"/>
        <w:rPr>
          <w:rFonts w:ascii="Times New Roman" w:hAnsi="Times New Roman"/>
          <w:noProof/>
          <w:sz w:val="24"/>
          <w:szCs w:val="24"/>
        </w:rPr>
      </w:pPr>
      <w:r>
        <w:rPr>
          <w:rFonts w:ascii="Times New Roman" w:hAnsi="Times New Roman"/>
          <w:noProof/>
          <w:sz w:val="24"/>
          <w:szCs w:val="24"/>
        </w:rPr>
        <w:t>CORSIA</w:t>
      </w:r>
      <w:r>
        <w:rPr>
          <w:noProof/>
        </w:rPr>
        <w:tab/>
      </w:r>
      <w:r>
        <w:rPr>
          <w:rFonts w:ascii="Times New Roman" w:hAnsi="Times New Roman"/>
          <w:noProof/>
          <w:sz w:val="24"/>
          <w:szCs w:val="24"/>
        </w:rPr>
        <w:t>Skema ta’ Kumpens u Tnaqqis tal-Karbonju għall-Avjazzjoni Internazzjonali</w:t>
      </w:r>
    </w:p>
    <w:p>
      <w:pPr>
        <w:spacing w:after="120"/>
        <w:rPr>
          <w:rFonts w:ascii="Times New Roman" w:hAnsi="Times New Roman"/>
          <w:noProof/>
          <w:sz w:val="24"/>
          <w:szCs w:val="24"/>
        </w:rPr>
      </w:pPr>
      <w:r>
        <w:rPr>
          <w:rFonts w:ascii="Times New Roman" w:hAnsi="Times New Roman"/>
          <w:noProof/>
          <w:sz w:val="24"/>
          <w:szCs w:val="24"/>
        </w:rPr>
        <w:t>CSCF</w:t>
      </w:r>
      <w:r>
        <w:rPr>
          <w:noProof/>
        </w:rPr>
        <w:tab/>
      </w:r>
      <w:r>
        <w:rPr>
          <w:noProof/>
        </w:rPr>
        <w:tab/>
      </w:r>
      <w:r>
        <w:rPr>
          <w:rFonts w:ascii="Times New Roman" w:hAnsi="Times New Roman"/>
          <w:noProof/>
          <w:sz w:val="24"/>
          <w:szCs w:val="24"/>
        </w:rPr>
        <w:t>Fattur ta’ Korrezzjoni Trażversali</w:t>
      </w:r>
    </w:p>
    <w:p>
      <w:pPr>
        <w:spacing w:after="120"/>
        <w:rPr>
          <w:rFonts w:ascii="Times New Roman" w:hAnsi="Times New Roman"/>
          <w:noProof/>
          <w:sz w:val="24"/>
          <w:szCs w:val="24"/>
        </w:rPr>
      </w:pPr>
      <w:r>
        <w:rPr>
          <w:rFonts w:ascii="Times New Roman" w:hAnsi="Times New Roman"/>
          <w:noProof/>
          <w:sz w:val="24"/>
          <w:szCs w:val="24"/>
        </w:rPr>
        <w:t>EA</w:t>
      </w:r>
      <w:r>
        <w:rPr>
          <w:noProof/>
        </w:rPr>
        <w:tab/>
      </w:r>
      <w:r>
        <w:rPr>
          <w:noProof/>
        </w:rPr>
        <w:tab/>
      </w:r>
      <w:r>
        <w:rPr>
          <w:rFonts w:ascii="Times New Roman" w:hAnsi="Times New Roman"/>
          <w:noProof/>
          <w:sz w:val="24"/>
          <w:szCs w:val="24"/>
        </w:rPr>
        <w:t>Kooperazzjoni Ewropea għall-Akkreditazzjoni</w:t>
      </w:r>
    </w:p>
    <w:p>
      <w:pPr>
        <w:spacing w:after="120"/>
        <w:rPr>
          <w:rFonts w:ascii="Times New Roman" w:hAnsi="Times New Roman"/>
          <w:noProof/>
          <w:sz w:val="24"/>
          <w:szCs w:val="24"/>
        </w:rPr>
      </w:pPr>
      <w:r>
        <w:rPr>
          <w:rFonts w:ascii="Times New Roman" w:hAnsi="Times New Roman"/>
          <w:noProof/>
          <w:sz w:val="24"/>
          <w:szCs w:val="24"/>
        </w:rPr>
        <w:t>ŻEE</w:t>
      </w:r>
      <w:r>
        <w:rPr>
          <w:noProof/>
        </w:rPr>
        <w:tab/>
      </w:r>
      <w:r>
        <w:rPr>
          <w:noProof/>
        </w:rPr>
        <w:tab/>
      </w:r>
      <w:r>
        <w:rPr>
          <w:rFonts w:ascii="Times New Roman" w:hAnsi="Times New Roman"/>
          <w:noProof/>
          <w:sz w:val="24"/>
          <w:szCs w:val="24"/>
        </w:rPr>
        <w:t>Żona Ekonomika Ewropea</w:t>
      </w:r>
    </w:p>
    <w:p>
      <w:pPr>
        <w:spacing w:after="120"/>
        <w:rPr>
          <w:rFonts w:ascii="Times New Roman" w:hAnsi="Times New Roman"/>
          <w:noProof/>
          <w:sz w:val="24"/>
          <w:szCs w:val="24"/>
        </w:rPr>
      </w:pPr>
      <w:r>
        <w:rPr>
          <w:rFonts w:ascii="Times New Roman" w:hAnsi="Times New Roman"/>
          <w:noProof/>
          <w:sz w:val="24"/>
          <w:szCs w:val="24"/>
        </w:rPr>
        <w:t>EEX</w:t>
      </w:r>
      <w:r>
        <w:rPr>
          <w:noProof/>
        </w:rPr>
        <w:tab/>
      </w:r>
      <w:r>
        <w:rPr>
          <w:noProof/>
        </w:rPr>
        <w:tab/>
      </w:r>
      <w:r>
        <w:rPr>
          <w:rFonts w:ascii="Times New Roman" w:hAnsi="Times New Roman"/>
          <w:noProof/>
          <w:sz w:val="24"/>
          <w:szCs w:val="24"/>
        </w:rPr>
        <w:t>European Energy Exchange</w:t>
      </w:r>
    </w:p>
    <w:p>
      <w:pPr>
        <w:spacing w:after="120"/>
        <w:rPr>
          <w:rFonts w:ascii="Times New Roman" w:hAnsi="Times New Roman"/>
          <w:noProof/>
          <w:sz w:val="24"/>
          <w:szCs w:val="24"/>
        </w:rPr>
      </w:pPr>
      <w:r>
        <w:rPr>
          <w:rFonts w:ascii="Times New Roman" w:hAnsi="Times New Roman"/>
          <w:noProof/>
          <w:sz w:val="24"/>
          <w:szCs w:val="24"/>
        </w:rPr>
        <w:t>BEI</w:t>
      </w:r>
      <w:r>
        <w:rPr>
          <w:noProof/>
        </w:rPr>
        <w:tab/>
      </w:r>
      <w:r>
        <w:rPr>
          <w:noProof/>
        </w:rPr>
        <w:tab/>
      </w:r>
      <w:r>
        <w:rPr>
          <w:rFonts w:ascii="Times New Roman" w:hAnsi="Times New Roman"/>
          <w:noProof/>
          <w:sz w:val="24"/>
          <w:szCs w:val="24"/>
        </w:rPr>
        <w:t>Bank Ewropew tal-Investiment</w:t>
      </w:r>
    </w:p>
    <w:p>
      <w:pPr>
        <w:spacing w:after="120"/>
        <w:rPr>
          <w:rFonts w:ascii="Times New Roman" w:hAnsi="Times New Roman"/>
          <w:noProof/>
          <w:sz w:val="24"/>
          <w:szCs w:val="24"/>
        </w:rPr>
      </w:pPr>
      <w:r>
        <w:rPr>
          <w:rFonts w:ascii="Times New Roman" w:hAnsi="Times New Roman"/>
          <w:noProof/>
          <w:sz w:val="24"/>
          <w:szCs w:val="24"/>
        </w:rPr>
        <w:t>ERUs</w:t>
      </w:r>
      <w:r>
        <w:rPr>
          <w:noProof/>
        </w:rPr>
        <w:tab/>
      </w:r>
      <w:r>
        <w:rPr>
          <w:noProof/>
        </w:rPr>
        <w:tab/>
      </w:r>
      <w:r>
        <w:rPr>
          <w:rFonts w:ascii="Times New Roman" w:hAnsi="Times New Roman"/>
          <w:noProof/>
          <w:sz w:val="24"/>
          <w:szCs w:val="24"/>
        </w:rPr>
        <w:t>Unitajiet ta’ Tnaqqis tal-Emissjonijiet</w:t>
      </w:r>
    </w:p>
    <w:p>
      <w:pPr>
        <w:spacing w:after="120"/>
        <w:rPr>
          <w:rFonts w:ascii="Times New Roman" w:hAnsi="Times New Roman"/>
          <w:noProof/>
          <w:sz w:val="24"/>
          <w:szCs w:val="24"/>
        </w:rPr>
      </w:pPr>
      <w:r>
        <w:rPr>
          <w:rFonts w:ascii="Times New Roman" w:hAnsi="Times New Roman"/>
          <w:noProof/>
          <w:sz w:val="24"/>
          <w:szCs w:val="24"/>
        </w:rPr>
        <w:t>ESMA</w:t>
      </w:r>
      <w:r>
        <w:rPr>
          <w:noProof/>
        </w:rPr>
        <w:tab/>
      </w:r>
      <w:r>
        <w:rPr>
          <w:noProof/>
        </w:rPr>
        <w:tab/>
      </w:r>
      <w:r>
        <w:rPr>
          <w:rFonts w:ascii="Times New Roman" w:hAnsi="Times New Roman"/>
          <w:noProof/>
          <w:sz w:val="24"/>
          <w:szCs w:val="24"/>
        </w:rPr>
        <w:t>Awtorità Ewropea tat-Titoli u s-Swieq</w:t>
      </w:r>
    </w:p>
    <w:p>
      <w:pPr>
        <w:spacing w:after="120"/>
        <w:rPr>
          <w:rFonts w:ascii="Times New Roman" w:hAnsi="Times New Roman"/>
          <w:noProof/>
          <w:sz w:val="24"/>
          <w:szCs w:val="24"/>
        </w:rPr>
      </w:pPr>
      <w:r>
        <w:rPr>
          <w:rFonts w:ascii="Times New Roman" w:hAnsi="Times New Roman"/>
          <w:noProof/>
          <w:sz w:val="24"/>
          <w:szCs w:val="24"/>
        </w:rPr>
        <w:t>EU ETS</w:t>
      </w:r>
      <w:r>
        <w:rPr>
          <w:noProof/>
        </w:rPr>
        <w:tab/>
      </w:r>
      <w:r>
        <w:rPr>
          <w:rFonts w:ascii="Times New Roman" w:hAnsi="Times New Roman"/>
          <w:noProof/>
          <w:sz w:val="24"/>
          <w:szCs w:val="24"/>
        </w:rPr>
        <w:t>Skema tal-Unjoni Ewropea għall-Iskambju ta' Kwoti tal-Emissjonijiet</w:t>
      </w:r>
    </w:p>
    <w:p>
      <w:pPr>
        <w:spacing w:after="120"/>
        <w:rPr>
          <w:rFonts w:ascii="Times New Roman" w:hAnsi="Times New Roman"/>
          <w:noProof/>
          <w:sz w:val="24"/>
          <w:szCs w:val="24"/>
        </w:rPr>
      </w:pPr>
      <w:r>
        <w:rPr>
          <w:rFonts w:ascii="Times New Roman" w:hAnsi="Times New Roman"/>
          <w:noProof/>
          <w:sz w:val="24"/>
          <w:szCs w:val="24"/>
        </w:rPr>
        <w:t>EUTL</w:t>
      </w:r>
      <w:r>
        <w:rPr>
          <w:noProof/>
        </w:rPr>
        <w:tab/>
      </w:r>
      <w:r>
        <w:rPr>
          <w:noProof/>
        </w:rPr>
        <w:tab/>
      </w:r>
      <w:r>
        <w:rPr>
          <w:rFonts w:ascii="Times New Roman" w:hAnsi="Times New Roman"/>
          <w:noProof/>
          <w:sz w:val="24"/>
          <w:szCs w:val="24"/>
        </w:rPr>
        <w:t>Reġistru tat-Tranżazzjonijiet tal-Unjoni Ewropea</w:t>
      </w:r>
    </w:p>
    <w:p>
      <w:pPr>
        <w:spacing w:after="120"/>
        <w:rPr>
          <w:rFonts w:ascii="Times New Roman" w:hAnsi="Times New Roman"/>
          <w:noProof/>
          <w:sz w:val="24"/>
          <w:szCs w:val="24"/>
        </w:rPr>
      </w:pPr>
      <w:r>
        <w:rPr>
          <w:rFonts w:ascii="Times New Roman" w:hAnsi="Times New Roman"/>
          <w:noProof/>
          <w:sz w:val="24"/>
          <w:szCs w:val="24"/>
        </w:rPr>
        <w:t xml:space="preserve">GHG  </w:t>
      </w:r>
      <w:r>
        <w:rPr>
          <w:noProof/>
        </w:rPr>
        <w:tab/>
      </w:r>
      <w:r>
        <w:rPr>
          <w:noProof/>
        </w:rPr>
        <w:tab/>
      </w:r>
      <w:r>
        <w:rPr>
          <w:rFonts w:ascii="Times New Roman" w:hAnsi="Times New Roman"/>
          <w:noProof/>
          <w:sz w:val="24"/>
          <w:szCs w:val="24"/>
        </w:rPr>
        <w:t>Gass serra</w:t>
      </w:r>
    </w:p>
    <w:p>
      <w:pPr>
        <w:spacing w:after="120"/>
        <w:rPr>
          <w:rFonts w:ascii="Times New Roman" w:hAnsi="Times New Roman"/>
          <w:noProof/>
          <w:sz w:val="24"/>
          <w:szCs w:val="24"/>
        </w:rPr>
      </w:pPr>
      <w:r>
        <w:rPr>
          <w:rFonts w:ascii="Times New Roman" w:hAnsi="Times New Roman"/>
          <w:noProof/>
          <w:sz w:val="24"/>
          <w:szCs w:val="24"/>
        </w:rPr>
        <w:t>ICAO</w:t>
      </w:r>
      <w:r>
        <w:rPr>
          <w:noProof/>
        </w:rPr>
        <w:tab/>
      </w:r>
      <w:r>
        <w:rPr>
          <w:noProof/>
        </w:rPr>
        <w:tab/>
      </w:r>
      <w:r>
        <w:rPr>
          <w:rFonts w:ascii="Times New Roman" w:hAnsi="Times New Roman"/>
          <w:noProof/>
          <w:sz w:val="24"/>
          <w:szCs w:val="24"/>
        </w:rPr>
        <w:t>Organizzazzjoni tal-Avjazzjoni Ċivili Internazzjonali</w:t>
      </w:r>
    </w:p>
    <w:p>
      <w:pPr>
        <w:spacing w:after="120"/>
        <w:rPr>
          <w:rFonts w:ascii="Times New Roman" w:hAnsi="Times New Roman"/>
          <w:noProof/>
          <w:sz w:val="24"/>
          <w:szCs w:val="24"/>
        </w:rPr>
      </w:pPr>
      <w:r>
        <w:rPr>
          <w:rFonts w:ascii="Times New Roman" w:hAnsi="Times New Roman"/>
          <w:noProof/>
          <w:sz w:val="24"/>
          <w:szCs w:val="24"/>
        </w:rPr>
        <w:t>ICE</w:t>
      </w:r>
      <w:r>
        <w:rPr>
          <w:noProof/>
        </w:rPr>
        <w:tab/>
      </w:r>
      <w:r>
        <w:rPr>
          <w:noProof/>
        </w:rPr>
        <w:tab/>
      </w:r>
      <w:r>
        <w:rPr>
          <w:rFonts w:ascii="Times New Roman" w:hAnsi="Times New Roman"/>
          <w:noProof/>
          <w:sz w:val="24"/>
          <w:szCs w:val="24"/>
        </w:rPr>
        <w:t xml:space="preserve">InterContinental Exchange Futures Europe </w:t>
      </w:r>
    </w:p>
    <w:p>
      <w:pPr>
        <w:spacing w:after="120"/>
        <w:rPr>
          <w:rFonts w:ascii="Times New Roman" w:hAnsi="Times New Roman"/>
          <w:noProof/>
          <w:sz w:val="24"/>
          <w:szCs w:val="24"/>
        </w:rPr>
      </w:pPr>
      <w:r>
        <w:rPr>
          <w:rFonts w:ascii="Times New Roman" w:hAnsi="Times New Roman"/>
          <w:noProof/>
          <w:sz w:val="24"/>
          <w:szCs w:val="24"/>
        </w:rPr>
        <w:t xml:space="preserve">Proġetti ta’ Dimostrazzjoni fil-Qasam tal-Enerġija InnovFin EDP </w:t>
      </w:r>
    </w:p>
    <w:p>
      <w:pPr>
        <w:spacing w:after="120"/>
        <w:rPr>
          <w:rFonts w:ascii="Times New Roman" w:hAnsi="Times New Roman"/>
          <w:noProof/>
          <w:sz w:val="24"/>
          <w:szCs w:val="24"/>
        </w:rPr>
      </w:pPr>
      <w:r>
        <w:rPr>
          <w:rFonts w:ascii="Times New Roman" w:hAnsi="Times New Roman"/>
          <w:noProof/>
          <w:sz w:val="24"/>
          <w:szCs w:val="24"/>
        </w:rPr>
        <w:t>JI</w:t>
      </w:r>
      <w:r>
        <w:rPr>
          <w:noProof/>
        </w:rPr>
        <w:tab/>
      </w:r>
      <w:r>
        <w:rPr>
          <w:noProof/>
        </w:rPr>
        <w:tab/>
      </w:r>
      <w:r>
        <w:rPr>
          <w:rFonts w:ascii="Times New Roman" w:hAnsi="Times New Roman"/>
          <w:noProof/>
          <w:sz w:val="24"/>
          <w:szCs w:val="24"/>
        </w:rPr>
        <w:t>Implimentazzjoni Konġunta</w:t>
      </w:r>
    </w:p>
    <w:p>
      <w:pPr>
        <w:spacing w:after="120"/>
        <w:rPr>
          <w:rFonts w:ascii="Times New Roman" w:hAnsi="Times New Roman"/>
          <w:noProof/>
          <w:sz w:val="24"/>
          <w:szCs w:val="24"/>
        </w:rPr>
      </w:pPr>
      <w:r>
        <w:rPr>
          <w:rFonts w:ascii="Times New Roman" w:hAnsi="Times New Roman"/>
          <w:noProof/>
          <w:sz w:val="24"/>
          <w:szCs w:val="24"/>
        </w:rPr>
        <w:t>MAR</w:t>
      </w:r>
      <w:r>
        <w:rPr>
          <w:noProof/>
        </w:rPr>
        <w:tab/>
      </w:r>
      <w:r>
        <w:rPr>
          <w:noProof/>
        </w:rPr>
        <w:tab/>
      </w:r>
      <w:r>
        <w:rPr>
          <w:rFonts w:ascii="Times New Roman" w:hAnsi="Times New Roman"/>
          <w:noProof/>
          <w:sz w:val="24"/>
          <w:szCs w:val="24"/>
        </w:rPr>
        <w:t>Regolament dwar l-Abbuż tas-Suq</w:t>
      </w:r>
    </w:p>
    <w:p>
      <w:pPr>
        <w:spacing w:after="120"/>
        <w:rPr>
          <w:rFonts w:ascii="Times New Roman" w:hAnsi="Times New Roman"/>
          <w:noProof/>
          <w:sz w:val="24"/>
          <w:szCs w:val="24"/>
        </w:rPr>
      </w:pPr>
      <w:r>
        <w:rPr>
          <w:rFonts w:ascii="Times New Roman" w:hAnsi="Times New Roman"/>
          <w:noProof/>
          <w:sz w:val="24"/>
          <w:szCs w:val="24"/>
        </w:rPr>
        <w:t>MiFID2</w:t>
      </w:r>
      <w:r>
        <w:rPr>
          <w:noProof/>
        </w:rPr>
        <w:tab/>
      </w:r>
      <w:r>
        <w:rPr>
          <w:rFonts w:ascii="Times New Roman" w:hAnsi="Times New Roman"/>
          <w:noProof/>
          <w:sz w:val="24"/>
          <w:szCs w:val="24"/>
        </w:rPr>
        <w:t>Direttiva dwar is-Swieq tal-Istrumenti Finanzjarji</w:t>
      </w:r>
    </w:p>
    <w:p>
      <w:pPr>
        <w:spacing w:after="120"/>
        <w:rPr>
          <w:rFonts w:ascii="Times New Roman" w:hAnsi="Times New Roman"/>
          <w:noProof/>
          <w:sz w:val="24"/>
          <w:szCs w:val="24"/>
        </w:rPr>
      </w:pPr>
      <w:r>
        <w:rPr>
          <w:rFonts w:ascii="Times New Roman" w:hAnsi="Times New Roman"/>
          <w:noProof/>
          <w:sz w:val="24"/>
          <w:szCs w:val="24"/>
        </w:rPr>
        <w:t>MiFIR</w:t>
      </w:r>
      <w:r>
        <w:rPr>
          <w:noProof/>
        </w:rPr>
        <w:tab/>
      </w:r>
      <w:r>
        <w:rPr>
          <w:noProof/>
        </w:rPr>
        <w:tab/>
      </w:r>
      <w:r>
        <w:rPr>
          <w:rFonts w:ascii="Times New Roman" w:hAnsi="Times New Roman"/>
          <w:noProof/>
          <w:sz w:val="24"/>
          <w:szCs w:val="24"/>
        </w:rPr>
        <w:t>Regolament dwar is-Swieq tal-Istrumenti Finanzjarji</w:t>
      </w:r>
    </w:p>
    <w:p>
      <w:pPr>
        <w:spacing w:after="120"/>
        <w:rPr>
          <w:rFonts w:ascii="Times New Roman" w:hAnsi="Times New Roman"/>
          <w:noProof/>
          <w:sz w:val="24"/>
          <w:szCs w:val="24"/>
        </w:rPr>
      </w:pPr>
      <w:r>
        <w:rPr>
          <w:rFonts w:ascii="Times New Roman" w:hAnsi="Times New Roman"/>
          <w:noProof/>
          <w:sz w:val="24"/>
          <w:szCs w:val="24"/>
        </w:rPr>
        <w:t>MRR</w:t>
      </w:r>
      <w:r>
        <w:rPr>
          <w:noProof/>
        </w:rPr>
        <w:tab/>
      </w:r>
      <w:r>
        <w:rPr>
          <w:noProof/>
        </w:rPr>
        <w:tab/>
      </w:r>
      <w:r>
        <w:rPr>
          <w:rFonts w:ascii="Times New Roman" w:hAnsi="Times New Roman"/>
          <w:noProof/>
          <w:sz w:val="24"/>
          <w:szCs w:val="24"/>
        </w:rPr>
        <w:t>Regolament dwar il-Monitoraġġ u r-Rapportar</w:t>
      </w:r>
    </w:p>
    <w:p>
      <w:pPr>
        <w:spacing w:after="120"/>
        <w:rPr>
          <w:rFonts w:ascii="Times New Roman" w:hAnsi="Times New Roman"/>
          <w:noProof/>
          <w:sz w:val="24"/>
          <w:szCs w:val="24"/>
        </w:rPr>
      </w:pPr>
      <w:r>
        <w:rPr>
          <w:rFonts w:ascii="Times New Roman" w:hAnsi="Times New Roman"/>
          <w:noProof/>
          <w:sz w:val="24"/>
          <w:szCs w:val="24"/>
        </w:rPr>
        <w:t>MRVA</w:t>
      </w:r>
      <w:r>
        <w:rPr>
          <w:noProof/>
        </w:rPr>
        <w:tab/>
      </w:r>
      <w:r>
        <w:rPr>
          <w:rFonts w:ascii="Times New Roman" w:hAnsi="Times New Roman"/>
          <w:noProof/>
          <w:sz w:val="24"/>
          <w:szCs w:val="24"/>
        </w:rPr>
        <w:t>Monitoraġġ, Rapportar, Verifika u Akkreditazzjoni</w:t>
      </w:r>
    </w:p>
    <w:p>
      <w:pPr>
        <w:spacing w:after="120"/>
        <w:rPr>
          <w:rFonts w:ascii="Times New Roman" w:hAnsi="Times New Roman"/>
          <w:noProof/>
          <w:sz w:val="24"/>
          <w:szCs w:val="24"/>
        </w:rPr>
      </w:pPr>
      <w:r>
        <w:rPr>
          <w:rFonts w:ascii="Times New Roman" w:hAnsi="Times New Roman"/>
          <w:noProof/>
          <w:sz w:val="24"/>
          <w:szCs w:val="24"/>
        </w:rPr>
        <w:t xml:space="preserve">MSR  </w:t>
      </w:r>
      <w:r>
        <w:rPr>
          <w:noProof/>
        </w:rPr>
        <w:tab/>
      </w:r>
      <w:r>
        <w:rPr>
          <w:noProof/>
        </w:rPr>
        <w:tab/>
      </w:r>
      <w:r>
        <w:rPr>
          <w:rFonts w:ascii="Times New Roman" w:hAnsi="Times New Roman"/>
          <w:noProof/>
          <w:sz w:val="24"/>
          <w:szCs w:val="24"/>
        </w:rPr>
        <w:t>Riżerva tal-Istabbiltà tas-Suq</w:t>
      </w:r>
    </w:p>
    <w:p>
      <w:pPr>
        <w:spacing w:after="120"/>
        <w:rPr>
          <w:rFonts w:ascii="Times New Roman" w:hAnsi="Times New Roman"/>
          <w:noProof/>
          <w:sz w:val="24"/>
          <w:szCs w:val="24"/>
        </w:rPr>
      </w:pPr>
      <w:r>
        <w:rPr>
          <w:rFonts w:ascii="Times New Roman" w:hAnsi="Times New Roman"/>
          <w:noProof/>
          <w:sz w:val="24"/>
          <w:szCs w:val="24"/>
        </w:rPr>
        <w:t>NAB</w:t>
      </w:r>
      <w:r>
        <w:rPr>
          <w:noProof/>
        </w:rPr>
        <w:tab/>
      </w:r>
      <w:r>
        <w:rPr>
          <w:noProof/>
        </w:rPr>
        <w:tab/>
      </w:r>
      <w:r>
        <w:rPr>
          <w:rFonts w:ascii="Times New Roman" w:hAnsi="Times New Roman"/>
          <w:noProof/>
          <w:sz w:val="24"/>
          <w:szCs w:val="24"/>
        </w:rPr>
        <w:t>Korp Nazzjonali ta’ Akkreditament</w:t>
      </w:r>
    </w:p>
    <w:p>
      <w:pPr>
        <w:spacing w:after="120"/>
        <w:rPr>
          <w:rFonts w:ascii="Times New Roman" w:hAnsi="Times New Roman"/>
          <w:noProof/>
          <w:sz w:val="24"/>
          <w:szCs w:val="24"/>
        </w:rPr>
      </w:pPr>
      <w:r>
        <w:rPr>
          <w:rFonts w:ascii="Times New Roman" w:hAnsi="Times New Roman"/>
          <w:noProof/>
          <w:sz w:val="24"/>
          <w:szCs w:val="24"/>
        </w:rPr>
        <w:t>NER</w:t>
      </w:r>
      <w:r>
        <w:rPr>
          <w:noProof/>
        </w:rPr>
        <w:tab/>
      </w:r>
      <w:r>
        <w:rPr>
          <w:noProof/>
        </w:rPr>
        <w:tab/>
      </w:r>
      <w:r>
        <w:rPr>
          <w:rFonts w:ascii="Times New Roman" w:hAnsi="Times New Roman"/>
          <w:noProof/>
          <w:sz w:val="24"/>
          <w:szCs w:val="24"/>
        </w:rPr>
        <w:t>Riżerva għal Min Jidħol Ġdid</w:t>
      </w:r>
    </w:p>
    <w:p>
      <w:pPr>
        <w:spacing w:after="120"/>
        <w:rPr>
          <w:rFonts w:ascii="Times New Roman" w:hAnsi="Times New Roman"/>
          <w:noProof/>
          <w:sz w:val="24"/>
          <w:szCs w:val="24"/>
        </w:rPr>
      </w:pPr>
      <w:r>
        <w:rPr>
          <w:rFonts w:ascii="Times New Roman" w:hAnsi="Times New Roman"/>
          <w:noProof/>
          <w:sz w:val="24"/>
          <w:szCs w:val="24"/>
        </w:rPr>
        <w:t>OTC</w:t>
      </w:r>
      <w:r>
        <w:rPr>
          <w:noProof/>
        </w:rPr>
        <w:tab/>
      </w:r>
      <w:r>
        <w:rPr>
          <w:noProof/>
        </w:rPr>
        <w:tab/>
      </w:r>
      <w:r>
        <w:rPr>
          <w:rFonts w:ascii="Times New Roman" w:hAnsi="Times New Roman"/>
          <w:noProof/>
          <w:sz w:val="24"/>
          <w:szCs w:val="24"/>
        </w:rPr>
        <w:t>Barra l-Borża</w:t>
      </w:r>
    </w:p>
    <w:p>
      <w:pPr>
        <w:spacing w:after="120"/>
        <w:rPr>
          <w:rFonts w:ascii="Times New Roman" w:hAnsi="Times New Roman"/>
          <w:noProof/>
          <w:sz w:val="24"/>
          <w:szCs w:val="24"/>
        </w:rPr>
      </w:pPr>
      <w:r>
        <w:rPr>
          <w:rFonts w:ascii="Times New Roman" w:hAnsi="Times New Roman"/>
          <w:noProof/>
          <w:sz w:val="24"/>
          <w:szCs w:val="24"/>
        </w:rPr>
        <w:t>PFCs</w:t>
      </w:r>
      <w:r>
        <w:rPr>
          <w:noProof/>
        </w:rPr>
        <w:tab/>
      </w:r>
      <w:r>
        <w:rPr>
          <w:noProof/>
        </w:rPr>
        <w:tab/>
      </w:r>
      <w:r>
        <w:rPr>
          <w:rFonts w:ascii="Times New Roman" w:hAnsi="Times New Roman"/>
          <w:noProof/>
          <w:sz w:val="24"/>
          <w:szCs w:val="24"/>
        </w:rPr>
        <w:t>Perfluworokarburi</w:t>
      </w:r>
    </w:p>
    <w:p>
      <w:pPr>
        <w:spacing w:after="120"/>
        <w:rPr>
          <w:rFonts w:ascii="Times New Roman" w:hAnsi="Times New Roman"/>
          <w:noProof/>
          <w:sz w:val="24"/>
          <w:szCs w:val="24"/>
        </w:rPr>
      </w:pPr>
      <w:r>
        <w:rPr>
          <w:rFonts w:ascii="Times New Roman" w:hAnsi="Times New Roman"/>
          <w:noProof/>
          <w:sz w:val="24"/>
          <w:szCs w:val="24"/>
        </w:rPr>
        <w:t>RES</w:t>
      </w:r>
      <w:r>
        <w:rPr>
          <w:noProof/>
        </w:rPr>
        <w:tab/>
      </w:r>
      <w:r>
        <w:rPr>
          <w:noProof/>
        </w:rPr>
        <w:tab/>
      </w:r>
      <w:r>
        <w:rPr>
          <w:rFonts w:ascii="Times New Roman" w:hAnsi="Times New Roman"/>
          <w:noProof/>
          <w:sz w:val="24"/>
          <w:szCs w:val="24"/>
        </w:rPr>
        <w:t>Sorsi ta’ Enerġija Rinnovabbli</w:t>
      </w:r>
    </w:p>
    <w:p>
      <w:pPr>
        <w:spacing w:after="120"/>
        <w:rPr>
          <w:rFonts w:ascii="Times New Roman" w:hAnsi="Times New Roman"/>
          <w:noProof/>
          <w:sz w:val="24"/>
          <w:szCs w:val="24"/>
        </w:rPr>
      </w:pPr>
      <w:r>
        <w:rPr>
          <w:rFonts w:ascii="Times New Roman" w:hAnsi="Times New Roman"/>
          <w:noProof/>
          <w:sz w:val="24"/>
          <w:szCs w:val="24"/>
        </w:rPr>
        <w:t>SARPs</w:t>
      </w:r>
      <w:r>
        <w:rPr>
          <w:noProof/>
        </w:rPr>
        <w:tab/>
      </w:r>
      <w:r>
        <w:rPr>
          <w:noProof/>
        </w:rPr>
        <w:tab/>
      </w:r>
      <w:r>
        <w:rPr>
          <w:rFonts w:ascii="Times New Roman" w:hAnsi="Times New Roman"/>
          <w:noProof/>
          <w:sz w:val="24"/>
          <w:szCs w:val="24"/>
        </w:rPr>
        <w:t>Standards u Prattiki Rakkomandati tal-CORSIA</w:t>
      </w:r>
    </w:p>
    <w:p>
      <w:pPr>
        <w:rPr>
          <w:rFonts w:ascii="Times New Roman" w:hAnsi="Times New Roman"/>
          <w:noProof/>
          <w:sz w:val="24"/>
          <w:szCs w:val="24"/>
        </w:rPr>
      </w:pPr>
      <w:r>
        <w:rPr>
          <w:rFonts w:ascii="Times New Roman" w:hAnsi="Times New Roman"/>
          <w:noProof/>
          <w:sz w:val="24"/>
          <w:szCs w:val="24"/>
        </w:rPr>
        <w:t>TNAC</w:t>
      </w:r>
      <w:r>
        <w:rPr>
          <w:noProof/>
        </w:rPr>
        <w:tab/>
      </w:r>
      <w:r>
        <w:rPr>
          <w:noProof/>
        </w:rPr>
        <w:tab/>
      </w:r>
      <w:r>
        <w:rPr>
          <w:rFonts w:ascii="Times New Roman" w:hAnsi="Times New Roman"/>
          <w:noProof/>
          <w:sz w:val="24"/>
          <w:szCs w:val="24"/>
        </w:rPr>
        <w:t>In-Numru Totali ta’ Kwoti fiċ-Ċirkolazzjoni</w:t>
      </w:r>
    </w:p>
    <w:p>
      <w:pPr>
        <w:rPr>
          <w:rFonts w:ascii="Times New Roman" w:hAnsi="Times New Roman"/>
          <w:noProof/>
          <w:szCs w:val="24"/>
        </w:rPr>
      </w:pPr>
    </w:p>
    <w:p>
      <w:pPr>
        <w:rPr>
          <w:rFonts w:ascii="Times New Roman" w:hAnsi="Times New Roman"/>
          <w:noProof/>
          <w:szCs w:val="24"/>
        </w:rPr>
      </w:pPr>
    </w:p>
    <w:p>
      <w:pPr>
        <w:rPr>
          <w:rFonts w:ascii="Times New Roman" w:hAnsi="Times New Roman"/>
          <w:noProof/>
          <w:szCs w:val="24"/>
        </w:rPr>
      </w:pPr>
    </w:p>
    <w:p>
      <w:pPr>
        <w:rPr>
          <w:rFonts w:ascii="Times New Roman" w:hAnsi="Times New Roman"/>
          <w:noProof/>
          <w:szCs w:val="24"/>
        </w:rPr>
      </w:pPr>
    </w:p>
    <w:p>
      <w:pPr>
        <w:rPr>
          <w:rFonts w:ascii="Times New Roman" w:hAnsi="Times New Roman"/>
          <w:noProof/>
          <w:szCs w:val="24"/>
        </w:rPr>
      </w:pPr>
    </w:p>
    <w:p>
      <w:pPr>
        <w:rPr>
          <w:rFonts w:ascii="Times New Roman" w:hAnsi="Times New Roman"/>
          <w:noProof/>
          <w:szCs w:val="24"/>
        </w:rPr>
      </w:pPr>
    </w:p>
    <w:p>
      <w:pPr>
        <w:rPr>
          <w:rFonts w:ascii="Times New Roman" w:hAnsi="Times New Roman"/>
          <w:noProof/>
          <w:szCs w:val="24"/>
        </w:rPr>
      </w:pPr>
    </w:p>
    <w:p>
      <w:pPr>
        <w:rPr>
          <w:rFonts w:ascii="Times New Roman" w:hAnsi="Times New Roman"/>
          <w:noProof/>
          <w:szCs w:val="24"/>
        </w:rPr>
      </w:pPr>
    </w:p>
    <w:p>
      <w:pPr>
        <w:rPr>
          <w:rFonts w:ascii="Times New Roman" w:hAnsi="Times New Roman"/>
          <w:noProof/>
          <w:szCs w:val="24"/>
        </w:rPr>
      </w:pPr>
    </w:p>
    <w:p>
      <w:pPr>
        <w:pStyle w:val="Heading1"/>
        <w:rPr>
          <w:noProof/>
        </w:rPr>
      </w:pPr>
    </w:p>
    <w:p>
      <w:pPr>
        <w:rPr>
          <w:rFonts w:ascii="Times New Roman" w:hAnsi="Times New Roman"/>
          <w:noProof/>
          <w:sz w:val="24"/>
          <w:szCs w:val="24"/>
        </w:rPr>
      </w:pPr>
      <w:bookmarkStart w:id="4" w:name="_Toc490850418"/>
      <w:bookmarkStart w:id="5" w:name="_Toc519009671"/>
    </w:p>
    <w:p>
      <w:pPr>
        <w:jc w:val="both"/>
        <w:rPr>
          <w:rFonts w:ascii="Times New Roman" w:hAnsi="Times New Roman"/>
          <w:noProof/>
          <w:sz w:val="24"/>
          <w:szCs w:val="24"/>
        </w:rPr>
      </w:pPr>
    </w:p>
    <w:p>
      <w:pPr>
        <w:jc w:val="both"/>
        <w:rPr>
          <w:rFonts w:ascii="Times New Roman" w:hAnsi="Times New Roman"/>
          <w:noProof/>
          <w:sz w:val="24"/>
          <w:szCs w:val="24"/>
        </w:rPr>
      </w:pPr>
    </w:p>
    <w:p>
      <w:pPr>
        <w:jc w:val="both"/>
        <w:rPr>
          <w:rFonts w:ascii="Times New Roman" w:hAnsi="Times New Roman"/>
          <w:noProof/>
          <w:sz w:val="24"/>
          <w:szCs w:val="24"/>
        </w:rPr>
      </w:pPr>
    </w:p>
    <w:p>
      <w:pPr>
        <w:jc w:val="both"/>
        <w:rPr>
          <w:rFonts w:ascii="Times New Roman" w:hAnsi="Times New Roman"/>
          <w:noProof/>
          <w:sz w:val="24"/>
          <w:szCs w:val="24"/>
        </w:rPr>
      </w:pPr>
    </w:p>
    <w:p>
      <w:pPr>
        <w:jc w:val="both"/>
        <w:rPr>
          <w:rFonts w:ascii="Times New Roman" w:hAnsi="Times New Roman"/>
          <w:noProof/>
          <w:sz w:val="24"/>
          <w:szCs w:val="24"/>
        </w:rPr>
      </w:pPr>
    </w:p>
    <w:p>
      <w:pPr>
        <w:jc w:val="both"/>
        <w:rPr>
          <w:rFonts w:ascii="Times New Roman" w:hAnsi="Times New Roman"/>
          <w:noProof/>
          <w:sz w:val="24"/>
          <w:szCs w:val="24"/>
        </w:rPr>
      </w:pPr>
    </w:p>
    <w:p>
      <w:pPr>
        <w:jc w:val="both"/>
        <w:rPr>
          <w:rFonts w:ascii="Times New Roman" w:hAnsi="Times New Roman"/>
          <w:noProof/>
          <w:sz w:val="24"/>
          <w:szCs w:val="24"/>
        </w:rPr>
      </w:pPr>
    </w:p>
    <w:p>
      <w:pPr>
        <w:jc w:val="both"/>
        <w:rPr>
          <w:rFonts w:ascii="Times New Roman" w:hAnsi="Times New Roman"/>
          <w:noProof/>
          <w:sz w:val="24"/>
          <w:szCs w:val="24"/>
        </w:rPr>
      </w:pPr>
    </w:p>
    <w:p>
      <w:pPr>
        <w:rPr>
          <w:noProof/>
        </w:rPr>
      </w:pPr>
    </w:p>
    <w:p>
      <w:pPr>
        <w:pStyle w:val="Heading1"/>
        <w:rPr>
          <w:noProof/>
        </w:rPr>
      </w:pPr>
    </w:p>
    <w:p>
      <w:pPr>
        <w:pStyle w:val="Heading1"/>
        <w:rPr>
          <w:noProof/>
        </w:rPr>
      </w:pPr>
    </w:p>
    <w:p>
      <w:pPr>
        <w:pStyle w:val="Heading1"/>
        <w:rPr>
          <w:noProof/>
        </w:rPr>
      </w:pPr>
      <w:bookmarkStart w:id="6" w:name="_Toc56000789"/>
      <w:r>
        <w:rPr>
          <w:noProof/>
        </w:rPr>
        <w:t>1. INTRODUZZJON</w:t>
      </w:r>
      <w:bookmarkEnd w:id="4"/>
      <w:bookmarkEnd w:id="5"/>
      <w:r>
        <w:rPr>
          <w:noProof/>
        </w:rPr>
        <w:t>I</w:t>
      </w:r>
      <w:bookmarkEnd w:id="6"/>
    </w:p>
    <w:p>
      <w:pPr>
        <w:jc w:val="both"/>
        <w:rPr>
          <w:rFonts w:ascii="Times New Roman" w:hAnsi="Times New Roman"/>
          <w:noProof/>
          <w:sz w:val="24"/>
          <w:szCs w:val="24"/>
        </w:rPr>
      </w:pPr>
      <w:r>
        <w:rPr>
          <w:rFonts w:ascii="Times New Roman" w:hAnsi="Times New Roman"/>
          <w:noProof/>
          <w:sz w:val="24"/>
          <w:szCs w:val="24"/>
        </w:rPr>
        <w:t xml:space="preserve">Mill-2005, l-Iskema tal-UE għall-Iskambju ta’ Kwoti tal-Emissjonijiet (EU ETS) kienet ċentrali għall-istrateġija tal-UE għat-tnaqqis tal-emissjonijiet ta’ gassijiet serra (GHG) mill-industrija u l-produzzjoni tal-elettriku u s-sħana. Din tikkontribwixxi b’mod sinifikanti għall-ilħuq tal-mira tal-UE li sal-2020, l-emissjonijiet GHG jitnaqqsu b’20 % mil-livelli tal-1990, mira li l-UE tinsab fit-triq it-tajba biex taqbiżha. </w:t>
      </w:r>
    </w:p>
    <w:p>
      <w:pPr>
        <w:jc w:val="both"/>
        <w:rPr>
          <w:rFonts w:ascii="Times New Roman" w:hAnsi="Times New Roman"/>
          <w:noProof/>
          <w:sz w:val="24"/>
          <w:szCs w:val="24"/>
        </w:rPr>
      </w:pPr>
      <w:r>
        <w:rPr>
          <w:rFonts w:ascii="Times New Roman" w:hAnsi="Times New Roman"/>
          <w:noProof/>
          <w:sz w:val="24"/>
          <w:szCs w:val="24"/>
        </w:rPr>
        <w:t>Dan ir-Rapport dwar il-funzjonament tas-suq Ewropew tal-karbonju huwa ppreżentat f’konformità mar-rekwiżiti tal-Artikoli 10(5) u 21(2) tad-Direttiva 2003/87/KE</w:t>
      </w:r>
      <w:r>
        <w:rPr>
          <w:rStyle w:val="FootnoteReference"/>
          <w:rFonts w:ascii="Times New Roman" w:hAnsi="Times New Roman"/>
          <w:noProof/>
          <w:sz w:val="24"/>
          <w:szCs w:val="24"/>
        </w:rPr>
        <w:footnoteReference w:id="1"/>
      </w:r>
      <w:r>
        <w:rPr>
          <w:rFonts w:ascii="Times New Roman" w:hAnsi="Times New Roman"/>
          <w:noProof/>
          <w:sz w:val="24"/>
          <w:szCs w:val="24"/>
        </w:rPr>
        <w:t xml:space="preserve"> (id-Direttiva dwar l-EU ETS). L-objettiv tar-rapport huwa li jipprovdi daqqa t’għajn lejn l-iżviluppi fis-suq Ewropew tal-karbonju fuq bażi annwali. Ir-rapport ikopri s-sena 2019, iżda jippreżenta wkoll l-iżviluppi fl-ewwel nofs tas-sena 2020.</w:t>
      </w:r>
    </w:p>
    <w:p>
      <w:pPr>
        <w:jc w:val="both"/>
        <w:rPr>
          <w:rFonts w:ascii="Times New Roman" w:hAnsi="Times New Roman"/>
          <w:b/>
          <w:noProof/>
          <w:sz w:val="24"/>
          <w:szCs w:val="24"/>
        </w:rPr>
      </w:pPr>
      <w:r>
        <w:rPr>
          <w:rFonts w:ascii="Times New Roman" w:hAnsi="Times New Roman"/>
          <w:noProof/>
          <w:sz w:val="24"/>
          <w:szCs w:val="24"/>
        </w:rPr>
        <w:t>B’ħarsa lejn id-deċennju li jmiss, il-Komunikazzjoni tal-Kummissjoni dwar il-Pjan dwar il-Mira Klimatika għall-2030</w:t>
      </w:r>
      <w:r>
        <w:rPr>
          <w:rStyle w:val="FootnoteReference"/>
          <w:rFonts w:ascii="Times New Roman" w:hAnsi="Times New Roman"/>
          <w:noProof/>
          <w:sz w:val="24"/>
          <w:szCs w:val="24"/>
        </w:rPr>
        <w:footnoteReference w:id="2"/>
      </w:r>
      <w:r>
        <w:rPr>
          <w:rFonts w:ascii="Times New Roman" w:hAnsi="Times New Roman"/>
          <w:noProof/>
          <w:sz w:val="24"/>
          <w:szCs w:val="24"/>
        </w:rPr>
        <w:t xml:space="preserve"> ipproponiet li żżid il-mira tal-UE għat-tnaqqis tal-emissjonijiet tal-gassijiet serra tal-2030 minn 40 % għal mill-inqas 55 % meta mqabbel mal-livelli tal-1990. Biex twettaq din l-ambizzjoni ogħla, il-Kummissjoni, sa Ġunju 2021, se tirrieżamina u tipproponi li tirrevedi fejn meħtieġ, il-politika rilevanti kollha relatata mal-klima. Bħala parti mill-pakkett usa’ ta’ leġiżlazzjoni taħt il-Patt Ekoloġiku Ewropew</w:t>
      </w:r>
      <w:r>
        <w:rPr>
          <w:rStyle w:val="FootnoteReference"/>
          <w:rFonts w:ascii="Times New Roman" w:hAnsi="Times New Roman"/>
          <w:noProof/>
          <w:sz w:val="24"/>
          <w:szCs w:val="24"/>
        </w:rPr>
        <w:footnoteReference w:id="3"/>
      </w:r>
      <w:r>
        <w:rPr>
          <w:rFonts w:ascii="Times New Roman" w:hAnsi="Times New Roman"/>
          <w:noProof/>
          <w:sz w:val="24"/>
          <w:szCs w:val="24"/>
        </w:rPr>
        <w:t>, l-EU ETS se tiġi riveduta wkoll, inkluża l-possibbiltà ta’ estensjoni tas-sistema għal setturi ġodda.</w:t>
      </w:r>
      <w:r>
        <w:rPr>
          <w:noProof/>
        </w:rPr>
        <w:t xml:space="preserve"> </w:t>
      </w:r>
    </w:p>
    <w:p>
      <w:pPr>
        <w:jc w:val="both"/>
        <w:rPr>
          <w:rFonts w:ascii="Times New Roman" w:hAnsi="Times New Roman"/>
          <w:noProof/>
          <w:sz w:val="24"/>
          <w:szCs w:val="24"/>
        </w:rPr>
      </w:pPr>
      <w:r>
        <w:rPr>
          <w:rFonts w:ascii="Times New Roman" w:hAnsi="Times New Roman"/>
          <w:noProof/>
          <w:sz w:val="24"/>
          <w:szCs w:val="24"/>
        </w:rPr>
        <w:t>Wara r-reviżjoni tad-Direttiva dwar l-ETS</w:t>
      </w:r>
      <w:r>
        <w:rPr>
          <w:rStyle w:val="FootnoteReference"/>
          <w:rFonts w:ascii="Times New Roman" w:hAnsi="Times New Roman"/>
          <w:noProof/>
          <w:sz w:val="24"/>
          <w:szCs w:val="24"/>
        </w:rPr>
        <w:footnoteReference w:id="4"/>
      </w:r>
      <w:r>
        <w:rPr>
          <w:rFonts w:ascii="Times New Roman" w:hAnsi="Times New Roman"/>
          <w:noProof/>
          <w:sz w:val="24"/>
          <w:szCs w:val="24"/>
        </w:rPr>
        <w:t>, ix-xogħol fuq l-implimentazzjoni għall-fażi 4</w:t>
      </w:r>
      <w:r>
        <w:rPr>
          <w:rStyle w:val="FootnoteReference"/>
          <w:rFonts w:ascii="Times New Roman" w:hAnsi="Times New Roman"/>
          <w:noProof/>
          <w:sz w:val="24"/>
          <w:szCs w:val="24"/>
        </w:rPr>
        <w:footnoteReference w:id="5"/>
      </w:r>
      <w:r>
        <w:rPr>
          <w:rFonts w:ascii="Times New Roman" w:hAnsi="Times New Roman"/>
          <w:noProof/>
          <w:sz w:val="24"/>
          <w:szCs w:val="24"/>
        </w:rPr>
        <w:t xml:space="preserve"> ġie attivat u qed jagħmel progress mgħaġġel. Matul is-sena li għaddiet, ġiet adottata leġiżlazzjoni ta’ implimentazzjoni dwar l-aġġustament tal-allokazzjoni mingħajr ħlas abbażi ta’ bidliet fil-livell tal-attività</w:t>
      </w:r>
      <w:r>
        <w:rPr>
          <w:rStyle w:val="FootnoteReference"/>
          <w:rFonts w:ascii="Times New Roman" w:hAnsi="Times New Roman"/>
          <w:noProof/>
          <w:sz w:val="24"/>
          <w:szCs w:val="24"/>
        </w:rPr>
        <w:footnoteReference w:id="6"/>
      </w:r>
      <w:r>
        <w:rPr>
          <w:rFonts w:ascii="Times New Roman" w:hAnsi="Times New Roman"/>
          <w:noProof/>
          <w:sz w:val="24"/>
          <w:szCs w:val="24"/>
        </w:rPr>
        <w:t xml:space="preserve"> u dwar it-tħaddim tal-Fond għall-Modernizzazzjoni</w:t>
      </w:r>
      <w:r>
        <w:rPr>
          <w:rStyle w:val="FootnoteReference"/>
          <w:rFonts w:ascii="Times New Roman" w:hAnsi="Times New Roman"/>
          <w:noProof/>
          <w:sz w:val="24"/>
          <w:szCs w:val="24"/>
        </w:rPr>
        <w:footnoteReference w:id="7"/>
      </w:r>
      <w:r>
        <w:rPr>
          <w:rFonts w:ascii="Times New Roman" w:hAnsi="Times New Roman"/>
          <w:noProof/>
          <w:sz w:val="24"/>
          <w:szCs w:val="24"/>
        </w:rPr>
        <w:t>, u tlestiet it-tieni reviżjoni tar-Regolament dwar l-Irkantar</w:t>
      </w:r>
      <w:r>
        <w:rPr>
          <w:rStyle w:val="FootnoteReference"/>
          <w:rFonts w:ascii="Times New Roman" w:hAnsi="Times New Roman"/>
          <w:noProof/>
          <w:sz w:val="24"/>
          <w:szCs w:val="24"/>
        </w:rPr>
        <w:footnoteReference w:id="8"/>
      </w:r>
      <w:r>
        <w:rPr>
          <w:rFonts w:ascii="Times New Roman" w:hAnsi="Times New Roman"/>
          <w:noProof/>
          <w:sz w:val="24"/>
          <w:szCs w:val="24"/>
        </w:rPr>
        <w:t xml:space="preserve"> biex jiġu implimentati r-rekwiżiti tal-fażi 4 (ara l-Kapitoli 3.1.2.1, 3.1.2.2, u 3.1.2.6). Id-dispożizzjonijiet implimentattivi li jifdal bħalissa qed jiġu ffinalizzati, bil-għan li jiġu adottati qabel Jannar 2021.</w:t>
      </w:r>
    </w:p>
    <w:p>
      <w:pPr>
        <w:jc w:val="both"/>
        <w:rPr>
          <w:rFonts w:ascii="Times New Roman" w:hAnsi="Times New Roman"/>
          <w:noProof/>
          <w:sz w:val="24"/>
          <w:szCs w:val="24"/>
        </w:rPr>
      </w:pPr>
      <w:r>
        <w:rPr>
          <w:rFonts w:ascii="Times New Roman" w:hAnsi="Times New Roman"/>
          <w:noProof/>
          <w:sz w:val="24"/>
          <w:szCs w:val="24"/>
        </w:rPr>
        <w:t>Mill-pubblikazzjoni tal-aħħar rapport tas-suq tal-karbonju</w:t>
      </w:r>
      <w:r>
        <w:rPr>
          <w:rStyle w:val="FootnoteReference"/>
          <w:rFonts w:ascii="Times New Roman" w:hAnsi="Times New Roman"/>
          <w:noProof/>
          <w:sz w:val="24"/>
          <w:szCs w:val="24"/>
        </w:rPr>
        <w:footnoteReference w:id="9"/>
      </w:r>
      <w:r>
        <w:rPr>
          <w:rFonts w:ascii="Times New Roman" w:hAnsi="Times New Roman"/>
          <w:noProof/>
          <w:sz w:val="24"/>
          <w:szCs w:val="24"/>
        </w:rPr>
        <w:t>, l-indikatur tal-eċċess tar-Riżerva tal-Istabbiltà tas-Suq ġie ppubblikat għar-raba’ darba, li juri li fl-2019, l-eċċess tal-kwoti naqas minn 1,65 biljun fl-2018 għal madwar 1,39 biljun kwota</w:t>
      </w:r>
      <w:r>
        <w:rPr>
          <w:rStyle w:val="FootnoteReference"/>
          <w:rFonts w:ascii="Times New Roman" w:hAnsi="Times New Roman"/>
          <w:noProof/>
          <w:sz w:val="24"/>
          <w:szCs w:val="24"/>
        </w:rPr>
        <w:footnoteReference w:id="10"/>
      </w:r>
      <w:r>
        <w:rPr>
          <w:rFonts w:ascii="Times New Roman" w:hAnsi="Times New Roman"/>
          <w:noProof/>
          <w:sz w:val="24"/>
          <w:szCs w:val="24"/>
        </w:rPr>
        <w:t xml:space="preserve">. Abbażi tal-indikatur u l-leġiżlazzjoni riveduta tal-EU ETS, il-volumi tal-irkant fl-2020 se jitnaqqsu b’madwar 375 miljun kwota (kważi 35 %) (ara l-Kapitolu 3.3).  </w:t>
      </w:r>
    </w:p>
    <w:p>
      <w:pPr>
        <w:jc w:val="both"/>
        <w:rPr>
          <w:rFonts w:ascii="Times New Roman" w:hAnsi="Times New Roman"/>
          <w:noProof/>
          <w:sz w:val="24"/>
          <w:szCs w:val="24"/>
        </w:rPr>
      </w:pPr>
      <w:r>
        <w:rPr>
          <w:rFonts w:ascii="Times New Roman" w:hAnsi="Times New Roman"/>
          <w:noProof/>
          <w:sz w:val="24"/>
          <w:szCs w:val="24"/>
        </w:rPr>
        <w:t xml:space="preserve">Fl-2019, kien hemm tnaqqis sinifikanti ta’ emissjonijiet minn installazzjonijiet stazzjonarji ta’ 9,1 % meta mqabbel mal-2018 (ara l-Kapitolu 3.2). It-tnaqqis kien prinċipalment xprunat mis-settur tal-enerġija, fejn l-emissjonijiet naqsu bi kważi 15 % minħabba li l-faħam ġie sostitwit mill-elettriku minn sorsi rinnovabbli u mill-produzzjoni tal-enerġija li taħdem bil-gass. B’dan l-aħħar tnaqqis, l-emissjonijiet globali minn installazzjonijiet stazzjonarji mill-bidu tal-fażi 3 tal-EU ETS naqsu bi kważi 20 %. Fis-settur tal-avjazzjoni, l-emissjonijiet komplew jiżdiedu, u dan juri żieda żgħira ta’ 1 % meta mqabbla mal-2018 (ara l-Kapitolu 4). </w:t>
      </w:r>
    </w:p>
    <w:p>
      <w:pPr>
        <w:jc w:val="both"/>
        <w:rPr>
          <w:rFonts w:ascii="Times New Roman" w:hAnsi="Times New Roman"/>
          <w:noProof/>
          <w:sz w:val="24"/>
          <w:szCs w:val="24"/>
        </w:rPr>
      </w:pPr>
      <w:r>
        <w:rPr>
          <w:rFonts w:ascii="Times New Roman" w:hAnsi="Times New Roman"/>
          <w:noProof/>
          <w:sz w:val="24"/>
          <w:szCs w:val="24"/>
        </w:rPr>
        <w:t>Kien hemm ukoll żviluppi politiċi importanti relatati mal-ETS, bħad-dħul fis-seħħ tal-ftehim dwar ir-rabta tal-EU ETS mal-ETS tal-Iżvizzera fl-1 ta’ Jannar 2020, u t-tneħħija tas-sospensjoni tal-irkantar tar-Renju Unit u l-proċessi ta’ allokazzjoni bla ħlas wara d-dħul fis-seħħ tal-Ftehim dwar il-ħruġ tar-Renju Unit mill-UE (ara l-Kapitolu 2.2).</w:t>
      </w:r>
    </w:p>
    <w:p>
      <w:pPr>
        <w:jc w:val="both"/>
        <w:rPr>
          <w:rFonts w:ascii="Times New Roman" w:hAnsi="Times New Roman"/>
          <w:noProof/>
          <w:sz w:val="24"/>
          <w:szCs w:val="24"/>
        </w:rPr>
      </w:pPr>
      <w:r>
        <w:rPr>
          <w:rFonts w:ascii="Times New Roman" w:hAnsi="Times New Roman"/>
          <w:noProof/>
          <w:sz w:val="24"/>
          <w:szCs w:val="24"/>
        </w:rPr>
        <w:t>Fl-aħħar nett,  il-kriżi tal-COVID-19 wasslet għal tnaqqis sinifikanti fuq perjodu qasir fil-prezz tal-karbonju f’Marzu/April 2020. Minkejja dan, is-sinjal tal-prezz tal-karbonju baqa’ stabbli, b’medja ta’ madwar EUR 24</w:t>
      </w:r>
      <w:r>
        <w:rPr>
          <w:rStyle w:val="FootnoteReference"/>
          <w:rFonts w:ascii="Times New Roman" w:hAnsi="Times New Roman"/>
          <w:noProof/>
          <w:sz w:val="24"/>
          <w:szCs w:val="24"/>
        </w:rPr>
        <w:footnoteReference w:id="11"/>
      </w:r>
      <w:r>
        <w:rPr>
          <w:rFonts w:ascii="Times New Roman" w:hAnsi="Times New Roman"/>
          <w:noProof/>
          <w:sz w:val="24"/>
          <w:szCs w:val="24"/>
        </w:rPr>
        <w:t xml:space="preserve"> bejn Jannar 2019 u l-aħħar ta’ Ġunju 2020. Id-dħul mill-irkant tal-kwoti tal-ETS qabeż EUR 14-il biljun fl-2019 biss, u EUR 7,9 biljun għall-ewwel sitt xhur tal-2020. Abbażi tad-</w:t>
      </w:r>
      <w:r>
        <w:rPr>
          <w:rFonts w:ascii="Times New Roman" w:hAnsi="Times New Roman"/>
          <w:i/>
          <w:noProof/>
          <w:sz w:val="24"/>
          <w:szCs w:val="24"/>
        </w:rPr>
        <w:t>data</w:t>
      </w:r>
      <w:r>
        <w:rPr>
          <w:rFonts w:ascii="Times New Roman" w:hAnsi="Times New Roman"/>
          <w:noProof/>
          <w:sz w:val="24"/>
          <w:szCs w:val="24"/>
        </w:rPr>
        <w:t xml:space="preserve"> mressqa mill-Istati Membri, matul l-2019, total ta’ 77 % ta’ dan id-dħul intnefaq (jew kien ippjanat għall-infiq) fuq skopijiet speċifiċi relatati mal-klima u l-enerġija (ara l-Kapitolu 3.1.2.2).</w:t>
      </w:r>
    </w:p>
    <w:p>
      <w:pPr>
        <w:jc w:val="both"/>
        <w:rPr>
          <w:rFonts w:ascii="Times New Roman" w:hAnsi="Times New Roman"/>
          <w:noProof/>
          <w:sz w:val="24"/>
          <w:szCs w:val="24"/>
        </w:rPr>
      </w:pPr>
      <w:r>
        <w:rPr>
          <w:rFonts w:ascii="Times New Roman" w:hAnsi="Times New Roman"/>
          <w:noProof/>
          <w:sz w:val="24"/>
          <w:szCs w:val="24"/>
        </w:rPr>
        <w:t>Sakemm ma jkunx indikat mod ieħor, id-</w:t>
      </w:r>
      <w:r>
        <w:rPr>
          <w:rFonts w:ascii="Times New Roman" w:hAnsi="Times New Roman"/>
          <w:i/>
          <w:noProof/>
          <w:sz w:val="24"/>
          <w:szCs w:val="24"/>
        </w:rPr>
        <w:t>data</w:t>
      </w:r>
      <w:r>
        <w:rPr>
          <w:rFonts w:ascii="Times New Roman" w:hAnsi="Times New Roman"/>
          <w:noProof/>
          <w:sz w:val="24"/>
          <w:szCs w:val="24"/>
        </w:rPr>
        <w:t xml:space="preserve"> użata għal dan ir-rapport kienet dik disponibbli pubblikament u għad-dispożizzjoni tal-Kummissjoni sa Ġunju 2020</w:t>
      </w:r>
      <w:r>
        <w:rPr>
          <w:rStyle w:val="FootnoteReference"/>
          <w:rFonts w:ascii="Times New Roman" w:hAnsi="Times New Roman"/>
          <w:noProof/>
          <w:sz w:val="24"/>
          <w:szCs w:val="24"/>
        </w:rPr>
        <w:footnoteReference w:id="12"/>
      </w:r>
      <w:r>
        <w:rPr>
          <w:rFonts w:ascii="Times New Roman" w:hAnsi="Times New Roman"/>
          <w:noProof/>
          <w:sz w:val="24"/>
          <w:szCs w:val="24"/>
        </w:rPr>
        <w:t>. Informazzjoni ġenerali u deskrittiva dwar l-EU ETS hija inkluża fil-kaxex matul ir-rapport kollu.</w:t>
      </w:r>
      <w:bookmarkStart w:id="7" w:name="_Toc427931123"/>
      <w:bookmarkEnd w:id="7"/>
    </w:p>
    <w:p>
      <w:pPr>
        <w:jc w:val="both"/>
        <w:rPr>
          <w:rFonts w:ascii="Times New Roman" w:hAnsi="Times New Roman"/>
          <w:noProof/>
          <w:sz w:val="24"/>
          <w:szCs w:val="24"/>
        </w:rPr>
      </w:pPr>
    </w:p>
    <w:p>
      <w:pPr>
        <w:jc w:val="both"/>
        <w:rPr>
          <w:rFonts w:ascii="Times New Roman" w:hAnsi="Times New Roman"/>
          <w:noProof/>
          <w:sz w:val="24"/>
          <w:szCs w:val="24"/>
        </w:rPr>
      </w:pPr>
    </w:p>
    <w:p>
      <w:pPr>
        <w:pStyle w:val="Heading1"/>
        <w:rPr>
          <w:noProof/>
        </w:rPr>
      </w:pPr>
      <w:bookmarkStart w:id="8" w:name="_Toc56000790"/>
      <w:r>
        <w:rPr>
          <w:noProof/>
        </w:rPr>
        <w:t>2. INFRASTRUTTURA TAL-EU ETS</w:t>
      </w:r>
      <w:bookmarkStart w:id="9" w:name="_Toc490850420"/>
      <w:bookmarkStart w:id="10" w:name="_Toc519009676"/>
      <w:bookmarkEnd w:id="8"/>
    </w:p>
    <w:p>
      <w:pPr>
        <w:jc w:val="both"/>
        <w:rPr>
          <w:rFonts w:ascii="Times New Roman" w:eastAsia="Times New Roman" w:hAnsi="Times New Roman"/>
          <w:b/>
          <w:bCs/>
          <w:noProof/>
          <w:kern w:val="32"/>
          <w:sz w:val="24"/>
          <w:szCs w:val="32"/>
        </w:rPr>
      </w:pPr>
      <w:r>
        <w:rPr>
          <w:rFonts w:ascii="Times New Roman" w:hAnsi="Times New Roman"/>
          <w:b/>
          <w:bCs/>
          <w:noProof/>
          <w:sz w:val="24"/>
          <w:szCs w:val="32"/>
        </w:rPr>
        <w:t>2.1 Kopertura tal-attivitajiet, tal-installazzjonijiet u tal-operaturi tal-inġenji tal-ajru</w:t>
      </w:r>
    </w:p>
    <w:p>
      <w:pPr>
        <w:rPr>
          <w:rFonts w:ascii="Times New Roman" w:eastAsia="Times New Roman" w:hAnsi="Times New Roman"/>
          <w:b/>
          <w:bCs/>
          <w:noProof/>
          <w:kern w:val="32"/>
          <w:sz w:val="24"/>
          <w:szCs w:val="32"/>
        </w:rPr>
      </w:pPr>
      <w:r>
        <w:rPr>
          <w:rFonts w:ascii="Times New Roman" w:hAnsi="Times New Roman"/>
          <w:b/>
          <w:bCs/>
          <w:noProof/>
          <w:sz w:val="24"/>
          <w:szCs w:val="32"/>
          <w:lang w:val="en-GB" w:eastAsia="en-GB"/>
        </w:rPr>
        <mc:AlternateContent>
          <mc:Choice Requires="wps">
            <w:drawing>
              <wp:inline distT="0" distB="0" distL="0" distR="0">
                <wp:extent cx="5691226" cy="7292340"/>
                <wp:effectExtent l="0" t="0" r="24130" b="2286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1226" cy="7292340"/>
                        </a:xfrm>
                        <a:prstGeom prst="rect">
                          <a:avLst/>
                        </a:prstGeom>
                        <a:solidFill>
                          <a:sysClr val="window" lastClr="FFFFFF">
                            <a:lumMod val="85000"/>
                          </a:sysClr>
                        </a:solidFill>
                        <a:ln w="12700">
                          <a:solidFill>
                            <a:srgbClr val="000000"/>
                          </a:solidFill>
                          <a:miter lim="800000"/>
                          <a:headEnd/>
                          <a:tailEnd/>
                        </a:ln>
                      </wps:spPr>
                      <wps:txbx>
                        <w:txbxContent>
                          <w:p>
                            <w:pPr>
                              <w:suppressAutoHyphens/>
                              <w:jc w:val="both"/>
                              <w:rPr>
                                <w:rFonts w:ascii="Times New Roman" w:hAnsi="Times New Roman"/>
                                <w:sz w:val="24"/>
                                <w:szCs w:val="24"/>
                              </w:rPr>
                            </w:pPr>
                            <w:r>
                              <w:rPr>
                                <w:rFonts w:ascii="Times New Roman" w:hAnsi="Times New Roman"/>
                                <w:sz w:val="24"/>
                                <w:szCs w:val="24"/>
                              </w:rPr>
                              <w:t>L-EU ETS bħalissa topera fis-27 Stat Membru tal-UE, fl-Iżlanda, fil-Liechtenstein u fin-Norveġja, kif ukoll fir-Renju Unit sal-aħħar tal-2020. Mill-1 ta’ Jannar 2020, l-EU ETS hija marbuta wkoll mas-suq tal-karbonju Żvizzeru (ara l-Kapitolu 2.2). Mill-2021, minbarra l-UE u l-pajjiżi taż-ŻEE/EFTA, l-EU ETS se tkopri l-installazzjonijiet li jiġġeneraw l-elettriku fl-Irlanda ta’ Fuq. Din tirregola l-emissjonijiet minn kważi 11 000 impjant tal-enerġija u installazzjonijiet tal-manifattura kif ukoll madwar 600 operatur ta’ inġenji tal-ajru li jtiru lejn/minn l-ajruporti taż-ŻEE. Din tkopri madwar 38 % tal-emissjonijiet GHG tal-UE.</w:t>
                            </w:r>
                          </w:p>
                          <w:p>
                            <w:pPr>
                              <w:jc w:val="both"/>
                              <w:rPr>
                                <w:rFonts w:ascii="Times New Roman" w:hAnsi="Times New Roman"/>
                                <w:sz w:val="24"/>
                                <w:szCs w:val="24"/>
                              </w:rPr>
                            </w:pPr>
                            <w:r>
                              <w:rPr>
                                <w:rFonts w:ascii="Times New Roman" w:hAnsi="Times New Roman"/>
                                <w:sz w:val="24"/>
                                <w:szCs w:val="24"/>
                              </w:rPr>
                              <w:t>Mill-Fażi 3 tal-EU ETS(2013-2020)*, is-setturi b’installazzjonijiet stazzjonarji regolati mill-EU ETS huma industriji intensivi fl-enerġija, inkluż impjanti tal-enerġija u impjanti oħrajn ta’ kombustjoni, b’input nominali termiku ta’ &gt;20MW (ħlief installazzjonijiet ta’ skart perikoluż jew muniċipali), raffineriji taż-żejt, fran tal-kokk, produzzjoni ta’ ħadid u azzar, gagazza tas-siment, ħġieġ, ġir, brikks, ċeramika, polpa, karta u bord, aluminju, petrokimiċi, ammonijaka, aċidu nitriku, adipiku, gliossali u gliossiliku, qbid ta’ CO</w:t>
                            </w:r>
                            <w:r>
                              <w:rPr>
                                <w:rFonts w:ascii="Times New Roman" w:hAnsi="Times New Roman"/>
                                <w:sz w:val="24"/>
                                <w:szCs w:val="24"/>
                                <w:vertAlign w:val="subscript"/>
                              </w:rPr>
                              <w:t>2</w:t>
                            </w:r>
                            <w:r>
                              <w:rPr>
                                <w:rFonts w:ascii="Times New Roman" w:hAnsi="Times New Roman"/>
                                <w:sz w:val="24"/>
                                <w:szCs w:val="24"/>
                              </w:rPr>
                              <w:t>, trasport f’pipelines u ħżin ġeoloġiku ta’ CO</w:t>
                            </w:r>
                            <w:r>
                              <w:rPr>
                                <w:rFonts w:ascii="Times New Roman" w:hAnsi="Times New Roman"/>
                                <w:sz w:val="24"/>
                                <w:szCs w:val="24"/>
                                <w:vertAlign w:val="subscript"/>
                              </w:rPr>
                              <w:t>2</w:t>
                            </w:r>
                            <w:r>
                              <w:rPr>
                                <w:rFonts w:ascii="Times New Roman" w:hAnsi="Times New Roman"/>
                                <w:sz w:val="24"/>
                                <w:szCs w:val="24"/>
                              </w:rPr>
                              <w:t xml:space="preserve">. </w:t>
                            </w:r>
                          </w:p>
                          <w:p>
                            <w:pPr>
                              <w:jc w:val="both"/>
                              <w:rPr>
                                <w:rFonts w:ascii="Times New Roman" w:hAnsi="Times New Roman"/>
                                <w:sz w:val="24"/>
                                <w:szCs w:val="24"/>
                              </w:rPr>
                            </w:pPr>
                            <w:r>
                              <w:rPr>
                                <w:rFonts w:ascii="Times New Roman" w:hAnsi="Times New Roman"/>
                                <w:sz w:val="24"/>
                                <w:szCs w:val="24"/>
                              </w:rPr>
                              <w:t xml:space="preserve">Il-kamp ta' applikazzjoni tal-avjazzjoni tal-EU ETS kien limitat għal titjiriet fi ħdan iż-Żona Ekonomika Ewropea (ŻEE) fil-perjodu 2013-2016, biex jinżamm il-momentum fl-Organizzazzjoni tal-Avjazzjoni Ċivili Internazzjonali (ICAO) għal ftehim internazzjonali għall-kontroll tal-emissjonijiet ta’ gassijiet serra mill-avjazzjoni. Biex ikompli jiġi promoss il-momentum u tiġi ffaċilitata l-operazzjonalizzazzjoni tal-Iskema ta’ Kumpens u Tnaqqis tal-Karbonju għall-Avjazzjoni Internazzjonali (CORSIA) u sabiex tiġi ffaċilitata l-operazzjonalizzazzjoni tal-iskema, fl-2017 il-limitazzjoni għat-titjiriet intra-ŻEE ġiet estiża sal-2023 (ara l-Kapitolu 4). </w:t>
                            </w:r>
                          </w:p>
                          <w:p>
                            <w:pPr>
                              <w:jc w:val="both"/>
                              <w:rPr>
                                <w:rFonts w:ascii="Times New Roman" w:hAnsi="Times New Roman"/>
                                <w:sz w:val="24"/>
                                <w:szCs w:val="24"/>
                              </w:rPr>
                            </w:pPr>
                            <w:r>
                              <w:rPr>
                                <w:rFonts w:ascii="Times New Roman" w:hAnsi="Times New Roman"/>
                                <w:sz w:val="24"/>
                                <w:szCs w:val="24"/>
                              </w:rPr>
                              <w:t>L-EU ETS tkopri emissjonijiet ta’ diossidu tal-karbonju (CO</w:t>
                            </w:r>
                            <w:r>
                              <w:rPr>
                                <w:rFonts w:ascii="Times New Roman" w:hAnsi="Times New Roman"/>
                                <w:sz w:val="24"/>
                                <w:szCs w:val="24"/>
                                <w:vertAlign w:val="subscript"/>
                              </w:rPr>
                              <w:t>2</w:t>
                            </w:r>
                            <w:r>
                              <w:rPr>
                                <w:rFonts w:ascii="Times New Roman" w:hAnsi="Times New Roman"/>
                                <w:sz w:val="24"/>
                                <w:szCs w:val="24"/>
                              </w:rPr>
                              <w:t>), emissjonijiet ta’ ossidu nitruż (N</w:t>
                            </w:r>
                            <w:r>
                              <w:rPr>
                                <w:rFonts w:ascii="Times New Roman" w:hAnsi="Times New Roman"/>
                                <w:sz w:val="24"/>
                                <w:szCs w:val="24"/>
                                <w:vertAlign w:val="subscript"/>
                              </w:rPr>
                              <w:t>2</w:t>
                            </w:r>
                            <w:r>
                              <w:rPr>
                                <w:rFonts w:ascii="Times New Roman" w:hAnsi="Times New Roman"/>
                                <w:sz w:val="24"/>
                                <w:szCs w:val="24"/>
                              </w:rPr>
                              <w:t>O) mill-produzzjoni ta’ aċidu nitriku, adipiku, gliossali u gliossiliku u emissjonijiet ta’ perfluworokarburi (PFC) mill-produzzjoni tal-aluminju. Għalkemm il-parteċipazzjoni fl-EU ETS hija obbligatorja, f’xi setturi jiġu inklużi biss installazzjonijiet akbar minn ċertu daqs. Barra minn hekk, il-pajjiżi parteċipanti jistgħu jeskludu installazzjonijiet żgħar (li jarmu inqas minn 25 000 tunnellata ta’ CO</w:t>
                            </w:r>
                            <w:r>
                              <w:rPr>
                                <w:rFonts w:ascii="Times New Roman" w:hAnsi="Times New Roman"/>
                                <w:sz w:val="24"/>
                                <w:szCs w:val="24"/>
                                <w:vertAlign w:val="subscript"/>
                              </w:rPr>
                              <w:t>2e</w:t>
                            </w:r>
                            <w:r>
                              <w:rPr>
                                <w:rFonts w:ascii="Times New Roman" w:hAnsi="Times New Roman"/>
                                <w:sz w:val="24"/>
                                <w:szCs w:val="24"/>
                              </w:rPr>
                              <w:t>) mis-sistema jekk ikun hemm miżuri alternattivi u ekwivalenti fis-seħħ. Fil-fażi 4 (2021-2030), l-emittenti żgħar ħafna (b’emissjonijiet irrapportati ta’ inqas minn 2 500 tunnellata ta’ CO</w:t>
                            </w:r>
                            <w:r>
                              <w:rPr>
                                <w:rFonts w:ascii="Times New Roman" w:hAnsi="Times New Roman"/>
                                <w:sz w:val="24"/>
                                <w:szCs w:val="24"/>
                                <w:vertAlign w:val="subscript"/>
                              </w:rPr>
                              <w:t>2e</w:t>
                            </w:r>
                            <w:r>
                              <w:rPr>
                                <w:rFonts w:ascii="Times New Roman" w:hAnsi="Times New Roman"/>
                                <w:sz w:val="24"/>
                                <w:szCs w:val="24"/>
                              </w:rPr>
                              <w:t xml:space="preserve"> fl-aħħar tliet snin) jistgħu jiġu esklużi mill-EU ETS soġġett għall-eżistenza ta’ arranġamenti simplifikati ta’ monitoraġġ biex jivvalutaw il-kwantità tal-emissjonijiet tagħhom. Il-pajjiżi parteċipanti jistgħu jżidu wkoll aktar setturi u GHGs fl-EU ETS (l-hekk imsejħa “inklużjoni fakultattiva”).</w:t>
                            </w:r>
                          </w:p>
                          <w:p>
                            <w:pPr>
                              <w:jc w:val="both"/>
                              <w:rPr>
                                <w:rFonts w:ascii="Times New Roman" w:hAnsi="Times New Roman"/>
                                <w:sz w:val="18"/>
                                <w:szCs w:val="18"/>
                              </w:rPr>
                            </w:pPr>
                            <w:r>
                              <w:rPr>
                                <w:rFonts w:ascii="Times New Roman" w:hAnsi="Times New Roman"/>
                                <w:sz w:val="18"/>
                                <w:szCs w:val="18"/>
                              </w:rPr>
                              <w:t>* Informazzjoni dwar il-fażijiet 1 u 2 tal-EU ETS tinstab hawnhekk:</w:t>
                            </w:r>
                            <w:r>
                              <w:rPr>
                                <w:rFonts w:ascii="Times New Roman" w:hAnsi="Times New Roman"/>
                                <w:sz w:val="24"/>
                                <w:szCs w:val="24"/>
                              </w:rPr>
                              <w:t xml:space="preserve"> </w:t>
                            </w:r>
                            <w:hyperlink r:id="rId16" w:history="1">
                              <w:r>
                                <w:rPr>
                                  <w:rStyle w:val="Hyperlink"/>
                                  <w:rFonts w:ascii="Times New Roman" w:hAnsi="Times New Roman"/>
                                  <w:sz w:val="18"/>
                                  <w:szCs w:val="18"/>
                                </w:rPr>
                                <w:t>https://ec.europa.eu/clima/policies/ets/pre2013_en</w:t>
                              </w:r>
                            </w:hyperlink>
                            <w:r>
                              <w:rPr>
                                <w:rFonts w:ascii="Times New Roman" w:hAnsi="Times New Roman"/>
                                <w:sz w:val="18"/>
                                <w:szCs w:val="18"/>
                              </w:rPr>
                              <w:t xml:space="preserve"> </w:t>
                            </w:r>
                          </w:p>
                          <w:p>
                            <w:pPr>
                              <w:jc w:val="both"/>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48.15pt;height:57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" fillcolor="#d9d9d9" strokeweight="1pt">
                <v:textbox>
                  <w:txbxContent>
                    <w:p>
                      <w:pPr>
                        <w:suppressAutoHyphens/>
                        <w:jc w:val="both"/>
                        <w:rPr>
                          <w:rFonts w:ascii="Times New Roman" w:hAnsi="Times New Roman"/>
                          <w:sz w:val="24"/>
                          <w:szCs w:val="24"/>
                        </w:rPr>
                      </w:pPr>
                      <w:r>
                        <w:rPr>
                          <w:rFonts w:ascii="Times New Roman" w:hAnsi="Times New Roman"/>
                          <w:sz w:val="24"/>
                          <w:szCs w:val="24"/>
                        </w:rPr>
                        <w:t>L-EU ETS bħalissa topera fis-27 Stat Membru tal-UE, fl-Iżlanda, fil-Liechtenstein u fin-Norveġja, kif ukoll fir-Renju Unit sal-aħħar tal-2020. Mill-1 ta’ Jannar 2020, l-EU ETS hija marbuta wkoll mas-suq tal-karbonju Żvizzeru (ara l-Kapitolu 2.2). Mill-2021, minbarra l-UE u l-pajjiżi taż-ŻEE/EFTA, l-EU ETS se tkopri l-installazzjonijiet li jiġġeneraw l-elettriku fl-Irlanda ta’ Fuq. Din tirregola l-emissjonijiet minn kważi 11 000 impjant tal-enerġija u installazzjonijiet tal-manifattura kif ukoll madwar 600 operatur ta’ inġenji tal-ajru li jtiru lejn/minn l-ajruporti taż-ŻEE. Din tkopri madwar 38 % tal-emissjonijiet GHG tal-UE.</w:t>
                      </w:r>
                    </w:p>
                    <w:p>
                      <w:pPr>
                        <w:jc w:val="both"/>
                        <w:rPr>
                          <w:rFonts w:ascii="Times New Roman" w:hAnsi="Times New Roman"/>
                          <w:sz w:val="24"/>
                          <w:szCs w:val="24"/>
                        </w:rPr>
                      </w:pPr>
                      <w:r>
                        <w:rPr>
                          <w:rFonts w:ascii="Times New Roman" w:hAnsi="Times New Roman"/>
                          <w:sz w:val="24"/>
                          <w:szCs w:val="24"/>
                        </w:rPr>
                        <w:t>Mill-Fażi 3 tal-EU ETS(2013-2020)*, is-setturi b’installazzjonijiet stazzjonarji regolati mill-EU ETS huma industriji intensivi fl-enerġija, inkluż impjanti tal-enerġija u impjanti oħrajn ta’ kombustjoni, b’input nominali termiku ta’ &gt;20MW (ħlief installazzjonijiet ta’ skart perikoluż jew muniċipali), raffineriji taż-żejt, fran tal-kokk, produzzjoni ta’ ħadid u azzar, gagazza tas-siment, ħġieġ, ġir, brikks, ċeramika, polpa, karta u bord, aluminju, petrokimiċi, ammonijaka, aċidu nitriku, adipiku, gliossali u gliossiliku, qbid ta’ CO</w:t>
                      </w:r>
                      <w:r>
                        <w:rPr>
                          <w:rFonts w:ascii="Times New Roman" w:hAnsi="Times New Roman"/>
                          <w:sz w:val="24"/>
                          <w:szCs w:val="24"/>
                          <w:vertAlign w:val="subscript"/>
                        </w:rPr>
                        <w:t>2</w:t>
                      </w:r>
                      <w:r>
                        <w:rPr>
                          <w:rFonts w:ascii="Times New Roman" w:hAnsi="Times New Roman"/>
                          <w:sz w:val="24"/>
                          <w:szCs w:val="24"/>
                        </w:rPr>
                        <w:t>, trasport f’pipelines u ħżin ġeoloġiku ta’ CO</w:t>
                      </w:r>
                      <w:r>
                        <w:rPr>
                          <w:rFonts w:ascii="Times New Roman" w:hAnsi="Times New Roman"/>
                          <w:sz w:val="24"/>
                          <w:szCs w:val="24"/>
                          <w:vertAlign w:val="subscript"/>
                        </w:rPr>
                        <w:t>2</w:t>
                      </w:r>
                      <w:r>
                        <w:rPr>
                          <w:rFonts w:ascii="Times New Roman" w:hAnsi="Times New Roman"/>
                          <w:sz w:val="24"/>
                          <w:szCs w:val="24"/>
                        </w:rPr>
                        <w:t xml:space="preserve">. </w:t>
                      </w:r>
                    </w:p>
                    <w:p>
                      <w:pPr>
                        <w:jc w:val="both"/>
                        <w:rPr>
                          <w:rFonts w:ascii="Times New Roman" w:hAnsi="Times New Roman"/>
                          <w:sz w:val="24"/>
                          <w:szCs w:val="24"/>
                        </w:rPr>
                      </w:pPr>
                      <w:r>
                        <w:rPr>
                          <w:rFonts w:ascii="Times New Roman" w:hAnsi="Times New Roman"/>
                          <w:sz w:val="24"/>
                          <w:szCs w:val="24"/>
                        </w:rPr>
                        <w:t xml:space="preserve">Il-kamp ta' applikazzjoni tal-avjazzjoni tal-EU ETS kien limitat għal titjiriet fi ħdan iż-Żona Ekonomika Ewropea (ŻEE) fil-perjodu 2013-2016, biex jinżamm il-momentum fl-Organizzazzjoni tal-Avjazzjoni Ċivili Internazzjonali (ICAO) għal ftehim internazzjonali għall-kontroll tal-emissjonijiet ta’ gassijiet serra mill-avjazzjoni. Biex ikompli jiġi promoss il-momentum u tiġi ffaċilitata l-operazzjonalizzazzjoni tal-Iskema ta’ Kumpens u Tnaqqis tal-Karbonju għall-Avjazzjoni Internazzjonali (CORSIA) u sabiex tiġi ffaċilitata l-operazzjonalizzazzjoni tal-iskema, fl-2017 il-limitazzjoni għat-titjiriet intra-ŻEE ġiet estiża sal-2023 (ara l-Kapitolu 4). </w:t>
                      </w:r>
                    </w:p>
                    <w:p>
                      <w:pPr>
                        <w:jc w:val="both"/>
                        <w:rPr>
                          <w:rFonts w:ascii="Times New Roman" w:hAnsi="Times New Roman"/>
                          <w:sz w:val="24"/>
                          <w:szCs w:val="24"/>
                        </w:rPr>
                      </w:pPr>
                      <w:r>
                        <w:rPr>
                          <w:rFonts w:ascii="Times New Roman" w:hAnsi="Times New Roman"/>
                          <w:sz w:val="24"/>
                          <w:szCs w:val="24"/>
                        </w:rPr>
                        <w:t>L-EU ETS tkopri emissjonijiet ta’ diossidu tal-karbonju (CO</w:t>
                      </w:r>
                      <w:r>
                        <w:rPr>
                          <w:rFonts w:ascii="Times New Roman" w:hAnsi="Times New Roman"/>
                          <w:sz w:val="24"/>
                          <w:szCs w:val="24"/>
                          <w:vertAlign w:val="subscript"/>
                        </w:rPr>
                        <w:t>2</w:t>
                      </w:r>
                      <w:r>
                        <w:rPr>
                          <w:rFonts w:ascii="Times New Roman" w:hAnsi="Times New Roman"/>
                          <w:sz w:val="24"/>
                          <w:szCs w:val="24"/>
                        </w:rPr>
                        <w:t>), emissjonijiet ta’ ossidu nitruż (N</w:t>
                      </w:r>
                      <w:r>
                        <w:rPr>
                          <w:rFonts w:ascii="Times New Roman" w:hAnsi="Times New Roman"/>
                          <w:sz w:val="24"/>
                          <w:szCs w:val="24"/>
                          <w:vertAlign w:val="subscript"/>
                        </w:rPr>
                        <w:t>2</w:t>
                      </w:r>
                      <w:r>
                        <w:rPr>
                          <w:rFonts w:ascii="Times New Roman" w:hAnsi="Times New Roman"/>
                          <w:sz w:val="24"/>
                          <w:szCs w:val="24"/>
                        </w:rPr>
                        <w:t>O) mill-produzzjoni ta’ aċidu nitriku, adipiku, gliossali u gliossiliku u emissjonijiet ta’ perfluworokarburi (PFC) mill-produzzjoni tal-aluminju. Għalkemm il-parteċipazzjoni fl-EU ETS hija obbligatorja, f’xi setturi jiġu inklużi biss installazzjonijiet akbar minn ċertu daqs. Barra minn hekk, il-pajjiżi parteċipanti jistgħu jeskludu installazzjonijiet żgħar (li jarmu inqas minn 25 000 tunnellata ta’ CO</w:t>
                      </w:r>
                      <w:r>
                        <w:rPr>
                          <w:rFonts w:ascii="Times New Roman" w:hAnsi="Times New Roman"/>
                          <w:sz w:val="24"/>
                          <w:szCs w:val="24"/>
                          <w:vertAlign w:val="subscript"/>
                        </w:rPr>
                        <w:t>2e</w:t>
                      </w:r>
                      <w:r>
                        <w:rPr>
                          <w:rFonts w:ascii="Times New Roman" w:hAnsi="Times New Roman"/>
                          <w:sz w:val="24"/>
                          <w:szCs w:val="24"/>
                        </w:rPr>
                        <w:t>) mis-sistema jekk ikun hemm miżuri alternattivi u ekwivalenti fis-seħħ. Fil-fażi 4 (2021-2030), l-emittenti żgħar ħafna (b’emissjonijiet irrapportati ta’ inqas minn 2 500 tunnellata ta’ CO</w:t>
                      </w:r>
                      <w:r>
                        <w:rPr>
                          <w:rFonts w:ascii="Times New Roman" w:hAnsi="Times New Roman"/>
                          <w:sz w:val="24"/>
                          <w:szCs w:val="24"/>
                          <w:vertAlign w:val="subscript"/>
                        </w:rPr>
                        <w:t>2e</w:t>
                      </w:r>
                      <w:r>
                        <w:rPr>
                          <w:rFonts w:ascii="Times New Roman" w:hAnsi="Times New Roman"/>
                          <w:sz w:val="24"/>
                          <w:szCs w:val="24"/>
                        </w:rPr>
                        <w:t xml:space="preserve"> fl-aħħar tliet snin) jistgħu jiġu esklużi mill-EU ETS soġġett għall-eżistenza ta’ arranġamenti simplifikati ta’ monitoraġġ biex jivvalutaw il-kwantità tal-emissjonijiet tagħhom. Il-pajjiżi parteċipanti jistgħu jżidu wkoll aktar setturi u GHGs fl-EU ETS (l-hekk imsejħa “inklużjoni fakultattiva”).</w:t>
                      </w:r>
                    </w:p>
                    <w:p>
                      <w:pPr>
                        <w:jc w:val="both"/>
                        <w:rPr>
                          <w:rFonts w:ascii="Times New Roman" w:hAnsi="Times New Roman"/>
                          <w:sz w:val="18"/>
                          <w:szCs w:val="18"/>
                        </w:rPr>
                      </w:pPr>
                      <w:r>
                        <w:rPr>
                          <w:rFonts w:ascii="Times New Roman" w:hAnsi="Times New Roman"/>
                          <w:sz w:val="18"/>
                          <w:szCs w:val="18"/>
                        </w:rPr>
                        <w:t>* Informazzjoni dwar il-fażijiet 1 u 2 tal-EU ETS tinstab hawnhekk:</w:t>
                      </w:r>
                      <w:r>
                        <w:rPr>
                          <w:rFonts w:ascii="Times New Roman" w:hAnsi="Times New Roman"/>
                          <w:sz w:val="24"/>
                          <w:szCs w:val="24"/>
                        </w:rPr>
                        <w:t xml:space="preserve"> </w:t>
                      </w:r>
                      <w:hyperlink r:id="rId17" w:history="1">
                        <w:r>
                          <w:rPr>
                            <w:rStyle w:val="Hyperlink"/>
                            <w:rFonts w:ascii="Times New Roman" w:hAnsi="Times New Roman"/>
                            <w:sz w:val="18"/>
                            <w:szCs w:val="18"/>
                          </w:rPr>
                          <w:t>https://ec.europa.eu/clima/policies/ets/pre2013_en</w:t>
                        </w:r>
                      </w:hyperlink>
                      <w:r>
                        <w:rPr>
                          <w:rFonts w:ascii="Times New Roman" w:hAnsi="Times New Roman"/>
                          <w:sz w:val="18"/>
                          <w:szCs w:val="18"/>
                        </w:rPr>
                        <w:t xml:space="preserve"> </w:t>
                      </w:r>
                    </w:p>
                    <w:p>
                      <w:pPr>
                        <w:jc w:val="both"/>
                      </w:pPr>
                    </w:p>
                  </w:txbxContent>
                </v:textbox>
                <w10:anchorlock/>
              </v:shape>
            </w:pict>
          </mc:Fallback>
        </mc:AlternateContent>
      </w:r>
    </w:p>
    <w:p>
      <w:pPr>
        <w:jc w:val="both"/>
        <w:rPr>
          <w:rFonts w:ascii="Times New Roman" w:eastAsia="Times New Roman" w:hAnsi="Times New Roman"/>
          <w:bCs/>
          <w:noProof/>
          <w:kern w:val="32"/>
          <w:sz w:val="24"/>
          <w:szCs w:val="32"/>
        </w:rPr>
      </w:pPr>
      <w:r>
        <w:rPr>
          <w:rFonts w:ascii="Times New Roman" w:hAnsi="Times New Roman"/>
          <w:bCs/>
          <w:noProof/>
          <w:sz w:val="24"/>
          <w:szCs w:val="32"/>
        </w:rPr>
        <w:t>Skont ir-rapporti tal-Artikolu 21 ippreżentati mill-pajjiżi parteċipanti</w:t>
      </w:r>
      <w:r>
        <w:rPr>
          <w:rFonts w:ascii="Times New Roman" w:eastAsia="Times New Roman" w:hAnsi="Times New Roman"/>
          <w:bCs/>
          <w:noProof/>
          <w:kern w:val="32"/>
          <w:sz w:val="24"/>
          <w:szCs w:val="32"/>
          <w:vertAlign w:val="superscript"/>
        </w:rPr>
        <w:footnoteReference w:id="13"/>
      </w:r>
      <w:r>
        <w:rPr>
          <w:rFonts w:ascii="Times New Roman" w:hAnsi="Times New Roman"/>
          <w:bCs/>
          <w:noProof/>
          <w:sz w:val="24"/>
          <w:szCs w:val="32"/>
        </w:rPr>
        <w:t xml:space="preserve"> fl-2020, fl-2019 kien hemm total ta’ 10 569 installazzjoni koperta mill-ETS, bil-permess tal-ETS meħtieġ.</w:t>
      </w:r>
    </w:p>
    <w:p>
      <w:pPr>
        <w:jc w:val="both"/>
        <w:rPr>
          <w:rFonts w:ascii="Times New Roman" w:eastAsia="Times New Roman" w:hAnsi="Times New Roman"/>
          <w:bCs/>
          <w:noProof/>
          <w:kern w:val="32"/>
          <w:sz w:val="24"/>
          <w:szCs w:val="32"/>
        </w:rPr>
      </w:pPr>
      <w:r>
        <w:rPr>
          <w:rFonts w:ascii="Times New Roman" w:hAnsi="Times New Roman"/>
          <w:bCs/>
          <w:noProof/>
          <w:sz w:val="24"/>
          <w:szCs w:val="32"/>
        </w:rPr>
        <w:t>L-emissjonijiet mill-bijomassa użata mill-installazzjonijiet tal-ETS żdiedu b’4 % fl-2019 meta mqabbla mas-sena ta’ qabel, filwaqt li l-emissjonijiet mill-faħam naqsu bi 19 %, u dan ikkontribwixxa għat-tnaqqis sinifikanti ta’ 15 % fl-emissjonijiet mis-settur tal-enerġija. Fir-rigward tal-karburanti biss, u kif kien il-każ fis-snin preċedenti, il-karburanti maħruqa fl-EU ETS fl-2019 baqgħu fil-maġġor parti assoluta fossili. Madankollu, 29 pajjiż irrapportaw ukoll użu tal-bijomassa b’rabta mal-2 197 installazzjoni (20,8 % tal-installazzjonijiet kollha). Il-Litwanja rrappurtat l-ogħla perċentwal ta’ emissjonijiet mill-bijomassa meta mqabbla mal-emissjonijiet koperti mill-EU ETS għal kull pajjiż: 68 % Żewġ pajjiżi (LI u MT) ma rrapportaw l-ebda użu tal-bijomassa. Fl-2019, l-emissjonijiet totali mill-bijomassa ammontaw għal madwar 170 miljun tunnellata ta’ CO</w:t>
      </w:r>
      <w:r>
        <w:rPr>
          <w:rFonts w:ascii="Times New Roman" w:hAnsi="Times New Roman"/>
          <w:bCs/>
          <w:noProof/>
          <w:sz w:val="24"/>
          <w:szCs w:val="32"/>
          <w:vertAlign w:val="subscript"/>
        </w:rPr>
        <w:t>2</w:t>
      </w:r>
      <w:r>
        <w:rPr>
          <w:rFonts w:ascii="Times New Roman" w:hAnsi="Times New Roman"/>
          <w:bCs/>
          <w:noProof/>
          <w:sz w:val="24"/>
          <w:szCs w:val="32"/>
        </w:rPr>
        <w:t xml:space="preserve"> (11 % tal-emissjonijiet irrapportati tal-ETS), żieda ċara mill-145 miljun tunnellata ta’ CO</w:t>
      </w:r>
      <w:r>
        <w:rPr>
          <w:rFonts w:ascii="Times New Roman" w:hAnsi="Times New Roman"/>
          <w:bCs/>
          <w:noProof/>
          <w:sz w:val="24"/>
          <w:szCs w:val="32"/>
          <w:vertAlign w:val="subscript"/>
        </w:rPr>
        <w:t>2</w:t>
      </w:r>
      <w:r>
        <w:rPr>
          <w:rFonts w:ascii="Times New Roman" w:hAnsi="Times New Roman"/>
          <w:bCs/>
          <w:noProof/>
          <w:sz w:val="24"/>
          <w:szCs w:val="32"/>
        </w:rPr>
        <w:t xml:space="preserve"> fl-2018 (8 % tal-emissjonijiet irrapportati tal-ETS). Minn dawn, 99,2 % ġew ikklassifikati b’rata żero</w:t>
      </w:r>
      <w:r>
        <w:rPr>
          <w:rFonts w:ascii="Times New Roman" w:eastAsia="Times New Roman" w:hAnsi="Times New Roman"/>
          <w:bCs/>
          <w:noProof/>
          <w:kern w:val="32"/>
          <w:sz w:val="24"/>
          <w:szCs w:val="32"/>
          <w:vertAlign w:val="superscript"/>
        </w:rPr>
        <w:footnoteReference w:id="14"/>
      </w:r>
      <w:r>
        <w:rPr>
          <w:rFonts w:ascii="Times New Roman" w:hAnsi="Times New Roman"/>
          <w:bCs/>
          <w:noProof/>
          <w:sz w:val="24"/>
          <w:szCs w:val="32"/>
        </w:rPr>
        <w:t>. Fl-2019, għall-ewwel darba ġie rrappurtat li jintuża ammont żgħir ta’ bijofjuwil. Żewġ operaturi tal-inġenji tal-ajru (wieħed fil-DE u wieħed fl-SE) irrapportaw li jkopru 0,01 % tal-emissjonijiet tal-avjazzjoni tal-ETS tal-2019.</w:t>
      </w:r>
    </w:p>
    <w:p>
      <w:pPr>
        <w:jc w:val="both"/>
        <w:rPr>
          <w:rFonts w:ascii="Times New Roman" w:eastAsia="Times New Roman" w:hAnsi="Times New Roman"/>
          <w:bCs/>
          <w:noProof/>
          <w:kern w:val="32"/>
          <w:sz w:val="24"/>
          <w:szCs w:val="32"/>
        </w:rPr>
      </w:pPr>
      <w:r>
        <w:rPr>
          <w:rFonts w:ascii="Times New Roman" w:hAnsi="Times New Roman"/>
          <w:bCs/>
          <w:noProof/>
          <w:sz w:val="24"/>
          <w:szCs w:val="32"/>
        </w:rPr>
        <w:t>Fil-kategoriji ta’ installazzjoni bbażati fuq l-emissjonijiet annwali</w:t>
      </w:r>
      <w:r>
        <w:rPr>
          <w:rFonts w:ascii="Times New Roman" w:eastAsia="Times New Roman" w:hAnsi="Times New Roman"/>
          <w:bCs/>
          <w:noProof/>
          <w:kern w:val="32"/>
          <w:sz w:val="24"/>
          <w:szCs w:val="32"/>
          <w:vertAlign w:val="superscript"/>
        </w:rPr>
        <w:footnoteReference w:id="15"/>
      </w:r>
      <w:r>
        <w:rPr>
          <w:rFonts w:ascii="Times New Roman" w:hAnsi="Times New Roman"/>
          <w:bCs/>
          <w:noProof/>
          <w:sz w:val="24"/>
          <w:szCs w:val="32"/>
        </w:rPr>
        <w:t>, id-</w:t>
      </w:r>
      <w:r>
        <w:rPr>
          <w:rFonts w:ascii="Times New Roman" w:hAnsi="Times New Roman"/>
          <w:bCs/>
          <w:i/>
          <w:noProof/>
          <w:sz w:val="24"/>
          <w:szCs w:val="32"/>
        </w:rPr>
        <w:t>data</w:t>
      </w:r>
      <w:r>
        <w:rPr>
          <w:rFonts w:ascii="Times New Roman" w:hAnsi="Times New Roman"/>
          <w:bCs/>
          <w:noProof/>
          <w:sz w:val="24"/>
          <w:szCs w:val="32"/>
        </w:rPr>
        <w:t xml:space="preserve"> għall-2019 turi li, bħal fis-snin preċedenti, 72 % tal-installazzjonijiet huma tal-kategorija A, 21 % huma tal-kategorija B u 7 % huma tal-kategorija C. 6 053 installazzjoni ġew irrapportati bħala “installazzjonijiet b’emissjonijiet baxxi”</w:t>
      </w:r>
      <w:r>
        <w:rPr>
          <w:rFonts w:ascii="Times New Roman" w:eastAsia="Times New Roman" w:hAnsi="Times New Roman"/>
          <w:bCs/>
          <w:noProof/>
          <w:kern w:val="32"/>
          <w:sz w:val="24"/>
          <w:szCs w:val="32"/>
          <w:vertAlign w:val="superscript"/>
        </w:rPr>
        <w:footnoteReference w:id="16"/>
      </w:r>
      <w:r>
        <w:rPr>
          <w:rFonts w:ascii="Times New Roman" w:hAnsi="Times New Roman"/>
          <w:bCs/>
          <w:noProof/>
          <w:sz w:val="24"/>
          <w:szCs w:val="32"/>
        </w:rPr>
        <w:t xml:space="preserve"> (57 % tat-total). </w:t>
      </w:r>
    </w:p>
    <w:p>
      <w:pPr>
        <w:jc w:val="both"/>
        <w:rPr>
          <w:rFonts w:ascii="Times New Roman" w:eastAsia="Times New Roman" w:hAnsi="Times New Roman"/>
          <w:bCs/>
          <w:noProof/>
          <w:kern w:val="32"/>
          <w:sz w:val="24"/>
          <w:szCs w:val="32"/>
        </w:rPr>
      </w:pPr>
      <w:r>
        <w:rPr>
          <w:rFonts w:ascii="Times New Roman" w:hAnsi="Times New Roman"/>
          <w:bCs/>
          <w:noProof/>
          <w:sz w:val="24"/>
          <w:szCs w:val="32"/>
        </w:rPr>
        <w:t>Rigward l-attivitajiet tal-EU ETS elenkati b’mod addizzjonali għal emissjonijiet mhux tas-CO</w:t>
      </w:r>
      <w:r>
        <w:rPr>
          <w:rFonts w:ascii="Times New Roman" w:hAnsi="Times New Roman"/>
          <w:bCs/>
          <w:noProof/>
          <w:sz w:val="24"/>
          <w:szCs w:val="32"/>
          <w:vertAlign w:val="subscript"/>
        </w:rPr>
        <w:t>2</w:t>
      </w:r>
      <w:r>
        <w:rPr>
          <w:rFonts w:ascii="Times New Roman" w:hAnsi="Times New Roman"/>
          <w:bCs/>
          <w:noProof/>
          <w:sz w:val="24"/>
          <w:szCs w:val="32"/>
        </w:rPr>
        <w:t>, hemm rapporti ta’ permessi maħruġa fi 13-il pajjiż għall-aluminju primarju u għall-perfluworokarburi (PFCs) (DE, FR, EL, ES, IS, IT, NL, NO, RO, SE, SI, SK u UK), filwaqt li għall-produzzjoni ta’ aċidu nitriku u N</w:t>
      </w:r>
      <w:r>
        <w:rPr>
          <w:rFonts w:ascii="Times New Roman" w:hAnsi="Times New Roman"/>
          <w:bCs/>
          <w:noProof/>
          <w:sz w:val="24"/>
          <w:szCs w:val="32"/>
          <w:vertAlign w:val="subscript"/>
        </w:rPr>
        <w:t>2</w:t>
      </w:r>
      <w:r>
        <w:rPr>
          <w:rFonts w:ascii="Times New Roman" w:hAnsi="Times New Roman"/>
          <w:bCs/>
          <w:noProof/>
          <w:sz w:val="24"/>
          <w:szCs w:val="32"/>
        </w:rPr>
        <w:t>O hemm rapporti ta’ permessi maħruġa f’21 pajjiż (bl-eċċezzjonijiet li huma CY, DK, EE, IE, IS, LI, LU, LV, MT, u SI). Is-setturi l-oħrajn tal-N</w:t>
      </w:r>
      <w:r>
        <w:rPr>
          <w:rFonts w:ascii="Times New Roman" w:hAnsi="Times New Roman"/>
          <w:bCs/>
          <w:noProof/>
          <w:sz w:val="24"/>
          <w:szCs w:val="32"/>
          <w:vertAlign w:val="subscript"/>
        </w:rPr>
        <w:t>2</w:t>
      </w:r>
      <w:r>
        <w:rPr>
          <w:rFonts w:ascii="Times New Roman" w:hAnsi="Times New Roman"/>
          <w:bCs/>
          <w:noProof/>
          <w:sz w:val="24"/>
          <w:szCs w:val="32"/>
        </w:rPr>
        <w:t>O – il-produzzjoni ta’ aċidu adipiku u l-produzzjoni ta’ aċidu gliossali u gliossiliku huma rrapportati fi tliet pajjiżi (DE, FR u IT) u f’żewġ pajjiżi (DE u FR), rispettivament. In-Norveġja u l-Awstrija biss iddikjaraw attivitajiet għall-qbid u għall-ħżin tas-CO</w:t>
      </w:r>
      <w:r>
        <w:rPr>
          <w:rFonts w:ascii="Times New Roman" w:hAnsi="Times New Roman"/>
          <w:bCs/>
          <w:noProof/>
          <w:sz w:val="24"/>
          <w:szCs w:val="32"/>
          <w:vertAlign w:val="subscript"/>
        </w:rPr>
        <w:t>2</w:t>
      </w:r>
      <w:r>
        <w:rPr>
          <w:rFonts w:ascii="Times New Roman" w:hAnsi="Times New Roman"/>
          <w:bCs/>
          <w:noProof/>
          <w:sz w:val="24"/>
          <w:szCs w:val="32"/>
        </w:rPr>
        <w:t>.</w:t>
      </w:r>
    </w:p>
    <w:p>
      <w:pPr>
        <w:jc w:val="both"/>
        <w:rPr>
          <w:rFonts w:ascii="Times New Roman" w:eastAsia="Times New Roman" w:hAnsi="Times New Roman"/>
          <w:bCs/>
          <w:noProof/>
          <w:kern w:val="32"/>
          <w:sz w:val="24"/>
          <w:szCs w:val="32"/>
        </w:rPr>
      </w:pPr>
      <w:r>
        <w:rPr>
          <w:rFonts w:ascii="Times New Roman" w:hAnsi="Times New Roman"/>
          <w:bCs/>
          <w:noProof/>
          <w:sz w:val="24"/>
          <w:szCs w:val="32"/>
        </w:rPr>
        <w:t>Bħal fis-sena ta’ qabel, seba’ pajjiżi (ES, FR, HR, IS, IT, SI u UK) użaw il-possibbiltà li jeskludu l-emittenti żgħar mill-EU ETS f’konformità mal-Artikolu 27 tad-Direttiva dwar l-EU ETS. L-emissjonijiet esklużi għall-2019 ammontaw għal 3,81 miljun tunnellata ta’ CO</w:t>
      </w:r>
      <w:r>
        <w:rPr>
          <w:rFonts w:ascii="Times New Roman" w:hAnsi="Times New Roman"/>
          <w:bCs/>
          <w:noProof/>
          <w:sz w:val="24"/>
          <w:szCs w:val="32"/>
          <w:vertAlign w:val="subscript"/>
        </w:rPr>
        <w:t>2</w:t>
      </w:r>
      <w:r>
        <w:rPr>
          <w:rFonts w:ascii="Times New Roman" w:hAnsi="Times New Roman"/>
          <w:bCs/>
          <w:noProof/>
          <w:sz w:val="24"/>
          <w:szCs w:val="32"/>
        </w:rPr>
        <w:t xml:space="preserve"> (madwar 0,25 % tal-emissjonijiet totali tal-EU ETS stazzjonarji, meta mqabbla ma’ 0,17 % is-sena ta’ qabel).</w:t>
      </w:r>
    </w:p>
    <w:p>
      <w:pPr>
        <w:jc w:val="both"/>
        <w:rPr>
          <w:rFonts w:ascii="Times New Roman" w:eastAsia="Times New Roman" w:hAnsi="Times New Roman"/>
          <w:bCs/>
          <w:noProof/>
          <w:kern w:val="32"/>
          <w:sz w:val="24"/>
          <w:szCs w:val="32"/>
        </w:rPr>
      </w:pPr>
      <w:r>
        <w:rPr>
          <w:rFonts w:ascii="Times New Roman" w:hAnsi="Times New Roman"/>
          <w:bCs/>
          <w:noProof/>
          <w:sz w:val="24"/>
          <w:szCs w:val="32"/>
        </w:rPr>
        <w:t>Skont is-sottomissjonijiet tal-Artikolu 21 fl-2020, bħal fis-snin preċedenti, s’issa tmien pajjiżi (BE, DK, FR, HR, HU, LI, LT u NL) ħadu vantaġġ mid-dispożizzjoni offruta mill-Artikolu 13 tar-Regolament dwar il-Monitoraġġ u r-Rapportar (MRR)</w:t>
      </w:r>
      <w:r>
        <w:rPr>
          <w:rFonts w:ascii="Times New Roman" w:eastAsia="Times New Roman" w:hAnsi="Times New Roman"/>
          <w:bCs/>
          <w:noProof/>
          <w:kern w:val="32"/>
          <w:sz w:val="24"/>
          <w:szCs w:val="32"/>
          <w:vertAlign w:val="superscript"/>
        </w:rPr>
        <w:footnoteReference w:id="17"/>
      </w:r>
      <w:r>
        <w:rPr>
          <w:rFonts w:ascii="Times New Roman" w:hAnsi="Times New Roman"/>
          <w:bCs/>
          <w:noProof/>
          <w:sz w:val="24"/>
          <w:szCs w:val="32"/>
        </w:rPr>
        <w:t xml:space="preserve"> li jawtorizzaw l-użu ta’ pjanijiet simplifikati ta’ monitoraġġ f’każijiet ta’ riskju baxx għal installazzjonijiet stazzjonarji. Fil-każ tal-operaturi ta’ inġenji tal-ajru b’emissjonijiet baxxi, żewġ pajjiżi rrapportaw l-użu ta’ din id-dispożizzjoni għall-2019 (BE u IS).</w:t>
      </w:r>
    </w:p>
    <w:p>
      <w:pPr>
        <w:jc w:val="both"/>
        <w:rPr>
          <w:rFonts w:ascii="Times New Roman" w:eastAsia="Times New Roman" w:hAnsi="Times New Roman"/>
          <w:b/>
          <w:bCs/>
          <w:noProof/>
          <w:kern w:val="32"/>
          <w:sz w:val="24"/>
          <w:szCs w:val="32"/>
        </w:rPr>
      </w:pPr>
      <w:r>
        <w:rPr>
          <w:rFonts w:ascii="Times New Roman" w:hAnsi="Times New Roman"/>
          <w:bCs/>
          <w:noProof/>
          <w:sz w:val="24"/>
          <w:szCs w:val="32"/>
        </w:rPr>
        <w:t>Fl-2019, 611-il operatur tal-inġenji tal-ajru ġew irrappurtati li għandhom pjan ta’ monitoraġġ (7 % inqas mill-2018). 50 % (308) tal-operaturi rrapportati kienu kummerċjali, filwaqt li</w:t>
      </w:r>
      <w:r>
        <w:rPr>
          <w:rFonts w:ascii="Times New Roman" w:hAnsi="Times New Roman"/>
          <w:b/>
          <w:bCs/>
          <w:noProof/>
          <w:sz w:val="24"/>
          <w:szCs w:val="32"/>
        </w:rPr>
        <w:t xml:space="preserve"> </w:t>
      </w:r>
      <w:r>
        <w:rPr>
          <w:rFonts w:ascii="Times New Roman" w:hAnsi="Times New Roman"/>
          <w:bCs/>
          <w:noProof/>
          <w:sz w:val="24"/>
          <w:szCs w:val="32"/>
        </w:rPr>
        <w:t>l-50 % l-oħra (303) ma kinux kummerċjali.</w:t>
      </w:r>
      <w:r>
        <w:rPr>
          <w:rFonts w:ascii="Times New Roman" w:eastAsia="Times New Roman" w:hAnsi="Times New Roman"/>
          <w:bCs/>
          <w:noProof/>
          <w:kern w:val="32"/>
          <w:sz w:val="24"/>
          <w:szCs w:val="32"/>
          <w:vertAlign w:val="superscript"/>
        </w:rPr>
        <w:footnoteReference w:id="18"/>
      </w:r>
      <w:r>
        <w:rPr>
          <w:rFonts w:ascii="Times New Roman" w:hAnsi="Times New Roman"/>
          <w:bCs/>
          <w:noProof/>
          <w:sz w:val="24"/>
          <w:szCs w:val="32"/>
        </w:rPr>
        <w:t xml:space="preserve"> Total ta’ 262 (43 %) ikkwalifikaw bħala emittenti żgħar (meta mqabbla ma’ 287 (44 %) fl-2018).</w:t>
      </w:r>
      <w:r>
        <w:rPr>
          <w:rFonts w:ascii="Times New Roman" w:hAnsi="Times New Roman"/>
          <w:b/>
          <w:bCs/>
          <w:noProof/>
          <w:sz w:val="24"/>
          <w:szCs w:val="32"/>
        </w:rPr>
        <w:t xml:space="preserve"> </w:t>
      </w:r>
      <w:bookmarkEnd w:id="9"/>
      <w:bookmarkEnd w:id="10"/>
    </w:p>
    <w:p>
      <w:pPr>
        <w:pStyle w:val="Heading1"/>
        <w:spacing w:before="0" w:after="200"/>
        <w:rPr>
          <w:noProof/>
        </w:rPr>
      </w:pPr>
      <w:bookmarkStart w:id="11" w:name="_Toc426378556"/>
      <w:bookmarkStart w:id="12" w:name="_Toc490850421"/>
      <w:bookmarkStart w:id="13" w:name="_Toc519009677"/>
      <w:bookmarkStart w:id="14" w:name="_Toc56000791"/>
      <w:bookmarkEnd w:id="11"/>
      <w:r>
        <w:rPr>
          <w:noProof/>
        </w:rPr>
        <w:t>2.2 Ir-Reġistru tal-Unjoni u r-Reġistru tat-Tranżazzjonijiet tal-Unjoni Ewropea (EUTL)</w:t>
      </w:r>
      <w:bookmarkEnd w:id="12"/>
      <w:bookmarkEnd w:id="13"/>
      <w:bookmarkEnd w:id="14"/>
    </w:p>
    <w:p>
      <w:pPr>
        <w:jc w:val="both"/>
        <w:rPr>
          <w:rFonts w:ascii="Times New Roman" w:hAnsi="Times New Roman"/>
          <w:noProof/>
          <w:sz w:val="24"/>
          <w:szCs w:val="24"/>
        </w:rPr>
      </w:pPr>
      <w:r>
        <w:rPr>
          <w:rFonts w:ascii="Times New Roman" w:hAnsi="Times New Roman"/>
          <w:noProof/>
          <w:sz w:val="24"/>
          <w:szCs w:val="24"/>
          <w:lang w:val="en-GB" w:eastAsia="en-GB"/>
        </w:rPr>
        <mc:AlternateContent>
          <mc:Choice Requires="wps">
            <w:drawing>
              <wp:inline distT="0" distB="0" distL="0" distR="0">
                <wp:extent cx="5727802" cy="3771900"/>
                <wp:effectExtent l="0" t="0" r="25400"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802" cy="3771900"/>
                        </a:xfrm>
                        <a:prstGeom prst="rect">
                          <a:avLst/>
                        </a:prstGeom>
                        <a:solidFill>
                          <a:schemeClr val="bg1">
                            <a:lumMod val="85000"/>
                          </a:schemeClr>
                        </a:solidFill>
                        <a:ln w="12700" cmpd="sng">
                          <a:solidFill>
                            <a:srgbClr val="000000">
                              <a:alpha val="70000"/>
                            </a:srgbClr>
                          </a:solidFill>
                          <a:miter lim="800000"/>
                          <a:headEnd/>
                          <a:tailEnd/>
                        </a:ln>
                      </wps:spPr>
                      <wps:txbx>
                        <w:txbxContent>
                          <w:p>
                            <w:pPr>
                              <w:jc w:val="both"/>
                              <w:rPr>
                                <w:rFonts w:ascii="Times New Roman" w:hAnsi="Times New Roman"/>
                                <w:sz w:val="24"/>
                                <w:szCs w:val="24"/>
                              </w:rPr>
                            </w:pPr>
                            <w:r>
                              <w:rPr>
                                <w:rFonts w:ascii="Times New Roman" w:hAnsi="Times New Roman"/>
                                <w:sz w:val="24"/>
                                <w:szCs w:val="24"/>
                              </w:rPr>
                              <w:t xml:space="preserve">Ir-Reġistru tal-Unjoni u r-Reġistru tat-Tranżazzjonijiet tal-Unjoni Ewropea (EUTL) jintraċċaw is-sidien tal-kwoti ġenerali u dawk tal-avjazzjoni u t-tranżazzjonijiet billi jirreġistraw l-ammonti miżmuma fil-kontijiet u t-tranżazzjonijiet bejn il-kontijiet. Barra minn hekk, dawn is-sistemi jirreġistraw l-emissjonijiet ta’ installazzjonijiet stazzjonarji u ta’ operaturi ta’ inġenji tal-ajru, u l-konformità mal-obbligi li jirriżultaw minn dawn l-emissjonijiet. Iż-żewġ sistemi jitħaddmu u jinżammu mill-Kummissjoni, filwaqt li l-amministraturi tar-reġistru nazzjonali fil-pajjiżi parteċipanti jibqgħu jkunu l-punt ta’ kuntatt għad-detenturi u r-rappreżentanti tal-kontijiet (kumpaniji jew persuni fiżiċi). Filwaqt li r-Reġistru tal-Unjoni jżomm kontijiet u jirreġistra informazzjoni dwar il-konformità, l-EUTL jivverifika, jirreġistra u jawtorizza awtomatikament it-tranżazzjonijiet kollha bejn il-kontijiet, u b’hekk jiżgura li t-trasferimenti kollha jikkonformaw mar-regoli tal-EU ETS. </w:t>
                            </w:r>
                          </w:p>
                          <w:p>
                            <w:pPr>
                              <w:shd w:val="clear" w:color="auto" w:fill="D9D9D9" w:themeFill="background1" w:themeFillShade="D9"/>
                              <w:jc w:val="both"/>
                              <w:rPr>
                                <w:rFonts w:ascii="Times New Roman" w:hAnsi="Times New Roman"/>
                                <w:sz w:val="24"/>
                                <w:szCs w:val="24"/>
                              </w:rPr>
                            </w:pPr>
                            <w:r>
                              <w:rPr>
                                <w:rFonts w:ascii="Times New Roman" w:hAnsi="Times New Roman"/>
                                <w:sz w:val="24"/>
                                <w:szCs w:val="24"/>
                              </w:rPr>
                              <w:t>Id-</w:t>
                            </w:r>
                            <w:r>
                              <w:rPr>
                                <w:rFonts w:ascii="Times New Roman" w:hAnsi="Times New Roman"/>
                                <w:i/>
                                <w:sz w:val="24"/>
                                <w:szCs w:val="24"/>
                              </w:rPr>
                              <w:t>data</w:t>
                            </w:r>
                            <w:r>
                              <w:rPr>
                                <w:rFonts w:ascii="Times New Roman" w:hAnsi="Times New Roman"/>
                                <w:sz w:val="24"/>
                                <w:szCs w:val="24"/>
                              </w:rPr>
                              <w:t xml:space="preserve"> rreġistrata fir-Reġistru tal-Unjoni u l-EUTL hija sors importanti ta’ informazzjoni għal diversi tipi ta’ rapportar dwar l-ETS, bħall-kalkolu tal-indikatur tal-eċċess tar-Riżerva tal-Istabbiltà tas-Suq (ara l-Kapitolu 3.3) u r-rapportar magħmul mill-Aġenzija Ewropea għall-Ambjent (EEA). L-EUTL jipprovdi wkoll trasparenza fl-EU ETS, bil-pubblikazzjoni* ta’ informazzjoni dwar il-konformità tal-installazzjonijiet stazzjonarji u tal-operaturi tal-inġenji tal-ajru mad-dispożizzjonijiet tal-ETS u dwar it-tranżazzjonijiet bejn il-kontijiet.</w:t>
                            </w:r>
                          </w:p>
                          <w:p>
                            <w:pPr>
                              <w:shd w:val="clear" w:color="auto" w:fill="D9D9D9" w:themeFill="background1" w:themeFillShade="D9"/>
                              <w:jc w:val="both"/>
                              <w:rPr>
                                <w:rFonts w:ascii="Times New Roman" w:hAnsi="Times New Roman"/>
                                <w:sz w:val="24"/>
                                <w:szCs w:val="24"/>
                              </w:rPr>
                            </w:pPr>
                            <w:r>
                              <w:rPr>
                                <w:rFonts w:ascii="Times New Roman" w:hAnsi="Times New Roman"/>
                                <w:sz w:val="18"/>
                                <w:szCs w:val="18"/>
                              </w:rPr>
                              <w:t>* L-informazzjoni ppubblikata mill-EUTL tista’ tinstab fuq: https://ec.europa.eu/clima/ets/</w:t>
                            </w:r>
                          </w:p>
                          <w:p/>
                        </w:txbxContent>
                      </wps:txbx>
                      <wps:bodyPr rot="0" vert="horz" wrap="square" lIns="91440" tIns="45720" rIns="91440" bIns="45720" anchor="t" anchorCtr="0">
                        <a:noAutofit/>
                      </wps:bodyPr>
                    </wps:wsp>
                  </a:graphicData>
                </a:graphic>
              </wp:inline>
            </w:drawing>
          </mc:Choice>
          <mc:Fallback>
            <w:pict>
              <v:shape id="_x0000_s1027" type="#_x0000_t202" style="width:451pt;height:2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" fillcolor="#d8d8d8 [2732]" strokeweight="1pt">
                <v:stroke opacity="46003f"/>
                <v:textbox>
                  <w:txbxContent>
                    <w:p>
                      <w:pPr>
                        <w:jc w:val="both"/>
                        <w:rPr>
                          <w:rFonts w:ascii="Times New Roman" w:hAnsi="Times New Roman"/>
                          <w:sz w:val="24"/>
                          <w:szCs w:val="24"/>
                        </w:rPr>
                      </w:pPr>
                      <w:r>
                        <w:rPr>
                          <w:rFonts w:ascii="Times New Roman" w:hAnsi="Times New Roman"/>
                          <w:sz w:val="24"/>
                          <w:szCs w:val="24"/>
                        </w:rPr>
                        <w:t xml:space="preserve">Ir-Reġistru tal-Unjoni u r-Reġistru tat-Tranżazzjonijiet tal-Unjoni Ewropea (EUTL) jintraċċaw is-sidien tal-kwoti ġenerali u dawk tal-avjazzjoni u t-tranżazzjonijiet billi jirreġistraw l-ammonti miżmuma fil-kontijiet u t-tranżazzjonijiet bejn il-kontijiet. Barra minn hekk, dawn is-sistemi jirreġistraw l-emissjonijiet ta’ installazzjonijiet stazzjonarji u ta’ operaturi ta’ inġenji tal-ajru, u l-konformità mal-obbligi li jirriżultaw minn dawn l-emissjonijiet. Iż-żewġ sistemi jitħaddmu u jinżammu mill-Kummissjoni, filwaqt li l-amministraturi tar-reġistru nazzjonali fil-pajjiżi parteċipanti jibqgħu jkunu l-punt ta’ kuntatt għad-detenturi u r-rappreżentanti tal-kontijiet (kumpaniji jew persuni fiżiċi). Filwaqt li r-Reġistru tal-Unjoni jżomm kontijiet u jirreġistra informazzjoni dwar il-konformità, l-EUTL jivverifika, jirreġistra u jawtorizza awtomatikament it-tranżazzjonijiet kollha bejn il-kontijiet, u b’hekk jiżgura li t-trasferimenti kollha jikkonformaw mar-regoli tal-EU ETS. </w:t>
                      </w:r>
                    </w:p>
                    <w:p>
                      <w:pPr>
                        <w:shd w:val="clear" w:color="auto" w:fill="D9D9D9" w:themeFill="background1" w:themeFillShade="D9"/>
                        <w:jc w:val="both"/>
                        <w:rPr>
                          <w:rFonts w:ascii="Times New Roman" w:hAnsi="Times New Roman"/>
                          <w:sz w:val="24"/>
                          <w:szCs w:val="24"/>
                        </w:rPr>
                      </w:pPr>
                      <w:r>
                        <w:rPr>
                          <w:rFonts w:ascii="Times New Roman" w:hAnsi="Times New Roman"/>
                          <w:sz w:val="24"/>
                          <w:szCs w:val="24"/>
                        </w:rPr>
                        <w:t>Id-</w:t>
                      </w:r>
                      <w:r>
                        <w:rPr>
                          <w:rFonts w:ascii="Times New Roman" w:hAnsi="Times New Roman"/>
                          <w:i/>
                          <w:sz w:val="24"/>
                          <w:szCs w:val="24"/>
                        </w:rPr>
                        <w:t>data</w:t>
                      </w:r>
                      <w:r>
                        <w:rPr>
                          <w:rFonts w:ascii="Times New Roman" w:hAnsi="Times New Roman"/>
                          <w:sz w:val="24"/>
                          <w:szCs w:val="24"/>
                        </w:rPr>
                        <w:t xml:space="preserve"> rreġistrata fir-Reġistru tal-Unjoni u l-EUTL hija sors importanti ta’ informazzjoni għal diversi tipi ta’ rapportar dwar l-ETS, bħall-kalkolu tal-indikatur tal-eċċess tar-Riżerva tal-Istabbiltà tas-Suq (ara l-Kapitolu 3.3) u r-rapportar magħmul mill-Aġenzija Ewropea għall-Ambjent (EEA). L-EUTL jipprovdi wkoll trasparenza fl-EU ETS, bil-pubblikazzjoni* ta’ informazzjoni dwar il-konformità tal-installazzjonijiet stazzjonarji u tal-operaturi tal-inġenji tal-ajru mad-dispożizzjonijiet tal-ETS u dwar it-tranżazzjonijiet bejn il-kontijiet.</w:t>
                      </w:r>
                    </w:p>
                    <w:p>
                      <w:pPr>
                        <w:shd w:val="clear" w:color="auto" w:fill="D9D9D9" w:themeFill="background1" w:themeFillShade="D9"/>
                        <w:jc w:val="both"/>
                        <w:rPr>
                          <w:rFonts w:ascii="Times New Roman" w:hAnsi="Times New Roman"/>
                          <w:sz w:val="24"/>
                          <w:szCs w:val="24"/>
                        </w:rPr>
                      </w:pPr>
                      <w:r>
                        <w:rPr>
                          <w:rFonts w:ascii="Times New Roman" w:hAnsi="Times New Roman"/>
                          <w:sz w:val="18"/>
                          <w:szCs w:val="18"/>
                        </w:rPr>
                        <w:t>* L-informazzjoni ppubblikata mill-EUTL tista’ tinstab fuq: https://ec.europa.eu/clima/ets/</w:t>
                      </w:r>
                    </w:p>
                    <w:p/>
                  </w:txbxContent>
                </v:textbox>
                <w10:anchorlock/>
              </v:shape>
            </w:pict>
          </mc:Fallback>
        </mc:AlternateContent>
      </w:r>
    </w:p>
    <w:p>
      <w:pPr>
        <w:jc w:val="both"/>
        <w:rPr>
          <w:rFonts w:ascii="Times New Roman" w:hAnsi="Times New Roman"/>
          <w:noProof/>
          <w:sz w:val="24"/>
          <w:szCs w:val="24"/>
        </w:rPr>
      </w:pPr>
      <w:r>
        <w:rPr>
          <w:rFonts w:ascii="Times New Roman" w:hAnsi="Times New Roman"/>
          <w:noProof/>
          <w:sz w:val="24"/>
          <w:szCs w:val="24"/>
        </w:rPr>
        <w:t>Ir-Reġistru tal-Unjoni, l-EUTL, u s-sit pubbliku tal-EUTL, kienu kompletament operazzjonali għal 365 ġurnata erbgħa u għoxrin siegħa kuljum matul l-2019, b’interruzzjonijiet żgħar biss li jammontaw għal total ta’ madwar 7 sigħat minħabba titjib tekniku.</w:t>
      </w:r>
    </w:p>
    <w:p>
      <w:pPr>
        <w:jc w:val="both"/>
        <w:rPr>
          <w:rFonts w:ascii="Times New Roman" w:hAnsi="Times New Roman"/>
          <w:noProof/>
          <w:sz w:val="24"/>
          <w:szCs w:val="24"/>
        </w:rPr>
      </w:pPr>
      <w:r>
        <w:rPr>
          <w:rFonts w:ascii="Times New Roman" w:hAnsi="Times New Roman"/>
          <w:noProof/>
          <w:sz w:val="24"/>
          <w:szCs w:val="24"/>
        </w:rPr>
        <w:t>Mill-1 ta’ Jannar 2019, il-Kummissjoni ssospendiet</w:t>
      </w:r>
      <w:r>
        <w:rPr>
          <w:rFonts w:ascii="Times New Roman" w:hAnsi="Times New Roman"/>
          <w:noProof/>
          <w:sz w:val="24"/>
          <w:szCs w:val="24"/>
          <w:vertAlign w:val="superscript"/>
        </w:rPr>
        <w:footnoteReference w:id="19"/>
      </w:r>
      <w:r>
        <w:rPr>
          <w:rFonts w:ascii="Times New Roman" w:hAnsi="Times New Roman"/>
          <w:noProof/>
          <w:sz w:val="24"/>
          <w:szCs w:val="24"/>
        </w:rPr>
        <w:t xml:space="preserve"> il-proċessi kollha għar-Renju Unit relatati mal-allokazzjoni mingħajr ħlas, l-irkantar u l-iskambju ta’ krediti internazzjonali, skont il-miżuri ta’ salvagwardja</w:t>
      </w:r>
      <w:r>
        <w:rPr>
          <w:rFonts w:ascii="Times New Roman" w:hAnsi="Times New Roman"/>
          <w:noProof/>
          <w:sz w:val="24"/>
          <w:szCs w:val="24"/>
          <w:vertAlign w:val="superscript"/>
        </w:rPr>
        <w:footnoteReference w:id="20"/>
      </w:r>
      <w:r>
        <w:rPr>
          <w:rFonts w:ascii="Times New Roman" w:hAnsi="Times New Roman"/>
          <w:noProof/>
          <w:sz w:val="24"/>
          <w:szCs w:val="24"/>
        </w:rPr>
        <w:t xml:space="preserve"> biex titħares l-integrità ambjentali tal-EU ETS f’każijiet fejn il-liġi tal-UE ma tibqax tapplika għal Stat Membru li jirtira mill-UE. Din is-sospensjoni tneħħiet awtomatikament fl-1 ta’ Frar 2020, meta daħal fis-seħħ il-Ftehim dwar il-ħruġ tar-Renju Unit</w:t>
      </w:r>
      <w:r>
        <w:rPr>
          <w:rFonts w:ascii="Times New Roman" w:hAnsi="Times New Roman"/>
          <w:noProof/>
          <w:sz w:val="24"/>
          <w:szCs w:val="24"/>
          <w:vertAlign w:val="superscript"/>
        </w:rPr>
        <w:footnoteReference w:id="21"/>
      </w:r>
      <w:r>
        <w:rPr>
          <w:rFonts w:ascii="Times New Roman" w:hAnsi="Times New Roman"/>
          <w:noProof/>
          <w:sz w:val="24"/>
          <w:szCs w:val="24"/>
        </w:rPr>
        <w:t xml:space="preserve"> mill-UE u żgura li l-installazzjonijiet tar-Renju Unit u l-operaturi tal-inġenji tal-ajru jsegwu l-obbligi ta’ konformità tagħhom li jirriżultaw mill-emissjonijiet tal-2019 u l-2020.</w:t>
      </w:r>
    </w:p>
    <w:p>
      <w:pPr>
        <w:jc w:val="both"/>
        <w:rPr>
          <w:rFonts w:ascii="Times New Roman" w:hAnsi="Times New Roman"/>
          <w:noProof/>
          <w:sz w:val="24"/>
          <w:szCs w:val="24"/>
        </w:rPr>
      </w:pPr>
      <w:r>
        <w:rPr>
          <w:rFonts w:ascii="Times New Roman" w:hAnsi="Times New Roman"/>
          <w:noProof/>
          <w:sz w:val="24"/>
          <w:szCs w:val="24"/>
        </w:rPr>
        <w:t>Il-ftehim dwar ir-rabta bejn l-EU ETS u l-ETS tal-Iżvizzera</w:t>
      </w:r>
      <w:r>
        <w:rPr>
          <w:rFonts w:ascii="Times New Roman" w:hAnsi="Times New Roman"/>
          <w:noProof/>
          <w:sz w:val="24"/>
          <w:szCs w:val="24"/>
          <w:vertAlign w:val="superscript"/>
        </w:rPr>
        <w:footnoteReference w:id="22"/>
      </w:r>
      <w:r>
        <w:rPr>
          <w:rFonts w:ascii="Times New Roman" w:hAnsi="Times New Roman"/>
          <w:noProof/>
          <w:sz w:val="24"/>
          <w:szCs w:val="24"/>
        </w:rPr>
        <w:t xml:space="preserve"> daħal fis-seħħ fl-1 ta’ Jannar 2020. Biex iħaddmu r -rabta bejn is-sistemi ta’ skambju tal-kwoti tal-emissjonijiet, il-partijiet qablu li jistabbilixxu soluzzjoni provviżorja</w:t>
      </w:r>
      <w:r>
        <w:rPr>
          <w:rStyle w:val="FootnoteReference"/>
          <w:rFonts w:ascii="Times New Roman" w:hAnsi="Times New Roman"/>
          <w:noProof/>
          <w:sz w:val="24"/>
          <w:szCs w:val="24"/>
        </w:rPr>
        <w:footnoteReference w:id="23"/>
      </w:r>
      <w:r>
        <w:rPr>
          <w:rFonts w:ascii="Times New Roman" w:hAnsi="Times New Roman"/>
          <w:noProof/>
          <w:sz w:val="24"/>
          <w:szCs w:val="24"/>
        </w:rPr>
        <w:t xml:space="preserve"> għall-kollegament taż-żewġ reġistri u li tippermetti t-trasferiment tal-kwoti bejniethom. Is-soluzzjoni provviżorja bdiet topera fil-21 ta’ Settembru 2020.</w:t>
      </w:r>
    </w:p>
    <w:p>
      <w:pPr>
        <w:jc w:val="both"/>
        <w:rPr>
          <w:rFonts w:ascii="Times New Roman" w:hAnsi="Times New Roman"/>
          <w:noProof/>
          <w:sz w:val="24"/>
          <w:szCs w:val="24"/>
        </w:rPr>
      </w:pPr>
      <w:r>
        <w:rPr>
          <w:noProof/>
        </w:rPr>
        <w:t>F’Marzu 2019, ġie adottat ir-Regolament Delegat tal-Kummissjoni (UE) 2019/1122</w:t>
      </w:r>
      <w:r>
        <w:rPr>
          <w:rStyle w:val="FootnoteReference"/>
          <w:rFonts w:ascii="Times New Roman" w:hAnsi="Times New Roman"/>
          <w:noProof/>
          <w:sz w:val="24"/>
          <w:szCs w:val="24"/>
        </w:rPr>
        <w:footnoteReference w:id="24"/>
      </w:r>
      <w:r>
        <w:rPr>
          <w:noProof/>
        </w:rPr>
        <w:t xml:space="preserve"> li jistabbilixxi r-regoli għall-funzjonament tar-Reġistru tal-Unjoni fil-perjodu 2021-2030.</w:t>
      </w:r>
      <w:r>
        <w:rPr>
          <w:rFonts w:ascii="Times New Roman" w:hAnsi="Times New Roman"/>
          <w:noProof/>
          <w:sz w:val="24"/>
          <w:szCs w:val="24"/>
        </w:rPr>
        <w:t xml:space="preserve"> L-implimentazzjoni teknika tar-regoli l-ġodda introdotti mir-Regolament għadha għaddejja u l-funzjonalitajiet il-ġodda se jkunu disponibbli fir-Reġistru tal-Unjoni mill-1 ta’ Jannar 2021. </w:t>
      </w:r>
    </w:p>
    <w:p>
      <w:pPr>
        <w:pStyle w:val="Heading1"/>
        <w:spacing w:before="0" w:after="200"/>
        <w:rPr>
          <w:noProof/>
        </w:rPr>
      </w:pPr>
      <w:bookmarkStart w:id="15" w:name="_Toc490850422"/>
      <w:bookmarkStart w:id="16" w:name="_Toc519009678"/>
      <w:bookmarkStart w:id="17" w:name="_Toc56000792"/>
      <w:r>
        <w:rPr>
          <w:noProof/>
        </w:rPr>
        <w:t>3. FUNZJONAMENT TAS-SUQ TAL-KARBONJU FL-2019</w:t>
      </w:r>
      <w:bookmarkEnd w:id="15"/>
      <w:bookmarkEnd w:id="16"/>
      <w:bookmarkEnd w:id="17"/>
      <w:r>
        <w:rPr>
          <w:noProof/>
        </w:rPr>
        <w:t xml:space="preserve"> </w:t>
      </w:r>
    </w:p>
    <w:p>
      <w:pPr>
        <w:jc w:val="both"/>
        <w:rPr>
          <w:rFonts w:ascii="Times New Roman" w:hAnsi="Times New Roman"/>
          <w:noProof/>
          <w:sz w:val="24"/>
          <w:szCs w:val="24"/>
        </w:rPr>
      </w:pPr>
      <w:r>
        <w:rPr>
          <w:rFonts w:ascii="Times New Roman" w:hAnsi="Times New Roman"/>
          <w:noProof/>
          <w:sz w:val="24"/>
          <w:szCs w:val="24"/>
        </w:rPr>
        <w:t xml:space="preserve">Dan il-kapitolu jipprovdi informazzjoni dwar l-aspetti relatati mal-provvista u d-domanda tal-kwoti tal-EU ETS. It-taqsima tan-naħa tal-provvista tinkludi informazzjoni dwar il-limitu massimu, l-allokazzjoni mingħajr ħlas, l-irkant, id-deroga mill-irkant sħiħ għall-produzzjoni tal-elettriku u tas-sħana (l-Artikolu 10c), il-programm NER300 u l-preparazzjonijiet għall-Fondi għall-Innovazzjoni u l-Modernizzazzjoni, kapitolu dwar skemi ta’ kumpens tal-ispejjeż indiretti tal-karbonju, u l-użu ta’ krediti internazzjonali. </w:t>
      </w:r>
    </w:p>
    <w:p>
      <w:pPr>
        <w:jc w:val="both"/>
        <w:rPr>
          <w:rFonts w:ascii="Times New Roman" w:hAnsi="Times New Roman"/>
          <w:noProof/>
          <w:sz w:val="24"/>
          <w:szCs w:val="24"/>
        </w:rPr>
      </w:pPr>
      <w:r>
        <w:rPr>
          <w:rFonts w:ascii="Times New Roman" w:hAnsi="Times New Roman"/>
          <w:noProof/>
          <w:sz w:val="24"/>
          <w:szCs w:val="24"/>
        </w:rPr>
        <w:t xml:space="preserve">Min-naħa tad-domanda, tingħata informazzjoni dwar il-kwantità ta’ emissjonijiet verifikati. Imbagħad jiġi ppreżentat l-ibbilanċjar tal-elementi differenti tal-provvista u d-domanda tal-kwoti fis-suq tal-karbonju permezz tar-riżerva tal-istabbiltà tas-suq (MSR). </w:t>
      </w:r>
    </w:p>
    <w:p>
      <w:pPr>
        <w:pStyle w:val="Heading2"/>
        <w:spacing w:before="0" w:after="200"/>
        <w:rPr>
          <w:i w:val="0"/>
          <w:noProof/>
        </w:rPr>
      </w:pPr>
      <w:bookmarkStart w:id="18" w:name="_Toc490850423"/>
      <w:bookmarkStart w:id="19" w:name="_Toc519009679"/>
      <w:bookmarkStart w:id="20" w:name="_Toc56000793"/>
      <w:r>
        <w:rPr>
          <w:i w:val="0"/>
          <w:noProof/>
        </w:rPr>
        <w:t>3.1. Provvista: kwoti mqiegħda fiċ-ċirkolazzjoni</w:t>
      </w:r>
      <w:bookmarkEnd w:id="18"/>
      <w:bookmarkEnd w:id="19"/>
      <w:bookmarkEnd w:id="20"/>
      <w:r>
        <w:rPr>
          <w:i w:val="0"/>
          <w:noProof/>
        </w:rPr>
        <w:t xml:space="preserve"> </w:t>
      </w:r>
    </w:p>
    <w:p>
      <w:pPr>
        <w:pStyle w:val="Heading3"/>
        <w:spacing w:before="0" w:after="200"/>
        <w:ind w:left="720"/>
        <w:rPr>
          <w:noProof/>
        </w:rPr>
      </w:pPr>
      <w:bookmarkStart w:id="21" w:name="_Toc490850424"/>
      <w:bookmarkStart w:id="22" w:name="_Toc519009680"/>
      <w:bookmarkStart w:id="23" w:name="_Toc56000794"/>
      <w:r>
        <w:rPr>
          <w:noProof/>
        </w:rPr>
        <w:t>3.1.1. Limitu massimu</w:t>
      </w:r>
      <w:bookmarkEnd w:id="21"/>
      <w:bookmarkEnd w:id="22"/>
      <w:bookmarkEnd w:id="23"/>
    </w:p>
    <w:p>
      <w:pPr>
        <w:jc w:val="both"/>
        <w:rPr>
          <w:rFonts w:ascii="Times New Roman" w:hAnsi="Times New Roman"/>
          <w:noProof/>
          <w:sz w:val="24"/>
          <w:szCs w:val="24"/>
        </w:rPr>
      </w:pPr>
      <w:r>
        <w:rPr>
          <w:noProof/>
          <w:lang w:val="en-GB" w:eastAsia="en-GB"/>
        </w:rPr>
        <mc:AlternateContent>
          <mc:Choice Requires="wps">
            <w:drawing>
              <wp:inline distT="0" distB="0" distL="0" distR="0">
                <wp:extent cx="5771693" cy="5554980"/>
                <wp:effectExtent l="0" t="0" r="19685" b="2667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693" cy="5554980"/>
                        </a:xfrm>
                        <a:prstGeom prst="rect">
                          <a:avLst/>
                        </a:prstGeom>
                        <a:solidFill>
                          <a:schemeClr val="bg1">
                            <a:lumMod val="85000"/>
                          </a:schemeClr>
                        </a:solidFill>
                        <a:ln w="12700">
                          <a:solidFill>
                            <a:srgbClr val="000000"/>
                          </a:solidFill>
                          <a:miter lim="800000"/>
                          <a:headEnd/>
                          <a:tailEnd/>
                        </a:ln>
                      </wps:spPr>
                      <wps:txbx>
                        <w:txbxContent>
                          <w:p>
                            <w:pPr>
                              <w:jc w:val="both"/>
                              <w:rPr>
                                <w:rFonts w:ascii="Times New Roman" w:hAnsi="Times New Roman"/>
                                <w:sz w:val="24"/>
                                <w:szCs w:val="24"/>
                              </w:rPr>
                            </w:pPr>
                            <w:r>
                              <w:rPr>
                                <w:rFonts w:ascii="Times New Roman" w:hAnsi="Times New Roman"/>
                                <w:sz w:val="24"/>
                                <w:szCs w:val="24"/>
                              </w:rPr>
                              <w:t>Il-limitu massimu huwa l-kwantità assoluta ta’ GHGs li jistgħu jiġu emessi mill-entitajiet koperti biex jiżguraw li tintlaħaq il-mira ta’ tnaqqis ta’ emissjonijiet u li dan jikkorrispondi man-numru ta’ kwoti mqiegħda fiċ-ċirkolazzjoni tul perjodu ta’ negozjar. Japplika limitu komuni madwar l-UE kollha għall-EU ETS kollha.</w:t>
                            </w:r>
                          </w:p>
                          <w:p>
                            <w:pPr>
                              <w:jc w:val="both"/>
                              <w:rPr>
                                <w:rFonts w:ascii="Times New Roman" w:hAnsi="Times New Roman"/>
                                <w:sz w:val="24"/>
                                <w:szCs w:val="24"/>
                              </w:rPr>
                            </w:pPr>
                            <w:r>
                              <w:rPr>
                                <w:rFonts w:ascii="Times New Roman" w:hAnsi="Times New Roman"/>
                                <w:sz w:val="24"/>
                                <w:szCs w:val="24"/>
                              </w:rPr>
                              <w:t xml:space="preserve">Il-limitu massimu tal-2013 għall-emissjonijiet mill-installazzjonijiet stazzjonarji kien stabbilit għal 2 084 301 856 kwota. Dan il-limitu massimu jonqos kull sena b’fattur lineari ta’ tnaqqis ta’ 1,74 % tal-kwantità totali medja ta’ kwoti maħruġa kull sena fl-2008-2012, u b’hekk jiżgura li n-numru ta’ kwoti li jistgħu jintużaw mill-installazzjonijiet stazzjonarji se jkun 21 % inqas fl-2020 minn dak fl-2005. </w:t>
                            </w:r>
                          </w:p>
                          <w:p>
                            <w:pPr>
                              <w:jc w:val="both"/>
                              <w:rPr>
                                <w:rFonts w:ascii="Times New Roman" w:hAnsi="Times New Roman"/>
                                <w:sz w:val="24"/>
                                <w:szCs w:val="24"/>
                              </w:rPr>
                            </w:pPr>
                            <w:r>
                              <w:rPr>
                                <w:rFonts w:ascii="Times New Roman" w:hAnsi="Times New Roman"/>
                                <w:sz w:val="24"/>
                                <w:szCs w:val="24"/>
                              </w:rPr>
                              <w:t>Il-limitu massimu tas-settur tal-avjazzjoni ġie stabbilit oriġinarjament għal 210 349 264 kwota tal-avjazzjoni fis-sena, li huwa 5 % inqas mil-livell medju annwali ta’ emissjonijiet tal-avjazzjoni fl-2004-2006. Fl-1 ta’ Jannar 2014, dan żdied b’116 524 kwota tal-avjazzjoni biex jakkomoda s-sħubija tal-Kroazja fl-EU ETS. Dan il-limitu massimu kien maħsub biex jirrifletti l-leġiżlazzjoni tal-2008* li kienet tinkludi t-titjiriet kollha minn, lejn u fi ħdan iż-ŻEE fl-EU ETS. Madankollu, il-kamp ta’ applikazzjoni tal-EU ETS kien temporanjament limitat għat-titjiriet fi ħdan iż-ŻEE bejn l-2013 u l-2016 biex jappoġġa l-iżvilupp ta’ miżura globali mill-ICAO biex jiġu stabbilizzati l-emissjonijiet mill-avjazzjoni internazzjonali fil-livelli tal-2020. Għalhekk, in-numru ta’ kwoti tal-avjazzjoni mqiegħda fiċ-ċirkolazzjoni fl-2013-2016 kien ferm inqas mil-limitu massimu oriġinali. Fl-2017, biex jiġi appoġġat l-iżvilupp tal-miżura globali tal-ICAO, il-limitazzjoni għat-titjiriet fiż-ŻEE ġiet imtawla sal-2023 (ara l-Kapitolu 4).</w:t>
                            </w:r>
                          </w:p>
                          <w:p>
                            <w:pPr>
                              <w:jc w:val="both"/>
                              <w:rPr>
                                <w:rFonts w:ascii="Times New Roman" w:hAnsi="Times New Roman"/>
                                <w:sz w:val="24"/>
                                <w:szCs w:val="24"/>
                              </w:rPr>
                            </w:pPr>
                            <w:r>
                              <w:rPr>
                                <w:rFonts w:ascii="Times New Roman" w:hAnsi="Times New Roman"/>
                                <w:sz w:val="24"/>
                                <w:szCs w:val="24"/>
                              </w:rPr>
                              <w:t xml:space="preserve">Fil-fażi 4 tal-EU ETS (2021–2030), il-limitu massimu kemm għall-installazzjonijiet stazzjonarji kif ukoll għall-avjazzjoni se jonqos b’fattur ta’ tnaqqis lineari ta’ 2,2 %. </w:t>
                            </w:r>
                          </w:p>
                          <w:p>
                            <w:pPr>
                              <w:jc w:val="both"/>
                              <w:rPr>
                                <w:rFonts w:ascii="Times New Roman" w:hAnsi="Times New Roman"/>
                                <w:sz w:val="18"/>
                                <w:szCs w:val="18"/>
                              </w:rPr>
                            </w:pPr>
                            <w:r>
                              <w:rPr>
                                <w:rFonts w:ascii="Times New Roman" w:hAnsi="Times New Roman"/>
                                <w:sz w:val="18"/>
                                <w:szCs w:val="18"/>
                              </w:rPr>
                              <w:t>* Id-Direttiva 2008/101/KE tal-Parlament Ewropew u tal-Kunsill tad-19 ta’ Novembru 2008, li temenda d-Direttiva 2003/87/KE sabiex tinkludi l-attivitajiet tal-avjazzjoni fl-iskema għall-iskambju ta’ kwoti tal-emissjonijiet ta’ gassijiet serra ġewwa l-Komunità</w:t>
                            </w:r>
                          </w:p>
                          <w:p>
                            <w:pPr>
                              <w:jc w:val="both"/>
                              <w:rPr>
                                <w:rFonts w:ascii="Times New Roman" w:hAnsi="Times New Roman"/>
                                <w:sz w:val="24"/>
                                <w:szCs w:val="24"/>
                              </w:rPr>
                            </w:pPr>
                          </w:p>
                          <w:p>
                            <w:pPr>
                              <w:jc w:val="both"/>
                              <w:rPr>
                                <w:rFonts w:ascii="Times New Roman" w:hAnsi="Times New Roman"/>
                                <w:sz w:val="24"/>
                                <w:szCs w:val="24"/>
                              </w:rPr>
                            </w:pPr>
                          </w:p>
                          <w:p>
                            <w:pPr>
                              <w:jc w:val="both"/>
                              <w:rPr>
                                <w:rFonts w:ascii="Times New Roman" w:hAnsi="Times New Roman"/>
                                <w:sz w:val="24"/>
                                <w:szCs w:val="24"/>
                              </w:rPr>
                            </w:pPr>
                          </w:p>
                          <w:p>
                            <w:pPr>
                              <w:jc w:val="both"/>
                            </w:pPr>
                          </w:p>
                          <w:p>
                            <w:pPr>
                              <w:jc w:val="both"/>
                              <w:rPr>
                                <w:rFonts w:ascii="Times New Roman" w:hAnsi="Times New Roman"/>
                                <w:sz w:val="24"/>
                                <w:szCs w:val="24"/>
                              </w:rPr>
                            </w:pPr>
                          </w:p>
                          <w:p/>
                        </w:txbxContent>
                      </wps:txbx>
                      <wps:bodyPr rot="0" vert="horz" wrap="square" lIns="91440" tIns="45720" rIns="91440" bIns="45720" anchor="t" anchorCtr="0">
                        <a:noAutofit/>
                      </wps:bodyPr>
                    </wps:wsp>
                  </a:graphicData>
                </a:graphic>
              </wp:inline>
            </w:drawing>
          </mc:Choice>
          <mc:Fallback>
            <w:pict>
              <v:shape id="_x0000_s1028" type="#_x0000_t202" style="width:454.45pt;height:43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" fillcolor="#d8d8d8 [2732]" strokeweight="1pt">
                <v:textbox>
                  <w:txbxContent>
                    <w:p>
                      <w:pPr>
                        <w:jc w:val="both"/>
                        <w:rPr>
                          <w:rFonts w:ascii="Times New Roman" w:hAnsi="Times New Roman"/>
                          <w:sz w:val="24"/>
                          <w:szCs w:val="24"/>
                        </w:rPr>
                      </w:pPr>
                      <w:r>
                        <w:rPr>
                          <w:rFonts w:ascii="Times New Roman" w:hAnsi="Times New Roman"/>
                          <w:sz w:val="24"/>
                          <w:szCs w:val="24"/>
                        </w:rPr>
                        <w:t>Il-limitu massimu huwa l-kwantità assoluta ta’ GHGs li jistgħu jiġu emessi mill-entitajiet koperti biex jiżguraw li tintlaħaq il-mira ta’ tnaqqis ta’ emissjonijiet u li dan jikkorrispondi man-numru ta’ kwoti mqiegħda fiċ-ċirkolazzjoni tul perjodu ta’ negozjar. Japplika limitu komuni madwar l-UE kollha għall-EU ETS kollha.</w:t>
                      </w:r>
                    </w:p>
                    <w:p>
                      <w:pPr>
                        <w:jc w:val="both"/>
                        <w:rPr>
                          <w:rFonts w:ascii="Times New Roman" w:hAnsi="Times New Roman"/>
                          <w:sz w:val="24"/>
                          <w:szCs w:val="24"/>
                        </w:rPr>
                      </w:pPr>
                      <w:r>
                        <w:rPr>
                          <w:rFonts w:ascii="Times New Roman" w:hAnsi="Times New Roman"/>
                          <w:sz w:val="24"/>
                          <w:szCs w:val="24"/>
                        </w:rPr>
                        <w:t xml:space="preserve">Il-limitu massimu tal-2013 għall-emissjonijiet mill-installazzjonijiet stazzjonarji kien stabbilit għal 2 084 301 856 kwota. Dan il-limitu massimu jonqos kull sena b’fattur lineari ta’ tnaqqis ta’ 1,74 % tal-kwantità totali medja ta’ kwoti maħruġa kull sena fl-2008-2012, u b’hekk jiżgura li n-numru ta’ kwoti li jistgħu jintużaw mill-installazzjonijiet stazzjonarji se jkun 21 % inqas fl-2020 minn dak fl-2005. </w:t>
                      </w:r>
                    </w:p>
                    <w:p>
                      <w:pPr>
                        <w:jc w:val="both"/>
                        <w:rPr>
                          <w:rFonts w:ascii="Times New Roman" w:hAnsi="Times New Roman"/>
                          <w:sz w:val="24"/>
                          <w:szCs w:val="24"/>
                        </w:rPr>
                      </w:pPr>
                      <w:r>
                        <w:rPr>
                          <w:rFonts w:ascii="Times New Roman" w:hAnsi="Times New Roman"/>
                          <w:sz w:val="24"/>
                          <w:szCs w:val="24"/>
                        </w:rPr>
                        <w:t>Il-limitu massimu tas-settur tal-avjazzjoni ġie stabbilit oriġinarjament għal 210 349 264 kwota tal-avjazzjoni fis-sena, li huwa 5 % inqas mil-livell medju annwali ta’ emissjonijiet tal-avjazzjoni fl-2004-2006. Fl-1 ta’ Jannar 2014, dan żdied b’116 524 kwota tal-avjazzjoni biex jakkomoda s-sħubija tal-Kroazja fl-EU ETS. Dan il-limitu massimu kien maħsub biex jirrifletti l-leġiżlazzjoni tal-2008* li kienet tinkludi t-titjiriet kollha minn, lejn u fi ħdan iż-ŻEE fl-EU ETS. Madankollu, il-kamp ta’ applikazzjoni tal-EU ETS kien temporanjament limitat għat-titjiriet fi ħdan iż-ŻEE bejn l-2013 u l-2016 biex jappoġġa l-iżvilupp ta’ miżura globali mill-ICAO biex jiġu stabbilizzati l-emissjonijiet mill-avjazzjoni internazzjonali fil-livelli tal-2020. Għalhekk, in-numru ta’ kwoti tal-avjazzjoni mqiegħda fiċ-ċirkolazzjoni fl-2013-2016 kien ferm inqas mil-limitu massimu oriġinali. Fl-2017, biex jiġi appoġġat l-iżvilupp tal-miżura globali tal-ICAO, il-limitazzjoni għat-titjiriet fiż-ŻEE ġiet imtawla sal-2023 (ara l-Kapitolu 4).</w:t>
                      </w:r>
                    </w:p>
                    <w:p>
                      <w:pPr>
                        <w:jc w:val="both"/>
                        <w:rPr>
                          <w:rFonts w:ascii="Times New Roman" w:hAnsi="Times New Roman"/>
                          <w:sz w:val="24"/>
                          <w:szCs w:val="24"/>
                        </w:rPr>
                      </w:pPr>
                      <w:r>
                        <w:rPr>
                          <w:rFonts w:ascii="Times New Roman" w:hAnsi="Times New Roman"/>
                          <w:sz w:val="24"/>
                          <w:szCs w:val="24"/>
                        </w:rPr>
                        <w:t xml:space="preserve">Fil-fażi 4 tal-EU ETS (2021–2030), il-limitu massimu kemm għall-installazzjonijiet stazzjonarji kif ukoll għall-avjazzjoni se jonqos b’fattur ta’ tnaqqis lineari ta’ 2,2 %. </w:t>
                      </w:r>
                    </w:p>
                    <w:p>
                      <w:pPr>
                        <w:jc w:val="both"/>
                        <w:rPr>
                          <w:rFonts w:ascii="Times New Roman" w:hAnsi="Times New Roman"/>
                          <w:sz w:val="18"/>
                          <w:szCs w:val="18"/>
                        </w:rPr>
                      </w:pPr>
                      <w:r>
                        <w:rPr>
                          <w:rFonts w:ascii="Times New Roman" w:hAnsi="Times New Roman"/>
                          <w:sz w:val="18"/>
                          <w:szCs w:val="18"/>
                        </w:rPr>
                        <w:t>* Id-Direttiva 2008/101/KE tal-Parlament Ewropew u tal-Kunsill tad-19 ta’ Novembru 2008, li temenda d-Direttiva 2003/87/KE sabiex tinkludi l-attivitajiet tal-avjazzjoni fl-iskema għall-iskambju ta’ kwoti tal-emissjonijiet ta’ gassijiet serra ġewwa l-Komunità</w:t>
                      </w:r>
                    </w:p>
                    <w:p>
                      <w:pPr>
                        <w:jc w:val="both"/>
                        <w:rPr>
                          <w:rFonts w:ascii="Times New Roman" w:hAnsi="Times New Roman"/>
                          <w:sz w:val="24"/>
                          <w:szCs w:val="24"/>
                        </w:rPr>
                      </w:pPr>
                    </w:p>
                    <w:p>
                      <w:pPr>
                        <w:jc w:val="both"/>
                        <w:rPr>
                          <w:rFonts w:ascii="Times New Roman" w:hAnsi="Times New Roman"/>
                          <w:sz w:val="24"/>
                          <w:szCs w:val="24"/>
                        </w:rPr>
                      </w:pPr>
                    </w:p>
                    <w:p>
                      <w:pPr>
                        <w:jc w:val="both"/>
                        <w:rPr>
                          <w:rFonts w:ascii="Times New Roman" w:hAnsi="Times New Roman"/>
                          <w:sz w:val="24"/>
                          <w:szCs w:val="24"/>
                        </w:rPr>
                      </w:pPr>
                    </w:p>
                    <w:p>
                      <w:pPr>
                        <w:jc w:val="both"/>
                      </w:pPr>
                    </w:p>
                    <w:p>
                      <w:pPr>
                        <w:jc w:val="both"/>
                        <w:rPr>
                          <w:rFonts w:ascii="Times New Roman" w:hAnsi="Times New Roman"/>
                          <w:sz w:val="24"/>
                          <w:szCs w:val="24"/>
                        </w:rPr>
                      </w:pPr>
                    </w:p>
                    <w:p/>
                  </w:txbxContent>
                </v:textbox>
                <w10:anchorlock/>
              </v:shape>
            </w:pict>
          </mc:Fallback>
        </mc:AlternateContent>
      </w:r>
    </w:p>
    <w:p>
      <w:pPr>
        <w:spacing w:after="0"/>
        <w:jc w:val="both"/>
        <w:rPr>
          <w:rFonts w:ascii="Times New Roman" w:hAnsi="Times New Roman"/>
          <w:noProof/>
          <w:sz w:val="24"/>
          <w:szCs w:val="24"/>
        </w:rPr>
      </w:pPr>
      <w:r>
        <w:rPr>
          <w:rFonts w:ascii="Times New Roman" w:hAnsi="Times New Roman"/>
          <w:noProof/>
          <w:sz w:val="24"/>
          <w:szCs w:val="24"/>
        </w:rPr>
        <w:t>It-Tabella 1 turi ċ-ċifri għal-limitu massimu għall-installazzjonijiet stazzjonarji u n-numru ta’ kwoti tal-avjazzjoni mqiegħda kull sena fiċ-ċirkolazzjoni</w:t>
      </w:r>
      <w:r>
        <w:rPr>
          <w:rStyle w:val="FootnoteReference"/>
          <w:rFonts w:ascii="Times New Roman" w:hAnsi="Times New Roman"/>
          <w:noProof/>
          <w:sz w:val="24"/>
          <w:szCs w:val="24"/>
        </w:rPr>
        <w:footnoteReference w:id="25"/>
      </w:r>
      <w:r>
        <w:rPr>
          <w:rFonts w:ascii="Times New Roman" w:hAnsi="Times New Roman"/>
          <w:noProof/>
          <w:sz w:val="24"/>
          <w:szCs w:val="24"/>
        </w:rPr>
        <w:t xml:space="preserve"> għal kull sena matul il-Fażi 3 tal-EU ETS. </w:t>
      </w:r>
    </w:p>
    <w:p>
      <w:pPr>
        <w:spacing w:after="0"/>
        <w:jc w:val="both"/>
        <w:rPr>
          <w:rFonts w:ascii="Times New Roman" w:hAnsi="Times New Roman"/>
          <w:noProof/>
          <w:sz w:val="24"/>
          <w:szCs w:val="24"/>
        </w:rPr>
      </w:pPr>
    </w:p>
    <w:p>
      <w:pPr>
        <w:spacing w:after="0"/>
        <w:jc w:val="both"/>
        <w:rPr>
          <w:rFonts w:ascii="Times New Roman" w:hAnsi="Times New Roman"/>
          <w:noProof/>
          <w:sz w:val="24"/>
          <w:szCs w:val="24"/>
        </w:rPr>
      </w:pPr>
    </w:p>
    <w:p>
      <w:pPr>
        <w:jc w:val="both"/>
        <w:rPr>
          <w:rFonts w:ascii="Times New Roman" w:hAnsi="Times New Roman"/>
          <w:b/>
          <w:noProof/>
        </w:rPr>
      </w:pPr>
    </w:p>
    <w:p>
      <w:pPr>
        <w:jc w:val="both"/>
        <w:rPr>
          <w:rFonts w:ascii="Times New Roman" w:hAnsi="Times New Roman"/>
          <w:b/>
          <w:noProof/>
        </w:rPr>
      </w:pPr>
    </w:p>
    <w:p>
      <w:pPr>
        <w:jc w:val="both"/>
        <w:rPr>
          <w:rFonts w:ascii="Times New Roman" w:hAnsi="Times New Roman"/>
          <w:b/>
          <w:noProof/>
        </w:rPr>
      </w:pPr>
    </w:p>
    <w:p>
      <w:pPr>
        <w:jc w:val="both"/>
        <w:rPr>
          <w:rFonts w:ascii="Times New Roman" w:hAnsi="Times New Roman"/>
          <w:b/>
          <w:bCs/>
          <w:noProof/>
          <w:sz w:val="20"/>
          <w:szCs w:val="20"/>
        </w:rPr>
      </w:pPr>
      <w:r>
        <w:rPr>
          <w:rFonts w:ascii="Times New Roman" w:hAnsi="Times New Roman"/>
          <w:b/>
          <w:noProof/>
        </w:rPr>
        <w:t>Tabella 1: Limitu massimu tal-EU ETS 2013-2020</w:t>
      </w:r>
    </w:p>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94"/>
        <w:gridCol w:w="3207"/>
        <w:gridCol w:w="3810"/>
      </w:tblGrid>
      <w:tr>
        <w:trPr>
          <w:trHeight w:val="615"/>
          <w:jc w:val="center"/>
        </w:trPr>
        <w:tc>
          <w:tcPr>
            <w:tcW w:w="1994" w:type="dxa"/>
          </w:tcPr>
          <w:p>
            <w:pPr>
              <w:jc w:val="center"/>
              <w:rPr>
                <w:rFonts w:ascii="Times New Roman" w:hAnsi="Times New Roman"/>
                <w:b/>
                <w:noProof/>
              </w:rPr>
            </w:pPr>
            <w:r>
              <w:rPr>
                <w:noProof/>
              </w:rPr>
              <w:t xml:space="preserve"> </w:t>
            </w:r>
            <w:r>
              <w:rPr>
                <w:noProof/>
              </w:rPr>
              <w:br/>
            </w:r>
            <w:r>
              <w:rPr>
                <w:rFonts w:ascii="Times New Roman" w:hAnsi="Times New Roman"/>
                <w:b/>
                <w:noProof/>
              </w:rPr>
              <w:t>Sena</w:t>
            </w:r>
          </w:p>
          <w:p>
            <w:pPr>
              <w:jc w:val="center"/>
              <w:rPr>
                <w:b/>
                <w:noProof/>
              </w:rPr>
            </w:pPr>
          </w:p>
        </w:tc>
        <w:tc>
          <w:tcPr>
            <w:tcW w:w="3207" w:type="dxa"/>
          </w:tcPr>
          <w:p>
            <w:pPr>
              <w:jc w:val="center"/>
              <w:rPr>
                <w:b/>
                <w:noProof/>
              </w:rPr>
            </w:pPr>
            <w:r>
              <w:rPr>
                <w:noProof/>
              </w:rPr>
              <w:t xml:space="preserve"> </w:t>
            </w:r>
            <w:r>
              <w:rPr>
                <w:noProof/>
              </w:rPr>
              <w:br/>
            </w:r>
            <w:r>
              <w:rPr>
                <w:rFonts w:ascii="Times New Roman" w:hAnsi="Times New Roman"/>
                <w:b/>
                <w:noProof/>
              </w:rPr>
              <w:t>Limitu massimu annwali (installazzjonijiet)</w:t>
            </w:r>
          </w:p>
        </w:tc>
        <w:tc>
          <w:tcPr>
            <w:tcW w:w="3810" w:type="dxa"/>
          </w:tcPr>
          <w:p>
            <w:pPr>
              <w:jc w:val="center"/>
              <w:rPr>
                <w:rFonts w:ascii="Times New Roman" w:hAnsi="Times New Roman"/>
                <w:b/>
                <w:noProof/>
              </w:rPr>
            </w:pPr>
          </w:p>
          <w:p>
            <w:pPr>
              <w:jc w:val="center"/>
              <w:rPr>
                <w:rFonts w:ascii="Times New Roman" w:hAnsi="Times New Roman"/>
                <w:b/>
                <w:noProof/>
              </w:rPr>
            </w:pPr>
            <w:r>
              <w:rPr>
                <w:rFonts w:ascii="Times New Roman" w:hAnsi="Times New Roman"/>
                <w:b/>
                <w:noProof/>
              </w:rPr>
              <w:t>Kwoti tal-avjazzjoni annwali mqiegħda fiċ-ċirkolazzjoni</w:t>
            </w:r>
            <w:r>
              <w:rPr>
                <w:rStyle w:val="FootnoteReference"/>
                <w:rFonts w:ascii="Times New Roman" w:hAnsi="Times New Roman"/>
                <w:b/>
                <w:noProof/>
              </w:rPr>
              <w:footnoteReference w:id="26"/>
            </w:r>
          </w:p>
        </w:tc>
      </w:tr>
      <w:tr>
        <w:trPr>
          <w:trHeight w:val="546"/>
          <w:jc w:val="center"/>
        </w:trPr>
        <w:tc>
          <w:tcPr>
            <w:tcW w:w="1994" w:type="dxa"/>
          </w:tcPr>
          <w:p>
            <w:pPr>
              <w:jc w:val="center"/>
              <w:rPr>
                <w:rFonts w:ascii="Times New Roman" w:hAnsi="Times New Roman"/>
                <w:noProof/>
              </w:rPr>
            </w:pPr>
            <w:r>
              <w:rPr>
                <w:noProof/>
              </w:rPr>
              <w:t xml:space="preserve"> </w:t>
            </w:r>
            <w:r>
              <w:rPr>
                <w:noProof/>
              </w:rPr>
              <w:br/>
            </w:r>
            <w:r>
              <w:rPr>
                <w:rFonts w:ascii="Times New Roman" w:hAnsi="Times New Roman"/>
                <w:noProof/>
              </w:rPr>
              <w:t>2013</w:t>
            </w:r>
          </w:p>
          <w:p>
            <w:pPr>
              <w:jc w:val="center"/>
              <w:rPr>
                <w:noProof/>
              </w:rPr>
            </w:pPr>
          </w:p>
        </w:tc>
        <w:tc>
          <w:tcPr>
            <w:tcW w:w="3207" w:type="dxa"/>
          </w:tcPr>
          <w:p>
            <w:pPr>
              <w:jc w:val="center"/>
              <w:rPr>
                <w:noProof/>
              </w:rPr>
            </w:pPr>
            <w:r>
              <w:rPr>
                <w:noProof/>
              </w:rPr>
              <w:t xml:space="preserve"> </w:t>
            </w:r>
            <w:r>
              <w:rPr>
                <w:noProof/>
              </w:rPr>
              <w:br/>
            </w:r>
            <w:r>
              <w:rPr>
                <w:rFonts w:ascii="Times New Roman" w:hAnsi="Times New Roman"/>
                <w:noProof/>
              </w:rPr>
              <w:t>2 084 301 856</w:t>
            </w:r>
          </w:p>
        </w:tc>
        <w:tc>
          <w:tcPr>
            <w:tcW w:w="3810" w:type="dxa"/>
          </w:tcPr>
          <w:p>
            <w:pPr>
              <w:jc w:val="center"/>
              <w:rPr>
                <w:rFonts w:ascii="Times New Roman" w:hAnsi="Times New Roman"/>
                <w:noProof/>
              </w:rPr>
            </w:pPr>
          </w:p>
          <w:p>
            <w:pPr>
              <w:jc w:val="center"/>
              <w:rPr>
                <w:rFonts w:ascii="Times New Roman" w:hAnsi="Times New Roman"/>
                <w:noProof/>
              </w:rPr>
            </w:pPr>
            <w:r>
              <w:rPr>
                <w:rFonts w:ascii="Times New Roman" w:hAnsi="Times New Roman"/>
                <w:noProof/>
              </w:rPr>
              <w:t>32 455 296</w:t>
            </w:r>
          </w:p>
        </w:tc>
      </w:tr>
      <w:tr>
        <w:trPr>
          <w:trHeight w:val="534"/>
          <w:jc w:val="center"/>
        </w:trPr>
        <w:tc>
          <w:tcPr>
            <w:tcW w:w="1994" w:type="dxa"/>
          </w:tcPr>
          <w:p>
            <w:pPr>
              <w:jc w:val="center"/>
              <w:rPr>
                <w:rFonts w:ascii="Times New Roman" w:hAnsi="Times New Roman"/>
                <w:noProof/>
              </w:rPr>
            </w:pPr>
            <w:r>
              <w:rPr>
                <w:noProof/>
              </w:rPr>
              <w:t xml:space="preserve"> </w:t>
            </w:r>
            <w:r>
              <w:rPr>
                <w:noProof/>
              </w:rPr>
              <w:br/>
            </w:r>
            <w:r>
              <w:rPr>
                <w:rFonts w:ascii="Times New Roman" w:hAnsi="Times New Roman"/>
                <w:noProof/>
              </w:rPr>
              <w:t>2014</w:t>
            </w:r>
          </w:p>
          <w:p>
            <w:pPr>
              <w:jc w:val="center"/>
              <w:rPr>
                <w:noProof/>
              </w:rPr>
            </w:pPr>
          </w:p>
        </w:tc>
        <w:tc>
          <w:tcPr>
            <w:tcW w:w="3207" w:type="dxa"/>
          </w:tcPr>
          <w:p>
            <w:pPr>
              <w:jc w:val="center"/>
              <w:rPr>
                <w:noProof/>
              </w:rPr>
            </w:pPr>
            <w:r>
              <w:rPr>
                <w:noProof/>
              </w:rPr>
              <w:t xml:space="preserve"> </w:t>
            </w:r>
            <w:r>
              <w:rPr>
                <w:noProof/>
              </w:rPr>
              <w:br/>
            </w:r>
            <w:r>
              <w:rPr>
                <w:rFonts w:ascii="Times New Roman" w:hAnsi="Times New Roman"/>
                <w:noProof/>
              </w:rPr>
              <w:t>2 046 037 610</w:t>
            </w:r>
          </w:p>
        </w:tc>
        <w:tc>
          <w:tcPr>
            <w:tcW w:w="3810" w:type="dxa"/>
          </w:tcPr>
          <w:p>
            <w:pPr>
              <w:jc w:val="center"/>
              <w:rPr>
                <w:rFonts w:ascii="Times New Roman" w:hAnsi="Times New Roman"/>
                <w:noProof/>
              </w:rPr>
            </w:pPr>
          </w:p>
          <w:p>
            <w:pPr>
              <w:jc w:val="center"/>
              <w:rPr>
                <w:rFonts w:ascii="Times New Roman" w:hAnsi="Times New Roman"/>
                <w:noProof/>
              </w:rPr>
            </w:pPr>
            <w:r>
              <w:rPr>
                <w:rFonts w:ascii="Times New Roman" w:hAnsi="Times New Roman"/>
                <w:noProof/>
              </w:rPr>
              <w:t>41 866 834</w:t>
            </w:r>
          </w:p>
        </w:tc>
      </w:tr>
      <w:tr>
        <w:trPr>
          <w:trHeight w:val="522"/>
          <w:jc w:val="center"/>
        </w:trPr>
        <w:tc>
          <w:tcPr>
            <w:tcW w:w="1994" w:type="dxa"/>
          </w:tcPr>
          <w:p>
            <w:pPr>
              <w:jc w:val="center"/>
              <w:rPr>
                <w:rFonts w:ascii="Times New Roman" w:hAnsi="Times New Roman"/>
                <w:noProof/>
              </w:rPr>
            </w:pPr>
            <w:r>
              <w:rPr>
                <w:noProof/>
              </w:rPr>
              <w:t xml:space="preserve"> </w:t>
            </w:r>
            <w:r>
              <w:rPr>
                <w:noProof/>
              </w:rPr>
              <w:br/>
            </w:r>
            <w:r>
              <w:rPr>
                <w:rFonts w:ascii="Times New Roman" w:hAnsi="Times New Roman"/>
                <w:noProof/>
              </w:rPr>
              <w:t>2015</w:t>
            </w:r>
          </w:p>
          <w:p>
            <w:pPr>
              <w:jc w:val="center"/>
              <w:rPr>
                <w:noProof/>
              </w:rPr>
            </w:pPr>
          </w:p>
        </w:tc>
        <w:tc>
          <w:tcPr>
            <w:tcW w:w="3207" w:type="dxa"/>
          </w:tcPr>
          <w:p>
            <w:pPr>
              <w:jc w:val="center"/>
              <w:rPr>
                <w:noProof/>
              </w:rPr>
            </w:pPr>
            <w:r>
              <w:rPr>
                <w:noProof/>
              </w:rPr>
              <w:t xml:space="preserve"> </w:t>
            </w:r>
            <w:r>
              <w:rPr>
                <w:noProof/>
              </w:rPr>
              <w:br/>
            </w:r>
            <w:r>
              <w:rPr>
                <w:rFonts w:ascii="Times New Roman" w:hAnsi="Times New Roman"/>
                <w:noProof/>
              </w:rPr>
              <w:t>2 007 773 364</w:t>
            </w:r>
          </w:p>
        </w:tc>
        <w:tc>
          <w:tcPr>
            <w:tcW w:w="3810" w:type="dxa"/>
          </w:tcPr>
          <w:p>
            <w:pPr>
              <w:jc w:val="center"/>
              <w:rPr>
                <w:rFonts w:ascii="Times New Roman" w:hAnsi="Times New Roman"/>
                <w:noProof/>
              </w:rPr>
            </w:pPr>
          </w:p>
          <w:p>
            <w:pPr>
              <w:jc w:val="center"/>
              <w:rPr>
                <w:rFonts w:ascii="Times New Roman" w:hAnsi="Times New Roman"/>
                <w:noProof/>
              </w:rPr>
            </w:pPr>
            <w:r>
              <w:rPr>
                <w:rFonts w:ascii="Times New Roman" w:hAnsi="Times New Roman"/>
                <w:noProof/>
              </w:rPr>
              <w:t>50 669 024</w:t>
            </w:r>
          </w:p>
        </w:tc>
      </w:tr>
      <w:tr>
        <w:trPr>
          <w:trHeight w:val="510"/>
          <w:jc w:val="center"/>
        </w:trPr>
        <w:tc>
          <w:tcPr>
            <w:tcW w:w="1994" w:type="dxa"/>
          </w:tcPr>
          <w:p>
            <w:pPr>
              <w:jc w:val="center"/>
              <w:rPr>
                <w:rFonts w:ascii="Times New Roman" w:hAnsi="Times New Roman"/>
                <w:noProof/>
              </w:rPr>
            </w:pPr>
            <w:r>
              <w:rPr>
                <w:noProof/>
              </w:rPr>
              <w:t xml:space="preserve"> </w:t>
            </w:r>
            <w:r>
              <w:rPr>
                <w:noProof/>
              </w:rPr>
              <w:br/>
            </w:r>
            <w:r>
              <w:rPr>
                <w:rFonts w:ascii="Times New Roman" w:hAnsi="Times New Roman"/>
                <w:noProof/>
              </w:rPr>
              <w:t>2016</w:t>
            </w:r>
          </w:p>
          <w:p>
            <w:pPr>
              <w:jc w:val="center"/>
              <w:rPr>
                <w:rFonts w:ascii="Times New Roman" w:hAnsi="Times New Roman"/>
                <w:noProof/>
              </w:rPr>
            </w:pPr>
          </w:p>
        </w:tc>
        <w:tc>
          <w:tcPr>
            <w:tcW w:w="3207" w:type="dxa"/>
          </w:tcPr>
          <w:p>
            <w:pPr>
              <w:jc w:val="center"/>
              <w:rPr>
                <w:rFonts w:ascii="Times New Roman" w:hAnsi="Times New Roman"/>
                <w:noProof/>
              </w:rPr>
            </w:pPr>
            <w:r>
              <w:rPr>
                <w:noProof/>
              </w:rPr>
              <w:t xml:space="preserve"> </w:t>
            </w:r>
            <w:r>
              <w:rPr>
                <w:noProof/>
              </w:rPr>
              <w:br/>
            </w:r>
            <w:r>
              <w:rPr>
                <w:rFonts w:ascii="Times New Roman" w:hAnsi="Times New Roman"/>
                <w:noProof/>
              </w:rPr>
              <w:t>1 969 509 118</w:t>
            </w:r>
          </w:p>
        </w:tc>
        <w:tc>
          <w:tcPr>
            <w:tcW w:w="3810" w:type="dxa"/>
          </w:tcPr>
          <w:p>
            <w:pPr>
              <w:jc w:val="center"/>
              <w:rPr>
                <w:rFonts w:ascii="Times New Roman" w:hAnsi="Times New Roman"/>
                <w:noProof/>
              </w:rPr>
            </w:pPr>
          </w:p>
          <w:p>
            <w:pPr>
              <w:jc w:val="center"/>
              <w:rPr>
                <w:rFonts w:ascii="Times New Roman" w:hAnsi="Times New Roman"/>
                <w:noProof/>
              </w:rPr>
            </w:pPr>
            <w:r>
              <w:rPr>
                <w:rFonts w:ascii="Times New Roman" w:hAnsi="Times New Roman"/>
                <w:noProof/>
              </w:rPr>
              <w:t>38 879 316</w:t>
            </w:r>
          </w:p>
          <w:p>
            <w:pPr>
              <w:jc w:val="center"/>
              <w:rPr>
                <w:rFonts w:ascii="Times New Roman" w:hAnsi="Times New Roman"/>
                <w:noProof/>
              </w:rPr>
            </w:pPr>
          </w:p>
        </w:tc>
      </w:tr>
      <w:tr>
        <w:trPr>
          <w:trHeight w:val="603"/>
          <w:jc w:val="center"/>
        </w:trPr>
        <w:tc>
          <w:tcPr>
            <w:tcW w:w="1994" w:type="dxa"/>
          </w:tcPr>
          <w:p>
            <w:pPr>
              <w:jc w:val="center"/>
              <w:rPr>
                <w:rFonts w:ascii="Times New Roman" w:hAnsi="Times New Roman"/>
                <w:noProof/>
              </w:rPr>
            </w:pPr>
            <w:r>
              <w:rPr>
                <w:noProof/>
              </w:rPr>
              <w:t xml:space="preserve"> </w:t>
            </w:r>
            <w:r>
              <w:rPr>
                <w:noProof/>
              </w:rPr>
              <w:br/>
            </w:r>
            <w:r>
              <w:rPr>
                <w:rFonts w:ascii="Times New Roman" w:hAnsi="Times New Roman"/>
                <w:noProof/>
              </w:rPr>
              <w:t>2017</w:t>
            </w:r>
          </w:p>
          <w:p>
            <w:pPr>
              <w:jc w:val="center"/>
              <w:rPr>
                <w:rFonts w:ascii="Times New Roman" w:hAnsi="Times New Roman"/>
                <w:noProof/>
              </w:rPr>
            </w:pPr>
          </w:p>
        </w:tc>
        <w:tc>
          <w:tcPr>
            <w:tcW w:w="3207" w:type="dxa"/>
          </w:tcPr>
          <w:p>
            <w:pPr>
              <w:jc w:val="center"/>
              <w:rPr>
                <w:rFonts w:ascii="Times New Roman" w:hAnsi="Times New Roman"/>
                <w:noProof/>
              </w:rPr>
            </w:pPr>
            <w:r>
              <w:rPr>
                <w:noProof/>
              </w:rPr>
              <w:t xml:space="preserve"> </w:t>
            </w:r>
            <w:r>
              <w:rPr>
                <w:noProof/>
              </w:rPr>
              <w:br/>
            </w:r>
            <w:r>
              <w:rPr>
                <w:rFonts w:ascii="Times New Roman" w:hAnsi="Times New Roman"/>
                <w:noProof/>
              </w:rPr>
              <w:t>1 931 244 873</w:t>
            </w:r>
          </w:p>
        </w:tc>
        <w:tc>
          <w:tcPr>
            <w:tcW w:w="3810" w:type="dxa"/>
          </w:tcPr>
          <w:p>
            <w:pPr>
              <w:jc w:val="center"/>
              <w:rPr>
                <w:rFonts w:ascii="Times New Roman" w:hAnsi="Times New Roman"/>
                <w:noProof/>
              </w:rPr>
            </w:pPr>
          </w:p>
          <w:p>
            <w:pPr>
              <w:jc w:val="center"/>
              <w:rPr>
                <w:rFonts w:ascii="Times New Roman" w:hAnsi="Times New Roman"/>
                <w:noProof/>
              </w:rPr>
            </w:pPr>
            <w:r>
              <w:rPr>
                <w:rFonts w:ascii="Times New Roman" w:hAnsi="Times New Roman"/>
                <w:noProof/>
              </w:rPr>
              <w:t>38 711 651</w:t>
            </w:r>
          </w:p>
        </w:tc>
      </w:tr>
      <w:tr>
        <w:trPr>
          <w:trHeight w:val="603"/>
          <w:jc w:val="center"/>
        </w:trPr>
        <w:tc>
          <w:tcPr>
            <w:tcW w:w="1994" w:type="dxa"/>
          </w:tcPr>
          <w:p>
            <w:pPr>
              <w:jc w:val="center"/>
              <w:rPr>
                <w:rFonts w:ascii="Times New Roman" w:hAnsi="Times New Roman"/>
                <w:noProof/>
              </w:rPr>
            </w:pPr>
            <w:r>
              <w:rPr>
                <w:noProof/>
              </w:rPr>
              <w:t xml:space="preserve"> </w:t>
            </w:r>
            <w:r>
              <w:rPr>
                <w:noProof/>
              </w:rPr>
              <w:br/>
            </w:r>
            <w:r>
              <w:rPr>
                <w:rFonts w:ascii="Times New Roman" w:hAnsi="Times New Roman"/>
                <w:noProof/>
              </w:rPr>
              <w:t>2018</w:t>
            </w:r>
          </w:p>
          <w:p>
            <w:pPr>
              <w:jc w:val="center"/>
              <w:rPr>
                <w:rFonts w:ascii="Times New Roman" w:hAnsi="Times New Roman"/>
                <w:noProof/>
              </w:rPr>
            </w:pPr>
          </w:p>
        </w:tc>
        <w:tc>
          <w:tcPr>
            <w:tcW w:w="3207" w:type="dxa"/>
          </w:tcPr>
          <w:p>
            <w:pPr>
              <w:jc w:val="center"/>
              <w:rPr>
                <w:rFonts w:ascii="Times New Roman" w:hAnsi="Times New Roman"/>
                <w:noProof/>
              </w:rPr>
            </w:pPr>
            <w:r>
              <w:rPr>
                <w:noProof/>
              </w:rPr>
              <w:t xml:space="preserve"> </w:t>
            </w:r>
            <w:r>
              <w:rPr>
                <w:noProof/>
              </w:rPr>
              <w:br/>
            </w:r>
            <w:r>
              <w:rPr>
                <w:rFonts w:ascii="Times New Roman" w:hAnsi="Times New Roman"/>
                <w:noProof/>
              </w:rPr>
              <w:t>1 892 980 627</w:t>
            </w:r>
          </w:p>
        </w:tc>
        <w:tc>
          <w:tcPr>
            <w:tcW w:w="3810" w:type="dxa"/>
          </w:tcPr>
          <w:p>
            <w:pPr>
              <w:jc w:val="center"/>
              <w:rPr>
                <w:rFonts w:ascii="Times New Roman" w:hAnsi="Times New Roman"/>
                <w:noProof/>
              </w:rPr>
            </w:pPr>
          </w:p>
          <w:p>
            <w:pPr>
              <w:jc w:val="center"/>
              <w:rPr>
                <w:rFonts w:ascii="Times New Roman" w:hAnsi="Times New Roman"/>
                <w:noProof/>
              </w:rPr>
            </w:pPr>
            <w:r>
              <w:rPr>
                <w:rFonts w:ascii="Times New Roman" w:hAnsi="Times New Roman"/>
                <w:noProof/>
              </w:rPr>
              <w:t>38 909 585</w:t>
            </w:r>
          </w:p>
        </w:tc>
      </w:tr>
      <w:tr>
        <w:trPr>
          <w:trHeight w:val="603"/>
          <w:jc w:val="center"/>
        </w:trPr>
        <w:tc>
          <w:tcPr>
            <w:tcW w:w="1994" w:type="dxa"/>
          </w:tcPr>
          <w:p>
            <w:pPr>
              <w:jc w:val="center"/>
              <w:rPr>
                <w:rFonts w:ascii="Times New Roman" w:hAnsi="Times New Roman"/>
                <w:noProof/>
              </w:rPr>
            </w:pPr>
            <w:r>
              <w:rPr>
                <w:noProof/>
              </w:rPr>
              <w:t xml:space="preserve"> </w:t>
            </w:r>
            <w:r>
              <w:rPr>
                <w:noProof/>
              </w:rPr>
              <w:br/>
            </w:r>
            <w:r>
              <w:rPr>
                <w:rFonts w:ascii="Times New Roman" w:hAnsi="Times New Roman"/>
                <w:noProof/>
              </w:rPr>
              <w:t>2019</w:t>
            </w:r>
          </w:p>
          <w:p>
            <w:pPr>
              <w:jc w:val="center"/>
              <w:rPr>
                <w:rFonts w:ascii="Times New Roman" w:hAnsi="Times New Roman"/>
                <w:noProof/>
              </w:rPr>
            </w:pPr>
          </w:p>
        </w:tc>
        <w:tc>
          <w:tcPr>
            <w:tcW w:w="3207" w:type="dxa"/>
          </w:tcPr>
          <w:p>
            <w:pPr>
              <w:jc w:val="center"/>
              <w:rPr>
                <w:rFonts w:ascii="Times New Roman" w:hAnsi="Times New Roman"/>
                <w:noProof/>
              </w:rPr>
            </w:pPr>
            <w:r>
              <w:rPr>
                <w:noProof/>
              </w:rPr>
              <w:t xml:space="preserve"> </w:t>
            </w:r>
            <w:r>
              <w:rPr>
                <w:noProof/>
              </w:rPr>
              <w:br/>
            </w:r>
            <w:r>
              <w:rPr>
                <w:rFonts w:ascii="Times New Roman" w:hAnsi="Times New Roman"/>
                <w:noProof/>
              </w:rPr>
              <w:t>1 854 716 381</w:t>
            </w:r>
          </w:p>
        </w:tc>
        <w:tc>
          <w:tcPr>
            <w:tcW w:w="3810" w:type="dxa"/>
          </w:tcPr>
          <w:p>
            <w:pPr>
              <w:jc w:val="center"/>
              <w:rPr>
                <w:rFonts w:ascii="Times New Roman" w:hAnsi="Times New Roman"/>
                <w:noProof/>
              </w:rPr>
            </w:pPr>
          </w:p>
          <w:p>
            <w:pPr>
              <w:jc w:val="center"/>
              <w:rPr>
                <w:rFonts w:ascii="Times New Roman" w:hAnsi="Times New Roman"/>
                <w:noProof/>
                <w:color w:val="000000"/>
              </w:rPr>
            </w:pPr>
            <w:r>
              <w:rPr>
                <w:rFonts w:ascii="Times New Roman" w:hAnsi="Times New Roman"/>
                <w:noProof/>
                <w:color w:val="000000"/>
              </w:rPr>
              <w:t xml:space="preserve">38 946 562 </w:t>
            </w:r>
          </w:p>
          <w:p>
            <w:pPr>
              <w:jc w:val="center"/>
              <w:rPr>
                <w:rFonts w:ascii="Times New Roman" w:hAnsi="Times New Roman"/>
                <w:noProof/>
              </w:rPr>
            </w:pPr>
          </w:p>
        </w:tc>
      </w:tr>
      <w:tr>
        <w:trPr>
          <w:trHeight w:val="510"/>
          <w:jc w:val="center"/>
        </w:trPr>
        <w:tc>
          <w:tcPr>
            <w:tcW w:w="1994" w:type="dxa"/>
          </w:tcPr>
          <w:p>
            <w:pPr>
              <w:jc w:val="center"/>
              <w:rPr>
                <w:rFonts w:ascii="Times New Roman" w:hAnsi="Times New Roman"/>
                <w:noProof/>
              </w:rPr>
            </w:pPr>
            <w:r>
              <w:rPr>
                <w:noProof/>
              </w:rPr>
              <w:t xml:space="preserve"> </w:t>
            </w:r>
            <w:r>
              <w:rPr>
                <w:noProof/>
              </w:rPr>
              <w:br/>
            </w:r>
            <w:r>
              <w:rPr>
                <w:rFonts w:ascii="Times New Roman" w:hAnsi="Times New Roman"/>
                <w:noProof/>
              </w:rPr>
              <w:t>2020</w:t>
            </w:r>
          </w:p>
          <w:p>
            <w:pPr>
              <w:jc w:val="center"/>
              <w:rPr>
                <w:rFonts w:ascii="Times New Roman" w:hAnsi="Times New Roman"/>
                <w:noProof/>
              </w:rPr>
            </w:pPr>
          </w:p>
        </w:tc>
        <w:tc>
          <w:tcPr>
            <w:tcW w:w="3207" w:type="dxa"/>
          </w:tcPr>
          <w:p>
            <w:pPr>
              <w:jc w:val="center"/>
              <w:rPr>
                <w:noProof/>
              </w:rPr>
            </w:pPr>
            <w:r>
              <w:rPr>
                <w:noProof/>
              </w:rPr>
              <w:t xml:space="preserve"> </w:t>
            </w:r>
            <w:r>
              <w:rPr>
                <w:noProof/>
              </w:rPr>
              <w:br/>
            </w:r>
            <w:r>
              <w:rPr>
                <w:rFonts w:ascii="Times New Roman" w:hAnsi="Times New Roman"/>
                <w:noProof/>
              </w:rPr>
              <w:t>1 816 452 135</w:t>
            </w:r>
          </w:p>
        </w:tc>
        <w:tc>
          <w:tcPr>
            <w:tcW w:w="3810" w:type="dxa"/>
          </w:tcPr>
          <w:p>
            <w:pPr>
              <w:jc w:val="center"/>
              <w:rPr>
                <w:rFonts w:ascii="Times New Roman" w:hAnsi="Times New Roman"/>
                <w:noProof/>
              </w:rPr>
            </w:pPr>
          </w:p>
          <w:p>
            <w:pPr>
              <w:jc w:val="center"/>
              <w:rPr>
                <w:rFonts w:ascii="Times New Roman" w:hAnsi="Times New Roman"/>
                <w:noProof/>
              </w:rPr>
            </w:pPr>
          </w:p>
        </w:tc>
      </w:tr>
    </w:tbl>
    <w:p>
      <w:pPr>
        <w:spacing w:after="0"/>
        <w:jc w:val="both"/>
        <w:rPr>
          <w:rFonts w:ascii="Times New Roman" w:hAnsi="Times New Roman"/>
          <w:noProof/>
          <w:sz w:val="24"/>
          <w:szCs w:val="24"/>
        </w:rPr>
      </w:pPr>
      <w:bookmarkStart w:id="24" w:name="_Toc490850425"/>
      <w:bookmarkStart w:id="25" w:name="_Toc519009681"/>
    </w:p>
    <w:p>
      <w:pPr>
        <w:spacing w:after="0"/>
        <w:jc w:val="both"/>
        <w:rPr>
          <w:rFonts w:ascii="Times New Roman" w:hAnsi="Times New Roman"/>
          <w:noProof/>
          <w:sz w:val="24"/>
          <w:szCs w:val="24"/>
        </w:rPr>
      </w:pPr>
      <w:r>
        <w:rPr>
          <w:rFonts w:ascii="Times New Roman" w:hAnsi="Times New Roman"/>
          <w:noProof/>
          <w:sz w:val="24"/>
          <w:szCs w:val="24"/>
        </w:rPr>
        <w:t>Fl-1 ta’ Frar 2020 daħal fis-seħħ il-Ftehim dwar il-ħruġ tar-Renju Unit mill-Unjoni Ewropea</w:t>
      </w:r>
      <w:r>
        <w:rPr>
          <w:rStyle w:val="FootnoteReference"/>
          <w:rFonts w:ascii="Times New Roman" w:hAnsi="Times New Roman"/>
          <w:noProof/>
          <w:sz w:val="24"/>
          <w:szCs w:val="24"/>
        </w:rPr>
        <w:footnoteReference w:id="27"/>
      </w:r>
      <w:r>
        <w:rPr>
          <w:rFonts w:ascii="Times New Roman" w:hAnsi="Times New Roman"/>
          <w:noProof/>
          <w:sz w:val="24"/>
          <w:szCs w:val="24"/>
        </w:rPr>
        <w:t>. Id-Direttiva tal-ETS tapplika għar-Renju Unit sal-aħħar tal-31 ta’ Diċembru 2020, u skont il-Protokoll tal-Irlanda u l-Irlanda ta’ Fuq</w:t>
      </w:r>
      <w:r>
        <w:rPr>
          <w:rStyle w:val="FootnoteReference"/>
          <w:rFonts w:ascii="Times New Roman" w:hAnsi="Times New Roman"/>
          <w:noProof/>
          <w:sz w:val="24"/>
          <w:szCs w:val="24"/>
        </w:rPr>
        <w:footnoteReference w:id="28"/>
      </w:r>
      <w:r>
        <w:rPr>
          <w:rFonts w:ascii="Times New Roman" w:hAnsi="Times New Roman"/>
          <w:noProof/>
          <w:sz w:val="24"/>
          <w:szCs w:val="24"/>
        </w:rPr>
        <w:t xml:space="preserve">, il-ġenerazzjoni tal-elettriku li tinsab fl-Irlanda ta’ Fuq (NI) tibqa’ fl-EU ETS bid-drittijiet u l-obbligi rilevanti. </w:t>
      </w:r>
    </w:p>
    <w:p>
      <w:pPr>
        <w:spacing w:after="0"/>
        <w:jc w:val="both"/>
        <w:rPr>
          <w:rFonts w:ascii="Times New Roman" w:hAnsi="Times New Roman"/>
          <w:noProof/>
          <w:sz w:val="24"/>
          <w:szCs w:val="24"/>
        </w:rPr>
      </w:pPr>
    </w:p>
    <w:p>
      <w:pPr>
        <w:spacing w:after="0"/>
        <w:jc w:val="both"/>
        <w:rPr>
          <w:rFonts w:ascii="Times New Roman" w:hAnsi="Times New Roman"/>
          <w:noProof/>
          <w:sz w:val="24"/>
          <w:szCs w:val="24"/>
        </w:rPr>
      </w:pPr>
      <w:r>
        <w:rPr>
          <w:rFonts w:ascii="Times New Roman" w:hAnsi="Times New Roman"/>
          <w:noProof/>
          <w:sz w:val="24"/>
          <w:szCs w:val="24"/>
        </w:rPr>
        <w:t>Il-Kummissjoni qieset dawn l-iżviluppi billi fis-16 ta’ Novembru 2020 adottat Deċiżjoni tal-Kummissjoni</w:t>
      </w:r>
      <w:r>
        <w:rPr>
          <w:rStyle w:val="FootnoteReference"/>
          <w:rFonts w:ascii="Times New Roman" w:hAnsi="Times New Roman"/>
          <w:noProof/>
          <w:sz w:val="24"/>
          <w:szCs w:val="24"/>
        </w:rPr>
        <w:footnoteReference w:id="29"/>
      </w:r>
      <w:r>
        <w:rPr>
          <w:rFonts w:ascii="Times New Roman" w:hAnsi="Times New Roman"/>
          <w:noProof/>
          <w:sz w:val="24"/>
          <w:szCs w:val="24"/>
        </w:rPr>
        <w:t xml:space="preserve">dwar il-kwantità aġġustata ta’ kwoti għall-Unjoni kollha. L-illustrazzjoni 1 tiġbor fil-qosor it-tnaqqis tal-limitu massimu wara ż-żieda tal-fattur ta’ tnaqqis lineari għal 2,2 % mill-2021, filwaqt li tara wkoll ir-rwol tal-alimentazzjoni tar-Riżerva tal-Istabbiltà tas-Suq (MSR) u l-kontribuzzjonijiet ta’ garanzija b’lura lill-MSR (ara wkoll il-Kapitolu 3.3). </w:t>
      </w:r>
    </w:p>
    <w:p>
      <w:pPr>
        <w:spacing w:after="0"/>
        <w:jc w:val="both"/>
        <w:rPr>
          <w:rFonts w:ascii="Times New Roman" w:hAnsi="Times New Roman"/>
          <w:noProof/>
          <w:sz w:val="24"/>
          <w:szCs w:val="24"/>
        </w:rPr>
      </w:pPr>
    </w:p>
    <w:p>
      <w:pPr>
        <w:spacing w:after="0"/>
        <w:jc w:val="both"/>
        <w:rPr>
          <w:rFonts w:ascii="Times New Roman" w:hAnsi="Times New Roman"/>
          <w:b/>
          <w:bCs/>
          <w:noProof/>
        </w:rPr>
      </w:pPr>
    </w:p>
    <w:p>
      <w:pPr>
        <w:spacing w:after="0"/>
        <w:jc w:val="both"/>
        <w:rPr>
          <w:rFonts w:ascii="Times New Roman" w:hAnsi="Times New Roman"/>
          <w:b/>
          <w:bCs/>
          <w:noProof/>
        </w:rPr>
      </w:pPr>
    </w:p>
    <w:p>
      <w:pPr>
        <w:spacing w:after="0"/>
        <w:jc w:val="both"/>
        <w:rPr>
          <w:rFonts w:ascii="Times New Roman" w:hAnsi="Times New Roman"/>
          <w:b/>
          <w:bCs/>
          <w:noProof/>
        </w:rPr>
      </w:pPr>
    </w:p>
    <w:p>
      <w:pPr>
        <w:spacing w:after="0"/>
        <w:jc w:val="both"/>
        <w:rPr>
          <w:rFonts w:ascii="Times New Roman" w:hAnsi="Times New Roman"/>
          <w:b/>
          <w:bCs/>
          <w:noProof/>
        </w:rPr>
      </w:pPr>
      <w:r>
        <w:rPr>
          <w:rFonts w:ascii="Times New Roman" w:hAnsi="Times New Roman"/>
          <w:b/>
          <w:bCs/>
          <w:noProof/>
        </w:rPr>
        <w:t>Illustrazzjoni 1: Tnaqqis tal-limitu massimu b’żieda tal-Fattur ta’ Tnaqqis Lineari għal 2,2 % mill-2021</w:t>
      </w:r>
      <w:r>
        <w:rPr>
          <w:rFonts w:ascii="Times New Roman" w:hAnsi="Times New Roman"/>
          <w:b/>
          <w:bCs/>
          <w:noProof/>
          <w:vertAlign w:val="superscript"/>
        </w:rPr>
        <w:footnoteReference w:id="30"/>
      </w:r>
    </w:p>
    <w:p>
      <w:pPr>
        <w:spacing w:after="0"/>
        <w:jc w:val="both"/>
        <w:rPr>
          <w:rFonts w:ascii="Times New Roman" w:hAnsi="Times New Roman"/>
          <w:noProof/>
          <w:sz w:val="24"/>
          <w:szCs w:val="24"/>
        </w:rPr>
      </w:pPr>
    </w:p>
    <w:p>
      <w:pPr>
        <w:spacing w:after="0"/>
        <w:jc w:val="both"/>
        <w:rPr>
          <w:rFonts w:ascii="Times New Roman" w:hAnsi="Times New Roman"/>
          <w:noProof/>
          <w:sz w:val="24"/>
          <w:szCs w:val="24"/>
        </w:rPr>
      </w:pPr>
      <w:r>
        <w:rPr>
          <w:rFonts w:ascii="Times New Roman" w:hAnsi="Times New Roman"/>
          <w:noProof/>
          <w:sz w:val="24"/>
          <w:szCs w:val="24"/>
          <w:lang w:val="en-GB" w:eastAsia="en-GB"/>
        </w:rPr>
        <w:drawing>
          <wp:inline distT="0" distB="0" distL="0" distR="0">
            <wp:extent cx="5930908" cy="37029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53394" cy="3716976"/>
                    </a:xfrm>
                    <a:prstGeom prst="rect">
                      <a:avLst/>
                    </a:prstGeom>
                    <a:noFill/>
                  </pic:spPr>
                </pic:pic>
              </a:graphicData>
            </a:graphic>
          </wp:inline>
        </w:drawing>
      </w:r>
    </w:p>
    <w:p>
      <w:pPr>
        <w:pStyle w:val="Heading3"/>
        <w:spacing w:before="0" w:after="200"/>
        <w:ind w:left="720"/>
        <w:rPr>
          <w:noProof/>
        </w:rPr>
      </w:pPr>
      <w:bookmarkStart w:id="26" w:name="_Toc56000795"/>
      <w:r>
        <w:rPr>
          <w:noProof/>
        </w:rPr>
        <w:t>3.1.2. Kwoti maħruġa</w:t>
      </w:r>
      <w:bookmarkEnd w:id="24"/>
      <w:bookmarkEnd w:id="25"/>
      <w:bookmarkEnd w:id="26"/>
    </w:p>
    <w:p>
      <w:pPr>
        <w:pStyle w:val="Heading4"/>
        <w:spacing w:before="0" w:after="200"/>
        <w:ind w:left="720"/>
        <w:rPr>
          <w:noProof/>
        </w:rPr>
      </w:pPr>
      <w:bookmarkStart w:id="27" w:name="_Toc490850426"/>
      <w:bookmarkStart w:id="28" w:name="_Toc56000796"/>
      <w:r>
        <w:rPr>
          <w:noProof/>
        </w:rPr>
        <w:t>3.1.2.1.Allokazzjoni bla ħlas</w:t>
      </w:r>
      <w:bookmarkEnd w:id="27"/>
      <w:bookmarkEnd w:id="28"/>
      <w:r>
        <w:rPr>
          <w:noProof/>
        </w:rPr>
        <w:t xml:space="preserve"> </w:t>
      </w:r>
    </w:p>
    <w:p>
      <w:pPr>
        <w:jc w:val="both"/>
        <w:rPr>
          <w:rFonts w:ascii="Times New Roman" w:hAnsi="Times New Roman"/>
          <w:noProof/>
          <w:sz w:val="24"/>
          <w:szCs w:val="24"/>
        </w:rPr>
      </w:pPr>
      <w:r>
        <w:rPr>
          <w:rFonts w:ascii="Times New Roman" w:hAnsi="Times New Roman"/>
          <w:noProof/>
          <w:sz w:val="24"/>
          <w:szCs w:val="24"/>
          <w:lang w:val="en-GB" w:eastAsia="en-GB"/>
        </w:rPr>
        <mc:AlternateContent>
          <mc:Choice Requires="wps">
            <w:drawing>
              <wp:inline distT="0" distB="0" distL="0" distR="0">
                <wp:extent cx="5749747" cy="5715000"/>
                <wp:effectExtent l="0" t="0" r="22860" b="1905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747" cy="5715000"/>
                        </a:xfrm>
                        <a:prstGeom prst="rect">
                          <a:avLst/>
                        </a:prstGeom>
                        <a:solidFill>
                          <a:schemeClr val="bg1">
                            <a:lumMod val="85000"/>
                          </a:schemeClr>
                        </a:solidFill>
                        <a:ln w="12700">
                          <a:solidFill>
                            <a:srgbClr val="000000"/>
                          </a:solidFill>
                          <a:miter lim="800000"/>
                          <a:headEnd/>
                          <a:tailEnd/>
                        </a:ln>
                      </wps:spPr>
                      <wps:txbx>
                        <w:txbxContent>
                          <w:p>
                            <w:pPr>
                              <w:jc w:val="both"/>
                              <w:rPr>
                                <w:rFonts w:ascii="Times New Roman" w:hAnsi="Times New Roman"/>
                                <w:sz w:val="24"/>
                                <w:szCs w:val="24"/>
                              </w:rPr>
                            </w:pPr>
                            <w:r>
                              <w:rPr>
                                <w:rFonts w:ascii="Times New Roman" w:hAnsi="Times New Roman"/>
                                <w:sz w:val="24"/>
                                <w:szCs w:val="24"/>
                              </w:rPr>
                              <w:t>Għalkemm fil-fażi 3 tal-EU ETS, l-irkant huwa l-metodu ta’ allokazzjoni prestabbilit, ammont sinifikanti ta’ kwoti kien allokat bla ħlas lill-installazzjonijiet industrijali biex jindirizzaw ir-riskju ta’ rilokazzjoni tal-emissjonijiet tal-karbonju (sitwazzjoni fejn il-kumpaniji jittrasferixxu produzzjoni lil pajjiżi terzi b’restrizzjonijiet inqas stretti fuq l-emissjonijiet GHG, li tista’ twassal għal żieda fl-emissjonijiet totali tagħhom). Japplikaw il-prinċipji li ġejjin:</w:t>
                            </w:r>
                          </w:p>
                          <w:p>
                            <w:pPr>
                              <w:pStyle w:val="ListParagraph"/>
                              <w:numPr>
                                <w:ilvl w:val="0"/>
                                <w:numId w:val="10"/>
                              </w:numPr>
                              <w:spacing w:after="200" w:line="276" w:lineRule="auto"/>
                              <w:jc w:val="both"/>
                              <w:rPr>
                                <w:rFonts w:ascii="Times New Roman" w:hAnsi="Times New Roman"/>
                                <w:sz w:val="24"/>
                                <w:szCs w:val="24"/>
                              </w:rPr>
                            </w:pPr>
                            <w:r>
                              <w:rPr>
                                <w:rFonts w:ascii="Times New Roman" w:hAnsi="Times New Roman"/>
                                <w:sz w:val="24"/>
                                <w:szCs w:val="24"/>
                              </w:rPr>
                              <w:t>Il-produzzjoni tal-elettriku mhijiex eliġibbli għal kwoti bla ħlas;</w:t>
                            </w:r>
                          </w:p>
                          <w:p>
                            <w:pPr>
                              <w:pStyle w:val="ListParagraph"/>
                              <w:numPr>
                                <w:ilvl w:val="0"/>
                                <w:numId w:val="10"/>
                              </w:numPr>
                              <w:spacing w:after="200" w:line="276" w:lineRule="auto"/>
                              <w:jc w:val="both"/>
                              <w:rPr>
                                <w:rFonts w:ascii="Times New Roman" w:hAnsi="Times New Roman"/>
                                <w:sz w:val="24"/>
                                <w:szCs w:val="24"/>
                              </w:rPr>
                            </w:pPr>
                            <w:r>
                              <w:rPr>
                                <w:rFonts w:ascii="Times New Roman" w:hAnsi="Times New Roman"/>
                                <w:sz w:val="24"/>
                                <w:szCs w:val="24"/>
                              </w:rPr>
                              <w:t>Il-kwoti bla ħlas lill-industrija tal-manifattura jitqassmu skont regoli armonizzati fl-UE kollha;</w:t>
                            </w:r>
                          </w:p>
                          <w:p>
                            <w:pPr>
                              <w:pStyle w:val="ListParagraph"/>
                              <w:numPr>
                                <w:ilvl w:val="0"/>
                                <w:numId w:val="10"/>
                              </w:numPr>
                              <w:spacing w:after="200" w:line="276" w:lineRule="auto"/>
                              <w:jc w:val="both"/>
                              <w:rPr>
                                <w:rFonts w:ascii="Times New Roman" w:hAnsi="Times New Roman"/>
                                <w:sz w:val="24"/>
                                <w:szCs w:val="24"/>
                              </w:rPr>
                            </w:pPr>
                            <w:r>
                              <w:rPr>
                                <w:rFonts w:ascii="Times New Roman" w:hAnsi="Times New Roman"/>
                                <w:sz w:val="24"/>
                                <w:szCs w:val="24"/>
                              </w:rPr>
                              <w:t>L-allokazzjoni bla ħlas hija bbażata fuq parametri referenzjarji tal-prestazzjoni għat-tisħiħ tal-inċentivi għat-tnaqqis ta’ emissjonijiet GHG u għall-innovazzjoni u għall-ippremjar tal-installazzjonijiet l-aktar effiċjenti;</w:t>
                            </w:r>
                          </w:p>
                          <w:p>
                            <w:pPr>
                              <w:pStyle w:val="ListParagraph"/>
                              <w:numPr>
                                <w:ilvl w:val="0"/>
                                <w:numId w:val="10"/>
                              </w:numPr>
                              <w:spacing w:after="200" w:line="276" w:lineRule="auto"/>
                              <w:jc w:val="both"/>
                              <w:rPr>
                                <w:rFonts w:ascii="Times New Roman" w:hAnsi="Times New Roman"/>
                                <w:sz w:val="24"/>
                                <w:szCs w:val="24"/>
                              </w:rPr>
                            </w:pPr>
                            <w:r>
                              <w:rPr>
                                <w:rFonts w:ascii="Times New Roman" w:hAnsi="Times New Roman"/>
                                <w:sz w:val="24"/>
                                <w:szCs w:val="24"/>
                              </w:rPr>
                              <w:t>Ġiet stabbilita riżerva għal Min Jidħol Ġdid (NER) fl-UE kollha għall-installazzjonijiet industrijali ġodda u għall-installazzjonijiet li jżidu l-kapaċità b’mod sinifikanti, ekwivalenti għal 5 % tal-ammont totali tal-kwoti għall-fażi 3.</w:t>
                            </w:r>
                          </w:p>
                          <w:p>
                            <w:pPr>
                              <w:jc w:val="both"/>
                              <w:rPr>
                                <w:rFonts w:ascii="Times New Roman" w:hAnsi="Times New Roman"/>
                                <w:sz w:val="24"/>
                                <w:szCs w:val="24"/>
                              </w:rPr>
                            </w:pPr>
                            <w:r>
                              <w:rPr>
                                <w:rFonts w:ascii="Times New Roman" w:hAnsi="Times New Roman"/>
                                <w:sz w:val="24"/>
                                <w:szCs w:val="24"/>
                              </w:rPr>
                              <w:t>Is-setturi u s-subsetturi meqjusin bħala esposti għal riskju sinifikanti ta’ rilokazzjoni tal-emissjonijiet tal-karbonju huma mqiegħda f’lista ta’ rilokazzjoni tal-emissjonijiet tal-karbonju*. Filwaqt li oriġinarjament il-lista kienet tkopri l-perjodu 2015-2019, id-Direttiva riveduta dwar l-EU ETS estendiet il-validità tagħha sal-31 ta’ Diċembru 2020.</w:t>
                            </w:r>
                          </w:p>
                          <w:p>
                            <w:pPr>
                              <w:jc w:val="both"/>
                              <w:rPr>
                                <w:rFonts w:ascii="Times New Roman" w:hAnsi="Times New Roman"/>
                                <w:sz w:val="24"/>
                                <w:szCs w:val="24"/>
                              </w:rPr>
                            </w:pPr>
                            <w:r>
                              <w:rPr>
                                <w:rFonts w:ascii="Times New Roman" w:hAnsi="Times New Roman"/>
                                <w:sz w:val="24"/>
                                <w:szCs w:val="24"/>
                              </w:rPr>
                              <w:t>Fil-fażi 3, peress li d-domanda għal allokazzjoni bla ħlas qabżet l-ammont disponibbli, l-allokazzjoni għall-installazzjonijiet kollha skont l-EU ETS tnaqqset bl-istess perċentwal permezz tal-applikazzjoni ta’ “fattur ta’ korrezzjoni trasversali (CSCF)”**. Fl-2017, il-valuri oriġinali ta’ CSFC ġew riveduti.***</w:t>
                            </w:r>
                          </w:p>
                          <w:p>
                            <w:pPr>
                              <w:spacing w:line="240" w:lineRule="auto"/>
                              <w:rPr>
                                <w:rFonts w:ascii="Times New Roman" w:hAnsi="Times New Roman"/>
                                <w:sz w:val="18"/>
                                <w:szCs w:val="18"/>
                              </w:rPr>
                            </w:pPr>
                            <w:r>
                              <w:rPr>
                                <w:rFonts w:ascii="Times New Roman" w:hAnsi="Times New Roman"/>
                                <w:sz w:val="18"/>
                                <w:szCs w:val="18"/>
                              </w:rPr>
                              <w:t xml:space="preserve">* Il-lista ta’ rilokazzjoni tal-emissjonijiet tal-karbonju attwali tista’ tinstab hawnhekk: </w:t>
                            </w:r>
                            <w:hyperlink r:id="rId19" w:history="1">
                              <w:r>
                                <w:rPr>
                                  <w:rStyle w:val="Hyperlink"/>
                                  <w:rFonts w:ascii="Times New Roman" w:hAnsi="Times New Roman"/>
                                  <w:sz w:val="18"/>
                                  <w:szCs w:val="18"/>
                                </w:rPr>
                                <w:t>http://eur-lex.europa.eu/legal-content/MT/ALL/?uri=CELEX:32014D0746</w:t>
                              </w:r>
                            </w:hyperlink>
                          </w:p>
                          <w:p>
                            <w:pPr>
                              <w:spacing w:line="240" w:lineRule="auto"/>
                              <w:rPr>
                                <w:rFonts w:ascii="Times New Roman" w:hAnsi="Times New Roman"/>
                                <w:sz w:val="18"/>
                                <w:szCs w:val="18"/>
                              </w:rPr>
                            </w:pPr>
                            <w:r>
                              <w:rPr>
                                <w:rFonts w:ascii="Times New Roman" w:hAnsi="Times New Roman"/>
                                <w:sz w:val="18"/>
                                <w:szCs w:val="18"/>
                              </w:rPr>
                              <w:t>** Id-Deċiżjoni tal-Kummissjoni 2013/448/UE, ĠU L 240, 7.9.2013, p. 27.</w:t>
                            </w:r>
                          </w:p>
                          <w:p>
                            <w:pPr>
                              <w:spacing w:line="240" w:lineRule="auto"/>
                              <w:rPr>
                                <w:rFonts w:ascii="Times New Roman" w:hAnsi="Times New Roman"/>
                                <w:sz w:val="18"/>
                                <w:szCs w:val="18"/>
                              </w:rPr>
                            </w:pPr>
                            <w:r>
                              <w:t>*** Id-Deċiżjoni tal-Kummissjoni 2017/126/UE, ĠU L 19, 25.1.2017, p. 93.</w:t>
                            </w:r>
                          </w:p>
                        </w:txbxContent>
                      </wps:txbx>
                      <wps:bodyPr rot="0" vert="horz" wrap="square" lIns="91440" tIns="45720" rIns="91440" bIns="45720" anchor="t" anchorCtr="0">
                        <a:noAutofit/>
                      </wps:bodyPr>
                    </wps:wsp>
                  </a:graphicData>
                </a:graphic>
              </wp:inline>
            </w:drawing>
          </mc:Choice>
          <mc:Fallback>
            <w:pict>
              <v:shape id="_x0000_s1029" type="#_x0000_t202" style="width:452.75pt;height:4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" fillcolor="#d8d8d8 [2732]" strokeweight="1pt">
                <v:textbox>
                  <w:txbxContent>
                    <w:p>
                      <w:pPr>
                        <w:jc w:val="both"/>
                        <w:rPr>
                          <w:rFonts w:ascii="Times New Roman" w:hAnsi="Times New Roman"/>
                          <w:sz w:val="24"/>
                          <w:szCs w:val="24"/>
                        </w:rPr>
                      </w:pPr>
                      <w:r>
                        <w:rPr>
                          <w:rFonts w:ascii="Times New Roman" w:hAnsi="Times New Roman"/>
                          <w:sz w:val="24"/>
                          <w:szCs w:val="24"/>
                        </w:rPr>
                        <w:t>Għalkemm fil-fażi 3 tal-EU ETS, l-irkant huwa l-metodu ta’ allokazzjoni prestabbilit, ammont sinifikanti ta’ kwoti kien allokat bla ħlas lill-installazzjonijiet industrijali biex jindirizzaw ir-riskju ta’ rilokazzjoni tal-emissjonijiet tal-karbonju (sitwazzjoni fejn il-kumpaniji jittrasferixxu produzzjoni lil pajjiżi terzi b’restrizzjonijiet inqas stretti fuq l-emissjonijiet GHG, li tista’ twassal għal żieda fl-emissjonijiet totali tagħhom). Japplikaw il-prinċipji li ġejjin:</w:t>
                      </w:r>
                    </w:p>
                    <w:p>
                      <w:pPr>
                        <w:pStyle w:val="ListParagraph"/>
                        <w:numPr>
                          <w:ilvl w:val="0"/>
                          <w:numId w:val="10"/>
                        </w:numPr>
                        <w:spacing w:after="200" w:line="276" w:lineRule="auto"/>
                        <w:jc w:val="both"/>
                        <w:rPr>
                          <w:rFonts w:ascii="Times New Roman" w:hAnsi="Times New Roman"/>
                          <w:sz w:val="24"/>
                          <w:szCs w:val="24"/>
                        </w:rPr>
                      </w:pPr>
                      <w:r>
                        <w:rPr>
                          <w:rFonts w:ascii="Times New Roman" w:hAnsi="Times New Roman"/>
                          <w:sz w:val="24"/>
                          <w:szCs w:val="24"/>
                        </w:rPr>
                        <w:t>Il-produzzjoni tal-elettriku mhijiex eliġibbli għal kwoti bla ħlas;</w:t>
                      </w:r>
                    </w:p>
                    <w:p>
                      <w:pPr>
                        <w:pStyle w:val="ListParagraph"/>
                        <w:numPr>
                          <w:ilvl w:val="0"/>
                          <w:numId w:val="10"/>
                        </w:numPr>
                        <w:spacing w:after="200" w:line="276" w:lineRule="auto"/>
                        <w:jc w:val="both"/>
                        <w:rPr>
                          <w:rFonts w:ascii="Times New Roman" w:hAnsi="Times New Roman"/>
                          <w:sz w:val="24"/>
                          <w:szCs w:val="24"/>
                        </w:rPr>
                      </w:pPr>
                      <w:r>
                        <w:rPr>
                          <w:rFonts w:ascii="Times New Roman" w:hAnsi="Times New Roman"/>
                          <w:sz w:val="24"/>
                          <w:szCs w:val="24"/>
                        </w:rPr>
                        <w:t>Il-kwoti bla ħlas lill-industrija tal-manifattura jitqassmu skont regoli armonizzati fl-UE kollha;</w:t>
                      </w:r>
                    </w:p>
                    <w:p>
                      <w:pPr>
                        <w:pStyle w:val="ListParagraph"/>
                        <w:numPr>
                          <w:ilvl w:val="0"/>
                          <w:numId w:val="10"/>
                        </w:numPr>
                        <w:spacing w:after="200" w:line="276" w:lineRule="auto"/>
                        <w:jc w:val="both"/>
                        <w:rPr>
                          <w:rFonts w:ascii="Times New Roman" w:hAnsi="Times New Roman"/>
                          <w:sz w:val="24"/>
                          <w:szCs w:val="24"/>
                        </w:rPr>
                      </w:pPr>
                      <w:r>
                        <w:rPr>
                          <w:rFonts w:ascii="Times New Roman" w:hAnsi="Times New Roman"/>
                          <w:sz w:val="24"/>
                          <w:szCs w:val="24"/>
                        </w:rPr>
                        <w:t>L-allokazzjoni bla ħlas hija bbażata fuq parametri referenzjarji tal-prestazzjoni għat-tisħiħ tal-inċentivi għat-tnaqqis ta’ emissjonijiet GHG u għall-innovazzjoni u għall-ippremjar tal-installazzjonijiet l-aktar effiċjenti;</w:t>
                      </w:r>
                    </w:p>
                    <w:p>
                      <w:pPr>
                        <w:pStyle w:val="ListParagraph"/>
                        <w:numPr>
                          <w:ilvl w:val="0"/>
                          <w:numId w:val="10"/>
                        </w:numPr>
                        <w:spacing w:after="200" w:line="276" w:lineRule="auto"/>
                        <w:jc w:val="both"/>
                        <w:rPr>
                          <w:rFonts w:ascii="Times New Roman" w:hAnsi="Times New Roman"/>
                          <w:sz w:val="24"/>
                          <w:szCs w:val="24"/>
                        </w:rPr>
                      </w:pPr>
                      <w:r>
                        <w:rPr>
                          <w:rFonts w:ascii="Times New Roman" w:hAnsi="Times New Roman"/>
                          <w:sz w:val="24"/>
                          <w:szCs w:val="24"/>
                        </w:rPr>
                        <w:t>Ġiet stabbilita riżerva għal Min Jidħol Ġdid (NER) fl-UE kollha għall-installazzjonijiet industrijali ġodda u għall-installazzjonijiet li jżidu l-kapaċità b’mod sinifikanti, ekwivalenti għal 5 % tal-ammont totali tal-kwoti għall-fażi 3.</w:t>
                      </w:r>
                    </w:p>
                    <w:p>
                      <w:pPr>
                        <w:jc w:val="both"/>
                        <w:rPr>
                          <w:rFonts w:ascii="Times New Roman" w:hAnsi="Times New Roman"/>
                          <w:sz w:val="24"/>
                          <w:szCs w:val="24"/>
                        </w:rPr>
                      </w:pPr>
                      <w:r>
                        <w:rPr>
                          <w:rFonts w:ascii="Times New Roman" w:hAnsi="Times New Roman"/>
                          <w:sz w:val="24"/>
                          <w:szCs w:val="24"/>
                        </w:rPr>
                        <w:t>Is-setturi u s-subsetturi meqjusin bħala esposti għal riskju sinifikanti ta’ rilokazzjoni tal-emissjonijiet tal-karbonju huma mqiegħda f’lista ta’ rilokazzjoni tal-emissjonijiet tal-karbonju*. Filwaqt li oriġinarjament il-lista kienet tkopri l-perjodu 2015-2019, id-Direttiva riveduta dwar l-EU ETS estendiet il-validità tagħha sal-31 ta’ Diċembru 2020.</w:t>
                      </w:r>
                    </w:p>
                    <w:p>
                      <w:pPr>
                        <w:jc w:val="both"/>
                        <w:rPr>
                          <w:rFonts w:ascii="Times New Roman" w:hAnsi="Times New Roman"/>
                          <w:sz w:val="24"/>
                          <w:szCs w:val="24"/>
                        </w:rPr>
                      </w:pPr>
                      <w:r>
                        <w:rPr>
                          <w:rFonts w:ascii="Times New Roman" w:hAnsi="Times New Roman"/>
                          <w:sz w:val="24"/>
                          <w:szCs w:val="24"/>
                        </w:rPr>
                        <w:t>Fil-fażi 3, peress li d-domanda għal allokazzjoni bla ħlas qabżet l-ammont disponibbli, l-allokazzjoni għall-installazzjonijiet kollha skont l-EU ETS tnaqqset bl-istess perċentwal permezz tal-applikazzjoni ta’ “fattur ta’ korrezzjoni trasversali (CSCF)”**. Fl-2017, il-valuri oriġinali ta’ CSFC ġew riveduti.***</w:t>
                      </w:r>
                    </w:p>
                    <w:p>
                      <w:pPr>
                        <w:spacing w:line="240" w:lineRule="auto"/>
                        <w:rPr>
                          <w:rFonts w:ascii="Times New Roman" w:hAnsi="Times New Roman"/>
                          <w:sz w:val="18"/>
                          <w:szCs w:val="18"/>
                        </w:rPr>
                      </w:pPr>
                      <w:r>
                        <w:rPr>
                          <w:rFonts w:ascii="Times New Roman" w:hAnsi="Times New Roman"/>
                          <w:sz w:val="18"/>
                          <w:szCs w:val="18"/>
                        </w:rPr>
                        <w:t xml:space="preserve">* Il-lista ta’ rilokazzjoni tal-emissjonijiet tal-karbonju attwali tista’ tinstab hawnhekk: </w:t>
                      </w:r>
                      <w:hyperlink r:id="rId20" w:history="1">
                        <w:r>
                          <w:rPr>
                            <w:rStyle w:val="Hyperlink"/>
                            <w:rFonts w:ascii="Times New Roman" w:hAnsi="Times New Roman"/>
                            <w:sz w:val="18"/>
                            <w:szCs w:val="18"/>
                          </w:rPr>
                          <w:t>http://eur-lex.europa.eu/legal-content/MT/ALL/?uri=CELEX:32014D0746</w:t>
                        </w:r>
                      </w:hyperlink>
                    </w:p>
                    <w:p>
                      <w:pPr>
                        <w:spacing w:line="240" w:lineRule="auto"/>
                        <w:rPr>
                          <w:rFonts w:ascii="Times New Roman" w:hAnsi="Times New Roman"/>
                          <w:sz w:val="18"/>
                          <w:szCs w:val="18"/>
                        </w:rPr>
                      </w:pPr>
                      <w:r>
                        <w:rPr>
                          <w:rFonts w:ascii="Times New Roman" w:hAnsi="Times New Roman"/>
                          <w:sz w:val="18"/>
                          <w:szCs w:val="18"/>
                        </w:rPr>
                        <w:t>** Id-Deċiżjoni tal-Kummissjoni 2013/448/UE, ĠU L 240, 7.9.2013, p. 27.</w:t>
                      </w:r>
                    </w:p>
                    <w:p>
                      <w:pPr>
                        <w:spacing w:line="240" w:lineRule="auto"/>
                        <w:rPr>
                          <w:rFonts w:ascii="Times New Roman" w:hAnsi="Times New Roman"/>
                          <w:sz w:val="18"/>
                          <w:szCs w:val="18"/>
                        </w:rPr>
                      </w:pPr>
                      <w:r>
                        <w:t>*** Id-Deċiżjoni tal-Kummissjoni 2017/126/UE, ĠU L 19, 25.1.2017, p. 93.</w:t>
                      </w:r>
                    </w:p>
                  </w:txbxContent>
                </v:textbox>
                <w10:anchorlock/>
              </v:shape>
            </w:pict>
          </mc:Fallback>
        </mc:AlternateContent>
      </w:r>
    </w:p>
    <w:p>
      <w:pPr>
        <w:pStyle w:val="NormalWeb"/>
        <w:spacing w:line="276" w:lineRule="auto"/>
        <w:jc w:val="both"/>
        <w:rPr>
          <w:noProof/>
        </w:rPr>
      </w:pPr>
      <w:r>
        <w:rPr>
          <w:noProof/>
        </w:rPr>
        <w:t>Matul il-fażi 3, madwar 43 % tal-kwantità totali tal-kwoti disponibbli se jiġu allokati bla ħlas, filwaqt li s-sehem ta’ kwoti li għandhom jiġu rkantati mill-Istati Membri jammonta għal madwar 57 %.</w:t>
      </w:r>
    </w:p>
    <w:p>
      <w:pPr>
        <w:pStyle w:val="NormalWeb"/>
        <w:spacing w:before="0" w:beforeAutospacing="0" w:after="300" w:afterAutospacing="0" w:line="276" w:lineRule="auto"/>
        <w:jc w:val="both"/>
        <w:rPr>
          <w:noProof/>
        </w:rPr>
      </w:pPr>
      <w:r>
        <w:rPr>
          <w:noProof/>
        </w:rPr>
        <w:t>Ir-Riżerva għal Min Jidħol Ġdid (NER) inizjali, wara li tnaqqsu 300 miljun kwota għall-programm NER300, kellha 480,2 miljun kwota. Sa Ġunju 2020, 171,1 miljun kwota ġew riżervati għal 1089 installazzjoni għall-fażi 3 kollha. L-NER li jibqa’ jammonta għal 309,1 miljun kwota. Filwaqt li huwa mistenni li se jkun hemm bidliet fl-allokazzjoni sal-aħħar tal-fażi 3, għadd sinifikanti ta’ dawn il-kwoti se jibqgħu mhux allokati. Fl-aħħar tal-fażi 3, il-kwoti mhux allokati mill-NER tal-fażi 3 se jitqiegħdu fir-Riżerva tal-Istabbiltà tas-Suq (MSR), li minnhom 200 miljun kwota se jitqiegħdu fl-NER għall-fażi 4.</w:t>
      </w:r>
    </w:p>
    <w:p>
      <w:pPr>
        <w:pStyle w:val="NormalWeb"/>
        <w:spacing w:before="0" w:beforeAutospacing="0" w:after="300" w:afterAutospacing="0" w:line="276" w:lineRule="auto"/>
        <w:jc w:val="both"/>
        <w:rPr>
          <w:noProof/>
        </w:rPr>
      </w:pPr>
      <w:r>
        <w:rPr>
          <w:noProof/>
        </w:rPr>
        <w:t>Sal-aħħar ta’ Ġunju 2020, l-allokazzjoni b’xejn approvata oriġinarjament sal-aħħar tal-fażi 3 tnaqqset b’madwar 570 miljun kwota minħabba installazzjonijiet li għalqu jew naqqsu l-produzzjoni jew il-kapaċità tal-produzzjoni tagħhom.</w:t>
      </w:r>
    </w:p>
    <w:p>
      <w:pPr>
        <w:pStyle w:val="Caption"/>
        <w:keepNext/>
        <w:rPr>
          <w:rFonts w:ascii="Times New Roman" w:hAnsi="Times New Roman"/>
          <w:noProof/>
          <w:sz w:val="22"/>
          <w:szCs w:val="22"/>
        </w:rPr>
      </w:pPr>
      <w:r>
        <w:rPr>
          <w:rFonts w:ascii="Times New Roman" w:hAnsi="Times New Roman"/>
          <w:noProof/>
          <w:sz w:val="22"/>
          <w:szCs w:val="22"/>
        </w:rPr>
        <w:t>Tabella 2 In-numru ta’ kwoti (f’miljuni) allokati għall-industrija bla ħlas mill-2013 sa Ġunju tal-2020</w:t>
      </w:r>
      <w:r>
        <w:rPr>
          <w:rStyle w:val="FootnoteReference"/>
          <w:rFonts w:ascii="Times New Roman" w:hAnsi="Times New Roman"/>
          <w:b w:val="0"/>
          <w:noProof/>
          <w:sz w:val="22"/>
          <w:szCs w:val="22"/>
          <w:lang w:eastAsia="en-GB"/>
        </w:rPr>
        <w:footnoteReference w:id="31"/>
      </w:r>
    </w:p>
    <w:tbl>
      <w:tblPr>
        <w:tblW w:w="8983"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158"/>
        <w:gridCol w:w="854"/>
        <w:gridCol w:w="861"/>
        <w:gridCol w:w="861"/>
        <w:gridCol w:w="861"/>
        <w:gridCol w:w="862"/>
        <w:gridCol w:w="842"/>
        <w:gridCol w:w="842"/>
        <w:gridCol w:w="842"/>
      </w:tblGrid>
      <w:tr>
        <w:trPr>
          <w:trHeight w:val="510"/>
        </w:trPr>
        <w:tc>
          <w:tcPr>
            <w:tcW w:w="2158" w:type="dxa"/>
            <w:shd w:val="clear" w:color="auto" w:fill="auto"/>
            <w:vAlign w:val="center"/>
          </w:tcPr>
          <w:p>
            <w:pPr>
              <w:jc w:val="center"/>
              <w:rPr>
                <w:rFonts w:ascii="Times New Roman" w:hAnsi="Times New Roman"/>
                <w:b/>
                <w:noProof/>
                <w:sz w:val="20"/>
                <w:szCs w:val="20"/>
                <w:lang w:eastAsia="en-GB"/>
              </w:rPr>
            </w:pPr>
          </w:p>
        </w:tc>
        <w:tc>
          <w:tcPr>
            <w:tcW w:w="854" w:type="dxa"/>
            <w:shd w:val="clear" w:color="auto" w:fill="auto"/>
            <w:vAlign w:val="center"/>
          </w:tcPr>
          <w:p>
            <w:pPr>
              <w:jc w:val="center"/>
              <w:rPr>
                <w:rFonts w:ascii="Times New Roman" w:hAnsi="Times New Roman"/>
                <w:b/>
                <w:noProof/>
                <w:sz w:val="20"/>
                <w:szCs w:val="20"/>
              </w:rPr>
            </w:pPr>
            <w:r>
              <w:rPr>
                <w:rFonts w:ascii="Times New Roman" w:hAnsi="Times New Roman"/>
                <w:b/>
                <w:noProof/>
                <w:sz w:val="20"/>
                <w:szCs w:val="20"/>
              </w:rPr>
              <w:t>2013</w:t>
            </w:r>
          </w:p>
        </w:tc>
        <w:tc>
          <w:tcPr>
            <w:tcW w:w="861" w:type="dxa"/>
            <w:shd w:val="clear" w:color="auto" w:fill="auto"/>
            <w:vAlign w:val="center"/>
          </w:tcPr>
          <w:p>
            <w:pPr>
              <w:jc w:val="center"/>
              <w:rPr>
                <w:rFonts w:ascii="Times New Roman" w:hAnsi="Times New Roman"/>
                <w:b/>
                <w:noProof/>
                <w:sz w:val="20"/>
                <w:szCs w:val="20"/>
              </w:rPr>
            </w:pPr>
            <w:r>
              <w:rPr>
                <w:rFonts w:ascii="Times New Roman" w:hAnsi="Times New Roman"/>
                <w:b/>
                <w:noProof/>
                <w:sz w:val="20"/>
                <w:szCs w:val="20"/>
              </w:rPr>
              <w:t>2014</w:t>
            </w:r>
          </w:p>
        </w:tc>
        <w:tc>
          <w:tcPr>
            <w:tcW w:w="861" w:type="dxa"/>
            <w:vAlign w:val="center"/>
          </w:tcPr>
          <w:p>
            <w:pPr>
              <w:jc w:val="center"/>
              <w:rPr>
                <w:rFonts w:ascii="Times New Roman" w:hAnsi="Times New Roman"/>
                <w:b/>
                <w:noProof/>
                <w:sz w:val="20"/>
                <w:szCs w:val="20"/>
              </w:rPr>
            </w:pPr>
            <w:r>
              <w:rPr>
                <w:rFonts w:ascii="Times New Roman" w:hAnsi="Times New Roman"/>
                <w:b/>
                <w:noProof/>
                <w:sz w:val="20"/>
                <w:szCs w:val="20"/>
              </w:rPr>
              <w:t>2015</w:t>
            </w:r>
          </w:p>
        </w:tc>
        <w:tc>
          <w:tcPr>
            <w:tcW w:w="861" w:type="dxa"/>
            <w:vAlign w:val="center"/>
          </w:tcPr>
          <w:p>
            <w:pPr>
              <w:jc w:val="center"/>
              <w:rPr>
                <w:rFonts w:ascii="Times New Roman" w:hAnsi="Times New Roman"/>
                <w:b/>
                <w:noProof/>
                <w:sz w:val="20"/>
                <w:szCs w:val="20"/>
              </w:rPr>
            </w:pPr>
            <w:r>
              <w:rPr>
                <w:rFonts w:ascii="Times New Roman" w:hAnsi="Times New Roman"/>
                <w:b/>
                <w:noProof/>
                <w:sz w:val="20"/>
                <w:szCs w:val="20"/>
              </w:rPr>
              <w:t>2016</w:t>
            </w:r>
          </w:p>
        </w:tc>
        <w:tc>
          <w:tcPr>
            <w:tcW w:w="862" w:type="dxa"/>
            <w:vAlign w:val="center"/>
          </w:tcPr>
          <w:p>
            <w:pPr>
              <w:jc w:val="center"/>
              <w:rPr>
                <w:rFonts w:ascii="Times New Roman" w:hAnsi="Times New Roman"/>
                <w:b/>
                <w:noProof/>
                <w:sz w:val="20"/>
                <w:szCs w:val="20"/>
              </w:rPr>
            </w:pPr>
            <w:r>
              <w:rPr>
                <w:rFonts w:ascii="Times New Roman" w:hAnsi="Times New Roman"/>
                <w:b/>
                <w:noProof/>
                <w:sz w:val="20"/>
                <w:szCs w:val="20"/>
              </w:rPr>
              <w:t>2017</w:t>
            </w:r>
          </w:p>
        </w:tc>
        <w:tc>
          <w:tcPr>
            <w:tcW w:w="842" w:type="dxa"/>
            <w:vAlign w:val="center"/>
          </w:tcPr>
          <w:p>
            <w:pPr>
              <w:jc w:val="center"/>
              <w:rPr>
                <w:rFonts w:ascii="Times New Roman" w:hAnsi="Times New Roman"/>
                <w:b/>
                <w:noProof/>
                <w:sz w:val="20"/>
                <w:szCs w:val="20"/>
                <w:highlight w:val="yellow"/>
              </w:rPr>
            </w:pPr>
            <w:r>
              <w:rPr>
                <w:rFonts w:ascii="Times New Roman" w:hAnsi="Times New Roman"/>
                <w:b/>
                <w:noProof/>
                <w:sz w:val="20"/>
                <w:szCs w:val="20"/>
              </w:rPr>
              <w:t>2018</w:t>
            </w:r>
          </w:p>
        </w:tc>
        <w:tc>
          <w:tcPr>
            <w:tcW w:w="842" w:type="dxa"/>
            <w:vAlign w:val="center"/>
          </w:tcPr>
          <w:p>
            <w:pPr>
              <w:jc w:val="center"/>
              <w:rPr>
                <w:rFonts w:ascii="Times New Roman" w:hAnsi="Times New Roman"/>
                <w:b/>
                <w:noProof/>
                <w:sz w:val="20"/>
                <w:szCs w:val="20"/>
              </w:rPr>
            </w:pPr>
            <w:r>
              <w:rPr>
                <w:rFonts w:ascii="Times New Roman" w:hAnsi="Times New Roman"/>
                <w:b/>
                <w:noProof/>
                <w:sz w:val="20"/>
                <w:szCs w:val="20"/>
              </w:rPr>
              <w:t>2019</w:t>
            </w:r>
          </w:p>
        </w:tc>
        <w:tc>
          <w:tcPr>
            <w:tcW w:w="842" w:type="dxa"/>
          </w:tcPr>
          <w:p>
            <w:pPr>
              <w:spacing w:before="20"/>
              <w:jc w:val="center"/>
              <w:rPr>
                <w:rFonts w:ascii="Times New Roman" w:hAnsi="Times New Roman"/>
                <w:b/>
                <w:noProof/>
                <w:sz w:val="20"/>
                <w:szCs w:val="20"/>
              </w:rPr>
            </w:pPr>
            <w:r>
              <w:rPr>
                <w:rFonts w:ascii="Times New Roman" w:hAnsi="Times New Roman"/>
                <w:b/>
                <w:noProof/>
                <w:sz w:val="20"/>
                <w:szCs w:val="20"/>
              </w:rPr>
              <w:t>2020</w:t>
            </w:r>
          </w:p>
        </w:tc>
      </w:tr>
      <w:tr>
        <w:trPr>
          <w:trHeight w:val="1174"/>
        </w:trPr>
        <w:tc>
          <w:tcPr>
            <w:tcW w:w="2158" w:type="dxa"/>
            <w:shd w:val="clear" w:color="auto" w:fill="auto"/>
            <w:vAlign w:val="center"/>
          </w:tcPr>
          <w:p>
            <w:pPr>
              <w:jc w:val="center"/>
              <w:rPr>
                <w:rFonts w:ascii="Times New Roman" w:hAnsi="Times New Roman"/>
                <w:b/>
                <w:noProof/>
                <w:sz w:val="20"/>
                <w:szCs w:val="20"/>
              </w:rPr>
            </w:pPr>
            <w:r>
              <w:rPr>
                <w:rFonts w:ascii="Times New Roman" w:hAnsi="Times New Roman"/>
                <w:b/>
                <w:noProof/>
                <w:sz w:val="20"/>
                <w:szCs w:val="20"/>
              </w:rPr>
              <w:t>Allokazzjoni bla ħlas</w:t>
            </w:r>
            <w:r>
              <w:rPr>
                <w:rFonts w:ascii="Times New Roman" w:hAnsi="Times New Roman"/>
                <w:b/>
                <w:noProof/>
                <w:sz w:val="20"/>
                <w:szCs w:val="20"/>
                <w:vertAlign w:val="superscript"/>
                <w:lang w:eastAsia="en-GB"/>
              </w:rPr>
              <w:footnoteReference w:id="32"/>
            </w:r>
            <w:r>
              <w:rPr>
                <w:rFonts w:ascii="Times New Roman" w:hAnsi="Times New Roman"/>
                <w:b/>
                <w:noProof/>
                <w:sz w:val="20"/>
                <w:szCs w:val="20"/>
              </w:rPr>
              <w:t xml:space="preserve"> </w:t>
            </w:r>
            <w:r>
              <w:rPr>
                <w:noProof/>
              </w:rPr>
              <w:br/>
            </w:r>
            <w:r>
              <w:rPr>
                <w:rFonts w:ascii="Times New Roman" w:hAnsi="Times New Roman"/>
                <w:b/>
                <w:noProof/>
                <w:sz w:val="20"/>
                <w:szCs w:val="20"/>
              </w:rPr>
              <w:t>(EU27+UK+Stati taż-ŻEE EFTA)</w:t>
            </w:r>
          </w:p>
        </w:tc>
        <w:tc>
          <w:tcPr>
            <w:tcW w:w="854" w:type="dxa"/>
            <w:shd w:val="clear" w:color="auto" w:fill="auto"/>
            <w:vAlign w:val="center"/>
          </w:tcPr>
          <w:p>
            <w:pPr>
              <w:jc w:val="center"/>
              <w:rPr>
                <w:rFonts w:ascii="Times New Roman" w:hAnsi="Times New Roman"/>
                <w:noProof/>
                <w:sz w:val="20"/>
                <w:szCs w:val="20"/>
              </w:rPr>
            </w:pPr>
            <w:r>
              <w:rPr>
                <w:rFonts w:ascii="Times New Roman" w:hAnsi="Times New Roman"/>
                <w:noProof/>
                <w:sz w:val="20"/>
                <w:szCs w:val="20"/>
              </w:rPr>
              <w:t>903,0</w:t>
            </w:r>
          </w:p>
        </w:tc>
        <w:tc>
          <w:tcPr>
            <w:tcW w:w="861" w:type="dxa"/>
            <w:shd w:val="clear" w:color="auto" w:fill="auto"/>
            <w:vAlign w:val="center"/>
          </w:tcPr>
          <w:p>
            <w:pPr>
              <w:jc w:val="center"/>
              <w:rPr>
                <w:rFonts w:ascii="Times New Roman" w:hAnsi="Times New Roman"/>
                <w:noProof/>
                <w:sz w:val="20"/>
                <w:szCs w:val="20"/>
              </w:rPr>
            </w:pPr>
            <w:r>
              <w:rPr>
                <w:rFonts w:ascii="Times New Roman" w:hAnsi="Times New Roman"/>
                <w:noProof/>
                <w:sz w:val="20"/>
                <w:szCs w:val="20"/>
              </w:rPr>
              <w:t>874,8</w:t>
            </w:r>
          </w:p>
        </w:tc>
        <w:tc>
          <w:tcPr>
            <w:tcW w:w="861" w:type="dxa"/>
            <w:vAlign w:val="center"/>
          </w:tcPr>
          <w:p>
            <w:pPr>
              <w:jc w:val="center"/>
              <w:rPr>
                <w:rFonts w:ascii="Times New Roman" w:hAnsi="Times New Roman"/>
                <w:noProof/>
                <w:sz w:val="20"/>
                <w:szCs w:val="20"/>
              </w:rPr>
            </w:pPr>
            <w:r>
              <w:rPr>
                <w:rFonts w:ascii="Times New Roman" w:hAnsi="Times New Roman"/>
                <w:noProof/>
                <w:sz w:val="20"/>
                <w:szCs w:val="20"/>
              </w:rPr>
              <w:t>847,6</w:t>
            </w:r>
          </w:p>
        </w:tc>
        <w:tc>
          <w:tcPr>
            <w:tcW w:w="861" w:type="dxa"/>
            <w:vAlign w:val="center"/>
          </w:tcPr>
          <w:p>
            <w:pPr>
              <w:jc w:val="center"/>
              <w:rPr>
                <w:rFonts w:ascii="Times New Roman" w:hAnsi="Times New Roman"/>
                <w:noProof/>
                <w:sz w:val="20"/>
                <w:szCs w:val="20"/>
              </w:rPr>
            </w:pPr>
            <w:r>
              <w:rPr>
                <w:rFonts w:ascii="Times New Roman" w:hAnsi="Times New Roman"/>
                <w:noProof/>
                <w:sz w:val="20"/>
                <w:szCs w:val="20"/>
              </w:rPr>
              <w:t>821,3</w:t>
            </w:r>
          </w:p>
        </w:tc>
        <w:tc>
          <w:tcPr>
            <w:tcW w:w="862" w:type="dxa"/>
            <w:vAlign w:val="center"/>
          </w:tcPr>
          <w:p>
            <w:pPr>
              <w:jc w:val="center"/>
              <w:rPr>
                <w:rFonts w:ascii="Times New Roman" w:hAnsi="Times New Roman"/>
                <w:noProof/>
                <w:sz w:val="20"/>
                <w:szCs w:val="20"/>
              </w:rPr>
            </w:pPr>
            <w:r>
              <w:rPr>
                <w:rFonts w:ascii="Times New Roman" w:hAnsi="Times New Roman"/>
                <w:noProof/>
                <w:sz w:val="20"/>
                <w:szCs w:val="20"/>
              </w:rPr>
              <w:t>796,2</w:t>
            </w:r>
          </w:p>
        </w:tc>
        <w:tc>
          <w:tcPr>
            <w:tcW w:w="842" w:type="dxa"/>
            <w:vAlign w:val="center"/>
          </w:tcPr>
          <w:p>
            <w:pPr>
              <w:jc w:val="center"/>
              <w:rPr>
                <w:rFonts w:ascii="Times New Roman" w:hAnsi="Times New Roman"/>
                <w:noProof/>
                <w:sz w:val="20"/>
                <w:szCs w:val="20"/>
              </w:rPr>
            </w:pPr>
            <w:r>
              <w:rPr>
                <w:rFonts w:ascii="Times New Roman" w:hAnsi="Times New Roman"/>
                <w:noProof/>
                <w:sz w:val="20"/>
                <w:szCs w:val="20"/>
              </w:rPr>
              <w:t>771,9</w:t>
            </w:r>
          </w:p>
        </w:tc>
        <w:tc>
          <w:tcPr>
            <w:tcW w:w="842" w:type="dxa"/>
            <w:vAlign w:val="center"/>
          </w:tcPr>
          <w:p>
            <w:pPr>
              <w:jc w:val="center"/>
              <w:rPr>
                <w:rFonts w:ascii="Times New Roman" w:hAnsi="Times New Roman"/>
                <w:noProof/>
                <w:sz w:val="20"/>
                <w:szCs w:val="20"/>
              </w:rPr>
            </w:pPr>
            <w:r>
              <w:rPr>
                <w:rFonts w:ascii="Times New Roman" w:hAnsi="Times New Roman"/>
                <w:noProof/>
                <w:sz w:val="20"/>
                <w:szCs w:val="20"/>
              </w:rPr>
              <w:t>748,1</w:t>
            </w:r>
            <w:r>
              <w:rPr>
                <w:rStyle w:val="FootnoteReference"/>
                <w:rFonts w:ascii="Times New Roman" w:hAnsi="Times New Roman"/>
                <w:noProof/>
                <w:sz w:val="20"/>
                <w:szCs w:val="20"/>
                <w:lang w:eastAsia="en-GB"/>
              </w:rPr>
              <w:footnoteReference w:id="33"/>
            </w:r>
          </w:p>
        </w:tc>
        <w:tc>
          <w:tcPr>
            <w:tcW w:w="842" w:type="dxa"/>
            <w:vAlign w:val="center"/>
          </w:tcPr>
          <w:p>
            <w:pPr>
              <w:jc w:val="center"/>
              <w:rPr>
                <w:rFonts w:ascii="Times New Roman" w:hAnsi="Times New Roman"/>
                <w:noProof/>
                <w:sz w:val="20"/>
                <w:szCs w:val="20"/>
                <w:lang w:eastAsia="en-GB"/>
              </w:rPr>
            </w:pPr>
          </w:p>
          <w:p>
            <w:pPr>
              <w:jc w:val="center"/>
              <w:rPr>
                <w:rFonts w:ascii="Times New Roman" w:hAnsi="Times New Roman"/>
                <w:noProof/>
                <w:sz w:val="20"/>
                <w:szCs w:val="20"/>
              </w:rPr>
            </w:pPr>
            <w:r>
              <w:rPr>
                <w:rFonts w:ascii="Times New Roman" w:hAnsi="Times New Roman"/>
                <w:noProof/>
                <w:sz w:val="20"/>
                <w:szCs w:val="20"/>
              </w:rPr>
              <w:t>724,8</w:t>
            </w:r>
          </w:p>
          <w:p>
            <w:pPr>
              <w:jc w:val="center"/>
              <w:rPr>
                <w:rFonts w:ascii="Times New Roman" w:hAnsi="Times New Roman"/>
                <w:noProof/>
                <w:sz w:val="20"/>
                <w:szCs w:val="20"/>
                <w:lang w:eastAsia="en-GB"/>
              </w:rPr>
            </w:pPr>
          </w:p>
        </w:tc>
      </w:tr>
      <w:tr>
        <w:trPr>
          <w:trHeight w:val="1172"/>
        </w:trPr>
        <w:tc>
          <w:tcPr>
            <w:tcW w:w="2158" w:type="dxa"/>
            <w:shd w:val="clear" w:color="auto" w:fill="auto"/>
            <w:vAlign w:val="center"/>
          </w:tcPr>
          <w:p>
            <w:pPr>
              <w:jc w:val="center"/>
              <w:rPr>
                <w:rFonts w:ascii="Times New Roman" w:hAnsi="Times New Roman"/>
                <w:b/>
                <w:noProof/>
                <w:sz w:val="20"/>
                <w:szCs w:val="20"/>
              </w:rPr>
            </w:pPr>
            <w:r>
              <w:rPr>
                <w:rFonts w:ascii="Times New Roman" w:hAnsi="Times New Roman"/>
                <w:b/>
                <w:noProof/>
                <w:sz w:val="20"/>
                <w:szCs w:val="20"/>
              </w:rPr>
              <w:t>Allokazzjoni mir-riżerva għal min jidħol ġdid (investimenti f’pajjiżi ġodda u żidiet fil-kapaċità)</w:t>
            </w:r>
          </w:p>
        </w:tc>
        <w:tc>
          <w:tcPr>
            <w:tcW w:w="854" w:type="dxa"/>
            <w:shd w:val="clear" w:color="auto" w:fill="auto"/>
            <w:vAlign w:val="center"/>
          </w:tcPr>
          <w:p>
            <w:pPr>
              <w:jc w:val="center"/>
              <w:rPr>
                <w:rFonts w:ascii="Times New Roman" w:hAnsi="Times New Roman"/>
                <w:noProof/>
                <w:sz w:val="20"/>
                <w:szCs w:val="20"/>
              </w:rPr>
            </w:pPr>
            <w:r>
              <w:rPr>
                <w:rFonts w:ascii="Times New Roman" w:hAnsi="Times New Roman"/>
                <w:noProof/>
                <w:sz w:val="20"/>
                <w:szCs w:val="20"/>
              </w:rPr>
              <w:t>11,7</w:t>
            </w:r>
          </w:p>
        </w:tc>
        <w:tc>
          <w:tcPr>
            <w:tcW w:w="861" w:type="dxa"/>
            <w:shd w:val="clear" w:color="auto" w:fill="auto"/>
            <w:vAlign w:val="center"/>
          </w:tcPr>
          <w:p>
            <w:pPr>
              <w:jc w:val="center"/>
              <w:rPr>
                <w:rFonts w:ascii="Times New Roman" w:hAnsi="Times New Roman"/>
                <w:noProof/>
                <w:sz w:val="20"/>
                <w:szCs w:val="20"/>
              </w:rPr>
            </w:pPr>
            <w:r>
              <w:rPr>
                <w:rFonts w:ascii="Times New Roman" w:hAnsi="Times New Roman"/>
                <w:noProof/>
                <w:sz w:val="20"/>
                <w:szCs w:val="20"/>
              </w:rPr>
              <w:t>15,2</w:t>
            </w:r>
          </w:p>
        </w:tc>
        <w:tc>
          <w:tcPr>
            <w:tcW w:w="861" w:type="dxa"/>
            <w:vAlign w:val="center"/>
          </w:tcPr>
          <w:p>
            <w:pPr>
              <w:jc w:val="center"/>
              <w:rPr>
                <w:rFonts w:ascii="Times New Roman" w:hAnsi="Times New Roman"/>
                <w:noProof/>
                <w:sz w:val="20"/>
                <w:szCs w:val="20"/>
              </w:rPr>
            </w:pPr>
            <w:r>
              <w:rPr>
                <w:rFonts w:ascii="Times New Roman" w:hAnsi="Times New Roman"/>
                <w:noProof/>
                <w:sz w:val="20"/>
                <w:szCs w:val="20"/>
              </w:rPr>
              <w:t>18,9</w:t>
            </w:r>
          </w:p>
        </w:tc>
        <w:tc>
          <w:tcPr>
            <w:tcW w:w="861" w:type="dxa"/>
            <w:vAlign w:val="center"/>
          </w:tcPr>
          <w:p>
            <w:pPr>
              <w:jc w:val="center"/>
              <w:rPr>
                <w:rFonts w:ascii="Times New Roman" w:hAnsi="Times New Roman"/>
                <w:noProof/>
                <w:sz w:val="20"/>
                <w:szCs w:val="20"/>
              </w:rPr>
            </w:pPr>
            <w:r>
              <w:rPr>
                <w:rFonts w:ascii="Times New Roman" w:hAnsi="Times New Roman"/>
                <w:noProof/>
                <w:sz w:val="20"/>
                <w:szCs w:val="20"/>
              </w:rPr>
              <w:t>22,7</w:t>
            </w:r>
          </w:p>
        </w:tc>
        <w:tc>
          <w:tcPr>
            <w:tcW w:w="862" w:type="dxa"/>
            <w:vAlign w:val="center"/>
          </w:tcPr>
          <w:p>
            <w:pPr>
              <w:jc w:val="center"/>
              <w:rPr>
                <w:rFonts w:ascii="Times New Roman" w:hAnsi="Times New Roman"/>
                <w:noProof/>
                <w:sz w:val="20"/>
                <w:szCs w:val="20"/>
              </w:rPr>
            </w:pPr>
            <w:r>
              <w:rPr>
                <w:rFonts w:ascii="Times New Roman" w:hAnsi="Times New Roman"/>
                <w:noProof/>
                <w:sz w:val="20"/>
                <w:szCs w:val="20"/>
              </w:rPr>
              <w:t>24,4</w:t>
            </w:r>
          </w:p>
        </w:tc>
        <w:tc>
          <w:tcPr>
            <w:tcW w:w="842" w:type="dxa"/>
            <w:vAlign w:val="center"/>
          </w:tcPr>
          <w:p>
            <w:pPr>
              <w:jc w:val="center"/>
              <w:rPr>
                <w:rFonts w:ascii="Times New Roman" w:hAnsi="Times New Roman"/>
                <w:noProof/>
                <w:sz w:val="20"/>
                <w:szCs w:val="20"/>
              </w:rPr>
            </w:pPr>
            <w:r>
              <w:rPr>
                <w:rFonts w:ascii="Times New Roman" w:hAnsi="Times New Roman"/>
                <w:noProof/>
                <w:sz w:val="20"/>
                <w:szCs w:val="20"/>
              </w:rPr>
              <w:t>26,0</w:t>
            </w:r>
          </w:p>
        </w:tc>
        <w:tc>
          <w:tcPr>
            <w:tcW w:w="842" w:type="dxa"/>
            <w:vAlign w:val="center"/>
          </w:tcPr>
          <w:p>
            <w:pPr>
              <w:jc w:val="center"/>
              <w:rPr>
                <w:rFonts w:ascii="Times New Roman" w:hAnsi="Times New Roman"/>
                <w:noProof/>
                <w:sz w:val="20"/>
                <w:szCs w:val="20"/>
              </w:rPr>
            </w:pPr>
            <w:r>
              <w:rPr>
                <w:rFonts w:ascii="Times New Roman" w:hAnsi="Times New Roman"/>
                <w:noProof/>
                <w:sz w:val="20"/>
                <w:szCs w:val="20"/>
              </w:rPr>
              <w:t>26,5</w:t>
            </w:r>
          </w:p>
        </w:tc>
        <w:tc>
          <w:tcPr>
            <w:tcW w:w="842" w:type="dxa"/>
            <w:vAlign w:val="center"/>
          </w:tcPr>
          <w:p>
            <w:pPr>
              <w:jc w:val="center"/>
              <w:rPr>
                <w:rFonts w:ascii="Times New Roman" w:hAnsi="Times New Roman"/>
                <w:noProof/>
                <w:sz w:val="20"/>
                <w:szCs w:val="20"/>
              </w:rPr>
            </w:pPr>
            <w:r>
              <w:rPr>
                <w:rFonts w:ascii="Times New Roman" w:hAnsi="Times New Roman"/>
                <w:noProof/>
                <w:sz w:val="20"/>
                <w:szCs w:val="20"/>
              </w:rPr>
              <w:t>25,4</w:t>
            </w:r>
          </w:p>
        </w:tc>
      </w:tr>
      <w:tr>
        <w:trPr>
          <w:trHeight w:val="931"/>
        </w:trPr>
        <w:tc>
          <w:tcPr>
            <w:tcW w:w="2158" w:type="dxa"/>
            <w:shd w:val="clear" w:color="auto" w:fill="auto"/>
            <w:vAlign w:val="center"/>
          </w:tcPr>
          <w:p>
            <w:pPr>
              <w:jc w:val="center"/>
              <w:rPr>
                <w:rFonts w:ascii="Times New Roman" w:hAnsi="Times New Roman"/>
                <w:b/>
                <w:noProof/>
                <w:sz w:val="20"/>
                <w:szCs w:val="20"/>
              </w:rPr>
            </w:pPr>
            <w:r>
              <w:rPr>
                <w:rFonts w:ascii="Times New Roman" w:hAnsi="Times New Roman"/>
                <w:b/>
                <w:noProof/>
                <w:sz w:val="20"/>
                <w:szCs w:val="20"/>
              </w:rPr>
              <w:t>Kwoti bla ħlas li jifdal mhux allokati minħabba għeluq jew bidliet fil-produzzjoni jew fil-kapaċità tal-produzzjoni</w:t>
            </w:r>
          </w:p>
        </w:tc>
        <w:tc>
          <w:tcPr>
            <w:tcW w:w="854" w:type="dxa"/>
            <w:shd w:val="clear" w:color="auto" w:fill="auto"/>
            <w:vAlign w:val="center"/>
          </w:tcPr>
          <w:p>
            <w:pPr>
              <w:jc w:val="center"/>
              <w:rPr>
                <w:rFonts w:ascii="Times New Roman" w:hAnsi="Times New Roman"/>
                <w:noProof/>
                <w:sz w:val="20"/>
                <w:szCs w:val="20"/>
                <w:highlight w:val="yellow"/>
              </w:rPr>
            </w:pPr>
            <w:r>
              <w:rPr>
                <w:rFonts w:ascii="Times New Roman" w:hAnsi="Times New Roman"/>
                <w:noProof/>
                <w:sz w:val="20"/>
                <w:szCs w:val="20"/>
              </w:rPr>
              <w:t>40,6</w:t>
            </w:r>
          </w:p>
        </w:tc>
        <w:tc>
          <w:tcPr>
            <w:tcW w:w="861" w:type="dxa"/>
            <w:shd w:val="clear" w:color="auto" w:fill="auto"/>
            <w:vAlign w:val="center"/>
          </w:tcPr>
          <w:p>
            <w:pPr>
              <w:jc w:val="center"/>
              <w:rPr>
                <w:rFonts w:ascii="Times New Roman" w:hAnsi="Times New Roman"/>
                <w:noProof/>
                <w:sz w:val="20"/>
                <w:szCs w:val="20"/>
              </w:rPr>
            </w:pPr>
            <w:r>
              <w:rPr>
                <w:rFonts w:ascii="Times New Roman" w:hAnsi="Times New Roman"/>
                <w:noProof/>
                <w:sz w:val="20"/>
                <w:szCs w:val="20"/>
              </w:rPr>
              <w:t>59,5</w:t>
            </w:r>
          </w:p>
        </w:tc>
        <w:tc>
          <w:tcPr>
            <w:tcW w:w="861" w:type="dxa"/>
            <w:vAlign w:val="center"/>
          </w:tcPr>
          <w:p>
            <w:pPr>
              <w:jc w:val="center"/>
              <w:rPr>
                <w:rFonts w:ascii="Times New Roman" w:hAnsi="Times New Roman"/>
                <w:noProof/>
                <w:sz w:val="20"/>
                <w:szCs w:val="20"/>
              </w:rPr>
            </w:pPr>
            <w:r>
              <w:rPr>
                <w:rFonts w:ascii="Times New Roman" w:hAnsi="Times New Roman"/>
                <w:noProof/>
                <w:sz w:val="20"/>
                <w:szCs w:val="20"/>
              </w:rPr>
              <w:t>73,1</w:t>
            </w:r>
          </w:p>
        </w:tc>
        <w:tc>
          <w:tcPr>
            <w:tcW w:w="861" w:type="dxa"/>
            <w:vAlign w:val="center"/>
          </w:tcPr>
          <w:p>
            <w:pPr>
              <w:jc w:val="center"/>
              <w:rPr>
                <w:rFonts w:ascii="Times New Roman" w:hAnsi="Times New Roman"/>
                <w:noProof/>
                <w:sz w:val="20"/>
                <w:szCs w:val="20"/>
              </w:rPr>
            </w:pPr>
            <w:r>
              <w:rPr>
                <w:rFonts w:ascii="Times New Roman" w:hAnsi="Times New Roman"/>
                <w:noProof/>
                <w:sz w:val="20"/>
                <w:szCs w:val="20"/>
              </w:rPr>
              <w:t>70,5</w:t>
            </w:r>
          </w:p>
        </w:tc>
        <w:tc>
          <w:tcPr>
            <w:tcW w:w="862" w:type="dxa"/>
            <w:vAlign w:val="center"/>
          </w:tcPr>
          <w:p>
            <w:pPr>
              <w:jc w:val="center"/>
              <w:rPr>
                <w:rFonts w:ascii="Times New Roman" w:hAnsi="Times New Roman"/>
                <w:noProof/>
                <w:sz w:val="20"/>
                <w:szCs w:val="20"/>
              </w:rPr>
            </w:pPr>
            <w:r>
              <w:rPr>
                <w:rFonts w:ascii="Times New Roman" w:hAnsi="Times New Roman"/>
                <w:noProof/>
                <w:sz w:val="20"/>
                <w:szCs w:val="20"/>
              </w:rPr>
              <w:t>79,1</w:t>
            </w:r>
          </w:p>
        </w:tc>
        <w:tc>
          <w:tcPr>
            <w:tcW w:w="842" w:type="dxa"/>
            <w:vAlign w:val="center"/>
          </w:tcPr>
          <w:p>
            <w:pPr>
              <w:jc w:val="center"/>
              <w:rPr>
                <w:rFonts w:ascii="Times New Roman" w:hAnsi="Times New Roman"/>
                <w:noProof/>
                <w:sz w:val="20"/>
                <w:szCs w:val="20"/>
              </w:rPr>
            </w:pPr>
            <w:r>
              <w:rPr>
                <w:rFonts w:ascii="Times New Roman" w:hAnsi="Times New Roman"/>
                <w:noProof/>
                <w:sz w:val="20"/>
                <w:szCs w:val="20"/>
              </w:rPr>
              <w:t>83,4</w:t>
            </w:r>
          </w:p>
        </w:tc>
        <w:tc>
          <w:tcPr>
            <w:tcW w:w="842" w:type="dxa"/>
            <w:vAlign w:val="center"/>
          </w:tcPr>
          <w:p>
            <w:pPr>
              <w:jc w:val="center"/>
              <w:rPr>
                <w:rFonts w:ascii="Times New Roman" w:hAnsi="Times New Roman"/>
                <w:noProof/>
                <w:sz w:val="20"/>
                <w:szCs w:val="20"/>
              </w:rPr>
            </w:pPr>
            <w:r>
              <w:rPr>
                <w:rFonts w:ascii="Times New Roman" w:hAnsi="Times New Roman"/>
                <w:noProof/>
                <w:sz w:val="20"/>
                <w:szCs w:val="20"/>
              </w:rPr>
              <w:t>79,8</w:t>
            </w:r>
          </w:p>
        </w:tc>
        <w:tc>
          <w:tcPr>
            <w:tcW w:w="842" w:type="dxa"/>
            <w:vAlign w:val="center"/>
          </w:tcPr>
          <w:p>
            <w:pPr>
              <w:jc w:val="center"/>
              <w:rPr>
                <w:rFonts w:ascii="Times New Roman" w:hAnsi="Times New Roman"/>
                <w:noProof/>
                <w:sz w:val="20"/>
                <w:szCs w:val="20"/>
              </w:rPr>
            </w:pPr>
            <w:r>
              <w:rPr>
                <w:rFonts w:ascii="Times New Roman" w:hAnsi="Times New Roman"/>
                <w:noProof/>
                <w:sz w:val="20"/>
                <w:szCs w:val="20"/>
              </w:rPr>
              <w:t>84,6</w:t>
            </w:r>
          </w:p>
        </w:tc>
      </w:tr>
    </w:tbl>
    <w:p>
      <w:pPr>
        <w:pStyle w:val="NormalWeb"/>
        <w:spacing w:line="276" w:lineRule="auto"/>
        <w:jc w:val="both"/>
        <w:rPr>
          <w:noProof/>
        </w:rPr>
      </w:pPr>
      <w:r>
        <w:rPr>
          <w:noProof/>
        </w:rPr>
        <w:t>Biex jiġi evitat ir-riskju tar-rilokazzjoni tal-emissjonijiet tal-karbonju, l-allokazzjoni bla ħlas se tkompli wara l-2020, ibbażata fuq valuri referenzjarji derivati b’referenza għall-prestazzjoni ta’ 10 % tal-installazzjonijiet l-aktar effiċjenti fl-UE. Fi Frar 2019, il-Kummissjoni adottat il-lista tar-rilokazzjoni tal-emissjonijiet tal-karbonju għall-2021 sal-2030</w:t>
      </w:r>
      <w:r>
        <w:rPr>
          <w:rStyle w:val="FootnoteReference"/>
          <w:noProof/>
        </w:rPr>
        <w:footnoteReference w:id="34"/>
      </w:r>
      <w:r>
        <w:rPr>
          <w:noProof/>
        </w:rPr>
        <w:t xml:space="preserve">, li se tkun valida għal dak il-perjodu kollu. Din il-lista tispeċifika liema setturi industrijali jibbenefikaw minn sehem ikbar ta’ allokazzjoni bla ħlas. </w:t>
      </w:r>
    </w:p>
    <w:p>
      <w:pPr>
        <w:jc w:val="both"/>
        <w:rPr>
          <w:rFonts w:ascii="Times New Roman" w:eastAsia="Times New Roman" w:hAnsi="Times New Roman"/>
          <w:noProof/>
          <w:sz w:val="24"/>
          <w:szCs w:val="24"/>
        </w:rPr>
      </w:pPr>
      <w:r>
        <w:rPr>
          <w:rFonts w:ascii="Times New Roman" w:hAnsi="Times New Roman"/>
          <w:noProof/>
          <w:sz w:val="24"/>
          <w:szCs w:val="24"/>
        </w:rPr>
        <w:t>Sabiex jiġi rifless il-progress fit-teknoloġija u l-innovazzjoni, il-valuri ta’ referenza se jiġu aġġornati għall-2021 sal-2025 u għall-2026 sal-2030, abbażi tad-</w:t>
      </w:r>
      <w:r>
        <w:rPr>
          <w:rFonts w:ascii="Times New Roman" w:hAnsi="Times New Roman"/>
          <w:i/>
          <w:noProof/>
          <w:sz w:val="24"/>
          <w:szCs w:val="24"/>
        </w:rPr>
        <w:t>data</w:t>
      </w:r>
      <w:r>
        <w:rPr>
          <w:rFonts w:ascii="Times New Roman" w:hAnsi="Times New Roman"/>
          <w:noProof/>
          <w:sz w:val="24"/>
          <w:szCs w:val="24"/>
        </w:rPr>
        <w:t xml:space="preserve"> reali. L-att delegat dwar ir-reviżjoni tar-regoli dwar l-allokazzjoni mingħajr ħlas għall-2021 sal-2030 ġie adottat f’Diċembru 2018</w:t>
      </w:r>
      <w:r>
        <w:rPr>
          <w:rFonts w:ascii="Times New Roman" w:eastAsia="Times New Roman" w:hAnsi="Times New Roman"/>
          <w:noProof/>
          <w:sz w:val="24"/>
          <w:szCs w:val="24"/>
          <w:vertAlign w:val="superscript"/>
          <w:lang w:eastAsia="en-GB"/>
        </w:rPr>
        <w:footnoteReference w:id="35"/>
      </w:r>
      <w:r>
        <w:rPr>
          <w:rFonts w:ascii="Times New Roman" w:hAnsi="Times New Roman"/>
          <w:noProof/>
          <w:sz w:val="24"/>
          <w:szCs w:val="24"/>
        </w:rPr>
        <w:t xml:space="preserve">. Huwa mistenni li r-Regolament ta’ implimentazzjoni dwar il-valuri ta’ referenza riveduti li għandhom jiġu applikati fil-perjodu 2021 sal-2025 se jiġi adottat sal-aħħar tal-2020 (ara l-Appendiċi 6 tal-Anness). </w:t>
      </w:r>
    </w:p>
    <w:p>
      <w:pPr>
        <w:jc w:val="both"/>
        <w:rPr>
          <w:rFonts w:ascii="Times New Roman" w:hAnsi="Times New Roman"/>
          <w:noProof/>
          <w:sz w:val="24"/>
          <w:szCs w:val="24"/>
        </w:rPr>
      </w:pPr>
      <w:r>
        <w:rPr>
          <w:rFonts w:ascii="Times New Roman" w:hAnsi="Times New Roman"/>
          <w:noProof/>
          <w:sz w:val="24"/>
          <w:szCs w:val="24"/>
        </w:rPr>
        <w:t>Fil-fażi 4, l-allokazzjonijiet għal installazzjonijiet individwali jistgħu jiġu aġġustati kull sena biex jirriflettu żidiet u tnaqqis sinifikanti fil-produzzjoni. Biex jiġu evitati l-manipulazzjoni u l-abbuż tas-sistema ta’ aġġustament tal-allokazzjoni u biex jiġi evitat kull piż amministrattiv żejjed, il-Kummissjoni adottat att ta’ implimentazzjoni biex tiddefinixxi arranġamenti ulterjuri għall-aġġustamenti f’Ottubru 2019</w:t>
      </w:r>
      <w:r>
        <w:rPr>
          <w:rStyle w:val="FootnoteReference"/>
          <w:rFonts w:ascii="Times New Roman" w:eastAsia="Times New Roman" w:hAnsi="Times New Roman"/>
          <w:noProof/>
          <w:sz w:val="24"/>
          <w:szCs w:val="24"/>
          <w:lang w:eastAsia="en-GB"/>
        </w:rPr>
        <w:footnoteReference w:id="36"/>
      </w:r>
      <w:r>
        <w:rPr>
          <w:rFonts w:ascii="Times New Roman" w:hAnsi="Times New Roman"/>
          <w:noProof/>
          <w:sz w:val="24"/>
          <w:szCs w:val="24"/>
        </w:rPr>
        <w:t xml:space="preserve"> (ara l-Appendiċi 6 tal-Anness).</w:t>
      </w:r>
    </w:p>
    <w:p>
      <w:pPr>
        <w:keepNext/>
        <w:ind w:firstLine="720"/>
        <w:outlineLvl w:val="3"/>
        <w:rPr>
          <w:rFonts w:ascii="Times New Roman" w:eastAsia="Times New Roman" w:hAnsi="Times New Roman"/>
          <w:noProof/>
          <w:color w:val="000000" w:themeColor="text1"/>
          <w:sz w:val="24"/>
          <w:szCs w:val="24"/>
        </w:rPr>
      </w:pPr>
      <w:bookmarkStart w:id="29" w:name="_Toc56000797"/>
      <w:r>
        <w:rPr>
          <w:rFonts w:ascii="Times New Roman" w:hAnsi="Times New Roman"/>
          <w:bCs/>
          <w:i/>
          <w:noProof/>
          <w:sz w:val="24"/>
          <w:szCs w:val="28"/>
        </w:rPr>
        <w:t>3.1.2.2. Irkantar ta’ kwoti</w:t>
      </w:r>
      <w:bookmarkEnd w:id="29"/>
    </w:p>
    <w:p>
      <w:pPr>
        <w:pStyle w:val="a3520normalp11"/>
        <w:spacing w:line="276" w:lineRule="auto"/>
        <w:rPr>
          <w:noProof/>
        </w:rPr>
      </w:pPr>
      <w:r>
        <w:rPr>
          <w:noProof/>
          <w:lang w:val="en-GB"/>
        </w:rPr>
        <mc:AlternateContent>
          <mc:Choice Requires="wps">
            <w:drawing>
              <wp:inline distT="0" distB="0" distL="0" distR="0">
                <wp:extent cx="5719648" cy="1625600"/>
                <wp:effectExtent l="0" t="0" r="14605" b="1270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648" cy="1625600"/>
                        </a:xfrm>
                        <a:prstGeom prst="rect">
                          <a:avLst/>
                        </a:prstGeom>
                        <a:solidFill>
                          <a:sysClr val="window" lastClr="FFFFFF">
                            <a:lumMod val="85000"/>
                          </a:sysClr>
                        </a:solidFill>
                        <a:ln w="12700">
                          <a:solidFill>
                            <a:srgbClr val="000000"/>
                          </a:solidFill>
                          <a:miter lim="800000"/>
                          <a:headEnd/>
                          <a:tailEnd/>
                        </a:ln>
                      </wps:spPr>
                      <wps:txbx>
                        <w:txbxContent>
                          <w:p>
                            <w:pPr>
                              <w:spacing w:after="120"/>
                              <w:ind w:right="57"/>
                              <w:jc w:val="both"/>
                              <w:rPr>
                                <w:rFonts w:ascii="Times New Roman" w:eastAsia="Times New Roman" w:hAnsi="Times New Roman"/>
                                <w:sz w:val="24"/>
                                <w:szCs w:val="24"/>
                              </w:rPr>
                            </w:pPr>
                            <w:r>
                              <w:rPr>
                                <w:rFonts w:ascii="Times New Roman" w:hAnsi="Times New Roman"/>
                                <w:sz w:val="24"/>
                                <w:szCs w:val="24"/>
                              </w:rPr>
                              <w:t xml:space="preserve">L-irkantar hu l-mod prestabbilit għall-allokazzjoni tal-kwoti. L-irkantijiet primarji huma rregolati mir-Regolament dwar l-Irkantar* li jispeċifika l-għażla taż-żmien, l-amministrazzjoni u aspetti oħrajn ta’ kif jenħtieġ li jsiru l-irkantijiet sabiex jiġi żgurat proċess miftuħ, trasparenti, armonizzat u mhux diskriminatorju. </w:t>
                            </w:r>
                          </w:p>
                          <w:p>
                            <w:pPr>
                              <w:spacing w:after="120"/>
                              <w:ind w:right="57"/>
                              <w:jc w:val="both"/>
                              <w:rPr>
                                <w:rFonts w:ascii="Times New Roman" w:eastAsia="Times New Roman" w:hAnsi="Times New Roman"/>
                                <w:sz w:val="18"/>
                                <w:szCs w:val="18"/>
                              </w:rPr>
                            </w:pPr>
                            <w:r>
                              <w:rPr>
                                <w:rFonts w:ascii="Times New Roman" w:hAnsi="Times New Roman"/>
                                <w:sz w:val="18"/>
                                <w:szCs w:val="18"/>
                              </w:rPr>
                              <w:t>* Ir-Regolament tal-Kummissjoni (UE) Nru 1031/2010 tat-12 ta’ Novembru 2010 dwar l-għażla taż-żmien, l-amministrazzjoni u aspetti oħra ta’ rkantar ta’ kwoti ta’ emissjonijiet ta’ gassijiet serra skont id-Direttiva 2003/87/KE tal-Parlament Ewropew u tal-Kunsill li tistabbilixxi skema għall-iskambju ta’ kwoti ta’ emissjonijiet ta’ gassijiet serra ġewwa l-Komunità, ĠU L 302, 18.11.2010, p. 1.</w:t>
                            </w:r>
                          </w:p>
                          <w:p>
                            <w:pPr>
                              <w:pStyle w:val="a3520normalp11"/>
                              <w:spacing w:line="276" w:lineRule="auto"/>
                            </w:pPr>
                          </w:p>
                          <w:p>
                            <w:pPr>
                              <w:ind w:left="-142" w:firstLine="142"/>
                            </w:pPr>
                          </w:p>
                        </w:txbxContent>
                      </wps:txbx>
                      <wps:bodyPr rot="0" vert="horz" wrap="square" lIns="91440" tIns="45720" rIns="91440" bIns="45720" anchor="t" anchorCtr="0">
                        <a:noAutofit/>
                      </wps:bodyPr>
                    </wps:wsp>
                  </a:graphicData>
                </a:graphic>
              </wp:inline>
            </w:drawing>
          </mc:Choice>
          <mc:Fallback>
            <w:pict>
              <v:shape id="_x0000_s1030" type="#_x0000_t202" style="width:450.35pt;height:1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" fillcolor="#d9d9d9" strokeweight="1pt">
                <v:textbox>
                  <w:txbxContent>
                    <w:p>
                      <w:pPr>
                        <w:spacing w:after="120"/>
                        <w:ind w:right="57"/>
                        <w:jc w:val="both"/>
                        <w:rPr>
                          <w:rFonts w:ascii="Times New Roman" w:eastAsia="Times New Roman" w:hAnsi="Times New Roman"/>
                          <w:sz w:val="24"/>
                          <w:szCs w:val="24"/>
                        </w:rPr>
                      </w:pPr>
                      <w:r>
                        <w:rPr>
                          <w:rFonts w:ascii="Times New Roman" w:hAnsi="Times New Roman"/>
                          <w:sz w:val="24"/>
                          <w:szCs w:val="24"/>
                        </w:rPr>
                        <w:t xml:space="preserve">L-irkantar hu l-mod prestabbilit għall-allokazzjoni tal-kwoti. L-irkantijiet primarji huma rregolati mir-Regolament dwar l-Irkantar* li jispeċifika l-għażla taż-żmien, l-amministrazzjoni u aspetti oħrajn ta’ kif jenħtieġ li jsiru l-irkantijiet sabiex jiġi żgurat proċess miftuħ, trasparenti, armonizzat u mhux diskriminatorju. </w:t>
                      </w:r>
                    </w:p>
                    <w:p>
                      <w:pPr>
                        <w:spacing w:after="120"/>
                        <w:ind w:right="57"/>
                        <w:jc w:val="both"/>
                        <w:rPr>
                          <w:rFonts w:ascii="Times New Roman" w:eastAsia="Times New Roman" w:hAnsi="Times New Roman"/>
                          <w:sz w:val="18"/>
                          <w:szCs w:val="18"/>
                        </w:rPr>
                      </w:pPr>
                      <w:r>
                        <w:rPr>
                          <w:rFonts w:ascii="Times New Roman" w:hAnsi="Times New Roman"/>
                          <w:sz w:val="18"/>
                          <w:szCs w:val="18"/>
                        </w:rPr>
                        <w:t>* Ir-Regolament tal-Kummissjoni (UE) Nru 1031/2010 tat-12 ta’ Novembru 2010 dwar l-għażla taż-żmien, l-amministrazzjoni u aspetti oħra ta’ rkantar ta’ kwoti ta’ emissjonijiet ta’ gassijiet serra skont id-Direttiva 2003/87/KE tal-Parlament Ewropew u tal-Kunsill li tistabbilixxi skema għall-iskambju ta’ kwoti ta’ emissjonijiet ta’ gassijiet serra ġewwa l-Komunità, ĠU L 302, 18.11.2010, p. 1.</w:t>
                      </w:r>
                    </w:p>
                    <w:p>
                      <w:pPr>
                        <w:pStyle w:val="a3520normalp11"/>
                        <w:spacing w:line="276" w:lineRule="auto"/>
                      </w:pPr>
                    </w:p>
                    <w:p>
                      <w:pPr>
                        <w:ind w:left="-142" w:firstLine="142"/>
                      </w:pPr>
                    </w:p>
                  </w:txbxContent>
                </v:textbox>
                <w10:anchorlock/>
              </v:shape>
            </w:pict>
          </mc:Fallback>
        </mc:AlternateContent>
      </w:r>
    </w:p>
    <w:p>
      <w:pPr>
        <w:jc w:val="both"/>
        <w:rPr>
          <w:rFonts w:ascii="Times New Roman" w:hAnsi="Times New Roman"/>
          <w:noProof/>
          <w:sz w:val="24"/>
          <w:szCs w:val="24"/>
        </w:rPr>
      </w:pPr>
      <w:r>
        <w:rPr>
          <w:rFonts w:ascii="Times New Roman" w:hAnsi="Times New Roman"/>
          <w:noProof/>
          <w:sz w:val="24"/>
          <w:szCs w:val="24"/>
        </w:rPr>
        <w:t xml:space="preserve">L-irkantijiet tal-2019 saru permezz tal-pjattaforma tal-irkantijiet·EEX, li pprovdiet irkantijiet bħala l-pjattaforma komuni tal-irkantijiet għall-25 Stat Membru li ħadu sehem fi proċedura konġunta ta’ akkwist, u għall-Polonja, li ma ħaditx sehem fil-proċedura konġunta ta’ akkwist iżda ma ħatritx pjattaforma separata tal-irkant, u għall-Ġermanja li ma ħaditx sehem, bħala pjattaforma tal-irkantijiet. </w:t>
      </w:r>
    </w:p>
    <w:p>
      <w:pPr>
        <w:jc w:val="both"/>
        <w:rPr>
          <w:rFonts w:ascii="Times New Roman" w:hAnsi="Times New Roman"/>
          <w:noProof/>
          <w:sz w:val="24"/>
          <w:szCs w:val="24"/>
        </w:rPr>
      </w:pPr>
      <w:r>
        <w:rPr>
          <w:rFonts w:ascii="Times New Roman" w:hAnsi="Times New Roman"/>
          <w:noProof/>
          <w:sz w:val="24"/>
          <w:szCs w:val="24"/>
        </w:rPr>
        <w:t xml:space="preserve">L-EEX bdiet l-irkantar għall-Iżlanda, għal-Liechtenstein u għan-Norveġja f’Ġunju 2019, wara li l-Ftehim taż-ŻEE ġie emendat biex jippermettilhom jipparteċipaw fil-Ftehim Konġunt tal-Akkwist għall-pjattaforma komuni tal-irkantijiet. Bi qbil mat-tliet pajjiżi, il-volumi tal-irkantar għall-2013-2018 huma mifruxin tul is-snin 2019 u 2020 biex tiġi żgurata provvista stabbli u prevedibbli ta’ kwoti għas-suq. </w:t>
      </w:r>
    </w:p>
    <w:p>
      <w:pPr>
        <w:jc w:val="both"/>
        <w:rPr>
          <w:rFonts w:ascii="Times New Roman" w:hAnsi="Times New Roman"/>
          <w:noProof/>
          <w:sz w:val="24"/>
          <w:szCs w:val="24"/>
        </w:rPr>
      </w:pPr>
      <w:r>
        <w:rPr>
          <w:rFonts w:ascii="Times New Roman" w:hAnsi="Times New Roman"/>
          <w:noProof/>
          <w:sz w:val="24"/>
          <w:szCs w:val="24"/>
        </w:rPr>
        <w:t>Skont il-miżuri ta’ salvagwardja adottati biex tiġi protetta l-integrità ambjentali tal-EU ETS</w:t>
      </w:r>
      <w:r>
        <w:rPr>
          <w:rFonts w:ascii="Times New Roman" w:hAnsi="Times New Roman"/>
          <w:noProof/>
          <w:sz w:val="24"/>
          <w:szCs w:val="24"/>
          <w:vertAlign w:val="superscript"/>
          <w:lang w:val="en-IE"/>
        </w:rPr>
        <w:footnoteReference w:id="37"/>
      </w:r>
      <w:r>
        <w:rPr>
          <w:rFonts w:ascii="Times New Roman" w:hAnsi="Times New Roman"/>
          <w:noProof/>
          <w:sz w:val="24"/>
          <w:szCs w:val="24"/>
        </w:rPr>
        <w:t>, l-ebda kwota ma ġiet irkantata fl-2019 f’isem ir-Renju Unit. Bid-dħul fis-seħħ tal-Ftehim dwar il-Ħruġ fl-1 ta’ Frar 2020, l-irkantijiet għar-Renju Unit reġgħu bdew fl-4 ta’ Marzu 2020 u qegħdin isiru permezz tal-pjattaforma tal-irkantijiet ICE. Il-kwantità inkluża fil-kalendarju tal-irkantijiet tar-Renju Unit tal-2020 tammonta għall-volumi kombinati li għandhom jiġu rkantati għas-snin kalendarji 2019 u 2020.</w:t>
      </w:r>
    </w:p>
    <w:p>
      <w:pPr>
        <w:keepNext/>
        <w:jc w:val="both"/>
        <w:rPr>
          <w:rFonts w:ascii="Times New Roman" w:hAnsi="Times New Roman"/>
          <w:b/>
          <w:bCs/>
          <w:noProof/>
        </w:rPr>
      </w:pPr>
      <w:r>
        <w:rPr>
          <w:rFonts w:ascii="Times New Roman" w:hAnsi="Times New Roman"/>
          <w:noProof/>
          <w:sz w:val="24"/>
          <w:szCs w:val="24"/>
        </w:rPr>
        <w:t>Saru aktar minn 1 700 irkant sat-30 ta’ Ġunju 2020. It-Tabella 3 tipprovdi idea ġenerali tal-volumi ta’ kwoti</w:t>
      </w:r>
      <w:r>
        <w:rPr>
          <w:rFonts w:ascii="Times New Roman" w:hAnsi="Times New Roman"/>
          <w:noProof/>
          <w:sz w:val="24"/>
          <w:szCs w:val="24"/>
          <w:vertAlign w:val="superscript"/>
          <w:lang w:val="en-IE"/>
        </w:rPr>
        <w:footnoteReference w:id="38"/>
      </w:r>
      <w:r>
        <w:rPr>
          <w:rFonts w:ascii="Times New Roman" w:hAnsi="Times New Roman"/>
          <w:noProof/>
          <w:sz w:val="24"/>
          <w:szCs w:val="24"/>
        </w:rPr>
        <w:t xml:space="preserve"> rkantati minn EEX u ICE sat-30 ta’ Ġunju 2020, inkluż l-irkantijiet bikrija</w:t>
      </w:r>
      <w:r>
        <w:rPr>
          <w:rFonts w:ascii="Times New Roman" w:hAnsi="Times New Roman"/>
          <w:noProof/>
          <w:sz w:val="24"/>
          <w:szCs w:val="24"/>
          <w:vertAlign w:val="superscript"/>
          <w:lang w:val="en-IE"/>
        </w:rPr>
        <w:footnoteReference w:id="39"/>
      </w:r>
      <w:r>
        <w:rPr>
          <w:rFonts w:ascii="Times New Roman" w:hAnsi="Times New Roman"/>
          <w:noProof/>
          <w:sz w:val="24"/>
          <w:szCs w:val="24"/>
        </w:rPr>
        <w:t xml:space="preserve"> ta’ kwoti ġenerali.</w:t>
      </w:r>
    </w:p>
    <w:p>
      <w:pPr>
        <w:keepNext/>
        <w:rPr>
          <w:rFonts w:ascii="Times New Roman" w:hAnsi="Times New Roman"/>
          <w:b/>
          <w:bCs/>
          <w:noProof/>
        </w:rPr>
      </w:pPr>
      <w:r>
        <w:rPr>
          <w:rFonts w:ascii="Times New Roman" w:hAnsi="Times New Roman"/>
          <w:b/>
          <w:bCs/>
          <w:noProof/>
        </w:rPr>
        <w:t>Tabella 3 Volum totali tal-kwoti tal-fażi 3 rkantati mill-2012 sat-30 ta’ Ġunju 2020</w:t>
      </w:r>
      <w:r>
        <w:rPr>
          <w:rStyle w:val="FootnoteReference"/>
          <w:rFonts w:ascii="Times New Roman" w:hAnsi="Times New Roman"/>
          <w:b/>
          <w:bCs/>
          <w:noProof/>
        </w:rPr>
        <w:footnoteReference w:id="40"/>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908"/>
        <w:gridCol w:w="3051"/>
        <w:gridCol w:w="2989"/>
      </w:tblGrid>
      <w:tr>
        <w:trPr>
          <w:trHeight w:val="414"/>
          <w:jc w:val="center"/>
        </w:trPr>
        <w:tc>
          <w:tcPr>
            <w:tcW w:w="2908"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Sena</w:t>
            </w:r>
          </w:p>
        </w:tc>
        <w:tc>
          <w:tcPr>
            <w:tcW w:w="3051"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 xml:space="preserve">Kwoti ġenerali </w:t>
            </w:r>
          </w:p>
        </w:tc>
        <w:tc>
          <w:tcPr>
            <w:tcW w:w="2989"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hAnsi="Times New Roman"/>
                <w:bCs/>
                <w:noProof/>
                <w:color w:val="000000"/>
                <w:sz w:val="20"/>
                <w:szCs w:val="20"/>
              </w:rPr>
            </w:pPr>
            <w:r>
              <w:rPr>
                <w:rFonts w:ascii="Times New Roman" w:hAnsi="Times New Roman"/>
                <w:bCs/>
                <w:noProof/>
                <w:color w:val="000000"/>
                <w:sz w:val="20"/>
                <w:szCs w:val="20"/>
              </w:rPr>
              <w:t xml:space="preserve">Kwoti tal-avjazzjoni </w:t>
            </w:r>
          </w:p>
        </w:tc>
      </w:tr>
      <w:tr>
        <w:trPr>
          <w:trHeight w:val="414"/>
          <w:jc w:val="center"/>
        </w:trPr>
        <w:tc>
          <w:tcPr>
            <w:tcW w:w="2908"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2012</w:t>
            </w:r>
          </w:p>
        </w:tc>
        <w:tc>
          <w:tcPr>
            <w:tcW w:w="3051"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89 701 500</w:t>
            </w:r>
          </w:p>
        </w:tc>
        <w:tc>
          <w:tcPr>
            <w:tcW w:w="2989"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hAnsi="Times New Roman"/>
                <w:bCs/>
                <w:noProof/>
                <w:color w:val="000000"/>
                <w:sz w:val="20"/>
                <w:szCs w:val="20"/>
              </w:rPr>
            </w:pPr>
            <w:r>
              <w:rPr>
                <w:rFonts w:ascii="Times New Roman" w:hAnsi="Times New Roman"/>
                <w:bCs/>
                <w:noProof/>
                <w:color w:val="000000"/>
                <w:sz w:val="20"/>
                <w:szCs w:val="20"/>
              </w:rPr>
              <w:t>2 500 000</w:t>
            </w:r>
          </w:p>
        </w:tc>
      </w:tr>
      <w:tr>
        <w:trPr>
          <w:trHeight w:val="414"/>
          <w:jc w:val="center"/>
        </w:trPr>
        <w:tc>
          <w:tcPr>
            <w:tcW w:w="2908"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2013</w:t>
            </w:r>
          </w:p>
        </w:tc>
        <w:tc>
          <w:tcPr>
            <w:tcW w:w="3051"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808 146 500</w:t>
            </w:r>
          </w:p>
        </w:tc>
        <w:tc>
          <w:tcPr>
            <w:tcW w:w="2989"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hAnsi="Times New Roman"/>
                <w:bCs/>
                <w:noProof/>
                <w:color w:val="000000"/>
                <w:sz w:val="20"/>
                <w:szCs w:val="20"/>
              </w:rPr>
            </w:pPr>
            <w:r>
              <w:rPr>
                <w:rFonts w:ascii="Times New Roman" w:hAnsi="Times New Roman"/>
                <w:bCs/>
                <w:noProof/>
                <w:color w:val="000000"/>
                <w:sz w:val="20"/>
                <w:szCs w:val="20"/>
              </w:rPr>
              <w:t xml:space="preserve">0 </w:t>
            </w:r>
          </w:p>
        </w:tc>
      </w:tr>
      <w:tr>
        <w:trPr>
          <w:trHeight w:val="414"/>
          <w:jc w:val="center"/>
        </w:trPr>
        <w:tc>
          <w:tcPr>
            <w:tcW w:w="2908"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2014</w:t>
            </w:r>
          </w:p>
        </w:tc>
        <w:tc>
          <w:tcPr>
            <w:tcW w:w="3051"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528 399 500</w:t>
            </w:r>
          </w:p>
        </w:tc>
        <w:tc>
          <w:tcPr>
            <w:tcW w:w="2989"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hAnsi="Times New Roman"/>
                <w:bCs/>
                <w:noProof/>
                <w:color w:val="000000"/>
                <w:sz w:val="20"/>
                <w:szCs w:val="20"/>
              </w:rPr>
            </w:pPr>
            <w:r>
              <w:rPr>
                <w:rFonts w:ascii="Times New Roman" w:hAnsi="Times New Roman"/>
                <w:bCs/>
                <w:noProof/>
                <w:color w:val="000000"/>
                <w:sz w:val="20"/>
                <w:szCs w:val="20"/>
              </w:rPr>
              <w:t>9 278 000</w:t>
            </w:r>
          </w:p>
        </w:tc>
      </w:tr>
      <w:tr>
        <w:trPr>
          <w:trHeight w:val="414"/>
          <w:jc w:val="center"/>
        </w:trPr>
        <w:tc>
          <w:tcPr>
            <w:tcW w:w="2908"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2015</w:t>
            </w:r>
          </w:p>
        </w:tc>
        <w:tc>
          <w:tcPr>
            <w:tcW w:w="3051"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632 725 500</w:t>
            </w:r>
          </w:p>
        </w:tc>
        <w:tc>
          <w:tcPr>
            <w:tcW w:w="2989"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hAnsi="Times New Roman"/>
                <w:bCs/>
                <w:noProof/>
                <w:color w:val="000000"/>
                <w:sz w:val="20"/>
                <w:szCs w:val="20"/>
              </w:rPr>
            </w:pPr>
            <w:r>
              <w:rPr>
                <w:rFonts w:ascii="Times New Roman" w:hAnsi="Times New Roman"/>
                <w:bCs/>
                <w:noProof/>
                <w:color w:val="000000"/>
                <w:sz w:val="20"/>
                <w:szCs w:val="20"/>
              </w:rPr>
              <w:t>16 390 500</w:t>
            </w:r>
          </w:p>
        </w:tc>
      </w:tr>
      <w:tr>
        <w:trPr>
          <w:trHeight w:val="414"/>
          <w:jc w:val="center"/>
        </w:trPr>
        <w:tc>
          <w:tcPr>
            <w:tcW w:w="2908"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2016</w:t>
            </w:r>
          </w:p>
        </w:tc>
        <w:tc>
          <w:tcPr>
            <w:tcW w:w="3051"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715 289 500</w:t>
            </w:r>
          </w:p>
        </w:tc>
        <w:tc>
          <w:tcPr>
            <w:tcW w:w="2989"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hAnsi="Times New Roman"/>
                <w:bCs/>
                <w:noProof/>
                <w:color w:val="000000"/>
                <w:sz w:val="20"/>
                <w:szCs w:val="20"/>
              </w:rPr>
            </w:pPr>
            <w:r>
              <w:rPr>
                <w:rFonts w:ascii="Times New Roman" w:hAnsi="Times New Roman"/>
                <w:bCs/>
                <w:noProof/>
                <w:color w:val="000000"/>
                <w:sz w:val="20"/>
                <w:szCs w:val="20"/>
              </w:rPr>
              <w:t>5 997 500</w:t>
            </w:r>
          </w:p>
        </w:tc>
      </w:tr>
      <w:tr>
        <w:trPr>
          <w:trHeight w:val="414"/>
          <w:jc w:val="center"/>
        </w:trPr>
        <w:tc>
          <w:tcPr>
            <w:tcW w:w="2908"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 xml:space="preserve">2017  </w:t>
            </w:r>
          </w:p>
        </w:tc>
        <w:tc>
          <w:tcPr>
            <w:tcW w:w="3051"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951 195 500</w:t>
            </w:r>
          </w:p>
        </w:tc>
        <w:tc>
          <w:tcPr>
            <w:tcW w:w="2989"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hAnsi="Times New Roman"/>
                <w:bCs/>
                <w:noProof/>
                <w:color w:val="000000"/>
                <w:sz w:val="20"/>
                <w:szCs w:val="20"/>
              </w:rPr>
            </w:pPr>
            <w:r>
              <w:rPr>
                <w:rFonts w:ascii="Times New Roman" w:hAnsi="Times New Roman"/>
                <w:bCs/>
                <w:noProof/>
                <w:color w:val="000000"/>
                <w:sz w:val="20"/>
                <w:szCs w:val="20"/>
              </w:rPr>
              <w:t>4 730 500</w:t>
            </w:r>
          </w:p>
        </w:tc>
      </w:tr>
      <w:tr>
        <w:trPr>
          <w:trHeight w:val="414"/>
          <w:jc w:val="center"/>
        </w:trPr>
        <w:tc>
          <w:tcPr>
            <w:tcW w:w="2908"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 xml:space="preserve">2018 </w:t>
            </w:r>
          </w:p>
        </w:tc>
        <w:tc>
          <w:tcPr>
            <w:tcW w:w="3051"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915 750 000</w:t>
            </w:r>
          </w:p>
        </w:tc>
        <w:tc>
          <w:tcPr>
            <w:tcW w:w="2989"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hAnsi="Times New Roman"/>
                <w:bCs/>
                <w:noProof/>
                <w:color w:val="000000"/>
                <w:sz w:val="20"/>
                <w:szCs w:val="20"/>
              </w:rPr>
            </w:pPr>
            <w:r>
              <w:rPr>
                <w:rFonts w:ascii="Times New Roman" w:hAnsi="Times New Roman"/>
                <w:noProof/>
                <w:sz w:val="20"/>
                <w:szCs w:val="20"/>
              </w:rPr>
              <w:t>5 601 500</w:t>
            </w:r>
          </w:p>
        </w:tc>
      </w:tr>
      <w:tr>
        <w:trPr>
          <w:trHeight w:val="414"/>
          <w:jc w:val="center"/>
        </w:trPr>
        <w:tc>
          <w:tcPr>
            <w:tcW w:w="2908"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2019</w:t>
            </w:r>
          </w:p>
        </w:tc>
        <w:tc>
          <w:tcPr>
            <w:tcW w:w="3051"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588 540 000</w:t>
            </w:r>
          </w:p>
        </w:tc>
        <w:tc>
          <w:tcPr>
            <w:tcW w:w="2989"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5 502 500</w:t>
            </w:r>
          </w:p>
        </w:tc>
      </w:tr>
      <w:tr>
        <w:trPr>
          <w:trHeight w:val="414"/>
          <w:jc w:val="center"/>
        </w:trPr>
        <w:tc>
          <w:tcPr>
            <w:tcW w:w="2908"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2020 (sat-30 ta’ Ġunju 2020)</w:t>
            </w:r>
          </w:p>
        </w:tc>
        <w:tc>
          <w:tcPr>
            <w:tcW w:w="3051"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360 446 000</w:t>
            </w:r>
          </w:p>
        </w:tc>
        <w:tc>
          <w:tcPr>
            <w:tcW w:w="2989" w:type="dxa"/>
            <w:tcBorders>
              <w:top w:val="double" w:sz="4" w:space="0" w:color="auto"/>
              <w:left w:val="double" w:sz="4" w:space="0" w:color="auto"/>
              <w:bottom w:val="double" w:sz="4" w:space="0" w:color="auto"/>
              <w:right w:val="double" w:sz="4" w:space="0" w:color="auto"/>
            </w:tcBorders>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3 371 500</w:t>
            </w:r>
          </w:p>
        </w:tc>
      </w:tr>
    </w:tbl>
    <w:p>
      <w:pPr>
        <w:spacing w:after="120" w:line="240" w:lineRule="auto"/>
        <w:ind w:right="57"/>
        <w:jc w:val="both"/>
        <w:rPr>
          <w:rFonts w:ascii="Times New Roman" w:eastAsia="Times New Roman" w:hAnsi="Times New Roman"/>
          <w:noProof/>
          <w:sz w:val="18"/>
          <w:szCs w:val="18"/>
          <w:lang w:eastAsia="en-GB"/>
        </w:rPr>
      </w:pPr>
    </w:p>
    <w:p>
      <w:pPr>
        <w:spacing w:after="120" w:line="240" w:lineRule="auto"/>
        <w:ind w:right="57"/>
        <w:jc w:val="both"/>
        <w:rPr>
          <w:rFonts w:ascii="Times New Roman" w:eastAsia="Times New Roman" w:hAnsi="Times New Roman"/>
          <w:noProof/>
          <w:sz w:val="18"/>
          <w:szCs w:val="18"/>
        </w:rPr>
      </w:pPr>
      <w:r>
        <w:rPr>
          <w:rFonts w:ascii="Times New Roman" w:hAnsi="Times New Roman"/>
          <w:noProof/>
          <w:sz w:val="18"/>
          <w:szCs w:val="18"/>
        </w:rPr>
        <w:t>Sors: EEX</w:t>
      </w:r>
    </w:p>
    <w:p>
      <w:pPr>
        <w:spacing w:afterLines="100" w:after="240"/>
        <w:jc w:val="both"/>
        <w:rPr>
          <w:rFonts w:ascii="Times New Roman" w:hAnsi="Times New Roman"/>
          <w:noProof/>
          <w:sz w:val="24"/>
          <w:szCs w:val="24"/>
        </w:rPr>
      </w:pPr>
      <w:r>
        <w:rPr>
          <w:rFonts w:ascii="Times New Roman" w:hAnsi="Times New Roman"/>
          <w:noProof/>
          <w:sz w:val="24"/>
          <w:szCs w:val="24"/>
        </w:rPr>
        <w:t xml:space="preserve">Il-bidu tat-tħaddim tar-Riżerva tal-Istabbiltà tas-Suq (MSR) f’Jannar 2019 naqqas sostanzjalment il-provvista tal-irkantijiet, kif jidher fit-Tabella 3. L-irkantijiet ġeneralment twettqu mingħajr tfixkil u l-prezzijiet tal-bejgħ fl-irkant kienu ġeneralment konformi mal-prezzijiet tas-suq sekondarju.  </w:t>
      </w:r>
    </w:p>
    <w:p>
      <w:pPr>
        <w:spacing w:afterLines="100" w:after="240"/>
        <w:jc w:val="both"/>
        <w:rPr>
          <w:rFonts w:ascii="Times New Roman" w:hAnsi="Times New Roman"/>
          <w:b/>
          <w:noProof/>
          <w:sz w:val="20"/>
          <w:szCs w:val="20"/>
        </w:rPr>
      </w:pPr>
      <w:r>
        <w:rPr>
          <w:rFonts w:ascii="Times New Roman" w:hAnsi="Times New Roman"/>
          <w:noProof/>
          <w:sz w:val="24"/>
          <w:szCs w:val="24"/>
        </w:rPr>
        <w:t xml:space="preserve">Bejn Jannar 2019 u Ġunju 2020, ġew ikkanċellati tliet irkantijiet  minħabba li l-prezz tar-riżerva ma ntlaħaqx jew minħabba li l-volum tal-offerta totali ma laħaqx dak tal-volum irkantat, f’konformità mar-regoli rilevanti fir-Regolament dwar l-Irkantar. B’dawn it-tliet irkantijiet, ġew ikkanċellati total ta’ ħmistax-il irkant minn fost aktar minn 1 700 irkant li saru sa mill-aħħar tal-2012. Tingħata ħarsa ġenerali lejn il-prezzijiet tal-bejgħ fl-irkant mill-2013 sat-30 ta’ Ġunju 2020 fl-Illustrazzjoni 2: </w:t>
      </w:r>
    </w:p>
    <w:p>
      <w:pPr>
        <w:rPr>
          <w:rFonts w:ascii="Times New Roman" w:hAnsi="Times New Roman"/>
          <w:b/>
          <w:noProof/>
          <w:sz w:val="20"/>
          <w:szCs w:val="20"/>
        </w:rPr>
      </w:pPr>
    </w:p>
    <w:p>
      <w:pPr>
        <w:rPr>
          <w:rFonts w:ascii="Times New Roman" w:hAnsi="Times New Roman"/>
          <w:b/>
          <w:noProof/>
          <w:sz w:val="20"/>
          <w:szCs w:val="20"/>
        </w:rPr>
      </w:pPr>
    </w:p>
    <w:p>
      <w:pPr>
        <w:rPr>
          <w:rFonts w:ascii="Times New Roman" w:hAnsi="Times New Roman"/>
          <w:b/>
          <w:noProof/>
          <w:sz w:val="20"/>
          <w:szCs w:val="20"/>
        </w:rPr>
      </w:pPr>
    </w:p>
    <w:p>
      <w:pPr>
        <w:rPr>
          <w:rFonts w:ascii="Times New Roman" w:hAnsi="Times New Roman"/>
          <w:b/>
          <w:noProof/>
          <w:sz w:val="20"/>
          <w:szCs w:val="20"/>
        </w:rPr>
      </w:pPr>
    </w:p>
    <w:p>
      <w:pPr>
        <w:rPr>
          <w:rFonts w:ascii="Times New Roman" w:hAnsi="Times New Roman"/>
          <w:b/>
          <w:noProof/>
        </w:rPr>
      </w:pPr>
    </w:p>
    <w:p>
      <w:pPr>
        <w:rPr>
          <w:rFonts w:ascii="Times New Roman" w:hAnsi="Times New Roman"/>
          <w:b/>
          <w:noProof/>
        </w:rPr>
      </w:pPr>
      <w:r>
        <w:rPr>
          <w:rFonts w:ascii="Times New Roman" w:hAnsi="Times New Roman"/>
          <w:b/>
          <w:noProof/>
        </w:rPr>
        <w:t>Illustrazzjoni 2: Prezz tal-bejgħ tal-irkantijiet tal-kwoti ġenerali mill-2013 sat-30 ta’ Ġunju 2020</w:t>
      </w:r>
    </w:p>
    <w:p>
      <w:pPr>
        <w:rPr>
          <w:rFonts w:ascii="Times New Roman" w:hAnsi="Times New Roman"/>
          <w:b/>
          <w:noProof/>
          <w:sz w:val="20"/>
          <w:szCs w:val="20"/>
        </w:rPr>
      </w:pPr>
      <w:r>
        <w:rPr>
          <w:rFonts w:ascii="Times New Roman" w:hAnsi="Times New Roman"/>
          <w:noProof/>
          <w:sz w:val="24"/>
          <w:szCs w:val="24"/>
          <w:lang w:val="en-GB" w:eastAsia="en-GB"/>
        </w:rPr>
        <w:drawing>
          <wp:inline distT="0" distB="0" distL="0" distR="0">
            <wp:extent cx="5702300" cy="280750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8193" cy="2835023"/>
                    </a:xfrm>
                    <a:prstGeom prst="rect">
                      <a:avLst/>
                    </a:prstGeom>
                    <a:noFill/>
                  </pic:spPr>
                </pic:pic>
              </a:graphicData>
            </a:graphic>
          </wp:inline>
        </w:drawing>
      </w:r>
    </w:p>
    <w:p>
      <w:pPr>
        <w:rPr>
          <w:rFonts w:ascii="Times New Roman" w:hAnsi="Times New Roman"/>
          <w:noProof/>
          <w:sz w:val="20"/>
          <w:szCs w:val="20"/>
        </w:rPr>
      </w:pPr>
      <w:r>
        <w:rPr>
          <w:rFonts w:ascii="Times New Roman" w:hAnsi="Times New Roman"/>
          <w:b/>
          <w:noProof/>
          <w:color w:val="00B050"/>
          <w:sz w:val="20"/>
          <w:szCs w:val="20"/>
        </w:rPr>
        <w:t>___</w:t>
      </w:r>
      <w:r>
        <w:rPr>
          <w:rFonts w:ascii="Times New Roman" w:hAnsi="Times New Roman"/>
          <w:noProof/>
          <w:sz w:val="20"/>
          <w:szCs w:val="20"/>
        </w:rPr>
        <w:t xml:space="preserve"> Prezz tal-Bejgħ b’Irkant</w:t>
      </w:r>
    </w:p>
    <w:p>
      <w:pPr>
        <w:spacing w:after="0"/>
        <w:jc w:val="both"/>
        <w:rPr>
          <w:rFonts w:ascii="Times New Roman" w:hAnsi="Times New Roman"/>
          <w:noProof/>
          <w:sz w:val="18"/>
          <w:szCs w:val="18"/>
        </w:rPr>
      </w:pPr>
      <w:r>
        <w:rPr>
          <w:rFonts w:ascii="Times New Roman" w:hAnsi="Times New Roman"/>
          <w:noProof/>
          <w:sz w:val="18"/>
          <w:szCs w:val="18"/>
        </w:rPr>
        <w:t>Sors: EEX</w:t>
      </w:r>
    </w:p>
    <w:p>
      <w:pPr>
        <w:spacing w:after="0"/>
        <w:jc w:val="both"/>
        <w:rPr>
          <w:rFonts w:ascii="Times New Roman" w:hAnsi="Times New Roman"/>
          <w:noProof/>
          <w:sz w:val="18"/>
          <w:szCs w:val="18"/>
        </w:rPr>
      </w:pPr>
    </w:p>
    <w:p>
      <w:pPr>
        <w:spacing w:after="160" w:line="259" w:lineRule="auto"/>
        <w:jc w:val="both"/>
        <w:rPr>
          <w:rFonts w:ascii="Times New Roman" w:hAnsi="Times New Roman"/>
          <w:noProof/>
          <w:sz w:val="24"/>
          <w:szCs w:val="24"/>
        </w:rPr>
      </w:pPr>
      <w:r>
        <w:rPr>
          <w:rFonts w:ascii="Times New Roman" w:hAnsi="Times New Roman"/>
          <w:noProof/>
          <w:sz w:val="24"/>
          <w:szCs w:val="24"/>
        </w:rPr>
        <w:t>In-numru ta’ parteċipanti fl-irkantijiet ta’ kwoti ġenerali mill-2013 sat-30 ta’ Ġunju 2020 huwa pprovdut fl-Appendiċi 2. Il-pjattaformi tal-irkant jippubblikaw ir-riżultati dettaljati ta’ kull irkant fil-ħin f’siti web apposta. Aktar informazzjoni dwar il-prestazzjoni tal-irkantijiet, inkluż dwar il-parteċipazzjoni, il-proporzjon ta’ kopertura u l-prezzijiet, tinstab fir-rapporti tal-Istati Membri ppubblikati fuq is-sit web tal-Kummissjoni</w:t>
      </w:r>
      <w:r>
        <w:rPr>
          <w:rFonts w:ascii="Times New Roman" w:hAnsi="Times New Roman"/>
          <w:noProof/>
          <w:sz w:val="24"/>
          <w:szCs w:val="24"/>
          <w:vertAlign w:val="superscript"/>
          <w:lang w:val="en-IE"/>
        </w:rPr>
        <w:footnoteReference w:id="41"/>
      </w:r>
      <w:r>
        <w:rPr>
          <w:rFonts w:ascii="Times New Roman" w:hAnsi="Times New Roman"/>
          <w:noProof/>
          <w:sz w:val="24"/>
          <w:szCs w:val="24"/>
        </w:rPr>
        <w:t xml:space="preserve">. </w:t>
      </w:r>
    </w:p>
    <w:p>
      <w:pPr>
        <w:spacing w:after="160" w:line="259" w:lineRule="auto"/>
        <w:jc w:val="both"/>
        <w:rPr>
          <w:rFonts w:ascii="Times New Roman" w:hAnsi="Times New Roman"/>
          <w:noProof/>
          <w:sz w:val="24"/>
          <w:szCs w:val="24"/>
        </w:rPr>
      </w:pPr>
      <w:r>
        <w:rPr>
          <w:rFonts w:ascii="Times New Roman" w:hAnsi="Times New Roman"/>
          <w:noProof/>
          <w:sz w:val="24"/>
          <w:szCs w:val="24"/>
        </w:rPr>
        <w:t>Id-dħul totali ġġenerat mill-Istati Membri, mir-Renju Unit u mill-pajjiżi taż-ŻEE mill-irkantijiet li saru bejn l-2012 u t-30 ta’ Ġunju 2020 qabeż EUR 57 biljun (ara t-Tabelli 2.1 u 2.2 fl-Appendiċi 2). Fl-2019 biss, id-dħul totali ġġenerat kien ogħla minn EUR 14-il biljun, filwaqt li fl-ewwel nofs tal-2020 dan laħaq EUR 7,9 biljun.  Id-Direttiva dwar l-EU ETS tipprevedi li tal-anqas 50 % tad-dħul mill-irkantijiet, inkluż id-dħul kollu ġġenerat minn kwoti mqassma għall-finijiet tas-solidarjetà u tat-tkabbir, u d-dħul kollu minn kwoti maħruġa fir-rigward tal-avjazzjoni</w:t>
      </w:r>
      <w:r>
        <w:rPr>
          <w:rStyle w:val="FootnoteReference"/>
          <w:rFonts w:ascii="Times New Roman" w:hAnsi="Times New Roman"/>
          <w:noProof/>
          <w:sz w:val="24"/>
          <w:szCs w:val="24"/>
          <w:lang w:val="en-IE"/>
        </w:rPr>
        <w:footnoteReference w:id="42"/>
      </w:r>
      <w:r>
        <w:rPr>
          <w:rFonts w:ascii="Times New Roman" w:hAnsi="Times New Roman"/>
          <w:noProof/>
          <w:sz w:val="24"/>
          <w:szCs w:val="24"/>
        </w:rPr>
        <w:t xml:space="preserve">, jenħtieġ li jintuża mill-Istati Membri għal finijiet relatati mal-klima u l-enerġija. </w:t>
      </w:r>
    </w:p>
    <w:p>
      <w:pPr>
        <w:spacing w:after="160" w:line="259" w:lineRule="auto"/>
        <w:jc w:val="both"/>
        <w:rPr>
          <w:rFonts w:ascii="Times New Roman" w:hAnsi="Times New Roman"/>
          <w:noProof/>
        </w:rPr>
      </w:pPr>
      <w:r>
        <w:rPr>
          <w:rFonts w:ascii="Times New Roman" w:hAnsi="Times New Roman"/>
          <w:noProof/>
          <w:sz w:val="24"/>
          <w:szCs w:val="24"/>
        </w:rPr>
        <w:t>Skont l-informazzjoni ppreżentata lill-Kummissjoni mill-Istati Membri, l-Istati Membri nefqu jew ippjanaw li jonfqu total ta’ 77 % ta’ dan id-dħul għal finijiet speċifiċi relatati mal-klima u mal-enerġija fl-2019. Fil-perjodu 2013-2019, madwar 78 % tad-dħul mill-irkantijiet intnefqu għal dawn il-finijiet. Filwaqt li sehem żgħir minn dan l-ammont (madwar 1,9 biljun jew 4 % tad-dħul totali f’dan il-perjodu) intnefaq għal finijiet internazzjonali tal-klima u l-enerġija, il-maġġoranza tad-dħul mill-irkantijiet fil-fażi 3 intnefaq fuq għanijiet domestiċi tal-klima u l-enerġija (l-aktar fuq l-enerġija rinnovabbli, l-effiċjenza enerġetika u t-trasport sostenibbli)</w:t>
      </w:r>
      <w:r>
        <w:rPr>
          <w:rStyle w:val="FootnoteReference"/>
          <w:rFonts w:ascii="Times New Roman" w:hAnsi="Times New Roman"/>
          <w:noProof/>
          <w:sz w:val="24"/>
          <w:szCs w:val="24"/>
          <w:lang w:val="en-IE"/>
        </w:rPr>
        <w:footnoteReference w:id="43"/>
      </w:r>
      <w:r>
        <w:rPr>
          <w:noProof/>
        </w:rPr>
        <w:t>.</w:t>
      </w:r>
    </w:p>
    <w:p>
      <w:pPr>
        <w:spacing w:after="160" w:line="259" w:lineRule="auto"/>
        <w:jc w:val="both"/>
        <w:rPr>
          <w:rFonts w:ascii="Times New Roman" w:hAnsi="Times New Roman"/>
          <w:noProof/>
          <w:sz w:val="24"/>
          <w:szCs w:val="24"/>
        </w:rPr>
      </w:pPr>
      <w:r>
        <w:rPr>
          <w:rFonts w:ascii="Times New Roman" w:hAnsi="Times New Roman"/>
          <w:noProof/>
          <w:sz w:val="24"/>
          <w:szCs w:val="24"/>
        </w:rPr>
        <w:t>Fl-2019, ir-Regolament dwar l-Irkantar ġie emendat</w:t>
      </w:r>
      <w:r>
        <w:rPr>
          <w:rFonts w:ascii="Times New Roman" w:hAnsi="Times New Roman"/>
          <w:noProof/>
          <w:sz w:val="24"/>
          <w:szCs w:val="24"/>
          <w:vertAlign w:val="superscript"/>
          <w:lang w:val="en-IE"/>
        </w:rPr>
        <w:footnoteReference w:id="44"/>
      </w:r>
      <w:r>
        <w:rPr>
          <w:rFonts w:ascii="Times New Roman" w:hAnsi="Times New Roman"/>
          <w:noProof/>
          <w:sz w:val="24"/>
          <w:szCs w:val="24"/>
        </w:rPr>
        <w:t xml:space="preserve"> sabiex jiġi stabbilit il-qafas għall-irkantar tal-kwoti u l-ġestjoni tal-proġetti taħt il-Fond għall-Innovazzjoni u l-Fond għall-Modernizzazzjoni fil-fażi 4. L-emenda tirrifletti wkoll il-klassifikazzjoni tal-kwoti tal-EU ETS bħala strumenti finanzjarji skont id-Direttiva 2014/65/UE dwar is-swieq fl-istrumenti finanzjarji (MiFID2). </w:t>
      </w:r>
    </w:p>
    <w:p>
      <w:pPr>
        <w:spacing w:after="160" w:line="259" w:lineRule="auto"/>
        <w:jc w:val="both"/>
        <w:rPr>
          <w:rFonts w:ascii="Times New Roman" w:hAnsi="Times New Roman"/>
          <w:noProof/>
          <w:sz w:val="24"/>
          <w:szCs w:val="24"/>
        </w:rPr>
      </w:pPr>
      <w:r>
        <w:rPr>
          <w:rFonts w:ascii="Times New Roman" w:hAnsi="Times New Roman"/>
          <w:noProof/>
          <w:sz w:val="24"/>
          <w:szCs w:val="24"/>
        </w:rPr>
        <w:t>F’Mejju 2020, il-Kummissjoni ppubblikat stedina</w:t>
      </w:r>
      <w:r>
        <w:rPr>
          <w:rStyle w:val="FootnoteReference"/>
          <w:rFonts w:ascii="Times New Roman" w:hAnsi="Times New Roman"/>
          <w:noProof/>
          <w:sz w:val="24"/>
          <w:szCs w:val="24"/>
          <w:lang w:val="en-IE"/>
        </w:rPr>
        <w:footnoteReference w:id="45"/>
      </w:r>
      <w:r>
        <w:rPr>
          <w:rFonts w:ascii="Times New Roman" w:hAnsi="Times New Roman"/>
          <w:noProof/>
          <w:sz w:val="24"/>
          <w:szCs w:val="24"/>
        </w:rPr>
        <w:t xml:space="preserve"> għall-akkwist tat-tielet pjattaforma komuni tal-irkantijiet tal-EU ETS, li se tirkanta kwoti f’isem 25 Stat Membru u t-3 Stati taż-ŻEE-EFTA, kif ukoll il-kwoti għall-Fond għall-Innovazzjoni u l-Fond għall-Modernizzazzjoni.</w:t>
      </w:r>
      <w:r>
        <w:rPr>
          <w:noProof/>
        </w:rPr>
        <w:t xml:space="preserve"> </w:t>
      </w:r>
      <w:r>
        <w:rPr>
          <w:rFonts w:ascii="Times New Roman" w:hAnsi="Times New Roman"/>
          <w:noProof/>
          <w:sz w:val="24"/>
          <w:szCs w:val="24"/>
        </w:rPr>
        <w:t>L-irkantijiet fit-tielet pjattaforma komuni tal-irkantijiet huma mistennija li jibdew fil-bidu tal-2021.</w:t>
      </w:r>
    </w:p>
    <w:p>
      <w:pPr>
        <w:pStyle w:val="Heading4"/>
        <w:spacing w:before="0" w:after="200"/>
        <w:ind w:firstLine="720"/>
        <w:rPr>
          <w:noProof/>
        </w:rPr>
      </w:pPr>
      <w:bookmarkStart w:id="30" w:name="_Toc56000798"/>
      <w:r>
        <w:rPr>
          <w:noProof/>
        </w:rPr>
        <w:t>3.1.2.3. Deroga minn irkantar sħiħ għall-produzzjoni tal-elettriku u s-sħana</w:t>
      </w:r>
      <w:bookmarkEnd w:id="30"/>
    </w:p>
    <w:p>
      <w:pPr>
        <w:jc w:val="both"/>
        <w:rPr>
          <w:noProof/>
        </w:rPr>
      </w:pPr>
      <w:r>
        <w:rPr>
          <w:rFonts w:ascii="Times New Roman" w:hAnsi="Times New Roman"/>
          <w:noProof/>
          <w:sz w:val="24"/>
          <w:szCs w:val="24"/>
          <w:lang w:val="en-GB" w:eastAsia="en-GB"/>
        </w:rPr>
        <mc:AlternateContent>
          <mc:Choice Requires="wps">
            <w:drawing>
              <wp:inline distT="0" distB="0" distL="0" distR="0">
                <wp:extent cx="5720487" cy="3650566"/>
                <wp:effectExtent l="0" t="0" r="13970" b="2667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487" cy="3650566"/>
                        </a:xfrm>
                        <a:prstGeom prst="rect">
                          <a:avLst/>
                        </a:prstGeom>
                        <a:solidFill>
                          <a:sysClr val="window" lastClr="FFFFFF">
                            <a:lumMod val="85000"/>
                          </a:sysClr>
                        </a:solidFill>
                        <a:ln w="12700">
                          <a:solidFill>
                            <a:srgbClr val="000000">
                              <a:alpha val="70000"/>
                            </a:srgbClr>
                          </a:solidFill>
                          <a:miter lim="800000"/>
                          <a:headEnd/>
                          <a:tailEnd/>
                        </a:ln>
                      </wps:spPr>
                      <wps:txbx>
                        <w:txbxContent>
                          <w:p>
                            <w:pPr>
                              <w:pStyle w:val="FootnoteText"/>
                              <w:jc w:val="both"/>
                            </w:pPr>
                            <w:r>
                              <w:t xml:space="preserve">L-Artikolu 10c tad-Direttiva dwar l-EU ETS jipprovdi deroga mir-regola ġenerali tal-irkantar biex jappoġġa investimenti fil-modernizzazzjoni tas-settur tal-elettriku f’ċerti Stati Membri tal-UE bi dħul aktar baxx. Tmienja minn għaxar Stati Membri eliġibbli* użaw din id-deroga fil-fażi 3 u jallokaw lill-ġeneraturi tal-elettriku numru ta’ kwoti bla ħlas kemm-il darba jsiru investimenti korrispondenti. </w:t>
                            </w:r>
                          </w:p>
                          <w:p>
                            <w:pPr>
                              <w:pStyle w:val="FootnoteText"/>
                              <w:jc w:val="both"/>
                            </w:pPr>
                            <w:r>
                              <w:t>Il-kwoti bla ħlas skont l-Artikolu 10c jitnaqqsu mill-kwantità li l-Istat Membru rispettiv kieku kien jirkanta. Il-prinċipju ġenerali huwa li l-ġeneraturi tal-elettriku jistgħu jirċievu kwoti bla ħlas ta’ valur ekwivalenti għall-investimenti li jwettqu mill-Pjanijiet Nazzjonali ta’ Investiment tagħhom, jew ekwivalenti għall-pagamenti magħmula f’fond nazzjonali li permezz tiegħu jistgħu jiġu ffinanzjati dawn l-investimenti, fuq il-bażi tar-regoli nazzjonali għall-implimentazzjoni tad-deroga. Peress li l-allokazzjoni ta’ kwoti bla ħlas lil ġeneraturi tal-elettriku skont l-Artikolu 10c tad-Direttiva tal-ETS fil-prinċipju tinvolvi għajnuna mill-Istat, l-iskemi nazzjonali għall-implimentazzjoni tad-deroga skont l-Artikolu 10c ġew approvati skont ir-regoli tal-għajnuna mill-istat u huma soġġetti għar-rekwiżiti tal-Linji Gwida dwar l-Għajnuna mill-Istat. L-allokazzjoni ssir fuq il-bażi ta’ rappurtar annwali lill-Kummissjoni u awtorizzazzjoni minnha.**</w:t>
                            </w:r>
                          </w:p>
                          <w:p>
                            <w:pPr>
                              <w:pStyle w:val="FootnoteText"/>
                              <w:jc w:val="both"/>
                            </w:pPr>
                            <w:r>
                              <w:t>Allokazzjoni tranżizzjonali bla ħlas skont l-Artikolu 10c se tkompli tkun disponibbli fil-fażi 4 iżda b’dispożizzjonijiet ta’ trasparenza mtejba u bl-għażla għall-Istati Membri eliġibbli li jużaw l-allokazzjoni tal-Artikolu 10c tagħhom kollha jew parti minnha biex jiġu appoġġati l-investimenti fil-qafas tal-Fond għall-Modernizzazzjoni (ara l-Kapitolu 3.1.2.6). Abbażi tal-informazzjoni ppreżentata lill-Kummissjoni mill-Istati Membri, l-użu tal-Artikolu 10c se jkun limitat fil-fażi li jmiss, billi l-Bulgarija, ir-Rumanija, u l-Ungerija biss għażlu li jimplimentaw id-deroga.  L-Istati Membri l-oħrajn eliġibbli***, fosthom il-Polonja u r-Repubblika Ċeka, li kellhom l-ogħla volumi ta’ allokazzjonijiet tranżizzjonali bla ħlas fil-fażi 3, għażlu li ma jibqgħux jużaw id-deroga.</w:t>
                            </w:r>
                          </w:p>
                          <w:p>
                            <w:pPr>
                              <w:pStyle w:val="FootnoteText"/>
                              <w:jc w:val="both"/>
                            </w:pPr>
                          </w:p>
                          <w:p>
                            <w:pPr>
                              <w:spacing w:after="120"/>
                              <w:jc w:val="both"/>
                              <w:rPr>
                                <w:rFonts w:ascii="Times New Roman" w:hAnsi="Times New Roman"/>
                                <w:sz w:val="18"/>
                                <w:szCs w:val="18"/>
                              </w:rPr>
                            </w:pPr>
                            <w:r>
                              <w:rPr>
                                <w:rFonts w:ascii="Times New Roman" w:hAnsi="Times New Roman"/>
                                <w:sz w:val="18"/>
                                <w:szCs w:val="18"/>
                              </w:rPr>
                              <w:t>* Fil-fażi 3, il-Bulgarija, Ċipru, ir-Repubblika Ċeka, l-Estonja, l-Ungerija, il-Latvja, il-Litwanja, Malta, il-Polonja u r-Rumanija kienu eliġibbli għad-deroga. Malta u l-Latvja ddeċidew li ma jużawhiex.</w:t>
                            </w:r>
                          </w:p>
                          <w:p>
                            <w:pPr>
                              <w:spacing w:after="120"/>
                              <w:jc w:val="both"/>
                              <w:rPr>
                                <w:rFonts w:ascii="Times New Roman" w:hAnsi="Times New Roman"/>
                                <w:sz w:val="18"/>
                                <w:szCs w:val="18"/>
                              </w:rPr>
                            </w:pPr>
                            <w:r>
                              <w:rPr>
                                <w:rFonts w:ascii="Times New Roman" w:hAnsi="Times New Roman"/>
                                <w:sz w:val="18"/>
                                <w:szCs w:val="18"/>
                              </w:rPr>
                              <w:t>** Linji Gwida dwar ċerti miżuri ta’ għajnuna mill-Istat fil-kuntest tal-iskema għall-iskambju ta’ kwoti ta’ emissjonijiet ta’ gassijiet serra għal wara l-2012, ĠU C 158, 05.06.2012, p. 4.</w:t>
                            </w:r>
                          </w:p>
                          <w:p>
                            <w:pPr>
                              <w:spacing w:after="120"/>
                              <w:jc w:val="both"/>
                              <w:rPr>
                                <w:rFonts w:ascii="Times New Roman" w:hAnsi="Times New Roman"/>
                                <w:sz w:val="18"/>
                                <w:szCs w:val="18"/>
                              </w:rPr>
                            </w:pPr>
                            <w:r>
                              <w:rPr>
                                <w:rFonts w:ascii="Times New Roman" w:hAnsi="Times New Roman"/>
                                <w:sz w:val="18"/>
                                <w:szCs w:val="18"/>
                              </w:rPr>
                              <w:t>*** fil-fażi 4, il-Bulgarija, il-Kroazja, iċ-Ċekja, l-Estonja, l-Ungerija, il-Latvja, il-Litwanja, il-Polonja, is-Slovakkja u r-Rumanija huma eliġibbli għad-deroga.</w:t>
                            </w:r>
                          </w:p>
                        </w:txbxContent>
                      </wps:txbx>
                      <wps:bodyPr rot="0" vert="horz" wrap="square" lIns="91440" tIns="45720" rIns="91440" bIns="45720" anchor="t" anchorCtr="0">
                        <a:noAutofit/>
                      </wps:bodyPr>
                    </wps:wsp>
                  </a:graphicData>
                </a:graphic>
              </wp:inline>
            </w:drawing>
          </mc:Choice>
          <mc:Fallback>
            <w:pict>
              <v:shape id="_x0000_s1031" type="#_x0000_t202" style="width:450.45pt;height:28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" fillcolor="#d9d9d9" strokeweight="1pt">
                <v:stroke opacity="46003f"/>
                <v:textbox>
                  <w:txbxContent>
                    <w:p>
                      <w:pPr>
                        <w:pStyle w:val="FootnoteText"/>
                        <w:jc w:val="both"/>
                      </w:pPr>
                      <w:r>
                        <w:t xml:space="preserve">L-Artikolu 10c tad-Direttiva dwar l-EU ETS jipprovdi deroga mir-regola ġenerali tal-irkantar biex jappoġġa investimenti fil-modernizzazzjoni tas-settur tal-elettriku f’ċerti Stati Membri tal-UE bi dħul aktar baxx. Tmienja minn għaxar Stati Membri eliġibbli* użaw din id-deroga fil-fażi 3 u jallokaw lill-ġeneraturi tal-elettriku numru ta’ kwoti bla ħlas kemm-il darba jsiru investimenti korrispondenti. </w:t>
                      </w:r>
                    </w:p>
                    <w:p>
                      <w:pPr>
                        <w:pStyle w:val="FootnoteText"/>
                        <w:jc w:val="both"/>
                      </w:pPr>
                      <w:r>
                        <w:t>Il-kwoti bla ħlas skont l-Artikolu 10c jitnaqqsu mill-kwantità li l-Istat Membru rispettiv kieku kien jirkanta. Il-prinċipju ġenerali huwa li l-ġeneraturi tal-elettriku jistgħu jirċievu kwoti bla ħlas ta’ valur ekwivalenti għall-investimenti li jwettqu mill-Pjanijiet Nazzjonali ta’ Investiment tagħhom, jew ekwivalenti għall-pagamenti magħmula f’fond nazzjonali li permezz tiegħu jistgħu jiġu ffinanzjati dawn l-investimenti, fuq il-bażi tar-regoli nazzjonali għall-implimentazzjoni tad-deroga. Peress li l-allokazzjoni ta’ kwoti bla ħlas lil ġeneraturi tal-elettriku skont l-Artikolu 10c tad-Direttiva tal-ETS fil-prinċipju tinvolvi għajnuna mill-Istat, l-iskemi nazzjonali għall-implimentazzjoni tad-deroga skont l-Artikolu 10c ġew approvati skont ir-regoli tal-għajnuna mill-istat u huma soġġetti għar-rekwiżiti tal-Linji Gwida dwar l-Għajnuna mill-Istat. L-allokazzjoni ssir fuq il-bażi ta’ rappurtar annwali lill-Kummissjoni u awtorizzazzjoni minnha.**</w:t>
                      </w:r>
                    </w:p>
                    <w:p>
                      <w:pPr>
                        <w:pStyle w:val="FootnoteText"/>
                        <w:jc w:val="both"/>
                      </w:pPr>
                      <w:r>
                        <w:t>Allokazzjoni tranżizzjonali bla ħlas skont l-Artikolu 10c se tkompli tkun disponibbli fil-fażi 4 iżda b’dispożizzjonijiet ta’ trasparenza mtejba u bl-għażla għall-Istati Membri eliġibbli li jużaw l-allokazzjoni tal-Artikolu 10c tagħhom kollha jew parti minnha biex jiġu appoġġati l-investimenti fil-qafas tal-Fond għall-Modernizzazzjoni (ara l-Kapitolu 3.1.2.6). Abbażi tal-informazzjoni ppreżentata lill-Kummissjoni mill-Istati Membri, l-użu tal-Artikolu 10c se jkun limitat fil-fażi li jmiss, billi l-Bulgarija, ir-Rumanija, u l-Ungerija biss għażlu li jimplimentaw id-deroga.  L-Istati Membri l-oħrajn eliġibbli***, fosthom il-Polonja u r-Repubblika Ċeka, li kellhom l-ogħla volumi ta’ allokazzjonijiet tranżizzjonali bla ħlas fil-fażi 3, għażlu li ma jibqgħux jużaw id-deroga.</w:t>
                      </w:r>
                    </w:p>
                    <w:p>
                      <w:pPr>
                        <w:pStyle w:val="FootnoteText"/>
                        <w:jc w:val="both"/>
                      </w:pPr>
                    </w:p>
                    <w:p>
                      <w:pPr>
                        <w:spacing w:after="120"/>
                        <w:jc w:val="both"/>
                        <w:rPr>
                          <w:rFonts w:ascii="Times New Roman" w:hAnsi="Times New Roman"/>
                          <w:sz w:val="18"/>
                          <w:szCs w:val="18"/>
                        </w:rPr>
                      </w:pPr>
                      <w:r>
                        <w:rPr>
                          <w:rFonts w:ascii="Times New Roman" w:hAnsi="Times New Roman"/>
                          <w:sz w:val="18"/>
                          <w:szCs w:val="18"/>
                        </w:rPr>
                        <w:t>* Fil-fażi 3, il-Bulgarija, Ċipru, ir-Repubblika Ċeka, l-Estonja, l-Ungerija, il-Latvja, il-Litwanja, Malta, il-Polonja u r-Rumanija kienu eliġibbli għad-deroga. Malta u l-Latvja ddeċidew li ma jużawhiex.</w:t>
                      </w:r>
                    </w:p>
                    <w:p>
                      <w:pPr>
                        <w:spacing w:after="120"/>
                        <w:jc w:val="both"/>
                        <w:rPr>
                          <w:rFonts w:ascii="Times New Roman" w:hAnsi="Times New Roman"/>
                          <w:sz w:val="18"/>
                          <w:szCs w:val="18"/>
                        </w:rPr>
                      </w:pPr>
                      <w:r>
                        <w:rPr>
                          <w:rFonts w:ascii="Times New Roman" w:hAnsi="Times New Roman"/>
                          <w:sz w:val="18"/>
                          <w:szCs w:val="18"/>
                        </w:rPr>
                        <w:t>** Linji Gwida dwar ċerti miżuri ta’ għajnuna mill-Istat fil-kuntest tal-iskema għall-iskambju ta’ kwoti ta’ emissjonijiet ta’ gassijiet serra għal wara l-2012, ĠU C 158, 05.06.2012, p. 4.</w:t>
                      </w:r>
                    </w:p>
                    <w:p>
                      <w:pPr>
                        <w:spacing w:after="120"/>
                        <w:jc w:val="both"/>
                        <w:rPr>
                          <w:rFonts w:ascii="Times New Roman" w:hAnsi="Times New Roman"/>
                          <w:sz w:val="18"/>
                          <w:szCs w:val="18"/>
                        </w:rPr>
                      </w:pPr>
                      <w:r>
                        <w:rPr>
                          <w:rFonts w:ascii="Times New Roman" w:hAnsi="Times New Roman"/>
                          <w:sz w:val="18"/>
                          <w:szCs w:val="18"/>
                        </w:rPr>
                        <w:t>*** fil-fażi 4, il-Bulgarija, il-Kroazja, iċ-Ċekja, l-Estonja, l-Ungerija, il-Latvja, il-Litwanja, il-Polonja, is-Slovakkja u r-Rumanija huma eliġibbli għad-deroga.</w:t>
                      </w:r>
                    </w:p>
                  </w:txbxContent>
                </v:textbox>
                <w10:anchorlock/>
              </v:shape>
            </w:pict>
          </mc:Fallback>
        </mc:AlternateContent>
      </w:r>
    </w:p>
    <w:p>
      <w:pPr>
        <w:spacing w:after="160" w:line="259" w:lineRule="auto"/>
        <w:contextualSpacing/>
        <w:jc w:val="both"/>
        <w:rPr>
          <w:rFonts w:ascii="Times New Roman" w:hAnsi="Times New Roman"/>
          <w:noProof/>
          <w:sz w:val="24"/>
          <w:szCs w:val="24"/>
        </w:rPr>
      </w:pPr>
      <w:r>
        <w:rPr>
          <w:rFonts w:ascii="Times New Roman" w:hAnsi="Times New Roman"/>
          <w:noProof/>
          <w:sz w:val="24"/>
          <w:szCs w:val="24"/>
        </w:rPr>
        <w:t xml:space="preserve">Il-valur totali tal-appoġġ tal-investiment irrapportat matul is-snin 2009 sal-2019 huwa ta’ madwar EUR 13,1 biljun. Madwar 83 % ta’ dan kienu ddedikati għal titjib u modifikazzjoni fl-infrastruttura, filwaqt li l-bqija tal-investimenti kienu fid-diversifikazzjoni tat-taħlita enerġetika u fit-teknoloġiji nodfa. </w:t>
      </w:r>
    </w:p>
    <w:p>
      <w:pPr>
        <w:spacing w:after="160" w:line="259" w:lineRule="auto"/>
        <w:contextualSpacing/>
        <w:jc w:val="both"/>
        <w:rPr>
          <w:rFonts w:ascii="Times New Roman" w:hAnsi="Times New Roman"/>
          <w:noProof/>
          <w:sz w:val="24"/>
          <w:szCs w:val="24"/>
        </w:rPr>
      </w:pPr>
    </w:p>
    <w:p>
      <w:pPr>
        <w:jc w:val="both"/>
        <w:rPr>
          <w:rFonts w:ascii="Times New Roman" w:hAnsi="Times New Roman"/>
          <w:noProof/>
          <w:sz w:val="24"/>
          <w:szCs w:val="24"/>
        </w:rPr>
      </w:pPr>
      <w:r>
        <w:rPr>
          <w:rFonts w:ascii="Times New Roman" w:hAnsi="Times New Roman"/>
          <w:noProof/>
          <w:sz w:val="24"/>
          <w:szCs w:val="24"/>
        </w:rPr>
        <w:t>In-numru ta’ kwoti allokati bla ħlas lill-ġeneraturi tal-elettriku fl-2019 huwa indikat fit-Tabella 1.1, fl-Appendiċi 1 tal-Anness, filwaqt li n-numru massimu ta’ kwoti fis-sena huwa indikat fit-Tabella 1.2 tal-Appendiċi 1.</w:t>
      </w:r>
    </w:p>
    <w:p>
      <w:pPr>
        <w:jc w:val="both"/>
        <w:rPr>
          <w:rFonts w:ascii="Times New Roman" w:hAnsi="Times New Roman"/>
          <w:noProof/>
          <w:sz w:val="24"/>
          <w:szCs w:val="24"/>
        </w:rPr>
      </w:pPr>
      <w:r>
        <w:rPr>
          <w:rFonts w:ascii="Times New Roman" w:hAnsi="Times New Roman"/>
          <w:noProof/>
          <w:sz w:val="24"/>
          <w:szCs w:val="24"/>
        </w:rPr>
        <w:t xml:space="preserve">Il-kwoti mhux allokati mill-fażi 3 jistgħu jiġu rkantati jew, skont id-dispożizzjonijiet tad-Direttiva dwar l-EU ETS, jistgħu jiġu allokati fl-2021 sal-2030 għall-investimenti tal-Artikolu 10c magħżula permezz ta’ offerti kompetittivi jew għall-Fond għall-Modernizzazzjoni. Filwaqt li l-Ungerija għażlet li tittrasferixxi l-kwoti 10c mhux allokati tagħha mill-fażi 3 għall-volum ta’ 10c tagħha fil-fażi 4, il-biċċa l-kbira tal-Istati Membri l-oħrajn iddeċidew li jirkantaw il-kwoti li jifdal tagħhom. Ir-Rumanija għamlet użu miż-żewġ għażliet, billi ttrasferiet parti mill-kwoti mhux allokati tagħha għall-fażi 4, u rkantat parti minnhom. </w:t>
      </w:r>
    </w:p>
    <w:p>
      <w:pPr>
        <w:jc w:val="both"/>
        <w:rPr>
          <w:rFonts w:ascii="Times New Roman" w:hAnsi="Times New Roman"/>
          <w:noProof/>
          <w:sz w:val="24"/>
          <w:szCs w:val="24"/>
        </w:rPr>
      </w:pPr>
      <w:r>
        <w:rPr>
          <w:rFonts w:ascii="Times New Roman" w:hAnsi="Times New Roman"/>
          <w:noProof/>
          <w:sz w:val="24"/>
          <w:szCs w:val="24"/>
        </w:rPr>
        <w:t>L-Illustrazzjoni 3 turi n-numru ta’ kwoti 10c li kienu allokati għall-perjodu 2013 sal-2019 għal kull Stat Membru.</w:t>
      </w:r>
    </w:p>
    <w:p>
      <w:pPr>
        <w:jc w:val="both"/>
        <w:rPr>
          <w:rFonts w:ascii="Times New Roman" w:hAnsi="Times New Roman"/>
          <w:b/>
          <w:noProof/>
        </w:rPr>
      </w:pPr>
      <w:r>
        <w:rPr>
          <w:rFonts w:ascii="Times New Roman" w:hAnsi="Times New Roman"/>
          <w:b/>
          <w:noProof/>
        </w:rPr>
        <w:t xml:space="preserve"> Illustrazzjoni 3: Numru ta’ kwoti allokati bla ħlas skont l-Artikolu 10c</w:t>
      </w:r>
      <w:r>
        <w:rPr>
          <w:rStyle w:val="FootnoteReference"/>
          <w:rFonts w:ascii="Times New Roman" w:hAnsi="Times New Roman"/>
          <w:b/>
          <w:noProof/>
        </w:rPr>
        <w:footnoteReference w:id="46"/>
      </w:r>
    </w:p>
    <w:p>
      <w:pPr>
        <w:jc w:val="both"/>
        <w:rPr>
          <w:rFonts w:ascii="Times New Roman" w:hAnsi="Times New Roman"/>
          <w:b/>
          <w:noProof/>
        </w:rPr>
      </w:pPr>
      <w:r>
        <w:rPr>
          <w:noProof/>
          <w:lang w:val="en-GB" w:eastAsia="en-GB"/>
        </w:rPr>
        <w:drawing>
          <wp:inline distT="0" distB="0" distL="0" distR="0">
            <wp:extent cx="5731510" cy="3063240"/>
            <wp:effectExtent l="0" t="0" r="2540" b="38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jc w:val="both"/>
        <w:rPr>
          <w:rFonts w:ascii="Times New Roman" w:hAnsi="Times New Roman"/>
          <w:noProof/>
          <w:sz w:val="18"/>
          <w:szCs w:val="18"/>
        </w:rPr>
      </w:pPr>
      <w:r>
        <w:rPr>
          <w:rFonts w:ascii="Times New Roman" w:hAnsi="Times New Roman"/>
          <w:noProof/>
          <w:sz w:val="18"/>
          <w:szCs w:val="18"/>
        </w:rPr>
        <w:t>Sors: DĠ Azzjoni Klimatika</w:t>
      </w:r>
    </w:p>
    <w:p>
      <w:pPr>
        <w:jc w:val="both"/>
        <w:rPr>
          <w:rFonts w:ascii="Times New Roman" w:hAnsi="Times New Roman"/>
          <w:b/>
          <w:noProof/>
        </w:rPr>
      </w:pPr>
      <w:r>
        <w:rPr>
          <w:rFonts w:ascii="Times New Roman" w:hAnsi="Times New Roman"/>
          <w:noProof/>
          <w:sz w:val="24"/>
          <w:szCs w:val="24"/>
        </w:rPr>
        <w:t xml:space="preserve">L-Illustrazzjoni 4 turi sa liema punt il-kwoti 10c minn kull sena ta’ allokazzjoni tal-fażi 3 ġew allokati, miżjuda mal-irkantijiet, jew jibqgħu mhux użati. </w:t>
      </w:r>
    </w:p>
    <w:p>
      <w:pPr>
        <w:jc w:val="both"/>
        <w:rPr>
          <w:rFonts w:ascii="Times New Roman" w:hAnsi="Times New Roman"/>
          <w:b/>
          <w:noProof/>
        </w:rPr>
      </w:pPr>
    </w:p>
    <w:p>
      <w:pPr>
        <w:jc w:val="both"/>
        <w:rPr>
          <w:rFonts w:ascii="Times New Roman" w:hAnsi="Times New Roman"/>
          <w:b/>
          <w:noProof/>
        </w:rPr>
      </w:pPr>
    </w:p>
    <w:p>
      <w:pPr>
        <w:jc w:val="both"/>
        <w:rPr>
          <w:rFonts w:ascii="Times New Roman" w:hAnsi="Times New Roman"/>
          <w:b/>
          <w:noProof/>
        </w:rPr>
      </w:pPr>
    </w:p>
    <w:p>
      <w:pPr>
        <w:jc w:val="both"/>
        <w:rPr>
          <w:rFonts w:ascii="Times New Roman" w:hAnsi="Times New Roman"/>
          <w:b/>
          <w:noProof/>
        </w:rPr>
      </w:pPr>
    </w:p>
    <w:p>
      <w:pPr>
        <w:jc w:val="both"/>
        <w:rPr>
          <w:rFonts w:ascii="Times New Roman" w:hAnsi="Times New Roman"/>
          <w:b/>
          <w:noProof/>
        </w:rPr>
      </w:pPr>
      <w:r>
        <w:rPr>
          <w:rFonts w:ascii="Times New Roman" w:hAnsi="Times New Roman"/>
          <w:b/>
          <w:noProof/>
        </w:rPr>
        <w:t>Illustrazzjoni 4: Id-distribuzzjoni tal-kwoti (allokati, irkantati, li fadal mhux użati)</w:t>
      </w:r>
      <w:r>
        <w:rPr>
          <w:rStyle w:val="FootnoteReference"/>
          <w:rFonts w:ascii="Times New Roman" w:hAnsi="Times New Roman"/>
          <w:b/>
          <w:noProof/>
        </w:rPr>
        <w:footnoteReference w:id="47"/>
      </w:r>
    </w:p>
    <w:p>
      <w:pPr>
        <w:jc w:val="both"/>
        <w:rPr>
          <w:rFonts w:ascii="Times New Roman" w:hAnsi="Times New Roman"/>
          <w:noProof/>
          <w:sz w:val="24"/>
          <w:szCs w:val="24"/>
        </w:rPr>
      </w:pPr>
      <w:r>
        <w:rPr>
          <w:noProof/>
          <w:lang w:val="en-GB" w:eastAsia="en-GB"/>
        </w:rPr>
        <w:drawing>
          <wp:inline distT="0" distB="0" distL="0" distR="0">
            <wp:extent cx="5731510" cy="3022600"/>
            <wp:effectExtent l="0" t="0" r="2540" b="6350"/>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jc w:val="both"/>
        <w:rPr>
          <w:rFonts w:ascii="Times New Roman" w:hAnsi="Times New Roman"/>
          <w:noProof/>
          <w:sz w:val="24"/>
          <w:szCs w:val="24"/>
        </w:rPr>
      </w:pPr>
      <w:r>
        <w:rPr>
          <w:rFonts w:ascii="Times New Roman" w:hAnsi="Times New Roman"/>
          <w:noProof/>
          <w:sz w:val="18"/>
          <w:szCs w:val="18"/>
        </w:rPr>
        <w:t>Sors: DĠ Azzjoni Klimatika</w:t>
      </w:r>
    </w:p>
    <w:p>
      <w:pPr>
        <w:jc w:val="both"/>
        <w:rPr>
          <w:rFonts w:ascii="Times New Roman" w:hAnsi="Times New Roman"/>
          <w:noProof/>
          <w:sz w:val="24"/>
          <w:szCs w:val="24"/>
        </w:rPr>
      </w:pPr>
      <w:r>
        <w:rPr>
          <w:rFonts w:ascii="Times New Roman" w:hAnsi="Times New Roman"/>
          <w:noProof/>
          <w:sz w:val="24"/>
          <w:szCs w:val="24"/>
        </w:rPr>
        <w:t>It-Tabella 4 turi n-numru ta’ kwoti 10c mhux użati li ġew irkantati fil-perjodu 2013 sal-2020, kif ukoll in-numru ta’ kwoti li baqgħu ma ntużawx wara s-sena ta’ allokazzjoni 2019 li se jiġu rkantati fl-2021, jew ittrasferiti għall-allokazzjoni skont l-Artikolu 10c fil-fażi 4, jew ittrasferiti lill-Fond għall-Modernizzazzjoni.</w:t>
      </w:r>
    </w:p>
    <w:p>
      <w:pPr>
        <w:keepNext/>
        <w:rPr>
          <w:rFonts w:ascii="Times New Roman" w:hAnsi="Times New Roman"/>
          <w:b/>
          <w:bCs/>
          <w:noProof/>
        </w:rPr>
      </w:pPr>
      <w:r>
        <w:rPr>
          <w:rFonts w:ascii="Times New Roman" w:hAnsi="Times New Roman"/>
          <w:b/>
          <w:bCs/>
          <w:noProof/>
        </w:rPr>
        <w:t>Tabella 4: Trattament tal-kwoti 10c mhux użati mis-snin ta’ allokazzjoni 2013-2019</w:t>
      </w:r>
      <w:r>
        <w:rPr>
          <w:rStyle w:val="FootnoteReference"/>
          <w:rFonts w:ascii="Times New Roman" w:hAnsi="Times New Roman"/>
          <w:b/>
          <w:bCs/>
          <w:noProof/>
        </w:rPr>
        <w:footnoteReference w:id="48"/>
      </w:r>
    </w:p>
    <w:tbl>
      <w:tblPr>
        <w:tblW w:w="885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A0" w:firstRow="1" w:lastRow="0" w:firstColumn="1" w:lastColumn="0" w:noHBand="0" w:noVBand="1"/>
      </w:tblPr>
      <w:tblGrid>
        <w:gridCol w:w="1805"/>
        <w:gridCol w:w="3561"/>
        <w:gridCol w:w="3488"/>
      </w:tblGrid>
      <w:tr>
        <w:trPr>
          <w:trHeight w:val="298"/>
          <w:jc w:val="center"/>
        </w:trPr>
        <w:tc>
          <w:tcPr>
            <w:tcW w:w="1805"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Stat Membru</w:t>
            </w:r>
          </w:p>
        </w:tc>
        <w:tc>
          <w:tcPr>
            <w:tcW w:w="3561"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Numru ta’ kwoti 10c li ġew irkantati (f’miljuni)</w:t>
            </w:r>
          </w:p>
        </w:tc>
        <w:tc>
          <w:tcPr>
            <w:tcW w:w="3488"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Numru ta’ kwoti 10c li baqgħu ma ntużawx (f’miljuni)</w:t>
            </w:r>
          </w:p>
        </w:tc>
      </w:tr>
      <w:tr>
        <w:trPr>
          <w:trHeight w:val="298"/>
          <w:jc w:val="center"/>
        </w:trPr>
        <w:tc>
          <w:tcPr>
            <w:tcW w:w="1805"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BG</w:t>
            </w:r>
          </w:p>
        </w:tc>
        <w:tc>
          <w:tcPr>
            <w:tcW w:w="3561"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9,8</w:t>
            </w:r>
          </w:p>
        </w:tc>
        <w:tc>
          <w:tcPr>
            <w:tcW w:w="3488"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0,5</w:t>
            </w:r>
          </w:p>
        </w:tc>
      </w:tr>
      <w:tr>
        <w:trPr>
          <w:trHeight w:val="298"/>
          <w:jc w:val="center"/>
        </w:trPr>
        <w:tc>
          <w:tcPr>
            <w:tcW w:w="1805"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CY</w:t>
            </w:r>
          </w:p>
        </w:tc>
        <w:tc>
          <w:tcPr>
            <w:tcW w:w="3561"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0,0</w:t>
            </w:r>
          </w:p>
        </w:tc>
        <w:tc>
          <w:tcPr>
            <w:tcW w:w="3488"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0,0</w:t>
            </w:r>
          </w:p>
        </w:tc>
      </w:tr>
      <w:tr>
        <w:trPr>
          <w:trHeight w:val="298"/>
          <w:jc w:val="center"/>
        </w:trPr>
        <w:tc>
          <w:tcPr>
            <w:tcW w:w="1805"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CZ</w:t>
            </w:r>
          </w:p>
        </w:tc>
        <w:tc>
          <w:tcPr>
            <w:tcW w:w="3561"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0,4</w:t>
            </w:r>
          </w:p>
        </w:tc>
        <w:tc>
          <w:tcPr>
            <w:tcW w:w="3488"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0,0</w:t>
            </w:r>
          </w:p>
        </w:tc>
      </w:tr>
      <w:tr>
        <w:trPr>
          <w:trHeight w:val="298"/>
          <w:jc w:val="center"/>
        </w:trPr>
        <w:tc>
          <w:tcPr>
            <w:tcW w:w="1805"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EE</w:t>
            </w:r>
          </w:p>
        </w:tc>
        <w:tc>
          <w:tcPr>
            <w:tcW w:w="3561"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2,9</w:t>
            </w:r>
          </w:p>
        </w:tc>
        <w:tc>
          <w:tcPr>
            <w:tcW w:w="3488"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0,0</w:t>
            </w:r>
          </w:p>
        </w:tc>
      </w:tr>
      <w:tr>
        <w:trPr>
          <w:trHeight w:val="298"/>
          <w:jc w:val="center"/>
        </w:trPr>
        <w:tc>
          <w:tcPr>
            <w:tcW w:w="1805"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LT</w:t>
            </w:r>
          </w:p>
        </w:tc>
        <w:tc>
          <w:tcPr>
            <w:tcW w:w="3561"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1,2</w:t>
            </w:r>
          </w:p>
        </w:tc>
        <w:tc>
          <w:tcPr>
            <w:tcW w:w="3488"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0,1</w:t>
            </w:r>
          </w:p>
        </w:tc>
      </w:tr>
      <w:tr>
        <w:trPr>
          <w:trHeight w:val="298"/>
          <w:jc w:val="center"/>
        </w:trPr>
        <w:tc>
          <w:tcPr>
            <w:tcW w:w="1805"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PL</w:t>
            </w:r>
          </w:p>
        </w:tc>
        <w:tc>
          <w:tcPr>
            <w:tcW w:w="3561"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105,3</w:t>
            </w:r>
          </w:p>
        </w:tc>
        <w:tc>
          <w:tcPr>
            <w:tcW w:w="3488"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34,7</w:t>
            </w:r>
          </w:p>
        </w:tc>
      </w:tr>
      <w:tr>
        <w:trPr>
          <w:trHeight w:val="298"/>
          <w:jc w:val="center"/>
        </w:trPr>
        <w:tc>
          <w:tcPr>
            <w:tcW w:w="1805"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RO</w:t>
            </w:r>
          </w:p>
        </w:tc>
        <w:tc>
          <w:tcPr>
            <w:tcW w:w="3561"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15,4</w:t>
            </w:r>
          </w:p>
        </w:tc>
        <w:tc>
          <w:tcPr>
            <w:tcW w:w="3488"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3,6</w:t>
            </w:r>
          </w:p>
        </w:tc>
      </w:tr>
      <w:tr>
        <w:trPr>
          <w:trHeight w:val="298"/>
          <w:jc w:val="center"/>
        </w:trPr>
        <w:tc>
          <w:tcPr>
            <w:tcW w:w="1805"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HU</w:t>
            </w:r>
          </w:p>
        </w:tc>
        <w:tc>
          <w:tcPr>
            <w:tcW w:w="3561"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0</w:t>
            </w:r>
          </w:p>
        </w:tc>
        <w:tc>
          <w:tcPr>
            <w:tcW w:w="3488"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0,9</w:t>
            </w:r>
          </w:p>
        </w:tc>
      </w:tr>
      <w:tr>
        <w:trPr>
          <w:trHeight w:val="298"/>
          <w:jc w:val="center"/>
        </w:trPr>
        <w:tc>
          <w:tcPr>
            <w:tcW w:w="1805"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Total</w:t>
            </w:r>
          </w:p>
        </w:tc>
        <w:tc>
          <w:tcPr>
            <w:tcW w:w="3561"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135,0</w:t>
            </w:r>
          </w:p>
        </w:tc>
        <w:tc>
          <w:tcPr>
            <w:tcW w:w="3488" w:type="dxa"/>
            <w:tcBorders>
              <w:top w:val="double" w:sz="4" w:space="0" w:color="auto"/>
              <w:left w:val="double" w:sz="4" w:space="0" w:color="auto"/>
              <w:bottom w:val="double" w:sz="4" w:space="0" w:color="auto"/>
              <w:right w:val="double" w:sz="4" w:space="0" w:color="auto"/>
            </w:tcBorders>
            <w:shd w:val="clear" w:color="auto" w:fill="auto"/>
            <w:noWrap/>
            <w:tcMar>
              <w:top w:w="0" w:type="dxa"/>
              <w:left w:w="108" w:type="dxa"/>
              <w:bottom w:w="0" w:type="dxa"/>
              <w:right w:w="108" w:type="dxa"/>
            </w:tcMar>
            <w:vAlign w:val="bottom"/>
            <w:hideMark/>
          </w:tcPr>
          <w:p>
            <w:pPr>
              <w:spacing w:after="0" w:line="240" w:lineRule="auto"/>
              <w:jc w:val="center"/>
              <w:rPr>
                <w:rFonts w:ascii="Times New Roman" w:hAnsi="Times New Roman"/>
                <w:b/>
                <w:bCs/>
                <w:noProof/>
                <w:color w:val="000000"/>
                <w:sz w:val="20"/>
                <w:szCs w:val="20"/>
              </w:rPr>
            </w:pPr>
            <w:r>
              <w:rPr>
                <w:rFonts w:ascii="Times New Roman" w:hAnsi="Times New Roman"/>
                <w:b/>
                <w:bCs/>
                <w:noProof/>
                <w:color w:val="000000"/>
                <w:sz w:val="20"/>
                <w:szCs w:val="20"/>
              </w:rPr>
              <w:t>39,7</w:t>
            </w:r>
          </w:p>
        </w:tc>
      </w:tr>
    </w:tbl>
    <w:p>
      <w:pPr>
        <w:spacing w:after="0"/>
        <w:jc w:val="both"/>
        <w:rPr>
          <w:rFonts w:ascii="Times New Roman" w:hAnsi="Times New Roman"/>
          <w:noProof/>
          <w:sz w:val="18"/>
          <w:szCs w:val="18"/>
        </w:rPr>
      </w:pPr>
      <w:r>
        <w:rPr>
          <w:rFonts w:ascii="Times New Roman" w:hAnsi="Times New Roman"/>
          <w:noProof/>
          <w:sz w:val="18"/>
          <w:szCs w:val="18"/>
        </w:rPr>
        <w:t xml:space="preserve"> </w:t>
      </w:r>
    </w:p>
    <w:p>
      <w:pPr>
        <w:spacing w:after="0"/>
        <w:jc w:val="both"/>
        <w:rPr>
          <w:rFonts w:ascii="Times New Roman" w:hAnsi="Times New Roman"/>
          <w:noProof/>
          <w:sz w:val="18"/>
          <w:szCs w:val="18"/>
        </w:rPr>
      </w:pPr>
      <w:r>
        <w:rPr>
          <w:rFonts w:ascii="Times New Roman" w:hAnsi="Times New Roman"/>
          <w:noProof/>
          <w:sz w:val="18"/>
          <w:szCs w:val="18"/>
        </w:rPr>
        <w:t>Sors: DĠ Azzjoni Klimatika</w:t>
      </w:r>
    </w:p>
    <w:p>
      <w:pPr>
        <w:spacing w:after="0" w:line="240" w:lineRule="auto"/>
        <w:jc w:val="both"/>
        <w:rPr>
          <w:rFonts w:ascii="Times New Roman" w:hAnsi="Times New Roman"/>
          <w:noProof/>
          <w:sz w:val="24"/>
          <w:szCs w:val="24"/>
        </w:rPr>
      </w:pPr>
    </w:p>
    <w:p>
      <w:pPr>
        <w:jc w:val="both"/>
        <w:rPr>
          <w:noProof/>
        </w:rPr>
      </w:pPr>
      <w:r>
        <w:rPr>
          <w:rFonts w:ascii="Times New Roman" w:hAnsi="Times New Roman"/>
          <w:noProof/>
          <w:sz w:val="24"/>
          <w:szCs w:val="24"/>
        </w:rPr>
        <w:t>In-numru ta’ kwoti mhux allokati li ġew irkantati (jew previsti għall-irkantar) mill-Istati Membri taħt id-deroga tal-Artikolu 10c għall-perjodu 2013-2021 huwa indikat fit-Tabella 1.3 fl-Appendiċi 1 tal-Anness.</w:t>
      </w:r>
    </w:p>
    <w:p>
      <w:pPr>
        <w:pStyle w:val="Heading4"/>
        <w:spacing w:before="0" w:after="200"/>
        <w:ind w:firstLine="720"/>
        <w:rPr>
          <w:noProof/>
        </w:rPr>
      </w:pPr>
      <w:bookmarkStart w:id="31" w:name="_Toc490850427"/>
      <w:bookmarkStart w:id="32" w:name="_Toc56000799"/>
      <w:r>
        <w:rPr>
          <w:noProof/>
        </w:rPr>
        <w:t>3.1.2.4. Il-programm NER 300</w:t>
      </w:r>
      <w:bookmarkEnd w:id="31"/>
      <w:bookmarkEnd w:id="32"/>
      <w:r>
        <w:rPr>
          <w:noProof/>
        </w:rPr>
        <w:t xml:space="preserve"> </w:t>
      </w:r>
    </w:p>
    <w:p>
      <w:pPr>
        <w:pStyle w:val="a3520normalp11"/>
        <w:spacing w:line="276" w:lineRule="auto"/>
        <w:rPr>
          <w:noProof/>
        </w:rPr>
      </w:pPr>
      <w:r>
        <w:rPr>
          <w:noProof/>
          <w:lang w:val="en-GB"/>
        </w:rPr>
        <mc:AlternateContent>
          <mc:Choice Requires="wps">
            <w:drawing>
              <wp:inline distT="0" distB="0" distL="0" distR="0">
                <wp:extent cx="5720486" cy="1327150"/>
                <wp:effectExtent l="0" t="0" r="13970" b="2540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486" cy="1327150"/>
                        </a:xfrm>
                        <a:prstGeom prst="rect">
                          <a:avLst/>
                        </a:prstGeom>
                        <a:solidFill>
                          <a:schemeClr val="bg1">
                            <a:lumMod val="85000"/>
                          </a:schemeClr>
                        </a:solidFill>
                        <a:ln w="12700">
                          <a:solidFill>
                            <a:srgbClr val="000000"/>
                          </a:solidFill>
                          <a:miter lim="800000"/>
                          <a:headEnd/>
                          <a:tailEnd/>
                        </a:ln>
                      </wps:spPr>
                      <wps:txbx>
                        <w:txbxContent>
                          <w:p>
                            <w:pPr>
                              <w:jc w:val="both"/>
                              <w:rPr>
                                <w:rFonts w:ascii="Times New Roman" w:hAnsi="Times New Roman"/>
                                <w:sz w:val="24"/>
                                <w:szCs w:val="24"/>
                              </w:rPr>
                            </w:pPr>
                            <w:r>
                              <w:rPr>
                                <w:rFonts w:ascii="Times New Roman" w:hAnsi="Times New Roman"/>
                                <w:sz w:val="24"/>
                                <w:szCs w:val="24"/>
                              </w:rPr>
                              <w:t xml:space="preserve">L-NER 300 huwa programm ta’ finanzjament fuq skala kbira għal proġetti ta’ dimostrazzjoni innovattivi ta’ enerġija b’emissjonijiet baxxi ta’ karbonju. Huwa mmirat għall-wiri ta’ ġbir u ħżin tal-karbonju (CCS) sikuri għall-ambjent u teknoloġiji innovattivi ta’ sorsi ta’ enerġija rinnovabbli (RES) fuq skala kummerċjali fi ħdan l-UE. L-NER 300 huwa ffinanzjat mill-monetizzazzjoni ta’ 300 miljun kwota tal-emissjonijiet mill-NER. Il-fondi ngħataw lill-proġetti magħżula permezz ta’ żewġ sensiliet ta’ sejħiet għall-proposti f’Diċembru 2012 u f’Lulju 2014. </w:t>
                            </w:r>
                          </w:p>
                          <w:p>
                            <w:pPr>
                              <w:rPr>
                                <w:rFonts w:ascii="Times New Roman" w:hAnsi="Times New Roman"/>
                                <w:sz w:val="24"/>
                                <w:szCs w:val="24"/>
                              </w:rPr>
                            </w:pPr>
                          </w:p>
                          <w:p>
                            <w:pPr>
                              <w:rPr>
                                <w:rFonts w:ascii="Times New Roman" w:hAnsi="Times New Roman"/>
                                <w:sz w:val="24"/>
                                <w:szCs w:val="24"/>
                              </w:rPr>
                            </w:pPr>
                          </w:p>
                        </w:txbxContent>
                      </wps:txbx>
                      <wps:bodyPr rot="0" vert="horz" wrap="square" lIns="91440" tIns="45720" rIns="91440" bIns="45720" anchor="t" anchorCtr="0">
                        <a:noAutofit/>
                      </wps:bodyPr>
                    </wps:wsp>
                  </a:graphicData>
                </a:graphic>
              </wp:inline>
            </w:drawing>
          </mc:Choice>
          <mc:Fallback>
            <w:pict>
              <v:shape id="_x0000_s1032" type="#_x0000_t202" style="width:450.45pt;height:1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" fillcolor="#d8d8d8 [2732]" strokeweight="1pt">
                <v:textbox>
                  <w:txbxContent>
                    <w:p>
                      <w:pPr>
                        <w:jc w:val="both"/>
                        <w:rPr>
                          <w:rFonts w:ascii="Times New Roman" w:hAnsi="Times New Roman"/>
                          <w:sz w:val="24"/>
                          <w:szCs w:val="24"/>
                        </w:rPr>
                      </w:pPr>
                      <w:r>
                        <w:rPr>
                          <w:rFonts w:ascii="Times New Roman" w:hAnsi="Times New Roman"/>
                          <w:sz w:val="24"/>
                          <w:szCs w:val="24"/>
                        </w:rPr>
                        <w:t xml:space="preserve">L-NER 300 huwa programm ta’ finanzjament fuq skala kbira għal proġetti ta’ dimostrazzjoni innovattivi ta’ enerġija b’emissjonijiet baxxi ta’ karbonju. Huwa mmirat għall-wiri ta’ ġbir u ħżin tal-karbonju (CCS) sikuri għall-ambjent u teknoloġiji innovattivi ta’ sorsi ta’ enerġija rinnovabbli (RES) fuq skala kummerċjali fi ħdan l-UE. L-NER 300 huwa ffinanzjat mill-monetizzazzjoni ta’ 300 miljun kwota tal-emissjonijiet mill-NER. Il-fondi ngħataw lill-proġetti magħżula permezz ta’ żewġ sensiliet ta’ sejħiet għall-proposti f’Diċembru 2012 u f’Lulju 2014. </w:t>
                      </w:r>
                    </w:p>
                    <w:p>
                      <w:pPr>
                        <w:rPr>
                          <w:rFonts w:ascii="Times New Roman" w:hAnsi="Times New Roman"/>
                          <w:sz w:val="24"/>
                          <w:szCs w:val="24"/>
                        </w:rPr>
                      </w:pPr>
                    </w:p>
                    <w:p>
                      <w:pPr>
                        <w:rPr>
                          <w:rFonts w:ascii="Times New Roman" w:hAnsi="Times New Roman"/>
                          <w:sz w:val="24"/>
                          <w:szCs w:val="24"/>
                        </w:rPr>
                      </w:pPr>
                    </w:p>
                  </w:txbxContent>
                </v:textbox>
                <w10:anchorlock/>
              </v:shape>
            </w:pict>
          </mc:Fallback>
        </mc:AlternateContent>
      </w:r>
    </w:p>
    <w:p>
      <w:pPr>
        <w:spacing w:after="120"/>
        <w:ind w:right="57"/>
        <w:jc w:val="both"/>
        <w:rPr>
          <w:rFonts w:ascii="Times New Roman" w:eastAsia="Times New Roman" w:hAnsi="Times New Roman"/>
          <w:noProof/>
          <w:sz w:val="24"/>
          <w:szCs w:val="24"/>
        </w:rPr>
      </w:pPr>
      <w:r>
        <w:rPr>
          <w:rFonts w:ascii="Times New Roman" w:hAnsi="Times New Roman"/>
          <w:noProof/>
          <w:sz w:val="24"/>
          <w:szCs w:val="24"/>
        </w:rPr>
        <w:t xml:space="preserve">Bħala riżultat taż-żewġ sejħiet għall-proposti tal-programm NER 300, ingħataw 38 proġett RES u proġett wieħed CCS f’20 Stat Membru tal-UE, li jammontaw għal EUR 2,1 biljun. Sal-31 ta’ Diċembru 2019, 9 proġetti huma operazzjonali: Il-proġett tal-bijoenerġija Verbiostraw fil-Ġermanja, il-proġetti ta’ parks eoliċi fuq l-art Windpark Blaiken fl-Iżvezja u Windpark Handalm fl-Awstrija, il-proġetti ta’ parks eoliċi lil hinn mill-kosta Veja Mate u Nordsee One fil-Ġermanja, il-proġett ta’ grid intelliġenti Puglia Active Network fl-Italja, il-proġetti ta’ parks eoliċi li jżommu f'wiċċ l-ilma lil hinn mill-kosta Vertimed fi Franza u Winfloat fil-Portugall, kif ukoll il-proġett ikkonċentrat tal-enerġija solari Minos fil-Greċja. Proġett wieħed ta’ bijoenerġija Taljan BEST, jitqies li hu lest. </w:t>
      </w:r>
    </w:p>
    <w:p>
      <w:pPr>
        <w:spacing w:after="120"/>
        <w:ind w:right="57"/>
        <w:jc w:val="both"/>
        <w:rPr>
          <w:rFonts w:ascii="Times New Roman" w:eastAsia="Times New Roman" w:hAnsi="Times New Roman"/>
          <w:noProof/>
          <w:sz w:val="24"/>
          <w:szCs w:val="24"/>
        </w:rPr>
      </w:pPr>
      <w:r>
        <w:rPr>
          <w:rFonts w:ascii="Times New Roman" w:hAnsi="Times New Roman"/>
          <w:noProof/>
          <w:sz w:val="24"/>
          <w:szCs w:val="24"/>
        </w:rPr>
        <w:t>It-tħejjija biex tliet proġetti oħra mit-tieni sejħa jibdew joperaw sat-30 ta’ Ġunju 2021 qed tavvanza. Minħabba l-kuntest ekonomiku u politiku diffiċli minn meta ġie stabbilit il-programm NER 300, 22 proġett ma setgħux jattiraw biżżejjed appoġġ finanzjarju addizzjonali u ġew irtirati, u b’kollox ġew rilaxxati EUR 1 455 biljun. Erba’ proġetti oħra huma taħt diversi stadji ta’ żvilupp.</w:t>
      </w:r>
    </w:p>
    <w:p>
      <w:pPr>
        <w:spacing w:after="120"/>
        <w:ind w:right="57"/>
        <w:jc w:val="both"/>
        <w:rPr>
          <w:rFonts w:ascii="Times New Roman" w:eastAsia="Times New Roman" w:hAnsi="Times New Roman"/>
          <w:noProof/>
          <w:sz w:val="24"/>
          <w:szCs w:val="24"/>
        </w:rPr>
      </w:pPr>
      <w:r>
        <w:rPr>
          <w:rFonts w:ascii="Times New Roman" w:hAnsi="Times New Roman"/>
          <w:noProof/>
          <w:sz w:val="24"/>
          <w:szCs w:val="24"/>
        </w:rPr>
        <w:t>Id-Deċiżjoni emendata dwar NER 300</w:t>
      </w:r>
      <w:r>
        <w:rPr>
          <w:rFonts w:ascii="Times New Roman" w:eastAsia="Times New Roman" w:hAnsi="Times New Roman"/>
          <w:noProof/>
          <w:sz w:val="24"/>
          <w:szCs w:val="24"/>
          <w:vertAlign w:val="superscript"/>
          <w:lang w:eastAsia="en-GB"/>
        </w:rPr>
        <w:footnoteReference w:id="49"/>
      </w:r>
      <w:r>
        <w:rPr>
          <w:rFonts w:ascii="Times New Roman" w:hAnsi="Times New Roman"/>
          <w:noProof/>
          <w:sz w:val="24"/>
          <w:szCs w:val="24"/>
        </w:rPr>
        <w:t>, ippermettiet investiment mill-ġdid tal-fondi rilaxxati mill-proġetti kkanċellati tal-ewwel sejħa (EUR 708,7 miljun sa issa) fi strumenti finanzjarji eżistenti - il-Proġetti ta’ Dimostrazzjoni fil-Qasam tal-Enerġija InnovFin (EDP) u l-Istrument ta’ Dejn tal-Faċilità Nikkollegaw l-Ewropa (CEF DI), li t-tnejn huma mmexxija mill-Bank Ewropew tal-Investiment.</w:t>
      </w:r>
      <w:r>
        <w:rPr>
          <w:noProof/>
        </w:rPr>
        <w:t xml:space="preserve"> </w:t>
      </w:r>
      <w:r>
        <w:rPr>
          <w:rFonts w:ascii="Times New Roman" w:hAnsi="Times New Roman"/>
          <w:noProof/>
          <w:sz w:val="24"/>
          <w:szCs w:val="24"/>
        </w:rPr>
        <w:t>Dan se jippermetti li jiġu massimizzati l-benefiċċji tal-programm NER 300 u l-ingranaġġ ta’ investimenti privati addizzjonali fl-innovazzjoni b’livell baxx ta’ emissjonijiet tal-karbonju.</w:t>
      </w:r>
    </w:p>
    <w:p>
      <w:pPr>
        <w:spacing w:after="120"/>
        <w:ind w:right="57"/>
        <w:jc w:val="both"/>
        <w:rPr>
          <w:rFonts w:ascii="Times New Roman" w:eastAsia="Times New Roman" w:hAnsi="Times New Roman"/>
          <w:noProof/>
          <w:sz w:val="24"/>
          <w:szCs w:val="24"/>
        </w:rPr>
      </w:pPr>
      <w:r>
        <w:rPr>
          <w:rFonts w:ascii="Times New Roman" w:hAnsi="Times New Roman"/>
          <w:noProof/>
          <w:sz w:val="24"/>
          <w:szCs w:val="24"/>
        </w:rPr>
        <w:t xml:space="preserve">Fil-perjodu kopert mir-rapport, intgħażlu żewġ proġetti biex jibbenefikaw mill-fondi mhux minfuqa ta’ NER 300 taħt l-InnovFin EDP, bl-għajnuna li tammonta għal madwar EUR 95 miljun (ara l-Appendiċi 8 tal-Anness). </w:t>
      </w:r>
    </w:p>
    <w:p>
      <w:pPr>
        <w:spacing w:after="120"/>
        <w:ind w:right="57"/>
        <w:jc w:val="both"/>
        <w:rPr>
          <w:rFonts w:ascii="Times New Roman" w:eastAsia="Times New Roman" w:hAnsi="Times New Roman"/>
          <w:noProof/>
          <w:sz w:val="24"/>
          <w:szCs w:val="24"/>
        </w:rPr>
      </w:pPr>
      <w:r>
        <w:rPr>
          <w:rFonts w:ascii="Times New Roman" w:hAnsi="Times New Roman"/>
          <w:noProof/>
          <w:sz w:val="24"/>
          <w:szCs w:val="24"/>
        </w:rPr>
        <w:t>L-għajnuna għall-iżvilupp tal-proġetti (PDA) taħt l-istrument InnovFin hija disponibbli wkoll għall-promoturi tal-proġetti biex tiżdied il-maturità tal-proġetti tagħhom. Dan l-aħħar, tliet proġetti dwar il-klima bbenefikaw minn EUR 692 000 ta’ finanzjament tal-PDA, bl-appoġġ tal-fondi mhux imħallsa tal-NER 300. Dawn il-proġetti, fl-Iżvezja, fl-Italja u fin-Netherlands, jindirizzaw it-tibdil fil-klima billi jiżviluppaw impjanti ta’ dimostrazzjoni innovattivi li huma l-ewwel tat-tip (ara l-Appendiċi 8 tal-Anness)</w:t>
      </w:r>
    </w:p>
    <w:p>
      <w:pPr>
        <w:spacing w:after="120"/>
        <w:ind w:right="57"/>
        <w:jc w:val="both"/>
        <w:rPr>
          <w:rFonts w:ascii="Times New Roman" w:eastAsia="Times New Roman" w:hAnsi="Times New Roman"/>
          <w:noProof/>
          <w:sz w:val="24"/>
          <w:szCs w:val="24"/>
        </w:rPr>
      </w:pPr>
      <w:r>
        <w:rPr>
          <w:rFonts w:ascii="Times New Roman" w:hAnsi="Times New Roman"/>
          <w:noProof/>
          <w:sz w:val="24"/>
          <w:szCs w:val="24"/>
        </w:rPr>
        <w:t>Fl-aħħar nett, ingħata appoġġ ta’ madwar EUR 34 miljun mill-fondi mhux imħallsa tal-NER 300 taħt il-CEF DI lil tliet proġetti innovattivi ta’ trasport nadif li jinsabu fl-Italja u fil-Ġermanja (ara l-Appendiċi 8 tal-Anness).</w:t>
      </w:r>
    </w:p>
    <w:p>
      <w:pPr>
        <w:jc w:val="both"/>
        <w:rPr>
          <w:b/>
          <w:noProof/>
        </w:rPr>
      </w:pPr>
      <w:r>
        <w:rPr>
          <w:rFonts w:ascii="Times New Roman" w:hAnsi="Times New Roman"/>
          <w:noProof/>
          <w:sz w:val="24"/>
          <w:szCs w:val="24"/>
        </w:rPr>
        <w:t xml:space="preserve">Il-fondi rilaxxati mill-proġetti kkanċellati tat-tieni sejħa (EUR 746 miljun sa issa) se jiżdiedu mar-riżorsi disponibbli għall-Fond għall-Innovazzjoni. </w:t>
      </w:r>
    </w:p>
    <w:p>
      <w:pPr>
        <w:spacing w:after="120"/>
        <w:ind w:right="57"/>
        <w:jc w:val="both"/>
        <w:rPr>
          <w:rFonts w:ascii="Times New Roman" w:eastAsia="Times New Roman" w:hAnsi="Times New Roman"/>
          <w:noProof/>
        </w:rPr>
      </w:pPr>
      <w:r>
        <w:rPr>
          <w:rFonts w:ascii="Times New Roman" w:hAnsi="Times New Roman"/>
          <w:b/>
          <w:noProof/>
        </w:rPr>
        <w:t>Tabella 5: Il-proġetti tal-NER 300 li ntgħażlu fl-ewwel u fit-tieni sejħa għall-proposti</w:t>
      </w:r>
      <w:r>
        <w:rPr>
          <w:rFonts w:ascii="Times New Roman" w:eastAsia="Times New Roman" w:hAnsi="Times New Roman"/>
          <w:b/>
          <w:noProof/>
          <w:vertAlign w:val="superscript"/>
          <w:lang w:eastAsia="en-GB"/>
        </w:rPr>
        <w:footnoteReference w:id="50"/>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918"/>
        <w:gridCol w:w="3081"/>
        <w:gridCol w:w="3081"/>
      </w:tblGrid>
      <w:tr>
        <w:trPr>
          <w:trHeight w:val="481"/>
          <w:jc w:val="center"/>
        </w:trPr>
        <w:tc>
          <w:tcPr>
            <w:tcW w:w="2918" w:type="dxa"/>
            <w:shd w:val="clear" w:color="auto" w:fill="auto"/>
            <w:vAlign w:val="center"/>
          </w:tcPr>
          <w:p>
            <w:pPr>
              <w:spacing w:after="0"/>
              <w:jc w:val="center"/>
              <w:rPr>
                <w:rFonts w:ascii="Times New Roman" w:hAnsi="Times New Roman"/>
                <w:noProof/>
                <w:sz w:val="20"/>
                <w:szCs w:val="20"/>
              </w:rPr>
            </w:pPr>
          </w:p>
        </w:tc>
        <w:tc>
          <w:tcPr>
            <w:tcW w:w="3081" w:type="dxa"/>
            <w:shd w:val="clear" w:color="auto" w:fill="auto"/>
            <w:vAlign w:val="center"/>
          </w:tcPr>
          <w:p>
            <w:pPr>
              <w:spacing w:after="0"/>
              <w:jc w:val="center"/>
              <w:rPr>
                <w:rFonts w:ascii="Times New Roman" w:hAnsi="Times New Roman"/>
                <w:b/>
                <w:noProof/>
                <w:sz w:val="20"/>
                <w:szCs w:val="20"/>
              </w:rPr>
            </w:pPr>
            <w:r>
              <w:rPr>
                <w:rFonts w:ascii="Times New Roman" w:hAnsi="Times New Roman"/>
                <w:b/>
                <w:noProof/>
                <w:sz w:val="20"/>
                <w:szCs w:val="20"/>
              </w:rPr>
              <w:t>L-ewwel Sejħa għall-proposti</w:t>
            </w:r>
          </w:p>
        </w:tc>
        <w:tc>
          <w:tcPr>
            <w:tcW w:w="3081" w:type="dxa"/>
            <w:vAlign w:val="center"/>
          </w:tcPr>
          <w:p>
            <w:pPr>
              <w:spacing w:after="0"/>
              <w:jc w:val="center"/>
              <w:rPr>
                <w:rFonts w:ascii="Times New Roman" w:hAnsi="Times New Roman"/>
                <w:b/>
                <w:noProof/>
                <w:sz w:val="20"/>
                <w:szCs w:val="20"/>
              </w:rPr>
            </w:pPr>
            <w:r>
              <w:rPr>
                <w:rFonts w:ascii="Times New Roman" w:hAnsi="Times New Roman"/>
                <w:b/>
                <w:noProof/>
                <w:sz w:val="20"/>
                <w:szCs w:val="20"/>
              </w:rPr>
              <w:t>It-tieni Sejħa għall-proposti</w:t>
            </w:r>
          </w:p>
        </w:tc>
      </w:tr>
      <w:tr>
        <w:trPr>
          <w:trHeight w:val="481"/>
          <w:jc w:val="center"/>
        </w:trPr>
        <w:tc>
          <w:tcPr>
            <w:tcW w:w="2918" w:type="dxa"/>
            <w:shd w:val="clear" w:color="auto" w:fill="auto"/>
            <w:vAlign w:val="center"/>
          </w:tcPr>
          <w:p>
            <w:pPr>
              <w:spacing w:after="0"/>
              <w:jc w:val="center"/>
              <w:rPr>
                <w:rFonts w:ascii="Times New Roman" w:eastAsia="Times New Roman" w:hAnsi="Times New Roman"/>
                <w:b/>
                <w:noProof/>
                <w:sz w:val="20"/>
                <w:szCs w:val="20"/>
              </w:rPr>
            </w:pPr>
            <w:r>
              <w:rPr>
                <w:rFonts w:ascii="Times New Roman" w:hAnsi="Times New Roman"/>
                <w:b/>
                <w:noProof/>
                <w:sz w:val="20"/>
                <w:szCs w:val="20"/>
              </w:rPr>
              <w:t>Proġetti li qegħdin jitħejjew</w:t>
            </w:r>
          </w:p>
        </w:tc>
        <w:tc>
          <w:tcPr>
            <w:tcW w:w="3081" w:type="dxa"/>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0</w:t>
            </w:r>
          </w:p>
        </w:tc>
        <w:tc>
          <w:tcPr>
            <w:tcW w:w="3081" w:type="dxa"/>
            <w:vAlign w:val="center"/>
          </w:tcPr>
          <w:p>
            <w:pPr>
              <w:spacing w:after="0"/>
              <w:jc w:val="center"/>
              <w:rPr>
                <w:rFonts w:ascii="Times New Roman" w:hAnsi="Times New Roman"/>
                <w:noProof/>
                <w:sz w:val="20"/>
                <w:szCs w:val="20"/>
              </w:rPr>
            </w:pPr>
            <w:r>
              <w:rPr>
                <w:rFonts w:ascii="Times New Roman" w:hAnsi="Times New Roman"/>
                <w:noProof/>
                <w:sz w:val="20"/>
                <w:szCs w:val="20"/>
              </w:rPr>
              <w:t>6</w:t>
            </w:r>
          </w:p>
        </w:tc>
      </w:tr>
      <w:tr>
        <w:trPr>
          <w:trHeight w:val="481"/>
          <w:jc w:val="center"/>
        </w:trPr>
        <w:tc>
          <w:tcPr>
            <w:tcW w:w="2918" w:type="dxa"/>
            <w:shd w:val="clear" w:color="auto" w:fill="auto"/>
            <w:vAlign w:val="center"/>
          </w:tcPr>
          <w:p>
            <w:pPr>
              <w:spacing w:after="0"/>
              <w:jc w:val="center"/>
              <w:rPr>
                <w:rFonts w:ascii="Times New Roman" w:hAnsi="Times New Roman"/>
                <w:b/>
                <w:noProof/>
                <w:sz w:val="20"/>
                <w:szCs w:val="20"/>
              </w:rPr>
            </w:pPr>
            <w:r>
              <w:rPr>
                <w:rFonts w:ascii="Times New Roman" w:hAnsi="Times New Roman"/>
                <w:b/>
                <w:noProof/>
                <w:sz w:val="20"/>
                <w:szCs w:val="20"/>
              </w:rPr>
              <w:t>Proġetti taħt reviżjoni tal-istatus</w:t>
            </w:r>
          </w:p>
        </w:tc>
        <w:tc>
          <w:tcPr>
            <w:tcW w:w="3081" w:type="dxa"/>
            <w:shd w:val="clear" w:color="auto" w:fill="auto"/>
            <w:vAlign w:val="center"/>
          </w:tcPr>
          <w:p>
            <w:pPr>
              <w:spacing w:after="0"/>
              <w:jc w:val="center"/>
              <w:rPr>
                <w:rFonts w:ascii="Times New Roman" w:hAnsi="Times New Roman"/>
                <w:noProof/>
                <w:sz w:val="20"/>
                <w:szCs w:val="20"/>
              </w:rPr>
            </w:pPr>
            <w:r>
              <w:rPr>
                <w:rFonts w:ascii="Times New Roman" w:hAnsi="Times New Roman"/>
                <w:noProof/>
                <w:sz w:val="20"/>
                <w:szCs w:val="20"/>
              </w:rPr>
              <w:t>1</w:t>
            </w:r>
          </w:p>
        </w:tc>
        <w:tc>
          <w:tcPr>
            <w:tcW w:w="3081" w:type="dxa"/>
            <w:vAlign w:val="center"/>
          </w:tcPr>
          <w:p>
            <w:pPr>
              <w:spacing w:after="0"/>
              <w:jc w:val="center"/>
              <w:rPr>
                <w:rFonts w:ascii="Times New Roman" w:hAnsi="Times New Roman"/>
                <w:noProof/>
                <w:sz w:val="20"/>
                <w:szCs w:val="20"/>
              </w:rPr>
            </w:pPr>
            <w:r>
              <w:rPr>
                <w:rFonts w:ascii="Times New Roman" w:hAnsi="Times New Roman"/>
                <w:noProof/>
                <w:sz w:val="20"/>
                <w:szCs w:val="20"/>
              </w:rPr>
              <w:t>0</w:t>
            </w:r>
          </w:p>
        </w:tc>
      </w:tr>
      <w:tr>
        <w:trPr>
          <w:trHeight w:val="403"/>
          <w:jc w:val="center"/>
        </w:trPr>
        <w:tc>
          <w:tcPr>
            <w:tcW w:w="2918" w:type="dxa"/>
            <w:shd w:val="clear" w:color="auto" w:fill="auto"/>
            <w:vAlign w:val="center"/>
          </w:tcPr>
          <w:p>
            <w:pPr>
              <w:spacing w:after="0"/>
              <w:jc w:val="center"/>
              <w:rPr>
                <w:rFonts w:ascii="Times New Roman" w:eastAsia="Times New Roman" w:hAnsi="Times New Roman"/>
                <w:b/>
                <w:noProof/>
                <w:sz w:val="20"/>
                <w:szCs w:val="20"/>
              </w:rPr>
            </w:pPr>
            <w:r>
              <w:rPr>
                <w:rFonts w:ascii="Times New Roman" w:hAnsi="Times New Roman"/>
                <w:b/>
                <w:noProof/>
                <w:sz w:val="20"/>
                <w:szCs w:val="20"/>
              </w:rPr>
              <w:t>Proġetti operazzjonali</w:t>
            </w:r>
          </w:p>
        </w:tc>
        <w:tc>
          <w:tcPr>
            <w:tcW w:w="3081" w:type="dxa"/>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8</w:t>
            </w:r>
          </w:p>
        </w:tc>
        <w:tc>
          <w:tcPr>
            <w:tcW w:w="3081" w:type="dxa"/>
            <w:vAlign w:val="center"/>
          </w:tcPr>
          <w:p>
            <w:pPr>
              <w:spacing w:after="0"/>
              <w:jc w:val="center"/>
              <w:rPr>
                <w:rFonts w:ascii="Times New Roman" w:hAnsi="Times New Roman"/>
                <w:noProof/>
                <w:sz w:val="20"/>
                <w:szCs w:val="20"/>
              </w:rPr>
            </w:pPr>
            <w:r>
              <w:rPr>
                <w:rFonts w:ascii="Times New Roman" w:hAnsi="Times New Roman"/>
                <w:noProof/>
                <w:sz w:val="20"/>
                <w:szCs w:val="20"/>
              </w:rPr>
              <w:t>1</w:t>
            </w:r>
          </w:p>
        </w:tc>
      </w:tr>
      <w:tr>
        <w:trPr>
          <w:trHeight w:val="403"/>
          <w:jc w:val="center"/>
        </w:trPr>
        <w:tc>
          <w:tcPr>
            <w:tcW w:w="2918" w:type="dxa"/>
            <w:shd w:val="clear" w:color="auto" w:fill="auto"/>
            <w:vAlign w:val="center"/>
          </w:tcPr>
          <w:p>
            <w:pPr>
              <w:spacing w:after="0"/>
              <w:jc w:val="center"/>
              <w:rPr>
                <w:rFonts w:ascii="Times New Roman" w:hAnsi="Times New Roman"/>
                <w:b/>
                <w:noProof/>
                <w:sz w:val="20"/>
                <w:szCs w:val="20"/>
              </w:rPr>
            </w:pPr>
            <w:r>
              <w:rPr>
                <w:rFonts w:ascii="Times New Roman" w:hAnsi="Times New Roman"/>
                <w:b/>
                <w:noProof/>
                <w:sz w:val="20"/>
                <w:szCs w:val="20"/>
              </w:rPr>
              <w:t>Proġetti kompluti</w:t>
            </w:r>
          </w:p>
        </w:tc>
        <w:tc>
          <w:tcPr>
            <w:tcW w:w="3081" w:type="dxa"/>
            <w:shd w:val="clear" w:color="auto" w:fill="auto"/>
            <w:vAlign w:val="center"/>
          </w:tcPr>
          <w:p>
            <w:pPr>
              <w:spacing w:after="0"/>
              <w:jc w:val="center"/>
              <w:rPr>
                <w:rFonts w:ascii="Times New Roman" w:hAnsi="Times New Roman"/>
                <w:noProof/>
                <w:sz w:val="20"/>
                <w:szCs w:val="20"/>
              </w:rPr>
            </w:pPr>
            <w:r>
              <w:rPr>
                <w:rFonts w:ascii="Times New Roman" w:hAnsi="Times New Roman"/>
                <w:noProof/>
                <w:sz w:val="20"/>
                <w:szCs w:val="20"/>
              </w:rPr>
              <w:t>1</w:t>
            </w:r>
          </w:p>
        </w:tc>
        <w:tc>
          <w:tcPr>
            <w:tcW w:w="3081" w:type="dxa"/>
            <w:vAlign w:val="center"/>
          </w:tcPr>
          <w:p>
            <w:pPr>
              <w:spacing w:after="0"/>
              <w:jc w:val="center"/>
              <w:rPr>
                <w:rFonts w:ascii="Times New Roman" w:hAnsi="Times New Roman"/>
                <w:noProof/>
                <w:sz w:val="20"/>
                <w:szCs w:val="20"/>
              </w:rPr>
            </w:pPr>
            <w:r>
              <w:rPr>
                <w:rFonts w:ascii="Times New Roman" w:hAnsi="Times New Roman"/>
                <w:noProof/>
                <w:sz w:val="20"/>
                <w:szCs w:val="20"/>
              </w:rPr>
              <w:t>0</w:t>
            </w:r>
          </w:p>
        </w:tc>
      </w:tr>
      <w:tr>
        <w:trPr>
          <w:trHeight w:val="422"/>
          <w:jc w:val="center"/>
        </w:trPr>
        <w:tc>
          <w:tcPr>
            <w:tcW w:w="2918" w:type="dxa"/>
            <w:shd w:val="clear" w:color="auto" w:fill="auto"/>
            <w:vAlign w:val="center"/>
          </w:tcPr>
          <w:p>
            <w:pPr>
              <w:spacing w:after="0"/>
              <w:jc w:val="center"/>
              <w:rPr>
                <w:rFonts w:ascii="Times New Roman" w:eastAsia="Times New Roman" w:hAnsi="Times New Roman"/>
                <w:b/>
                <w:noProof/>
                <w:sz w:val="20"/>
                <w:szCs w:val="20"/>
              </w:rPr>
            </w:pPr>
            <w:r>
              <w:rPr>
                <w:rFonts w:ascii="Times New Roman" w:hAnsi="Times New Roman"/>
                <w:b/>
                <w:noProof/>
                <w:sz w:val="20"/>
                <w:szCs w:val="20"/>
              </w:rPr>
              <w:t>Proġetti rtirati</w:t>
            </w:r>
          </w:p>
        </w:tc>
        <w:tc>
          <w:tcPr>
            <w:tcW w:w="3081" w:type="dxa"/>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noProof/>
                <w:sz w:val="20"/>
                <w:szCs w:val="20"/>
              </w:rPr>
              <w:t>10</w:t>
            </w:r>
          </w:p>
        </w:tc>
        <w:tc>
          <w:tcPr>
            <w:tcW w:w="3081" w:type="dxa"/>
            <w:vAlign w:val="center"/>
          </w:tcPr>
          <w:p>
            <w:pPr>
              <w:spacing w:after="0"/>
              <w:jc w:val="center"/>
              <w:rPr>
                <w:rFonts w:ascii="Times New Roman" w:hAnsi="Times New Roman"/>
                <w:noProof/>
                <w:sz w:val="20"/>
                <w:szCs w:val="20"/>
              </w:rPr>
            </w:pPr>
            <w:r>
              <w:rPr>
                <w:rFonts w:ascii="Times New Roman" w:hAnsi="Times New Roman"/>
                <w:noProof/>
                <w:sz w:val="20"/>
                <w:szCs w:val="20"/>
              </w:rPr>
              <w:t>12</w:t>
            </w:r>
          </w:p>
        </w:tc>
      </w:tr>
      <w:tr>
        <w:trPr>
          <w:trHeight w:val="415"/>
          <w:jc w:val="center"/>
        </w:trPr>
        <w:tc>
          <w:tcPr>
            <w:tcW w:w="2918" w:type="dxa"/>
            <w:shd w:val="clear" w:color="auto" w:fill="auto"/>
            <w:vAlign w:val="center"/>
          </w:tcPr>
          <w:p>
            <w:pPr>
              <w:spacing w:after="0"/>
              <w:jc w:val="center"/>
              <w:rPr>
                <w:rFonts w:ascii="Times New Roman" w:eastAsia="Times New Roman" w:hAnsi="Times New Roman"/>
                <w:b/>
                <w:noProof/>
                <w:sz w:val="20"/>
                <w:szCs w:val="20"/>
              </w:rPr>
            </w:pPr>
            <w:r>
              <w:rPr>
                <w:rFonts w:ascii="Times New Roman" w:hAnsi="Times New Roman"/>
                <w:b/>
                <w:iCs/>
                <w:noProof/>
                <w:sz w:val="20"/>
                <w:szCs w:val="20"/>
              </w:rPr>
              <w:t>Total</w:t>
            </w:r>
          </w:p>
        </w:tc>
        <w:tc>
          <w:tcPr>
            <w:tcW w:w="3081" w:type="dxa"/>
            <w:shd w:val="clear" w:color="auto" w:fill="auto"/>
            <w:vAlign w:val="center"/>
          </w:tcPr>
          <w:p>
            <w:pPr>
              <w:spacing w:after="0"/>
              <w:jc w:val="center"/>
              <w:rPr>
                <w:rFonts w:ascii="Times New Roman" w:eastAsia="Times New Roman" w:hAnsi="Times New Roman"/>
                <w:noProof/>
                <w:sz w:val="20"/>
                <w:szCs w:val="20"/>
              </w:rPr>
            </w:pPr>
            <w:r>
              <w:rPr>
                <w:rFonts w:ascii="Times New Roman" w:hAnsi="Times New Roman"/>
                <w:iCs/>
                <w:noProof/>
                <w:sz w:val="20"/>
                <w:szCs w:val="20"/>
              </w:rPr>
              <w:t>20</w:t>
            </w:r>
          </w:p>
        </w:tc>
        <w:tc>
          <w:tcPr>
            <w:tcW w:w="3081" w:type="dxa"/>
            <w:vAlign w:val="center"/>
          </w:tcPr>
          <w:p>
            <w:pPr>
              <w:spacing w:after="0"/>
              <w:jc w:val="center"/>
              <w:rPr>
                <w:rFonts w:ascii="Times New Roman" w:hAnsi="Times New Roman"/>
                <w:iCs/>
                <w:noProof/>
                <w:sz w:val="20"/>
                <w:szCs w:val="20"/>
              </w:rPr>
            </w:pPr>
            <w:r>
              <w:rPr>
                <w:rFonts w:ascii="Times New Roman" w:hAnsi="Times New Roman"/>
                <w:iCs/>
                <w:noProof/>
                <w:sz w:val="20"/>
                <w:szCs w:val="20"/>
              </w:rPr>
              <w:t>19</w:t>
            </w:r>
          </w:p>
        </w:tc>
      </w:tr>
    </w:tbl>
    <w:p>
      <w:pPr>
        <w:pStyle w:val="a3520normalp11"/>
        <w:spacing w:after="0"/>
        <w:rPr>
          <w:noProof/>
          <w:sz w:val="22"/>
          <w:szCs w:val="22"/>
        </w:rPr>
      </w:pPr>
      <w:r>
        <w:rPr>
          <w:noProof/>
          <w:sz w:val="22"/>
          <w:szCs w:val="22"/>
        </w:rPr>
        <w:t xml:space="preserve"> </w:t>
      </w:r>
    </w:p>
    <w:p>
      <w:pPr>
        <w:pStyle w:val="a3520normalp11"/>
        <w:spacing w:line="276" w:lineRule="auto"/>
        <w:rPr>
          <w:noProof/>
          <w:sz w:val="18"/>
          <w:szCs w:val="18"/>
        </w:rPr>
      </w:pPr>
      <w:r>
        <w:rPr>
          <w:noProof/>
          <w:sz w:val="18"/>
          <w:szCs w:val="18"/>
        </w:rPr>
        <w:t>Sors: DĠ Azzjoni Klimatika</w:t>
      </w:r>
    </w:p>
    <w:p>
      <w:pPr>
        <w:pStyle w:val="a3520normalp11"/>
        <w:spacing w:line="276" w:lineRule="auto"/>
        <w:rPr>
          <w:noProof/>
          <w:sz w:val="18"/>
          <w:szCs w:val="18"/>
        </w:rPr>
      </w:pPr>
    </w:p>
    <w:p>
      <w:pPr>
        <w:pStyle w:val="Heading4"/>
        <w:spacing w:before="0" w:after="200"/>
        <w:ind w:firstLine="720"/>
        <w:rPr>
          <w:noProof/>
        </w:rPr>
      </w:pPr>
      <w:bookmarkStart w:id="33" w:name="_Toc56000800"/>
      <w:r>
        <w:rPr>
          <w:noProof/>
        </w:rPr>
        <w:t>3.1.2.5. Il-Fond għall-Innovazzjoni</w:t>
      </w:r>
      <w:bookmarkEnd w:id="33"/>
      <w:r>
        <w:rPr>
          <w:noProof/>
        </w:rPr>
        <w:t xml:space="preserve"> </w:t>
      </w:r>
    </w:p>
    <w:p>
      <w:pPr>
        <w:jc w:val="both"/>
        <w:rPr>
          <w:rFonts w:ascii="Times New Roman" w:hAnsi="Times New Roman"/>
          <w:noProof/>
          <w:sz w:val="24"/>
          <w:szCs w:val="24"/>
        </w:rPr>
      </w:pPr>
      <w:r>
        <w:rPr>
          <w:noProof/>
          <w:lang w:val="en-GB" w:eastAsia="en-GB"/>
        </w:rPr>
        <mc:AlternateContent>
          <mc:Choice Requires="wps">
            <w:drawing>
              <wp:inline distT="0" distB="0" distL="0" distR="0">
                <wp:extent cx="5720486" cy="1783080"/>
                <wp:effectExtent l="0" t="0" r="13970" b="2667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486" cy="1783080"/>
                        </a:xfrm>
                        <a:prstGeom prst="rect">
                          <a:avLst/>
                        </a:prstGeom>
                        <a:solidFill>
                          <a:sysClr val="window" lastClr="FFFFFF">
                            <a:lumMod val="85000"/>
                          </a:sysClr>
                        </a:solidFill>
                        <a:ln w="12700">
                          <a:solidFill>
                            <a:srgbClr val="000000"/>
                          </a:solidFill>
                          <a:miter lim="800000"/>
                          <a:headEnd/>
                          <a:tailEnd/>
                        </a:ln>
                      </wps:spPr>
                      <wps:txbx>
                        <w:txbxContent>
                          <w:p>
                            <w:pPr>
                              <w:jc w:val="both"/>
                            </w:pPr>
                            <w:r>
                              <w:rPr>
                                <w:rFonts w:ascii="Times New Roman" w:hAnsi="Times New Roman"/>
                                <w:sz w:val="24"/>
                                <w:szCs w:val="24"/>
                              </w:rPr>
                              <w:t xml:space="preserve">Il-Fond għall-Innovazzjoni huwa wieħed miż-żewġ fondi għal teknoloġiji b’livell baxx ta’ karbonju maħluqa mid-Direttiva dwar l-EU ETS għall-2021-2030. Dan se jappoġġa, fuq bażi kompetittiva, l-iżvilupp għall-ewwel darba fis-suq u d-dimostrazzjoni fuq skala kummerċjali ta’ teknoloġiji innovattivi u innovazzjoni rivoluzzjonarja fis-setturi koperti mill-EU ETS, inkluż is-sorsi rinnovabbli innovattivi, l-industriji intensivi fl-enerġija, il-qbid, l-użu u l-ħżin tad-diossidu tal-karbonju (CCUS), il-ħżin tal-enerġija, kif ukoll prodotti sostituti u proġetti transsettorjali. Dan se jkun iffinanzjat mill-irkantar ta’ 450 miljun kwota u dħul mhux minfuq mit-tieni sejħa tal-Programm NER 300. </w:t>
                            </w:r>
                          </w:p>
                          <w:p>
                            <w:pPr>
                              <w:rPr>
                                <w:rFonts w:ascii="Times New Roman" w:hAnsi="Times New Roman"/>
                                <w:sz w:val="24"/>
                                <w:szCs w:val="24"/>
                              </w:rPr>
                            </w:pPr>
                          </w:p>
                          <w:p>
                            <w:pPr>
                              <w:rPr>
                                <w:rFonts w:ascii="Times New Roman" w:hAnsi="Times New Roman"/>
                                <w:sz w:val="24"/>
                                <w:szCs w:val="24"/>
                              </w:rPr>
                            </w:pPr>
                          </w:p>
                        </w:txbxContent>
                      </wps:txbx>
                      <wps:bodyPr rot="0" vert="horz" wrap="square" lIns="91440" tIns="45720" rIns="91440" bIns="45720" anchor="t" anchorCtr="0">
                        <a:noAutofit/>
                      </wps:bodyPr>
                    </wps:wsp>
                  </a:graphicData>
                </a:graphic>
              </wp:inline>
            </w:drawing>
          </mc:Choice>
          <mc:Fallback>
            <w:pict>
              <v:shape id="_x0000_s1033" type="#_x0000_t202" style="width:450.45pt;height:14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" fillcolor="#d9d9d9" strokeweight="1pt">
                <v:textbox>
                  <w:txbxContent>
                    <w:p>
                      <w:pPr>
                        <w:jc w:val="both"/>
                      </w:pPr>
                      <w:r>
                        <w:rPr>
                          <w:rFonts w:ascii="Times New Roman" w:hAnsi="Times New Roman"/>
                          <w:sz w:val="24"/>
                          <w:szCs w:val="24"/>
                        </w:rPr>
                        <w:t xml:space="preserve">Il-Fond għall-Innovazzjoni huwa wieħed miż-żewġ fondi għal teknoloġiji b’livell baxx ta’ karbonju maħluqa mid-Direttiva dwar l-EU ETS għall-2021-2030. Dan se jappoġġa, fuq bażi kompetittiva, l-iżvilupp għall-ewwel darba fis-suq u d-dimostrazzjoni fuq skala kummerċjali ta’ teknoloġiji innovattivi u innovazzjoni rivoluzzjonarja fis-setturi koperti mill-EU ETS, inkluż is-sorsi rinnovabbli innovattivi, l-industriji intensivi fl-enerġija, il-qbid, l-użu u l-ħżin tad-diossidu tal-karbonju (CCUS), il-ħżin tal-enerġija, kif ukoll prodotti sostituti u proġetti transsettorjali. Dan se jkun iffinanzjat mill-irkantar ta’ 450 miljun kwota u dħul mhux minfuq mit-tieni sejħa tal-Programm NER 300. </w:t>
                      </w:r>
                    </w:p>
                    <w:p>
                      <w:pPr>
                        <w:rPr>
                          <w:rFonts w:ascii="Times New Roman" w:hAnsi="Times New Roman"/>
                          <w:sz w:val="24"/>
                          <w:szCs w:val="24"/>
                        </w:rPr>
                      </w:pPr>
                    </w:p>
                    <w:p>
                      <w:pPr>
                        <w:rPr>
                          <w:rFonts w:ascii="Times New Roman" w:hAnsi="Times New Roman"/>
                          <w:sz w:val="24"/>
                          <w:szCs w:val="24"/>
                        </w:rPr>
                      </w:pPr>
                    </w:p>
                  </w:txbxContent>
                </v:textbox>
                <w10:anchorlock/>
              </v:shape>
            </w:pict>
          </mc:Fallback>
        </mc:AlternateContent>
      </w:r>
    </w:p>
    <w:p>
      <w:pPr>
        <w:jc w:val="both"/>
        <w:rPr>
          <w:noProof/>
        </w:rPr>
      </w:pPr>
      <w:r>
        <w:rPr>
          <w:rFonts w:ascii="Times New Roman" w:hAnsi="Times New Roman"/>
          <w:noProof/>
          <w:sz w:val="24"/>
          <w:szCs w:val="24"/>
        </w:rPr>
        <w:t>L-ewwel sejħa għall-proposti</w:t>
      </w:r>
      <w:r>
        <w:rPr>
          <w:rStyle w:val="FootnoteReference"/>
          <w:rFonts w:ascii="Times New Roman" w:hAnsi="Times New Roman"/>
          <w:noProof/>
          <w:sz w:val="24"/>
          <w:szCs w:val="24"/>
        </w:rPr>
        <w:footnoteReference w:id="51"/>
      </w:r>
      <w:r>
        <w:rPr>
          <w:rFonts w:ascii="Times New Roman" w:hAnsi="Times New Roman"/>
          <w:noProof/>
          <w:sz w:val="24"/>
          <w:szCs w:val="24"/>
        </w:rPr>
        <w:t xml:space="preserve"> taħt il-Fond għall-Innovazzjoni tnediet f’Lulju 2020. Is-sejħa hija miftuħa għall-proġetti fis-setturi eliġibbli mill-Istati Membri tal-UE, min-Norveġja u mill-Iżlanda. Se tipprovdi finanzjament ta’ għotjiet ta’ EUR 1 biljun b’kollox għal proġetti fuq skala kbira ta’ teknoloġija nadifa bi spejjeż kapitali ta’ aktar minn EUR 7,5 miljun. Il-Fond għall-Innovazzjoni se jagħti għotjiet b’mod flessibbli, abbażi ta’ stadji importanti speċifiċi għall-proġetti, u jista’ jappoġġa sa 60 % tal-ispejjeż relatati mal-innovazzjoni. L-għotjiet jistgħu jintużaw flimkien ma’ inizjattivi oħrajn ta’ finanzjament pubbliku, bħall-għajnuna mill-Istat jew programmi oħrajn ta’ finanzjament tal-UE. </w:t>
      </w:r>
      <w:r>
        <w:rPr>
          <w:rFonts w:ascii="Times New Roman" w:hAnsi="Times New Roman"/>
          <w:noProof/>
          <w:szCs w:val="24"/>
        </w:rPr>
        <w:t xml:space="preserve"> </w:t>
      </w:r>
      <w:r>
        <w:rPr>
          <w:rFonts w:ascii="Times New Roman" w:hAnsi="Times New Roman"/>
          <w:noProof/>
          <w:sz w:val="24"/>
          <w:szCs w:val="24"/>
        </w:rPr>
        <w:t>L-ewwel sejħa se tkun segwita minn sejħiet regolari sal-2030, biex il-kumpaniji jiġu megħjuna jinvestu u jġibu fis-suq is-soluzzjonijiet teknoloġiċi nodfa rivoluzzjonarji meħtieġa għan-newtralità klimatika tal-UE fl-2050.</w:t>
      </w:r>
    </w:p>
    <w:p>
      <w:pPr>
        <w:jc w:val="both"/>
        <w:rPr>
          <w:rFonts w:ascii="Times New Roman" w:hAnsi="Times New Roman"/>
          <w:noProof/>
          <w:sz w:val="24"/>
          <w:szCs w:val="24"/>
        </w:rPr>
      </w:pPr>
      <w:r>
        <w:rPr>
          <w:rFonts w:ascii="Times New Roman" w:hAnsi="Times New Roman"/>
          <w:noProof/>
          <w:sz w:val="24"/>
          <w:szCs w:val="24"/>
        </w:rPr>
        <w:t xml:space="preserve">Evalwaturi esterni indipendenti se jivvalutaw il-proġetti abbażi ta’ sett komprensiv ta’ kriterji: l-evitar tal-emissjonijiet tal-gassijiet serra, il-potenzjal tal-innovazzjoni, il-maturità finanzjarja, teknika u operattiva tal-proġetti, kif ukoll il-potenzjal tagħhom biex iżidu l-effiċjenza u l-kosteffiċjenza. </w:t>
      </w:r>
    </w:p>
    <w:p>
      <w:pPr>
        <w:jc w:val="both"/>
        <w:rPr>
          <w:rFonts w:ascii="Times New Roman" w:hAnsi="Times New Roman"/>
          <w:noProof/>
          <w:sz w:val="24"/>
          <w:szCs w:val="24"/>
        </w:rPr>
      </w:pPr>
      <w:r>
        <w:rPr>
          <w:rFonts w:ascii="Times New Roman" w:hAnsi="Times New Roman"/>
          <w:noProof/>
          <w:sz w:val="24"/>
          <w:szCs w:val="24"/>
        </w:rPr>
        <w:t>Għal proġetti li jinstabu promettenti, iżda li jkunu għadhom mhumiex maturi biżżejjed, is-sejħa tipprevedi baġit ta’ EUR 8 miljun biex tgħin fl-iżvilupp tal-proġett.</w:t>
      </w:r>
    </w:p>
    <w:p>
      <w:pPr>
        <w:jc w:val="both"/>
        <w:rPr>
          <w:rFonts w:ascii="Times New Roman" w:hAnsi="Times New Roman"/>
          <w:noProof/>
          <w:sz w:val="24"/>
          <w:szCs w:val="24"/>
        </w:rPr>
      </w:pPr>
      <w:r>
        <w:rPr>
          <w:rFonts w:ascii="Times New Roman" w:hAnsi="Times New Roman"/>
          <w:noProof/>
          <w:sz w:val="24"/>
          <w:szCs w:val="24"/>
        </w:rPr>
        <w:t>Il-proġetti jistgħu japplikaw permezz tal-</w:t>
      </w:r>
      <w:hyperlink r:id="rId24" w:history="1">
        <w:r>
          <w:rPr>
            <w:rFonts w:ascii="Times New Roman" w:hAnsi="Times New Roman"/>
            <w:noProof/>
            <w:sz w:val="24"/>
            <w:szCs w:val="24"/>
          </w:rPr>
          <w:t>portal tal-UE għall-Finanzjament u l-Offerti</w:t>
        </w:r>
      </w:hyperlink>
      <w:r>
        <w:rPr>
          <w:rStyle w:val="FootnoteReference"/>
          <w:rFonts w:ascii="Times New Roman" w:hAnsi="Times New Roman"/>
          <w:noProof/>
          <w:sz w:val="24"/>
          <w:szCs w:val="24"/>
        </w:rPr>
        <w:footnoteReference w:id="52"/>
      </w:r>
      <w:r>
        <w:rPr>
          <w:rFonts w:ascii="Times New Roman" w:hAnsi="Times New Roman"/>
          <w:noProof/>
          <w:sz w:val="24"/>
          <w:szCs w:val="24"/>
        </w:rPr>
        <w:t>. L-iskadenza għas-sottomissjoni tal-applikazzjonijiet għall-ewwel stadju hija d-29 ta’ Ottubru 2020. L-applikanti se jiġu infurmati dwar ir-riżultati tal-evalwazzjoni u se jiġu mistiedna jissottomettu applikazzjoni sħiħa jew jirċievu assistenza għall-iżvilupp tal-proġett fl-ewwel tliet xhur tal-2021. L-informazzjoni dwar ir-riżultati tal-evalwazzjoni mit-tieni stadju se tiġi pprovduta fir-raba’ kwart tal-2021. L-għotjiet se jingħataw fl-aħħar tal-2021.</w:t>
      </w:r>
    </w:p>
    <w:p>
      <w:pPr>
        <w:jc w:val="both"/>
        <w:rPr>
          <w:rFonts w:ascii="Times New Roman" w:hAnsi="Times New Roman"/>
          <w:noProof/>
          <w:sz w:val="24"/>
          <w:szCs w:val="24"/>
        </w:rPr>
      </w:pPr>
      <w:r>
        <w:rPr>
          <w:rFonts w:ascii="Times New Roman" w:hAnsi="Times New Roman"/>
          <w:noProof/>
          <w:sz w:val="24"/>
          <w:szCs w:val="24"/>
        </w:rPr>
        <w:t>Barra minn hekk, il-Kummissjoni qed tippjana li tniedi sejħa apposta għal proġetti fuq skala żgħira sa tmiem l-2020.</w:t>
      </w:r>
    </w:p>
    <w:p>
      <w:pPr>
        <w:pStyle w:val="Heading4"/>
        <w:spacing w:before="0" w:after="200"/>
        <w:ind w:firstLine="720"/>
        <w:rPr>
          <w:noProof/>
        </w:rPr>
      </w:pPr>
      <w:bookmarkStart w:id="34" w:name="_Toc56000801"/>
      <w:r>
        <w:rPr>
          <w:noProof/>
        </w:rPr>
        <w:t>3.1.2.6. Il-Fond għall-Modernizzazzjoni</w:t>
      </w:r>
      <w:bookmarkEnd w:id="34"/>
      <w:r>
        <w:rPr>
          <w:noProof/>
        </w:rPr>
        <w:t xml:space="preserve"> </w:t>
      </w:r>
    </w:p>
    <w:p>
      <w:pPr>
        <w:jc w:val="both"/>
        <w:rPr>
          <w:rFonts w:ascii="Times New Roman" w:hAnsi="Times New Roman"/>
          <w:noProof/>
          <w:sz w:val="24"/>
          <w:szCs w:val="24"/>
        </w:rPr>
      </w:pPr>
      <w:r>
        <w:rPr>
          <w:rFonts w:ascii="Times New Roman" w:hAnsi="Times New Roman"/>
          <w:noProof/>
          <w:sz w:val="24"/>
          <w:szCs w:val="24"/>
        </w:rPr>
        <w:t>Il-Fond għall-Modernizzazzjoni huwa wieħed miż-żewġ fondi għal emissjonijiet b’livell baxx ta’ karbonju maħluqa mid-Direttiva dwar l-EU ETS għall-fażi 4.</w:t>
      </w:r>
      <w:r>
        <w:rPr>
          <w:noProof/>
        </w:rPr>
        <w:t xml:space="preserve"> </w:t>
      </w:r>
      <w:r>
        <w:rPr>
          <w:rFonts w:ascii="Times New Roman" w:hAnsi="Times New Roman"/>
          <w:noProof/>
          <w:sz w:val="24"/>
          <w:szCs w:val="24"/>
        </w:rPr>
        <w:t>Dan se jappoġġa investimenti fil-modernizzazzjoni tas-settur tal-enerġija u fis-sistemi usa’ tal-enerġija f’għaxar Stati Membri bi dħul aktar baxx</w:t>
      </w:r>
      <w:r>
        <w:rPr>
          <w:rStyle w:val="FootnoteReference"/>
          <w:rFonts w:ascii="Times New Roman" w:hAnsi="Times New Roman"/>
          <w:noProof/>
          <w:sz w:val="24"/>
          <w:szCs w:val="24"/>
        </w:rPr>
        <w:footnoteReference w:id="53"/>
      </w:r>
      <w:r>
        <w:rPr>
          <w:noProof/>
        </w:rPr>
        <w:t>.</w:t>
      </w:r>
      <w:r>
        <w:rPr>
          <w:rFonts w:ascii="Times New Roman" w:hAnsi="Times New Roman"/>
          <w:noProof/>
          <w:sz w:val="24"/>
          <w:szCs w:val="24"/>
        </w:rPr>
        <w:t xml:space="preserve"> Il-fond se jkun operazzjonali mill-2021.</w:t>
      </w:r>
    </w:p>
    <w:p>
      <w:pPr>
        <w:jc w:val="both"/>
        <w:rPr>
          <w:rFonts w:ascii="Times New Roman" w:hAnsi="Times New Roman"/>
          <w:noProof/>
          <w:sz w:val="24"/>
          <w:szCs w:val="24"/>
        </w:rPr>
      </w:pPr>
      <w:r>
        <w:rPr>
          <w:rFonts w:ascii="Times New Roman" w:hAnsi="Times New Roman"/>
          <w:noProof/>
          <w:sz w:val="24"/>
          <w:szCs w:val="24"/>
        </w:rPr>
        <w:t xml:space="preserve">Ir-riżorsi finanzjarji tal-Fond għall-Modernizzazzjoni huma distribwiti fost l-Istati Membri benefiċjarji abbażi tal-Artikolu 10(d) u l-Anness IIb tad-Direttiva tal-ETS. Barra minn hekk, ir-Rumanija, il-Litwanja, iċ-Ċekja, il-Kroazja, l-Ungerija, u s-Slovakkja ddeċidew li jittrasferixxu aktar kwoti għas-sehem tagħhom tal-Fond għall-Modernizzazzjoni. B’riżultat ta’ dan, kważi 650 miljun kwota b’kollox huma disponibbli għall-fond. </w:t>
      </w:r>
    </w:p>
    <w:p>
      <w:pPr>
        <w:jc w:val="both"/>
        <w:rPr>
          <w:rFonts w:ascii="Times New Roman" w:hAnsi="Times New Roman"/>
          <w:noProof/>
          <w:sz w:val="24"/>
          <w:szCs w:val="24"/>
        </w:rPr>
      </w:pPr>
      <w:r>
        <w:rPr>
          <w:rFonts w:ascii="Times New Roman" w:hAnsi="Times New Roman"/>
          <w:noProof/>
          <w:sz w:val="24"/>
          <w:szCs w:val="24"/>
        </w:rPr>
        <w:t>Id-Direttiva tal-ETS tiddefinixxi l-oqsma ta’ prijorità għall-investiment, jiġifieri l-ġenerazzjoni u l-użu tal-elettriku minn sorsi rinnovabbli, it-titjib tal-effiċjenza enerġetika (minbarra l-installazzjonijiet tal-fjuwils fossili), il-ħżin tal-enerġija, il-modernizzazzjoni tan-netwerks tal-enerġija, u t-tranżizzjoni ġusta f’reġjuni dipendenti fuq il-karbonju. Mill-inqas 70 % tar-riżorsi tal-Fond għall-Modernizzazzjoni għandhom jintnefqu fuq investimenti prijoritarji. L-investimenti f’oqsma mhux prijoritarji jkunu soġġetti għal valutazzjoni aktar profonda mill-Bank Ewropew tal-Investiment (BEI) u għal vot minn kumitat ta’ investiment magħmul minn Stati Membri, il-BEI u l-Kummissjoni.</w:t>
      </w:r>
    </w:p>
    <w:p>
      <w:pPr>
        <w:jc w:val="both"/>
        <w:rPr>
          <w:rFonts w:ascii="Times New Roman" w:hAnsi="Times New Roman"/>
          <w:noProof/>
          <w:sz w:val="24"/>
          <w:szCs w:val="24"/>
        </w:rPr>
      </w:pPr>
      <w:r>
        <w:rPr>
          <w:rFonts w:ascii="Times New Roman" w:hAnsi="Times New Roman"/>
          <w:noProof/>
          <w:sz w:val="24"/>
          <w:szCs w:val="24"/>
        </w:rPr>
        <w:t>Il-Kummissjoni adottat l-att ta’ implimentazzjoni</w:t>
      </w:r>
      <w:r>
        <w:rPr>
          <w:rStyle w:val="FootnoteReference"/>
          <w:rFonts w:ascii="Times New Roman" w:hAnsi="Times New Roman"/>
          <w:noProof/>
          <w:sz w:val="24"/>
          <w:szCs w:val="24"/>
        </w:rPr>
        <w:footnoteReference w:id="54"/>
      </w:r>
      <w:r>
        <w:rPr>
          <w:rFonts w:ascii="Times New Roman" w:hAnsi="Times New Roman"/>
          <w:noProof/>
          <w:sz w:val="24"/>
          <w:szCs w:val="24"/>
        </w:rPr>
        <w:t xml:space="preserve"> dwar it-tħaddim tal-Fond għall-Modernizzazzjoni f’Lulju 2020. L-att ta’ implimentazzjoni jistabbilixxi proċedura ħafifa fejn l-Istati Membri benefiċjarji huma responsabbli għall-għażla, għall-finanzjament u għar-rappurtar tal-investimenti, u għandhom jikkonformaw mar-regoli applikabbli dwar l-għajnuna mill-Istat. Il-Kummissjoni se tkun responsabbli għad-deċiżjonijiet ta’ ħlas, wara l-valutazzjoni mill-BEI. </w:t>
      </w:r>
    </w:p>
    <w:p>
      <w:pPr>
        <w:pStyle w:val="Heading4"/>
        <w:spacing w:before="0" w:after="200"/>
        <w:ind w:firstLine="720"/>
        <w:rPr>
          <w:noProof/>
        </w:rPr>
      </w:pPr>
      <w:bookmarkStart w:id="35" w:name="_Toc490850428"/>
      <w:bookmarkStart w:id="36" w:name="_Toc56000802"/>
      <w:r>
        <w:rPr>
          <w:noProof/>
        </w:rPr>
        <w:t>3.1.2.7. Kumpens għall-ispejjeż indiretti tal-karbonju</w:t>
      </w:r>
      <w:bookmarkStart w:id="37" w:name="_Toc463015542"/>
      <w:bookmarkStart w:id="38" w:name="_Toc490850429"/>
      <w:bookmarkEnd w:id="35"/>
      <w:bookmarkEnd w:id="36"/>
    </w:p>
    <w:p>
      <w:pPr>
        <w:rPr>
          <w:rFonts w:asciiTheme="minorHAnsi" w:hAnsiTheme="minorHAnsi"/>
          <w:b/>
          <w:bCs/>
          <w:noProof/>
          <w:sz w:val="24"/>
          <w:szCs w:val="24"/>
        </w:rPr>
      </w:pPr>
      <w:r>
        <w:rPr>
          <w:rFonts w:ascii="Times New Roman" w:hAnsi="Times New Roman"/>
          <w:noProof/>
          <w:sz w:val="24"/>
          <w:szCs w:val="24"/>
          <w:lang w:val="en-GB" w:eastAsia="en-GB"/>
        </w:rPr>
        <mc:AlternateContent>
          <mc:Choice Requires="wps">
            <w:drawing>
              <wp:inline distT="0" distB="0" distL="0" distR="0">
                <wp:extent cx="5720486" cy="3706837"/>
                <wp:effectExtent l="0" t="0" r="13970" b="2730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486" cy="3706837"/>
                        </a:xfrm>
                        <a:prstGeom prst="rect">
                          <a:avLst/>
                        </a:prstGeom>
                        <a:solidFill>
                          <a:sysClr val="window" lastClr="FFFFFF">
                            <a:lumMod val="85000"/>
                          </a:sysClr>
                        </a:solidFill>
                        <a:ln w="12700">
                          <a:solidFill>
                            <a:srgbClr val="000000"/>
                          </a:solidFill>
                          <a:miter lim="800000"/>
                          <a:headEnd/>
                          <a:tailEnd/>
                        </a:ln>
                      </wps:spPr>
                      <wps:txbx>
                        <w:txbxContent>
                          <w:p>
                            <w:pPr>
                              <w:jc w:val="both"/>
                              <w:rPr>
                                <w:rFonts w:ascii="Times New Roman" w:hAnsi="Times New Roman"/>
                                <w:sz w:val="24"/>
                                <w:szCs w:val="24"/>
                              </w:rPr>
                            </w:pPr>
                            <w:r>
                              <w:rPr>
                                <w:rFonts w:ascii="Times New Roman" w:hAnsi="Times New Roman"/>
                                <w:sz w:val="24"/>
                                <w:szCs w:val="24"/>
                              </w:rPr>
                              <w:t xml:space="preserve">Minbarra l-allokazzjoni bla ħlas armonizzata madwar l-UE biex tkopri l-ispejjeż tal-karbonju diretti, l-Istati Membri tal-UE jistgħu jagħtu l-għajnuna mill-Istat biex jikkumpensaw lil xi industriji li jużaw ħafna elettriku għall-ispejjeż tal-karbonju indiretti, jiġifieri spejjeż li jirriżultaw minn żieda fil-prezzijiet tal-elettriku minħabba ġeneraturi tal-enerġija li jgħaddu l-ispejjeż tax-xiri ta’ kwoti lill-konsumaturi. </w:t>
                            </w:r>
                          </w:p>
                          <w:p>
                            <w:pPr>
                              <w:jc w:val="both"/>
                              <w:rPr>
                                <w:rFonts w:ascii="Times New Roman" w:hAnsi="Times New Roman"/>
                                <w:sz w:val="24"/>
                                <w:szCs w:val="24"/>
                              </w:rPr>
                            </w:pPr>
                            <w:r>
                              <w:rPr>
                                <w:rFonts w:ascii="Times New Roman" w:hAnsi="Times New Roman"/>
                                <w:sz w:val="24"/>
                                <w:szCs w:val="24"/>
                              </w:rPr>
                              <w:t xml:space="preserve">Sabiex jitnaqqas it-tgħawwiġ tal-kompetizzjoni fis-suq intern, tiżdied it-trasparenza, u jinżamm l-objettiv tal-EU ETS li tinkiseb dekarbonizzazzjoni kosteffikaċi, il-Kummissjoni adottat il-Linji Gwida tal-EU ETS dwar l-Għajnuna mill-Istat*, li huma validi sal-aħħar tal-2020. Il-Linji Gwida jiddeterminaw, fost l-oħrajn, is-setturi eliġibbli u l-ammonti massimi għal kumpens ta’ spejjeż indiretti tal-karbonju. </w:t>
                            </w:r>
                          </w:p>
                          <w:p>
                            <w:pPr>
                              <w:jc w:val="both"/>
                              <w:rPr>
                                <w:rFonts w:ascii="Times New Roman" w:hAnsi="Times New Roman"/>
                                <w:sz w:val="24"/>
                                <w:szCs w:val="24"/>
                              </w:rPr>
                            </w:pPr>
                            <w:r>
                              <w:rPr>
                                <w:rFonts w:ascii="Times New Roman" w:hAnsi="Times New Roman"/>
                                <w:sz w:val="24"/>
                                <w:szCs w:val="24"/>
                              </w:rPr>
                              <w:t>Fid-dawl tal-iskadenza imminenti tal-Linji Gwida attwali, il-Kummissjoni rrevediet il-Linji Gwida tal-EU ETS dwar l-Għajnuna mill-Istat għall-2021 sal-2030. Il-Linji Gwida l-ġodda dwar l-Għajnuna mill-Istat** ġew adottati fil-21 ta’ Settembru 2020 (ara wkoll l-Appendiċi 6 tal-Anness).</w:t>
                            </w:r>
                          </w:p>
                          <w:p>
                            <w:pPr>
                              <w:jc w:val="both"/>
                              <w:rPr>
                                <w:rFonts w:ascii="Times New Roman" w:hAnsi="Times New Roman"/>
                                <w:sz w:val="18"/>
                                <w:szCs w:val="18"/>
                              </w:rPr>
                            </w:pPr>
                            <w:r>
                              <w:rPr>
                                <w:rFonts w:ascii="Times New Roman" w:hAnsi="Times New Roman"/>
                                <w:sz w:val="18"/>
                                <w:szCs w:val="18"/>
                              </w:rPr>
                              <w:t>* Linji Gwida dwar ċerti miżuri ta’ għajnuna mill-Istat fil-kuntest tal-iskema għall-iskambju ta’ kwoti ta’ emissjonijiet ta’ gassijiet serra għal wara l-2012, ĠU C 158, 05.06.2012, p. 4</w:t>
                            </w:r>
                          </w:p>
                          <w:p>
                            <w:pPr>
                              <w:jc w:val="both"/>
                              <w:rPr>
                                <w:rFonts w:ascii="Times New Roman" w:hAnsi="Times New Roman"/>
                                <w:sz w:val="18"/>
                                <w:szCs w:val="18"/>
                              </w:rPr>
                            </w:pPr>
                            <w:r>
                              <w:rPr>
                                <w:rFonts w:ascii="Times New Roman" w:hAnsi="Times New Roman"/>
                                <w:sz w:val="18"/>
                                <w:szCs w:val="18"/>
                              </w:rPr>
                              <w:t>** Linji Gwida dwar ċerti miżuri ta’ għajnuna mill-Istat fil-kuntest tas-sistema għall-iskambju ta’ kwoti ta’ emissjonijiet ta’ gassijiet serra għal wara l-2021, ĠU C 317, 25.09.2020, p. 5–19</w:t>
                            </w:r>
                          </w:p>
                        </w:txbxContent>
                      </wps:txbx>
                      <wps:bodyPr rot="0" vert="horz" wrap="square" lIns="91440" tIns="45720" rIns="91440" bIns="45720" anchor="t" anchorCtr="0">
                        <a:noAutofit/>
                      </wps:bodyPr>
                    </wps:wsp>
                  </a:graphicData>
                </a:graphic>
              </wp:inline>
            </w:drawing>
          </mc:Choice>
          <mc:Fallback>
            <w:pict>
              <v:shape id="Text Box 7" o:spid="_x0000_s1034" type="#_x0000_t202" style="width:450.45pt;height:29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" fillcolor="#d9d9d9" strokeweight="1pt">
                <v:textbox>
                  <w:txbxContent>
                    <w:p>
                      <w:pPr>
                        <w:jc w:val="both"/>
                        <w:rPr>
                          <w:rFonts w:ascii="Times New Roman" w:hAnsi="Times New Roman"/>
                          <w:sz w:val="24"/>
                          <w:szCs w:val="24"/>
                        </w:rPr>
                      </w:pPr>
                      <w:r>
                        <w:rPr>
                          <w:rFonts w:ascii="Times New Roman" w:hAnsi="Times New Roman"/>
                          <w:sz w:val="24"/>
                          <w:szCs w:val="24"/>
                        </w:rPr>
                        <w:t xml:space="preserve">Minbarra l-allokazzjoni bla ħlas armonizzata madwar l-UE biex tkopri l-ispejjeż tal-karbonju diretti, l-Istati Membri tal-UE jistgħu jagħtu l-għajnuna mill-Istat biex jikkumpensaw lil xi industriji li jużaw ħafna elettriku għall-ispejjeż tal-karbonju indiretti, jiġifieri spejjeż li jirriżultaw minn żieda fil-prezzijiet tal-elettriku minħabba ġeneraturi tal-enerġija li jgħaddu l-ispejjeż tax-xiri ta’ kwoti lill-konsumaturi. </w:t>
                      </w:r>
                    </w:p>
                    <w:p>
                      <w:pPr>
                        <w:jc w:val="both"/>
                        <w:rPr>
                          <w:rFonts w:ascii="Times New Roman" w:hAnsi="Times New Roman"/>
                          <w:sz w:val="24"/>
                          <w:szCs w:val="24"/>
                        </w:rPr>
                      </w:pPr>
                      <w:r>
                        <w:rPr>
                          <w:rFonts w:ascii="Times New Roman" w:hAnsi="Times New Roman"/>
                          <w:sz w:val="24"/>
                          <w:szCs w:val="24"/>
                        </w:rPr>
                        <w:t xml:space="preserve">Sabiex jitnaqqas it-tgħawwiġ tal-kompetizzjoni fis-suq intern, tiżdied it-trasparenza, u jinżamm l-objettiv tal-EU ETS li tinkiseb dekarbonizzazzjoni kosteffikaċi, il-Kummissjoni adottat il-Linji Gwida tal-EU ETS dwar l-Għajnuna mill-Istat*, li huma validi sal-aħħar tal-2020. Il-Linji Gwida jiddeterminaw, fost l-oħrajn, is-setturi eliġibbli u l-ammonti massimi għal kumpens ta’ spejjeż indiretti tal-karbonju. </w:t>
                      </w:r>
                    </w:p>
                    <w:p>
                      <w:pPr>
                        <w:jc w:val="both"/>
                        <w:rPr>
                          <w:rFonts w:ascii="Times New Roman" w:hAnsi="Times New Roman"/>
                          <w:sz w:val="24"/>
                          <w:szCs w:val="24"/>
                        </w:rPr>
                      </w:pPr>
                      <w:r>
                        <w:rPr>
                          <w:rFonts w:ascii="Times New Roman" w:hAnsi="Times New Roman"/>
                          <w:sz w:val="24"/>
                          <w:szCs w:val="24"/>
                        </w:rPr>
                        <w:t>Fid-dawl tal-iskadenza imminenti tal-Linji Gwida attwali, il-Kummissjoni rrevediet il-Linji Gwida tal-EU ETS dwar l-Għajnuna mill-Istat għall-2021 sal-2030. Il-Linji Gwida l-ġodda dwar l-Għajnuna mill-Istat** ġew adottati fil-21 ta’ Settembru 2020 (ara wkoll l-Appendiċi 6 tal-Anness).</w:t>
                      </w:r>
                    </w:p>
                    <w:p>
                      <w:pPr>
                        <w:jc w:val="both"/>
                        <w:rPr>
                          <w:rFonts w:ascii="Times New Roman" w:hAnsi="Times New Roman"/>
                          <w:sz w:val="18"/>
                          <w:szCs w:val="18"/>
                        </w:rPr>
                      </w:pPr>
                      <w:r>
                        <w:rPr>
                          <w:rFonts w:ascii="Times New Roman" w:hAnsi="Times New Roman"/>
                          <w:sz w:val="18"/>
                          <w:szCs w:val="18"/>
                        </w:rPr>
                        <w:t>* Linji Gwida dwar ċerti miżuri ta’ għajnuna mill-Istat fil-kuntest tal-iskema għall-iskambju ta’ kwoti ta’ emissjonijiet ta’ gassijiet serra għal wara l-2012, ĠU C 158, 05.06.2012, p. 4</w:t>
                      </w:r>
                    </w:p>
                    <w:p>
                      <w:pPr>
                        <w:jc w:val="both"/>
                        <w:rPr>
                          <w:rFonts w:ascii="Times New Roman" w:hAnsi="Times New Roman"/>
                          <w:sz w:val="18"/>
                          <w:szCs w:val="18"/>
                        </w:rPr>
                      </w:pPr>
                      <w:r>
                        <w:rPr>
                          <w:rFonts w:ascii="Times New Roman" w:hAnsi="Times New Roman"/>
                          <w:sz w:val="18"/>
                          <w:szCs w:val="18"/>
                        </w:rPr>
                        <w:t>** Linji Gwida dwar ċerti miżuri ta’ għajnuna mill-Istat fil-kuntest tas-sistema għall-iskambju ta’ kwoti ta’ emissjonijiet ta’ gassijiet serra għal wara l-2021, ĠU C 317, 25.09.2020, p. 5–19</w:t>
                      </w:r>
                    </w:p>
                  </w:txbxContent>
                </v:textbox>
                <w10:anchorlock/>
              </v:shape>
            </w:pict>
          </mc:Fallback>
        </mc:AlternateContent>
      </w:r>
    </w:p>
    <w:p>
      <w:pPr>
        <w:jc w:val="both"/>
        <w:rPr>
          <w:rFonts w:ascii="Times New Roman" w:eastAsia="Times New Roman" w:hAnsi="Times New Roman"/>
          <w:noProof/>
          <w:sz w:val="24"/>
          <w:szCs w:val="24"/>
        </w:rPr>
      </w:pPr>
      <w:r>
        <w:rPr>
          <w:rFonts w:ascii="Times New Roman" w:hAnsi="Times New Roman"/>
          <w:noProof/>
          <w:sz w:val="24"/>
          <w:szCs w:val="24"/>
        </w:rPr>
        <w:t>Sal-lum, il-Kummissjoni approvat 14-il</w:t>
      </w:r>
      <w:r>
        <w:rPr>
          <w:rStyle w:val="FootnoteReference"/>
          <w:rFonts w:ascii="Times New Roman" w:eastAsia="Times New Roman" w:hAnsi="Times New Roman"/>
          <w:noProof/>
          <w:sz w:val="24"/>
          <w:szCs w:val="24"/>
          <w:lang w:eastAsia="de-DE"/>
        </w:rPr>
        <w:footnoteReference w:id="55"/>
      </w:r>
      <w:r>
        <w:rPr>
          <w:rFonts w:ascii="Times New Roman" w:hAnsi="Times New Roman"/>
          <w:noProof/>
          <w:sz w:val="24"/>
          <w:szCs w:val="24"/>
        </w:rPr>
        <w:t xml:space="preserve"> skema ta’ kumpens għall-ispejjeż indiretti tal-karbonju fi 13-il Stat Membru. F’Awwissu 2019, il-Kummissjoni approvat skema ġdida għall-Polonja</w:t>
      </w:r>
      <w:r>
        <w:rPr>
          <w:rStyle w:val="FootnoteReference"/>
          <w:rFonts w:ascii="Times New Roman" w:eastAsia="Times New Roman" w:hAnsi="Times New Roman"/>
          <w:noProof/>
          <w:sz w:val="24"/>
          <w:szCs w:val="24"/>
          <w:lang w:eastAsia="de-DE"/>
        </w:rPr>
        <w:footnoteReference w:id="56"/>
      </w:r>
      <w:r>
        <w:rPr>
          <w:rFonts w:ascii="Times New Roman" w:hAnsi="Times New Roman"/>
          <w:noProof/>
          <w:sz w:val="24"/>
          <w:szCs w:val="24"/>
        </w:rPr>
        <w:t>. Il-Polonja hija mistennija li tibda tikkumpensa fl-2020 għall-ispejjeż indiretti mġarrba fl-2019. L-istess jgħodd għal skema Rumena li ġiet approvata mill-Kummissjoni f’Mejju 2020</w:t>
      </w:r>
      <w:r>
        <w:rPr>
          <w:rStyle w:val="FootnoteReference"/>
          <w:rFonts w:ascii="Times New Roman" w:eastAsia="Times New Roman" w:hAnsi="Times New Roman"/>
          <w:noProof/>
          <w:sz w:val="24"/>
          <w:szCs w:val="24"/>
          <w:lang w:eastAsia="de-DE"/>
        </w:rPr>
        <w:footnoteReference w:id="57"/>
      </w:r>
      <w:r>
        <w:rPr>
          <w:rFonts w:ascii="Times New Roman" w:hAnsi="Times New Roman"/>
          <w:noProof/>
          <w:sz w:val="24"/>
          <w:szCs w:val="24"/>
        </w:rPr>
        <w:t xml:space="preserve">. Għadd ta’ Stati Membri oħrajn indikaw l-intenzjoni tagħhom li jibdew jikkumpensaw għall-ispejjeż indiretti. </w:t>
      </w:r>
    </w:p>
    <w:p>
      <w:pPr>
        <w:jc w:val="both"/>
        <w:rPr>
          <w:rFonts w:ascii="Times New Roman" w:eastAsia="Times New Roman" w:hAnsi="Times New Roman"/>
          <w:noProof/>
          <w:sz w:val="24"/>
          <w:szCs w:val="24"/>
        </w:rPr>
      </w:pPr>
      <w:r>
        <w:rPr>
          <w:rFonts w:ascii="Times New Roman" w:hAnsi="Times New Roman"/>
          <w:noProof/>
          <w:sz w:val="24"/>
          <w:szCs w:val="24"/>
        </w:rPr>
        <w:t>Id-Direttiva dwar l-EU ETS tiddetermina li fi żmien tliet xhur wara t-tmiem ta’ kull sena, l-Istati Membri li jkollhom fis-seħħ skema ta’ kumpens għall-ispejjeż indiretti, jenħtieġ li jagħmlu disponibbli lill-pubbliku, f’forma li tkun aċċessibbli faċilment, l-ammont totali ta' kumpens ipprovdut u t-tqassim għal kull settur u subsettur benefiċjarju.</w:t>
      </w:r>
    </w:p>
    <w:p>
      <w:pPr>
        <w:jc w:val="both"/>
        <w:rPr>
          <w:rFonts w:ascii="Times New Roman" w:eastAsia="Times New Roman" w:hAnsi="Times New Roman"/>
          <w:noProof/>
          <w:sz w:val="24"/>
          <w:szCs w:val="24"/>
        </w:rPr>
      </w:pPr>
      <w:r>
        <w:rPr>
          <w:rFonts w:ascii="Times New Roman" w:hAnsi="Times New Roman"/>
          <w:noProof/>
          <w:sz w:val="24"/>
          <w:szCs w:val="24"/>
        </w:rPr>
        <w:t>Sommarju tad-</w:t>
      </w:r>
      <w:r>
        <w:rPr>
          <w:rFonts w:ascii="Times New Roman" w:hAnsi="Times New Roman"/>
          <w:i/>
          <w:noProof/>
          <w:sz w:val="24"/>
          <w:szCs w:val="24"/>
        </w:rPr>
        <w:t>data</w:t>
      </w:r>
      <w:r>
        <w:rPr>
          <w:rFonts w:ascii="Times New Roman" w:hAnsi="Times New Roman"/>
          <w:noProof/>
          <w:sz w:val="24"/>
          <w:szCs w:val="24"/>
        </w:rPr>
        <w:t xml:space="preserve"> ppubblikata mill-Istati Membri dwar il-kumpens imħallas fl-2019 huwa ppreżentat fit-Tabella 6. Billi l-Polonja u r-Rumanija ma jikkumpensawx għall-ispejjeż indiretti mġarrba fl-2018, dawn l-Istati Membri mhumiex riflessi fit-tabella.</w:t>
      </w:r>
    </w:p>
    <w:p>
      <w:pPr>
        <w:jc w:val="both"/>
        <w:rPr>
          <w:rFonts w:ascii="Times New Roman" w:eastAsia="Times New Roman" w:hAnsi="Times New Roman"/>
          <w:b/>
          <w:noProof/>
          <w:lang w:eastAsia="de-DE"/>
        </w:rPr>
      </w:pPr>
    </w:p>
    <w:p>
      <w:pPr>
        <w:jc w:val="both"/>
        <w:rPr>
          <w:rFonts w:ascii="Times New Roman" w:eastAsia="Times New Roman" w:hAnsi="Times New Roman"/>
          <w:b/>
          <w:noProof/>
          <w:lang w:eastAsia="de-DE"/>
        </w:rPr>
      </w:pPr>
    </w:p>
    <w:p>
      <w:pPr>
        <w:jc w:val="both"/>
        <w:rPr>
          <w:rFonts w:ascii="Times New Roman" w:eastAsia="Times New Roman" w:hAnsi="Times New Roman"/>
          <w:noProof/>
          <w:sz w:val="24"/>
          <w:szCs w:val="24"/>
        </w:rPr>
      </w:pPr>
      <w:r>
        <w:rPr>
          <w:rFonts w:ascii="Times New Roman" w:hAnsi="Times New Roman"/>
          <w:b/>
          <w:noProof/>
        </w:rPr>
        <w:t>Tabella 6: Kumpens għall-ispiża indiretta tal-karbonju mħallsa fl-2019</w:t>
      </w:r>
    </w:p>
    <w:tbl>
      <w:tblPr>
        <w:tblW w:w="9629" w:type="dxa"/>
        <w:tblInd w:w="1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550"/>
        <w:gridCol w:w="1559"/>
        <w:gridCol w:w="2410"/>
        <w:gridCol w:w="1134"/>
        <w:gridCol w:w="1417"/>
        <w:gridCol w:w="1559"/>
      </w:tblGrid>
      <w:tr>
        <w:trPr>
          <w:trHeight w:val="1056"/>
        </w:trPr>
        <w:tc>
          <w:tcPr>
            <w:tcW w:w="1550" w:type="dxa"/>
            <w:shd w:val="clear" w:color="000000" w:fill="D9D9D9"/>
            <w:vAlign w:val="center"/>
            <w:hideMark/>
          </w:tcPr>
          <w:p>
            <w:pPr>
              <w:spacing w:after="0" w:line="240" w:lineRule="auto"/>
              <w:rPr>
                <w:rFonts w:ascii="Times New Roman" w:eastAsia="Times New Roman" w:hAnsi="Times New Roman"/>
                <w:bCs/>
                <w:noProof/>
                <w:color w:val="000000"/>
                <w:sz w:val="20"/>
                <w:szCs w:val="20"/>
              </w:rPr>
            </w:pPr>
            <w:r>
              <w:rPr>
                <w:rFonts w:ascii="Times New Roman" w:hAnsi="Times New Roman"/>
                <w:bCs/>
                <w:noProof/>
                <w:color w:val="000000"/>
                <w:sz w:val="20"/>
                <w:szCs w:val="20"/>
              </w:rPr>
              <w:t>Pajjiż</w:t>
            </w:r>
          </w:p>
        </w:tc>
        <w:tc>
          <w:tcPr>
            <w:tcW w:w="1559" w:type="dxa"/>
            <w:shd w:val="clear" w:color="000000" w:fill="D9D9D9"/>
            <w:vAlign w:val="center"/>
            <w:hideMark/>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Tul tal-iskema</w:t>
            </w:r>
          </w:p>
        </w:tc>
        <w:tc>
          <w:tcPr>
            <w:tcW w:w="2410" w:type="dxa"/>
            <w:shd w:val="clear" w:color="000000" w:fill="D9D9D9"/>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bCs/>
                <w:noProof/>
                <w:color w:val="000000"/>
                <w:sz w:val="18"/>
                <w:szCs w:val="18"/>
              </w:rPr>
              <w:t>Kumpens żburżat fl-2019 għall-ispejjeż indiretti mġarrba fl-2018 (f’miljuni ta’ EUR)</w:t>
            </w:r>
          </w:p>
        </w:tc>
        <w:tc>
          <w:tcPr>
            <w:tcW w:w="1134" w:type="dxa"/>
            <w:shd w:val="clear" w:color="000000" w:fill="D9D9D9"/>
            <w:vAlign w:val="center"/>
            <w:hideMark/>
          </w:tcPr>
          <w:p>
            <w:pPr>
              <w:spacing w:after="0" w:line="240" w:lineRule="auto"/>
              <w:jc w:val="center"/>
              <w:rPr>
                <w:rFonts w:ascii="Times New Roman" w:eastAsia="Times New Roman" w:hAnsi="Times New Roman"/>
                <w:b/>
                <w:bCs/>
                <w:noProof/>
                <w:color w:val="000000"/>
                <w:sz w:val="18"/>
                <w:szCs w:val="20"/>
              </w:rPr>
            </w:pPr>
            <w:r>
              <w:rPr>
                <w:rFonts w:ascii="Times New Roman" w:hAnsi="Times New Roman"/>
                <w:b/>
                <w:bCs/>
                <w:noProof/>
                <w:color w:val="000000"/>
                <w:sz w:val="18"/>
                <w:szCs w:val="20"/>
              </w:rPr>
              <w:t>Għadd ta’ benefiċjarji (installazzjonijiet)</w:t>
            </w:r>
          </w:p>
        </w:tc>
        <w:tc>
          <w:tcPr>
            <w:tcW w:w="1417" w:type="dxa"/>
            <w:shd w:val="clear" w:color="000000" w:fill="D9D9D9"/>
            <w:vAlign w:val="center"/>
            <w:hideMark/>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Dħul mill-irkant 2018 (f’miljuni ta’ EUR)</w:t>
            </w:r>
            <w:r>
              <w:rPr>
                <w:rStyle w:val="FootnoteReference"/>
                <w:rFonts w:ascii="Times New Roman" w:eastAsia="Times New Roman" w:hAnsi="Times New Roman"/>
                <w:b/>
                <w:bCs/>
                <w:noProof/>
                <w:color w:val="000000"/>
                <w:sz w:val="20"/>
                <w:szCs w:val="20"/>
                <w:lang w:val="fr-BE" w:eastAsia="en-GB"/>
              </w:rPr>
              <w:footnoteReference w:id="58"/>
            </w:r>
          </w:p>
        </w:tc>
        <w:tc>
          <w:tcPr>
            <w:tcW w:w="1559" w:type="dxa"/>
            <w:shd w:val="clear" w:color="000000" w:fill="D9D9D9"/>
            <w:vAlign w:val="center"/>
            <w:hideMark/>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Perċentwal tad-dħul mill-irkant li jintnefaq fuq il-kumpens tal-ispiża indiretta</w:t>
            </w:r>
          </w:p>
        </w:tc>
      </w:tr>
      <w:tr>
        <w:trPr>
          <w:trHeight w:val="50"/>
        </w:trPr>
        <w:tc>
          <w:tcPr>
            <w:tcW w:w="155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Ir-Renju Unit</w:t>
            </w:r>
            <w:r>
              <w:rPr>
                <w:rStyle w:val="FootnoteReference"/>
                <w:rFonts w:ascii="Times New Roman" w:eastAsia="Times New Roman" w:hAnsi="Times New Roman"/>
                <w:noProof/>
                <w:color w:val="000000"/>
                <w:sz w:val="20"/>
                <w:szCs w:val="20"/>
                <w:lang w:eastAsia="en-GB"/>
              </w:rPr>
              <w:footnoteReference w:id="59"/>
            </w:r>
          </w:p>
        </w:tc>
        <w:tc>
          <w:tcPr>
            <w:tcW w:w="1559"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2013 - 2020</w:t>
            </w:r>
          </w:p>
        </w:tc>
        <w:tc>
          <w:tcPr>
            <w:tcW w:w="2410"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22</w:t>
            </w:r>
          </w:p>
        </w:tc>
        <w:tc>
          <w:tcPr>
            <w:tcW w:w="1134"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60</w:t>
            </w:r>
          </w:p>
        </w:tc>
        <w:tc>
          <w:tcPr>
            <w:tcW w:w="1417"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1607</w:t>
            </w:r>
          </w:p>
        </w:tc>
        <w:tc>
          <w:tcPr>
            <w:tcW w:w="1559"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3,7%</w:t>
            </w:r>
          </w:p>
        </w:tc>
      </w:tr>
      <w:tr>
        <w:trPr>
          <w:trHeight w:val="288"/>
        </w:trPr>
        <w:tc>
          <w:tcPr>
            <w:tcW w:w="155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DE</w:t>
            </w:r>
          </w:p>
        </w:tc>
        <w:tc>
          <w:tcPr>
            <w:tcW w:w="1559"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2013 - 2020</w:t>
            </w:r>
          </w:p>
        </w:tc>
        <w:tc>
          <w:tcPr>
            <w:tcW w:w="2410"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219</w:t>
            </w:r>
          </w:p>
        </w:tc>
        <w:tc>
          <w:tcPr>
            <w:tcW w:w="1134"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898</w:t>
            </w:r>
          </w:p>
        </w:tc>
        <w:tc>
          <w:tcPr>
            <w:tcW w:w="1417"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2565</w:t>
            </w:r>
          </w:p>
        </w:tc>
        <w:tc>
          <w:tcPr>
            <w:tcW w:w="1559"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8,5%</w:t>
            </w:r>
          </w:p>
        </w:tc>
      </w:tr>
      <w:tr>
        <w:trPr>
          <w:trHeight w:val="288"/>
        </w:trPr>
        <w:tc>
          <w:tcPr>
            <w:tcW w:w="155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BE (FL)</w:t>
            </w:r>
          </w:p>
        </w:tc>
        <w:tc>
          <w:tcPr>
            <w:tcW w:w="1559"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2013 - 2020</w:t>
            </w:r>
          </w:p>
        </w:tc>
        <w:tc>
          <w:tcPr>
            <w:tcW w:w="2410"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35,9</w:t>
            </w:r>
          </w:p>
        </w:tc>
        <w:tc>
          <w:tcPr>
            <w:tcW w:w="1134"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107</w:t>
            </w:r>
          </w:p>
        </w:tc>
        <w:tc>
          <w:tcPr>
            <w:tcW w:w="1417" w:type="dxa"/>
            <w:vMerge w:val="restart"/>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379</w:t>
            </w:r>
          </w:p>
        </w:tc>
        <w:tc>
          <w:tcPr>
            <w:tcW w:w="1559" w:type="dxa"/>
            <w:vMerge w:val="restart"/>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11,4%</w:t>
            </w:r>
          </w:p>
        </w:tc>
      </w:tr>
      <w:tr>
        <w:trPr>
          <w:trHeight w:val="288"/>
        </w:trPr>
        <w:tc>
          <w:tcPr>
            <w:tcW w:w="155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BE (WL)</w:t>
            </w:r>
          </w:p>
        </w:tc>
        <w:tc>
          <w:tcPr>
            <w:tcW w:w="1559"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2017 - 2020</w:t>
            </w:r>
          </w:p>
        </w:tc>
        <w:tc>
          <w:tcPr>
            <w:tcW w:w="2410"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7,5</w:t>
            </w:r>
          </w:p>
        </w:tc>
        <w:tc>
          <w:tcPr>
            <w:tcW w:w="1134"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29</w:t>
            </w:r>
          </w:p>
        </w:tc>
        <w:tc>
          <w:tcPr>
            <w:tcW w:w="1417" w:type="dxa"/>
            <w:vMerge/>
            <w:vAlign w:val="center"/>
            <w:hideMark/>
          </w:tcPr>
          <w:p>
            <w:pPr>
              <w:spacing w:after="0" w:line="240" w:lineRule="auto"/>
              <w:rPr>
                <w:rFonts w:ascii="Times New Roman" w:eastAsia="Times New Roman" w:hAnsi="Times New Roman"/>
                <w:noProof/>
                <w:color w:val="000000"/>
                <w:sz w:val="20"/>
                <w:szCs w:val="20"/>
                <w:lang w:eastAsia="en-GB"/>
              </w:rPr>
            </w:pPr>
          </w:p>
        </w:tc>
        <w:tc>
          <w:tcPr>
            <w:tcW w:w="1559" w:type="dxa"/>
            <w:vMerge/>
            <w:vAlign w:val="center"/>
            <w:hideMark/>
          </w:tcPr>
          <w:p>
            <w:pPr>
              <w:spacing w:after="0" w:line="240" w:lineRule="auto"/>
              <w:rPr>
                <w:rFonts w:ascii="Times New Roman" w:eastAsia="Times New Roman" w:hAnsi="Times New Roman"/>
                <w:noProof/>
                <w:color w:val="000000"/>
                <w:sz w:val="20"/>
                <w:szCs w:val="20"/>
                <w:lang w:eastAsia="en-GB"/>
              </w:rPr>
            </w:pPr>
          </w:p>
        </w:tc>
      </w:tr>
      <w:tr>
        <w:trPr>
          <w:trHeight w:val="288"/>
        </w:trPr>
        <w:tc>
          <w:tcPr>
            <w:tcW w:w="155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NL</w:t>
            </w:r>
          </w:p>
        </w:tc>
        <w:tc>
          <w:tcPr>
            <w:tcW w:w="1559"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2013 - 2020</w:t>
            </w:r>
          </w:p>
        </w:tc>
        <w:tc>
          <w:tcPr>
            <w:tcW w:w="2410"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40,3</w:t>
            </w:r>
          </w:p>
        </w:tc>
        <w:tc>
          <w:tcPr>
            <w:tcW w:w="1134"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92</w:t>
            </w:r>
          </w:p>
        </w:tc>
        <w:tc>
          <w:tcPr>
            <w:tcW w:w="1417"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501</w:t>
            </w:r>
          </w:p>
        </w:tc>
        <w:tc>
          <w:tcPr>
            <w:tcW w:w="1559"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8,0%</w:t>
            </w:r>
          </w:p>
        </w:tc>
      </w:tr>
      <w:tr>
        <w:trPr>
          <w:trHeight w:val="288"/>
        </w:trPr>
        <w:tc>
          <w:tcPr>
            <w:tcW w:w="155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EL</w:t>
            </w:r>
          </w:p>
        </w:tc>
        <w:tc>
          <w:tcPr>
            <w:tcW w:w="1559"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2013 - 2020</w:t>
            </w:r>
          </w:p>
        </w:tc>
        <w:tc>
          <w:tcPr>
            <w:tcW w:w="2410"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16,8</w:t>
            </w:r>
          </w:p>
        </w:tc>
        <w:tc>
          <w:tcPr>
            <w:tcW w:w="1134"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50</w:t>
            </w:r>
          </w:p>
        </w:tc>
        <w:tc>
          <w:tcPr>
            <w:tcW w:w="1417"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519</w:t>
            </w:r>
          </w:p>
        </w:tc>
        <w:tc>
          <w:tcPr>
            <w:tcW w:w="1559"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3,2%</w:t>
            </w:r>
          </w:p>
        </w:tc>
      </w:tr>
      <w:tr>
        <w:trPr>
          <w:trHeight w:val="288"/>
        </w:trPr>
        <w:tc>
          <w:tcPr>
            <w:tcW w:w="155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LT</w:t>
            </w:r>
          </w:p>
        </w:tc>
        <w:tc>
          <w:tcPr>
            <w:tcW w:w="1559"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2014 - 2020</w:t>
            </w:r>
          </w:p>
        </w:tc>
        <w:tc>
          <w:tcPr>
            <w:tcW w:w="2410"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0,3</w:t>
            </w:r>
          </w:p>
        </w:tc>
        <w:tc>
          <w:tcPr>
            <w:tcW w:w="1134"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w:t>
            </w:r>
          </w:p>
        </w:tc>
        <w:tc>
          <w:tcPr>
            <w:tcW w:w="1417"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80</w:t>
            </w:r>
          </w:p>
        </w:tc>
        <w:tc>
          <w:tcPr>
            <w:tcW w:w="1559"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0,3%</w:t>
            </w:r>
          </w:p>
        </w:tc>
      </w:tr>
      <w:tr>
        <w:trPr>
          <w:trHeight w:val="288"/>
        </w:trPr>
        <w:tc>
          <w:tcPr>
            <w:tcW w:w="155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SK</w:t>
            </w:r>
          </w:p>
        </w:tc>
        <w:tc>
          <w:tcPr>
            <w:tcW w:w="1559"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2014 - 2020</w:t>
            </w:r>
          </w:p>
        </w:tc>
        <w:tc>
          <w:tcPr>
            <w:tcW w:w="2410"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6</w:t>
            </w:r>
          </w:p>
        </w:tc>
        <w:tc>
          <w:tcPr>
            <w:tcW w:w="1134"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8</w:t>
            </w:r>
          </w:p>
        </w:tc>
        <w:tc>
          <w:tcPr>
            <w:tcW w:w="1417"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229</w:t>
            </w:r>
          </w:p>
        </w:tc>
        <w:tc>
          <w:tcPr>
            <w:tcW w:w="1559"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2,6%</w:t>
            </w:r>
          </w:p>
        </w:tc>
      </w:tr>
      <w:tr>
        <w:trPr>
          <w:trHeight w:val="288"/>
        </w:trPr>
        <w:tc>
          <w:tcPr>
            <w:tcW w:w="155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FR</w:t>
            </w:r>
          </w:p>
        </w:tc>
        <w:tc>
          <w:tcPr>
            <w:tcW w:w="1559"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2015 - 2020</w:t>
            </w:r>
          </w:p>
        </w:tc>
        <w:tc>
          <w:tcPr>
            <w:tcW w:w="2410" w:type="dxa"/>
            <w:shd w:val="clear" w:color="auto" w:fill="auto"/>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102,1</w:t>
            </w:r>
          </w:p>
        </w:tc>
        <w:tc>
          <w:tcPr>
            <w:tcW w:w="1134" w:type="dxa"/>
            <w:shd w:val="clear" w:color="auto" w:fill="auto"/>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286</w:t>
            </w:r>
          </w:p>
        </w:tc>
        <w:tc>
          <w:tcPr>
            <w:tcW w:w="1417"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818</w:t>
            </w:r>
          </w:p>
        </w:tc>
        <w:tc>
          <w:tcPr>
            <w:tcW w:w="1559"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12,4%</w:t>
            </w:r>
          </w:p>
        </w:tc>
      </w:tr>
      <w:tr>
        <w:trPr>
          <w:trHeight w:val="288"/>
        </w:trPr>
        <w:tc>
          <w:tcPr>
            <w:tcW w:w="155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FI</w:t>
            </w:r>
          </w:p>
        </w:tc>
        <w:tc>
          <w:tcPr>
            <w:tcW w:w="1559"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2016 - 2020</w:t>
            </w:r>
          </w:p>
        </w:tc>
        <w:tc>
          <w:tcPr>
            <w:tcW w:w="241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29,1</w:t>
            </w:r>
          </w:p>
        </w:tc>
        <w:tc>
          <w:tcPr>
            <w:tcW w:w="1134"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61</w:t>
            </w:r>
          </w:p>
        </w:tc>
        <w:tc>
          <w:tcPr>
            <w:tcW w:w="1417"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250</w:t>
            </w:r>
          </w:p>
        </w:tc>
        <w:tc>
          <w:tcPr>
            <w:tcW w:w="1559"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11,6%</w:t>
            </w:r>
          </w:p>
        </w:tc>
      </w:tr>
      <w:tr>
        <w:trPr>
          <w:trHeight w:val="288"/>
        </w:trPr>
        <w:tc>
          <w:tcPr>
            <w:tcW w:w="155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ES</w:t>
            </w:r>
          </w:p>
        </w:tc>
        <w:tc>
          <w:tcPr>
            <w:tcW w:w="1559"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2013 - 2015</w:t>
            </w:r>
          </w:p>
        </w:tc>
        <w:tc>
          <w:tcPr>
            <w:tcW w:w="2410" w:type="dxa"/>
            <w:shd w:val="clear" w:color="auto" w:fill="auto"/>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172,2</w:t>
            </w:r>
          </w:p>
        </w:tc>
        <w:tc>
          <w:tcPr>
            <w:tcW w:w="1134" w:type="dxa"/>
            <w:shd w:val="clear" w:color="auto" w:fill="auto"/>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183</w:t>
            </w:r>
          </w:p>
        </w:tc>
        <w:tc>
          <w:tcPr>
            <w:tcW w:w="1417"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1291</w:t>
            </w:r>
          </w:p>
        </w:tc>
        <w:tc>
          <w:tcPr>
            <w:tcW w:w="1559"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13,3%</w:t>
            </w:r>
          </w:p>
        </w:tc>
      </w:tr>
      <w:tr>
        <w:trPr>
          <w:trHeight w:val="288"/>
        </w:trPr>
        <w:tc>
          <w:tcPr>
            <w:tcW w:w="1550"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LU</w:t>
            </w:r>
          </w:p>
        </w:tc>
        <w:tc>
          <w:tcPr>
            <w:tcW w:w="1559" w:type="dxa"/>
            <w:shd w:val="clear" w:color="000000" w:fill="FFFFFF"/>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2018-2020</w:t>
            </w:r>
          </w:p>
        </w:tc>
        <w:tc>
          <w:tcPr>
            <w:tcW w:w="2410" w:type="dxa"/>
            <w:shd w:val="clear" w:color="000000" w:fill="FFFFFF"/>
            <w:noWrap/>
            <w:vAlign w:val="bottom"/>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4,2</w:t>
            </w:r>
          </w:p>
        </w:tc>
        <w:tc>
          <w:tcPr>
            <w:tcW w:w="1134" w:type="dxa"/>
            <w:shd w:val="clear" w:color="000000" w:fill="FFFFFF"/>
            <w:noWrap/>
            <w:vAlign w:val="bottom"/>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4</w:t>
            </w:r>
          </w:p>
        </w:tc>
        <w:tc>
          <w:tcPr>
            <w:tcW w:w="1417" w:type="dxa"/>
            <w:shd w:val="clear" w:color="000000" w:fill="FFFFFF"/>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18</w:t>
            </w:r>
          </w:p>
        </w:tc>
        <w:tc>
          <w:tcPr>
            <w:tcW w:w="1559" w:type="dxa"/>
            <w:shd w:val="clear" w:color="000000" w:fill="FFFFFF"/>
            <w:noWrap/>
            <w:vAlign w:val="bottom"/>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23,2%</w:t>
            </w:r>
          </w:p>
        </w:tc>
      </w:tr>
    </w:tbl>
    <w:p>
      <w:pPr>
        <w:spacing w:after="0" w:line="240" w:lineRule="auto"/>
        <w:jc w:val="both"/>
        <w:rPr>
          <w:rFonts w:ascii="Times New Roman" w:eastAsia="Times New Roman" w:hAnsi="Times New Roman"/>
          <w:noProof/>
          <w:sz w:val="18"/>
          <w:szCs w:val="18"/>
          <w:lang w:eastAsia="de-DE"/>
        </w:rPr>
      </w:pPr>
    </w:p>
    <w:p>
      <w:pPr>
        <w:jc w:val="both"/>
        <w:rPr>
          <w:rFonts w:ascii="Times New Roman" w:eastAsia="Times New Roman" w:hAnsi="Times New Roman"/>
          <w:noProof/>
          <w:sz w:val="18"/>
          <w:szCs w:val="18"/>
        </w:rPr>
      </w:pPr>
      <w:r>
        <w:rPr>
          <w:rFonts w:ascii="Times New Roman" w:hAnsi="Times New Roman"/>
          <w:noProof/>
          <w:sz w:val="18"/>
          <w:szCs w:val="18"/>
        </w:rPr>
        <w:t>Sors: Is-sottomissjonijiet tal-pajjiżi lid-DĠ Azzjoni Klimatika</w:t>
      </w:r>
    </w:p>
    <w:p>
      <w:pPr>
        <w:jc w:val="both"/>
        <w:rPr>
          <w:rFonts w:ascii="Times New Roman" w:eastAsia="Times New Roman" w:hAnsi="Times New Roman"/>
          <w:noProof/>
          <w:sz w:val="24"/>
          <w:szCs w:val="24"/>
        </w:rPr>
      </w:pPr>
      <w:r>
        <w:rPr>
          <w:rFonts w:ascii="Times New Roman" w:hAnsi="Times New Roman"/>
          <w:noProof/>
          <w:sz w:val="24"/>
          <w:szCs w:val="24"/>
        </w:rPr>
        <w:t>Il-kumpens tal-ispejjeż indiretti totali mħallsa mill-10 Stati Membri tal-UE u mir-Renju Unit fl-2019 għall-ispejjeż imġarrba fl-2018 ammonta għal madwar EUR 656 miljun. Dan huwa kważi 200 miljun aktar mill-ammont imħallas fl-2018. Iż-żieda notevoli meta mqabbla mas-sena preċedenti tista’ tiġi spjegata, min naħa waħda, biż-żieda sinifikanti fil-baġit ta’ Spanja (minn EUR 6 miljun fl-2018 għal EUR 172 miljun fl-2019), u min-naħa l-oħra biż-żieda żgħira fil-prezz tal-karbonju użat għall-kalkolu tal-kumpens. Iż-żieda sostnuta tal-prezz tal-karbonju fl-2018 għadha ma ġietx kompletament riflessa fl-ammonti mħallsa fl-2019 minħabba l-fatt li l-Linji Gwida jippreskrivu l-użu tal-prezz bil-quddiem fis-sena x-1.</w:t>
      </w:r>
    </w:p>
    <w:p>
      <w:pPr>
        <w:jc w:val="both"/>
        <w:rPr>
          <w:rFonts w:ascii="Times New Roman" w:hAnsi="Times New Roman"/>
          <w:b/>
          <w:noProof/>
        </w:rPr>
      </w:pPr>
      <w:r>
        <w:rPr>
          <w:rFonts w:ascii="Times New Roman" w:hAnsi="Times New Roman"/>
          <w:noProof/>
          <w:sz w:val="24"/>
          <w:szCs w:val="24"/>
        </w:rPr>
        <w:t>Waħda mid-dispożizzjonijiet ta’ trasparenza fid-Direttiva dwar l-EU ETS riveduta tistabbilixxi li l-Istati Membri li nefqu aktar minn 25 % tad-dħul mill-irkant tagħhom fuq il-kumpens tal-ispejjeż indiretti fi kwalunkwe sena għandhom jippubblikaw rapport li jistabbilixxi r-raġunijiet għaliex dan l-ammont inqabeż. Il-fatt li fl-2018 id-dħul mill-irkant kien ogħla b’mod sinifikanti mis-snin ta’ qabel, flimkien mal-fatt li l-kumpens ma żdiedx daqshekk malajr minħabba l-obbligu li jintuża l-prezz tas-sena ta’ qabel, ifisser li fl-ebda wieħed mill-Istati Membri ma ntlaħaq il-limitu ta’ 25 %. Bħala medja, l-Istati Membri nefqu 7,9 % tad-dħul tagħhom mill-irkant fuq il-kumpens tal-ispejjeż indiretti. Fis-snin li ġejjin, l-Istati Membri huma mistiedna jżommu għassa mill-qrib tal-baġits tagħhom għal dan il-punt ta’ nfiq.</w:t>
      </w:r>
      <w:bookmarkStart w:id="39" w:name="_Toc490850431"/>
      <w:bookmarkStart w:id="40" w:name="_Toc519009682"/>
      <w:bookmarkEnd w:id="37"/>
      <w:bookmarkEnd w:id="38"/>
    </w:p>
    <w:p>
      <w:pPr>
        <w:pStyle w:val="Heading3"/>
        <w:spacing w:before="0" w:after="200"/>
        <w:ind w:left="720"/>
        <w:rPr>
          <w:noProof/>
        </w:rPr>
      </w:pPr>
      <w:bookmarkStart w:id="41" w:name="_Toc56000803"/>
      <w:r>
        <w:rPr>
          <w:noProof/>
        </w:rPr>
        <w:t>3.1.3. Krediti internazzjonali</w:t>
      </w:r>
      <w:bookmarkEnd w:id="39"/>
      <w:bookmarkEnd w:id="40"/>
      <w:bookmarkEnd w:id="41"/>
    </w:p>
    <w:p>
      <w:pPr>
        <w:jc w:val="both"/>
        <w:rPr>
          <w:rFonts w:ascii="Times New Roman" w:hAnsi="Times New Roman"/>
          <w:noProof/>
          <w:sz w:val="24"/>
          <w:szCs w:val="24"/>
        </w:rPr>
      </w:pPr>
      <w:r>
        <w:rPr>
          <w:rFonts w:ascii="Times New Roman" w:hAnsi="Times New Roman"/>
          <w:noProof/>
          <w:sz w:val="24"/>
          <w:szCs w:val="24"/>
          <w:lang w:val="en-GB" w:eastAsia="en-GB"/>
        </w:rPr>
        <mc:AlternateContent>
          <mc:Choice Requires="wps">
            <w:drawing>
              <wp:inline distT="0" distB="0" distL="0" distR="0">
                <wp:extent cx="5742432" cy="2493818"/>
                <wp:effectExtent l="0" t="0" r="10795" b="2095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432" cy="2493818"/>
                        </a:xfrm>
                        <a:prstGeom prst="rect">
                          <a:avLst/>
                        </a:prstGeom>
                        <a:solidFill>
                          <a:schemeClr val="bg1">
                            <a:lumMod val="85000"/>
                          </a:schemeClr>
                        </a:solidFill>
                        <a:ln w="12700">
                          <a:solidFill>
                            <a:srgbClr val="000000"/>
                          </a:solidFill>
                          <a:miter lim="800000"/>
                          <a:headEnd/>
                          <a:tailEnd/>
                        </a:ln>
                      </wps:spPr>
                      <wps:txbx>
                        <w:txbxContent>
                          <w:p>
                            <w:pPr>
                              <w:jc w:val="both"/>
                              <w:rPr>
                                <w:rFonts w:ascii="Times New Roman" w:hAnsi="Times New Roman"/>
                                <w:sz w:val="24"/>
                                <w:szCs w:val="24"/>
                              </w:rPr>
                            </w:pPr>
                            <w:r>
                              <w:rPr>
                                <w:rFonts w:ascii="Times New Roman" w:hAnsi="Times New Roman"/>
                                <w:sz w:val="24"/>
                                <w:szCs w:val="24"/>
                              </w:rPr>
                              <w:t>Il-parteċipanti fl-EU ETS għadhom jistgħu jużaw il-krediti internazzjonali mill-Mekkaniżmu għal Żvilupp Nadif (CDM) u l-Implimentazzjoni Konġunta (JI) tal-Protokoll ta’ Kjoto sabiex jissodisfaw il-parti tal-obbligi tagħhom tal-EU ETS sal-aħħar taċ-ċiklu ta’ konformità tal-2020</w:t>
                            </w:r>
                            <w:r>
                              <w:rPr>
                                <w:rStyle w:val="FootnoteReference"/>
                                <w:rFonts w:ascii="Times New Roman" w:hAnsi="Times New Roman"/>
                                <w:sz w:val="24"/>
                                <w:szCs w:val="24"/>
                              </w:rPr>
                              <w:t>*</w:t>
                            </w:r>
                            <w:r>
                              <w:rPr>
                                <w:rFonts w:ascii="Times New Roman" w:hAnsi="Times New Roman"/>
                                <w:sz w:val="24"/>
                                <w:szCs w:val="24"/>
                              </w:rPr>
                              <w:t>, soġġett għal restrizzjonijiet kwalitattivi u kwantitattivi. Dawn il-krediti huma strumenti finanzjarji li jirrappreżentaw tunnellata ta’ CO</w:t>
                            </w:r>
                            <w:r>
                              <w:rPr>
                                <w:rFonts w:ascii="Times New Roman" w:hAnsi="Times New Roman"/>
                                <w:sz w:val="24"/>
                                <w:szCs w:val="24"/>
                                <w:vertAlign w:val="subscript"/>
                              </w:rPr>
                              <w:t>2</w:t>
                            </w:r>
                            <w:r>
                              <w:rPr>
                                <w:rFonts w:ascii="Times New Roman" w:hAnsi="Times New Roman"/>
                                <w:sz w:val="24"/>
                                <w:szCs w:val="24"/>
                              </w:rPr>
                              <w:t xml:space="preserve"> imneħħija jew imnaqqsa mill-atmosfera bħala riżultat ta’ proġett għat-tnaqqis tal-emissjonijiet. Il-krediti ma jiġux ċeduti direttament, iżda minflok jistgħu jiġu skambjati għal kwoti fi kwalunkwe żmien matul is-sena kalendarja.</w:t>
                            </w:r>
                            <w:r>
                              <w:t xml:space="preserve"> </w:t>
                            </w:r>
                          </w:p>
                          <w:p>
                            <w:pPr>
                              <w:jc w:val="both"/>
                              <w:rPr>
                                <w:rFonts w:ascii="Times New Roman" w:hAnsi="Times New Roman"/>
                                <w:sz w:val="24"/>
                                <w:szCs w:val="24"/>
                              </w:rPr>
                            </w:pPr>
                            <w:r>
                              <w:rPr>
                                <w:rFonts w:ascii="Times New Roman" w:hAnsi="Times New Roman"/>
                                <w:sz w:val="24"/>
                                <w:szCs w:val="24"/>
                              </w:rPr>
                              <w:t>Skont id-dispożizzjonijiet tad-Direttiva dwar l-EU ETS, il-krediti internazzjonali ma jibqgħux jintużaw għall-konformità mal-EU ETS fl-2021-2030.</w:t>
                            </w:r>
                          </w:p>
                          <w:p>
                            <w:pPr>
                              <w:jc w:val="both"/>
                              <w:rPr>
                                <w:rFonts w:ascii="Times New Roman" w:hAnsi="Times New Roman"/>
                                <w:sz w:val="18"/>
                                <w:szCs w:val="18"/>
                              </w:rPr>
                            </w:pPr>
                            <w:r>
                              <w:rPr>
                                <w:rFonts w:ascii="Times New Roman" w:hAnsi="Times New Roman"/>
                                <w:sz w:val="18"/>
                                <w:szCs w:val="18"/>
                              </w:rPr>
                              <w:t xml:space="preserve">* Proġetti CDM u JI jiġġeneraw krediti tal-karbonju ta’ Kjoto: Tnaqqis Iċċertifikat ta’ Emissjonijiet (CERs) u Unitajiet ta’ Tnaqqis tal-Emissjonijiet (ERUs) rispettivament. </w:t>
                            </w:r>
                          </w:p>
                        </w:txbxContent>
                      </wps:txbx>
                      <wps:bodyPr rot="0" vert="horz" wrap="square" lIns="91440" tIns="45720" rIns="91440" bIns="45720" anchor="t" anchorCtr="0">
                        <a:noAutofit/>
                      </wps:bodyPr>
                    </wps:wsp>
                  </a:graphicData>
                </a:graphic>
              </wp:inline>
            </w:drawing>
          </mc:Choice>
          <mc:Fallback>
            <w:pict>
              <v:shape id="_x0000_s1035" type="#_x0000_t202" style="width:452.15pt;height:19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" fillcolor="#d8d8d8 [2732]" strokeweight="1pt">
                <v:textbox>
                  <w:txbxContent>
                    <w:p>
                      <w:pPr>
                        <w:jc w:val="both"/>
                        <w:rPr>
                          <w:rFonts w:ascii="Times New Roman" w:hAnsi="Times New Roman"/>
                          <w:sz w:val="24"/>
                          <w:szCs w:val="24"/>
                        </w:rPr>
                      </w:pPr>
                      <w:r>
                        <w:rPr>
                          <w:rFonts w:ascii="Times New Roman" w:hAnsi="Times New Roman"/>
                          <w:sz w:val="24"/>
                          <w:szCs w:val="24"/>
                        </w:rPr>
                        <w:t>Il-parteċipanti fl-EU ETS għadhom jistgħu jużaw il-krediti internazzjonali mill-Mekkaniżmu għal Żvilupp Nadif (CDM) u l-Implimentazzjoni Konġunta (JI) tal-Protokoll ta’ Kjoto sabiex jissodisfaw il-parti tal-obbligi tagħhom tal-EU ETS sal-aħħar taċ-ċiklu ta’ konformità tal-2020</w:t>
                      </w:r>
                      <w:r>
                        <w:rPr>
                          <w:rStyle w:val="FootnoteReference"/>
                          <w:rFonts w:ascii="Times New Roman" w:hAnsi="Times New Roman"/>
                          <w:sz w:val="24"/>
                          <w:szCs w:val="24"/>
                        </w:rPr>
                        <w:t>*</w:t>
                      </w:r>
                      <w:r>
                        <w:rPr>
                          <w:rFonts w:ascii="Times New Roman" w:hAnsi="Times New Roman"/>
                          <w:sz w:val="24"/>
                          <w:szCs w:val="24"/>
                        </w:rPr>
                        <w:t>, soġġett għal restrizzjonijiet kwalitattivi u kwantitattivi. Dawn il-krediti huma strumenti finanzjarji li jirrappreżentaw tunnellata ta’ CO</w:t>
                      </w:r>
                      <w:r>
                        <w:rPr>
                          <w:rFonts w:ascii="Times New Roman" w:hAnsi="Times New Roman"/>
                          <w:sz w:val="24"/>
                          <w:szCs w:val="24"/>
                          <w:vertAlign w:val="subscript"/>
                        </w:rPr>
                        <w:t>2</w:t>
                      </w:r>
                      <w:r>
                        <w:rPr>
                          <w:rFonts w:ascii="Times New Roman" w:hAnsi="Times New Roman"/>
                          <w:sz w:val="24"/>
                          <w:szCs w:val="24"/>
                        </w:rPr>
                        <w:t xml:space="preserve"> imneħħija jew imnaqqsa mill-atmosfera bħala riżultat ta’ proġett għat-tnaqqis tal-emissjonijiet. Il-krediti ma jiġux ċeduti direttament, iżda minflok jistgħu jiġu skambjati għal kwoti fi kwalunkwe żmien matul is-sena kalendarja.</w:t>
                      </w:r>
                      <w:r>
                        <w:t xml:space="preserve"> </w:t>
                      </w:r>
                    </w:p>
                    <w:p>
                      <w:pPr>
                        <w:jc w:val="both"/>
                        <w:rPr>
                          <w:rFonts w:ascii="Times New Roman" w:hAnsi="Times New Roman"/>
                          <w:sz w:val="24"/>
                          <w:szCs w:val="24"/>
                        </w:rPr>
                      </w:pPr>
                      <w:r>
                        <w:rPr>
                          <w:rFonts w:ascii="Times New Roman" w:hAnsi="Times New Roman"/>
                          <w:sz w:val="24"/>
                          <w:szCs w:val="24"/>
                        </w:rPr>
                        <w:t>Skont id-dispożizzjonijiet tad-Direttiva dwar l-EU ETS, il-krediti internazzjonali ma jibqgħux jintużaw għall-konformità mal-EU ETS fl-2021-2030.</w:t>
                      </w:r>
                    </w:p>
                    <w:p>
                      <w:pPr>
                        <w:jc w:val="both"/>
                        <w:rPr>
                          <w:rFonts w:ascii="Times New Roman" w:hAnsi="Times New Roman"/>
                          <w:sz w:val="18"/>
                          <w:szCs w:val="18"/>
                        </w:rPr>
                      </w:pPr>
                      <w:r>
                        <w:rPr>
                          <w:rFonts w:ascii="Times New Roman" w:hAnsi="Times New Roman"/>
                          <w:sz w:val="18"/>
                          <w:szCs w:val="18"/>
                        </w:rPr>
                        <w:t xml:space="preserve">* Proġetti CDM u JI jiġġeneraw krediti tal-karbonju ta’ Kjoto: Tnaqqis Iċċertifikat ta’ Emissjonijiet (CERs) u Unitajiet ta’ Tnaqqis tal-Emissjonijiet (ERUs) rispettivament. </w:t>
                      </w:r>
                    </w:p>
                  </w:txbxContent>
                </v:textbox>
                <w10:anchorlock/>
              </v:shape>
            </w:pict>
          </mc:Fallback>
        </mc:AlternateContent>
      </w:r>
    </w:p>
    <w:p>
      <w:pPr>
        <w:jc w:val="both"/>
        <w:rPr>
          <w:rFonts w:ascii="Times New Roman" w:hAnsi="Times New Roman"/>
          <w:noProof/>
          <w:sz w:val="24"/>
          <w:szCs w:val="24"/>
        </w:rPr>
      </w:pPr>
      <w:r>
        <w:rPr>
          <w:rFonts w:ascii="Times New Roman" w:hAnsi="Times New Roman"/>
          <w:noProof/>
          <w:sz w:val="24"/>
          <w:szCs w:val="24"/>
        </w:rPr>
        <w:t xml:space="preserve">Għalkemm il-kwantità eżatta ta’ intitolamenti ta’ krediti internazzjonali matul il-fażijiet 2 u 3 (2008-2020) tiddependi parzjalment mill-kwantità ta’ emissjonijiet futuri vverifikati, l-analisti tas-suq jistmaw li din se tammonta għal madwar 1,6 biljun krediti. Mill-aħħar ta’ Ġunju 2020, l-għadd totali ta’ krediti internazzjonali użati jew skambjati jammonta għal 1,54 biljun, jiġifieri aktar minn 96 % tal-istima għall-massimu awtorizzat. Fl-2019 biss, ġew skambjati madwar 17,3 miljun unità. </w:t>
      </w:r>
    </w:p>
    <w:p>
      <w:pPr>
        <w:spacing w:after="0"/>
        <w:jc w:val="both"/>
        <w:rPr>
          <w:rFonts w:ascii="Times New Roman" w:hAnsi="Times New Roman"/>
          <w:noProof/>
          <w:sz w:val="24"/>
          <w:szCs w:val="24"/>
        </w:rPr>
      </w:pPr>
      <w:r>
        <w:rPr>
          <w:rFonts w:ascii="Times New Roman" w:hAnsi="Times New Roman"/>
          <w:noProof/>
          <w:sz w:val="24"/>
          <w:szCs w:val="24"/>
        </w:rPr>
        <w:t>Għal ħarsa ġenerali sħiħa tal-iskambju internazzjonali tal-krediti, ara l-Appendiċi 3 tal-Anness.</w:t>
      </w:r>
      <w:bookmarkStart w:id="42" w:name="_Toc490850432"/>
      <w:bookmarkStart w:id="43" w:name="_Toc519009683"/>
    </w:p>
    <w:p>
      <w:pPr>
        <w:spacing w:after="0"/>
        <w:jc w:val="both"/>
        <w:rPr>
          <w:rFonts w:ascii="Times New Roman" w:hAnsi="Times New Roman"/>
          <w:noProof/>
          <w:sz w:val="24"/>
          <w:szCs w:val="24"/>
        </w:rPr>
      </w:pPr>
    </w:p>
    <w:p>
      <w:pPr>
        <w:spacing w:after="0"/>
        <w:jc w:val="both"/>
        <w:rPr>
          <w:rFonts w:ascii="Times New Roman" w:hAnsi="Times New Roman"/>
          <w:noProof/>
          <w:sz w:val="24"/>
          <w:szCs w:val="24"/>
        </w:rPr>
      </w:pPr>
    </w:p>
    <w:p>
      <w:pPr>
        <w:pStyle w:val="Heading2"/>
        <w:rPr>
          <w:i w:val="0"/>
          <w:noProof/>
        </w:rPr>
      </w:pPr>
      <w:bookmarkStart w:id="44" w:name="_Toc56000804"/>
      <w:r>
        <w:rPr>
          <w:i w:val="0"/>
          <w:noProof/>
        </w:rPr>
        <w:t>3.2. Domanda: kwoti li nħarġu miċ-ċirkolazzjoni</w:t>
      </w:r>
      <w:bookmarkEnd w:id="42"/>
      <w:bookmarkEnd w:id="43"/>
      <w:bookmarkEnd w:id="44"/>
    </w:p>
    <w:p>
      <w:pPr>
        <w:jc w:val="both"/>
        <w:rPr>
          <w:rFonts w:ascii="Times New Roman" w:hAnsi="Times New Roman"/>
          <w:noProof/>
          <w:sz w:val="24"/>
          <w:szCs w:val="24"/>
        </w:rPr>
      </w:pPr>
      <w:r>
        <w:rPr>
          <w:rFonts w:ascii="Times New Roman" w:hAnsi="Times New Roman"/>
          <w:noProof/>
          <w:sz w:val="24"/>
          <w:szCs w:val="24"/>
        </w:rPr>
        <w:t xml:space="preserve">Fl-2019, l-emissjonijiet mill-installazzjonijiet stazzjonarji li kienu qed jieħdu sehem fl-EU ETS naqsu sew b’9,1 % meta mqabbla mal-2018, abbażi tal-informazzjoni rreġistrata fir-Reġistru tal-Unjoni. Kif turi t-Tabella 7, it-tnaqqis seħħ l-aktar minħabba l-produzzjoni tal-elettriku u tas-sħana, fejn l-emissjonijiet naqsu b’madwar 15 % meta mqabbla mal-2018, u dan jirrifletti d-dekarbonizzazzjoni minħabba li l-faħam qed jiġi sostitwit bl-elettriku minn sorsi rinnovabbli u minħabba l-produzzjoni tal-enerġija li taħdem bil-gass. L-emissjonijiet mill-industrija naqsu bi kważi 2 %, u dan jirriżulta fl-akbar tnaqqis tagħhom fil-fażi 3 s’issa. B’mod ġenerali, mill-bidu tal-fażi 3 fl-2013, l-emissjonijiet tal-ETS minn installazzjonijiet stazzjonarji naqsu bi 19,8 %.  </w:t>
      </w:r>
    </w:p>
    <w:p>
      <w:pPr>
        <w:pStyle w:val="Caption"/>
        <w:keepNext/>
        <w:rPr>
          <w:rFonts w:ascii="Times New Roman" w:hAnsi="Times New Roman"/>
          <w:noProof/>
          <w:color w:val="000000"/>
          <w:sz w:val="22"/>
          <w:szCs w:val="22"/>
        </w:rPr>
      </w:pPr>
      <w:r>
        <w:rPr>
          <w:rFonts w:ascii="Times New Roman" w:hAnsi="Times New Roman"/>
          <w:noProof/>
          <w:sz w:val="22"/>
          <w:szCs w:val="22"/>
        </w:rPr>
        <w:t>Tabella 7: Emissjonijiet minn installazzjonijiet stazzjonarji vverifikati (f’miljun tunnellata ta’ ekwivalenti ta’ CO</w:t>
      </w:r>
      <w:r>
        <w:rPr>
          <w:rFonts w:ascii="Times New Roman" w:hAnsi="Times New Roman"/>
          <w:noProof/>
          <w:sz w:val="22"/>
          <w:szCs w:val="22"/>
          <w:vertAlign w:val="subscript"/>
        </w:rPr>
        <w:t>2</w:t>
      </w:r>
      <w:r>
        <w:rPr>
          <w:rFonts w:ascii="Times New Roman" w:hAnsi="Times New Roman"/>
          <w:noProof/>
          <w:sz w:val="22"/>
          <w:szCs w:val="22"/>
        </w:rPr>
        <w:t>)</w:t>
      </w:r>
      <w:r>
        <w:rPr>
          <w:rStyle w:val="FootnoteReference"/>
          <w:rFonts w:ascii="Times New Roman" w:hAnsi="Times New Roman"/>
          <w:noProof/>
          <w:color w:val="000000"/>
          <w:sz w:val="22"/>
          <w:szCs w:val="22"/>
          <w:lang w:eastAsia="en-GB"/>
        </w:rPr>
        <w:footnoteReference w:id="60"/>
      </w:r>
    </w:p>
    <w:tbl>
      <w:tblPr>
        <w:tblW w:w="5470" w:type="pct"/>
        <w:tblInd w:w="108" w:type="dxa"/>
        <w:tblLayout w:type="fixed"/>
        <w:tblCellMar>
          <w:left w:w="0" w:type="dxa"/>
          <w:right w:w="0" w:type="dxa"/>
        </w:tblCellMar>
        <w:tblLook w:val="04A0" w:firstRow="1" w:lastRow="0" w:firstColumn="1" w:lastColumn="0" w:noHBand="0" w:noVBand="1"/>
      </w:tblPr>
      <w:tblGrid>
        <w:gridCol w:w="2077"/>
        <w:gridCol w:w="894"/>
        <w:gridCol w:w="881"/>
        <w:gridCol w:w="883"/>
        <w:gridCol w:w="883"/>
        <w:gridCol w:w="881"/>
        <w:gridCol w:w="883"/>
        <w:gridCol w:w="879"/>
        <w:gridCol w:w="875"/>
        <w:gridCol w:w="873"/>
      </w:tblGrid>
      <w:tr>
        <w:trPr>
          <w:trHeight w:val="474"/>
        </w:trPr>
        <w:tc>
          <w:tcPr>
            <w:tcW w:w="1038"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b/>
                <w:bCs/>
                <w:noProof/>
                <w:color w:val="000000"/>
                <w:sz w:val="20"/>
                <w:szCs w:val="20"/>
              </w:rPr>
            </w:pPr>
            <w:r>
              <w:rPr>
                <w:rFonts w:ascii="Times New Roman" w:hAnsi="Times New Roman"/>
                <w:b/>
                <w:bCs/>
                <w:noProof/>
                <w:color w:val="000000"/>
                <w:sz w:val="20"/>
                <w:szCs w:val="20"/>
              </w:rPr>
              <w:t>Sena</w:t>
            </w:r>
          </w:p>
        </w:tc>
        <w:tc>
          <w:tcPr>
            <w:tcW w:w="447" w:type="pct"/>
            <w:tcBorders>
              <w:top w:val="double" w:sz="4" w:space="0" w:color="auto"/>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b/>
                <w:noProof/>
                <w:sz w:val="20"/>
                <w:szCs w:val="20"/>
              </w:rPr>
            </w:pPr>
            <w:r>
              <w:rPr>
                <w:rFonts w:ascii="Times New Roman" w:hAnsi="Times New Roman"/>
                <w:b/>
                <w:noProof/>
                <w:sz w:val="20"/>
                <w:szCs w:val="20"/>
              </w:rPr>
              <w:t>2011</w:t>
            </w:r>
          </w:p>
        </w:tc>
        <w:tc>
          <w:tcPr>
            <w:tcW w:w="440" w:type="pct"/>
            <w:tcBorders>
              <w:top w:val="double" w:sz="4" w:space="0" w:color="auto"/>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b/>
                <w:noProof/>
                <w:sz w:val="20"/>
                <w:szCs w:val="20"/>
              </w:rPr>
            </w:pPr>
            <w:r>
              <w:rPr>
                <w:rFonts w:ascii="Times New Roman" w:hAnsi="Times New Roman"/>
                <w:b/>
                <w:noProof/>
                <w:sz w:val="20"/>
                <w:szCs w:val="20"/>
              </w:rPr>
              <w:t>2012</w:t>
            </w:r>
          </w:p>
        </w:tc>
        <w:tc>
          <w:tcPr>
            <w:tcW w:w="441" w:type="pct"/>
            <w:tcBorders>
              <w:top w:val="double" w:sz="4" w:space="0" w:color="auto"/>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b/>
                <w:noProof/>
                <w:sz w:val="20"/>
                <w:szCs w:val="20"/>
              </w:rPr>
            </w:pPr>
            <w:r>
              <w:rPr>
                <w:rFonts w:ascii="Times New Roman" w:hAnsi="Times New Roman"/>
                <w:b/>
                <w:noProof/>
                <w:sz w:val="20"/>
                <w:szCs w:val="20"/>
              </w:rPr>
              <w:t>2013</w:t>
            </w:r>
          </w:p>
        </w:tc>
        <w:tc>
          <w:tcPr>
            <w:tcW w:w="441" w:type="pct"/>
            <w:tcBorders>
              <w:top w:val="double" w:sz="4" w:space="0" w:color="auto"/>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b/>
                <w:noProof/>
                <w:sz w:val="20"/>
                <w:szCs w:val="20"/>
              </w:rPr>
            </w:pPr>
            <w:r>
              <w:rPr>
                <w:rFonts w:ascii="Times New Roman" w:hAnsi="Times New Roman"/>
                <w:b/>
                <w:noProof/>
                <w:sz w:val="20"/>
                <w:szCs w:val="20"/>
              </w:rPr>
              <w:t>2014</w:t>
            </w:r>
          </w:p>
        </w:tc>
        <w:tc>
          <w:tcPr>
            <w:tcW w:w="440" w:type="pct"/>
            <w:tcBorders>
              <w:top w:val="double" w:sz="4" w:space="0" w:color="auto"/>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b/>
                <w:noProof/>
                <w:sz w:val="20"/>
                <w:szCs w:val="20"/>
              </w:rPr>
            </w:pPr>
            <w:r>
              <w:rPr>
                <w:rFonts w:ascii="Times New Roman" w:hAnsi="Times New Roman"/>
                <w:b/>
                <w:noProof/>
                <w:sz w:val="20"/>
                <w:szCs w:val="20"/>
              </w:rPr>
              <w:t>2015</w:t>
            </w:r>
          </w:p>
        </w:tc>
        <w:tc>
          <w:tcPr>
            <w:tcW w:w="441" w:type="pct"/>
            <w:tcBorders>
              <w:top w:val="double" w:sz="4" w:space="0" w:color="auto"/>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b/>
                <w:noProof/>
                <w:sz w:val="20"/>
                <w:szCs w:val="20"/>
              </w:rPr>
            </w:pPr>
            <w:r>
              <w:rPr>
                <w:rFonts w:ascii="Times New Roman" w:hAnsi="Times New Roman"/>
                <w:b/>
                <w:noProof/>
                <w:sz w:val="20"/>
                <w:szCs w:val="20"/>
              </w:rPr>
              <w:t>2016</w:t>
            </w:r>
          </w:p>
        </w:tc>
        <w:tc>
          <w:tcPr>
            <w:tcW w:w="439" w:type="pct"/>
            <w:tcBorders>
              <w:top w:val="double" w:sz="4" w:space="0" w:color="auto"/>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b/>
                <w:noProof/>
                <w:sz w:val="20"/>
                <w:szCs w:val="20"/>
              </w:rPr>
            </w:pPr>
            <w:r>
              <w:rPr>
                <w:rFonts w:ascii="Times New Roman" w:hAnsi="Times New Roman"/>
                <w:b/>
                <w:noProof/>
                <w:sz w:val="20"/>
                <w:szCs w:val="20"/>
              </w:rPr>
              <w:t>2017</w:t>
            </w:r>
          </w:p>
        </w:tc>
        <w:tc>
          <w:tcPr>
            <w:tcW w:w="437" w:type="pct"/>
            <w:tcBorders>
              <w:top w:val="double" w:sz="4" w:space="0" w:color="auto"/>
              <w:left w:val="nil"/>
              <w:bottom w:val="double" w:sz="4" w:space="0" w:color="auto"/>
              <w:right w:val="double" w:sz="4" w:space="0" w:color="auto"/>
            </w:tcBorders>
            <w:vAlign w:val="center"/>
          </w:tcPr>
          <w:p>
            <w:pPr>
              <w:jc w:val="center"/>
              <w:rPr>
                <w:rFonts w:ascii="Times New Roman" w:hAnsi="Times New Roman"/>
                <w:b/>
                <w:noProof/>
                <w:sz w:val="20"/>
                <w:szCs w:val="20"/>
              </w:rPr>
            </w:pPr>
            <w:r>
              <w:rPr>
                <w:rFonts w:ascii="Times New Roman" w:hAnsi="Times New Roman"/>
                <w:b/>
                <w:noProof/>
                <w:sz w:val="20"/>
                <w:szCs w:val="20"/>
              </w:rPr>
              <w:t>2018</w:t>
            </w:r>
          </w:p>
        </w:tc>
        <w:tc>
          <w:tcPr>
            <w:tcW w:w="436" w:type="pct"/>
            <w:tcBorders>
              <w:top w:val="double" w:sz="4" w:space="0" w:color="auto"/>
              <w:left w:val="nil"/>
              <w:bottom w:val="double" w:sz="4" w:space="0" w:color="auto"/>
              <w:right w:val="double" w:sz="4" w:space="0" w:color="auto"/>
            </w:tcBorders>
            <w:vAlign w:val="center"/>
          </w:tcPr>
          <w:p>
            <w:pPr>
              <w:jc w:val="center"/>
              <w:rPr>
                <w:rFonts w:ascii="Times New Roman" w:hAnsi="Times New Roman"/>
                <w:b/>
                <w:noProof/>
                <w:sz w:val="20"/>
                <w:szCs w:val="20"/>
              </w:rPr>
            </w:pPr>
            <w:r>
              <w:rPr>
                <w:rFonts w:ascii="Times New Roman" w:hAnsi="Times New Roman"/>
                <w:b/>
                <w:noProof/>
                <w:sz w:val="20"/>
                <w:szCs w:val="20"/>
              </w:rPr>
              <w:t>2019</w:t>
            </w:r>
          </w:p>
        </w:tc>
      </w:tr>
      <w:tr>
        <w:trPr>
          <w:trHeight w:val="474"/>
        </w:trPr>
        <w:tc>
          <w:tcPr>
            <w:tcW w:w="1038" w:type="pct"/>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FF0000"/>
                <w:sz w:val="20"/>
                <w:szCs w:val="20"/>
              </w:rPr>
            </w:pPr>
            <w:r>
              <w:rPr>
                <w:rFonts w:ascii="Times New Roman" w:hAnsi="Times New Roman"/>
                <w:b/>
                <w:bCs/>
                <w:noProof/>
                <w:color w:val="000000"/>
                <w:sz w:val="20"/>
                <w:szCs w:val="20"/>
              </w:rPr>
              <w:t>Emissjonijiet totali vverifikati</w:t>
            </w:r>
          </w:p>
        </w:tc>
        <w:tc>
          <w:tcPr>
            <w:tcW w:w="447"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sz w:val="20"/>
                <w:szCs w:val="20"/>
              </w:rPr>
            </w:pPr>
            <w:r>
              <w:rPr>
                <w:rFonts w:ascii="Times New Roman" w:hAnsi="Times New Roman"/>
                <w:noProof/>
                <w:sz w:val="20"/>
                <w:szCs w:val="20"/>
              </w:rPr>
              <w:t>1 904</w:t>
            </w: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sz w:val="20"/>
                <w:szCs w:val="20"/>
              </w:rPr>
            </w:pPr>
            <w:r>
              <w:rPr>
                <w:rFonts w:ascii="Times New Roman" w:hAnsi="Times New Roman"/>
                <w:noProof/>
                <w:sz w:val="20"/>
                <w:szCs w:val="20"/>
              </w:rPr>
              <w:t>1 867</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sz w:val="20"/>
                <w:szCs w:val="20"/>
              </w:rPr>
            </w:pPr>
            <w:r>
              <w:rPr>
                <w:rFonts w:ascii="Times New Roman" w:hAnsi="Times New Roman"/>
                <w:noProof/>
                <w:sz w:val="20"/>
                <w:szCs w:val="20"/>
              </w:rPr>
              <w:t>1 908</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sz w:val="20"/>
                <w:szCs w:val="20"/>
              </w:rPr>
            </w:pPr>
            <w:r>
              <w:rPr>
                <w:rFonts w:ascii="Times New Roman" w:hAnsi="Times New Roman"/>
                <w:noProof/>
                <w:sz w:val="20"/>
                <w:szCs w:val="20"/>
              </w:rPr>
              <w:t>1 814</w:t>
            </w: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sz w:val="20"/>
                <w:szCs w:val="20"/>
              </w:rPr>
            </w:pPr>
            <w:r>
              <w:rPr>
                <w:rFonts w:ascii="Times New Roman" w:hAnsi="Times New Roman"/>
                <w:noProof/>
                <w:sz w:val="20"/>
                <w:szCs w:val="20"/>
              </w:rPr>
              <w:t>1 803</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sz w:val="20"/>
                <w:szCs w:val="20"/>
              </w:rPr>
            </w:pPr>
            <w:r>
              <w:rPr>
                <w:rFonts w:ascii="Times New Roman" w:hAnsi="Times New Roman"/>
                <w:noProof/>
                <w:sz w:val="20"/>
                <w:szCs w:val="20"/>
              </w:rPr>
              <w:t>1 750</w:t>
            </w:r>
          </w:p>
        </w:tc>
        <w:tc>
          <w:tcPr>
            <w:tcW w:w="439"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sz w:val="20"/>
                <w:szCs w:val="20"/>
              </w:rPr>
            </w:pPr>
            <w:r>
              <w:rPr>
                <w:rFonts w:ascii="Times New Roman" w:hAnsi="Times New Roman"/>
                <w:noProof/>
                <w:sz w:val="20"/>
                <w:szCs w:val="20"/>
              </w:rPr>
              <w:t>1 755</w:t>
            </w:r>
          </w:p>
        </w:tc>
        <w:tc>
          <w:tcPr>
            <w:tcW w:w="437" w:type="pct"/>
            <w:tcBorders>
              <w:top w:val="nil"/>
              <w:left w:val="nil"/>
              <w:bottom w:val="double" w:sz="4" w:space="0" w:color="auto"/>
              <w:right w:val="double" w:sz="4" w:space="0" w:color="auto"/>
            </w:tcBorders>
            <w:vAlign w:val="center"/>
          </w:tcPr>
          <w:p>
            <w:pPr>
              <w:jc w:val="center"/>
              <w:rPr>
                <w:rFonts w:ascii="Times New Roman" w:hAnsi="Times New Roman"/>
                <w:noProof/>
                <w:sz w:val="20"/>
                <w:szCs w:val="20"/>
              </w:rPr>
            </w:pPr>
            <w:r>
              <w:rPr>
                <w:rFonts w:ascii="Times New Roman" w:hAnsi="Times New Roman"/>
                <w:noProof/>
                <w:sz w:val="20"/>
                <w:szCs w:val="20"/>
              </w:rPr>
              <w:t>1 682</w:t>
            </w:r>
          </w:p>
        </w:tc>
        <w:tc>
          <w:tcPr>
            <w:tcW w:w="436" w:type="pct"/>
            <w:tcBorders>
              <w:top w:val="nil"/>
              <w:left w:val="nil"/>
              <w:bottom w:val="double" w:sz="4" w:space="0" w:color="auto"/>
              <w:right w:val="double" w:sz="4" w:space="0" w:color="auto"/>
            </w:tcBorders>
            <w:vAlign w:val="center"/>
          </w:tcPr>
          <w:p>
            <w:pPr>
              <w:jc w:val="center"/>
              <w:rPr>
                <w:rFonts w:ascii="Times New Roman" w:hAnsi="Times New Roman"/>
                <w:noProof/>
                <w:sz w:val="20"/>
                <w:szCs w:val="20"/>
              </w:rPr>
            </w:pPr>
            <w:r>
              <w:rPr>
                <w:rFonts w:ascii="Times New Roman" w:hAnsi="Times New Roman"/>
                <w:noProof/>
                <w:sz w:val="20"/>
                <w:szCs w:val="20"/>
              </w:rPr>
              <w:t>1 530</w:t>
            </w:r>
          </w:p>
        </w:tc>
      </w:tr>
      <w:tr>
        <w:tc>
          <w:tcPr>
            <w:tcW w:w="1038" w:type="pct"/>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color w:val="000000"/>
                <w:sz w:val="20"/>
                <w:szCs w:val="20"/>
              </w:rPr>
            </w:pPr>
            <w:r>
              <w:rPr>
                <w:rFonts w:ascii="Times New Roman" w:hAnsi="Times New Roman"/>
                <w:b/>
                <w:bCs/>
                <w:noProof/>
                <w:color w:val="000000"/>
                <w:sz w:val="20"/>
                <w:szCs w:val="20"/>
              </w:rPr>
              <w:t>Bidla mis-sena</w:t>
            </w:r>
          </w:p>
          <w:p>
            <w:pPr>
              <w:jc w:val="center"/>
              <w:rPr>
                <w:rFonts w:ascii="Times New Roman" w:hAnsi="Times New Roman"/>
                <w:b/>
                <w:bCs/>
                <w:noProof/>
                <w:color w:val="000000"/>
                <w:sz w:val="20"/>
                <w:szCs w:val="20"/>
              </w:rPr>
            </w:pPr>
            <w:r>
              <w:rPr>
                <w:rFonts w:ascii="Times New Roman" w:hAnsi="Times New Roman"/>
                <w:b/>
                <w:bCs/>
                <w:noProof/>
                <w:color w:val="000000"/>
                <w:sz w:val="20"/>
                <w:szCs w:val="20"/>
              </w:rPr>
              <w:t>x-1</w:t>
            </w:r>
          </w:p>
        </w:tc>
        <w:tc>
          <w:tcPr>
            <w:tcW w:w="447"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FF0000"/>
                <w:sz w:val="20"/>
                <w:szCs w:val="20"/>
              </w:rPr>
            </w:pP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FF0000"/>
                <w:sz w:val="20"/>
                <w:szCs w:val="20"/>
              </w:rPr>
            </w:pPr>
            <w:r>
              <w:rPr>
                <w:rFonts w:ascii="Times New Roman" w:hAnsi="Times New Roman"/>
                <w:noProof/>
                <w:sz w:val="20"/>
                <w:szCs w:val="20"/>
              </w:rPr>
              <w:t>-2,0%</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FF0000"/>
                <w:sz w:val="20"/>
                <w:szCs w:val="20"/>
              </w:rPr>
            </w:pPr>
            <w:r>
              <w:rPr>
                <w:rFonts w:ascii="Times New Roman" w:hAnsi="Times New Roman"/>
                <w:noProof/>
                <w:sz w:val="20"/>
                <w:szCs w:val="20"/>
              </w:rPr>
              <w:t>2,2%</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sz w:val="20"/>
                <w:szCs w:val="20"/>
              </w:rPr>
              <w:t>-4,9%</w:t>
            </w: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sz w:val="20"/>
                <w:szCs w:val="20"/>
              </w:rPr>
              <w:t>-0,6%</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sz w:val="20"/>
                <w:szCs w:val="20"/>
              </w:rPr>
              <w:t>-2,9%</w:t>
            </w:r>
          </w:p>
        </w:tc>
        <w:tc>
          <w:tcPr>
            <w:tcW w:w="439"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sz w:val="20"/>
                <w:szCs w:val="20"/>
              </w:rPr>
              <w:t>0,2%</w:t>
            </w:r>
          </w:p>
        </w:tc>
        <w:tc>
          <w:tcPr>
            <w:tcW w:w="43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sz w:val="20"/>
                <w:szCs w:val="20"/>
              </w:rPr>
              <w:t>-4,1%</w:t>
            </w:r>
          </w:p>
        </w:tc>
        <w:tc>
          <w:tcPr>
            <w:tcW w:w="436"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sz w:val="20"/>
                <w:szCs w:val="20"/>
              </w:rPr>
              <w:t>-9,1%</w:t>
            </w:r>
          </w:p>
        </w:tc>
      </w:tr>
      <w:tr>
        <w:trPr>
          <w:trHeight w:val="558"/>
        </w:trPr>
        <w:tc>
          <w:tcPr>
            <w:tcW w:w="1038" w:type="pct"/>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color w:val="000000"/>
                <w:sz w:val="20"/>
                <w:szCs w:val="20"/>
              </w:rPr>
            </w:pPr>
            <w:r>
              <w:rPr>
                <w:rFonts w:ascii="Times New Roman" w:hAnsi="Times New Roman"/>
                <w:b/>
                <w:bCs/>
                <w:noProof/>
                <w:color w:val="000000"/>
                <w:sz w:val="20"/>
                <w:szCs w:val="20"/>
              </w:rPr>
              <w:t>L-emissjonijiet mill-produzzjoni tal-elettriku u s-sħana ivverifikati</w:t>
            </w:r>
          </w:p>
        </w:tc>
        <w:tc>
          <w:tcPr>
            <w:tcW w:w="447"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sz w:val="20"/>
                <w:szCs w:val="20"/>
              </w:rPr>
              <w:t>1 206</w:t>
            </w: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sz w:val="20"/>
                <w:szCs w:val="20"/>
              </w:rPr>
              <w:t>1 201</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sz w:val="20"/>
                <w:szCs w:val="20"/>
              </w:rPr>
              <w:t>1 138</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sz w:val="20"/>
                <w:szCs w:val="20"/>
              </w:rPr>
              <w:t>1 049</w:t>
            </w: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sz w:val="20"/>
                <w:szCs w:val="20"/>
              </w:rPr>
              <w:t>1 043</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sz w:val="20"/>
                <w:szCs w:val="20"/>
              </w:rPr>
              <w:t>1 001</w:t>
            </w:r>
          </w:p>
        </w:tc>
        <w:tc>
          <w:tcPr>
            <w:tcW w:w="439"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sz w:val="20"/>
                <w:szCs w:val="20"/>
              </w:rPr>
              <w:t>996</w:t>
            </w:r>
          </w:p>
        </w:tc>
        <w:tc>
          <w:tcPr>
            <w:tcW w:w="43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sz w:val="20"/>
                <w:szCs w:val="20"/>
              </w:rPr>
              <w:t>930</w:t>
            </w:r>
          </w:p>
        </w:tc>
        <w:tc>
          <w:tcPr>
            <w:tcW w:w="436"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sz w:val="20"/>
                <w:szCs w:val="20"/>
              </w:rPr>
              <w:t>792</w:t>
            </w:r>
          </w:p>
        </w:tc>
      </w:tr>
      <w:tr>
        <w:tc>
          <w:tcPr>
            <w:tcW w:w="1038" w:type="pct"/>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color w:val="000000"/>
                <w:sz w:val="20"/>
                <w:szCs w:val="20"/>
              </w:rPr>
            </w:pPr>
            <w:r>
              <w:rPr>
                <w:rFonts w:ascii="Times New Roman" w:hAnsi="Times New Roman"/>
                <w:b/>
                <w:bCs/>
                <w:noProof/>
                <w:color w:val="000000"/>
                <w:sz w:val="20"/>
                <w:szCs w:val="20"/>
              </w:rPr>
              <w:t>Bidla mis-sena</w:t>
            </w:r>
          </w:p>
          <w:p>
            <w:pPr>
              <w:jc w:val="center"/>
              <w:rPr>
                <w:rFonts w:ascii="Times New Roman" w:hAnsi="Times New Roman"/>
                <w:b/>
                <w:bCs/>
                <w:noProof/>
                <w:color w:val="000000"/>
                <w:sz w:val="20"/>
                <w:szCs w:val="20"/>
              </w:rPr>
            </w:pPr>
            <w:r>
              <w:rPr>
                <w:rFonts w:ascii="Times New Roman" w:hAnsi="Times New Roman"/>
                <w:b/>
                <w:bCs/>
                <w:noProof/>
                <w:color w:val="000000"/>
                <w:sz w:val="20"/>
                <w:szCs w:val="20"/>
              </w:rPr>
              <w:t>x-1</w:t>
            </w:r>
          </w:p>
        </w:tc>
        <w:tc>
          <w:tcPr>
            <w:tcW w:w="447"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000000"/>
                <w:sz w:val="20"/>
                <w:szCs w:val="20"/>
                <w:lang w:eastAsia="en-GB"/>
              </w:rPr>
            </w:pP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-0,5%</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-5,2%</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-7,8%</w:t>
            </w: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-0,5%</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-4,1%</w:t>
            </w:r>
          </w:p>
        </w:tc>
        <w:tc>
          <w:tcPr>
            <w:tcW w:w="439"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-0,5%</w:t>
            </w:r>
          </w:p>
        </w:tc>
        <w:tc>
          <w:tcPr>
            <w:tcW w:w="437" w:type="pct"/>
            <w:tcBorders>
              <w:top w:val="nil"/>
              <w:left w:val="nil"/>
              <w:bottom w:val="double" w:sz="4" w:space="0" w:color="auto"/>
              <w:right w:val="double" w:sz="4" w:space="0" w:color="auto"/>
            </w:tcBorders>
            <w:vAlign w:val="center"/>
          </w:tcPr>
          <w:p>
            <w:pPr>
              <w:jc w:val="center"/>
              <w:rPr>
                <w:rFonts w:ascii="Times New Roman" w:hAnsi="Times New Roman"/>
                <w:noProof/>
                <w:color w:val="000000" w:themeColor="text1"/>
                <w:sz w:val="20"/>
                <w:szCs w:val="20"/>
              </w:rPr>
            </w:pPr>
            <w:r>
              <w:rPr>
                <w:rFonts w:ascii="Times New Roman" w:hAnsi="Times New Roman"/>
                <w:noProof/>
                <w:sz w:val="20"/>
                <w:szCs w:val="20"/>
              </w:rPr>
              <w:t>-6,6%</w:t>
            </w:r>
          </w:p>
        </w:tc>
        <w:tc>
          <w:tcPr>
            <w:tcW w:w="436" w:type="pct"/>
            <w:tcBorders>
              <w:top w:val="nil"/>
              <w:left w:val="nil"/>
              <w:bottom w:val="double" w:sz="4" w:space="0" w:color="auto"/>
              <w:right w:val="double" w:sz="4" w:space="0" w:color="auto"/>
            </w:tcBorders>
            <w:vAlign w:val="center"/>
          </w:tcPr>
          <w:p>
            <w:pPr>
              <w:jc w:val="center"/>
              <w:rPr>
                <w:rFonts w:ascii="Times New Roman" w:hAnsi="Times New Roman"/>
                <w:noProof/>
                <w:color w:val="000000" w:themeColor="text1"/>
                <w:sz w:val="20"/>
                <w:szCs w:val="20"/>
              </w:rPr>
            </w:pPr>
            <w:r>
              <w:rPr>
                <w:rFonts w:ascii="Times New Roman" w:hAnsi="Times New Roman"/>
                <w:noProof/>
                <w:sz w:val="20"/>
                <w:szCs w:val="20"/>
              </w:rPr>
              <w:t>-14,9%</w:t>
            </w:r>
          </w:p>
        </w:tc>
      </w:tr>
      <w:tr>
        <w:trPr>
          <w:trHeight w:val="582"/>
        </w:trPr>
        <w:tc>
          <w:tcPr>
            <w:tcW w:w="1038" w:type="pct"/>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color w:val="000000"/>
                <w:sz w:val="20"/>
                <w:szCs w:val="20"/>
              </w:rPr>
            </w:pPr>
            <w:r>
              <w:rPr>
                <w:rFonts w:ascii="Times New Roman" w:hAnsi="Times New Roman"/>
                <w:b/>
                <w:bCs/>
                <w:noProof/>
                <w:color w:val="000000"/>
                <w:sz w:val="20"/>
                <w:szCs w:val="20"/>
              </w:rPr>
              <w:t>Emissjonijiet mill-installazzjonijiet industrijali vverifikati</w:t>
            </w:r>
          </w:p>
        </w:tc>
        <w:tc>
          <w:tcPr>
            <w:tcW w:w="447"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sz w:val="20"/>
                <w:szCs w:val="20"/>
              </w:rPr>
              <w:t>698</w:t>
            </w: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666</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770</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765</w:t>
            </w: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760</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750</w:t>
            </w:r>
          </w:p>
        </w:tc>
        <w:tc>
          <w:tcPr>
            <w:tcW w:w="439"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759</w:t>
            </w:r>
          </w:p>
        </w:tc>
        <w:tc>
          <w:tcPr>
            <w:tcW w:w="437" w:type="pct"/>
            <w:tcBorders>
              <w:top w:val="nil"/>
              <w:left w:val="nil"/>
              <w:bottom w:val="double" w:sz="4" w:space="0" w:color="auto"/>
              <w:right w:val="double" w:sz="4" w:space="0" w:color="auto"/>
            </w:tcBorders>
            <w:vAlign w:val="center"/>
          </w:tcPr>
          <w:p>
            <w:pPr>
              <w:jc w:val="center"/>
              <w:rPr>
                <w:rFonts w:ascii="Times New Roman" w:hAnsi="Times New Roman"/>
                <w:noProof/>
                <w:color w:val="000000" w:themeColor="text1"/>
                <w:sz w:val="20"/>
                <w:szCs w:val="20"/>
              </w:rPr>
            </w:pPr>
            <w:r>
              <w:rPr>
                <w:rFonts w:ascii="Times New Roman" w:hAnsi="Times New Roman"/>
                <w:noProof/>
                <w:sz w:val="20"/>
                <w:szCs w:val="20"/>
              </w:rPr>
              <w:t>753</w:t>
            </w:r>
          </w:p>
        </w:tc>
        <w:tc>
          <w:tcPr>
            <w:tcW w:w="436" w:type="pct"/>
            <w:tcBorders>
              <w:top w:val="nil"/>
              <w:left w:val="nil"/>
              <w:bottom w:val="double" w:sz="4" w:space="0" w:color="auto"/>
              <w:right w:val="double" w:sz="4" w:space="0" w:color="auto"/>
            </w:tcBorders>
            <w:vAlign w:val="center"/>
          </w:tcPr>
          <w:p>
            <w:pPr>
              <w:jc w:val="center"/>
              <w:rPr>
                <w:rFonts w:ascii="Times New Roman" w:hAnsi="Times New Roman"/>
                <w:noProof/>
                <w:color w:val="000000" w:themeColor="text1"/>
                <w:sz w:val="20"/>
                <w:szCs w:val="20"/>
              </w:rPr>
            </w:pPr>
            <w:r>
              <w:rPr>
                <w:rFonts w:ascii="Times New Roman" w:hAnsi="Times New Roman"/>
                <w:noProof/>
                <w:sz w:val="20"/>
                <w:szCs w:val="20"/>
              </w:rPr>
              <w:t>738</w:t>
            </w:r>
          </w:p>
        </w:tc>
      </w:tr>
      <w:tr>
        <w:tc>
          <w:tcPr>
            <w:tcW w:w="1038" w:type="pct"/>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color w:val="000000"/>
                <w:sz w:val="20"/>
                <w:szCs w:val="20"/>
              </w:rPr>
            </w:pPr>
            <w:r>
              <w:rPr>
                <w:rFonts w:ascii="Times New Roman" w:hAnsi="Times New Roman"/>
                <w:b/>
                <w:bCs/>
                <w:noProof/>
                <w:color w:val="000000"/>
                <w:sz w:val="20"/>
                <w:szCs w:val="20"/>
              </w:rPr>
              <w:t>Bidla mis-sena</w:t>
            </w:r>
          </w:p>
          <w:p>
            <w:pPr>
              <w:jc w:val="center"/>
              <w:rPr>
                <w:rFonts w:ascii="Times New Roman" w:hAnsi="Times New Roman"/>
                <w:b/>
                <w:bCs/>
                <w:noProof/>
                <w:color w:val="000000"/>
                <w:sz w:val="20"/>
                <w:szCs w:val="20"/>
              </w:rPr>
            </w:pPr>
            <w:r>
              <w:rPr>
                <w:rFonts w:ascii="Times New Roman" w:hAnsi="Times New Roman"/>
                <w:b/>
                <w:bCs/>
                <w:noProof/>
                <w:color w:val="000000"/>
                <w:sz w:val="20"/>
                <w:szCs w:val="20"/>
              </w:rPr>
              <w:t>x-1</w:t>
            </w:r>
          </w:p>
        </w:tc>
        <w:tc>
          <w:tcPr>
            <w:tcW w:w="447"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000000"/>
                <w:sz w:val="20"/>
                <w:szCs w:val="20"/>
                <w:lang w:eastAsia="en-GB"/>
              </w:rPr>
            </w:pP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-4,6%</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15,6%</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-0,7%</w:t>
            </w: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-0,7%</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-1,3%</w:t>
            </w:r>
          </w:p>
        </w:tc>
        <w:tc>
          <w:tcPr>
            <w:tcW w:w="439"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themeColor="text1"/>
                <w:sz w:val="20"/>
                <w:szCs w:val="20"/>
              </w:rPr>
            </w:pPr>
            <w:r>
              <w:rPr>
                <w:rFonts w:ascii="Times New Roman" w:hAnsi="Times New Roman"/>
                <w:noProof/>
                <w:sz w:val="20"/>
                <w:szCs w:val="20"/>
              </w:rPr>
              <w:t>1,3%</w:t>
            </w:r>
          </w:p>
        </w:tc>
        <w:tc>
          <w:tcPr>
            <w:tcW w:w="437" w:type="pct"/>
            <w:tcBorders>
              <w:top w:val="nil"/>
              <w:left w:val="nil"/>
              <w:bottom w:val="double" w:sz="4" w:space="0" w:color="auto"/>
              <w:right w:val="double" w:sz="4" w:space="0" w:color="auto"/>
            </w:tcBorders>
            <w:vAlign w:val="center"/>
          </w:tcPr>
          <w:p>
            <w:pPr>
              <w:jc w:val="center"/>
              <w:rPr>
                <w:rFonts w:ascii="Times New Roman" w:hAnsi="Times New Roman"/>
                <w:noProof/>
                <w:color w:val="000000" w:themeColor="text1"/>
                <w:sz w:val="20"/>
                <w:szCs w:val="20"/>
              </w:rPr>
            </w:pPr>
            <w:r>
              <w:rPr>
                <w:rFonts w:ascii="Times New Roman" w:hAnsi="Times New Roman"/>
                <w:noProof/>
                <w:sz w:val="20"/>
                <w:szCs w:val="20"/>
              </w:rPr>
              <w:t>-0,8%</w:t>
            </w:r>
          </w:p>
        </w:tc>
        <w:tc>
          <w:tcPr>
            <w:tcW w:w="436" w:type="pct"/>
            <w:tcBorders>
              <w:top w:val="nil"/>
              <w:left w:val="nil"/>
              <w:bottom w:val="double" w:sz="4" w:space="0" w:color="auto"/>
              <w:right w:val="double" w:sz="4" w:space="0" w:color="auto"/>
            </w:tcBorders>
            <w:vAlign w:val="center"/>
          </w:tcPr>
          <w:p>
            <w:pPr>
              <w:jc w:val="center"/>
              <w:rPr>
                <w:rFonts w:ascii="Times New Roman" w:hAnsi="Times New Roman"/>
                <w:noProof/>
                <w:color w:val="000000" w:themeColor="text1"/>
                <w:sz w:val="20"/>
                <w:szCs w:val="20"/>
              </w:rPr>
            </w:pPr>
            <w:r>
              <w:rPr>
                <w:rFonts w:ascii="Times New Roman" w:hAnsi="Times New Roman"/>
                <w:noProof/>
                <w:sz w:val="20"/>
                <w:szCs w:val="20"/>
              </w:rPr>
              <w:t>-1,9%</w:t>
            </w:r>
          </w:p>
        </w:tc>
      </w:tr>
      <w:tr>
        <w:trPr>
          <w:trHeight w:val="774"/>
        </w:trPr>
        <w:tc>
          <w:tcPr>
            <w:tcW w:w="1038" w:type="pct"/>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color w:val="000000"/>
                <w:sz w:val="20"/>
                <w:szCs w:val="20"/>
              </w:rPr>
            </w:pPr>
            <w:r>
              <w:rPr>
                <w:noProof/>
              </w:rPr>
              <w:t xml:space="preserve"> </w:t>
            </w:r>
            <w:r>
              <w:rPr>
                <w:noProof/>
              </w:rPr>
              <w:br/>
            </w:r>
            <w:r>
              <w:rPr>
                <w:rFonts w:ascii="Times New Roman" w:hAnsi="Times New Roman"/>
                <w:b/>
                <w:bCs/>
                <w:noProof/>
                <w:color w:val="000000"/>
                <w:sz w:val="20"/>
                <w:szCs w:val="20"/>
              </w:rPr>
              <w:t>Rata ta’ tkabbir reali tal-PDG EU27 + UK</w:t>
            </w:r>
          </w:p>
        </w:tc>
        <w:tc>
          <w:tcPr>
            <w:tcW w:w="447"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FF0000"/>
                <w:sz w:val="20"/>
                <w:szCs w:val="20"/>
              </w:rPr>
            </w:pPr>
            <w:r>
              <w:rPr>
                <w:rFonts w:ascii="Times New Roman" w:hAnsi="Times New Roman"/>
                <w:noProof/>
                <w:sz w:val="20"/>
                <w:szCs w:val="20"/>
              </w:rPr>
              <w:t>1,8%</w:t>
            </w: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FF0000"/>
                <w:sz w:val="20"/>
                <w:szCs w:val="20"/>
              </w:rPr>
            </w:pPr>
            <w:r>
              <w:rPr>
                <w:rFonts w:ascii="Times New Roman" w:hAnsi="Times New Roman"/>
                <w:noProof/>
                <w:sz w:val="20"/>
                <w:szCs w:val="20"/>
              </w:rPr>
              <w:t>-0,4%</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FF0000"/>
                <w:sz w:val="20"/>
                <w:szCs w:val="20"/>
              </w:rPr>
            </w:pPr>
            <w:r>
              <w:rPr>
                <w:rFonts w:ascii="Times New Roman" w:hAnsi="Times New Roman"/>
                <w:noProof/>
                <w:sz w:val="20"/>
                <w:szCs w:val="20"/>
              </w:rPr>
              <w:t>0,3%</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000000"/>
                <w:sz w:val="20"/>
                <w:szCs w:val="20"/>
              </w:rPr>
            </w:pPr>
            <w:r>
              <w:rPr>
                <w:rFonts w:ascii="Times New Roman" w:hAnsi="Times New Roman"/>
                <w:noProof/>
                <w:sz w:val="20"/>
                <w:szCs w:val="20"/>
              </w:rPr>
              <w:t>1,7%</w:t>
            </w:r>
          </w:p>
        </w:tc>
        <w:tc>
          <w:tcPr>
            <w:tcW w:w="440"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000000"/>
                <w:sz w:val="20"/>
                <w:szCs w:val="20"/>
              </w:rPr>
            </w:pPr>
            <w:r>
              <w:rPr>
                <w:rFonts w:ascii="Times New Roman" w:hAnsi="Times New Roman"/>
                <w:noProof/>
                <w:sz w:val="20"/>
                <w:szCs w:val="20"/>
              </w:rPr>
              <w:t>2,4%</w:t>
            </w:r>
          </w:p>
        </w:tc>
        <w:tc>
          <w:tcPr>
            <w:tcW w:w="441"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000000"/>
                <w:sz w:val="20"/>
                <w:szCs w:val="20"/>
              </w:rPr>
            </w:pPr>
            <w:r>
              <w:rPr>
                <w:rFonts w:ascii="Times New Roman" w:hAnsi="Times New Roman"/>
                <w:noProof/>
                <w:sz w:val="20"/>
                <w:szCs w:val="20"/>
              </w:rPr>
              <w:t>2,0%</w:t>
            </w:r>
          </w:p>
        </w:tc>
        <w:tc>
          <w:tcPr>
            <w:tcW w:w="439"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000000"/>
                <w:sz w:val="20"/>
                <w:szCs w:val="20"/>
              </w:rPr>
            </w:pPr>
            <w:r>
              <w:rPr>
                <w:rFonts w:ascii="Times New Roman" w:hAnsi="Times New Roman"/>
                <w:noProof/>
                <w:sz w:val="20"/>
                <w:szCs w:val="20"/>
              </w:rPr>
              <w:t>2,6%</w:t>
            </w:r>
          </w:p>
        </w:tc>
        <w:tc>
          <w:tcPr>
            <w:tcW w:w="43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sz w:val="20"/>
                <w:szCs w:val="20"/>
              </w:rPr>
              <w:t>2,0%</w:t>
            </w:r>
          </w:p>
        </w:tc>
        <w:tc>
          <w:tcPr>
            <w:tcW w:w="436"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sz w:val="20"/>
                <w:szCs w:val="20"/>
              </w:rPr>
              <w:t>1,5%</w:t>
            </w:r>
          </w:p>
        </w:tc>
      </w:tr>
    </w:tbl>
    <w:p>
      <w:pPr>
        <w:autoSpaceDE w:val="0"/>
        <w:autoSpaceDN w:val="0"/>
        <w:adjustRightInd w:val="0"/>
        <w:spacing w:after="0"/>
        <w:rPr>
          <w:rStyle w:val="Hyperlink"/>
          <w:rFonts w:ascii="Times New Roman" w:hAnsi="Times New Roman"/>
          <w:bCs/>
          <w:noProof/>
          <w:color w:val="auto"/>
          <w:sz w:val="18"/>
          <w:szCs w:val="18"/>
        </w:rPr>
      </w:pPr>
      <w:r>
        <w:rPr>
          <w:rFonts w:ascii="Times New Roman" w:hAnsi="Times New Roman"/>
          <w:noProof/>
          <w:sz w:val="18"/>
          <w:szCs w:val="18"/>
        </w:rPr>
        <w:t xml:space="preserve">Sors: EUTL, </w:t>
      </w:r>
      <w:r>
        <w:rPr>
          <w:rFonts w:ascii="Times New Roman" w:hAnsi="Times New Roman"/>
          <w:i/>
          <w:noProof/>
          <w:sz w:val="18"/>
          <w:szCs w:val="18"/>
        </w:rPr>
        <w:t>data</w:t>
      </w:r>
      <w:r>
        <w:rPr>
          <w:rFonts w:ascii="Times New Roman" w:hAnsi="Times New Roman"/>
          <w:noProof/>
          <w:sz w:val="18"/>
          <w:szCs w:val="18"/>
        </w:rPr>
        <w:t xml:space="preserve"> tal-PDG kif irrapportata fuq Eurostat (kodiċi tat-tabella: tec00115, aċċessata f’Lulju 2020). </w:t>
      </w:r>
      <w:r>
        <w:rPr>
          <w:rStyle w:val="Hyperlink"/>
          <w:rFonts w:ascii="Times New Roman" w:hAnsi="Times New Roman"/>
          <w:bCs/>
          <w:noProof/>
          <w:color w:val="auto"/>
          <w:sz w:val="18"/>
          <w:szCs w:val="18"/>
          <w:u w:val="none"/>
        </w:rPr>
        <w:t>L-emissjonijiet tal-avjazzjoni vverifikati huma rrapportati b’mod separat fil-Kapitolu 4.</w:t>
      </w:r>
    </w:p>
    <w:p>
      <w:pPr>
        <w:autoSpaceDE w:val="0"/>
        <w:autoSpaceDN w:val="0"/>
        <w:adjustRightInd w:val="0"/>
        <w:spacing w:after="0"/>
        <w:rPr>
          <w:noProof/>
          <w:highlight w:val="yellow"/>
        </w:rPr>
      </w:pPr>
    </w:p>
    <w:p>
      <w:pPr>
        <w:jc w:val="both"/>
        <w:rPr>
          <w:rFonts w:ascii="Times New Roman" w:hAnsi="Times New Roman"/>
          <w:noProof/>
          <w:sz w:val="24"/>
          <w:szCs w:val="24"/>
        </w:rPr>
      </w:pPr>
      <w:r>
        <w:rPr>
          <w:rFonts w:ascii="Times New Roman" w:hAnsi="Times New Roman"/>
          <w:noProof/>
          <w:sz w:val="24"/>
          <w:szCs w:val="24"/>
        </w:rPr>
        <w:t xml:space="preserve">Analiżi tal-emissjonijiet mhux ta’ </w:t>
      </w:r>
      <w:r>
        <w:rPr>
          <w:rFonts w:ascii="Times New Roman" w:hAnsi="Times New Roman"/>
          <w:bCs/>
          <w:noProof/>
          <w:color w:val="262626"/>
          <w:sz w:val="24"/>
          <w:szCs w:val="24"/>
        </w:rPr>
        <w:t>CO</w:t>
      </w:r>
      <w:r>
        <w:rPr>
          <w:rFonts w:ascii="Times New Roman" w:hAnsi="Times New Roman"/>
          <w:bCs/>
          <w:noProof/>
          <w:color w:val="262626"/>
          <w:sz w:val="24"/>
          <w:szCs w:val="24"/>
          <w:bdr w:val="none" w:sz="0" w:space="0" w:color="auto" w:frame="1"/>
          <w:vertAlign w:val="subscript"/>
        </w:rPr>
        <w:t>2</w:t>
      </w:r>
      <w:r>
        <w:rPr>
          <w:rFonts w:ascii="Times New Roman" w:hAnsi="Times New Roman"/>
          <w:noProof/>
          <w:sz w:val="24"/>
          <w:szCs w:val="24"/>
        </w:rPr>
        <w:t xml:space="preserve"> minn installazzjonijiet skont it-tip ta’ gass serra (</w:t>
      </w:r>
      <w:r>
        <w:rPr>
          <w:rFonts w:ascii="Times New Roman" w:hAnsi="Times New Roman"/>
          <w:bCs/>
          <w:noProof/>
          <w:color w:val="262626"/>
          <w:sz w:val="24"/>
          <w:szCs w:val="24"/>
        </w:rPr>
        <w:t>N</w:t>
      </w:r>
      <w:r>
        <w:rPr>
          <w:rFonts w:ascii="Times New Roman" w:hAnsi="Times New Roman"/>
          <w:bCs/>
          <w:noProof/>
          <w:color w:val="262626"/>
          <w:sz w:val="24"/>
          <w:szCs w:val="24"/>
          <w:bdr w:val="none" w:sz="0" w:space="0" w:color="auto" w:frame="1"/>
          <w:vertAlign w:val="subscript"/>
        </w:rPr>
        <w:t>2</w:t>
      </w:r>
      <w:r>
        <w:rPr>
          <w:rFonts w:ascii="Times New Roman" w:hAnsi="Times New Roman"/>
          <w:bCs/>
          <w:noProof/>
          <w:color w:val="262626"/>
          <w:sz w:val="24"/>
          <w:szCs w:val="24"/>
        </w:rPr>
        <w:t>O</w:t>
      </w:r>
      <w:r>
        <w:rPr>
          <w:rFonts w:ascii="Times New Roman" w:hAnsi="Times New Roman"/>
          <w:noProof/>
          <w:sz w:val="24"/>
          <w:szCs w:val="24"/>
        </w:rPr>
        <w:t xml:space="preserve"> u PFCs) ivverifikati mill-ETS, hija pprovduta fit-Tabella 4.1, fl-Appendiċi 4 tal-Anness.</w:t>
      </w:r>
    </w:p>
    <w:p>
      <w:pPr>
        <w:jc w:val="both"/>
        <w:rPr>
          <w:rFonts w:ascii="Times New Roman" w:hAnsi="Times New Roman"/>
          <w:noProof/>
          <w:sz w:val="24"/>
          <w:szCs w:val="24"/>
        </w:rPr>
      </w:pPr>
      <w:r>
        <w:rPr>
          <w:rFonts w:ascii="Times New Roman" w:hAnsi="Times New Roman"/>
          <w:noProof/>
          <w:sz w:val="24"/>
          <w:szCs w:val="24"/>
        </w:rPr>
        <w:t>In-numru ta’ kwoti kkanċellati fuq bażi volontarja jammonta għal 33 498 kwota fl-2019. B’kollox, ġew irreġistrati l-kanċellazzjonijiet volontarji ta’ 372 840 kwota sa Ġunju 2020.</w:t>
      </w:r>
      <w:r>
        <w:rPr>
          <w:noProof/>
        </w:rPr>
        <w:t xml:space="preserve"> </w:t>
      </w:r>
      <w:r>
        <w:rPr>
          <w:rFonts w:ascii="Times New Roman" w:hAnsi="Times New Roman"/>
          <w:noProof/>
          <w:sz w:val="24"/>
          <w:szCs w:val="24"/>
        </w:rPr>
        <w:t xml:space="preserve">Il-biċċa l-kbira tal-kanċellazzjonijiet bejn l-2013 u Ġunju 2020 twettqu mid-detenturi tal-kontijiet fir-Reġistri tar-Renju Unit, tal-Ġermanja, tal-Iżvezja, tan-Norveġja, u tan-Netherlands. </w:t>
      </w:r>
    </w:p>
    <w:p>
      <w:pPr>
        <w:pStyle w:val="Heading2"/>
        <w:rPr>
          <w:i w:val="0"/>
          <w:noProof/>
        </w:rPr>
      </w:pPr>
      <w:bookmarkStart w:id="45" w:name="_Toc490850433"/>
      <w:bookmarkStart w:id="46" w:name="_Toc519009684"/>
      <w:bookmarkStart w:id="47" w:name="_Toc56000805"/>
      <w:r>
        <w:rPr>
          <w:i w:val="0"/>
          <w:noProof/>
        </w:rPr>
        <w:t>3.3. Ibbilanċjar tal-provvista u tad-domanda</w:t>
      </w:r>
      <w:bookmarkEnd w:id="45"/>
      <w:bookmarkEnd w:id="46"/>
      <w:bookmarkEnd w:id="47"/>
      <w:r>
        <w:rPr>
          <w:i w:val="0"/>
          <w:noProof/>
        </w:rPr>
        <w:t xml:space="preserve"> </w:t>
      </w:r>
    </w:p>
    <w:p>
      <w:pPr>
        <w:jc w:val="both"/>
        <w:rPr>
          <w:rFonts w:ascii="Times New Roman" w:hAnsi="Times New Roman"/>
          <w:noProof/>
          <w:sz w:val="24"/>
          <w:szCs w:val="24"/>
        </w:rPr>
      </w:pPr>
      <w:r>
        <w:rPr>
          <w:rFonts w:ascii="Times New Roman" w:hAnsi="Times New Roman"/>
          <w:noProof/>
          <w:sz w:val="24"/>
          <w:szCs w:val="24"/>
        </w:rPr>
        <w:t>Fil-bidu tal-fażi 3 fl-2013, l-EU ETS kienet ikkaratterizzata minn żbilanċ strutturali kbir bejn id-domanda u l-provvista tal-kwoti, li jirriżulta f’madwar 2,1 biljun kwota.</w:t>
      </w:r>
      <w:r>
        <w:rPr>
          <w:noProof/>
        </w:rPr>
        <w:t xml:space="preserve"> </w:t>
      </w:r>
      <w:r>
        <w:rPr>
          <w:rFonts w:ascii="Times New Roman" w:hAnsi="Times New Roman"/>
          <w:noProof/>
          <w:sz w:val="24"/>
          <w:szCs w:val="24"/>
        </w:rPr>
        <w:t xml:space="preserve">Sabiex jiġi indirizzat l-iżbilanċ strutturali, fl-2015 inħolqot Riżerva tal-Istabbiltà tas-Suq (MSR) sabiex il-provvista għall-irkantar tal-kwoti tal-emissjonijiet issir aktar flessibbli. L-MSR bdiet titħaddem fl-2019. </w:t>
      </w:r>
    </w:p>
    <w:p>
      <w:pPr>
        <w:jc w:val="both"/>
        <w:rPr>
          <w:rFonts w:ascii="Times New Roman" w:hAnsi="Times New Roman"/>
          <w:noProof/>
          <w:sz w:val="24"/>
          <w:szCs w:val="24"/>
        </w:rPr>
      </w:pPr>
      <w:r>
        <w:rPr>
          <w:rFonts w:ascii="Times New Roman" w:hAnsi="Times New Roman"/>
          <w:noProof/>
          <w:sz w:val="24"/>
          <w:szCs w:val="24"/>
        </w:rPr>
        <w:t xml:space="preserve">Fl-2018, l-eċċess kien ta’ 1,65 biljun kwota, filwaqt li fl-2019 laħaq livell ferm aktar baxx, ta’ 1,385 biljun kwota. Il-Figura 5 tippreżenta l-iżvilupp tal-eċċess fis-suq Ewropew tal-karbonju sa tmiem l-2019. </w:t>
      </w:r>
    </w:p>
    <w:p>
      <w:pPr>
        <w:jc w:val="both"/>
        <w:rPr>
          <w:rFonts w:ascii="Times New Roman" w:hAnsi="Times New Roman"/>
          <w:b/>
          <w:noProof/>
        </w:rPr>
      </w:pPr>
    </w:p>
    <w:p>
      <w:pPr>
        <w:jc w:val="both"/>
        <w:rPr>
          <w:rFonts w:ascii="Times New Roman" w:hAnsi="Times New Roman"/>
          <w:b/>
          <w:noProof/>
        </w:rPr>
      </w:pPr>
      <w:r>
        <w:rPr>
          <w:rFonts w:ascii="Times New Roman" w:hAnsi="Times New Roman"/>
          <w:b/>
          <w:noProof/>
        </w:rPr>
        <w:t>Illustrazzjoni 5: Żvilupp tal-eċċess fis-suq Ewropew tal-karbonju fl-2013 sal-2019</w:t>
      </w:r>
    </w:p>
    <w:p>
      <w:pPr>
        <w:jc w:val="both"/>
        <w:rPr>
          <w:rFonts w:ascii="Times New Roman" w:hAnsi="Times New Roman"/>
          <w:b/>
          <w:noProof/>
        </w:rPr>
      </w:pPr>
      <w:r>
        <w:rPr>
          <w:noProof/>
          <w:lang w:val="en-GB" w:eastAsia="en-GB"/>
        </w:rPr>
        <w:drawing>
          <wp:inline distT="0" distB="0" distL="0" distR="0">
            <wp:extent cx="5731510" cy="3116580"/>
            <wp:effectExtent l="0" t="0" r="2540" b="762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jc w:val="both"/>
        <w:rPr>
          <w:rFonts w:ascii="Times New Roman" w:hAnsi="Times New Roman"/>
          <w:noProof/>
          <w:sz w:val="18"/>
          <w:szCs w:val="18"/>
        </w:rPr>
      </w:pPr>
      <w:r>
        <w:rPr>
          <w:rFonts w:ascii="Times New Roman" w:hAnsi="Times New Roman"/>
          <w:noProof/>
          <w:sz w:val="18"/>
          <w:szCs w:val="18"/>
        </w:rPr>
        <w:t>Sors: DĠ AZZJONI KLIMATIKA</w:t>
      </w:r>
    </w:p>
    <w:p>
      <w:pPr>
        <w:jc w:val="both"/>
        <w:rPr>
          <w:rFonts w:ascii="Times New Roman" w:hAnsi="Times New Roman"/>
          <w:noProof/>
          <w:sz w:val="24"/>
          <w:szCs w:val="24"/>
        </w:rPr>
      </w:pPr>
      <w:r>
        <w:rPr>
          <w:rFonts w:ascii="Times New Roman" w:hAnsi="Times New Roman"/>
          <w:bCs/>
          <w:iCs/>
          <w:noProof/>
          <w:sz w:val="24"/>
          <w:szCs w:val="24"/>
        </w:rPr>
        <w:t>Fil-kuntest tar-reviżjoni tal-EU ETS</w:t>
      </w:r>
      <w:r>
        <w:rPr>
          <w:rFonts w:ascii="Times New Roman" w:eastAsia="Times New Roman" w:hAnsi="Times New Roman" w:cstheme="minorBidi"/>
          <w:bCs/>
          <w:iCs/>
          <w:noProof/>
          <w:sz w:val="24"/>
          <w:szCs w:val="24"/>
          <w:vertAlign w:val="superscript"/>
          <w:lang w:eastAsia="en-GB"/>
        </w:rPr>
        <w:footnoteReference w:id="61"/>
      </w:r>
      <w:r>
        <w:rPr>
          <w:rFonts w:ascii="Times New Roman" w:hAnsi="Times New Roman"/>
          <w:bCs/>
          <w:iCs/>
          <w:noProof/>
          <w:sz w:val="24"/>
          <w:szCs w:val="24"/>
        </w:rPr>
        <w:t xml:space="preserve">, saru bidliet importanti għall-funzjonament tal-MSR, kif jidher fil-kaxxa tat-test hawn taħt. </w:t>
      </w:r>
    </w:p>
    <w:p>
      <w:pPr>
        <w:rPr>
          <w:noProof/>
        </w:rPr>
      </w:pPr>
      <w:r>
        <w:rPr>
          <w:rFonts w:ascii="Times New Roman" w:hAnsi="Times New Roman"/>
          <w:noProof/>
          <w:sz w:val="24"/>
          <w:szCs w:val="24"/>
          <w:lang w:val="en-GB" w:eastAsia="en-GB"/>
        </w:rPr>
        <mc:AlternateContent>
          <mc:Choice Requires="wps">
            <w:drawing>
              <wp:inline distT="0" distB="0" distL="0" distR="0">
                <wp:extent cx="5731510" cy="5607050"/>
                <wp:effectExtent l="0" t="0" r="21590" b="12700"/>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607050"/>
                        </a:xfrm>
                        <a:prstGeom prst="rect">
                          <a:avLst/>
                        </a:prstGeom>
                        <a:solidFill>
                          <a:sysClr val="window" lastClr="FFFFFF">
                            <a:lumMod val="85000"/>
                          </a:sysClr>
                        </a:solidFill>
                        <a:ln w="12700">
                          <a:solidFill>
                            <a:srgbClr val="000000"/>
                          </a:solidFill>
                          <a:miter lim="800000"/>
                          <a:headEnd/>
                          <a:tailEnd/>
                        </a:ln>
                      </wps:spPr>
                      <wps:txbx>
                        <w:txbxContent>
                          <w:p>
                            <w:pPr>
                              <w:jc w:val="both"/>
                              <w:rPr>
                                <w:rFonts w:ascii="Times New Roman" w:hAnsi="Times New Roman"/>
                                <w:noProof/>
                                <w:sz w:val="24"/>
                                <w:szCs w:val="24"/>
                              </w:rPr>
                            </w:pPr>
                            <w:r>
                              <w:rPr>
                                <w:rFonts w:ascii="Times New Roman" w:hAnsi="Times New Roman"/>
                                <w:sz w:val="24"/>
                                <w:szCs w:val="24"/>
                              </w:rPr>
                              <w:t>Kunċett ewlieni għall-funzjonament tal-MSR huwa n-numru totali ta’ kwoti fiċ-ċirkolazzjoni (TNAC). Il-kwoti se jiżdiedu mar-riżerva, jekk it-TNAC ikun akbar minn limitu ogħla predefinit (833 miljun kwota) u se jiġu rilaxxati mir-riżerva, jekk in-numru jkun inqas minn limitu predefinit aktar baxx (taħt l-400 miljun kwota)*</w:t>
                            </w:r>
                            <w:r>
                              <w:rPr>
                                <w:rFonts w:ascii="Times New Roman" w:hAnsi="Times New Roman"/>
                                <w:sz w:val="20"/>
                                <w:szCs w:val="20"/>
                              </w:rPr>
                              <w:t>.</w:t>
                            </w:r>
                            <w:r>
                              <w:rPr>
                                <w:rFonts w:ascii="Times New Roman" w:hAnsi="Times New Roman"/>
                                <w:sz w:val="24"/>
                                <w:szCs w:val="24"/>
                              </w:rPr>
                              <w:t xml:space="preserve"> Għalhekk, l-MSR tassorbi jew tirrilaxxa l-kwoti jekk dawk li jkunu qed jiċċirkolaw ikunu barra minn medda predefinita. Kwoti kkonċentrati fl-aħħar tal-perjodu u dawk hekk imsejħa mhux allokati** wkoll se jiġu assorbiti mir-riżerva. Mill-2023, il-kwoti miżmuma fl-MSR li jaqbżu l-volum tal-irkant tas-sena preċedenti ma jibqgħux aktar validi. </w:t>
                            </w:r>
                          </w:p>
                          <w:p>
                            <w:pPr>
                              <w:jc w:val="both"/>
                              <w:rPr>
                                <w:rFonts w:ascii="Times New Roman" w:hAnsi="Times New Roman"/>
                                <w:noProof/>
                                <w:sz w:val="24"/>
                                <w:szCs w:val="24"/>
                              </w:rPr>
                            </w:pPr>
                            <w:r>
                              <w:rPr>
                                <w:rFonts w:ascii="Times New Roman" w:hAnsi="Times New Roman"/>
                                <w:sz w:val="24"/>
                                <w:szCs w:val="24"/>
                              </w:rPr>
                              <w:t>L-għadd totali ta’ kwoti fiċ-ċirkolazzjoni li jkunu rilevanti għad-determinazzjoni tal-introjti u tar-rilaxxi fl-MSR huwa kkalkolat abbażi tal-formula li ġejja:</w:t>
                            </w:r>
                          </w:p>
                          <w:p>
                            <w:pPr>
                              <w:jc w:val="both"/>
                              <w:rPr>
                                <w:rFonts w:ascii="Times New Roman" w:hAnsi="Times New Roman"/>
                                <w:noProof/>
                                <w:sz w:val="24"/>
                                <w:szCs w:val="24"/>
                              </w:rPr>
                            </w:pPr>
                            <w:r>
                              <w:rPr>
                                <w:rFonts w:ascii="Times New Roman" w:hAnsi="Times New Roman"/>
                                <w:sz w:val="24"/>
                                <w:szCs w:val="24"/>
                              </w:rPr>
                              <w:t>TNAC = Provvista – (Domanda + kwoti fl-MSR)</w:t>
                            </w:r>
                          </w:p>
                          <w:p>
                            <w:pPr>
                              <w:jc w:val="both"/>
                              <w:rPr>
                                <w:rFonts w:ascii="Times New Roman" w:hAnsi="Times New Roman"/>
                                <w:noProof/>
                                <w:sz w:val="24"/>
                                <w:szCs w:val="24"/>
                              </w:rPr>
                            </w:pPr>
                            <w:r>
                              <w:rPr>
                                <w:rFonts w:ascii="Times New Roman" w:hAnsi="Times New Roman"/>
                                <w:sz w:val="24"/>
                                <w:szCs w:val="24"/>
                              </w:rPr>
                              <w:t>Il-komponenti tad-domanda u l-provvista użati fil-formula huma deskritti fil-Komunikazzjoni tal-Kummissjoni dwar it-TNAC, li tiġi ppubblikata kull sena sal-15 ta’ Mejju.***</w:t>
                            </w:r>
                          </w:p>
                          <w:p>
                            <w:pPr>
                              <w:jc w:val="both"/>
                              <w:rPr>
                                <w:rFonts w:ascii="Times New Roman" w:hAnsi="Times New Roman"/>
                                <w:sz w:val="18"/>
                                <w:szCs w:val="18"/>
                              </w:rPr>
                            </w:pPr>
                            <w:r>
                              <w:rPr>
                                <w:rFonts w:ascii="Times New Roman" w:hAnsi="Times New Roman"/>
                                <w:sz w:val="18"/>
                                <w:szCs w:val="18"/>
                              </w:rPr>
                              <w:t>* Jew fejn jiġu adottati miżuri skont l-Artikolu 29a tad-Direttiva dwar l-EU ETS</w:t>
                            </w:r>
                          </w:p>
                          <w:p>
                            <w:pPr>
                              <w:jc w:val="both"/>
                              <w:rPr>
                                <w:rFonts w:ascii="Times New Roman" w:hAnsi="Times New Roman"/>
                                <w:sz w:val="18"/>
                                <w:szCs w:val="18"/>
                              </w:rPr>
                            </w:pPr>
                            <w:r>
                              <w:rPr>
                                <w:rFonts w:ascii="Times New Roman" w:hAnsi="Times New Roman"/>
                                <w:sz w:val="18"/>
                                <w:szCs w:val="18"/>
                              </w:rPr>
                              <w:t>**Kwoti mhux allokati huma kwoti mhux allokati skont l-Artikolu 10a(7) tad-Direttiva dwar l-EU ETS, jiġifieri kwoti li jifdal fir-riżerva għal min jidħol ġdid, u li jirriżultaw mill-applikazzjoni tal-Artikolu 10a(19) u (20), jiġifieri kwoti previsti għall-allokazzjoni bla ħlas lill-istallazzjonijiet, iżda li jibqgħu mhux allokati minħabba waqfien (parzjali) ta’ operazzjonijiet jew tnaqqis sinifikanti tal-kapaċità. Il-kwoti effettivament “mhux allokati” li ġejjin mill-applikazzjoni tal-fattur rilevanti ta’ rilokazzjoni tal-emissjonijiet tal-karbonju għal setturi mhux inklużi fil-lista ta’ rilokazzjoni tal-emissjonijiet tal-karbonju matul il-perjodu attwali, kif ukoll kull kwota li ma tkunx allokata skont l-Artikolu 10c tad-Direttiva dwar l-ETS, mhumiex previsti li jiġu integrati fir-Riżerva tal-Istabbiltà tas-Suq skont l-Artikolu 1(3) tad-Deċiżjoni (UE) 2015/1814. Għalhekk, dawn il-kwoti mhumiex koperti (irreferi għall-paġna 225 tal-Valutazzjoni tal-Impatt (SWD(2015) 135 final) li takkumpanja l-proposta tal-2015 għal reviżjoni tad-Direttiva dwar l-EU ETS).</w:t>
                            </w:r>
                          </w:p>
                          <w:p>
                            <w:pPr>
                              <w:pStyle w:val="FootnoteText"/>
                            </w:pPr>
                            <w:r>
                              <w:t xml:space="preserve">***Ara l-aħħar Komunikazzjoni TNAC, ippubblikata f’Mejju 2020: C(2020) 2835 final, </w:t>
                            </w:r>
                            <w:hyperlink r:id="rId26" w:history="1">
                              <w:r>
                                <w:rPr>
                                  <w:rStyle w:val="Hyperlink"/>
                                </w:rPr>
                                <w:t>https://ec.europa.eu/clima/sites/clima/files/ets/reform/docs/c_2020_2835_en.pdf</w:t>
                              </w:r>
                            </w:hyperlink>
                            <w:r>
                              <w:t>.</w:t>
                            </w:r>
                          </w:p>
                          <w:p>
                            <w:pPr>
                              <w:jc w:val="both"/>
                              <w:rPr>
                                <w:rFonts w:ascii="Times New Roman" w:hAnsi="Times New Roman"/>
                                <w:sz w:val="18"/>
                                <w:szCs w:val="18"/>
                              </w:rPr>
                            </w:pPr>
                          </w:p>
                          <w:p>
                            <w:pPr>
                              <w:rPr>
                                <w:rFonts w:ascii="Times New Roman" w:hAnsi="Times New Roman"/>
                                <w:sz w:val="18"/>
                                <w:szCs w:val="18"/>
                              </w:rPr>
                            </w:pPr>
                          </w:p>
                        </w:txbxContent>
                      </wps:txbx>
                      <wps:bodyPr rot="0" vert="horz" wrap="square" lIns="91440" tIns="45720" rIns="91440" bIns="45720" anchor="t" anchorCtr="0">
                        <a:noAutofit/>
                      </wps:bodyPr>
                    </wps:wsp>
                  </a:graphicData>
                </a:graphic>
              </wp:inline>
            </w:drawing>
          </mc:Choice>
          <mc:Fallback>
            <w:pict>
              <v:shape id="_x0000_s1036" type="#_x0000_t202" style="width:451.3pt;height:4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" fillcolor="#d9d9d9" strokeweight="1pt">
                <v:textbox>
                  <w:txbxContent>
                    <w:p>
                      <w:pPr>
                        <w:jc w:val="both"/>
                        <w:rPr>
                          <w:rFonts w:ascii="Times New Roman" w:hAnsi="Times New Roman"/>
                          <w:noProof/>
                          <w:sz w:val="24"/>
                          <w:szCs w:val="24"/>
                        </w:rPr>
                      </w:pPr>
                      <w:r>
                        <w:rPr>
                          <w:rFonts w:ascii="Times New Roman" w:hAnsi="Times New Roman"/>
                          <w:sz w:val="24"/>
                          <w:szCs w:val="24"/>
                        </w:rPr>
                        <w:t>Kunċett ewlieni għall-funzjonament tal-MSR huwa n-numru totali ta’ kwoti fiċ-ċirkolazzjoni (TNAC). Il-kwoti se jiżdiedu mar-riżerva, jekk it-TNAC ikun akbar minn limitu ogħla predefinit (833 miljun kwota) u se jiġu rilaxxati mir-riżerva, jekk in-numru jkun inqas minn limitu predefinit aktar baxx (taħt l-400 miljun kwota)*</w:t>
                      </w:r>
                      <w:r>
                        <w:rPr>
                          <w:rFonts w:ascii="Times New Roman" w:hAnsi="Times New Roman"/>
                          <w:sz w:val="20"/>
                          <w:szCs w:val="20"/>
                        </w:rPr>
                        <w:t>.</w:t>
                      </w:r>
                      <w:r>
                        <w:rPr>
                          <w:rFonts w:ascii="Times New Roman" w:hAnsi="Times New Roman"/>
                          <w:sz w:val="24"/>
                          <w:szCs w:val="24"/>
                        </w:rPr>
                        <w:t xml:space="preserve"> Għalhekk, l-MSR tassorbi jew tirrilaxxa l-kwoti jekk dawk li jkunu qed jiċċirkolaw ikunu barra minn medda predefinita. Kwoti kkonċentrati fl-aħħar tal-perjodu u dawk hekk imsejħa mhux allokati** wkoll se jiġu assorbiti mir-riżerva. Mill-2023, il-kwoti miżmuma fl-MSR li jaqbżu l-volum tal-irkant tas-sena preċedenti ma jibqgħux aktar validi. </w:t>
                      </w:r>
                    </w:p>
                    <w:p>
                      <w:pPr>
                        <w:jc w:val="both"/>
                        <w:rPr>
                          <w:rFonts w:ascii="Times New Roman" w:hAnsi="Times New Roman"/>
                          <w:noProof/>
                          <w:sz w:val="24"/>
                          <w:szCs w:val="24"/>
                        </w:rPr>
                      </w:pPr>
                      <w:r>
                        <w:rPr>
                          <w:rFonts w:ascii="Times New Roman" w:hAnsi="Times New Roman"/>
                          <w:sz w:val="24"/>
                          <w:szCs w:val="24"/>
                        </w:rPr>
                        <w:t>L-għadd totali ta’ kwoti fiċ-ċirkolazzjoni li jkunu rilevanti għad-determinazzjoni tal-introjti u tar-rilaxxi fl-MSR huwa kkalkolat abbażi tal-formula li ġejja:</w:t>
                      </w:r>
                    </w:p>
                    <w:p>
                      <w:pPr>
                        <w:jc w:val="both"/>
                        <w:rPr>
                          <w:rFonts w:ascii="Times New Roman" w:hAnsi="Times New Roman"/>
                          <w:noProof/>
                          <w:sz w:val="24"/>
                          <w:szCs w:val="24"/>
                        </w:rPr>
                      </w:pPr>
                      <w:r>
                        <w:rPr>
                          <w:rFonts w:ascii="Times New Roman" w:hAnsi="Times New Roman"/>
                          <w:sz w:val="24"/>
                          <w:szCs w:val="24"/>
                        </w:rPr>
                        <w:t>TNAC = Provvista – (Domanda + kwoti fl-MSR)</w:t>
                      </w:r>
                    </w:p>
                    <w:p>
                      <w:pPr>
                        <w:jc w:val="both"/>
                        <w:rPr>
                          <w:rFonts w:ascii="Times New Roman" w:hAnsi="Times New Roman"/>
                          <w:noProof/>
                          <w:sz w:val="24"/>
                          <w:szCs w:val="24"/>
                        </w:rPr>
                      </w:pPr>
                      <w:r>
                        <w:rPr>
                          <w:rFonts w:ascii="Times New Roman" w:hAnsi="Times New Roman"/>
                          <w:sz w:val="24"/>
                          <w:szCs w:val="24"/>
                        </w:rPr>
                        <w:t>Il-komponenti tad-domanda u l-provvista użati fil-formula huma deskritti fil-Komunikazzjoni tal-Kummissjoni dwar it-TNAC, li tiġi ppubblikata kull sena sal-15 ta’ Mejju.***</w:t>
                      </w:r>
                    </w:p>
                    <w:p>
                      <w:pPr>
                        <w:jc w:val="both"/>
                        <w:rPr>
                          <w:rFonts w:ascii="Times New Roman" w:hAnsi="Times New Roman"/>
                          <w:sz w:val="18"/>
                          <w:szCs w:val="18"/>
                        </w:rPr>
                      </w:pPr>
                      <w:r>
                        <w:rPr>
                          <w:rFonts w:ascii="Times New Roman" w:hAnsi="Times New Roman"/>
                          <w:sz w:val="18"/>
                          <w:szCs w:val="18"/>
                        </w:rPr>
                        <w:t>* Jew fejn jiġu adottati miżuri skont l-Artikolu 29a tad-Direttiva dwar l-EU ETS</w:t>
                      </w:r>
                    </w:p>
                    <w:p>
                      <w:pPr>
                        <w:jc w:val="both"/>
                        <w:rPr>
                          <w:rFonts w:ascii="Times New Roman" w:hAnsi="Times New Roman"/>
                          <w:sz w:val="18"/>
                          <w:szCs w:val="18"/>
                        </w:rPr>
                      </w:pPr>
                      <w:r>
                        <w:rPr>
                          <w:rFonts w:ascii="Times New Roman" w:hAnsi="Times New Roman"/>
                          <w:sz w:val="18"/>
                          <w:szCs w:val="18"/>
                        </w:rPr>
                        <w:t>**Kwoti mhux allokati huma kwoti mhux allokati skont l-Artikolu 10a(7) tad-Direttiva dwar l-EU ETS, jiġifieri kwoti li jifdal fir-riżerva għal min jidħol ġdid, u li jirriżultaw mill-applikazzjoni tal-Artikolu 10a(19) u (20), jiġifieri kwoti previsti għall-allokazzjoni bla ħlas lill-istallazzjonijiet, iżda li jibqgħu mhux allokati minħabba waqfien (parzjali) ta’ operazzjonijiet jew tnaqqis sinifikanti tal-kapaċità. Il-kwoti effettivament “mhux allokati” li ġejjin mill-applikazzjoni tal-fattur rilevanti ta’ rilokazzjoni tal-emissjonijiet tal-karbonju għal setturi mhux inklużi fil-lista ta’ rilokazzjoni tal-emissjonijiet tal-karbonju matul il-perjodu attwali, kif ukoll kull kwota li ma tkunx allokata skont l-Artikolu 10c tad-Direttiva dwar l-ETS, mhumiex previsti li jiġu integrati fir-Riżerva tal-Istabbiltà tas-Suq skont l-Artikolu 1(3) tad-Deċiżjoni (UE) 2015/1814. Għalhekk, dawn il-kwoti mhumiex koperti (irreferi għall-paġna 225 tal-Valutazzjoni tal-Impatt (SWD(2015) 135 final) li takkumpanja l-proposta tal-2015 għal reviżjoni tad-Direttiva dwar l-EU ETS).</w:t>
                      </w:r>
                    </w:p>
                    <w:p>
                      <w:pPr>
                        <w:pStyle w:val="FootnoteText"/>
                      </w:pPr>
                      <w:r>
                        <w:t xml:space="preserve">***Ara l-aħħar Komunikazzjoni TNAC, ippubblikata f’Mejju 2020: C(2020) 2835 final, </w:t>
                      </w:r>
                      <w:hyperlink r:id="rId27" w:history="1">
                        <w:r>
                          <w:rPr>
                            <w:rStyle w:val="Hyperlink"/>
                          </w:rPr>
                          <w:t>https://ec.europa.eu/clima/sites/clima/files/ets/reform/docs/c_2020_2835_en.pdf</w:t>
                        </w:r>
                      </w:hyperlink>
                      <w:r>
                        <w:t>.</w:t>
                      </w:r>
                    </w:p>
                    <w:p>
                      <w:pPr>
                        <w:jc w:val="both"/>
                        <w:rPr>
                          <w:rFonts w:ascii="Times New Roman" w:hAnsi="Times New Roman"/>
                          <w:sz w:val="18"/>
                          <w:szCs w:val="18"/>
                        </w:rPr>
                      </w:pPr>
                    </w:p>
                    <w:p>
                      <w:pPr>
                        <w:rPr>
                          <w:rFonts w:ascii="Times New Roman" w:hAnsi="Times New Roman"/>
                          <w:sz w:val="18"/>
                          <w:szCs w:val="18"/>
                        </w:rPr>
                      </w:pPr>
                    </w:p>
                  </w:txbxContent>
                </v:textbox>
                <w10:anchorlock/>
              </v:shape>
            </w:pict>
          </mc:Fallback>
        </mc:AlternateContent>
      </w:r>
    </w:p>
    <w:p>
      <w:pPr>
        <w:jc w:val="both"/>
        <w:rPr>
          <w:rFonts w:ascii="Times New Roman" w:hAnsi="Times New Roman"/>
          <w:noProof/>
          <w:sz w:val="24"/>
          <w:szCs w:val="24"/>
        </w:rPr>
      </w:pPr>
      <w:r>
        <w:rPr>
          <w:rFonts w:ascii="Times New Roman" w:hAnsi="Times New Roman"/>
          <w:noProof/>
          <w:sz w:val="24"/>
          <w:szCs w:val="24"/>
        </w:rPr>
        <w:t xml:space="preserve">Ir-rapport dwar is-suq tal-karbonju jippermetti l-konsolidazzjoni taċ-ċifri tad-domanda u l-provvista li huma ppubblikati skont l-ordni kronoliġika tal-obbligi ta’ rapportar li jirriżultaw mid-Direttiva dwar l-EU ETS u d-dispożizzjonijiet ta’ implimentazzjoni tagħha. </w:t>
      </w:r>
    </w:p>
    <w:p>
      <w:pPr>
        <w:jc w:val="both"/>
        <w:rPr>
          <w:rFonts w:ascii="Times New Roman" w:hAnsi="Times New Roman"/>
          <w:noProof/>
        </w:rPr>
      </w:pPr>
      <w:r>
        <w:rPr>
          <w:rFonts w:ascii="Times New Roman" w:hAnsi="Times New Roman"/>
          <w:noProof/>
          <w:sz w:val="24"/>
          <w:szCs w:val="24"/>
        </w:rPr>
        <w:t xml:space="preserve">L-illustrazzjoni 6 turi l-kompożizzjoni tad-domanda u l-provvista fl-2019. </w:t>
      </w:r>
      <w:r>
        <w:rPr>
          <w:rFonts w:ascii="Times New Roman" w:hAnsi="Times New Roman"/>
          <w:noProof/>
        </w:rPr>
        <w:t>Id-</w:t>
      </w:r>
      <w:r>
        <w:rPr>
          <w:rFonts w:ascii="Times New Roman" w:hAnsi="Times New Roman"/>
          <w:i/>
          <w:noProof/>
        </w:rPr>
        <w:t>data</w:t>
      </w:r>
      <w:r>
        <w:rPr>
          <w:rFonts w:ascii="Times New Roman" w:hAnsi="Times New Roman"/>
          <w:noProof/>
        </w:rPr>
        <w:t xml:space="preserve"> rilevanti ġiet ippubblikata wkoll bħala parti mir-raba’ komunikazzjoni dwar l-għadd totali ta’ kwoti fiċ-ċirkolazzjoni (TNAC) għall-finijiet tal-MSR</w:t>
      </w:r>
      <w:r>
        <w:rPr>
          <w:rFonts w:ascii="Times New Roman" w:hAnsi="Times New Roman"/>
          <w:noProof/>
          <w:sz w:val="24"/>
          <w:szCs w:val="24"/>
          <w:vertAlign w:val="superscript"/>
        </w:rPr>
        <w:footnoteReference w:id="62"/>
      </w:r>
      <w:r>
        <w:rPr>
          <w:rFonts w:ascii="Times New Roman" w:hAnsi="Times New Roman"/>
          <w:noProof/>
        </w:rPr>
        <w:t>.</w:t>
      </w:r>
    </w:p>
    <w:p>
      <w:pPr>
        <w:jc w:val="both"/>
        <w:rPr>
          <w:rFonts w:ascii="Times New Roman" w:hAnsi="Times New Roman"/>
          <w:noProof/>
        </w:rPr>
      </w:pPr>
      <w:r>
        <w:rPr>
          <w:rFonts w:ascii="Times New Roman" w:hAnsi="Times New Roman"/>
          <w:b/>
          <w:noProof/>
        </w:rPr>
        <w:t>Illustrazzjoni 6: Kompożizzjoni tad-domanda u l-provvista kumulattivi (f’miljuni ta’ kwoti) sal-aħħar tal-2019</w:t>
      </w:r>
    </w:p>
    <w:p>
      <w:pPr>
        <w:rPr>
          <w:rFonts w:ascii="Times New Roman" w:hAnsi="Times New Roman"/>
          <w:noProof/>
          <w:sz w:val="18"/>
          <w:szCs w:val="18"/>
        </w:rPr>
      </w:pPr>
      <w:r>
        <w:rPr>
          <w:noProof/>
          <w:lang w:val="en-GB" w:eastAsia="en-GB"/>
        </w:rPr>
        <w:drawing>
          <wp:inline distT="0" distB="0" distL="0" distR="0">
            <wp:extent cx="5731510" cy="4142629"/>
            <wp:effectExtent l="0" t="0" r="2540" b="1079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pPr>
        <w:rPr>
          <w:rFonts w:ascii="Times New Roman" w:hAnsi="Times New Roman"/>
          <w:noProof/>
          <w:sz w:val="18"/>
          <w:szCs w:val="18"/>
        </w:rPr>
      </w:pPr>
      <w:r>
        <w:rPr>
          <w:rFonts w:ascii="Times New Roman" w:hAnsi="Times New Roman"/>
          <w:noProof/>
          <w:sz w:val="18"/>
          <w:szCs w:val="18"/>
        </w:rPr>
        <w:t>Sors: DĠ Azzjoni Klimatika</w:t>
      </w:r>
    </w:p>
    <w:p>
      <w:pPr>
        <w:jc w:val="both"/>
        <w:rPr>
          <w:rFonts w:ascii="Times New Roman" w:hAnsi="Times New Roman"/>
          <w:noProof/>
          <w:sz w:val="24"/>
          <w:szCs w:val="24"/>
        </w:rPr>
      </w:pPr>
      <w:r>
        <w:rPr>
          <w:rFonts w:ascii="Times New Roman" w:hAnsi="Times New Roman"/>
          <w:noProof/>
          <w:sz w:val="24"/>
          <w:szCs w:val="24"/>
        </w:rPr>
        <w:t>Bi preparazzjoni għal meta l-MSR tibda taħdem fl-2019, minn nofs Mejju 2017</w:t>
      </w:r>
      <w:r>
        <w:rPr>
          <w:rStyle w:val="FootnoteReference"/>
          <w:noProof/>
          <w:szCs w:val="24"/>
        </w:rPr>
        <w:footnoteReference w:id="63"/>
      </w:r>
      <w:r>
        <w:rPr>
          <w:noProof/>
          <w:szCs w:val="24"/>
        </w:rPr>
        <w:t xml:space="preserve"> </w:t>
      </w:r>
      <w:r>
        <w:rPr>
          <w:rFonts w:ascii="Times New Roman" w:hAnsi="Times New Roman"/>
          <w:noProof/>
          <w:sz w:val="24"/>
          <w:szCs w:val="24"/>
        </w:rPr>
        <w:t>il-Kummissjoni ppubblikat regolarment it-TNAC għas-sena preċedenti. F’Mejju 2020, it-TNAC li jikkorrispondi għal 1 385 496 166 kwota, ġie ppubblikat għar-raba’ darba</w:t>
      </w:r>
      <w:r>
        <w:rPr>
          <w:rStyle w:val="FootnoteReference"/>
          <w:noProof/>
          <w:szCs w:val="24"/>
        </w:rPr>
        <w:footnoteReference w:id="64"/>
      </w:r>
      <w:r>
        <w:rPr>
          <w:rFonts w:ascii="Times New Roman" w:hAnsi="Times New Roman"/>
          <w:noProof/>
          <w:sz w:val="24"/>
          <w:szCs w:val="24"/>
        </w:rPr>
        <w:t>. Il-pubblikazzjoni tal-2020 se tkompli twassal għat-tqegħid ta’ kwoti fl-MSR, u se tnaqqas il-volumi għall-irkant fl-2020 u fl-2021.</w:t>
      </w:r>
    </w:p>
    <w:p>
      <w:pPr>
        <w:jc w:val="both"/>
        <w:rPr>
          <w:rFonts w:ascii="Times New Roman" w:hAnsi="Times New Roman"/>
          <w:noProof/>
          <w:sz w:val="24"/>
          <w:szCs w:val="24"/>
        </w:rPr>
      </w:pPr>
      <w:r>
        <w:rPr>
          <w:rFonts w:ascii="Times New Roman" w:hAnsi="Times New Roman"/>
          <w:noProof/>
          <w:sz w:val="24"/>
          <w:szCs w:val="24"/>
        </w:rPr>
        <w:t>Għalhekk, fuq il-bażi tat-TNAC tal-2019 u l-2020 u l-leġiżlazzjoni riveduta, l-irkantijiet fl-2020 tnaqqsu bi qrib 375 miljun kwota (jew kważi 35 %). Il-volumi tal-irkant fl-2021 se jitnaqqsu wkoll billi jiġi segwit l-istess approċċ. L-Appendiċi 7 jipprovdi informazzjoni dwar il-kontribuzzjonijiet mill-Istati Membri lill-MSR għall-2020 kollu.</w:t>
      </w:r>
    </w:p>
    <w:p>
      <w:pPr>
        <w:jc w:val="both"/>
        <w:rPr>
          <w:rFonts w:ascii="Times New Roman" w:hAnsi="Times New Roman"/>
          <w:noProof/>
          <w:sz w:val="24"/>
          <w:szCs w:val="24"/>
        </w:rPr>
      </w:pPr>
      <w:r>
        <w:rPr>
          <w:rFonts w:ascii="Times New Roman" w:hAnsi="Times New Roman"/>
          <w:noProof/>
          <w:sz w:val="24"/>
          <w:szCs w:val="24"/>
        </w:rPr>
        <w:t>Fl-2021, il-Kummissjoni se twettaq l-ewwel rieżami tal-MSR. Id-Deċiżjoni dwar l-MSR teħtieġ li jsir rieżami tliet snin wara li tibda titħaddem (jiġifieri mill-aħħar tal-2021). Ir-rieżami se jitwettaq fil-kuntest usa’ ta’ reviżjoni tal-EU ETS ippjanata għal Ġunju 2021 fid-dawl tal-mira ta’ aktar tnaqqis tal-emissjonijiet tal-UE għall-2030.</w:t>
      </w:r>
      <w:r>
        <w:rPr>
          <w:noProof/>
        </w:rPr>
        <w:t xml:space="preserve"> </w:t>
      </w:r>
      <w:r>
        <w:rPr>
          <w:rFonts w:ascii="Times New Roman" w:hAnsi="Times New Roman"/>
          <w:noProof/>
          <w:sz w:val="24"/>
          <w:szCs w:val="24"/>
        </w:rPr>
        <w:t>Il-Kummissjoni se tirrieżamina l-MSR fuq il-bażi ta’ analiżi tal-funzjonament ordnat tas-suq Ewropew tal-karbonju, filwaqt li tagħti attenzjoni partikolari liċ-ċifra perċentwali għall-alimentazzjoni tal-MSR, il-valur numeriku tal-limitu, u l-għadd ta’ kwoti li għandhom jinħarġu mir-riżerva, u se tħares ukoll lejn l-impatt tar-riżerva fuq it-tkabbir, l-impjiegi, il-kompetittività industrijali tal-UE u fuq ir-riskju tar-rilokazzjoni tal-emissjonijiet tal-karbonju.</w:t>
      </w:r>
    </w:p>
    <w:p>
      <w:pPr>
        <w:pStyle w:val="Heading1"/>
        <w:spacing w:before="0" w:after="200"/>
        <w:rPr>
          <w:noProof/>
        </w:rPr>
      </w:pPr>
      <w:bookmarkStart w:id="48" w:name="_Toc490850434"/>
      <w:bookmarkStart w:id="49" w:name="_Toc519009685"/>
      <w:bookmarkStart w:id="50" w:name="_Toc56000806"/>
      <w:r>
        <w:rPr>
          <w:noProof/>
        </w:rPr>
        <w:t>4. AVJAZZJONI</w:t>
      </w:r>
      <w:bookmarkEnd w:id="48"/>
      <w:bookmarkEnd w:id="49"/>
      <w:bookmarkEnd w:id="50"/>
    </w:p>
    <w:p>
      <w:pPr>
        <w:jc w:val="both"/>
        <w:rPr>
          <w:noProof/>
        </w:rPr>
      </w:pPr>
      <w:r>
        <w:rPr>
          <w:noProof/>
          <w:lang w:val="en-GB" w:eastAsia="en-GB"/>
        </w:rPr>
        <mc:AlternateContent>
          <mc:Choice Requires="wps">
            <w:drawing>
              <wp:inline distT="0" distB="0" distL="0" distR="0">
                <wp:extent cx="5727802" cy="4114800"/>
                <wp:effectExtent l="0" t="0" r="25400" b="1905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802" cy="4114800"/>
                        </a:xfrm>
                        <a:prstGeom prst="rect">
                          <a:avLst/>
                        </a:prstGeom>
                        <a:solidFill>
                          <a:sysClr val="window" lastClr="FFFFFF">
                            <a:lumMod val="85000"/>
                          </a:sysClr>
                        </a:solidFill>
                        <a:ln w="12700">
                          <a:solidFill>
                            <a:srgbClr val="000000"/>
                          </a:solidFill>
                          <a:miter lim="800000"/>
                          <a:headEnd/>
                          <a:tailEnd/>
                        </a:ln>
                      </wps:spPr>
                      <wps:txbx>
                        <w:txbxContent>
                          <w:p>
                            <w:pPr>
                              <w:jc w:val="both"/>
                              <w:rPr>
                                <w:rFonts w:ascii="Times New Roman" w:hAnsi="Times New Roman"/>
                                <w:sz w:val="24"/>
                                <w:szCs w:val="24"/>
                              </w:rPr>
                            </w:pPr>
                            <w:r>
                              <w:rPr>
                                <w:rFonts w:ascii="Times New Roman" w:hAnsi="Times New Roman"/>
                                <w:sz w:val="24"/>
                                <w:szCs w:val="24"/>
                              </w:rPr>
                              <w:t xml:space="preserve">Is-settur tal-avjazzjoni ilu jagħmel parti mill-EU ETS sa mill-2012. Il-leġiżlazzjoni oriġinali kienet tkopri t-titjiriet kollha lejn iż-Żona Ekonomika Ewropea (ŻEE) u dawk ħerġin minnha.. Madankollu, l-UE ddeċidiet li tillimita temporanjament l-obbligi għat-titjiriet tan-nazzjonalitajiet kollha ta’ linji tal-ajru fi ħdan iż-ŻEE, sabiex tappoġġa l-iżvilupp ta’ miżura globali mill-Organizzazzjoni tal-Avjazzjoni Ċivili Internazzjonali (ICAO) għat-tnaqqis tal-emissjonijiet tal-avjazzjoni.  </w:t>
                            </w:r>
                          </w:p>
                          <w:p>
                            <w:pPr>
                              <w:jc w:val="both"/>
                              <w:rPr>
                                <w:rFonts w:ascii="Times New Roman" w:hAnsi="Times New Roman"/>
                                <w:sz w:val="24"/>
                                <w:szCs w:val="24"/>
                              </w:rPr>
                            </w:pPr>
                            <w:r>
                              <w:rPr>
                                <w:rFonts w:ascii="Times New Roman" w:hAnsi="Times New Roman"/>
                                <w:sz w:val="24"/>
                                <w:szCs w:val="24"/>
                              </w:rPr>
                              <w:t>F’Ottubru 2016, l-Assemblea tal-ICAO qablet fuq riżoluzzjoni dwar l-Iskema ta’ Kumpens u Tnaqqis tal-Karbonju għall-Avjazzjoni Internazzjonali (CORSIA), li għandha tibda fl-2021. CORSIA hija skema ta’ kumpens tal-karbonju bil-għan li jiġu stabbilizzati l-emissjonijiet netti mill-avjazzjoni internazzjonali fil-livelli tal-2020 permezz tax-xiri u l-kanċellazzjoni ta’ krediti internazzjonali. Fid-dawl ta’ dan ir-riżultat, id-Direttiva dwar l-EU ETS ġiet emendata fl-2017 biex ittawwal il-kamp ta’ applikazzjoni tagħha fi ħdan iż-ŻEE għall-avjazzjoni sal-2023.</w:t>
                            </w:r>
                          </w:p>
                          <w:p>
                            <w:pPr>
                              <w:jc w:val="both"/>
                              <w:rPr>
                                <w:rFonts w:ascii="Times New Roman" w:hAnsi="Times New Roman"/>
                                <w:sz w:val="24"/>
                                <w:szCs w:val="24"/>
                              </w:rPr>
                            </w:pPr>
                            <w:r>
                              <w:rPr>
                                <w:rFonts w:ascii="Times New Roman" w:hAnsi="Times New Roman"/>
                                <w:sz w:val="24"/>
                                <w:szCs w:val="24"/>
                              </w:rPr>
                              <w:t xml:space="preserve">L-EU ETS għall-avjazzjoni tkopri t-titjiriet fuq rotot bejn ajrudromi li jinsabu fiż-Żona Ekonomika Ewropea (ŻEE), u tiżgura t-trattament ugwali tal-linji tal-ajru fir-rotot tat-titjiriet. Id-Direttiva dwar l-EU ETS tipprevedi li l-Kummissjoni Ewropea tirrapporta lill-Parlament Ewropew u lill-Kunsill dwar il-modi kif il-CORSIA tiġi implimentata fid-dritt tal-Unjoni permezz ta’ reviżjoni tad-Direttiva. Sakemm ma tiġix riveduta b’mod attiv, id-deroga tal-kamp ta’ applikazzjoni ġeografiku tal-EU ETS tiskadi fl-aħħar tal-2023, u terġa’ tibda tkopri t-titjiriet kollha li jitilqu miż-ŻEE (u, sakemm ma jkunux eżentati, li jaslu) fiha.  </w:t>
                            </w:r>
                          </w:p>
                          <w:p>
                            <w:pPr>
                              <w:jc w:val="both"/>
                            </w:pPr>
                          </w:p>
                        </w:txbxContent>
                      </wps:txbx>
                      <wps:bodyPr rot="0" vert="horz" wrap="square" lIns="91440" tIns="45720" rIns="91440" bIns="45720" anchor="t" anchorCtr="0">
                        <a:noAutofit/>
                      </wps:bodyPr>
                    </wps:wsp>
                  </a:graphicData>
                </a:graphic>
              </wp:inline>
            </w:drawing>
          </mc:Choice>
          <mc:Fallback>
            <w:pict>
              <v:shape id="_x0000_s1037" type="#_x0000_t202" style="width:451pt;height:3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" fillcolor="#d9d9d9" strokeweight="1pt">
                <v:textbox>
                  <w:txbxContent>
                    <w:p>
                      <w:pPr>
                        <w:jc w:val="both"/>
                        <w:rPr>
                          <w:rFonts w:ascii="Times New Roman" w:hAnsi="Times New Roman"/>
                          <w:sz w:val="24"/>
                          <w:szCs w:val="24"/>
                        </w:rPr>
                      </w:pPr>
                      <w:r>
                        <w:rPr>
                          <w:rFonts w:ascii="Times New Roman" w:hAnsi="Times New Roman"/>
                          <w:sz w:val="24"/>
                          <w:szCs w:val="24"/>
                        </w:rPr>
                        <w:t xml:space="preserve">Is-settur tal-avjazzjoni ilu jagħmel parti mill-EU ETS sa mill-2012. Il-leġiżlazzjoni oriġinali kienet tkopri t-titjiriet kollha lejn iż-Żona Ekonomika Ewropea (ŻEE) u dawk ħerġin minnha.. Madankollu, l-UE ddeċidiet li tillimita temporanjament l-obbligi għat-titjiriet tan-nazzjonalitajiet kollha ta’ linji tal-ajru fi ħdan iż-ŻEE, sabiex tappoġġa l-iżvilupp ta’ miżura globali mill-Organizzazzjoni tal-Avjazzjoni Ċivili Internazzjonali (ICAO) għat-tnaqqis tal-emissjonijiet tal-avjazzjoni.  </w:t>
                      </w:r>
                    </w:p>
                    <w:p>
                      <w:pPr>
                        <w:jc w:val="both"/>
                        <w:rPr>
                          <w:rFonts w:ascii="Times New Roman" w:hAnsi="Times New Roman"/>
                          <w:sz w:val="24"/>
                          <w:szCs w:val="24"/>
                        </w:rPr>
                      </w:pPr>
                      <w:r>
                        <w:rPr>
                          <w:rFonts w:ascii="Times New Roman" w:hAnsi="Times New Roman"/>
                          <w:sz w:val="24"/>
                          <w:szCs w:val="24"/>
                        </w:rPr>
                        <w:t>F’Ottubru 2016, l-Assemblea tal-ICAO qablet fuq riżoluzzjoni dwar l-Iskema ta’ Kumpens u Tnaqqis tal-Karbonju għall-Avjazzjoni Internazzjonali (CORSIA), li għandha tibda fl-2021. CORSIA hija skema ta’ kumpens tal-karbonju bil-għan li jiġu stabbilizzati l-emissjonijiet netti mill-avjazzjoni internazzjonali fil-livelli tal-2020 permezz tax-xiri u l-kanċellazzjoni ta’ krediti internazzjonali. Fid-dawl ta’ dan ir-riżultat, id-Direttiva dwar l-EU ETS ġiet emendata fl-2017 biex ittawwal il-kamp ta’ applikazzjoni tagħha fi ħdan iż-ŻEE għall-avjazzjoni sal-2023.</w:t>
                      </w:r>
                    </w:p>
                    <w:p>
                      <w:pPr>
                        <w:jc w:val="both"/>
                        <w:rPr>
                          <w:rFonts w:ascii="Times New Roman" w:hAnsi="Times New Roman"/>
                          <w:sz w:val="24"/>
                          <w:szCs w:val="24"/>
                        </w:rPr>
                      </w:pPr>
                      <w:r>
                        <w:rPr>
                          <w:rFonts w:ascii="Times New Roman" w:hAnsi="Times New Roman"/>
                          <w:sz w:val="24"/>
                          <w:szCs w:val="24"/>
                        </w:rPr>
                        <w:t xml:space="preserve">L-EU ETS għall-avjazzjoni tkopri t-titjiriet fuq rotot bejn ajrudromi li jinsabu fiż-Żona Ekonomika Ewropea (ŻEE), u tiżgura t-trattament ugwali tal-linji tal-ajru fir-rotot tat-titjiriet. Id-Direttiva dwar l-EU ETS tipprevedi li l-Kummissjoni Ewropea tirrapporta lill-Parlament Ewropew u lill-Kunsill dwar il-modi kif il-CORSIA tiġi implimentata fid-dritt tal-Unjoni permezz ta’ reviżjoni tad-Direttiva. Sakemm ma tiġix riveduta b’mod attiv, id-deroga tal-kamp ta’ applikazzjoni ġeografiku tal-EU ETS tiskadi fl-aħħar tal-2023, u terġa’ tibda tkopri t-titjiriet kollha li jitilqu miż-ŻEE (u, sakemm ma jkunux eżentati, li jaslu) fiha.  </w:t>
                      </w:r>
                    </w:p>
                    <w:p>
                      <w:pPr>
                        <w:jc w:val="both"/>
                      </w:pPr>
                    </w:p>
                  </w:txbxContent>
                </v:textbox>
                <w10:anchorlock/>
              </v:shape>
            </w:pict>
          </mc:Fallback>
        </mc:AlternateContent>
      </w:r>
    </w:p>
    <w:p>
      <w:pPr>
        <w:jc w:val="both"/>
        <w:rPr>
          <w:rFonts w:ascii="Times New Roman" w:hAnsi="Times New Roman"/>
          <w:noProof/>
          <w:sz w:val="24"/>
          <w:szCs w:val="24"/>
        </w:rPr>
      </w:pPr>
      <w:r>
        <w:rPr>
          <w:rFonts w:ascii="Times New Roman" w:hAnsi="Times New Roman"/>
          <w:noProof/>
          <w:sz w:val="24"/>
          <w:szCs w:val="24"/>
        </w:rPr>
        <w:t>Fl-2019, il-kwoti nħarġu skont il-kamp ta’ applikazzjoni intra-ŻEE. L-allokazzjoni bla ħlas ammontat għal kemxejn aktar minn 32,4 miljun kwota. Dan in-numru jinkludi l-allokazzjoni bla ħlas (ftit aktar minn 31,3 miljun kwota) u kważi 1,1 miljun kwota bla ħlas allokati mir-riżerva speċjali għal min jidħol ġdid u għall-operaturi li qed jikbru b’rata mgħaġġla. L-allokazzjonijiet minn din ir-riżerva huma rduppjati fl-2017-2020 peress li huma relatati mal-perjodu sħiħ tal-2013-2020. Il-volum ta’ kwoti rkantati fl-2019 kien ta’ madwar 5,5 miljun kwota. Fir-rigward tal-iżviluppi fl-emissjonijiet mill-avjazzjoni, l-emissjonijiet ivverifikati żdiedu aktar bil-mod fl-2019 (b’1 % meta mqabbla mal-2018), u laħqu l-livell ta’ 68,2 miljun tunnellata ta’ CO</w:t>
      </w:r>
      <w:r>
        <w:rPr>
          <w:rFonts w:ascii="Times New Roman" w:hAnsi="Times New Roman"/>
          <w:noProof/>
          <w:sz w:val="24"/>
          <w:szCs w:val="24"/>
          <w:vertAlign w:val="subscript"/>
        </w:rPr>
        <w:t>2</w:t>
      </w:r>
      <w:r>
        <w:rPr>
          <w:rFonts w:ascii="Times New Roman" w:hAnsi="Times New Roman"/>
          <w:noProof/>
          <w:sz w:val="24"/>
          <w:szCs w:val="24"/>
        </w:rPr>
        <w:t>.</w:t>
      </w:r>
    </w:p>
    <w:p>
      <w:pPr>
        <w:jc w:val="both"/>
        <w:rPr>
          <w:rFonts w:ascii="Times New Roman" w:hAnsi="Times New Roman"/>
          <w:b/>
          <w:noProof/>
        </w:rPr>
      </w:pPr>
      <w:r>
        <w:rPr>
          <w:rFonts w:ascii="Times New Roman" w:hAnsi="Times New Roman"/>
          <w:noProof/>
        </w:rPr>
        <w:t>It-Tabella 8 turi sommarju tal-emissjonijiet ivverifikati, tal-allokazzjoni bla ħlas, u tal-volumi tal-irkant għas-settur tal-avjazzjoni sa mill-bidu tal-fażi 3.</w:t>
      </w:r>
      <w:r>
        <w:rPr>
          <w:rFonts w:ascii="Times New Roman" w:hAnsi="Times New Roman"/>
          <w:b/>
          <w:noProof/>
        </w:rPr>
        <w:t xml:space="preserve"> </w:t>
      </w:r>
    </w:p>
    <w:p>
      <w:pPr>
        <w:jc w:val="both"/>
        <w:rPr>
          <w:rFonts w:ascii="Times New Roman" w:hAnsi="Times New Roman"/>
          <w:b/>
          <w:noProof/>
        </w:rPr>
      </w:pPr>
    </w:p>
    <w:p>
      <w:pPr>
        <w:jc w:val="both"/>
        <w:rPr>
          <w:rFonts w:ascii="Times New Roman" w:hAnsi="Times New Roman"/>
          <w:b/>
          <w:noProof/>
        </w:rPr>
      </w:pPr>
    </w:p>
    <w:p>
      <w:pPr>
        <w:jc w:val="both"/>
        <w:rPr>
          <w:rFonts w:ascii="Times New Roman" w:hAnsi="Times New Roman"/>
          <w:b/>
          <w:noProof/>
        </w:rPr>
      </w:pPr>
    </w:p>
    <w:p>
      <w:pPr>
        <w:jc w:val="both"/>
        <w:rPr>
          <w:rFonts w:ascii="Times New Roman" w:hAnsi="Times New Roman"/>
          <w:b/>
          <w:noProof/>
        </w:rPr>
      </w:pPr>
    </w:p>
    <w:p>
      <w:pPr>
        <w:jc w:val="both"/>
        <w:rPr>
          <w:rFonts w:ascii="Times New Roman" w:hAnsi="Times New Roman"/>
          <w:b/>
          <w:noProof/>
        </w:rPr>
      </w:pPr>
      <w:r>
        <w:rPr>
          <w:rFonts w:ascii="Times New Roman" w:hAnsi="Times New Roman"/>
          <w:b/>
          <w:noProof/>
        </w:rPr>
        <w:t>Tabella 8: Emissjonijiet ivverifikati u allokazzjoni għas-settur tal-avjazzjoni (f’miljuni)</w:t>
      </w:r>
    </w:p>
    <w:tbl>
      <w:tblPr>
        <w:tblW w:w="4941" w:type="pct"/>
        <w:tblInd w:w="108" w:type="dxa"/>
        <w:tblCellMar>
          <w:left w:w="0" w:type="dxa"/>
          <w:right w:w="0" w:type="dxa"/>
        </w:tblCellMar>
        <w:tblLook w:val="04A0" w:firstRow="1" w:lastRow="0" w:firstColumn="1" w:lastColumn="0" w:noHBand="0" w:noVBand="1"/>
      </w:tblPr>
      <w:tblGrid>
        <w:gridCol w:w="2207"/>
        <w:gridCol w:w="782"/>
        <w:gridCol w:w="870"/>
        <w:gridCol w:w="868"/>
        <w:gridCol w:w="866"/>
        <w:gridCol w:w="863"/>
        <w:gridCol w:w="863"/>
        <w:gridCol w:w="863"/>
        <w:gridCol w:w="859"/>
      </w:tblGrid>
      <w:tr>
        <w:trPr>
          <w:trHeight w:val="594"/>
        </w:trPr>
        <w:tc>
          <w:tcPr>
            <w:tcW w:w="1221"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sz w:val="20"/>
                <w:szCs w:val="20"/>
              </w:rPr>
            </w:pPr>
            <w:r>
              <w:rPr>
                <w:noProof/>
              </w:rPr>
              <w:t xml:space="preserve"> </w:t>
            </w:r>
            <w:r>
              <w:rPr>
                <w:noProof/>
              </w:rPr>
              <w:br/>
            </w:r>
            <w:r>
              <w:rPr>
                <w:rFonts w:ascii="Times New Roman" w:hAnsi="Times New Roman"/>
                <w:b/>
                <w:bCs/>
                <w:noProof/>
                <w:sz w:val="20"/>
                <w:szCs w:val="20"/>
              </w:rPr>
              <w:t>Sena</w:t>
            </w:r>
          </w:p>
        </w:tc>
        <w:tc>
          <w:tcPr>
            <w:tcW w:w="433" w:type="pct"/>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sz w:val="20"/>
                <w:szCs w:val="20"/>
              </w:rPr>
            </w:pPr>
            <w:r>
              <w:rPr>
                <w:rFonts w:ascii="Times New Roman" w:hAnsi="Times New Roman"/>
                <w:b/>
                <w:bCs/>
                <w:noProof/>
                <w:sz w:val="20"/>
                <w:szCs w:val="20"/>
              </w:rPr>
              <w:t>2013</w:t>
            </w:r>
          </w:p>
        </w:tc>
        <w:tc>
          <w:tcPr>
            <w:tcW w:w="481" w:type="pct"/>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sz w:val="20"/>
                <w:szCs w:val="20"/>
              </w:rPr>
            </w:pPr>
            <w:r>
              <w:rPr>
                <w:rFonts w:ascii="Times New Roman" w:hAnsi="Times New Roman"/>
                <w:b/>
                <w:bCs/>
                <w:noProof/>
                <w:sz w:val="20"/>
                <w:szCs w:val="20"/>
              </w:rPr>
              <w:t>2014</w:t>
            </w:r>
          </w:p>
        </w:tc>
        <w:tc>
          <w:tcPr>
            <w:tcW w:w="480" w:type="pct"/>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sz w:val="20"/>
                <w:szCs w:val="20"/>
              </w:rPr>
            </w:pPr>
            <w:r>
              <w:rPr>
                <w:rFonts w:ascii="Times New Roman" w:hAnsi="Times New Roman"/>
                <w:b/>
                <w:bCs/>
                <w:noProof/>
                <w:sz w:val="20"/>
                <w:szCs w:val="20"/>
              </w:rPr>
              <w:t>2015</w:t>
            </w:r>
          </w:p>
        </w:tc>
        <w:tc>
          <w:tcPr>
            <w:tcW w:w="479" w:type="pct"/>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sz w:val="20"/>
                <w:szCs w:val="20"/>
              </w:rPr>
            </w:pPr>
            <w:r>
              <w:rPr>
                <w:rFonts w:ascii="Times New Roman" w:hAnsi="Times New Roman"/>
                <w:b/>
                <w:bCs/>
                <w:noProof/>
                <w:sz w:val="20"/>
                <w:szCs w:val="20"/>
              </w:rPr>
              <w:t>2016</w:t>
            </w:r>
          </w:p>
        </w:tc>
        <w:tc>
          <w:tcPr>
            <w:tcW w:w="477" w:type="pct"/>
            <w:tcBorders>
              <w:top w:val="double" w:sz="4" w:space="0" w:color="auto"/>
              <w:left w:val="nil"/>
              <w:bottom w:val="double" w:sz="4" w:space="0" w:color="auto"/>
              <w:right w:val="double" w:sz="4" w:space="0" w:color="auto"/>
            </w:tcBorders>
            <w:vAlign w:val="center"/>
          </w:tcPr>
          <w:p>
            <w:pPr>
              <w:jc w:val="center"/>
              <w:rPr>
                <w:rFonts w:ascii="Times New Roman" w:hAnsi="Times New Roman"/>
                <w:b/>
                <w:bCs/>
                <w:noProof/>
                <w:sz w:val="20"/>
                <w:szCs w:val="20"/>
              </w:rPr>
            </w:pPr>
            <w:r>
              <w:rPr>
                <w:rFonts w:ascii="Times New Roman" w:hAnsi="Times New Roman"/>
                <w:b/>
                <w:bCs/>
                <w:noProof/>
                <w:sz w:val="20"/>
                <w:szCs w:val="20"/>
              </w:rPr>
              <w:t>2017</w:t>
            </w:r>
          </w:p>
        </w:tc>
        <w:tc>
          <w:tcPr>
            <w:tcW w:w="477" w:type="pct"/>
            <w:tcBorders>
              <w:top w:val="double" w:sz="4" w:space="0" w:color="auto"/>
              <w:left w:val="nil"/>
              <w:bottom w:val="double" w:sz="4" w:space="0" w:color="auto"/>
              <w:right w:val="double" w:sz="4" w:space="0" w:color="auto"/>
            </w:tcBorders>
            <w:vAlign w:val="center"/>
          </w:tcPr>
          <w:p>
            <w:pPr>
              <w:jc w:val="center"/>
              <w:rPr>
                <w:rFonts w:ascii="Times New Roman" w:hAnsi="Times New Roman"/>
                <w:b/>
                <w:bCs/>
                <w:noProof/>
                <w:sz w:val="20"/>
                <w:szCs w:val="20"/>
              </w:rPr>
            </w:pPr>
            <w:r>
              <w:rPr>
                <w:rFonts w:ascii="Times New Roman" w:hAnsi="Times New Roman"/>
                <w:b/>
                <w:bCs/>
                <w:noProof/>
                <w:sz w:val="20"/>
                <w:szCs w:val="20"/>
              </w:rPr>
              <w:t>2018</w:t>
            </w:r>
          </w:p>
        </w:tc>
        <w:tc>
          <w:tcPr>
            <w:tcW w:w="477" w:type="pct"/>
            <w:tcBorders>
              <w:top w:val="double" w:sz="4" w:space="0" w:color="auto"/>
              <w:left w:val="nil"/>
              <w:bottom w:val="double" w:sz="4" w:space="0" w:color="auto"/>
              <w:right w:val="double" w:sz="4" w:space="0" w:color="auto"/>
            </w:tcBorders>
            <w:vAlign w:val="center"/>
          </w:tcPr>
          <w:p>
            <w:pPr>
              <w:jc w:val="center"/>
              <w:rPr>
                <w:rFonts w:ascii="Times New Roman" w:hAnsi="Times New Roman"/>
                <w:b/>
                <w:bCs/>
                <w:noProof/>
                <w:sz w:val="20"/>
                <w:szCs w:val="20"/>
              </w:rPr>
            </w:pPr>
            <w:r>
              <w:rPr>
                <w:rFonts w:ascii="Times New Roman" w:hAnsi="Times New Roman"/>
                <w:b/>
                <w:bCs/>
                <w:noProof/>
                <w:sz w:val="20"/>
                <w:szCs w:val="20"/>
              </w:rPr>
              <w:t>2019</w:t>
            </w:r>
          </w:p>
        </w:tc>
        <w:tc>
          <w:tcPr>
            <w:tcW w:w="477" w:type="pct"/>
            <w:tcBorders>
              <w:top w:val="double" w:sz="4" w:space="0" w:color="auto"/>
              <w:left w:val="nil"/>
              <w:bottom w:val="double" w:sz="4" w:space="0" w:color="auto"/>
              <w:right w:val="double" w:sz="4" w:space="0" w:color="auto"/>
            </w:tcBorders>
            <w:vAlign w:val="center"/>
          </w:tcPr>
          <w:p>
            <w:pPr>
              <w:jc w:val="center"/>
              <w:rPr>
                <w:rFonts w:ascii="Times New Roman" w:hAnsi="Times New Roman"/>
                <w:b/>
                <w:bCs/>
                <w:noProof/>
                <w:sz w:val="20"/>
                <w:szCs w:val="20"/>
              </w:rPr>
            </w:pPr>
            <w:r>
              <w:rPr>
                <w:rFonts w:ascii="Times New Roman" w:hAnsi="Times New Roman"/>
                <w:b/>
                <w:bCs/>
                <w:noProof/>
                <w:sz w:val="20"/>
                <w:szCs w:val="20"/>
              </w:rPr>
              <w:t>2020</w:t>
            </w:r>
          </w:p>
        </w:tc>
      </w:tr>
      <w:tr>
        <w:trPr>
          <w:trHeight w:val="748"/>
        </w:trPr>
        <w:tc>
          <w:tcPr>
            <w:tcW w:w="1221" w:type="pct"/>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FF0000"/>
                <w:sz w:val="20"/>
                <w:szCs w:val="20"/>
              </w:rPr>
            </w:pPr>
            <w:r>
              <w:rPr>
                <w:noProof/>
              </w:rPr>
              <w:t xml:space="preserve"> </w:t>
            </w:r>
            <w:r>
              <w:rPr>
                <w:noProof/>
              </w:rPr>
              <w:br/>
            </w:r>
            <w:r>
              <w:rPr>
                <w:rFonts w:ascii="Times New Roman" w:hAnsi="Times New Roman"/>
                <w:b/>
                <w:bCs/>
                <w:noProof/>
                <w:color w:val="000000"/>
                <w:sz w:val="20"/>
                <w:szCs w:val="20"/>
              </w:rPr>
              <w:t>Emissjonijiet ivverifikati (f’miljuni ta’ tunnellati ta’ ekwivalenti ta’ CO</w:t>
            </w:r>
            <w:r>
              <w:rPr>
                <w:rFonts w:ascii="Times New Roman" w:hAnsi="Times New Roman"/>
                <w:b/>
                <w:bCs/>
                <w:noProof/>
                <w:color w:val="000000"/>
                <w:sz w:val="20"/>
                <w:szCs w:val="20"/>
                <w:vertAlign w:val="subscript"/>
              </w:rPr>
              <w:t>2</w:t>
            </w:r>
            <w:r>
              <w:rPr>
                <w:rFonts w:ascii="Times New Roman" w:hAnsi="Times New Roman"/>
                <w:b/>
                <w:bCs/>
                <w:noProof/>
                <w:color w:val="000000"/>
                <w:sz w:val="20"/>
                <w:szCs w:val="20"/>
              </w:rPr>
              <w:t>)</w:t>
            </w:r>
          </w:p>
        </w:tc>
        <w:tc>
          <w:tcPr>
            <w:tcW w:w="433"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53,5</w:t>
            </w:r>
          </w:p>
        </w:tc>
        <w:tc>
          <w:tcPr>
            <w:tcW w:w="48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54,8</w:t>
            </w:r>
          </w:p>
        </w:tc>
        <w:tc>
          <w:tcPr>
            <w:tcW w:w="48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57,1</w:t>
            </w:r>
          </w:p>
        </w:tc>
        <w:tc>
          <w:tcPr>
            <w:tcW w:w="479"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61,5</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64,4</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67,5</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68,2</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lang w:eastAsia="en-GB"/>
              </w:rPr>
            </w:pPr>
          </w:p>
        </w:tc>
      </w:tr>
      <w:tr>
        <w:trPr>
          <w:trHeight w:val="758"/>
        </w:trPr>
        <w:tc>
          <w:tcPr>
            <w:tcW w:w="1221" w:type="pct"/>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color w:val="000000"/>
                <w:sz w:val="20"/>
                <w:szCs w:val="20"/>
              </w:rPr>
            </w:pPr>
            <w:r>
              <w:rPr>
                <w:noProof/>
              </w:rPr>
              <w:t xml:space="preserve"> </w:t>
            </w:r>
            <w:r>
              <w:rPr>
                <w:noProof/>
              </w:rPr>
              <w:br/>
            </w:r>
            <w:r>
              <w:rPr>
                <w:rFonts w:ascii="Times New Roman" w:hAnsi="Times New Roman"/>
                <w:b/>
                <w:bCs/>
                <w:noProof/>
                <w:color w:val="000000"/>
                <w:sz w:val="20"/>
                <w:szCs w:val="20"/>
              </w:rPr>
              <w:t>Bidla fl-emissjonijiet ivverifikati għas-sena x-1</w:t>
            </w:r>
          </w:p>
        </w:tc>
        <w:tc>
          <w:tcPr>
            <w:tcW w:w="433"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lang w:eastAsia="en-GB"/>
              </w:rPr>
            </w:pPr>
          </w:p>
        </w:tc>
        <w:tc>
          <w:tcPr>
            <w:tcW w:w="48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2,5%</w:t>
            </w:r>
          </w:p>
        </w:tc>
        <w:tc>
          <w:tcPr>
            <w:tcW w:w="48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4,1%</w:t>
            </w:r>
          </w:p>
        </w:tc>
        <w:tc>
          <w:tcPr>
            <w:tcW w:w="479"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7,7%</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4,8%</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4,8%</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1%</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lang w:eastAsia="en-GB"/>
              </w:rPr>
            </w:pPr>
          </w:p>
        </w:tc>
      </w:tr>
      <w:tr>
        <w:trPr>
          <w:trHeight w:val="758"/>
        </w:trPr>
        <w:tc>
          <w:tcPr>
            <w:tcW w:w="1221" w:type="pct"/>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color w:val="000000"/>
                <w:sz w:val="20"/>
                <w:szCs w:val="20"/>
              </w:rPr>
            </w:pPr>
            <w:r>
              <w:rPr>
                <w:noProof/>
              </w:rPr>
              <w:t xml:space="preserve"> </w:t>
            </w:r>
            <w:r>
              <w:rPr>
                <w:noProof/>
              </w:rPr>
              <w:br/>
            </w:r>
            <w:r>
              <w:rPr>
                <w:rFonts w:ascii="Times New Roman" w:hAnsi="Times New Roman"/>
                <w:b/>
                <w:bCs/>
                <w:noProof/>
                <w:color w:val="000000"/>
                <w:sz w:val="20"/>
                <w:szCs w:val="20"/>
              </w:rPr>
              <w:t>Allokazzjoni bla ħlas (EU27+UK+ŻEE)</w:t>
            </w:r>
            <w:r>
              <w:rPr>
                <w:rStyle w:val="FootnoteReference"/>
                <w:rFonts w:ascii="Times New Roman" w:hAnsi="Times New Roman"/>
                <w:b/>
                <w:bCs/>
                <w:noProof/>
                <w:color w:val="000000"/>
                <w:sz w:val="20"/>
                <w:szCs w:val="20"/>
                <w:lang w:eastAsia="en-GB"/>
              </w:rPr>
              <w:footnoteReference w:id="65"/>
            </w:r>
          </w:p>
        </w:tc>
        <w:tc>
          <w:tcPr>
            <w:tcW w:w="433"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32,4</w:t>
            </w:r>
          </w:p>
        </w:tc>
        <w:tc>
          <w:tcPr>
            <w:tcW w:w="48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32,4</w:t>
            </w:r>
          </w:p>
        </w:tc>
        <w:tc>
          <w:tcPr>
            <w:tcW w:w="48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32,1</w:t>
            </w:r>
          </w:p>
        </w:tc>
        <w:tc>
          <w:tcPr>
            <w:tcW w:w="479"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32,0</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33,1</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31,3</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31,3</w:t>
            </w:r>
            <w:r>
              <w:rPr>
                <w:rStyle w:val="FootnoteReference"/>
                <w:rFonts w:ascii="Times New Roman" w:hAnsi="Times New Roman"/>
                <w:noProof/>
                <w:color w:val="000000"/>
                <w:sz w:val="20"/>
                <w:szCs w:val="20"/>
                <w:lang w:eastAsia="en-GB"/>
              </w:rPr>
              <w:footnoteReference w:id="66"/>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31,2</w:t>
            </w:r>
          </w:p>
        </w:tc>
      </w:tr>
      <w:tr>
        <w:trPr>
          <w:trHeight w:val="750"/>
        </w:trPr>
        <w:tc>
          <w:tcPr>
            <w:tcW w:w="1221" w:type="pct"/>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color w:val="000000"/>
                <w:sz w:val="20"/>
                <w:szCs w:val="20"/>
              </w:rPr>
            </w:pPr>
            <w:r>
              <w:rPr>
                <w:rFonts w:ascii="Times New Roman" w:hAnsi="Times New Roman"/>
                <w:b/>
                <w:bCs/>
                <w:noProof/>
                <w:color w:val="000000"/>
                <w:sz w:val="20"/>
                <w:szCs w:val="20"/>
              </w:rPr>
              <w:t>Allokazzjoni bla ħlas minn riżerva speċjali għal min jidħol ġdid u għall-operaturi li qegħdin jikbru malajr</w:t>
            </w:r>
          </w:p>
        </w:tc>
        <w:tc>
          <w:tcPr>
            <w:tcW w:w="433"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0</w:t>
            </w:r>
          </w:p>
        </w:tc>
        <w:tc>
          <w:tcPr>
            <w:tcW w:w="481"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0</w:t>
            </w:r>
          </w:p>
        </w:tc>
        <w:tc>
          <w:tcPr>
            <w:tcW w:w="480"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0</w:t>
            </w:r>
          </w:p>
        </w:tc>
        <w:tc>
          <w:tcPr>
            <w:tcW w:w="479" w:type="pct"/>
            <w:tcBorders>
              <w:top w:val="nil"/>
              <w:left w:val="nil"/>
              <w:bottom w:val="double" w:sz="4" w:space="0" w:color="auto"/>
              <w:right w:val="double" w:sz="4" w:space="0" w:color="auto"/>
            </w:tcBorders>
            <w:tcMar>
              <w:top w:w="0" w:type="dxa"/>
              <w:left w:w="108" w:type="dxa"/>
              <w:bottom w:w="0" w:type="dxa"/>
              <w:right w:w="108" w:type="dxa"/>
            </w:tcMar>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0</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1,1</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1,1</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1,1</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0,9</w:t>
            </w:r>
          </w:p>
        </w:tc>
      </w:tr>
      <w:tr>
        <w:trPr>
          <w:trHeight w:val="620"/>
        </w:trPr>
        <w:tc>
          <w:tcPr>
            <w:tcW w:w="1221" w:type="pct"/>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b/>
                <w:bCs/>
                <w:noProof/>
                <w:color w:val="000000"/>
                <w:sz w:val="20"/>
                <w:szCs w:val="20"/>
              </w:rPr>
            </w:pPr>
            <w:r>
              <w:rPr>
                <w:rFonts w:ascii="Times New Roman" w:hAnsi="Times New Roman"/>
                <w:b/>
                <w:bCs/>
                <w:noProof/>
                <w:color w:val="000000"/>
                <w:sz w:val="20"/>
                <w:szCs w:val="20"/>
              </w:rPr>
              <w:t>Volumi ta’ kwoti rkantati</w:t>
            </w:r>
          </w:p>
        </w:tc>
        <w:tc>
          <w:tcPr>
            <w:tcW w:w="433"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0</w:t>
            </w:r>
          </w:p>
        </w:tc>
        <w:tc>
          <w:tcPr>
            <w:tcW w:w="481"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9,3</w:t>
            </w:r>
          </w:p>
        </w:tc>
        <w:tc>
          <w:tcPr>
            <w:tcW w:w="480"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16,4</w:t>
            </w:r>
          </w:p>
        </w:tc>
        <w:tc>
          <w:tcPr>
            <w:tcW w:w="479" w:type="pct"/>
            <w:tcBorders>
              <w:top w:val="nil"/>
              <w:left w:val="nil"/>
              <w:bottom w:val="double" w:sz="4" w:space="0" w:color="auto"/>
              <w:right w:val="double" w:sz="4" w:space="0" w:color="auto"/>
            </w:tcBorders>
            <w:tcMar>
              <w:top w:w="0" w:type="dxa"/>
              <w:left w:w="108" w:type="dxa"/>
              <w:bottom w:w="0" w:type="dxa"/>
              <w:right w:w="108" w:type="dxa"/>
            </w:tcMar>
            <w:vAlign w:val="center"/>
            <w:hideMark/>
          </w:tcPr>
          <w:p>
            <w:pPr>
              <w:jc w:val="center"/>
              <w:rPr>
                <w:rFonts w:ascii="Times New Roman" w:hAnsi="Times New Roman"/>
                <w:noProof/>
                <w:color w:val="000000"/>
                <w:sz w:val="20"/>
                <w:szCs w:val="20"/>
              </w:rPr>
            </w:pPr>
            <w:r>
              <w:rPr>
                <w:rFonts w:ascii="Times New Roman" w:hAnsi="Times New Roman"/>
                <w:noProof/>
                <w:color w:val="000000"/>
                <w:sz w:val="20"/>
                <w:szCs w:val="20"/>
              </w:rPr>
              <w:t>6,0</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4,7</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5,6</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5,5</w:t>
            </w:r>
          </w:p>
        </w:tc>
        <w:tc>
          <w:tcPr>
            <w:tcW w:w="477" w:type="pct"/>
            <w:tcBorders>
              <w:top w:val="nil"/>
              <w:left w:val="nil"/>
              <w:bottom w:val="double" w:sz="4" w:space="0" w:color="auto"/>
              <w:right w:val="double" w:sz="4" w:space="0" w:color="auto"/>
            </w:tcBorders>
            <w:vAlign w:val="center"/>
          </w:tcPr>
          <w:p>
            <w:pPr>
              <w:jc w:val="center"/>
              <w:rPr>
                <w:rFonts w:ascii="Times New Roman" w:hAnsi="Times New Roman"/>
                <w:noProof/>
                <w:color w:val="000000"/>
                <w:sz w:val="20"/>
                <w:szCs w:val="20"/>
              </w:rPr>
            </w:pPr>
            <w:r>
              <w:rPr>
                <w:rFonts w:ascii="Times New Roman" w:hAnsi="Times New Roman"/>
                <w:noProof/>
                <w:color w:val="000000"/>
                <w:sz w:val="20"/>
                <w:szCs w:val="20"/>
              </w:rPr>
              <w:t>3,4</w:t>
            </w:r>
            <w:r>
              <w:rPr>
                <w:rStyle w:val="FootnoteReference"/>
                <w:rFonts w:ascii="Times New Roman" w:hAnsi="Times New Roman"/>
                <w:noProof/>
                <w:color w:val="000000"/>
                <w:sz w:val="20"/>
                <w:szCs w:val="20"/>
                <w:lang w:eastAsia="en-GB"/>
              </w:rPr>
              <w:footnoteReference w:id="67"/>
            </w:r>
          </w:p>
        </w:tc>
      </w:tr>
    </w:tbl>
    <w:p>
      <w:pPr>
        <w:jc w:val="both"/>
        <w:rPr>
          <w:rFonts w:ascii="Times New Roman" w:hAnsi="Times New Roman"/>
          <w:noProof/>
          <w:sz w:val="18"/>
          <w:szCs w:val="18"/>
        </w:rPr>
      </w:pPr>
      <w:r>
        <w:rPr>
          <w:rFonts w:ascii="Times New Roman" w:hAnsi="Times New Roman"/>
          <w:noProof/>
          <w:sz w:val="18"/>
          <w:szCs w:val="18"/>
        </w:rPr>
        <w:t>Sorsi: EUTL, DĠ Azzjoni Klimatika, EEX</w:t>
      </w:r>
    </w:p>
    <w:p>
      <w:pPr>
        <w:jc w:val="both"/>
        <w:rPr>
          <w:rFonts w:ascii="Times New Roman" w:hAnsi="Times New Roman"/>
          <w:noProof/>
          <w:sz w:val="24"/>
          <w:szCs w:val="24"/>
        </w:rPr>
      </w:pPr>
      <w:r>
        <w:rPr>
          <w:rFonts w:ascii="Times New Roman" w:hAnsi="Times New Roman"/>
          <w:noProof/>
          <w:sz w:val="24"/>
          <w:szCs w:val="24"/>
        </w:rPr>
        <w:t>Il-volumi ta’ kwoti tal-avjazzjoni rkantati matul il-perjodu 2013-2015 jirriflettu d-deċiżjoni tal-koleġiżlatur tal-2013 biex “jitwaqqaf l-arloġġ”</w:t>
      </w:r>
      <w:r>
        <w:rPr>
          <w:rStyle w:val="FootnoteReference"/>
          <w:rFonts w:ascii="Times New Roman" w:hAnsi="Times New Roman"/>
          <w:noProof/>
          <w:sz w:val="24"/>
          <w:szCs w:val="24"/>
        </w:rPr>
        <w:footnoteReference w:id="68"/>
      </w:r>
      <w:r>
        <w:rPr>
          <w:rFonts w:ascii="Times New Roman" w:hAnsi="Times New Roman"/>
          <w:noProof/>
          <w:sz w:val="24"/>
          <w:szCs w:val="24"/>
        </w:rPr>
        <w:t xml:space="preserve"> u biex l-obbligi tal-klima jiġu limitati biss għal titjiriet fi ħdan iż-ŻEE. Il-konformità għas-settur tal-avjazzjoni ġiet posposta għall-2012 u l-2013. Għalhekk, il-volumi ta’ kwoti posposti tal-2012 ġew irkantati fl-2014, filwaqt li kien hemm konformità bejn Jannar u April 2015 għall-emissjonijiet tal-avjazzjoni mill-2013 u l-2014. </w:t>
      </w:r>
    </w:p>
    <w:p>
      <w:pPr>
        <w:jc w:val="both"/>
        <w:rPr>
          <w:noProof/>
        </w:rPr>
      </w:pPr>
      <w:r>
        <w:rPr>
          <w:rFonts w:ascii="Times New Roman" w:hAnsi="Times New Roman"/>
          <w:noProof/>
          <w:sz w:val="24"/>
          <w:szCs w:val="24"/>
        </w:rPr>
        <w:t>L-inklużjoni tas-settur tal-avjazzjoni fl-EU ETS kellha impatt sinifikanti fuq il-prestazzjoni ambjentali tas-sistema kollha kemm hi. Fil-Fażi 3, sal-2019, l-operaturi tal-inġenji tal-ajru ċedew 296 miljun kwota tal-avjazzjoni u 127 miljun kwota ġenerali, din l-aħħar ċifra tirrappreżenta l-kontribuzzjoni tas-settur tal-avjazzjoni għall-istrettezza ġenerali tal-EU ETS.</w:t>
      </w:r>
    </w:p>
    <w:p>
      <w:pPr>
        <w:jc w:val="both"/>
        <w:rPr>
          <w:rFonts w:ascii="Times New Roman" w:hAnsi="Times New Roman"/>
          <w:noProof/>
          <w:sz w:val="24"/>
          <w:szCs w:val="24"/>
        </w:rPr>
      </w:pPr>
      <w:r>
        <w:rPr>
          <w:rFonts w:ascii="Times New Roman" w:hAnsi="Times New Roman"/>
          <w:noProof/>
          <w:sz w:val="24"/>
          <w:szCs w:val="24"/>
        </w:rPr>
        <w:t>F’Ġunju 2018, l-ICAO adottat l-Istandards u l-Prattiki Rakkomandati tal-CORSIA (SARPs)</w:t>
      </w:r>
      <w:r>
        <w:rPr>
          <w:rStyle w:val="FootnoteReference"/>
          <w:rFonts w:ascii="Times New Roman" w:hAnsi="Times New Roman"/>
          <w:noProof/>
          <w:sz w:val="24"/>
          <w:szCs w:val="24"/>
        </w:rPr>
        <w:footnoteReference w:id="69"/>
      </w:r>
      <w:r>
        <w:rPr>
          <w:rFonts w:ascii="Times New Roman" w:hAnsi="Times New Roman"/>
          <w:noProof/>
          <w:sz w:val="24"/>
          <w:szCs w:val="24"/>
        </w:rPr>
        <w:t>, li, flimkien mal-Elementi ta’ Implimentazzjoni, jagħtu d-dettalji ta’ kif tiffunzjona l-iskema. Filwaqt li jappoġġaw l-adozzjoni formali tal-SARPs mill-ICAO, l-UE u l-Istati Membri tagħha segwew il-proċeduri tal-ICAO biex jinnotifikaw id-differenzi li hemm bejn il-leġiżlazzjoni rilevanti tal-UE u l-CORSIA</w:t>
      </w:r>
      <w:r>
        <w:rPr>
          <w:rStyle w:val="FootnoteReference"/>
          <w:rFonts w:ascii="Times New Roman" w:hAnsi="Times New Roman"/>
          <w:noProof/>
          <w:sz w:val="24"/>
          <w:szCs w:val="24"/>
        </w:rPr>
        <w:footnoteReference w:id="70"/>
      </w:r>
      <w:r>
        <w:rPr>
          <w:rFonts w:ascii="Times New Roman" w:hAnsi="Times New Roman"/>
          <w:noProof/>
          <w:sz w:val="24"/>
          <w:szCs w:val="24"/>
        </w:rPr>
        <w:t>. Id-differenzi minn Stati oħra għadhom ma ġewx ippubblikati mill-ICAO.</w:t>
      </w:r>
    </w:p>
    <w:p>
      <w:pPr>
        <w:jc w:val="both"/>
        <w:rPr>
          <w:rFonts w:ascii="Times New Roman" w:hAnsi="Times New Roman"/>
          <w:noProof/>
          <w:sz w:val="24"/>
          <w:szCs w:val="24"/>
        </w:rPr>
      </w:pPr>
      <w:r>
        <w:rPr>
          <w:rFonts w:ascii="Times New Roman" w:hAnsi="Times New Roman"/>
          <w:noProof/>
          <w:sz w:val="24"/>
          <w:szCs w:val="24"/>
        </w:rPr>
        <w:t>L-impatt sinifikanti tal-COVID-19 fuq l-avjazzjoni internazzjonali kellu wkoll riperkussjonijiet fuq il-CORSIA. L-emissjonijiet mill-avjazzjoni fl-2020 huma mistennija li jonqsu għal inqas minn 40 % tal-livelli tal-2019. Fid-dawl ta’ dan l-impatt, l-industrija globali tal-avjazzjoni, appoġġata minn bosta pajjiżi parteċipanti tal-ICAO, talbet b’suċċess il-bidla tal-linja bażi tal-CORSIA mill-medja oriġinali tal-emissjonijiet tal-2019-2020 għal medja tal-2019 biss għall-fażi pilota tal-CORSIA. B’hekk, l-obbligi ta’ kumpens futuri għal-linji tal-ajru tnaqqsu b’mod sinifikanti jew ġew eliminati meta mqabbla mal-linja bażi prevista oriġinarjament. Jekk il-linja bażi tal-2019 biss tiġix estiża lil hinn mill-2023 irid jiġi deċiż fis-snin li ġejjin.</w:t>
      </w:r>
    </w:p>
    <w:p>
      <w:pPr>
        <w:jc w:val="both"/>
        <w:rPr>
          <w:rFonts w:ascii="Times New Roman" w:hAnsi="Times New Roman"/>
          <w:noProof/>
          <w:sz w:val="24"/>
          <w:szCs w:val="24"/>
        </w:rPr>
      </w:pPr>
      <w:r>
        <w:rPr>
          <w:rFonts w:ascii="Times New Roman" w:hAnsi="Times New Roman"/>
          <w:noProof/>
          <w:sz w:val="24"/>
          <w:szCs w:val="24"/>
        </w:rPr>
        <w:t>Bħala parti mill-pakkett ġenerali tal-leġiżlazzjoni skont il-Ftehim Ekoloġiku Ewropew u abbażi tad-Direttiva dwar l-EU ETS kif emendata fl-2017</w:t>
      </w:r>
      <w:r>
        <w:rPr>
          <w:rStyle w:val="FootnoteReference"/>
          <w:rFonts w:ascii="Times New Roman" w:hAnsi="Times New Roman"/>
          <w:noProof/>
          <w:sz w:val="24"/>
          <w:szCs w:val="24"/>
        </w:rPr>
        <w:footnoteReference w:id="71"/>
      </w:r>
      <w:r>
        <w:rPr>
          <w:rFonts w:ascii="Times New Roman" w:hAnsi="Times New Roman"/>
          <w:noProof/>
          <w:sz w:val="24"/>
          <w:szCs w:val="24"/>
        </w:rPr>
        <w:t>, il-Kummissjoni bħalissa qed tħejji proposta biex temenda l-EU ETS għall-avjazzjoni sa Ġunju 2021. Il-proposta se tkun doppja. Se tnaqqas is-sehem tal-kwoti allokati mingħajr ħlas lill-operaturi tal-inġenji tal-ajru, biex tnaqqas aktar l-emissjonijiet tal-gassijiet serra. Se tindirizza wkoll l-implimentazzjoni tal-CORSIA fid-dritt tal-Unjoni b’mod li huwa konsistenti mal-objettivi għall-klima tal-UE għall-2030.</w:t>
      </w:r>
      <w:r>
        <w:rPr>
          <w:rStyle w:val="FootnoteReference"/>
          <w:rFonts w:ascii="Times New Roman" w:hAnsi="Times New Roman"/>
          <w:noProof/>
          <w:sz w:val="24"/>
          <w:szCs w:val="24"/>
        </w:rPr>
        <w:footnoteReference w:id="72"/>
      </w:r>
      <w:r>
        <w:rPr>
          <w:rFonts w:ascii="Times New Roman" w:hAnsi="Times New Roman"/>
          <w:noProof/>
          <w:sz w:val="24"/>
          <w:szCs w:val="24"/>
        </w:rPr>
        <w:t xml:space="preserve"> Ir-reviżjonijiet li diġà sar qbil fuqhom fl-EU ETS jipprevedu l-estensjoni tal-Fattur ta’ Tnaqqis Lineari ta’ 2,2 % għal-limitu massimu tal-avjazzjoni mill-fażi 4 tal-EU ETS, li tibda fl-2021.  </w:t>
      </w:r>
    </w:p>
    <w:p>
      <w:pPr>
        <w:jc w:val="both"/>
        <w:rPr>
          <w:rFonts w:ascii="Times New Roman" w:hAnsi="Times New Roman"/>
          <w:noProof/>
          <w:sz w:val="24"/>
          <w:szCs w:val="24"/>
        </w:rPr>
      </w:pPr>
    </w:p>
    <w:p>
      <w:pPr>
        <w:pStyle w:val="Heading1"/>
        <w:spacing w:before="0" w:after="200"/>
        <w:rPr>
          <w:noProof/>
        </w:rPr>
      </w:pPr>
      <w:bookmarkStart w:id="51" w:name="_Toc490850435"/>
      <w:bookmarkStart w:id="52" w:name="_Toc519009686"/>
      <w:bookmarkStart w:id="53" w:name="_Toc56000807"/>
      <w:r>
        <w:rPr>
          <w:noProof/>
        </w:rPr>
        <w:t>5. SORVELJANZA TAS-SUQ</w:t>
      </w:r>
      <w:bookmarkEnd w:id="51"/>
      <w:bookmarkEnd w:id="52"/>
      <w:bookmarkEnd w:id="53"/>
    </w:p>
    <w:p>
      <w:pPr>
        <w:jc w:val="both"/>
        <w:rPr>
          <w:rFonts w:ascii="Times New Roman" w:hAnsi="Times New Roman"/>
          <w:noProof/>
          <w:sz w:val="24"/>
          <w:szCs w:val="24"/>
        </w:rPr>
      </w:pPr>
      <w:r>
        <w:rPr>
          <w:rFonts w:ascii="Times New Roman" w:hAnsi="Times New Roman"/>
          <w:noProof/>
          <w:sz w:val="24"/>
          <w:szCs w:val="24"/>
          <w:lang w:val="en-GB" w:eastAsia="en-GB"/>
        </w:rPr>
        <mc:AlternateContent>
          <mc:Choice Requires="wps">
            <w:drawing>
              <wp:inline distT="0" distB="0" distL="0" distR="0">
                <wp:extent cx="5731510" cy="5791200"/>
                <wp:effectExtent l="0" t="0" r="21590" b="1905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791200"/>
                        </a:xfrm>
                        <a:prstGeom prst="rect">
                          <a:avLst/>
                        </a:prstGeom>
                        <a:solidFill>
                          <a:sysClr val="window" lastClr="FFFFFF">
                            <a:lumMod val="85000"/>
                          </a:sysClr>
                        </a:solidFill>
                        <a:ln w="12700">
                          <a:solidFill>
                            <a:srgbClr val="000000"/>
                          </a:solidFill>
                          <a:miter lim="800000"/>
                          <a:headEnd/>
                          <a:tailEnd/>
                        </a:ln>
                      </wps:spPr>
                      <wps:txbx>
                        <w:txbxContent>
                          <w:p>
                            <w:pPr>
                              <w:jc w:val="both"/>
                              <w:rPr>
                                <w:rFonts w:ascii="Times New Roman" w:hAnsi="Times New Roman"/>
                                <w:sz w:val="24"/>
                                <w:szCs w:val="24"/>
                              </w:rPr>
                            </w:pPr>
                            <w:r>
                              <w:rPr>
                                <w:rFonts w:ascii="Times New Roman" w:hAnsi="Times New Roman"/>
                                <w:sz w:val="24"/>
                                <w:szCs w:val="24"/>
                              </w:rPr>
                              <w:t>Skont id-Direttiva riveduta dwar is-Swieq fl-Istrumenti Finanzjarji* (MiFID2), il-kwoti tal-emissjonijiet huma kklassifikati bħala strumenti finanzjarji mit-3 ta’ Jannar 2018. Dan ifisser li r-regoli li japplikaw għas-swieq finanzjarji tradizzjonali (dawk li jinkludu n-negozju ta’ derivattivi tal-karbonju fuq pjattaformi ewlenin jew barra l-borża (OTC)) se japplikaw ukoll għas-segment spot tas-suq tal-karbonju sekondarju (tranżazzjonijiet fi kwoti ta’ emissjonijiet għal konsenja immedjata fis-suq sekondarju). B’hekk dan is-segment jitqiegħed fuq l-istess livell tas-suq tad-derivattivi f’termini ta’ trasparenza, ta’ protezzjoni tal-investitur u ta’ integrità. Is-sorveljanza fis-suq primarju tibqa’ koperta mir-Regolament dwar l-Irkantar, minbarra fejn jidħlu kwistjonijiet relatati ma’ abbuż tas-suq.</w:t>
                            </w:r>
                          </w:p>
                          <w:p>
                            <w:pPr>
                              <w:jc w:val="both"/>
                              <w:rPr>
                                <w:rFonts w:ascii="Times New Roman" w:hAnsi="Times New Roman"/>
                                <w:sz w:val="24"/>
                                <w:szCs w:val="24"/>
                              </w:rPr>
                            </w:pPr>
                            <w:r>
                              <w:rPr>
                                <w:rFonts w:ascii="Times New Roman" w:hAnsi="Times New Roman"/>
                                <w:sz w:val="24"/>
                                <w:szCs w:val="24"/>
                              </w:rPr>
                              <w:t>Bis-saħħa ta’ kontroreferenzi għal definizzjonijiet tal-MiFID2 ta’ strumenti finanzjarji, se japplikaw biċċiet oħra ta’ leġiżlazzjoni tas-suq finanzjarju. Dan huwa b’mod speċjali l-każ għar-Regolament dwar l-Abbuż tas-Suq (MAR)**, li se jkopri t-tranżazzjonijiet u l-kondotta li jinvolvu kwoti tal-emissjonijiet, kemm fis-swieq primarji kif ukoll fis-swieq sekondarji. Bl-istess mod, kontroreferenza għall-MiFID2 fid-Direttiva kontra l-Ħasil tal-Flus*** se tagħti lok għal applikazzjoni obbligatorja ta’ kontrolli tad-diliġenza dovuta tal-klijenti minn negozjanti tal-karbonju liċenzjati mill-MiFID lill-klijenti tagħhom fis-suq spot sekondarju tal-kwoti tal-emissjonijiet. ****</w:t>
                            </w:r>
                          </w:p>
                          <w:p>
                            <w:pPr>
                              <w:jc w:val="both"/>
                              <w:rPr>
                                <w:rFonts w:ascii="Times New Roman" w:hAnsi="Times New Roman"/>
                                <w:sz w:val="18"/>
                                <w:szCs w:val="18"/>
                              </w:rPr>
                            </w:pPr>
                            <w:r>
                              <w:rPr>
                                <w:rFonts w:ascii="Times New Roman" w:hAnsi="Times New Roman"/>
                                <w:sz w:val="18"/>
                                <w:szCs w:val="18"/>
                              </w:rPr>
                              <w:t>*</w:t>
                            </w:r>
                            <w:r>
                              <w:t xml:space="preserve"> </w:t>
                            </w:r>
                            <w:r>
                              <w:rPr>
                                <w:rFonts w:ascii="Times New Roman" w:hAnsi="Times New Roman"/>
                                <w:sz w:val="18"/>
                                <w:szCs w:val="18"/>
                              </w:rPr>
                              <w:t xml:space="preserve">Id-Direttiva 2014/65/UE tal-Parlament Ewropew u tal-Kunsill tal-15 ta’ Mejju 2014 dwar is-swieq fl-istrumenti finanzjarji u li temenda d-Direttiva 2002/92/KE u d-Direttiva 2011/61/UE </w:t>
                            </w:r>
                          </w:p>
                          <w:p>
                            <w:pPr>
                              <w:jc w:val="both"/>
                              <w:rPr>
                                <w:rFonts w:ascii="Times New Roman" w:hAnsi="Times New Roman"/>
                                <w:sz w:val="18"/>
                                <w:szCs w:val="18"/>
                              </w:rPr>
                            </w:pPr>
                            <w:r>
                              <w:rPr>
                                <w:rFonts w:ascii="Times New Roman" w:hAnsi="Times New Roman"/>
                                <w:sz w:val="18"/>
                                <w:szCs w:val="18"/>
                              </w:rPr>
                              <w:t>**</w:t>
                            </w:r>
                            <w:r>
                              <w:t xml:space="preserve"> </w:t>
                            </w:r>
                            <w:r>
                              <w:rPr>
                                <w:rFonts w:ascii="Times New Roman" w:hAnsi="Times New Roman"/>
                                <w:sz w:val="18"/>
                                <w:szCs w:val="18"/>
                              </w:rPr>
                              <w:t>Ir-Regolament (UE) Nru 596/2014 tal-Parlament Ewropew u tal-Kunsill tas-16 ta’ April 2014 dwar l-abbuż tas-suq (Regolament dwar l-abbuż tas-suq) u li jħassar id-Direttiva 2003/6/KE tal-Parlament Ewropew u tal-Kunsill u d-Direttivi tal-Kummissjoni 2003/124/KE, 2003/125/KE u 2004/72/KE</w:t>
                            </w:r>
                          </w:p>
                          <w:p>
                            <w:pPr>
                              <w:jc w:val="both"/>
                              <w:rPr>
                                <w:rFonts w:ascii="Times New Roman" w:hAnsi="Times New Roman"/>
                                <w:sz w:val="18"/>
                                <w:szCs w:val="18"/>
                              </w:rPr>
                            </w:pPr>
                            <w:r>
                              <w:rPr>
                                <w:rFonts w:ascii="Times New Roman" w:hAnsi="Times New Roman"/>
                                <w:sz w:val="18"/>
                                <w:szCs w:val="18"/>
                              </w:rPr>
                              <w:t xml:space="preserve">*** Id-Direttiva (UE) 2015/849 tal-Parlament Ewropew u tal-Kunsill tal-20 ta’ Mejju 2015 dwar il-prevenzjoni tal-użu tas-sistema finanzjarja għall-finijiet tal-ħasil tal-flus jew il-finanzjament tat-terroriżmu, li temenda r-Regolament (UE) Nru 648/2012 tal-Parlament Ewropew u tal-Kunsill, u li tħassar id-Direttiva 2005/60/KE tal-Parlament Ewropew u tal-Kunsill u d-Direttiva tal-Kummissjoni 2006/70/KE </w:t>
                            </w:r>
                          </w:p>
                          <w:p>
                            <w:pPr>
                              <w:jc w:val="both"/>
                              <w:rPr>
                                <w:rFonts w:ascii="Times New Roman" w:hAnsi="Times New Roman"/>
                                <w:sz w:val="18"/>
                                <w:szCs w:val="18"/>
                              </w:rPr>
                            </w:pPr>
                            <w:r>
                              <w:rPr>
                                <w:rFonts w:ascii="Times New Roman" w:hAnsi="Times New Roman"/>
                                <w:sz w:val="18"/>
                                <w:szCs w:val="18"/>
                              </w:rPr>
                              <w:t>**** Il-kontrolli tad-diliġenza dovuta huma diġà obbligatorji fis-suq primarju u fis-suq sekondarju fid-derivattivi tal-kwoti tal-emissjonijiet.</w:t>
                            </w:r>
                          </w:p>
                          <w:p>
                            <w:pPr>
                              <w:jc w:val="both"/>
                              <w:rPr>
                                <w:rFonts w:ascii="Times New Roman" w:hAnsi="Times New Roman"/>
                                <w:sz w:val="18"/>
                                <w:szCs w:val="18"/>
                              </w:rPr>
                            </w:pPr>
                          </w:p>
                        </w:txbxContent>
                      </wps:txbx>
                      <wps:bodyPr rot="0" vert="horz" wrap="square" lIns="91440" tIns="45720" rIns="91440" bIns="45720" anchor="t" anchorCtr="0">
                        <a:noAutofit/>
                      </wps:bodyPr>
                    </wps:wsp>
                  </a:graphicData>
                </a:graphic>
              </wp:inline>
            </w:drawing>
          </mc:Choice>
          <mc:Fallback>
            <w:pict>
              <v:shape id="_x0000_s1038" type="#_x0000_t202" style="width:451.3pt;height:4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" fillcolor="#d9d9d9" strokeweight="1pt">
                <v:textbox>
                  <w:txbxContent>
                    <w:p>
                      <w:pPr>
                        <w:jc w:val="both"/>
                        <w:rPr>
                          <w:rFonts w:ascii="Times New Roman" w:hAnsi="Times New Roman"/>
                          <w:sz w:val="24"/>
                          <w:szCs w:val="24"/>
                        </w:rPr>
                      </w:pPr>
                      <w:r>
                        <w:rPr>
                          <w:rFonts w:ascii="Times New Roman" w:hAnsi="Times New Roman"/>
                          <w:sz w:val="24"/>
                          <w:szCs w:val="24"/>
                        </w:rPr>
                        <w:t>Skont id-Direttiva riveduta dwar is-Swieq fl-Istrumenti Finanzjarji* (MiFID2), il-kwoti tal-emissjonijiet huma kklassifikati bħala strumenti finanzjarji mit-3 ta’ Jannar 2018. Dan ifisser li r-regoli li japplikaw għas-swieq finanzjarji tradizzjonali (dawk li jinkludu n-negozju ta’ derivattivi tal-karbonju fuq pjattaformi ewlenin jew barra l-borża (OTC)) se japplikaw ukoll għas-segment spot tas-suq tal-karbonju sekondarju (tranżazzjonijiet fi kwoti ta’ emissjonijiet għal konsenja immedjata fis-suq sekondarju). B’hekk dan is-segment jitqiegħed fuq l-istess livell tas-suq tad-derivattivi f’termini ta’ trasparenza, ta’ protezzjoni tal-investitur u ta’ integrità. Is-sorveljanza fis-suq primarju tibqa’ koperta mir-Regolament dwar l-Irkantar, minbarra fejn jidħlu kwistjonijiet relatati ma’ abbuż tas-suq.</w:t>
                      </w:r>
                    </w:p>
                    <w:p>
                      <w:pPr>
                        <w:jc w:val="both"/>
                        <w:rPr>
                          <w:rFonts w:ascii="Times New Roman" w:hAnsi="Times New Roman"/>
                          <w:sz w:val="24"/>
                          <w:szCs w:val="24"/>
                        </w:rPr>
                      </w:pPr>
                      <w:r>
                        <w:rPr>
                          <w:rFonts w:ascii="Times New Roman" w:hAnsi="Times New Roman"/>
                          <w:sz w:val="24"/>
                          <w:szCs w:val="24"/>
                        </w:rPr>
                        <w:t>Bis-saħħa ta’ kontroreferenzi għal definizzjonijiet tal-MiFID2 ta’ strumenti finanzjarji, se japplikaw biċċiet oħra ta’ leġiżlazzjoni tas-suq finanzjarju. Dan huwa b’mod speċjali l-każ għar-Regolament dwar l-Abbuż tas-Suq (MAR)**, li se jkopri t-tranżazzjonijiet u l-kondotta li jinvolvu kwoti tal-emissjonijiet, kemm fis-swieq primarji kif ukoll fis-swieq sekondarji. Bl-istess mod, kontroreferenza għall-MiFID2 fid-Direttiva kontra l-Ħasil tal-Flus*** se tagħti lok għal applikazzjoni obbligatorja ta’ kontrolli tad-diliġenza dovuta tal-klijenti minn negozjanti tal-karbonju liċenzjati mill-MiFID lill-klijenti tagħhom fis-suq spot sekondarju tal-kwoti tal-emissjonijiet. ****</w:t>
                      </w:r>
                    </w:p>
                    <w:p>
                      <w:pPr>
                        <w:jc w:val="both"/>
                        <w:rPr>
                          <w:rFonts w:ascii="Times New Roman" w:hAnsi="Times New Roman"/>
                          <w:sz w:val="18"/>
                          <w:szCs w:val="18"/>
                        </w:rPr>
                      </w:pPr>
                      <w:r>
                        <w:rPr>
                          <w:rFonts w:ascii="Times New Roman" w:hAnsi="Times New Roman"/>
                          <w:sz w:val="18"/>
                          <w:szCs w:val="18"/>
                        </w:rPr>
                        <w:t>*</w:t>
                      </w:r>
                      <w:r>
                        <w:t xml:space="preserve"> </w:t>
                      </w:r>
                      <w:r>
                        <w:rPr>
                          <w:rFonts w:ascii="Times New Roman" w:hAnsi="Times New Roman"/>
                          <w:sz w:val="18"/>
                          <w:szCs w:val="18"/>
                        </w:rPr>
                        <w:t xml:space="preserve">Id-Direttiva 2014/65/UE tal-Parlament Ewropew u tal-Kunsill tal-15 ta’ Mejju 2014 dwar is-swieq fl-istrumenti finanzjarji u li temenda d-Direttiva 2002/92/KE u d-Direttiva 2011/61/UE </w:t>
                      </w:r>
                    </w:p>
                    <w:p>
                      <w:pPr>
                        <w:jc w:val="both"/>
                        <w:rPr>
                          <w:rFonts w:ascii="Times New Roman" w:hAnsi="Times New Roman"/>
                          <w:sz w:val="18"/>
                          <w:szCs w:val="18"/>
                        </w:rPr>
                      </w:pPr>
                      <w:r>
                        <w:rPr>
                          <w:rFonts w:ascii="Times New Roman" w:hAnsi="Times New Roman"/>
                          <w:sz w:val="18"/>
                          <w:szCs w:val="18"/>
                        </w:rPr>
                        <w:t>**</w:t>
                      </w:r>
                      <w:r>
                        <w:t xml:space="preserve"> </w:t>
                      </w:r>
                      <w:r>
                        <w:rPr>
                          <w:rFonts w:ascii="Times New Roman" w:hAnsi="Times New Roman"/>
                          <w:sz w:val="18"/>
                          <w:szCs w:val="18"/>
                        </w:rPr>
                        <w:t>Ir-Regolament (UE) Nru 596/2014 tal-Parlament Ewropew u tal-Kunsill tas-16 ta’ April 2014 dwar l-abbuż tas-suq (Regolament dwar l-abbuż tas-suq) u li jħassar id-Direttiva 2003/6/KE tal-Parlament Ewropew u tal-Kunsill u d-Direttivi tal-Kummissjoni 2003/124/KE, 2003/125/KE u 2004/72/KE</w:t>
                      </w:r>
                    </w:p>
                    <w:p>
                      <w:pPr>
                        <w:jc w:val="both"/>
                        <w:rPr>
                          <w:rFonts w:ascii="Times New Roman" w:hAnsi="Times New Roman"/>
                          <w:sz w:val="18"/>
                          <w:szCs w:val="18"/>
                        </w:rPr>
                      </w:pPr>
                      <w:r>
                        <w:rPr>
                          <w:rFonts w:ascii="Times New Roman" w:hAnsi="Times New Roman"/>
                          <w:sz w:val="18"/>
                          <w:szCs w:val="18"/>
                        </w:rPr>
                        <w:t xml:space="preserve">*** Id-Direttiva (UE) 2015/849 tal-Parlament Ewropew u tal-Kunsill tal-20 ta’ Mejju 2015 dwar il-prevenzjoni tal-użu tas-sistema finanzjarja għall-finijiet tal-ħasil tal-flus jew il-finanzjament tat-terroriżmu, li temenda r-Regolament (UE) Nru 648/2012 tal-Parlament Ewropew u tal-Kunsill, u li tħassar id-Direttiva 2005/60/KE tal-Parlament Ewropew u tal-Kunsill u d-Direttiva tal-Kummissjoni 2006/70/KE </w:t>
                      </w:r>
                    </w:p>
                    <w:p>
                      <w:pPr>
                        <w:jc w:val="both"/>
                        <w:rPr>
                          <w:rFonts w:ascii="Times New Roman" w:hAnsi="Times New Roman"/>
                          <w:sz w:val="18"/>
                          <w:szCs w:val="18"/>
                        </w:rPr>
                      </w:pPr>
                      <w:r>
                        <w:rPr>
                          <w:rFonts w:ascii="Times New Roman" w:hAnsi="Times New Roman"/>
                          <w:sz w:val="18"/>
                          <w:szCs w:val="18"/>
                        </w:rPr>
                        <w:t>**** Il-kontrolli tad-diliġenza dovuta huma diġà obbligatorji fis-suq primarju u fis-suq sekondarju fid-derivattivi tal-kwoti tal-emissjonijiet.</w:t>
                      </w:r>
                    </w:p>
                    <w:p>
                      <w:pPr>
                        <w:jc w:val="both"/>
                        <w:rPr>
                          <w:rFonts w:ascii="Times New Roman" w:hAnsi="Times New Roman"/>
                          <w:sz w:val="18"/>
                          <w:szCs w:val="18"/>
                        </w:rPr>
                      </w:pPr>
                    </w:p>
                  </w:txbxContent>
                </v:textbox>
                <w10:anchorlock/>
              </v:shape>
            </w:pict>
          </mc:Fallback>
        </mc:AlternateContent>
      </w:r>
    </w:p>
    <w:p>
      <w:pPr>
        <w:jc w:val="both"/>
        <w:rPr>
          <w:rFonts w:ascii="Times New Roman" w:hAnsi="Times New Roman"/>
          <w:noProof/>
          <w:sz w:val="24"/>
          <w:szCs w:val="24"/>
        </w:rPr>
      </w:pPr>
      <w:r>
        <w:rPr>
          <w:rFonts w:ascii="Times New Roman" w:hAnsi="Times New Roman"/>
          <w:noProof/>
          <w:sz w:val="24"/>
          <w:szCs w:val="24"/>
        </w:rPr>
        <w:t>Fl-2019, l-għadd ta’ parteċipanti eliġibbli biex jagħmlu offerta fl-irkantijiet fil-Pjattaforma Komuni tal-Irkantijiet kompla jikber. Minn 80 parteċipant f’Jannar, is-sena ntemmet b’86 offerent eliġibbli f’Diċembru 2019. L-operaturi baqgħu l-aktar kategorija dominanti tal-parteċipanti eliġibbli li jagħmlu offerti fl-irkantijiet (madwar 70 %) segwiti minn kumpaniji tal-investiment u istituzzjonijiet tal-kreditu (madwar 20 %) u persuni eżentati mir-rekwiżiti tal-MiFID (10 %).</w:t>
      </w:r>
      <w:r>
        <w:rPr>
          <w:rStyle w:val="FootnoteReference"/>
          <w:rFonts w:ascii="Times New Roman" w:hAnsi="Times New Roman"/>
          <w:noProof/>
          <w:sz w:val="24"/>
          <w:szCs w:val="24"/>
          <w:lang w:eastAsia="en-GB"/>
        </w:rPr>
        <w:footnoteReference w:id="73"/>
      </w:r>
      <w:r>
        <w:rPr>
          <w:rFonts w:ascii="Times New Roman" w:hAnsi="Times New Roman"/>
          <w:noProof/>
          <w:sz w:val="24"/>
          <w:szCs w:val="24"/>
        </w:rPr>
        <w:t xml:space="preserve"> </w:t>
      </w:r>
    </w:p>
    <w:p>
      <w:pPr>
        <w:jc w:val="both"/>
        <w:rPr>
          <w:rFonts w:ascii="Times New Roman" w:hAnsi="Times New Roman"/>
          <w:noProof/>
          <w:sz w:val="24"/>
          <w:szCs w:val="24"/>
        </w:rPr>
      </w:pPr>
      <w:r>
        <w:rPr>
          <w:rFonts w:ascii="Times New Roman" w:hAnsi="Times New Roman"/>
          <w:noProof/>
          <w:sz w:val="24"/>
          <w:szCs w:val="24"/>
        </w:rPr>
        <w:t>Skont ir-regoli eżistenti dwar l-abbuż tas-suq, l-awtoritajiet kompetenti nazzjonali</w:t>
      </w:r>
      <w:r>
        <w:rPr>
          <w:rStyle w:val="FootnoteReference"/>
          <w:rFonts w:ascii="Times New Roman" w:hAnsi="Times New Roman"/>
          <w:noProof/>
          <w:sz w:val="24"/>
          <w:szCs w:val="24"/>
          <w:lang w:eastAsia="en-GB"/>
        </w:rPr>
        <w:footnoteReference w:id="74"/>
      </w:r>
      <w:r>
        <w:rPr>
          <w:rFonts w:ascii="Times New Roman" w:hAnsi="Times New Roman"/>
          <w:noProof/>
          <w:sz w:val="24"/>
          <w:szCs w:val="24"/>
        </w:rPr>
        <w:t xml:space="preserve"> huma responsabbli għall-monitoraġġ tas-suq, kemm fir-rigward tal-irkantijiet kif ukoll tas-suq sekondarju. Fil-livell Ewropew, l-azzjonijiet tagħhom huma kkoordinati mill-Awtorità Ewropea tat-Titoli u s-Swieq (ESMA), kif inhu l-każ għal strumenti finanzjarji oħra.</w:t>
      </w:r>
      <w:r>
        <w:rPr>
          <w:rFonts w:ascii="Times New Roman" w:hAnsi="Times New Roman"/>
          <w:noProof/>
          <w:sz w:val="24"/>
          <w:szCs w:val="24"/>
          <w:vertAlign w:val="superscript"/>
          <w:lang w:eastAsia="en-GB"/>
        </w:rPr>
        <w:footnoteReference w:id="75"/>
      </w:r>
      <w:r>
        <w:rPr>
          <w:rFonts w:ascii="Times New Roman" w:hAnsi="Times New Roman"/>
          <w:noProof/>
          <w:sz w:val="24"/>
          <w:szCs w:val="24"/>
        </w:rPr>
        <w:t xml:space="preserve"> </w:t>
      </w:r>
    </w:p>
    <w:p>
      <w:pPr>
        <w:jc w:val="both"/>
        <w:rPr>
          <w:rFonts w:ascii="Times New Roman" w:hAnsi="Times New Roman"/>
          <w:noProof/>
          <w:sz w:val="24"/>
          <w:szCs w:val="24"/>
          <w:lang w:eastAsia="en-GB"/>
        </w:rPr>
      </w:pPr>
    </w:p>
    <w:p>
      <w:pPr>
        <w:jc w:val="both"/>
        <w:rPr>
          <w:rFonts w:ascii="Times New Roman" w:hAnsi="Times New Roman"/>
          <w:noProof/>
          <w:sz w:val="24"/>
          <w:szCs w:val="24"/>
          <w:lang w:eastAsia="en-GB"/>
        </w:rPr>
      </w:pPr>
    </w:p>
    <w:p>
      <w:pPr>
        <w:jc w:val="both"/>
        <w:rPr>
          <w:rFonts w:ascii="Times New Roman" w:hAnsi="Times New Roman"/>
          <w:noProof/>
          <w:sz w:val="24"/>
          <w:szCs w:val="24"/>
          <w:lang w:eastAsia="en-GB"/>
        </w:rPr>
      </w:pPr>
    </w:p>
    <w:p>
      <w:pPr>
        <w:jc w:val="both"/>
        <w:rPr>
          <w:rFonts w:ascii="Times New Roman" w:hAnsi="Times New Roman"/>
          <w:noProof/>
          <w:sz w:val="24"/>
          <w:szCs w:val="24"/>
          <w:lang w:eastAsia="en-GB"/>
        </w:rPr>
      </w:pPr>
    </w:p>
    <w:p>
      <w:pPr>
        <w:jc w:val="both"/>
        <w:rPr>
          <w:rFonts w:ascii="Times New Roman" w:hAnsi="Times New Roman"/>
          <w:noProof/>
          <w:sz w:val="24"/>
          <w:szCs w:val="24"/>
          <w:lang w:eastAsia="en-GB"/>
        </w:rPr>
      </w:pPr>
    </w:p>
    <w:p>
      <w:pPr>
        <w:jc w:val="both"/>
        <w:rPr>
          <w:rFonts w:ascii="Times New Roman" w:hAnsi="Times New Roman"/>
          <w:noProof/>
          <w:sz w:val="24"/>
          <w:szCs w:val="24"/>
        </w:rPr>
      </w:pPr>
    </w:p>
    <w:p>
      <w:pPr>
        <w:pStyle w:val="Heading1"/>
        <w:spacing w:before="0" w:after="200"/>
        <w:rPr>
          <w:noProof/>
        </w:rPr>
      </w:pPr>
      <w:bookmarkStart w:id="54" w:name="_Toc490850437"/>
      <w:bookmarkStart w:id="55" w:name="_Toc519009688"/>
      <w:bookmarkStart w:id="56" w:name="_Toc56000808"/>
      <w:r>
        <w:rPr>
          <w:noProof/>
        </w:rPr>
        <w:t>6. MONITORAĠĠ, RAPPORTAR U VERIFIKA TAL-EMISSJONIJIET</w:t>
      </w:r>
      <w:bookmarkEnd w:id="54"/>
      <w:bookmarkEnd w:id="55"/>
      <w:bookmarkEnd w:id="56"/>
    </w:p>
    <w:p>
      <w:pPr>
        <w:jc w:val="both"/>
        <w:rPr>
          <w:noProof/>
        </w:rPr>
      </w:pPr>
      <w:r>
        <w:rPr>
          <w:noProof/>
          <w:lang w:val="en-GB" w:eastAsia="en-GB"/>
        </w:rPr>
        <mc:AlternateContent>
          <mc:Choice Requires="wps">
            <w:drawing>
              <wp:inline distT="0" distB="0" distL="0" distR="0">
                <wp:extent cx="5731510" cy="5537200"/>
                <wp:effectExtent l="0" t="0" r="21590" b="2540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537200"/>
                        </a:xfrm>
                        <a:prstGeom prst="rect">
                          <a:avLst/>
                        </a:prstGeom>
                        <a:solidFill>
                          <a:sysClr val="window" lastClr="FFFFFF">
                            <a:lumMod val="85000"/>
                          </a:sysClr>
                        </a:solidFill>
                        <a:ln w="12700">
                          <a:solidFill>
                            <a:srgbClr val="000000"/>
                          </a:solidFill>
                          <a:miter lim="800000"/>
                          <a:headEnd/>
                          <a:tailEnd/>
                        </a:ln>
                      </wps:spPr>
                      <wps:txbx>
                        <w:txbxContent>
                          <w:p>
                            <w:pPr>
                              <w:jc w:val="both"/>
                              <w:rPr>
                                <w:rFonts w:ascii="Times New Roman" w:hAnsi="Times New Roman"/>
                                <w:sz w:val="24"/>
                                <w:szCs w:val="24"/>
                              </w:rPr>
                            </w:pPr>
                            <w:r>
                              <w:rPr>
                                <w:rFonts w:ascii="Times New Roman" w:hAnsi="Times New Roman"/>
                                <w:sz w:val="24"/>
                                <w:szCs w:val="24"/>
                              </w:rPr>
                              <w:t>Ir-rekwiżiti għall-monitoraġġ, ir-rapportar, il-verifika u l-akkreditazzjoni (MRVA) tal-EU ETS huma armonizzati fir-Regolament dwar il-Monitoraġġ u r-Rapportar (MRR)* u fir-Regolament dwar l-Akkreditazzjoni u l-Verifika (AVR)**.</w:t>
                            </w:r>
                          </w:p>
                          <w:p>
                            <w:pPr>
                              <w:jc w:val="both"/>
                              <w:rPr>
                                <w:rFonts w:ascii="Times New Roman" w:hAnsi="Times New Roman"/>
                                <w:sz w:val="24"/>
                                <w:szCs w:val="24"/>
                              </w:rPr>
                            </w:pPr>
                            <w:r>
                              <w:rPr>
                                <w:rFonts w:ascii="Times New Roman" w:hAnsi="Times New Roman"/>
                                <w:sz w:val="24"/>
                                <w:szCs w:val="24"/>
                              </w:rPr>
                              <w:t>Is-sistema ta’ monitoraġġ fl-EU ETS hija mfassla bħala approċċ ta’ “elementi importanti” li jippermetti ħafna flessibbiltà biex l-operaturi jkunu jistgħu jiżguraw il-kosteffiċjenza, filwaqt li fl-istess ħin tintlaħaq affidabbiltà kbira tad-</w:t>
                            </w:r>
                            <w:r>
                              <w:rPr>
                                <w:rFonts w:ascii="Times New Roman" w:hAnsi="Times New Roman"/>
                                <w:i/>
                                <w:sz w:val="24"/>
                                <w:szCs w:val="24"/>
                              </w:rPr>
                              <w:t>data</w:t>
                            </w:r>
                            <w:r>
                              <w:rPr>
                                <w:rFonts w:ascii="Times New Roman" w:hAnsi="Times New Roman"/>
                                <w:sz w:val="24"/>
                                <w:szCs w:val="24"/>
                              </w:rPr>
                              <w:t xml:space="preserve"> dwar l-emissjonijiet immonitorjati. Għal dan il-għan, huma permessi diversi metodi ta’ monitoraġġ (“ibbażati fuq il-kalkolu” jew “ibbażati fuq il-kejl”, kif ukoll, bħala eċċezzjoni, “approċċi ta’ riżerva”). Il-metodi jistgħu jingħaqdu għal partijiet individwali ta’ installazzjoni. Għall-operaturi ta’ inġenji tal-ajru, approċċi bbażati fuq il-kalkolu biss huma fattibbli, fejn il-konsum tal-karburant huwa l-parametru ċentrali li jrid jiġi ddeterminat għat-titjiriet koperti mill-EU ETS. Ir-rekwiżit li l-installazzjonijiet u l-operaturi ta’ inġenji tal-ajru jkollhom pjan ta’ monitoraġġ approvat mill-awtorità kompetenti fuq il-bażi tal-MRR jipprevjeni għażla arbitrarja tal-metodi ta’ monitoraġġ u varjazzjonijiet temporali.</w:t>
                            </w:r>
                          </w:p>
                          <w:p>
                            <w:pPr>
                              <w:jc w:val="both"/>
                              <w:rPr>
                                <w:rFonts w:ascii="Times New Roman" w:hAnsi="Times New Roman"/>
                                <w:sz w:val="24"/>
                                <w:szCs w:val="24"/>
                              </w:rPr>
                            </w:pPr>
                            <w:r>
                              <w:rPr>
                                <w:rFonts w:ascii="Times New Roman" w:hAnsi="Times New Roman"/>
                                <w:sz w:val="24"/>
                                <w:szCs w:val="24"/>
                              </w:rPr>
                              <w:t xml:space="preserve">Permezz tal-AVR għall-fażi 3 u lil hinn, ġie introdott approċċ armonizzat fl-UE kollha lejn l-akkreditazzjoni tal-verifikaturi. Il-verifikaturi jridu jkunu akkreditati minn Korp Nazzjonali ta’ Akkreditament (NAB) sabiex iwettqu l-verifiki f’konformità mal-AVR. Din is-sistema ta’ akkreditazzjoni uniformi tippermetti lill-verifikaturi joperaw b’rikonoxximent reċiproku fil-pajjiżi parteċipanti kollha, u għalhekk li jieħdu vantaġġ sħiħ mis-suq intern u jgħinu biex tiġi żgurata disponibbiltà suffiċjenti ġenerali. </w:t>
                            </w:r>
                          </w:p>
                          <w:p>
                            <w:pPr>
                              <w:rPr>
                                <w:rFonts w:ascii="Times New Roman" w:hAnsi="Times New Roman"/>
                                <w:sz w:val="20"/>
                                <w:szCs w:val="20"/>
                              </w:rPr>
                            </w:pPr>
                            <w:r>
                              <w:rPr>
                                <w:rFonts w:ascii="Times New Roman" w:hAnsi="Times New Roman"/>
                                <w:sz w:val="20"/>
                                <w:szCs w:val="20"/>
                              </w:rPr>
                              <w:t>* Ir-Regolament tal-Kummissjoni (UE) Nru 601/2012 tal-21 ta’ Ġunju 2012 dwar il-monitoraġġ u r-rapportar ta’ emissjonijiet ta’ gassijiet serra skont id-Direttiva 2003/87/KE tal-Parlament Ewropew u tal-Kunsill, ĠU L 181, 12.7.2012, p. 30.</w:t>
                            </w:r>
                          </w:p>
                          <w:p>
                            <w:pPr>
                              <w:rPr>
                                <w:rFonts w:ascii="Times New Roman" w:hAnsi="Times New Roman"/>
                                <w:sz w:val="20"/>
                                <w:szCs w:val="20"/>
                              </w:rPr>
                            </w:pPr>
                            <w:r>
                              <w:rPr>
                                <w:rFonts w:ascii="Times New Roman" w:hAnsi="Times New Roman"/>
                                <w:sz w:val="20"/>
                                <w:szCs w:val="20"/>
                              </w:rPr>
                              <w:t>** Ir-Regolament tal-Kummissjoni (UE) Nru 600/2012 tal-21 ta’ Ġunju 2012 dwar il-verifika tar-rapporti dwar l-emissjonijiet tal-gassijiet serra u r-rapporti dwar it-tunnellati kilometri u l-akkreditazzjoni tal-verifikaturi skont id-Direttiva 2003/87/KE tal-Parlament Ewropew u tal-Kunsill, ĠU L 181, 12.7.2012, p. 1.</w:t>
                            </w:r>
                          </w:p>
                          <w:p>
                            <w:pPr>
                              <w:rPr>
                                <w:rFonts w:ascii="Times New Roman" w:hAnsi="Times New Roman"/>
                                <w:sz w:val="24"/>
                                <w:szCs w:val="24"/>
                              </w:rPr>
                            </w:pPr>
                          </w:p>
                        </w:txbxContent>
                      </wps:txbx>
                      <wps:bodyPr rot="0" vert="horz" wrap="square" lIns="91440" tIns="45720" rIns="91440" bIns="45720" anchor="t" anchorCtr="0">
                        <a:noAutofit/>
                      </wps:bodyPr>
                    </wps:wsp>
                  </a:graphicData>
                </a:graphic>
              </wp:inline>
            </w:drawing>
          </mc:Choice>
          <mc:Fallback>
            <w:pict>
              <v:shape id="_x0000_s1039" type="#_x0000_t202" style="width:451.3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" fillcolor="#d9d9d9" strokeweight="1pt">
                <v:textbox>
                  <w:txbxContent>
                    <w:p>
                      <w:pPr>
                        <w:jc w:val="both"/>
                        <w:rPr>
                          <w:rFonts w:ascii="Times New Roman" w:hAnsi="Times New Roman"/>
                          <w:sz w:val="24"/>
                          <w:szCs w:val="24"/>
                        </w:rPr>
                      </w:pPr>
                      <w:r>
                        <w:rPr>
                          <w:rFonts w:ascii="Times New Roman" w:hAnsi="Times New Roman"/>
                          <w:sz w:val="24"/>
                          <w:szCs w:val="24"/>
                        </w:rPr>
                        <w:t>Ir-rekwiżiti għall-monitoraġġ, ir-rapportar, il-verifika u l-akkreditazzjoni (MRVA) tal-EU ETS huma armonizzati fir-Regolament dwar il-Monitoraġġ u r-Rapportar (MRR)* u fir-Regolament dwar l-Akkreditazzjoni u l-Verifika (AVR)**.</w:t>
                      </w:r>
                    </w:p>
                    <w:p>
                      <w:pPr>
                        <w:jc w:val="both"/>
                        <w:rPr>
                          <w:rFonts w:ascii="Times New Roman" w:hAnsi="Times New Roman"/>
                          <w:sz w:val="24"/>
                          <w:szCs w:val="24"/>
                        </w:rPr>
                      </w:pPr>
                      <w:r>
                        <w:rPr>
                          <w:rFonts w:ascii="Times New Roman" w:hAnsi="Times New Roman"/>
                          <w:sz w:val="24"/>
                          <w:szCs w:val="24"/>
                        </w:rPr>
                        <w:t>Is-sistema ta’ monitoraġġ fl-EU ETS hija mfassla bħala approċċ ta’ “elementi importanti” li jippermetti ħafna flessibbiltà biex l-operaturi jkunu jistgħu jiżguraw il-kosteffiċjenza, filwaqt li fl-istess ħin tintlaħaq affidabbiltà kbira tad-</w:t>
                      </w:r>
                      <w:r>
                        <w:rPr>
                          <w:rFonts w:ascii="Times New Roman" w:hAnsi="Times New Roman"/>
                          <w:i/>
                          <w:sz w:val="24"/>
                          <w:szCs w:val="24"/>
                        </w:rPr>
                        <w:t>data</w:t>
                      </w:r>
                      <w:r>
                        <w:rPr>
                          <w:rFonts w:ascii="Times New Roman" w:hAnsi="Times New Roman"/>
                          <w:sz w:val="24"/>
                          <w:szCs w:val="24"/>
                        </w:rPr>
                        <w:t xml:space="preserve"> dwar l-emissjonijiet immonitorjati. Għal dan il-għan, huma permessi diversi metodi ta’ monitoraġġ (“ibbażati fuq il-kalkolu” jew “ibbażati fuq il-kejl”, kif ukoll, bħala eċċezzjoni, “approċċi ta’ riżerva”). Il-metodi jistgħu jingħaqdu għal partijiet individwali ta’ installazzjoni. Għall-operaturi ta’ inġenji tal-ajru, approċċi bbażati fuq il-kalkolu biss huma fattibbli, fejn il-konsum tal-karburant huwa l-parametru ċentrali li jrid jiġi ddeterminat għat-titjiriet koperti mill-EU ETS. Ir-rekwiżit li l-installazzjonijiet u l-operaturi ta’ inġenji tal-ajru jkollhom pjan ta’ monitoraġġ approvat mill-awtorità kompetenti fuq il-bażi tal-MRR jipprevjeni għażla arbitrarja tal-metodi ta’ monitoraġġ u varjazzjonijiet temporali.</w:t>
                      </w:r>
                    </w:p>
                    <w:p>
                      <w:pPr>
                        <w:jc w:val="both"/>
                        <w:rPr>
                          <w:rFonts w:ascii="Times New Roman" w:hAnsi="Times New Roman"/>
                          <w:sz w:val="24"/>
                          <w:szCs w:val="24"/>
                        </w:rPr>
                      </w:pPr>
                      <w:r>
                        <w:rPr>
                          <w:rFonts w:ascii="Times New Roman" w:hAnsi="Times New Roman"/>
                          <w:sz w:val="24"/>
                          <w:szCs w:val="24"/>
                        </w:rPr>
                        <w:t xml:space="preserve">Permezz tal-AVR għall-fażi 3 u lil hinn, ġie introdott approċċ armonizzat fl-UE kollha lejn l-akkreditazzjoni tal-verifikaturi. Il-verifikaturi jridu jkunu akkreditati minn Korp Nazzjonali ta’ Akkreditament (NAB) sabiex iwettqu l-verifiki f’konformità mal-AVR. Din is-sistema ta’ akkreditazzjoni uniformi tippermetti lill-verifikaturi joperaw b’rikonoxximent reċiproku fil-pajjiżi parteċipanti kollha, u għalhekk li jieħdu vantaġġ sħiħ mis-suq intern u jgħinu biex tiġi żgurata disponibbiltà suffiċjenti ġenerali. </w:t>
                      </w:r>
                    </w:p>
                    <w:p>
                      <w:pPr>
                        <w:rPr>
                          <w:rFonts w:ascii="Times New Roman" w:hAnsi="Times New Roman"/>
                          <w:sz w:val="20"/>
                          <w:szCs w:val="20"/>
                        </w:rPr>
                      </w:pPr>
                      <w:r>
                        <w:rPr>
                          <w:rFonts w:ascii="Times New Roman" w:hAnsi="Times New Roman"/>
                          <w:sz w:val="20"/>
                          <w:szCs w:val="20"/>
                        </w:rPr>
                        <w:t>* Ir-Regolament tal-Kummissjoni (UE) Nru 601/2012 tal-21 ta’ Ġunju 2012 dwar il-monitoraġġ u r-rapportar ta’ emissjonijiet ta’ gassijiet serra skont id-Direttiva 2003/87/KE tal-Parlament Ewropew u tal-Kunsill, ĠU L 181, 12.7.2012, p. 30.</w:t>
                      </w:r>
                    </w:p>
                    <w:p>
                      <w:pPr>
                        <w:rPr>
                          <w:rFonts w:ascii="Times New Roman" w:hAnsi="Times New Roman"/>
                          <w:sz w:val="20"/>
                          <w:szCs w:val="20"/>
                        </w:rPr>
                      </w:pPr>
                      <w:r>
                        <w:rPr>
                          <w:rFonts w:ascii="Times New Roman" w:hAnsi="Times New Roman"/>
                          <w:sz w:val="20"/>
                          <w:szCs w:val="20"/>
                        </w:rPr>
                        <w:t>** Ir-Regolament tal-Kummissjoni (UE) Nru 600/2012 tal-21 ta’ Ġunju 2012 dwar il-verifika tar-rapporti dwar l-emissjonijiet tal-gassijiet serra u r-rapporti dwar it-tunnellati kilometri u l-akkreditazzjoni tal-verifikaturi skont id-Direttiva 2003/87/KE tal-Parlament Ewropew u tal-Kunsill, ĠU L 181, 12.7.2012, p. 1.</w:t>
                      </w:r>
                    </w:p>
                    <w:p>
                      <w:pPr>
                        <w:rPr>
                          <w:rFonts w:ascii="Times New Roman" w:hAnsi="Times New Roman"/>
                          <w:sz w:val="24"/>
                          <w:szCs w:val="24"/>
                        </w:rPr>
                      </w:pPr>
                    </w:p>
                  </w:txbxContent>
                </v:textbox>
                <w10:anchorlock/>
              </v:shape>
            </w:pict>
          </mc:Fallback>
        </mc:AlternateContent>
      </w:r>
    </w:p>
    <w:p>
      <w:pPr>
        <w:rPr>
          <w:rFonts w:ascii="Times New Roman" w:hAnsi="Times New Roman"/>
          <w:b/>
          <w:bCs/>
          <w:iCs/>
          <w:noProof/>
          <w:sz w:val="24"/>
          <w:szCs w:val="24"/>
        </w:rPr>
      </w:pPr>
      <w:r>
        <w:rPr>
          <w:rFonts w:ascii="Times New Roman" w:hAnsi="Times New Roman"/>
          <w:b/>
          <w:bCs/>
          <w:iCs/>
          <w:noProof/>
          <w:sz w:val="24"/>
          <w:szCs w:val="24"/>
        </w:rPr>
        <w:t>6.1.  Żviluppi Ġenerali</w:t>
      </w:r>
    </w:p>
    <w:p>
      <w:pPr>
        <w:jc w:val="both"/>
        <w:rPr>
          <w:rFonts w:ascii="Times New Roman" w:hAnsi="Times New Roman"/>
          <w:noProof/>
          <w:sz w:val="24"/>
          <w:szCs w:val="24"/>
        </w:rPr>
      </w:pPr>
      <w:r>
        <w:rPr>
          <w:rFonts w:ascii="Times New Roman" w:hAnsi="Times New Roman"/>
          <w:noProof/>
          <w:sz w:val="24"/>
          <w:szCs w:val="24"/>
        </w:rPr>
        <w:t xml:space="preserve">L-esperjenza fl-implimentazzjoni tal-MRR u l-AVR matul il-fażi 3 tal-ETS uriet il-ħtieġa ta’ aktar titjib, kjarifika u simplifikazzjoni tar-regoli biex l-armonizzazzjoni tkun aktar promossa, biex jitnaqqas il-piż amministrattiv għall-operaturi u għall-pajjiżi parteċipanti, u biex tiżdied l-effiċjenza tas-sistema. </w:t>
      </w:r>
    </w:p>
    <w:p>
      <w:pPr>
        <w:jc w:val="both"/>
        <w:rPr>
          <w:rFonts w:ascii="Times New Roman" w:hAnsi="Times New Roman"/>
          <w:noProof/>
          <w:sz w:val="24"/>
          <w:szCs w:val="24"/>
        </w:rPr>
      </w:pPr>
      <w:r>
        <w:rPr>
          <w:rFonts w:ascii="Times New Roman" w:hAnsi="Times New Roman"/>
          <w:noProof/>
          <w:sz w:val="24"/>
          <w:szCs w:val="24"/>
        </w:rPr>
        <w:t>B’kunsiderazzjoni ta’ dan, l-ewwel aġġornament taż-żewġ Regolamenti sabiex isiru t-tħejjijiet għall-fażi 4 tal-EU ETS u sabiex jitjiebu u jiġu ssimplifikati l-proċessi MRVA, sar fl-2018. Il-verżjonijiet riveduti tal-MRR</w:t>
      </w:r>
      <w:r>
        <w:rPr>
          <w:rFonts w:ascii="Times New Roman" w:hAnsi="Times New Roman"/>
          <w:noProof/>
          <w:sz w:val="24"/>
          <w:szCs w:val="24"/>
          <w:vertAlign w:val="superscript"/>
        </w:rPr>
        <w:footnoteReference w:id="76"/>
      </w:r>
      <w:r>
        <w:rPr>
          <w:rFonts w:ascii="Times New Roman" w:hAnsi="Times New Roman"/>
          <w:noProof/>
          <w:sz w:val="24"/>
          <w:szCs w:val="24"/>
        </w:rPr>
        <w:t xml:space="preserve"> u tal-AVR</w:t>
      </w:r>
      <w:r>
        <w:rPr>
          <w:rFonts w:ascii="Times New Roman" w:hAnsi="Times New Roman"/>
          <w:noProof/>
          <w:sz w:val="24"/>
          <w:szCs w:val="24"/>
          <w:vertAlign w:val="superscript"/>
        </w:rPr>
        <w:footnoteReference w:id="77"/>
      </w:r>
      <w:r>
        <w:rPr>
          <w:rFonts w:ascii="Times New Roman" w:hAnsi="Times New Roman"/>
          <w:noProof/>
          <w:sz w:val="24"/>
          <w:szCs w:val="24"/>
        </w:rPr>
        <w:t xml:space="preserve"> daħlu fis-seħħ fl-1 ta’ Jannar 2019. Ix-xogħol fuq it-tieni aġġornament beda fi Frar 2019.</w:t>
      </w:r>
      <w:r>
        <w:rPr>
          <w:noProof/>
        </w:rPr>
        <w:t xml:space="preserve"> </w:t>
      </w:r>
      <w:r>
        <w:rPr>
          <w:rFonts w:ascii="Times New Roman" w:hAnsi="Times New Roman"/>
          <w:noProof/>
          <w:sz w:val="24"/>
          <w:szCs w:val="24"/>
        </w:rPr>
        <w:t>Biex jiġu aġġornati dawn iż-żewġ Regolamenti gew ikkonsultati l-pajjiżi parteċipanti dwar xi kwistjonijiet immirati li ma setgħux jiġu indirizzati matul l-ewwel aġġornament, bħall-implimentazzjoni tar-riformulazzjoni tad-Direttiva dwar l-Enerġija Rinnovabbli</w:t>
      </w:r>
      <w:r>
        <w:rPr>
          <w:rFonts w:ascii="Times New Roman" w:hAnsi="Times New Roman"/>
          <w:noProof/>
          <w:sz w:val="24"/>
          <w:szCs w:val="24"/>
          <w:vertAlign w:val="superscript"/>
        </w:rPr>
        <w:footnoteReference w:id="78"/>
      </w:r>
      <w:r>
        <w:rPr>
          <w:rFonts w:ascii="Times New Roman" w:hAnsi="Times New Roman"/>
          <w:noProof/>
          <w:sz w:val="24"/>
          <w:szCs w:val="24"/>
        </w:rPr>
        <w:t>. Il-proċess globali tar-reviżjoni tal-MRVA jenħtieġ li jiġi konkluż sew qabel il-bidu tal-fażi 4 fl-2021.</w:t>
      </w:r>
    </w:p>
    <w:p>
      <w:pPr>
        <w:jc w:val="both"/>
        <w:rPr>
          <w:rFonts w:ascii="Times New Roman" w:hAnsi="Times New Roman"/>
          <w:noProof/>
          <w:sz w:val="24"/>
          <w:szCs w:val="24"/>
        </w:rPr>
      </w:pPr>
      <w:r>
        <w:rPr>
          <w:rFonts w:ascii="Times New Roman" w:hAnsi="Times New Roman"/>
          <w:noProof/>
          <w:sz w:val="24"/>
          <w:szCs w:val="24"/>
        </w:rPr>
        <w:t>L-effiċjenza tas-sistema ta’ konformità tjiebet peress li l-MRR ippermetta lill-pajjiżi jagħmlu r-rapportar elettroniku obbligatorju. Bħas-sena li għaddiet, 17-il pajjiż parteċipanti rrapportaw l-użu ta’ mudelli elettroniċi jew ta’ formati ta’ fajls speċifiċi għall-pjanijiet ta’ monitoraġġ, għar-rapporti tal-emissjonijiet, għar-rapporti ta’ verifika u/jew għar-rapporti ta’ titjib ibbażati fuq ir-rekwiżiti minimi stabbiliti mill-Kummissjoni. Tlettax-il pajjiż parteċipanti rrapportaw li jużaw xi forma ta’ sistema tal-IT awtomatizzata għar-rapportar tal-EU ETS.</w:t>
      </w:r>
    </w:p>
    <w:p>
      <w:pPr>
        <w:jc w:val="both"/>
        <w:rPr>
          <w:rFonts w:ascii="Times New Roman" w:hAnsi="Times New Roman"/>
          <w:b/>
          <w:bCs/>
          <w:iCs/>
          <w:noProof/>
          <w:sz w:val="24"/>
          <w:szCs w:val="24"/>
        </w:rPr>
      </w:pPr>
      <w:r>
        <w:rPr>
          <w:rFonts w:ascii="Times New Roman" w:hAnsi="Times New Roman"/>
          <w:b/>
          <w:bCs/>
          <w:iCs/>
          <w:noProof/>
          <w:sz w:val="24"/>
          <w:szCs w:val="24"/>
        </w:rPr>
        <w:t>6.2. Monitoraġġ applikat</w:t>
      </w:r>
    </w:p>
    <w:p>
      <w:pPr>
        <w:jc w:val="both"/>
        <w:rPr>
          <w:rFonts w:ascii="Times New Roman" w:hAnsi="Times New Roman"/>
          <w:noProof/>
          <w:sz w:val="24"/>
          <w:szCs w:val="24"/>
        </w:rPr>
      </w:pPr>
      <w:r>
        <w:rPr>
          <w:rFonts w:ascii="Times New Roman" w:hAnsi="Times New Roman"/>
          <w:noProof/>
          <w:sz w:val="24"/>
          <w:szCs w:val="24"/>
        </w:rPr>
        <w:t>Skont ir-rapporti tal-Artikolu 21 sottomessi fl-2020, ħafna mill-installazzjonijiet jużaw il-metodoloġija bbażata fuq il-kalkolu</w:t>
      </w:r>
      <w:r>
        <w:rPr>
          <w:rFonts w:ascii="Times New Roman" w:hAnsi="Times New Roman"/>
          <w:noProof/>
          <w:sz w:val="24"/>
          <w:szCs w:val="24"/>
          <w:vertAlign w:val="superscript"/>
        </w:rPr>
        <w:footnoteReference w:id="79"/>
      </w:r>
      <w:r>
        <w:rPr>
          <w:rFonts w:ascii="Times New Roman" w:hAnsi="Times New Roman"/>
          <w:noProof/>
          <w:sz w:val="24"/>
          <w:szCs w:val="24"/>
        </w:rPr>
        <w:t>. 155 installazzjoni biss (1,5 %) fi 23 pajjiż ġew irrapportati li jużaw sistemi kontinwi għall-kejl tal-emissjonijiet, bl-aktar mod frekwenti fil-Ġermanja, fiċ-Ċekja u fi Franza. Filwaqt li n-numru ta’ pajjiżi huwa l-istess bħas-sena preċedenti, b’mod ġenerali hemm inqas installazzjonijiet li qegħdin jużaw dan l-approċċ.</w:t>
      </w:r>
    </w:p>
    <w:p>
      <w:pPr>
        <w:jc w:val="both"/>
        <w:rPr>
          <w:rFonts w:ascii="Times New Roman" w:hAnsi="Times New Roman"/>
          <w:noProof/>
          <w:sz w:val="24"/>
          <w:szCs w:val="24"/>
        </w:rPr>
      </w:pPr>
      <w:r>
        <w:rPr>
          <w:rFonts w:ascii="Times New Roman" w:hAnsi="Times New Roman"/>
          <w:noProof/>
          <w:sz w:val="24"/>
          <w:szCs w:val="24"/>
        </w:rPr>
        <w:t>Huma 13-il pajjiż biss li rrapportaw l-użu tal-approċċ ta’ riżerva minn 34 installazzjoni, li jkopru madwar 3,0 miljun tunnellata ta’ CO</w:t>
      </w:r>
      <w:r>
        <w:rPr>
          <w:rFonts w:ascii="Times New Roman" w:hAnsi="Times New Roman"/>
          <w:noProof/>
          <w:sz w:val="24"/>
          <w:szCs w:val="24"/>
          <w:vertAlign w:val="subscript"/>
        </w:rPr>
        <w:t>2e</w:t>
      </w:r>
      <w:r>
        <w:rPr>
          <w:rFonts w:ascii="Times New Roman" w:hAnsi="Times New Roman"/>
          <w:noProof/>
          <w:sz w:val="24"/>
          <w:szCs w:val="24"/>
        </w:rPr>
        <w:t xml:space="preserve"> (meta mqabbla ma’ 2,6 miljun tunnellata ta’ CO</w:t>
      </w:r>
      <w:r>
        <w:rPr>
          <w:rFonts w:ascii="Times New Roman" w:hAnsi="Times New Roman"/>
          <w:noProof/>
          <w:sz w:val="24"/>
          <w:szCs w:val="24"/>
          <w:vertAlign w:val="subscript"/>
        </w:rPr>
        <w:t>2e</w:t>
      </w:r>
      <w:r>
        <w:rPr>
          <w:rFonts w:ascii="Times New Roman" w:hAnsi="Times New Roman"/>
          <w:noProof/>
          <w:sz w:val="24"/>
          <w:szCs w:val="24"/>
        </w:rPr>
        <w:t xml:space="preserve"> minn 38 installazzjoni fi 11-il pajjiż fis-sena ta’ qabel). Installazzjoni waħda fin-Netherlands hija responsabbli għal 42 % tal-emissjonijiet globali rrapportati b’rabta mal-metodoloġija ta’ riżerva.</w:t>
      </w:r>
    </w:p>
    <w:p>
      <w:pPr>
        <w:jc w:val="both"/>
        <w:rPr>
          <w:rFonts w:ascii="Times New Roman" w:hAnsi="Times New Roman"/>
          <w:noProof/>
          <w:sz w:val="24"/>
          <w:szCs w:val="24"/>
        </w:rPr>
      </w:pPr>
      <w:r>
        <w:rPr>
          <w:rFonts w:ascii="Times New Roman" w:hAnsi="Times New Roman"/>
          <w:noProof/>
          <w:sz w:val="24"/>
          <w:szCs w:val="24"/>
        </w:rPr>
        <w:t>Is-saffi minimi prestabbiliti</w:t>
      </w:r>
      <w:r>
        <w:rPr>
          <w:rFonts w:ascii="Times New Roman" w:hAnsi="Times New Roman"/>
          <w:noProof/>
          <w:sz w:val="24"/>
          <w:szCs w:val="24"/>
          <w:vertAlign w:val="superscript"/>
        </w:rPr>
        <w:footnoteReference w:id="80"/>
      </w:r>
      <w:r>
        <w:rPr>
          <w:rFonts w:ascii="Times New Roman" w:hAnsi="Times New Roman"/>
          <w:noProof/>
          <w:sz w:val="24"/>
          <w:szCs w:val="24"/>
        </w:rPr>
        <w:t xml:space="preserve"> tal-MRR huma ssodisfati mill-maġġoranza assoluta tal-installazzjonijiet. Hemm biss 90 installazzjoni tal-kategorija C (meta mqabbla ma’ 97 fis-sena ta’ qabel), jiġifieri 11,8 %, ġew irrapportati li jiddevjaw għal mill-inqas b’parametru wieħed mir-rekwiżit li jiġu applikati l-ogħla saffi għall-flussi mis-sorsi maġġuri. Dawn id-devjazzjonijiet huma permessi biss meta l-operatur juri li l-ogħla saff mhuwiex teknikament vijabbli jew iġarrab spejjeż mhux raġonevoli. Ladarba dawn il-kundizzjonijiet ma jibqgħux japplikaw, l-operaturi jkollhom itejbu s-sistema ta’ monitoraġġ tagħhom kif xieraq.</w:t>
      </w:r>
    </w:p>
    <w:p>
      <w:pPr>
        <w:jc w:val="both"/>
        <w:rPr>
          <w:rFonts w:ascii="Times New Roman" w:hAnsi="Times New Roman"/>
          <w:noProof/>
          <w:sz w:val="24"/>
          <w:szCs w:val="24"/>
        </w:rPr>
      </w:pPr>
      <w:r>
        <w:rPr>
          <w:rFonts w:ascii="Times New Roman" w:hAnsi="Times New Roman"/>
          <w:noProof/>
          <w:sz w:val="24"/>
          <w:szCs w:val="24"/>
        </w:rPr>
        <w:t>Bl-istess mod, rapporti mit-23 pajjiż parteċipanti jindikaw li b’mod ġenerali, 22 % tal-installazzjonijiet tal-kategorija B huma permessi b’xi forma ta’ devjazzjoni mir-rekwiżiti prestabbiliti tal-MRR; dan huwa kważi simili meta mqabbel ma’ 19 % fis-sena preċedenti u ma’ 21 % fis-sena ta’ qabel dik, u juri titjib kostanti fil-konformità tal-ogħla saff.</w:t>
      </w:r>
    </w:p>
    <w:p>
      <w:pPr>
        <w:jc w:val="both"/>
        <w:rPr>
          <w:rFonts w:ascii="Times New Roman" w:hAnsi="Times New Roman"/>
          <w:b/>
          <w:bCs/>
          <w:iCs/>
          <w:noProof/>
          <w:sz w:val="24"/>
          <w:szCs w:val="24"/>
        </w:rPr>
      </w:pPr>
      <w:r>
        <w:rPr>
          <w:rFonts w:ascii="Times New Roman" w:hAnsi="Times New Roman"/>
          <w:b/>
          <w:bCs/>
          <w:iCs/>
          <w:noProof/>
          <w:sz w:val="24"/>
          <w:szCs w:val="24"/>
        </w:rPr>
        <w:t>6.3. Verifika akkreditata</w:t>
      </w:r>
    </w:p>
    <w:p>
      <w:pPr>
        <w:jc w:val="both"/>
        <w:rPr>
          <w:rFonts w:ascii="Times New Roman" w:hAnsi="Times New Roman"/>
          <w:noProof/>
          <w:sz w:val="24"/>
          <w:szCs w:val="24"/>
        </w:rPr>
      </w:pPr>
      <w:r>
        <w:rPr>
          <w:rFonts w:ascii="Times New Roman" w:hAnsi="Times New Roman"/>
          <w:noProof/>
          <w:sz w:val="24"/>
          <w:szCs w:val="24"/>
        </w:rPr>
        <w:t>In-numru totali ta’ verifikaturi mhuwiex irrapportat fir-rapporti tal-Artikolu 21. Madankollu, il-kooperazzjoni Ewropea għall-Akkreditazzjoni (EA) tipprovdi link ċentrali għall-Korpi Nazzjonali ta’ Akkreditament (NABs) rilevanti u għal-listi tagħhom ta’ verifikaturi akkreditati tal-EU ETS</w:t>
      </w:r>
      <w:r>
        <w:rPr>
          <w:rFonts w:ascii="Times New Roman" w:hAnsi="Times New Roman"/>
          <w:noProof/>
          <w:sz w:val="24"/>
          <w:szCs w:val="24"/>
          <w:vertAlign w:val="superscript"/>
        </w:rPr>
        <w:footnoteReference w:id="81"/>
      </w:r>
      <w:r>
        <w:rPr>
          <w:rFonts w:ascii="Times New Roman" w:hAnsi="Times New Roman"/>
          <w:noProof/>
          <w:sz w:val="24"/>
          <w:szCs w:val="24"/>
        </w:rPr>
        <w:t xml:space="preserve">.       </w:t>
      </w:r>
    </w:p>
    <w:p>
      <w:pPr>
        <w:jc w:val="both"/>
        <w:rPr>
          <w:rFonts w:ascii="Times New Roman" w:hAnsi="Times New Roman"/>
          <w:noProof/>
          <w:sz w:val="24"/>
          <w:szCs w:val="24"/>
        </w:rPr>
      </w:pPr>
      <w:r>
        <w:rPr>
          <w:rFonts w:ascii="Times New Roman" w:hAnsi="Times New Roman"/>
          <w:noProof/>
          <w:sz w:val="24"/>
          <w:szCs w:val="24"/>
        </w:rPr>
        <w:t>Ir-rikonoxximent reċiproku tal-verifikaturi fost il-pajjiżi parteċipanti qiegħed jaħdem b’suċċess: 28 pajjiż irrapportaw li mill-inqas verifikatur barrani wieħed huwa attiv fit-territorju tagħhom.</w:t>
      </w:r>
    </w:p>
    <w:p>
      <w:pPr>
        <w:jc w:val="both"/>
        <w:rPr>
          <w:noProof/>
        </w:rPr>
      </w:pPr>
      <w:r>
        <w:rPr>
          <w:rFonts w:ascii="Times New Roman" w:hAnsi="Times New Roman"/>
          <w:noProof/>
          <w:sz w:val="24"/>
          <w:szCs w:val="24"/>
        </w:rPr>
        <w:t>Il-konformità tal-verifikaturi mal-AVR tinstab li hija għolja. L-ebda pajjiż ma rrapporta sospensjoni jew irtirar ta’ akkreditazzjoni ta’ verifikatur. Dan huwa komparabbli ma’ sospensjoni waħda u ebda rtirar għall-2018. Għall-2019, il-Ġermanja rrapportat tnaqqis fil-kamp ta’ applikazzjoni tal-akkreditazzjonijiet ta’ sitt verifikaturi, u l-Polonja għal verifikatur wieħed, meta mqabbel ma’ tnaqqis għal żewġ verifikaturi, verifikatur wieħed u tliet verifikaturi rrapportati rispettivament mill-Ġermanja, Franza u l-Polonja fl-2018. Seba’ pajjiżi rrapportaw ilmenti li rċevew dwar il-verifikaturi din is-sena (tlieta inqas mis-sena li għaddiet). Madankollu, in-numru totali ta’ lmenti (66) huwa 7 % inqas. 71 % tal-ilmenti li waslu huma rrapportati bħala riżolti fiż-żmien tar-rapportar (fis-sena ta’ qabel din ir-rata kienet ta’ 93 %). Tmien pajjiżi rrapportaw l-identifikazzjoni ta’ nuqqasijiet ta’ konformità tal-verifikaturi bħala parti mill-proċess ta’ skambju ta’ informazzjoni bejn l-NABs u l-awtoritajiet kompetenti (meta mqabbla ma’ għaxra s-sena li għaddiet).</w:t>
      </w:r>
    </w:p>
    <w:p>
      <w:pPr>
        <w:jc w:val="both"/>
        <w:rPr>
          <w:noProof/>
        </w:rPr>
      </w:pPr>
    </w:p>
    <w:p>
      <w:pPr>
        <w:pStyle w:val="Heading1"/>
        <w:spacing w:before="0" w:after="200"/>
        <w:rPr>
          <w:noProof/>
        </w:rPr>
      </w:pPr>
      <w:bookmarkStart w:id="57" w:name="_Toc523331486"/>
      <w:bookmarkStart w:id="58" w:name="_Toc56000809"/>
      <w:r>
        <w:rPr>
          <w:noProof/>
        </w:rPr>
        <w:t>7. ĦARSA ĠENERALI LEJN L-ARRANĠAMENTI AMMINISTRATTIVI</w:t>
      </w:r>
      <w:bookmarkEnd w:id="57"/>
      <w:bookmarkEnd w:id="58"/>
      <w:r>
        <w:rPr>
          <w:noProof/>
        </w:rPr>
        <w:t xml:space="preserve"> </w:t>
      </w:r>
    </w:p>
    <w:p>
      <w:pPr>
        <w:rPr>
          <w:noProof/>
        </w:rPr>
      </w:pPr>
      <w:r>
        <w:rPr>
          <w:noProof/>
          <w:lang w:val="en-GB" w:eastAsia="en-GB"/>
        </w:rPr>
        <mc:AlternateContent>
          <mc:Choice Requires="wps">
            <w:drawing>
              <wp:inline distT="0" distB="0" distL="0" distR="0">
                <wp:extent cx="5731510" cy="752420"/>
                <wp:effectExtent l="0" t="0" r="21590" b="1016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52420"/>
                        </a:xfrm>
                        <a:prstGeom prst="rect">
                          <a:avLst/>
                        </a:prstGeom>
                        <a:solidFill>
                          <a:sysClr val="window" lastClr="FFFFFF">
                            <a:lumMod val="85000"/>
                          </a:sysClr>
                        </a:solidFill>
                        <a:ln w="12700">
                          <a:solidFill>
                            <a:srgbClr val="000000"/>
                          </a:solidFill>
                          <a:miter lim="800000"/>
                          <a:headEnd/>
                          <a:tailEnd/>
                        </a:ln>
                      </wps:spPr>
                      <wps:txbx>
                        <w:txbxContent>
                          <w:p>
                            <w:pPr>
                              <w:jc w:val="both"/>
                              <w:rPr>
                                <w:rFonts w:ascii="Times New Roman" w:hAnsi="Times New Roman"/>
                                <w:sz w:val="24"/>
                                <w:szCs w:val="24"/>
                              </w:rPr>
                            </w:pPr>
                            <w:r>
                              <w:rPr>
                                <w:rFonts w:ascii="Times New Roman" w:hAnsi="Times New Roman"/>
                                <w:sz w:val="24"/>
                                <w:szCs w:val="24"/>
                              </w:rPr>
                              <w:t xml:space="preserve">Il-pajjiżi li jipparteċipaw fl-EU ETS jużaw approċċi diversi fir-rigward tal-awtoritajiet kompetenti inkarigati mill-implimentazzjoni tagħha. F’ċerti pajjiżi, hemm għadd ta’ awtoritajiet lokali involuti, filwaqt li f’oħrajn l-approċċ huwa ferm aktar iċċentralizzat. </w:t>
                            </w:r>
                          </w:p>
                          <w:p>
                            <w:pPr>
                              <w:jc w:val="both"/>
                              <w:rPr>
                                <w:rFonts w:ascii="Times New Roman" w:hAnsi="Times New Roman"/>
                                <w:sz w:val="24"/>
                                <w:szCs w:val="24"/>
                              </w:rPr>
                            </w:pPr>
                          </w:p>
                        </w:txbxContent>
                      </wps:txbx>
                      <wps:bodyPr rot="0" vert="horz" wrap="square" lIns="91440" tIns="45720" rIns="91440" bIns="45720" anchor="t" anchorCtr="0">
                        <a:noAutofit/>
                      </wps:bodyPr>
                    </wps:wsp>
                  </a:graphicData>
                </a:graphic>
              </wp:inline>
            </w:drawing>
          </mc:Choice>
          <mc:Fallback>
            <w:pict>
              <v:shape id="_x0000_s1040" type="#_x0000_t202" style="width:451.3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" fillcolor="#d9d9d9" strokeweight="1pt">
                <v:textbox>
                  <w:txbxContent>
                    <w:p>
                      <w:pPr>
                        <w:jc w:val="both"/>
                        <w:rPr>
                          <w:rFonts w:ascii="Times New Roman" w:hAnsi="Times New Roman"/>
                          <w:sz w:val="24"/>
                          <w:szCs w:val="24"/>
                        </w:rPr>
                      </w:pPr>
                      <w:r>
                        <w:rPr>
                          <w:rFonts w:ascii="Times New Roman" w:hAnsi="Times New Roman"/>
                          <w:sz w:val="24"/>
                          <w:szCs w:val="24"/>
                        </w:rPr>
                        <w:t xml:space="preserve">Il-pajjiżi li jipparteċipaw fl-EU ETS jużaw approċċi diversi fir-rigward tal-awtoritajiet kompetenti inkarigati mill-implimentazzjoni tagħha. F’ċerti pajjiżi, hemm għadd ta’ awtoritajiet lokali involuti, filwaqt li f’oħrajn l-approċċ huwa ferm aktar iċċentralizzat. </w:t>
                      </w:r>
                    </w:p>
                    <w:p>
                      <w:pPr>
                        <w:jc w:val="both"/>
                        <w:rPr>
                          <w:rFonts w:ascii="Times New Roman" w:hAnsi="Times New Roman"/>
                          <w:sz w:val="24"/>
                          <w:szCs w:val="24"/>
                        </w:rPr>
                      </w:pPr>
                    </w:p>
                  </w:txbxContent>
                </v:textbox>
                <w10:anchorlock/>
              </v:shape>
            </w:pict>
          </mc:Fallback>
        </mc:AlternateContent>
      </w:r>
    </w:p>
    <w:p>
      <w:pPr>
        <w:jc w:val="both"/>
        <w:rPr>
          <w:rFonts w:ascii="Times New Roman" w:hAnsi="Times New Roman"/>
          <w:noProof/>
          <w:sz w:val="24"/>
          <w:szCs w:val="24"/>
        </w:rPr>
      </w:pPr>
      <w:r>
        <w:rPr>
          <w:rFonts w:ascii="Times New Roman" w:hAnsi="Times New Roman"/>
          <w:noProof/>
          <w:sz w:val="24"/>
          <w:szCs w:val="24"/>
        </w:rPr>
        <w:t>Skont is-sottomissjonijiet tal-Artikolu 21 fl-2020, kien hemm, bħala medja, 4 awtoritajiet kompetenti involuti fl-implimentazzjoni tal-EU ETS għal kull pajjiż.</w:t>
      </w:r>
      <w:r>
        <w:rPr>
          <w:rFonts w:ascii="Times New Roman" w:hAnsi="Times New Roman"/>
          <w:noProof/>
          <w:sz w:val="24"/>
          <w:szCs w:val="24"/>
          <w:vertAlign w:val="superscript"/>
        </w:rPr>
        <w:footnoteReference w:id="82"/>
      </w:r>
      <w:r>
        <w:rPr>
          <w:rFonts w:ascii="Times New Roman" w:hAnsi="Times New Roman"/>
          <w:noProof/>
          <w:sz w:val="24"/>
          <w:szCs w:val="24"/>
        </w:rPr>
        <w:t xml:space="preserve"> Fir-rigward tal-koordinazzjoni bejn l-awtoritajiet, ġew irrapportati għodod diversi, bħal strumenti leġiżlattivi għall-ġestjoni ċentrali ta’ pjanijiet ta’ monitoraġġ (f’14-il pajjiż), struzzjonijiet vinkolanti u gwida minn awtorità ċentrali kompetenti mogħtija lill-awtoritajiet lokali (f’10 pajjiżi), u gruppi ta’ ħidma jew laqgħat regolari bejn l-awtoritajiet (fi 13-il pajjiż). Seba’ pajjiżi indikaw li ma hemm l-ebda għodda bħal din fis-seħħ (CY, IE, IS, IT, LI, LU u MT). </w:t>
      </w:r>
    </w:p>
    <w:p>
      <w:pPr>
        <w:jc w:val="both"/>
        <w:rPr>
          <w:rFonts w:ascii="Times New Roman" w:hAnsi="Times New Roman"/>
          <w:noProof/>
          <w:sz w:val="24"/>
          <w:szCs w:val="24"/>
        </w:rPr>
      </w:pPr>
      <w:r>
        <w:rPr>
          <w:rFonts w:ascii="Times New Roman" w:hAnsi="Times New Roman"/>
          <w:noProof/>
          <w:sz w:val="24"/>
          <w:szCs w:val="24"/>
        </w:rPr>
        <w:t>Fir-rigward tat-tariffi amministrattivi imposti b’rabta mal-permessi u mal-approvazzjoni tal-pjanijiet ta’ monitoraġġ, fl-2020, 13-il pajjiż irrapportaw li ma jimponu l-ebda tariffa fuq l-operaturi tal-installazzjonijiet (CY, DE, EE, EL, IE, LI, LT, LU, LV, MT, NL, SE, SK), l-istess bħas-sena preċedenti. L-operaturi tal-inġenji tal-ajru fi 15-il pajjiż ma jħallsux tariffi (BE, CY, CZ, DE, EE, ES, EL, LI, LT, LU, LV, MT, NL, SE, SK). L-imposti jvarjaw b’mod sinifikanti minn pajjiż għal ieħor u minn tip ta’ servizz għal ieħor, b’firxa li tvarja minn EUR 5 sa EUR 7283,17 għall-approvazzjonijiet ta’ permessi u ta’ pjanijiet ta’ monitoraġġ għall-installazzjonijiet u minn EUR 2,19 sa EUR 2 400 għall-istess servizz għall-operaturi tal-avjazzjoni.</w:t>
      </w:r>
    </w:p>
    <w:p>
      <w:pPr>
        <w:jc w:val="both"/>
        <w:rPr>
          <w:rFonts w:ascii="Times New Roman" w:hAnsi="Times New Roman"/>
          <w:noProof/>
          <w:sz w:val="24"/>
          <w:szCs w:val="24"/>
        </w:rPr>
      </w:pPr>
      <w:r>
        <w:rPr>
          <w:rFonts w:ascii="Times New Roman" w:hAnsi="Times New Roman"/>
          <w:noProof/>
          <w:sz w:val="24"/>
          <w:szCs w:val="24"/>
        </w:rPr>
        <w:t xml:space="preserve">B’mod ġenerali, l-organizzazzjoni amministrattiva tal-ETS tal-pajjiżi parteċipanti hija fil-biċċa l-kbira effettiva. Il-komunikazzjoni u l-qsim tal-aħjar prattiki, inkluż permezz tal-attivitajiet tal-Forum dwar il-Konformità mal-EU ETS u l-Konferenza annwali dwar il-Konformità mal-EU ETS, jenħtieġ li jkomplu jissaħħu u jitħeġġu. </w:t>
      </w:r>
    </w:p>
    <w:p>
      <w:pPr>
        <w:jc w:val="both"/>
        <w:rPr>
          <w:rFonts w:ascii="Times New Roman" w:hAnsi="Times New Roman"/>
          <w:noProof/>
          <w:sz w:val="24"/>
          <w:szCs w:val="24"/>
        </w:rPr>
      </w:pPr>
    </w:p>
    <w:p>
      <w:pPr>
        <w:pStyle w:val="Heading1"/>
        <w:spacing w:before="0" w:after="200"/>
        <w:rPr>
          <w:noProof/>
        </w:rPr>
      </w:pPr>
      <w:bookmarkStart w:id="59" w:name="_Toc523331487"/>
      <w:bookmarkStart w:id="60" w:name="_Toc56000810"/>
      <w:r>
        <w:rPr>
          <w:noProof/>
        </w:rPr>
        <w:t>8. KONFORMITÀ U INFURZAR</w:t>
      </w:r>
      <w:bookmarkEnd w:id="59"/>
      <w:bookmarkEnd w:id="60"/>
      <w:r>
        <w:rPr>
          <w:noProof/>
        </w:rPr>
        <w:t xml:space="preserve"> </w:t>
      </w:r>
    </w:p>
    <w:p>
      <w:pPr>
        <w:rPr>
          <w:noProof/>
        </w:rPr>
      </w:pPr>
      <w:r>
        <w:rPr>
          <w:noProof/>
          <w:lang w:val="en-GB" w:eastAsia="en-GB"/>
        </w:rPr>
        <mc:AlternateContent>
          <mc:Choice Requires="wps">
            <w:drawing>
              <wp:inline distT="0" distB="0" distL="0" distR="0">
                <wp:extent cx="5731510" cy="1325880"/>
                <wp:effectExtent l="0" t="0" r="21590" b="2667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25880"/>
                        </a:xfrm>
                        <a:prstGeom prst="rect">
                          <a:avLst/>
                        </a:prstGeom>
                        <a:solidFill>
                          <a:sysClr val="window" lastClr="FFFFFF">
                            <a:lumMod val="85000"/>
                          </a:sysClr>
                        </a:solidFill>
                        <a:ln w="12700">
                          <a:solidFill>
                            <a:srgbClr val="000000"/>
                          </a:solidFill>
                          <a:miter lim="800000"/>
                          <a:headEnd/>
                          <a:tailEnd/>
                        </a:ln>
                      </wps:spPr>
                      <wps:txbx>
                        <w:txbxContent>
                          <w:p>
                            <w:pPr>
                              <w:jc w:val="both"/>
                              <w:rPr>
                                <w:rFonts w:ascii="Times New Roman" w:hAnsi="Times New Roman"/>
                                <w:sz w:val="24"/>
                                <w:szCs w:val="24"/>
                              </w:rPr>
                            </w:pPr>
                            <w:r>
                              <w:rPr>
                                <w:rFonts w:ascii="Times New Roman" w:hAnsi="Times New Roman"/>
                                <w:sz w:val="24"/>
                                <w:szCs w:val="24"/>
                              </w:rPr>
                              <w:t>Id-Direttiva dwar l-EU ETS tipprevedi penali għall-emissjonijiet eċċessivi fil-forma ta’ EUR 100 (indiċjati għall-inflazzjoni) għal kull tunnellata ta’ CO</w:t>
                            </w:r>
                            <w:r>
                              <w:rPr>
                                <w:rFonts w:ascii="Times New Roman" w:hAnsi="Times New Roman"/>
                                <w:sz w:val="24"/>
                                <w:szCs w:val="24"/>
                                <w:vertAlign w:val="subscript"/>
                              </w:rPr>
                              <w:t>2</w:t>
                            </w:r>
                            <w:r>
                              <w:rPr>
                                <w:rFonts w:ascii="Times New Roman" w:hAnsi="Times New Roman"/>
                                <w:sz w:val="24"/>
                                <w:szCs w:val="24"/>
                              </w:rPr>
                              <w:t xml:space="preserve"> mormija, li għalihom ma ġiet ċeduta l-ebda kwota fiż-żmien dovut, u teħtieġ ukoll li l-kwoti jiġu ċeduti għal dawn l-emissjonijiet. Penali oħrajn li japplikaw għall-ksur fl-implimentazzjoni tal-EU ETS huma skont id-dispożizzjonijiet nazzjonali stabbiliti mill-pajjiż ikkonċernat.</w:t>
                            </w:r>
                          </w:p>
                          <w:p>
                            <w:pPr>
                              <w:jc w:val="both"/>
                              <w:rPr>
                                <w:rFonts w:ascii="Times New Roman" w:hAnsi="Times New Roman"/>
                                <w:sz w:val="24"/>
                                <w:szCs w:val="24"/>
                              </w:rPr>
                            </w:pPr>
                          </w:p>
                        </w:txbxContent>
                      </wps:txbx>
                      <wps:bodyPr rot="0" vert="horz" wrap="square" lIns="91440" tIns="45720" rIns="91440" bIns="45720" anchor="t" anchorCtr="0">
                        <a:noAutofit/>
                      </wps:bodyPr>
                    </wps:wsp>
                  </a:graphicData>
                </a:graphic>
              </wp:inline>
            </w:drawing>
          </mc:Choice>
          <mc:Fallback>
            <w:pict>
              <v:shape id="_x0000_s1041" type="#_x0000_t202" style="width:451.3pt;height:10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" fillcolor="#d9d9d9" strokeweight="1pt">
                <v:textbox>
                  <w:txbxContent>
                    <w:p>
                      <w:pPr>
                        <w:jc w:val="both"/>
                        <w:rPr>
                          <w:rFonts w:ascii="Times New Roman" w:hAnsi="Times New Roman"/>
                          <w:sz w:val="24"/>
                          <w:szCs w:val="24"/>
                        </w:rPr>
                      </w:pPr>
                      <w:r>
                        <w:rPr>
                          <w:rFonts w:ascii="Times New Roman" w:hAnsi="Times New Roman"/>
                          <w:sz w:val="24"/>
                          <w:szCs w:val="24"/>
                        </w:rPr>
                        <w:t>Id-Direttiva dwar l-EU ETS tipprevedi penali għall-emissjonijiet eċċessivi fil-forma ta’ EUR 100 (indiċjati għall-inflazzjoni) għal kull tunnellata ta’ CO</w:t>
                      </w:r>
                      <w:r>
                        <w:rPr>
                          <w:rFonts w:ascii="Times New Roman" w:hAnsi="Times New Roman"/>
                          <w:sz w:val="24"/>
                          <w:szCs w:val="24"/>
                          <w:vertAlign w:val="subscript"/>
                        </w:rPr>
                        <w:t>2</w:t>
                      </w:r>
                      <w:r>
                        <w:rPr>
                          <w:rFonts w:ascii="Times New Roman" w:hAnsi="Times New Roman"/>
                          <w:sz w:val="24"/>
                          <w:szCs w:val="24"/>
                        </w:rPr>
                        <w:t xml:space="preserve"> mormija, li għalihom ma ġiet ċeduta l-ebda kwota fiż-żmien dovut, u teħtieġ ukoll li l-kwoti jiġu ċeduti għal dawn l-emissjonijiet. Penali oħrajn li japplikaw għall-ksur fl-implimentazzjoni tal-EU ETS huma skont id-dispożizzjonijiet nazzjonali stabbiliti mill-pajjiż ikkonċernat.</w:t>
                      </w:r>
                    </w:p>
                    <w:p>
                      <w:pPr>
                        <w:jc w:val="both"/>
                        <w:rPr>
                          <w:rFonts w:ascii="Times New Roman" w:hAnsi="Times New Roman"/>
                          <w:sz w:val="24"/>
                          <w:szCs w:val="24"/>
                        </w:rPr>
                      </w:pPr>
                    </w:p>
                  </w:txbxContent>
                </v:textbox>
                <w10:anchorlock/>
              </v:shape>
            </w:pict>
          </mc:Fallback>
        </mc:AlternateContent>
      </w:r>
    </w:p>
    <w:p>
      <w:pPr>
        <w:spacing w:after="120"/>
        <w:jc w:val="both"/>
        <w:rPr>
          <w:rFonts w:ascii="Times New Roman" w:eastAsia="Times New Roman" w:hAnsi="Times New Roman"/>
          <w:noProof/>
          <w:sz w:val="24"/>
          <w:szCs w:val="24"/>
        </w:rPr>
      </w:pPr>
      <w:r>
        <w:rPr>
          <w:rFonts w:ascii="Times New Roman" w:hAnsi="Times New Roman"/>
          <w:noProof/>
          <w:sz w:val="24"/>
          <w:szCs w:val="24"/>
        </w:rPr>
        <w:t>Għaċ-ċiklu ta’ konformità tal-2019, minkejja s-sitwazzjoni ekonomika diffiċli minħabba l-kriżi tal-COVID-19, il-livell ta’ konformità mal-EU ETS baqa’ għoli ħafna: il-biċċa l-kbira tal-operaturi, li jkopru aktar minn 99 % tal-emissjonijiet minn installazzjonijiet stazzjonarji, ikkonformaw mal-obbligi legali tagħhom f’Marzu u f’April 2020. L-installazzjonijiet mhux konformi kienu tipikament żgħar. Madwar 500 operatur tal-inġenji tal-ajru rrappurtaw u kkonformaw, inklużi aktar minn 100 operatur kummerċjali tal-inġenji tal-ajru li huma bbażati barra mill-UE iżda li joperaw titjiriet fiż-ŻEE. L-operaturi mhux konformi kienu żgħar tipikament, jew waqfu joperaw fl-2018.</w:t>
      </w:r>
    </w:p>
    <w:p>
      <w:pPr>
        <w:spacing w:after="120"/>
        <w:jc w:val="both"/>
        <w:rPr>
          <w:rFonts w:ascii="Times New Roman" w:eastAsia="Times New Roman" w:hAnsi="Times New Roman"/>
          <w:noProof/>
          <w:sz w:val="24"/>
          <w:szCs w:val="24"/>
        </w:rPr>
      </w:pPr>
      <w:r>
        <w:rPr>
          <w:rFonts w:ascii="Times New Roman" w:hAnsi="Times New Roman"/>
          <w:noProof/>
          <w:sz w:val="24"/>
          <w:szCs w:val="24"/>
        </w:rPr>
        <w:t>L-awtoritajiet kompetenti jibqgħu jwettqu verifiki tal-konformità differenti fuq ir-rapporti tal-emissjonijiet annwali. Fuq il-bażi tas-sottomissjonijiet tal-Artikolu 21 fl-2020, il-pajjiżi parteċipanti kollha</w:t>
      </w:r>
      <w:r>
        <w:rPr>
          <w:rStyle w:val="FootnoteReference"/>
          <w:rFonts w:ascii="Times New Roman" w:eastAsia="Times New Roman" w:hAnsi="Times New Roman"/>
          <w:noProof/>
          <w:sz w:val="24"/>
          <w:szCs w:val="24"/>
          <w:lang w:eastAsia="de-DE"/>
        </w:rPr>
        <w:footnoteReference w:id="83"/>
      </w:r>
      <w:r>
        <w:rPr>
          <w:rFonts w:ascii="Times New Roman" w:hAnsi="Times New Roman"/>
          <w:noProof/>
          <w:sz w:val="24"/>
          <w:szCs w:val="24"/>
        </w:rPr>
        <w:t xml:space="preserve"> jivverifikaw il-kompletezza tar-rapporti annwali tal-emissjonijiet mill-installazzjonijiet (100 % tar-rapporti għajr BE 31 %, ES 94 %, FR 95 %), u l-maġġoranza tal-pajjiżi jiivverifikaw ir-rapporti mill-operaturi tal-inġenji tal-ajru - kollha ħlief l-Ungerija, il-Latvja (it-tnejn għandhom żewġ operaturi ta’ inġenji tal-ajru) u l-Liechtenstein (l-ebda operatur ta’ inġenji tal-ajru). Ir-rapporti jindikaw ukoll li bħala medja, il-pajjiżi jivverifikaw madwar 83 % tar-rapporti tal-installazzjonijiet għall-konsistenza mal-pjanijiet ta’ monitoraġġ (b’91 % tar-rapporti tal-avjazzjoni) u qrib 70 % tar-rapporti tal-istallazzjonijiet mqabbla mad-</w:t>
      </w:r>
      <w:r>
        <w:rPr>
          <w:rFonts w:ascii="Times New Roman" w:hAnsi="Times New Roman"/>
          <w:i/>
          <w:noProof/>
          <w:sz w:val="24"/>
          <w:szCs w:val="24"/>
        </w:rPr>
        <w:t>data</w:t>
      </w:r>
      <w:r>
        <w:rPr>
          <w:rFonts w:ascii="Times New Roman" w:hAnsi="Times New Roman"/>
          <w:noProof/>
          <w:sz w:val="24"/>
          <w:szCs w:val="24"/>
        </w:rPr>
        <w:t xml:space="preserve"> tal-allokazzjoni. Tlieta u għoxrin pajjiż irrapportaw li jwettqu wkoll kontroverifiki ma’ </w:t>
      </w:r>
      <w:r>
        <w:rPr>
          <w:rFonts w:ascii="Times New Roman" w:hAnsi="Times New Roman"/>
          <w:i/>
          <w:noProof/>
          <w:sz w:val="24"/>
          <w:szCs w:val="24"/>
        </w:rPr>
        <w:t>data</w:t>
      </w:r>
      <w:r>
        <w:rPr>
          <w:rFonts w:ascii="Times New Roman" w:hAnsi="Times New Roman"/>
          <w:noProof/>
          <w:sz w:val="24"/>
          <w:szCs w:val="24"/>
        </w:rPr>
        <w:t xml:space="preserve"> oħra għaż-żewġ installazzjonijiet u 24 pajjiż jagħmlu dan ukoll għall-operaturi tal-inġenji tal-ajru. </w:t>
      </w:r>
    </w:p>
    <w:p>
      <w:pPr>
        <w:spacing w:after="120"/>
        <w:jc w:val="both"/>
        <w:rPr>
          <w:rFonts w:ascii="Times New Roman" w:eastAsia="Times New Roman" w:hAnsi="Times New Roman"/>
          <w:noProof/>
          <w:sz w:val="24"/>
          <w:szCs w:val="24"/>
        </w:rPr>
      </w:pPr>
      <w:r>
        <w:rPr>
          <w:rFonts w:ascii="Times New Roman" w:hAnsi="Times New Roman"/>
          <w:noProof/>
          <w:sz w:val="24"/>
          <w:szCs w:val="24"/>
        </w:rPr>
        <w:t xml:space="preserve">L-awtoritajiet kompetenti fi 12-il pajjiż wettqu stimi konservattivi dwar </w:t>
      </w:r>
      <w:r>
        <w:rPr>
          <w:rFonts w:ascii="Times New Roman" w:hAnsi="Times New Roman"/>
          <w:i/>
          <w:noProof/>
          <w:sz w:val="24"/>
          <w:szCs w:val="24"/>
        </w:rPr>
        <w:t>data</w:t>
      </w:r>
      <w:r>
        <w:rPr>
          <w:rFonts w:ascii="Times New Roman" w:hAnsi="Times New Roman"/>
          <w:noProof/>
          <w:sz w:val="24"/>
          <w:szCs w:val="24"/>
        </w:rPr>
        <w:t xml:space="preserve"> nieqsa fil-każ ta’ 101 installazzjoni (madwar 1 % tal-installazzjonijiet b’mod ġenerali), kważi darbtejn l-ammont tat-tliet snin ta’ qabel.  Iż-żieda tidher li hija dovuta għal għadd ogħla ta’ stimi konservattivi fin-Netherlands (51 installazzjoni affettwati fl-2019 meta mqabbla ma’ 11 fl-2018), minħabba li waslu aktar notifiki ta’ żbalji ta’ monitoraġġ meta mqabbla mas-snin ta’ qabel. Il-kwantità rrapportata tal-emissjonijiet affettwati tal-2019 kienet ta’ 61,0 miljun tunnellata ta’ CO</w:t>
      </w:r>
      <w:r>
        <w:rPr>
          <w:rFonts w:ascii="Times New Roman" w:hAnsi="Times New Roman"/>
          <w:noProof/>
          <w:sz w:val="24"/>
          <w:szCs w:val="24"/>
          <w:vertAlign w:val="subscript"/>
        </w:rPr>
        <w:t>2</w:t>
      </w:r>
      <w:r>
        <w:rPr>
          <w:rFonts w:ascii="Times New Roman" w:hAnsi="Times New Roman"/>
          <w:noProof/>
          <w:sz w:val="24"/>
          <w:szCs w:val="24"/>
        </w:rPr>
        <w:t xml:space="preserve"> (meta mqabbla ma’ 11,2 miljun tunnellata fl-2018), madwar 4 % tal-emissjonijiet ġenerali (meta mqabbla ma’ 0,7 % fl-2018). L-aktar raġunijiet komuni mogħtija biex isiru stimi konservattivi kienu rapporti dwar l-emissjonijiet li ma kinux kompletament konformi mar-rekwiżiti tal-MRR u n-nuqqas ta’ rapport dwar l-emissjonijiet sal-31 ta’ Marzu.</w:t>
      </w:r>
    </w:p>
    <w:p>
      <w:pPr>
        <w:spacing w:after="120"/>
        <w:jc w:val="both"/>
        <w:rPr>
          <w:rFonts w:ascii="Times New Roman" w:eastAsia="Times New Roman" w:hAnsi="Times New Roman"/>
          <w:noProof/>
          <w:sz w:val="24"/>
          <w:szCs w:val="24"/>
        </w:rPr>
      </w:pPr>
      <w:r>
        <w:rPr>
          <w:rFonts w:ascii="Times New Roman" w:hAnsi="Times New Roman"/>
          <w:noProof/>
          <w:sz w:val="24"/>
          <w:szCs w:val="24"/>
        </w:rPr>
        <w:t>Stimi konservattivi tad-</w:t>
      </w:r>
      <w:r>
        <w:rPr>
          <w:rFonts w:ascii="Times New Roman" w:hAnsi="Times New Roman"/>
          <w:i/>
          <w:noProof/>
          <w:sz w:val="24"/>
          <w:szCs w:val="24"/>
        </w:rPr>
        <w:t>data</w:t>
      </w:r>
      <w:r>
        <w:rPr>
          <w:rFonts w:ascii="Times New Roman" w:hAnsi="Times New Roman"/>
          <w:noProof/>
          <w:sz w:val="24"/>
          <w:szCs w:val="24"/>
        </w:rPr>
        <w:t xml:space="preserve"> nieqsa għall-avjazzjoni ġew irrapportati minn seba’ pajjiżi fir-rigward ta’ 33 operatur ta’ inġenji tal-ajru (madwar 5,4 % tal-operaturi kollha), u 1,6 % tal-emissjonijiet tal-avjazzjoni. </w:t>
      </w:r>
    </w:p>
    <w:p>
      <w:pPr>
        <w:spacing w:after="120"/>
        <w:jc w:val="both"/>
        <w:rPr>
          <w:rFonts w:ascii="Times New Roman" w:eastAsia="Times New Roman" w:hAnsi="Times New Roman"/>
          <w:noProof/>
          <w:sz w:val="24"/>
          <w:szCs w:val="24"/>
        </w:rPr>
      </w:pPr>
      <w:r>
        <w:rPr>
          <w:rFonts w:ascii="Times New Roman" w:hAnsi="Times New Roman"/>
          <w:noProof/>
          <w:sz w:val="24"/>
          <w:szCs w:val="24"/>
        </w:rPr>
        <w:t>Il-verifiki tal-awtoritajiet kompetenti jibqgħu importanti wkoll biex jissupplimentaw ix-xogħol tal-verifikatur. Għall-2019, il-pajjiżi kollha kkonfermaw li fil-każ ta’ installazzjonijiet huma jwettqu verifiki ulterjuri. Ħafna mill-pajjiżi rrapportaw approċċ simili rigward l-operaturi ta’ inġenji tal-ajru (ħlief HU, IT, LI, u LV). Il-biċċa l-kbira tal-pajjiżi (kollha ħlief EL, IT, LU u MT) irrapportaw li wettqu kontrolli fuq il-post fl-installazzjonijiet fl-2019, u kważi nofs il-pajjiżi rrapportaw kontrolli fuq il-post għall-avjazzjoni (kollha ħlief BG, CY, CZ, EE, ES, FI, FR, EL, HU, IT, LI, LT, LU, LV, MT, NO, PT u UK).</w:t>
      </w:r>
    </w:p>
    <w:p>
      <w:pPr>
        <w:spacing w:after="120"/>
        <w:jc w:val="both"/>
        <w:rPr>
          <w:rFonts w:ascii="Times New Roman" w:eastAsia="Times New Roman" w:hAnsi="Times New Roman"/>
          <w:noProof/>
          <w:sz w:val="24"/>
          <w:szCs w:val="24"/>
        </w:rPr>
      </w:pPr>
      <w:r>
        <w:rPr>
          <w:rFonts w:ascii="Times New Roman" w:hAnsi="Times New Roman"/>
          <w:noProof/>
          <w:sz w:val="24"/>
          <w:szCs w:val="24"/>
        </w:rPr>
        <w:t xml:space="preserve">Fl-2019, l-applikazzjoni ta’ penali għall-emissjonijiet eċċessivi ġiet irrapportata għal 25 installazzjoni minn 8 pajjiżi (DE 1, DK 2, ES 1, IT 4, PL 2, PT 1, RO 7 u UK 7). Għall-avjazzjoni, il-penali għall-emissjonijiet eċċessivi ġew irrapportati għal 34 operatur tal-inġenji tal-ajru (CY 1, DE 3, ES 4, IT 3, PT 11 u UK 12). </w:t>
      </w:r>
    </w:p>
    <w:p>
      <w:pPr>
        <w:spacing w:after="120"/>
        <w:jc w:val="both"/>
        <w:rPr>
          <w:rFonts w:ascii="Times New Roman" w:eastAsia="Times New Roman" w:hAnsi="Times New Roman"/>
          <w:noProof/>
          <w:sz w:val="24"/>
          <w:szCs w:val="24"/>
        </w:rPr>
      </w:pPr>
      <w:r>
        <w:rPr>
          <w:rFonts w:ascii="Times New Roman" w:hAnsi="Times New Roman"/>
          <w:noProof/>
          <w:sz w:val="24"/>
          <w:szCs w:val="24"/>
        </w:rPr>
        <w:t>Fl-2019, sitt pajjiżi kkonfermaw il-ħruġ ta’ penali (b’żieda mal-penali għall-emissjonijiet eċċessivi). Ma ġie rrapportat l-ebda każ ta’ priġunerija, iżda ġie nnotat li ngħataw jew li għad iridu jingħataw multi, u jintbagħtu avviżi formali u ittri ta’ twissija (pereżempju minħabba proċedimenti legali li għaddejjin), li jammontaw għall-valur finanzjarju totali ta’ EUR 7,8 miljun (li minnhom EUR 0,15-il miljun huma għall-avjazzjoni).</w:t>
      </w:r>
    </w:p>
    <w:p>
      <w:pPr>
        <w:spacing w:after="120"/>
        <w:jc w:val="both"/>
        <w:rPr>
          <w:rFonts w:ascii="Times New Roman" w:eastAsia="Times New Roman" w:hAnsi="Times New Roman"/>
          <w:noProof/>
          <w:sz w:val="24"/>
          <w:szCs w:val="24"/>
        </w:rPr>
      </w:pPr>
      <w:r>
        <w:rPr>
          <w:rFonts w:ascii="Times New Roman" w:hAnsi="Times New Roman"/>
          <w:noProof/>
          <w:sz w:val="24"/>
          <w:szCs w:val="24"/>
        </w:rPr>
        <w:t>Il-ksur l-aktar komuni rrapportat għall-2019 kien in-nuqqas ta’ sottomissjoni ta’ rapporti annwali vverifikati dwar l-emissjonijiet sal-iskadenza dovuta, in-nuqqas ta’ notifika fil-ħin ta’ bidliet ippjanati jew effettivi fil-kapaċità, fil-livelli ta’ attività u fit-tħaddim ta’ installazzjoni, u n-nuqqas ta’ monitoraġġ skont il-pjan ta’ monitoraġġ approvat u r-Regolament (UE) Nru 601/2012.</w:t>
      </w:r>
    </w:p>
    <w:p>
      <w:pPr>
        <w:spacing w:after="120"/>
        <w:jc w:val="both"/>
        <w:rPr>
          <w:rFonts w:ascii="Times New Roman" w:eastAsia="Times New Roman" w:hAnsi="Times New Roman"/>
          <w:noProof/>
          <w:sz w:val="24"/>
          <w:szCs w:val="24"/>
        </w:rPr>
      </w:pPr>
      <w:r>
        <w:rPr>
          <w:rFonts w:ascii="Times New Roman" w:hAnsi="Times New Roman"/>
          <w:noProof/>
          <w:sz w:val="24"/>
          <w:szCs w:val="24"/>
        </w:rPr>
        <w:t>Kif ġie rrapportat is-sena l-oħra, fl-2018 u fl-2019 seħħ il-ħames ċiklu ta’ evalwazzjoni tal-konformità mal-EU ETS, bil-għan li jiġu identifikati l-problemi għall-konformità mal-EU ETS fil-livell tal-pajjiżi parteċipanti u li dawn il-pajjiżi jiġu appoġġati fit-titjib tal-implimentazzjoni tagħhom tal-EU ETS. L-evalwazzjoni ġiet iffinalizzata fl-2020 u ġie ppubblikat rapport tekniku dwar ir-riżultati</w:t>
      </w:r>
      <w:r>
        <w:rPr>
          <w:rFonts w:ascii="Times New Roman" w:eastAsia="Times New Roman" w:hAnsi="Times New Roman"/>
          <w:noProof/>
          <w:sz w:val="24"/>
          <w:szCs w:val="24"/>
          <w:vertAlign w:val="superscript"/>
          <w:lang w:eastAsia="de-DE"/>
        </w:rPr>
        <w:footnoteReference w:id="84"/>
      </w:r>
      <w:r>
        <w:rPr>
          <w:rFonts w:ascii="Times New Roman" w:hAnsi="Times New Roman"/>
          <w:noProof/>
          <w:sz w:val="24"/>
          <w:szCs w:val="24"/>
        </w:rPr>
        <w:t>.</w:t>
      </w:r>
    </w:p>
    <w:p>
      <w:pPr>
        <w:spacing w:after="120"/>
        <w:jc w:val="both"/>
        <w:rPr>
          <w:rFonts w:ascii="Times New Roman" w:eastAsia="Times New Roman" w:hAnsi="Times New Roman"/>
          <w:noProof/>
          <w:sz w:val="24"/>
          <w:szCs w:val="24"/>
        </w:rPr>
      </w:pPr>
      <w:r>
        <w:rPr>
          <w:rFonts w:ascii="Times New Roman" w:hAnsi="Times New Roman"/>
          <w:noProof/>
          <w:sz w:val="24"/>
          <w:szCs w:val="24"/>
        </w:rPr>
        <w:t>Ir-rapport jikkonkludi li, filwaqt li l-kwalità u l-effikaċja tal-approvazzjoni tal-Pjanijiet ta’ Monitoraġġ, ir-rieżami tar-Rapporti Annwali dwar l-Emissjonijiet u r-Rapporti ta’ Verifika, kif ukoll l-ispezzjonijiet tjiebu minħabba li żdied l-użu tal-mudelli u s-sistemi tal-IT tal-Kummissjoni, kif ukoll minħabba proċeduri msaħħa tal-Awtorità Kompetenti, xi oqsma ta’ MRV għadhom jikkawżaw problemi ta’ interpretazzjoni u jibbenefikaw minn taħriġ dedikat jew minn gwida mfassla apposta.</w:t>
      </w:r>
    </w:p>
    <w:p>
      <w:pPr>
        <w:spacing w:after="120"/>
        <w:jc w:val="both"/>
        <w:rPr>
          <w:rFonts w:ascii="Times New Roman" w:eastAsia="Times New Roman" w:hAnsi="Times New Roman"/>
          <w:noProof/>
          <w:sz w:val="24"/>
          <w:szCs w:val="24"/>
        </w:rPr>
      </w:pPr>
      <w:r>
        <w:rPr>
          <w:rFonts w:ascii="Times New Roman" w:hAnsi="Times New Roman"/>
          <w:noProof/>
          <w:sz w:val="24"/>
          <w:szCs w:val="24"/>
        </w:rPr>
        <w:t xml:space="preserve">Id-differenzi fl-implimentazzjoni tal-Istati Membri jinstabu l-aktar fir-rieżami tar-Rapporti Annwali dwar l-Emissjonijiet u fir-Rapporti ta’ Verifika, u fis-segwitu ta’ kwistjonijiet identifikati matul il-verifika, il-proċeduri ta’ spezzjoni, u l-infurzar. Filwaqt li dawn id-differenzi ma jidhrux li għandhom effett detrimentali fuq ir-robustezza tas-sistema tal-MRV, f’xi oqsma - bħall-iskambju tal-informazzjoni bejn il-fruntieri, is-segwitu tar-rakkomandazzjonijiet għat-titjib, u l-proċeduri ta’ spezzjoni, - għad hemm lok għal titjib fil-livell tal-UE. Ir-rakkomandazzjonijiet tal-Istati Membri għat-titjib saru fi pjanijiet ta’ azzjoni mfassla apposta. </w:t>
      </w:r>
    </w:p>
    <w:p>
      <w:pPr>
        <w:spacing w:after="120"/>
        <w:jc w:val="both"/>
        <w:rPr>
          <w:rFonts w:ascii="Times New Roman" w:eastAsia="Times New Roman" w:hAnsi="Times New Roman"/>
          <w:noProof/>
          <w:sz w:val="24"/>
          <w:szCs w:val="24"/>
        </w:rPr>
      </w:pPr>
      <w:r>
        <w:rPr>
          <w:rFonts w:ascii="Times New Roman" w:hAnsi="Times New Roman"/>
          <w:noProof/>
          <w:sz w:val="24"/>
          <w:szCs w:val="24"/>
        </w:rPr>
        <w:t>Ladarba r-reviżjonijiet tar-regolamenti jibdew japplikaw, uħud mill-oqsma ta’ titjib identifikati fl-analiżi x’aktarx jistgħu jiġu solvuti. Aġġornamenti mfassla apposta f’materjal ta’ gwida, f’mudelli u skont ir-rakkomandazzjonijiet elenkati fil-pjanijiet ta’ azzjoni tal-Istati Membri jistgħu saħansitra jtejbu l-implimentazzjoni aktar. Fir-rapport tekniku u fil-pjanijiet ta’ azzjoni tal-Istati Membri saru rakkomandazzjonijiet speċifiċi għal dan il-għan.</w:t>
      </w:r>
    </w:p>
    <w:p>
      <w:pPr>
        <w:spacing w:after="120"/>
        <w:jc w:val="both"/>
        <w:rPr>
          <w:rFonts w:ascii="Times New Roman" w:eastAsia="Times New Roman" w:hAnsi="Times New Roman"/>
          <w:noProof/>
          <w:sz w:val="24"/>
          <w:szCs w:val="24"/>
          <w:lang w:eastAsia="de-DE"/>
        </w:rPr>
      </w:pPr>
    </w:p>
    <w:p>
      <w:pPr>
        <w:pStyle w:val="Heading1"/>
        <w:spacing w:before="0" w:after="200"/>
        <w:rPr>
          <w:noProof/>
        </w:rPr>
      </w:pPr>
      <w:bookmarkStart w:id="61" w:name="_Toc490850440"/>
      <w:bookmarkStart w:id="62" w:name="_Toc519009691"/>
      <w:bookmarkStart w:id="63" w:name="_Toc56000811"/>
      <w:r>
        <w:rPr>
          <w:noProof/>
        </w:rPr>
        <w:t>9. KONKLUŻJONIJIET U ASPETTATTIVI</w:t>
      </w:r>
      <w:bookmarkEnd w:id="61"/>
      <w:bookmarkEnd w:id="62"/>
      <w:bookmarkEnd w:id="63"/>
      <w:r>
        <w:rPr>
          <w:noProof/>
        </w:rPr>
        <w:t xml:space="preserve"> </w:t>
      </w:r>
    </w:p>
    <w:p>
      <w:pPr>
        <w:spacing w:after="0"/>
        <w:jc w:val="both"/>
        <w:rPr>
          <w:rFonts w:ascii="Times New Roman" w:hAnsi="Times New Roman"/>
          <w:noProof/>
          <w:sz w:val="24"/>
          <w:szCs w:val="24"/>
        </w:rPr>
      </w:pPr>
      <w:bookmarkStart w:id="64" w:name="_Toc490850441"/>
      <w:r>
        <w:rPr>
          <w:rFonts w:ascii="Times New Roman" w:hAnsi="Times New Roman"/>
          <w:noProof/>
          <w:sz w:val="24"/>
          <w:szCs w:val="24"/>
        </w:rPr>
        <w:t xml:space="preserve">Fl-2019, l-emissjonijiet tal-gassijiet serra mill-installazzjonijiet koperti mill-EU ETS kellhom tnaqqis storiku ta’ 9,1 % meta mqabbla mal-2018. Dan kien xprunat prinċipalment minn tnaqqis ta’ kważi 15 % tal-emissjonijiet mill-produzzjoni tal-elettriku u tas-sħana, b’penetrazzjoni qawwija ta’ sorsi rinnovabbli tal-enerġija, żieda fl-użu tal-gass naturali u tnaqqis fl-użu tal-faħam ta’ madwar 19 %. L-emissjonijiet mill-industrija kellhom ukoll l-akbar tnaqqis tagħhom fil-fażi 3 s’issa, ta’ kważi 2 %. Madankollu, l-emissjonijiet mill-avjazzjoni vverifikati komplew jiżdiedu, għalkemm b’ammont ħafna iżgħar mis-snin ta’ qabel (1 % aktar mill-2018). </w:t>
      </w:r>
    </w:p>
    <w:p>
      <w:pPr>
        <w:spacing w:after="0"/>
        <w:jc w:val="both"/>
        <w:rPr>
          <w:rFonts w:ascii="Times New Roman" w:hAnsi="Times New Roman"/>
          <w:noProof/>
          <w:sz w:val="24"/>
          <w:szCs w:val="24"/>
        </w:rPr>
      </w:pPr>
    </w:p>
    <w:p>
      <w:pPr>
        <w:spacing w:after="0"/>
        <w:jc w:val="both"/>
        <w:rPr>
          <w:rFonts w:ascii="Times New Roman" w:hAnsi="Times New Roman"/>
          <w:noProof/>
          <w:sz w:val="24"/>
          <w:szCs w:val="24"/>
        </w:rPr>
      </w:pPr>
      <w:r>
        <w:rPr>
          <w:rFonts w:ascii="Times New Roman" w:hAnsi="Times New Roman"/>
          <w:noProof/>
          <w:sz w:val="24"/>
          <w:szCs w:val="24"/>
        </w:rPr>
        <w:t xml:space="preserve">Il-bidliet leġiżlattivi miftiehma tul dawn l-aħħar snin biex jinfurzaw l-ETS u biex jindirizzaw l-eċċess tal-kwoti għadhom qed juru riżultati pożittivi. L-indikatur tal-eċċess tar-Riżerva tal-Istabbiltà tas-Suq ġie ppubblikat għar-raba’ darba f’Mejju 2020, u juri li l-eċċess naqas għal madwar 1,39 biljun kwota. Fuq il-bażi tal-eċċess u l-leġiżlazzjoni dwar l-EU ETS riveduta għall-fażi 4, l-irkantijiet fl-2020 tnaqqsu bi kważi 40 % (madwar 375 miljun kwota). Il-volumi tal-irkant fl-2021 se jitnaqqsu wkoll b’mod simili. </w:t>
      </w:r>
    </w:p>
    <w:p>
      <w:pPr>
        <w:spacing w:after="0"/>
        <w:jc w:val="both"/>
        <w:rPr>
          <w:rFonts w:ascii="Times New Roman" w:hAnsi="Times New Roman"/>
          <w:noProof/>
          <w:sz w:val="24"/>
          <w:szCs w:val="24"/>
        </w:rPr>
      </w:pPr>
    </w:p>
    <w:p>
      <w:pPr>
        <w:spacing w:after="0"/>
        <w:jc w:val="both"/>
        <w:rPr>
          <w:rFonts w:ascii="Times New Roman" w:hAnsi="Times New Roman"/>
          <w:noProof/>
          <w:sz w:val="24"/>
          <w:szCs w:val="24"/>
        </w:rPr>
      </w:pPr>
      <w:r>
        <w:rPr>
          <w:rFonts w:ascii="Times New Roman" w:hAnsi="Times New Roman"/>
          <w:noProof/>
          <w:sz w:val="24"/>
          <w:szCs w:val="24"/>
        </w:rPr>
        <w:t>Minkejja s-sitwazzjoni ekonomika diffiċli għall-industrija u għall-avjazzjoni minħabba l-kriżi tal-COVID-19, is-sinjal tal-prezz tal-karbonju baqa’ stabbli bejn Jannar 2019 u t-tmiem ta’ Ġunju 2020, b’eċċezzjoni qasira f’Marzu/April. Id-dħul totali ġġenerat mill-EU ETS mill-irkantijiet bejn l-2012 u t-30 ta’ Ġunju 2020 qabeż EUR 57 biljun, bi dħul totali lill-Istati Membri ta’ aktar minn EUR 14-il biljun fl-2019 u EUR 7,9 biljun fl-ewwel nofs tal-2020. Parti kbira minn dan id-dħul tintuża mill-Istati Membri għall-azzjoni klimatika.</w:t>
      </w:r>
    </w:p>
    <w:p>
      <w:pPr>
        <w:spacing w:after="0"/>
        <w:jc w:val="both"/>
        <w:rPr>
          <w:rFonts w:ascii="Times New Roman" w:hAnsi="Times New Roman"/>
          <w:noProof/>
          <w:sz w:val="24"/>
          <w:szCs w:val="24"/>
        </w:rPr>
      </w:pPr>
    </w:p>
    <w:p>
      <w:pPr>
        <w:spacing w:after="0"/>
        <w:jc w:val="both"/>
        <w:rPr>
          <w:rFonts w:ascii="Times New Roman" w:hAnsi="Times New Roman"/>
          <w:noProof/>
          <w:sz w:val="24"/>
          <w:szCs w:val="24"/>
        </w:rPr>
      </w:pPr>
      <w:r>
        <w:rPr>
          <w:rFonts w:ascii="Times New Roman" w:hAnsi="Times New Roman"/>
          <w:noProof/>
          <w:sz w:val="24"/>
          <w:szCs w:val="24"/>
        </w:rPr>
        <w:t>Barra minn hekk, minkejja ċ-ċirkostanzi eċċezzjonali fl-2020, il-livell ta’ konformità mal-EU ETS għall-2019 baqa’ għoli ħafna: il-biċċa l-kbira tal-operaturi, li jkopru aktar minn 99 % tal-emissjonijiet minn installazzjonijiet stazzjonarji, ikkonformaw mal-obbligi legali tagħhom. Kemm għall-installazzjonijiet stazzjonarji kif ukoll għall-operaturi tal-inġenji tal-ajru, l-operaturi li ma kkonformawx tipikament kienu żgħar.</w:t>
      </w:r>
      <w:r>
        <w:rPr>
          <w:noProof/>
        </w:rPr>
        <w:t xml:space="preserve"> </w:t>
      </w:r>
      <w:r>
        <w:rPr>
          <w:rFonts w:ascii="Times New Roman" w:hAnsi="Times New Roman"/>
          <w:noProof/>
          <w:sz w:val="24"/>
          <w:szCs w:val="24"/>
        </w:rPr>
        <w:t>L-arkitettura tal-EU ETS baqgħet b’saħħitha u l-organizzazzjoni amministrattiva madwar l-Istati Membri wriet li kienet effettiva.</w:t>
      </w:r>
    </w:p>
    <w:p>
      <w:pPr>
        <w:spacing w:after="0"/>
        <w:jc w:val="both"/>
        <w:rPr>
          <w:rFonts w:ascii="Times New Roman" w:hAnsi="Times New Roman"/>
          <w:noProof/>
          <w:sz w:val="24"/>
          <w:szCs w:val="24"/>
        </w:rPr>
      </w:pPr>
    </w:p>
    <w:p>
      <w:pPr>
        <w:spacing w:after="0"/>
        <w:jc w:val="both"/>
        <w:rPr>
          <w:rFonts w:ascii="Times New Roman" w:hAnsi="Times New Roman"/>
          <w:noProof/>
          <w:sz w:val="24"/>
          <w:szCs w:val="24"/>
        </w:rPr>
      </w:pPr>
      <w:r>
        <w:rPr>
          <w:rFonts w:ascii="Times New Roman" w:hAnsi="Times New Roman"/>
          <w:noProof/>
          <w:sz w:val="24"/>
          <w:szCs w:val="24"/>
        </w:rPr>
        <w:t xml:space="preserve">Fis-snin ta’ wara, bħala parti mill-pakkett aktar ġenerali ta’ leġiżlazzjoni skont il-Ftehim Ekoloġiku Ewropew, l-ETS tista’ tgħaddi minn reviżjonijiet sostantivi dwar il-kamp ta’ applikazzjoni u r-rekwiżiti tal-avjazzjoni tagħha, sabiex tkun tista’ tissodisfa l-ambizzjonijiet ogħla tal-UE dwar il-klima. L-2021 se tkun l-ewwel sena ta’ implimentazzjoni tal-fażi 4 tal-EU ETS. Ir-rapport li jmiss dwar is-suq tal-karbonju, previst għall-pubblikazzjoni lejn l-aħħar tal-2021, se jipprovdi ħarsa ġenerali lejn l-implimentazzjoni sħiħa tal-ETS fil-fażi 3. Se jipprovdi wkoll l-ewwel ħarsa lejn it-tħaddim tal-EU ETS fil-fażi 4. </w:t>
      </w:r>
    </w:p>
    <w:p>
      <w:pPr>
        <w:spacing w:after="0"/>
        <w:jc w:val="both"/>
        <w:rPr>
          <w:rFonts w:ascii="Times New Roman" w:hAnsi="Times New Roman"/>
          <w:noProof/>
          <w:sz w:val="24"/>
          <w:szCs w:val="24"/>
        </w:rPr>
      </w:pPr>
    </w:p>
    <w:p>
      <w:pPr>
        <w:spacing w:after="0"/>
        <w:jc w:val="both"/>
        <w:rPr>
          <w:rFonts w:ascii="Times New Roman" w:hAnsi="Times New Roman"/>
          <w:noProof/>
          <w:sz w:val="24"/>
          <w:szCs w:val="24"/>
        </w:rPr>
      </w:pPr>
    </w:p>
    <w:p>
      <w:pPr>
        <w:spacing w:after="0"/>
        <w:jc w:val="both"/>
        <w:rPr>
          <w:rFonts w:ascii="Times New Roman" w:hAnsi="Times New Roman"/>
          <w:noProof/>
          <w:sz w:val="24"/>
          <w:szCs w:val="24"/>
        </w:rPr>
      </w:pPr>
    </w:p>
    <w:p>
      <w:pPr>
        <w:jc w:val="both"/>
        <w:rPr>
          <w:rStyle w:val="Heading1Char"/>
          <w:rFonts w:eastAsia="Calibri"/>
          <w:noProof/>
        </w:rPr>
      </w:pPr>
      <w:bookmarkStart w:id="65" w:name="_Toc519009692"/>
    </w:p>
    <w:p>
      <w:pPr>
        <w:jc w:val="both"/>
        <w:rPr>
          <w:rStyle w:val="Heading1Char"/>
          <w:rFonts w:eastAsia="Calibri"/>
          <w:noProof/>
        </w:rPr>
      </w:pPr>
    </w:p>
    <w:p>
      <w:pPr>
        <w:jc w:val="both"/>
        <w:rPr>
          <w:rStyle w:val="Heading1Char"/>
          <w:rFonts w:eastAsia="Calibri"/>
          <w:noProof/>
        </w:rPr>
      </w:pPr>
    </w:p>
    <w:p>
      <w:pPr>
        <w:jc w:val="both"/>
        <w:rPr>
          <w:rStyle w:val="Heading1Char"/>
          <w:rFonts w:eastAsia="Calibri"/>
          <w:noProof/>
        </w:rPr>
      </w:pPr>
    </w:p>
    <w:p>
      <w:pPr>
        <w:jc w:val="both"/>
        <w:rPr>
          <w:rStyle w:val="Heading1Char"/>
          <w:rFonts w:eastAsia="Calibri"/>
          <w:noProof/>
        </w:rPr>
      </w:pPr>
    </w:p>
    <w:p>
      <w:pPr>
        <w:jc w:val="both"/>
        <w:rPr>
          <w:rStyle w:val="Heading1Char"/>
          <w:rFonts w:eastAsia="Calibri"/>
          <w:noProof/>
        </w:rPr>
      </w:pPr>
    </w:p>
    <w:p>
      <w:pPr>
        <w:jc w:val="both"/>
        <w:rPr>
          <w:rStyle w:val="Heading1Char"/>
          <w:rFonts w:eastAsia="Calibri"/>
          <w:noProof/>
        </w:rPr>
      </w:pPr>
    </w:p>
    <w:p>
      <w:pPr>
        <w:jc w:val="both"/>
        <w:rPr>
          <w:rFonts w:ascii="Times New Roman" w:hAnsi="Times New Roman"/>
          <w:b/>
          <w:bCs/>
          <w:noProof/>
          <w:kern w:val="32"/>
          <w:sz w:val="24"/>
          <w:szCs w:val="32"/>
        </w:rPr>
      </w:pPr>
      <w:bookmarkStart w:id="66" w:name="_Toc56000812"/>
      <w:r>
        <w:rPr>
          <w:rStyle w:val="Heading1Char"/>
          <w:rFonts w:eastAsia="Calibri"/>
          <w:noProof/>
        </w:rPr>
        <w:t>ANNESS</w:t>
      </w:r>
      <w:bookmarkEnd w:id="64"/>
      <w:bookmarkEnd w:id="65"/>
      <w:bookmarkEnd w:id="66"/>
      <w:r>
        <w:rPr>
          <w:rFonts w:ascii="Times New Roman" w:hAnsi="Times New Roman"/>
          <w:noProof/>
          <w:sz w:val="24"/>
          <w:szCs w:val="24"/>
        </w:rPr>
        <w:t xml:space="preserve"> </w:t>
      </w:r>
    </w:p>
    <w:p>
      <w:pPr>
        <w:rPr>
          <w:rFonts w:ascii="Times New Roman" w:hAnsi="Times New Roman"/>
          <w:b/>
          <w:noProof/>
        </w:rPr>
      </w:pPr>
      <w:r>
        <w:rPr>
          <w:rFonts w:ascii="Times New Roman" w:hAnsi="Times New Roman"/>
          <w:b/>
          <w:noProof/>
        </w:rPr>
        <w:t>Appendiċi 1</w:t>
      </w:r>
    </w:p>
    <w:p>
      <w:pPr>
        <w:keepNext/>
        <w:rPr>
          <w:rFonts w:ascii="Times New Roman" w:hAnsi="Times New Roman"/>
          <w:b/>
          <w:bCs/>
          <w:noProof/>
          <w:sz w:val="20"/>
          <w:szCs w:val="20"/>
        </w:rPr>
      </w:pPr>
      <w:r>
        <w:rPr>
          <w:rFonts w:ascii="Times New Roman" w:hAnsi="Times New Roman"/>
          <w:b/>
          <w:bCs/>
          <w:noProof/>
          <w:sz w:val="20"/>
          <w:szCs w:val="20"/>
        </w:rPr>
        <w:t>Tabella 1.1: Numru ta’ kwoti bla ħlas allokati għall-immodernizzar tas-settur tal-elettriku</w:t>
      </w:r>
      <w:r>
        <w:rPr>
          <w:rStyle w:val="FootnoteReference"/>
          <w:rFonts w:ascii="Times New Roman" w:hAnsi="Times New Roman"/>
          <w:b/>
          <w:bCs/>
          <w:noProof/>
          <w:sz w:val="20"/>
          <w:szCs w:val="20"/>
        </w:rPr>
        <w:footnoteReference w:id="85"/>
      </w:r>
    </w:p>
    <w:tbl>
      <w:tblPr>
        <w:tblW w:w="1058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ayout w:type="fixed"/>
        <w:tblLook w:val="04A0" w:firstRow="1" w:lastRow="0" w:firstColumn="1" w:lastColumn="0" w:noHBand="0" w:noVBand="1"/>
      </w:tblPr>
      <w:tblGrid>
        <w:gridCol w:w="957"/>
        <w:gridCol w:w="1339"/>
        <w:gridCol w:w="1458"/>
        <w:gridCol w:w="1458"/>
        <w:gridCol w:w="1339"/>
        <w:gridCol w:w="1342"/>
        <w:gridCol w:w="1348"/>
        <w:gridCol w:w="1348"/>
      </w:tblGrid>
      <w:tr>
        <w:trPr>
          <w:trHeight w:val="273"/>
          <w:jc w:val="center"/>
        </w:trPr>
        <w:tc>
          <w:tcPr>
            <w:tcW w:w="957" w:type="dxa"/>
            <w:shd w:val="clear" w:color="auto" w:fill="FFFFFF" w:themeFill="background1"/>
            <w:noWrap/>
            <w:hideMark/>
          </w:tcPr>
          <w:p>
            <w:pPr>
              <w:spacing w:after="0"/>
              <w:jc w:val="center"/>
              <w:rPr>
                <w:rFonts w:ascii="Times New Roman" w:hAnsi="Times New Roman"/>
                <w:b/>
                <w:noProof/>
                <w:sz w:val="18"/>
                <w:szCs w:val="18"/>
              </w:rPr>
            </w:pPr>
            <w:r>
              <w:rPr>
                <w:rFonts w:ascii="Times New Roman" w:hAnsi="Times New Roman"/>
                <w:b/>
                <w:noProof/>
                <w:sz w:val="18"/>
                <w:szCs w:val="18"/>
              </w:rPr>
              <w:t>Stat Membru</w:t>
            </w:r>
          </w:p>
        </w:tc>
        <w:tc>
          <w:tcPr>
            <w:tcW w:w="1339" w:type="dxa"/>
            <w:shd w:val="clear" w:color="auto" w:fill="FFFFFF" w:themeFill="background1"/>
            <w:noWrap/>
            <w:hideMark/>
          </w:tcPr>
          <w:p>
            <w:pPr>
              <w:spacing w:after="0"/>
              <w:jc w:val="center"/>
              <w:rPr>
                <w:rFonts w:ascii="Times New Roman" w:hAnsi="Times New Roman"/>
                <w:b/>
                <w:noProof/>
                <w:sz w:val="18"/>
                <w:szCs w:val="18"/>
              </w:rPr>
            </w:pPr>
            <w:r>
              <w:rPr>
                <w:rFonts w:ascii="Times New Roman" w:hAnsi="Times New Roman"/>
                <w:b/>
                <w:noProof/>
                <w:sz w:val="18"/>
                <w:szCs w:val="18"/>
              </w:rPr>
              <w:t>2013</w:t>
            </w:r>
          </w:p>
        </w:tc>
        <w:tc>
          <w:tcPr>
            <w:tcW w:w="1458" w:type="dxa"/>
            <w:shd w:val="clear" w:color="auto" w:fill="FFFFFF" w:themeFill="background1"/>
          </w:tcPr>
          <w:p>
            <w:pPr>
              <w:spacing w:after="0"/>
              <w:jc w:val="center"/>
              <w:rPr>
                <w:rFonts w:ascii="Times New Roman" w:hAnsi="Times New Roman"/>
                <w:b/>
                <w:noProof/>
                <w:sz w:val="18"/>
                <w:szCs w:val="18"/>
              </w:rPr>
            </w:pPr>
            <w:r>
              <w:rPr>
                <w:rFonts w:ascii="Times New Roman" w:hAnsi="Times New Roman"/>
                <w:b/>
                <w:noProof/>
                <w:sz w:val="18"/>
                <w:szCs w:val="18"/>
              </w:rPr>
              <w:t>2014</w:t>
            </w:r>
          </w:p>
        </w:tc>
        <w:tc>
          <w:tcPr>
            <w:tcW w:w="1458" w:type="dxa"/>
            <w:shd w:val="clear" w:color="auto" w:fill="FFFFFF" w:themeFill="background1"/>
          </w:tcPr>
          <w:p>
            <w:pPr>
              <w:spacing w:after="0"/>
              <w:jc w:val="center"/>
              <w:rPr>
                <w:rFonts w:ascii="Times New Roman" w:hAnsi="Times New Roman"/>
                <w:b/>
                <w:noProof/>
                <w:sz w:val="18"/>
                <w:szCs w:val="18"/>
              </w:rPr>
            </w:pPr>
            <w:r>
              <w:rPr>
                <w:rFonts w:ascii="Times New Roman" w:hAnsi="Times New Roman"/>
                <w:b/>
                <w:noProof/>
                <w:sz w:val="18"/>
                <w:szCs w:val="18"/>
              </w:rPr>
              <w:t>2015</w:t>
            </w:r>
          </w:p>
        </w:tc>
        <w:tc>
          <w:tcPr>
            <w:tcW w:w="1339" w:type="dxa"/>
            <w:shd w:val="clear" w:color="auto" w:fill="FFFFFF" w:themeFill="background1"/>
          </w:tcPr>
          <w:p>
            <w:pPr>
              <w:spacing w:after="0"/>
              <w:jc w:val="center"/>
              <w:rPr>
                <w:rFonts w:ascii="Times New Roman" w:hAnsi="Times New Roman"/>
                <w:b/>
                <w:noProof/>
                <w:sz w:val="18"/>
                <w:szCs w:val="18"/>
              </w:rPr>
            </w:pPr>
            <w:r>
              <w:rPr>
                <w:rFonts w:ascii="Times New Roman" w:hAnsi="Times New Roman"/>
                <w:b/>
                <w:noProof/>
                <w:sz w:val="18"/>
                <w:szCs w:val="18"/>
              </w:rPr>
              <w:t>2016</w:t>
            </w:r>
          </w:p>
        </w:tc>
        <w:tc>
          <w:tcPr>
            <w:tcW w:w="1342" w:type="dxa"/>
            <w:shd w:val="clear" w:color="auto" w:fill="FFFFFF" w:themeFill="background1"/>
          </w:tcPr>
          <w:p>
            <w:pPr>
              <w:spacing w:after="0"/>
              <w:jc w:val="center"/>
              <w:rPr>
                <w:rFonts w:ascii="Times New Roman" w:hAnsi="Times New Roman"/>
                <w:b/>
                <w:noProof/>
                <w:sz w:val="18"/>
                <w:szCs w:val="18"/>
              </w:rPr>
            </w:pPr>
            <w:r>
              <w:rPr>
                <w:rFonts w:ascii="Times New Roman" w:hAnsi="Times New Roman"/>
                <w:b/>
                <w:noProof/>
                <w:sz w:val="18"/>
                <w:szCs w:val="18"/>
              </w:rPr>
              <w:t>2017</w:t>
            </w:r>
          </w:p>
        </w:tc>
        <w:tc>
          <w:tcPr>
            <w:tcW w:w="1348" w:type="dxa"/>
            <w:shd w:val="clear" w:color="auto" w:fill="FFFFFF" w:themeFill="background1"/>
          </w:tcPr>
          <w:p>
            <w:pPr>
              <w:spacing w:after="0"/>
              <w:jc w:val="center"/>
              <w:rPr>
                <w:rFonts w:ascii="Times New Roman" w:hAnsi="Times New Roman"/>
                <w:b/>
                <w:noProof/>
                <w:sz w:val="18"/>
                <w:szCs w:val="18"/>
              </w:rPr>
            </w:pPr>
            <w:r>
              <w:rPr>
                <w:rFonts w:ascii="Times New Roman" w:hAnsi="Times New Roman"/>
                <w:b/>
                <w:noProof/>
                <w:sz w:val="18"/>
                <w:szCs w:val="18"/>
              </w:rPr>
              <w:t>2018</w:t>
            </w:r>
          </w:p>
        </w:tc>
        <w:tc>
          <w:tcPr>
            <w:tcW w:w="1348" w:type="dxa"/>
            <w:shd w:val="clear" w:color="auto" w:fill="FFFFFF" w:themeFill="background1"/>
          </w:tcPr>
          <w:p>
            <w:pPr>
              <w:spacing w:after="0"/>
              <w:jc w:val="center"/>
              <w:rPr>
                <w:rFonts w:ascii="Times New Roman" w:hAnsi="Times New Roman"/>
                <w:b/>
                <w:noProof/>
                <w:sz w:val="18"/>
                <w:szCs w:val="18"/>
              </w:rPr>
            </w:pPr>
            <w:r>
              <w:rPr>
                <w:rFonts w:ascii="Times New Roman" w:hAnsi="Times New Roman"/>
                <w:b/>
                <w:noProof/>
                <w:sz w:val="18"/>
                <w:szCs w:val="18"/>
              </w:rPr>
              <w:t>2019</w:t>
            </w:r>
          </w:p>
        </w:tc>
      </w:tr>
      <w:tr>
        <w:trPr>
          <w:trHeight w:val="241"/>
          <w:jc w:val="center"/>
        </w:trPr>
        <w:tc>
          <w:tcPr>
            <w:tcW w:w="957" w:type="dxa"/>
            <w:shd w:val="clear" w:color="auto" w:fill="FFFFFF" w:themeFill="background1"/>
            <w:noWrap/>
            <w:hideMark/>
          </w:tcPr>
          <w:p>
            <w:pPr>
              <w:spacing w:after="0"/>
              <w:jc w:val="center"/>
              <w:rPr>
                <w:rFonts w:ascii="Times New Roman" w:hAnsi="Times New Roman"/>
                <w:b/>
                <w:noProof/>
                <w:sz w:val="18"/>
                <w:szCs w:val="18"/>
              </w:rPr>
            </w:pPr>
            <w:r>
              <w:rPr>
                <w:rFonts w:ascii="Times New Roman" w:hAnsi="Times New Roman"/>
                <w:b/>
                <w:noProof/>
                <w:sz w:val="18"/>
                <w:szCs w:val="18"/>
              </w:rPr>
              <w:t>BG</w:t>
            </w:r>
          </w:p>
        </w:tc>
        <w:tc>
          <w:tcPr>
            <w:tcW w:w="1339" w:type="dxa"/>
            <w:shd w:val="clear" w:color="auto" w:fill="FFFFFF" w:themeFill="background1"/>
            <w:noWrap/>
            <w:hideMark/>
          </w:tcPr>
          <w:p>
            <w:pPr>
              <w:spacing w:after="0"/>
              <w:jc w:val="center"/>
              <w:rPr>
                <w:rFonts w:ascii="Times New Roman" w:hAnsi="Times New Roman"/>
                <w:noProof/>
                <w:sz w:val="16"/>
                <w:szCs w:val="16"/>
              </w:rPr>
            </w:pPr>
            <w:r>
              <w:rPr>
                <w:rFonts w:ascii="Times New Roman" w:hAnsi="Times New Roman"/>
                <w:noProof/>
                <w:sz w:val="16"/>
                <w:szCs w:val="16"/>
              </w:rPr>
              <w:t>11 009 416</w:t>
            </w:r>
          </w:p>
        </w:tc>
        <w:tc>
          <w:tcPr>
            <w:tcW w:w="1458" w:type="dxa"/>
            <w:tcBorders>
              <w:bottom w:val="single" w:sz="4" w:space="0" w:color="auto"/>
            </w:tcBorders>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9 779 243</w:t>
            </w:r>
          </w:p>
        </w:tc>
        <w:tc>
          <w:tcPr>
            <w:tcW w:w="1458" w:type="dxa"/>
            <w:shd w:val="clear" w:color="auto" w:fill="FFFFFF" w:themeFill="background1"/>
          </w:tcPr>
          <w:p>
            <w:pPr>
              <w:jc w:val="center"/>
              <w:rPr>
                <w:rFonts w:ascii="Times New Roman" w:hAnsi="Times New Roman"/>
                <w:noProof/>
                <w:sz w:val="16"/>
                <w:szCs w:val="16"/>
              </w:rPr>
            </w:pPr>
            <w:r>
              <w:rPr>
                <w:rFonts w:ascii="Times New Roman" w:hAnsi="Times New Roman"/>
                <w:noProof/>
                <w:sz w:val="16"/>
                <w:szCs w:val="16"/>
              </w:rPr>
              <w:t>8 259 680</w:t>
            </w:r>
          </w:p>
        </w:tc>
        <w:tc>
          <w:tcPr>
            <w:tcW w:w="1339" w:type="dxa"/>
            <w:shd w:val="clear" w:color="auto" w:fill="FFFFFF" w:themeFill="background1"/>
            <w:vAlign w:val="bottom"/>
          </w:tcPr>
          <w:p>
            <w:pPr>
              <w:jc w:val="center"/>
              <w:rPr>
                <w:rFonts w:ascii="Times New Roman" w:hAnsi="Times New Roman"/>
                <w:noProof/>
                <w:sz w:val="16"/>
                <w:szCs w:val="16"/>
              </w:rPr>
            </w:pPr>
            <w:r>
              <w:rPr>
                <w:rFonts w:ascii="Times New Roman" w:hAnsi="Times New Roman"/>
                <w:noProof/>
                <w:color w:val="000000"/>
                <w:sz w:val="16"/>
                <w:szCs w:val="16"/>
              </w:rPr>
              <w:t>6 593 238</w:t>
            </w:r>
          </w:p>
        </w:tc>
        <w:tc>
          <w:tcPr>
            <w:tcW w:w="1342"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3 812 436</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2 471 297</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1 948 441</w:t>
            </w:r>
          </w:p>
        </w:tc>
      </w:tr>
      <w:tr>
        <w:trPr>
          <w:trHeight w:val="185"/>
          <w:jc w:val="center"/>
        </w:trPr>
        <w:tc>
          <w:tcPr>
            <w:tcW w:w="957" w:type="dxa"/>
            <w:shd w:val="clear" w:color="auto" w:fill="FFFFFF" w:themeFill="background1"/>
            <w:noWrap/>
            <w:hideMark/>
          </w:tcPr>
          <w:p>
            <w:pPr>
              <w:spacing w:after="0"/>
              <w:jc w:val="center"/>
              <w:rPr>
                <w:rFonts w:ascii="Times New Roman" w:hAnsi="Times New Roman"/>
                <w:b/>
                <w:noProof/>
                <w:sz w:val="18"/>
                <w:szCs w:val="18"/>
              </w:rPr>
            </w:pPr>
            <w:r>
              <w:rPr>
                <w:rFonts w:ascii="Times New Roman" w:hAnsi="Times New Roman"/>
                <w:b/>
                <w:noProof/>
                <w:sz w:val="18"/>
                <w:szCs w:val="18"/>
              </w:rPr>
              <w:t>CY</w:t>
            </w:r>
          </w:p>
        </w:tc>
        <w:tc>
          <w:tcPr>
            <w:tcW w:w="1339" w:type="dxa"/>
            <w:tcBorders>
              <w:right w:val="single" w:sz="4" w:space="0" w:color="auto"/>
            </w:tcBorders>
            <w:shd w:val="clear" w:color="auto" w:fill="FFFFFF" w:themeFill="background1"/>
            <w:noWrap/>
            <w:hideMark/>
          </w:tcPr>
          <w:p>
            <w:pPr>
              <w:spacing w:after="0"/>
              <w:jc w:val="center"/>
              <w:rPr>
                <w:rFonts w:ascii="Times New Roman" w:hAnsi="Times New Roman"/>
                <w:noProof/>
                <w:sz w:val="16"/>
                <w:szCs w:val="16"/>
              </w:rPr>
            </w:pPr>
            <w:r>
              <w:rPr>
                <w:rFonts w:ascii="Times New Roman" w:hAnsi="Times New Roman"/>
                <w:noProof/>
                <w:sz w:val="16"/>
                <w:szCs w:val="16"/>
              </w:rPr>
              <w:t>2 519 077</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2 195 195</w:t>
            </w:r>
          </w:p>
        </w:tc>
        <w:tc>
          <w:tcPr>
            <w:tcW w:w="1458" w:type="dxa"/>
            <w:tcBorders>
              <w:left w:val="single" w:sz="4" w:space="0" w:color="auto"/>
            </w:tcBorders>
            <w:shd w:val="clear" w:color="auto" w:fill="FFFFFF" w:themeFill="background1"/>
          </w:tcPr>
          <w:p>
            <w:pPr>
              <w:jc w:val="center"/>
              <w:rPr>
                <w:rFonts w:ascii="Times New Roman" w:hAnsi="Times New Roman"/>
                <w:noProof/>
                <w:sz w:val="16"/>
                <w:szCs w:val="16"/>
              </w:rPr>
            </w:pPr>
            <w:r>
              <w:rPr>
                <w:rFonts w:ascii="Times New Roman" w:hAnsi="Times New Roman"/>
                <w:noProof/>
                <w:sz w:val="16"/>
                <w:szCs w:val="16"/>
              </w:rPr>
              <w:t>1 907 302</w:t>
            </w:r>
          </w:p>
        </w:tc>
        <w:tc>
          <w:tcPr>
            <w:tcW w:w="1339" w:type="dxa"/>
            <w:shd w:val="clear" w:color="auto" w:fill="FFFFFF" w:themeFill="background1"/>
            <w:vAlign w:val="bottom"/>
          </w:tcPr>
          <w:p>
            <w:pPr>
              <w:jc w:val="center"/>
              <w:rPr>
                <w:rFonts w:ascii="Times New Roman" w:hAnsi="Times New Roman"/>
                <w:noProof/>
                <w:sz w:val="16"/>
                <w:szCs w:val="16"/>
              </w:rPr>
            </w:pPr>
            <w:r>
              <w:rPr>
                <w:rFonts w:ascii="Times New Roman" w:hAnsi="Times New Roman"/>
                <w:noProof/>
                <w:color w:val="000000"/>
                <w:sz w:val="16"/>
                <w:szCs w:val="16"/>
              </w:rPr>
              <w:t>1 583 420</w:t>
            </w:r>
          </w:p>
        </w:tc>
        <w:tc>
          <w:tcPr>
            <w:tcW w:w="1342"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1 259 538</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935 657</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575 789</w:t>
            </w:r>
          </w:p>
        </w:tc>
      </w:tr>
      <w:tr>
        <w:trPr>
          <w:trHeight w:val="185"/>
          <w:jc w:val="center"/>
        </w:trPr>
        <w:tc>
          <w:tcPr>
            <w:tcW w:w="957" w:type="dxa"/>
            <w:shd w:val="clear" w:color="auto" w:fill="FFFFFF" w:themeFill="background1"/>
            <w:noWrap/>
            <w:hideMark/>
          </w:tcPr>
          <w:p>
            <w:pPr>
              <w:spacing w:after="0"/>
              <w:jc w:val="center"/>
              <w:rPr>
                <w:rFonts w:ascii="Times New Roman" w:hAnsi="Times New Roman"/>
                <w:b/>
                <w:noProof/>
                <w:sz w:val="18"/>
                <w:szCs w:val="18"/>
              </w:rPr>
            </w:pPr>
            <w:r>
              <w:rPr>
                <w:rFonts w:ascii="Times New Roman" w:hAnsi="Times New Roman"/>
                <w:b/>
                <w:noProof/>
                <w:sz w:val="18"/>
                <w:szCs w:val="18"/>
              </w:rPr>
              <w:t>CZ</w:t>
            </w:r>
          </w:p>
        </w:tc>
        <w:tc>
          <w:tcPr>
            <w:tcW w:w="1339" w:type="dxa"/>
            <w:shd w:val="clear" w:color="auto" w:fill="FFFFFF" w:themeFill="background1"/>
            <w:noWrap/>
            <w:hideMark/>
          </w:tcPr>
          <w:p>
            <w:pPr>
              <w:spacing w:after="0"/>
              <w:jc w:val="center"/>
              <w:rPr>
                <w:rFonts w:ascii="Times New Roman" w:hAnsi="Times New Roman"/>
                <w:noProof/>
                <w:sz w:val="16"/>
                <w:szCs w:val="16"/>
              </w:rPr>
            </w:pPr>
            <w:r>
              <w:rPr>
                <w:rFonts w:ascii="Times New Roman" w:hAnsi="Times New Roman"/>
                <w:noProof/>
                <w:sz w:val="16"/>
                <w:szCs w:val="16"/>
              </w:rPr>
              <w:t>25 285 353</w:t>
            </w:r>
          </w:p>
        </w:tc>
        <w:tc>
          <w:tcPr>
            <w:tcW w:w="1458" w:type="dxa"/>
            <w:tcBorders>
              <w:top w:val="single" w:sz="4" w:space="0" w:color="auto"/>
            </w:tcBorders>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22 383 398</w:t>
            </w:r>
          </w:p>
        </w:tc>
        <w:tc>
          <w:tcPr>
            <w:tcW w:w="1458" w:type="dxa"/>
            <w:shd w:val="clear" w:color="auto" w:fill="FFFFFF" w:themeFill="background1"/>
          </w:tcPr>
          <w:p>
            <w:pPr>
              <w:jc w:val="center"/>
              <w:rPr>
                <w:rFonts w:ascii="Times New Roman" w:hAnsi="Times New Roman"/>
                <w:noProof/>
                <w:sz w:val="16"/>
                <w:szCs w:val="16"/>
              </w:rPr>
            </w:pPr>
            <w:r>
              <w:rPr>
                <w:rFonts w:ascii="Times New Roman" w:hAnsi="Times New Roman"/>
                <w:noProof/>
                <w:sz w:val="16"/>
                <w:szCs w:val="16"/>
              </w:rPr>
              <w:t>20 623 005</w:t>
            </w:r>
          </w:p>
        </w:tc>
        <w:tc>
          <w:tcPr>
            <w:tcW w:w="1339" w:type="dxa"/>
            <w:shd w:val="clear" w:color="auto" w:fill="FFFFFF" w:themeFill="background1"/>
            <w:vAlign w:val="bottom"/>
          </w:tcPr>
          <w:p>
            <w:pPr>
              <w:jc w:val="center"/>
              <w:rPr>
                <w:rFonts w:ascii="Times New Roman" w:hAnsi="Times New Roman"/>
                <w:noProof/>
                <w:sz w:val="16"/>
                <w:szCs w:val="16"/>
              </w:rPr>
            </w:pPr>
            <w:r>
              <w:rPr>
                <w:rFonts w:ascii="Times New Roman" w:hAnsi="Times New Roman"/>
                <w:noProof/>
                <w:color w:val="000000"/>
                <w:sz w:val="16"/>
                <w:szCs w:val="16"/>
              </w:rPr>
              <w:t>15 831 329</w:t>
            </w:r>
          </w:p>
        </w:tc>
        <w:tc>
          <w:tcPr>
            <w:tcW w:w="1342"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11 681 994</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7 661 840</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3 830 905</w:t>
            </w:r>
          </w:p>
        </w:tc>
      </w:tr>
      <w:tr>
        <w:trPr>
          <w:trHeight w:val="185"/>
          <w:jc w:val="center"/>
        </w:trPr>
        <w:tc>
          <w:tcPr>
            <w:tcW w:w="957" w:type="dxa"/>
            <w:shd w:val="clear" w:color="auto" w:fill="FFFFFF" w:themeFill="background1"/>
            <w:noWrap/>
            <w:hideMark/>
          </w:tcPr>
          <w:p>
            <w:pPr>
              <w:spacing w:after="0"/>
              <w:jc w:val="center"/>
              <w:rPr>
                <w:rFonts w:ascii="Times New Roman" w:hAnsi="Times New Roman"/>
                <w:b/>
                <w:noProof/>
                <w:sz w:val="18"/>
                <w:szCs w:val="18"/>
              </w:rPr>
            </w:pPr>
            <w:r>
              <w:rPr>
                <w:rFonts w:ascii="Times New Roman" w:hAnsi="Times New Roman"/>
                <w:b/>
                <w:noProof/>
                <w:sz w:val="18"/>
                <w:szCs w:val="18"/>
              </w:rPr>
              <w:t>EE</w:t>
            </w:r>
          </w:p>
        </w:tc>
        <w:tc>
          <w:tcPr>
            <w:tcW w:w="1339" w:type="dxa"/>
            <w:shd w:val="clear" w:color="auto" w:fill="FFFFFF" w:themeFill="background1"/>
            <w:noWrap/>
            <w:hideMark/>
          </w:tcPr>
          <w:p>
            <w:pPr>
              <w:spacing w:after="0"/>
              <w:jc w:val="center"/>
              <w:rPr>
                <w:rFonts w:ascii="Times New Roman" w:hAnsi="Times New Roman"/>
                <w:noProof/>
                <w:sz w:val="16"/>
                <w:szCs w:val="16"/>
              </w:rPr>
            </w:pPr>
            <w:r>
              <w:rPr>
                <w:rFonts w:ascii="Times New Roman" w:hAnsi="Times New Roman"/>
                <w:noProof/>
                <w:sz w:val="16"/>
                <w:szCs w:val="16"/>
              </w:rPr>
              <w:t>5 135 166</w:t>
            </w:r>
          </w:p>
        </w:tc>
        <w:tc>
          <w:tcPr>
            <w:tcW w:w="1458" w:type="dxa"/>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4 401 568</w:t>
            </w:r>
          </w:p>
        </w:tc>
        <w:tc>
          <w:tcPr>
            <w:tcW w:w="1458" w:type="dxa"/>
            <w:shd w:val="clear" w:color="auto" w:fill="FFFFFF" w:themeFill="background1"/>
          </w:tcPr>
          <w:p>
            <w:pPr>
              <w:jc w:val="center"/>
              <w:rPr>
                <w:rFonts w:ascii="Times New Roman" w:hAnsi="Times New Roman"/>
                <w:noProof/>
                <w:sz w:val="16"/>
                <w:szCs w:val="16"/>
              </w:rPr>
            </w:pPr>
            <w:r>
              <w:rPr>
                <w:rFonts w:ascii="Times New Roman" w:hAnsi="Times New Roman"/>
                <w:noProof/>
                <w:sz w:val="16"/>
                <w:szCs w:val="16"/>
              </w:rPr>
              <w:t>3 667 975</w:t>
            </w:r>
          </w:p>
        </w:tc>
        <w:tc>
          <w:tcPr>
            <w:tcW w:w="1339" w:type="dxa"/>
            <w:shd w:val="clear" w:color="auto" w:fill="FFFFFF" w:themeFill="background1"/>
            <w:vAlign w:val="bottom"/>
          </w:tcPr>
          <w:p>
            <w:pPr>
              <w:jc w:val="center"/>
              <w:rPr>
                <w:rFonts w:ascii="Times New Roman" w:hAnsi="Times New Roman"/>
                <w:noProof/>
                <w:sz w:val="16"/>
                <w:szCs w:val="16"/>
              </w:rPr>
            </w:pPr>
            <w:r>
              <w:rPr>
                <w:rFonts w:ascii="Times New Roman" w:hAnsi="Times New Roman"/>
                <w:noProof/>
                <w:color w:val="000000"/>
                <w:sz w:val="16"/>
                <w:szCs w:val="16"/>
              </w:rPr>
              <w:t>2 934 380</w:t>
            </w:r>
          </w:p>
        </w:tc>
        <w:tc>
          <w:tcPr>
            <w:tcW w:w="1342"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2 055 614</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38 939</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 xml:space="preserve">19 471  </w:t>
            </w:r>
          </w:p>
        </w:tc>
      </w:tr>
      <w:tr>
        <w:trPr>
          <w:trHeight w:val="223"/>
          <w:jc w:val="center"/>
        </w:trPr>
        <w:tc>
          <w:tcPr>
            <w:tcW w:w="957" w:type="dxa"/>
            <w:shd w:val="clear" w:color="auto" w:fill="FFFFFF" w:themeFill="background1"/>
            <w:noWrap/>
            <w:hideMark/>
          </w:tcPr>
          <w:p>
            <w:pPr>
              <w:spacing w:after="0"/>
              <w:jc w:val="center"/>
              <w:rPr>
                <w:rFonts w:ascii="Times New Roman" w:hAnsi="Times New Roman"/>
                <w:b/>
                <w:noProof/>
                <w:sz w:val="18"/>
                <w:szCs w:val="18"/>
              </w:rPr>
            </w:pPr>
            <w:r>
              <w:rPr>
                <w:rFonts w:ascii="Times New Roman" w:hAnsi="Times New Roman"/>
                <w:b/>
                <w:noProof/>
                <w:sz w:val="18"/>
                <w:szCs w:val="18"/>
              </w:rPr>
              <w:t>HU</w:t>
            </w:r>
            <w:r>
              <w:rPr>
                <w:rStyle w:val="FootnoteReference"/>
                <w:rFonts w:ascii="Times New Roman" w:hAnsi="Times New Roman"/>
                <w:b/>
                <w:noProof/>
                <w:sz w:val="18"/>
                <w:szCs w:val="18"/>
              </w:rPr>
              <w:footnoteReference w:id="86"/>
            </w:r>
          </w:p>
        </w:tc>
        <w:tc>
          <w:tcPr>
            <w:tcW w:w="1339" w:type="dxa"/>
            <w:shd w:val="clear" w:color="auto" w:fill="FFFFFF" w:themeFill="background1"/>
            <w:noWrap/>
            <w:hideMark/>
          </w:tcPr>
          <w:p>
            <w:pPr>
              <w:spacing w:after="0"/>
              <w:jc w:val="center"/>
              <w:rPr>
                <w:rFonts w:ascii="Times New Roman" w:hAnsi="Times New Roman"/>
                <w:noProof/>
                <w:sz w:val="16"/>
                <w:szCs w:val="16"/>
              </w:rPr>
            </w:pPr>
            <w:r>
              <w:rPr>
                <w:rFonts w:ascii="Times New Roman" w:hAnsi="Times New Roman"/>
                <w:noProof/>
                <w:sz w:val="16"/>
                <w:szCs w:val="16"/>
              </w:rPr>
              <w:t>7 047 255</w:t>
            </w:r>
          </w:p>
        </w:tc>
        <w:tc>
          <w:tcPr>
            <w:tcW w:w="1458" w:type="dxa"/>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mhux applikabbli</w:t>
            </w:r>
          </w:p>
        </w:tc>
        <w:tc>
          <w:tcPr>
            <w:tcW w:w="1458" w:type="dxa"/>
            <w:shd w:val="clear" w:color="auto" w:fill="FFFFFF" w:themeFill="background1"/>
          </w:tcPr>
          <w:p>
            <w:pPr>
              <w:jc w:val="center"/>
              <w:rPr>
                <w:rFonts w:ascii="Times New Roman" w:hAnsi="Times New Roman"/>
                <w:noProof/>
                <w:sz w:val="16"/>
                <w:szCs w:val="16"/>
              </w:rPr>
            </w:pPr>
            <w:r>
              <w:rPr>
                <w:rFonts w:ascii="Times New Roman" w:hAnsi="Times New Roman"/>
                <w:noProof/>
                <w:sz w:val="16"/>
                <w:szCs w:val="16"/>
              </w:rPr>
              <w:t>mhux applikabbli</w:t>
            </w:r>
          </w:p>
        </w:tc>
        <w:tc>
          <w:tcPr>
            <w:tcW w:w="1339" w:type="dxa"/>
            <w:shd w:val="clear" w:color="auto" w:fill="FFFFFF" w:themeFill="background1"/>
            <w:vAlign w:val="bottom"/>
          </w:tcPr>
          <w:p>
            <w:pPr>
              <w:jc w:val="center"/>
              <w:rPr>
                <w:rFonts w:ascii="Times New Roman" w:hAnsi="Times New Roman"/>
                <w:noProof/>
                <w:sz w:val="16"/>
                <w:szCs w:val="16"/>
              </w:rPr>
            </w:pPr>
            <w:r>
              <w:rPr>
                <w:rFonts w:ascii="Times New Roman" w:hAnsi="Times New Roman"/>
                <w:noProof/>
                <w:color w:val="000000"/>
                <w:sz w:val="16"/>
                <w:szCs w:val="16"/>
              </w:rPr>
              <w:t>mhux applikabbli</w:t>
            </w:r>
          </w:p>
        </w:tc>
        <w:tc>
          <w:tcPr>
            <w:tcW w:w="1342"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mhux applikabbli</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mhux applikabbli</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mhux applikabbli</w:t>
            </w:r>
          </w:p>
        </w:tc>
      </w:tr>
      <w:tr>
        <w:trPr>
          <w:trHeight w:val="185"/>
          <w:jc w:val="center"/>
        </w:trPr>
        <w:tc>
          <w:tcPr>
            <w:tcW w:w="957" w:type="dxa"/>
            <w:shd w:val="clear" w:color="auto" w:fill="FFFFFF" w:themeFill="background1"/>
            <w:noWrap/>
            <w:hideMark/>
          </w:tcPr>
          <w:p>
            <w:pPr>
              <w:spacing w:after="0"/>
              <w:jc w:val="center"/>
              <w:rPr>
                <w:rFonts w:ascii="Times New Roman" w:hAnsi="Times New Roman"/>
                <w:b/>
                <w:noProof/>
                <w:sz w:val="18"/>
                <w:szCs w:val="18"/>
              </w:rPr>
            </w:pPr>
            <w:r>
              <w:rPr>
                <w:rFonts w:ascii="Times New Roman" w:hAnsi="Times New Roman"/>
                <w:b/>
                <w:noProof/>
                <w:sz w:val="18"/>
                <w:szCs w:val="18"/>
              </w:rPr>
              <w:t>LT</w:t>
            </w:r>
          </w:p>
        </w:tc>
        <w:tc>
          <w:tcPr>
            <w:tcW w:w="1339" w:type="dxa"/>
            <w:shd w:val="clear" w:color="auto" w:fill="FFFFFF" w:themeFill="background1"/>
            <w:noWrap/>
            <w:hideMark/>
          </w:tcPr>
          <w:p>
            <w:pPr>
              <w:spacing w:after="0"/>
              <w:jc w:val="center"/>
              <w:rPr>
                <w:rFonts w:ascii="Times New Roman" w:hAnsi="Times New Roman"/>
                <w:noProof/>
                <w:sz w:val="16"/>
                <w:szCs w:val="16"/>
              </w:rPr>
            </w:pPr>
            <w:r>
              <w:rPr>
                <w:rFonts w:ascii="Times New Roman" w:hAnsi="Times New Roman"/>
                <w:noProof/>
                <w:sz w:val="16"/>
                <w:szCs w:val="16"/>
              </w:rPr>
              <w:t>322 449</w:t>
            </w:r>
          </w:p>
        </w:tc>
        <w:tc>
          <w:tcPr>
            <w:tcW w:w="1458" w:type="dxa"/>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297 113</w:t>
            </w:r>
          </w:p>
        </w:tc>
        <w:tc>
          <w:tcPr>
            <w:tcW w:w="1458" w:type="dxa"/>
            <w:shd w:val="clear" w:color="auto" w:fill="FFFFFF" w:themeFill="background1"/>
          </w:tcPr>
          <w:p>
            <w:pPr>
              <w:jc w:val="center"/>
              <w:rPr>
                <w:rFonts w:ascii="Times New Roman" w:hAnsi="Times New Roman"/>
                <w:noProof/>
                <w:sz w:val="16"/>
                <w:szCs w:val="16"/>
              </w:rPr>
            </w:pPr>
            <w:r>
              <w:rPr>
                <w:rFonts w:ascii="Times New Roman" w:hAnsi="Times New Roman"/>
                <w:noProof/>
                <w:sz w:val="16"/>
                <w:szCs w:val="16"/>
              </w:rPr>
              <w:t>269 475</w:t>
            </w:r>
          </w:p>
        </w:tc>
        <w:tc>
          <w:tcPr>
            <w:tcW w:w="1339" w:type="dxa"/>
            <w:shd w:val="clear" w:color="auto" w:fill="FFFFFF" w:themeFill="background1"/>
            <w:vAlign w:val="bottom"/>
          </w:tcPr>
          <w:p>
            <w:pPr>
              <w:jc w:val="center"/>
              <w:rPr>
                <w:rFonts w:ascii="Times New Roman" w:hAnsi="Times New Roman"/>
                <w:noProof/>
                <w:sz w:val="16"/>
                <w:szCs w:val="16"/>
              </w:rPr>
            </w:pPr>
            <w:r>
              <w:rPr>
                <w:rFonts w:ascii="Times New Roman" w:hAnsi="Times New Roman"/>
                <w:noProof/>
                <w:color w:val="000000"/>
                <w:sz w:val="16"/>
                <w:szCs w:val="16"/>
              </w:rPr>
              <w:t>237 230</w:t>
            </w:r>
          </w:p>
        </w:tc>
        <w:tc>
          <w:tcPr>
            <w:tcW w:w="1342"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200 379</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158 922</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94 432</w:t>
            </w:r>
          </w:p>
        </w:tc>
      </w:tr>
      <w:tr>
        <w:trPr>
          <w:trHeight w:val="185"/>
          <w:jc w:val="center"/>
        </w:trPr>
        <w:tc>
          <w:tcPr>
            <w:tcW w:w="957" w:type="dxa"/>
            <w:shd w:val="clear" w:color="auto" w:fill="FFFFFF" w:themeFill="background1"/>
            <w:noWrap/>
            <w:hideMark/>
          </w:tcPr>
          <w:p>
            <w:pPr>
              <w:spacing w:after="0"/>
              <w:jc w:val="center"/>
              <w:rPr>
                <w:rFonts w:ascii="Times New Roman" w:hAnsi="Times New Roman"/>
                <w:b/>
                <w:noProof/>
                <w:sz w:val="18"/>
                <w:szCs w:val="18"/>
              </w:rPr>
            </w:pPr>
            <w:r>
              <w:rPr>
                <w:rFonts w:ascii="Times New Roman" w:hAnsi="Times New Roman"/>
                <w:b/>
                <w:noProof/>
                <w:sz w:val="18"/>
                <w:szCs w:val="18"/>
              </w:rPr>
              <w:t>PL</w:t>
            </w:r>
            <w:r>
              <w:rPr>
                <w:rStyle w:val="FootnoteReference"/>
                <w:rFonts w:ascii="Times New Roman" w:hAnsi="Times New Roman"/>
                <w:b/>
                <w:noProof/>
                <w:sz w:val="18"/>
                <w:szCs w:val="18"/>
              </w:rPr>
              <w:footnoteReference w:id="87"/>
            </w:r>
          </w:p>
        </w:tc>
        <w:tc>
          <w:tcPr>
            <w:tcW w:w="1339" w:type="dxa"/>
            <w:shd w:val="clear" w:color="auto" w:fill="FFFFFF" w:themeFill="background1"/>
            <w:noWrap/>
            <w:hideMark/>
          </w:tcPr>
          <w:p>
            <w:pPr>
              <w:spacing w:after="0"/>
              <w:jc w:val="center"/>
              <w:rPr>
                <w:rFonts w:ascii="Times New Roman" w:hAnsi="Times New Roman"/>
                <w:noProof/>
                <w:sz w:val="16"/>
                <w:szCs w:val="16"/>
              </w:rPr>
            </w:pPr>
            <w:r>
              <w:rPr>
                <w:rFonts w:ascii="Times New Roman" w:hAnsi="Times New Roman"/>
                <w:noProof/>
                <w:sz w:val="16"/>
                <w:szCs w:val="16"/>
              </w:rPr>
              <w:t>65 992 703</w:t>
            </w:r>
          </w:p>
        </w:tc>
        <w:tc>
          <w:tcPr>
            <w:tcW w:w="1458" w:type="dxa"/>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52 920 889</w:t>
            </w:r>
          </w:p>
        </w:tc>
        <w:tc>
          <w:tcPr>
            <w:tcW w:w="1458" w:type="dxa"/>
            <w:shd w:val="clear" w:color="auto" w:fill="FFFFFF" w:themeFill="background1"/>
          </w:tcPr>
          <w:p>
            <w:pPr>
              <w:jc w:val="center"/>
              <w:rPr>
                <w:rFonts w:ascii="Times New Roman" w:hAnsi="Times New Roman"/>
                <w:noProof/>
                <w:sz w:val="16"/>
                <w:szCs w:val="16"/>
              </w:rPr>
            </w:pPr>
            <w:r>
              <w:rPr>
                <w:rFonts w:ascii="Times New Roman" w:hAnsi="Times New Roman"/>
                <w:noProof/>
                <w:sz w:val="16"/>
                <w:szCs w:val="16"/>
              </w:rPr>
              <w:t>43 594 320</w:t>
            </w:r>
          </w:p>
        </w:tc>
        <w:tc>
          <w:tcPr>
            <w:tcW w:w="1339" w:type="dxa"/>
            <w:shd w:val="clear" w:color="auto" w:fill="FFFFFF" w:themeFill="background1"/>
            <w:vAlign w:val="bottom"/>
          </w:tcPr>
          <w:p>
            <w:pPr>
              <w:jc w:val="center"/>
              <w:rPr>
                <w:rFonts w:ascii="Times New Roman" w:hAnsi="Times New Roman"/>
                <w:noProof/>
                <w:sz w:val="16"/>
                <w:szCs w:val="16"/>
              </w:rPr>
            </w:pPr>
            <w:r>
              <w:rPr>
                <w:rFonts w:ascii="Times New Roman" w:hAnsi="Times New Roman"/>
                <w:noProof/>
                <w:color w:val="000000"/>
                <w:sz w:val="16"/>
                <w:szCs w:val="16"/>
              </w:rPr>
              <w:t>31 621 148</w:t>
            </w:r>
          </w:p>
        </w:tc>
        <w:tc>
          <w:tcPr>
            <w:tcW w:w="1342"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21 752 908</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31 942 281</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16 912 108</w:t>
            </w:r>
          </w:p>
        </w:tc>
      </w:tr>
      <w:tr>
        <w:trPr>
          <w:trHeight w:val="312"/>
          <w:jc w:val="center"/>
        </w:trPr>
        <w:tc>
          <w:tcPr>
            <w:tcW w:w="957" w:type="dxa"/>
            <w:shd w:val="clear" w:color="auto" w:fill="FFFFFF" w:themeFill="background1"/>
            <w:noWrap/>
            <w:hideMark/>
          </w:tcPr>
          <w:p>
            <w:pPr>
              <w:spacing w:after="0"/>
              <w:jc w:val="center"/>
              <w:rPr>
                <w:rFonts w:ascii="Times New Roman" w:hAnsi="Times New Roman"/>
                <w:b/>
                <w:noProof/>
                <w:sz w:val="18"/>
                <w:szCs w:val="18"/>
              </w:rPr>
            </w:pPr>
            <w:r>
              <w:rPr>
                <w:rFonts w:ascii="Times New Roman" w:hAnsi="Times New Roman"/>
                <w:b/>
                <w:noProof/>
                <w:sz w:val="18"/>
                <w:szCs w:val="18"/>
              </w:rPr>
              <w:t>RO</w:t>
            </w:r>
          </w:p>
        </w:tc>
        <w:tc>
          <w:tcPr>
            <w:tcW w:w="1339" w:type="dxa"/>
            <w:shd w:val="clear" w:color="auto" w:fill="FFFFFF" w:themeFill="background1"/>
            <w:noWrap/>
            <w:hideMark/>
          </w:tcPr>
          <w:p>
            <w:pPr>
              <w:spacing w:after="0"/>
              <w:jc w:val="center"/>
              <w:rPr>
                <w:rFonts w:ascii="Times New Roman" w:hAnsi="Times New Roman"/>
                <w:noProof/>
                <w:sz w:val="16"/>
                <w:szCs w:val="16"/>
              </w:rPr>
            </w:pPr>
            <w:r>
              <w:rPr>
                <w:rFonts w:ascii="Times New Roman" w:hAnsi="Times New Roman"/>
                <w:noProof/>
                <w:sz w:val="16"/>
                <w:szCs w:val="16"/>
              </w:rPr>
              <w:t>15 748 011</w:t>
            </w:r>
          </w:p>
        </w:tc>
        <w:tc>
          <w:tcPr>
            <w:tcW w:w="1458" w:type="dxa"/>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8 591 461</w:t>
            </w:r>
          </w:p>
        </w:tc>
        <w:tc>
          <w:tcPr>
            <w:tcW w:w="1458" w:type="dxa"/>
            <w:shd w:val="clear" w:color="auto" w:fill="FFFFFF" w:themeFill="background1"/>
          </w:tcPr>
          <w:p>
            <w:pPr>
              <w:jc w:val="center"/>
              <w:rPr>
                <w:rFonts w:ascii="Times New Roman" w:hAnsi="Times New Roman"/>
                <w:noProof/>
                <w:sz w:val="16"/>
                <w:szCs w:val="16"/>
              </w:rPr>
            </w:pPr>
            <w:r>
              <w:rPr>
                <w:rFonts w:ascii="Times New Roman" w:hAnsi="Times New Roman"/>
                <w:noProof/>
                <w:sz w:val="16"/>
                <w:szCs w:val="16"/>
              </w:rPr>
              <w:t>9 210 797</w:t>
            </w:r>
          </w:p>
        </w:tc>
        <w:tc>
          <w:tcPr>
            <w:tcW w:w="1339" w:type="dxa"/>
            <w:shd w:val="clear" w:color="auto" w:fill="FFFFFF" w:themeFill="background1"/>
            <w:vAlign w:val="bottom"/>
          </w:tcPr>
          <w:p>
            <w:pPr>
              <w:jc w:val="center"/>
              <w:rPr>
                <w:rFonts w:ascii="Times New Roman" w:hAnsi="Times New Roman"/>
                <w:noProof/>
                <w:sz w:val="16"/>
                <w:szCs w:val="16"/>
              </w:rPr>
            </w:pPr>
            <w:r>
              <w:rPr>
                <w:rFonts w:ascii="Times New Roman" w:hAnsi="Times New Roman"/>
                <w:noProof/>
                <w:color w:val="000000"/>
                <w:sz w:val="16"/>
                <w:szCs w:val="16"/>
              </w:rPr>
              <w:t>7 189 961</w:t>
            </w:r>
          </w:p>
        </w:tc>
        <w:tc>
          <w:tcPr>
            <w:tcW w:w="1342"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6 222 255</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3 778 439</w:t>
            </w:r>
          </w:p>
        </w:tc>
        <w:tc>
          <w:tcPr>
            <w:tcW w:w="1348" w:type="dxa"/>
            <w:shd w:val="clear" w:color="auto" w:fill="FFFFFF" w:themeFill="background1"/>
          </w:tcPr>
          <w:p>
            <w:pPr>
              <w:jc w:val="center"/>
              <w:rPr>
                <w:rFonts w:ascii="Times New Roman" w:hAnsi="Times New Roman"/>
                <w:noProof/>
                <w:color w:val="000000"/>
                <w:sz w:val="16"/>
                <w:szCs w:val="16"/>
              </w:rPr>
            </w:pPr>
            <w:r>
              <w:rPr>
                <w:rFonts w:ascii="Times New Roman" w:hAnsi="Times New Roman"/>
                <w:noProof/>
                <w:color w:val="000000"/>
                <w:sz w:val="16"/>
                <w:szCs w:val="16"/>
              </w:rPr>
              <w:t xml:space="preserve">1 723 016  </w:t>
            </w:r>
          </w:p>
        </w:tc>
      </w:tr>
      <w:tr>
        <w:trPr>
          <w:trHeight w:val="257"/>
          <w:jc w:val="center"/>
        </w:trPr>
        <w:tc>
          <w:tcPr>
            <w:tcW w:w="957" w:type="dxa"/>
            <w:shd w:val="clear" w:color="auto" w:fill="FFFFFF" w:themeFill="background1"/>
            <w:noWrap/>
          </w:tcPr>
          <w:p>
            <w:pPr>
              <w:spacing w:after="0"/>
              <w:jc w:val="center"/>
              <w:rPr>
                <w:rFonts w:ascii="Times New Roman" w:hAnsi="Times New Roman"/>
                <w:b/>
                <w:noProof/>
                <w:sz w:val="18"/>
                <w:szCs w:val="18"/>
              </w:rPr>
            </w:pPr>
            <w:r>
              <w:rPr>
                <w:rFonts w:ascii="Times New Roman" w:hAnsi="Times New Roman"/>
                <w:b/>
                <w:noProof/>
                <w:sz w:val="18"/>
                <w:szCs w:val="18"/>
              </w:rPr>
              <w:t>Total</w:t>
            </w:r>
          </w:p>
        </w:tc>
        <w:tc>
          <w:tcPr>
            <w:tcW w:w="1339" w:type="dxa"/>
            <w:shd w:val="clear" w:color="auto" w:fill="FFFFFF" w:themeFill="background1"/>
            <w:noWrap/>
          </w:tcPr>
          <w:p>
            <w:pPr>
              <w:spacing w:after="0"/>
              <w:jc w:val="center"/>
              <w:rPr>
                <w:rFonts w:ascii="Times New Roman" w:hAnsi="Times New Roman"/>
                <w:noProof/>
                <w:sz w:val="16"/>
                <w:szCs w:val="16"/>
              </w:rPr>
            </w:pPr>
            <w:r>
              <w:rPr>
                <w:rFonts w:ascii="Times New Roman" w:hAnsi="Times New Roman"/>
                <w:noProof/>
                <w:sz w:val="16"/>
                <w:szCs w:val="16"/>
              </w:rPr>
              <w:t>133 059 430</w:t>
            </w:r>
          </w:p>
          <w:p>
            <w:pPr>
              <w:spacing w:after="0"/>
              <w:jc w:val="center"/>
              <w:rPr>
                <w:rFonts w:ascii="Times New Roman" w:hAnsi="Times New Roman"/>
                <w:noProof/>
                <w:sz w:val="16"/>
                <w:szCs w:val="16"/>
              </w:rPr>
            </w:pPr>
          </w:p>
        </w:tc>
        <w:tc>
          <w:tcPr>
            <w:tcW w:w="1458" w:type="dxa"/>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100 568 867</w:t>
            </w:r>
          </w:p>
        </w:tc>
        <w:tc>
          <w:tcPr>
            <w:tcW w:w="1458" w:type="dxa"/>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87 532 554</w:t>
            </w:r>
          </w:p>
        </w:tc>
        <w:tc>
          <w:tcPr>
            <w:tcW w:w="1339" w:type="dxa"/>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65 990 706</w:t>
            </w:r>
          </w:p>
        </w:tc>
        <w:tc>
          <w:tcPr>
            <w:tcW w:w="1342" w:type="dxa"/>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46 985 124</w:t>
            </w:r>
          </w:p>
        </w:tc>
        <w:tc>
          <w:tcPr>
            <w:tcW w:w="1348" w:type="dxa"/>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46 987 375</w:t>
            </w:r>
          </w:p>
        </w:tc>
        <w:tc>
          <w:tcPr>
            <w:tcW w:w="1348" w:type="dxa"/>
            <w:shd w:val="clear" w:color="auto" w:fill="FFFFFF" w:themeFill="background1"/>
          </w:tcPr>
          <w:p>
            <w:pPr>
              <w:spacing w:after="0"/>
              <w:jc w:val="center"/>
              <w:rPr>
                <w:rFonts w:ascii="Times New Roman" w:hAnsi="Times New Roman"/>
                <w:noProof/>
                <w:sz w:val="16"/>
                <w:szCs w:val="16"/>
              </w:rPr>
            </w:pPr>
            <w:r>
              <w:rPr>
                <w:rFonts w:ascii="Times New Roman" w:hAnsi="Times New Roman"/>
                <w:noProof/>
                <w:sz w:val="16"/>
                <w:szCs w:val="16"/>
              </w:rPr>
              <w:t>25 104 162</w:t>
            </w:r>
          </w:p>
        </w:tc>
      </w:tr>
    </w:tbl>
    <w:p>
      <w:pPr>
        <w:spacing w:line="240" w:lineRule="auto"/>
        <w:contextualSpacing/>
        <w:jc w:val="both"/>
        <w:rPr>
          <w:rFonts w:ascii="Times New Roman" w:hAnsi="Times New Roman"/>
          <w:noProof/>
          <w:sz w:val="18"/>
          <w:szCs w:val="18"/>
        </w:rPr>
      </w:pPr>
      <w:r>
        <w:rPr>
          <w:rFonts w:ascii="Times New Roman" w:hAnsi="Times New Roman"/>
          <w:noProof/>
          <w:sz w:val="18"/>
          <w:szCs w:val="18"/>
        </w:rPr>
        <w:t>Sors: DĠ Azzjoni Klimatika</w:t>
      </w:r>
    </w:p>
    <w:p>
      <w:pPr>
        <w:spacing w:line="240" w:lineRule="auto"/>
        <w:contextualSpacing/>
        <w:jc w:val="both"/>
        <w:rPr>
          <w:rFonts w:ascii="Times New Roman" w:hAnsi="Times New Roman"/>
          <w:noProof/>
          <w:sz w:val="18"/>
          <w:szCs w:val="18"/>
        </w:rPr>
      </w:pPr>
    </w:p>
    <w:p>
      <w:pPr>
        <w:spacing w:line="240" w:lineRule="auto"/>
        <w:jc w:val="both"/>
        <w:rPr>
          <w:rFonts w:ascii="Times New Roman" w:hAnsi="Times New Roman"/>
          <w:b/>
          <w:noProof/>
          <w:sz w:val="20"/>
          <w:szCs w:val="20"/>
        </w:rPr>
      </w:pPr>
    </w:p>
    <w:p>
      <w:pPr>
        <w:spacing w:line="240" w:lineRule="auto"/>
        <w:jc w:val="both"/>
        <w:rPr>
          <w:rFonts w:ascii="Times New Roman" w:hAnsi="Times New Roman"/>
          <w:b/>
          <w:noProof/>
          <w:sz w:val="20"/>
          <w:szCs w:val="20"/>
        </w:rPr>
      </w:pPr>
      <w:r>
        <w:rPr>
          <w:rFonts w:ascii="Times New Roman" w:hAnsi="Times New Roman"/>
          <w:b/>
          <w:noProof/>
          <w:sz w:val="20"/>
          <w:szCs w:val="20"/>
        </w:rPr>
        <w:t>Tabella 1.2: Numru massimu ta’ kwoti bla ħlas fis-sena skont id-deroga mill-irkantar sħiħ għall-produzzjoni tal-elettriku u tas-sħana</w:t>
      </w:r>
    </w:p>
    <w:tbl>
      <w:tblPr>
        <w:tblW w:w="961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123"/>
        <w:gridCol w:w="1161"/>
        <w:gridCol w:w="1031"/>
        <w:gridCol w:w="1031"/>
        <w:gridCol w:w="1031"/>
        <w:gridCol w:w="1031"/>
        <w:gridCol w:w="1031"/>
        <w:gridCol w:w="1031"/>
        <w:gridCol w:w="1149"/>
      </w:tblGrid>
      <w:tr>
        <w:trPr>
          <w:trHeight w:val="449"/>
          <w:jc w:val="center"/>
        </w:trPr>
        <w:tc>
          <w:tcPr>
            <w:tcW w:w="1123" w:type="dxa"/>
          </w:tcPr>
          <w:p>
            <w:pPr>
              <w:spacing w:after="0"/>
              <w:jc w:val="center"/>
              <w:rPr>
                <w:rFonts w:ascii="Times New Roman" w:hAnsi="Times New Roman"/>
                <w:b/>
                <w:noProof/>
                <w:sz w:val="18"/>
                <w:szCs w:val="18"/>
              </w:rPr>
            </w:pPr>
            <w:r>
              <w:rPr>
                <w:rFonts w:ascii="Times New Roman" w:hAnsi="Times New Roman"/>
                <w:b/>
                <w:noProof/>
                <w:sz w:val="18"/>
                <w:szCs w:val="18"/>
              </w:rPr>
              <w:t>Stat Membru</w:t>
            </w:r>
          </w:p>
        </w:tc>
        <w:tc>
          <w:tcPr>
            <w:tcW w:w="1161" w:type="dxa"/>
          </w:tcPr>
          <w:p>
            <w:pPr>
              <w:spacing w:after="0"/>
              <w:jc w:val="center"/>
              <w:rPr>
                <w:rFonts w:ascii="Times New Roman" w:hAnsi="Times New Roman"/>
                <w:b/>
                <w:noProof/>
                <w:sz w:val="18"/>
                <w:szCs w:val="18"/>
              </w:rPr>
            </w:pPr>
            <w:r>
              <w:rPr>
                <w:rFonts w:ascii="Times New Roman" w:hAnsi="Times New Roman"/>
                <w:b/>
                <w:noProof/>
                <w:sz w:val="18"/>
                <w:szCs w:val="18"/>
              </w:rPr>
              <w:t>2013</w:t>
            </w:r>
          </w:p>
        </w:tc>
        <w:tc>
          <w:tcPr>
            <w:tcW w:w="1031" w:type="dxa"/>
          </w:tcPr>
          <w:p>
            <w:pPr>
              <w:spacing w:after="0"/>
              <w:jc w:val="center"/>
              <w:rPr>
                <w:rFonts w:ascii="Times New Roman" w:hAnsi="Times New Roman"/>
                <w:b/>
                <w:noProof/>
                <w:sz w:val="18"/>
                <w:szCs w:val="18"/>
              </w:rPr>
            </w:pPr>
            <w:r>
              <w:rPr>
                <w:rFonts w:ascii="Times New Roman" w:hAnsi="Times New Roman"/>
                <w:b/>
                <w:noProof/>
                <w:sz w:val="18"/>
                <w:szCs w:val="18"/>
              </w:rPr>
              <w:t>2014</w:t>
            </w:r>
          </w:p>
        </w:tc>
        <w:tc>
          <w:tcPr>
            <w:tcW w:w="1031" w:type="dxa"/>
          </w:tcPr>
          <w:p>
            <w:pPr>
              <w:spacing w:after="0"/>
              <w:jc w:val="center"/>
              <w:rPr>
                <w:rFonts w:ascii="Times New Roman" w:hAnsi="Times New Roman"/>
                <w:b/>
                <w:noProof/>
                <w:sz w:val="18"/>
                <w:szCs w:val="18"/>
              </w:rPr>
            </w:pPr>
            <w:r>
              <w:rPr>
                <w:rFonts w:ascii="Times New Roman" w:hAnsi="Times New Roman"/>
                <w:b/>
                <w:noProof/>
                <w:sz w:val="18"/>
                <w:szCs w:val="18"/>
              </w:rPr>
              <w:t>2015</w:t>
            </w:r>
          </w:p>
        </w:tc>
        <w:tc>
          <w:tcPr>
            <w:tcW w:w="1031" w:type="dxa"/>
          </w:tcPr>
          <w:p>
            <w:pPr>
              <w:spacing w:after="0"/>
              <w:jc w:val="center"/>
              <w:rPr>
                <w:rFonts w:ascii="Times New Roman" w:hAnsi="Times New Roman"/>
                <w:b/>
                <w:noProof/>
                <w:sz w:val="18"/>
                <w:szCs w:val="18"/>
              </w:rPr>
            </w:pPr>
            <w:r>
              <w:rPr>
                <w:rFonts w:ascii="Times New Roman" w:hAnsi="Times New Roman"/>
                <w:b/>
                <w:noProof/>
                <w:sz w:val="18"/>
                <w:szCs w:val="18"/>
              </w:rPr>
              <w:t>2016</w:t>
            </w:r>
          </w:p>
        </w:tc>
        <w:tc>
          <w:tcPr>
            <w:tcW w:w="1031" w:type="dxa"/>
          </w:tcPr>
          <w:p>
            <w:pPr>
              <w:spacing w:after="0"/>
              <w:jc w:val="center"/>
              <w:rPr>
                <w:rFonts w:ascii="Times New Roman" w:hAnsi="Times New Roman"/>
                <w:b/>
                <w:noProof/>
                <w:sz w:val="18"/>
                <w:szCs w:val="18"/>
              </w:rPr>
            </w:pPr>
            <w:r>
              <w:rPr>
                <w:rFonts w:ascii="Times New Roman" w:hAnsi="Times New Roman"/>
                <w:b/>
                <w:noProof/>
                <w:sz w:val="18"/>
                <w:szCs w:val="18"/>
              </w:rPr>
              <w:t>2017</w:t>
            </w:r>
          </w:p>
        </w:tc>
        <w:tc>
          <w:tcPr>
            <w:tcW w:w="1031" w:type="dxa"/>
          </w:tcPr>
          <w:p>
            <w:pPr>
              <w:spacing w:after="0"/>
              <w:ind w:right="317"/>
              <w:jc w:val="center"/>
              <w:rPr>
                <w:rFonts w:ascii="Times New Roman" w:hAnsi="Times New Roman"/>
                <w:b/>
                <w:noProof/>
                <w:sz w:val="18"/>
                <w:szCs w:val="18"/>
              </w:rPr>
            </w:pPr>
            <w:r>
              <w:rPr>
                <w:rFonts w:ascii="Times New Roman" w:hAnsi="Times New Roman"/>
                <w:b/>
                <w:noProof/>
                <w:sz w:val="18"/>
                <w:szCs w:val="18"/>
              </w:rPr>
              <w:t>2018</w:t>
            </w:r>
          </w:p>
        </w:tc>
        <w:tc>
          <w:tcPr>
            <w:tcW w:w="1031" w:type="dxa"/>
          </w:tcPr>
          <w:p>
            <w:pPr>
              <w:spacing w:after="0"/>
              <w:jc w:val="center"/>
              <w:rPr>
                <w:rFonts w:ascii="Times New Roman" w:hAnsi="Times New Roman"/>
                <w:b/>
                <w:noProof/>
                <w:sz w:val="18"/>
                <w:szCs w:val="18"/>
              </w:rPr>
            </w:pPr>
            <w:r>
              <w:rPr>
                <w:rFonts w:ascii="Times New Roman" w:hAnsi="Times New Roman"/>
                <w:b/>
                <w:noProof/>
                <w:sz w:val="18"/>
                <w:szCs w:val="18"/>
              </w:rPr>
              <w:t>2019</w:t>
            </w:r>
          </w:p>
        </w:tc>
        <w:tc>
          <w:tcPr>
            <w:tcW w:w="1149" w:type="dxa"/>
          </w:tcPr>
          <w:p>
            <w:pPr>
              <w:spacing w:after="0"/>
              <w:jc w:val="center"/>
              <w:rPr>
                <w:rFonts w:ascii="Times New Roman" w:hAnsi="Times New Roman"/>
                <w:b/>
                <w:noProof/>
                <w:sz w:val="18"/>
                <w:szCs w:val="18"/>
              </w:rPr>
            </w:pPr>
            <w:r>
              <w:rPr>
                <w:rFonts w:ascii="Times New Roman" w:hAnsi="Times New Roman"/>
                <w:b/>
                <w:noProof/>
                <w:sz w:val="18"/>
                <w:szCs w:val="18"/>
              </w:rPr>
              <w:t>Total</w:t>
            </w:r>
          </w:p>
        </w:tc>
      </w:tr>
      <w:tr>
        <w:trPr>
          <w:trHeight w:val="306"/>
          <w:jc w:val="center"/>
        </w:trPr>
        <w:tc>
          <w:tcPr>
            <w:tcW w:w="1123" w:type="dxa"/>
          </w:tcPr>
          <w:p>
            <w:pPr>
              <w:spacing w:after="0"/>
              <w:jc w:val="center"/>
              <w:rPr>
                <w:rFonts w:ascii="Times New Roman" w:hAnsi="Times New Roman"/>
                <w:noProof/>
                <w:sz w:val="18"/>
                <w:szCs w:val="18"/>
              </w:rPr>
            </w:pPr>
            <w:r>
              <w:rPr>
                <w:rFonts w:ascii="Times New Roman" w:hAnsi="Times New Roman"/>
                <w:noProof/>
                <w:sz w:val="18"/>
                <w:szCs w:val="18"/>
              </w:rPr>
              <w:t>BG</w:t>
            </w:r>
          </w:p>
        </w:tc>
        <w:tc>
          <w:tcPr>
            <w:tcW w:w="1161" w:type="dxa"/>
          </w:tcPr>
          <w:p>
            <w:pPr>
              <w:spacing w:after="0"/>
              <w:jc w:val="center"/>
              <w:rPr>
                <w:rFonts w:ascii="Times New Roman" w:hAnsi="Times New Roman"/>
                <w:noProof/>
                <w:sz w:val="16"/>
                <w:szCs w:val="16"/>
              </w:rPr>
            </w:pPr>
            <w:r>
              <w:rPr>
                <w:rFonts w:ascii="Times New Roman" w:hAnsi="Times New Roman"/>
                <w:noProof/>
                <w:sz w:val="16"/>
                <w:szCs w:val="16"/>
              </w:rPr>
              <w:t>13 542 000</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11 607 428</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9 672 857</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7 738 286</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5 803 714</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3 869 143</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1 934 571</w:t>
            </w:r>
          </w:p>
        </w:tc>
        <w:tc>
          <w:tcPr>
            <w:tcW w:w="1149" w:type="dxa"/>
          </w:tcPr>
          <w:p>
            <w:pPr>
              <w:spacing w:after="0"/>
              <w:jc w:val="center"/>
              <w:rPr>
                <w:rFonts w:ascii="Times New Roman" w:hAnsi="Times New Roman"/>
                <w:noProof/>
                <w:sz w:val="16"/>
                <w:szCs w:val="16"/>
              </w:rPr>
            </w:pPr>
            <w:r>
              <w:rPr>
                <w:rFonts w:ascii="Times New Roman" w:hAnsi="Times New Roman"/>
                <w:noProof/>
                <w:sz w:val="16"/>
                <w:szCs w:val="16"/>
              </w:rPr>
              <w:t>54 167 999</w:t>
            </w:r>
          </w:p>
        </w:tc>
      </w:tr>
      <w:tr>
        <w:trPr>
          <w:trHeight w:val="306"/>
          <w:jc w:val="center"/>
        </w:trPr>
        <w:tc>
          <w:tcPr>
            <w:tcW w:w="1123" w:type="dxa"/>
          </w:tcPr>
          <w:p>
            <w:pPr>
              <w:spacing w:after="0"/>
              <w:jc w:val="center"/>
              <w:rPr>
                <w:rFonts w:ascii="Times New Roman" w:hAnsi="Times New Roman"/>
                <w:noProof/>
                <w:sz w:val="18"/>
                <w:szCs w:val="18"/>
              </w:rPr>
            </w:pPr>
            <w:r>
              <w:rPr>
                <w:rFonts w:ascii="Times New Roman" w:hAnsi="Times New Roman"/>
                <w:noProof/>
                <w:sz w:val="18"/>
                <w:szCs w:val="18"/>
              </w:rPr>
              <w:t>CY</w:t>
            </w:r>
          </w:p>
        </w:tc>
        <w:tc>
          <w:tcPr>
            <w:tcW w:w="1161" w:type="dxa"/>
          </w:tcPr>
          <w:p>
            <w:pPr>
              <w:spacing w:after="0"/>
              <w:jc w:val="center"/>
              <w:rPr>
                <w:rFonts w:ascii="Times New Roman" w:hAnsi="Times New Roman"/>
                <w:noProof/>
                <w:sz w:val="16"/>
                <w:szCs w:val="16"/>
              </w:rPr>
            </w:pPr>
            <w:r>
              <w:rPr>
                <w:rFonts w:ascii="Times New Roman" w:hAnsi="Times New Roman"/>
                <w:noProof/>
                <w:sz w:val="16"/>
                <w:szCs w:val="16"/>
              </w:rPr>
              <w:t>2 519 077</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2 195 195</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1 907 302</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1 583 420</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1 259 538</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935 657</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575 789</w:t>
            </w:r>
          </w:p>
        </w:tc>
        <w:tc>
          <w:tcPr>
            <w:tcW w:w="1149" w:type="dxa"/>
          </w:tcPr>
          <w:p>
            <w:pPr>
              <w:spacing w:after="0"/>
              <w:jc w:val="center"/>
              <w:rPr>
                <w:rFonts w:ascii="Times New Roman" w:hAnsi="Times New Roman"/>
                <w:noProof/>
                <w:sz w:val="16"/>
                <w:szCs w:val="16"/>
              </w:rPr>
            </w:pPr>
            <w:r>
              <w:rPr>
                <w:rFonts w:ascii="Times New Roman" w:hAnsi="Times New Roman"/>
                <w:noProof/>
                <w:sz w:val="16"/>
                <w:szCs w:val="16"/>
              </w:rPr>
              <w:t>10 975 978</w:t>
            </w:r>
          </w:p>
        </w:tc>
      </w:tr>
      <w:tr>
        <w:trPr>
          <w:trHeight w:val="306"/>
          <w:jc w:val="center"/>
        </w:trPr>
        <w:tc>
          <w:tcPr>
            <w:tcW w:w="1123" w:type="dxa"/>
          </w:tcPr>
          <w:p>
            <w:pPr>
              <w:spacing w:after="0"/>
              <w:jc w:val="center"/>
              <w:rPr>
                <w:rFonts w:ascii="Times New Roman" w:hAnsi="Times New Roman"/>
                <w:noProof/>
                <w:sz w:val="18"/>
                <w:szCs w:val="18"/>
              </w:rPr>
            </w:pPr>
            <w:r>
              <w:rPr>
                <w:rFonts w:ascii="Times New Roman" w:hAnsi="Times New Roman"/>
                <w:noProof/>
                <w:sz w:val="18"/>
                <w:szCs w:val="18"/>
              </w:rPr>
              <w:t>CZ</w:t>
            </w:r>
          </w:p>
        </w:tc>
        <w:tc>
          <w:tcPr>
            <w:tcW w:w="1161" w:type="dxa"/>
          </w:tcPr>
          <w:p>
            <w:pPr>
              <w:spacing w:after="0"/>
              <w:jc w:val="center"/>
              <w:rPr>
                <w:rFonts w:ascii="Times New Roman" w:hAnsi="Times New Roman"/>
                <w:noProof/>
                <w:sz w:val="16"/>
                <w:szCs w:val="16"/>
              </w:rPr>
            </w:pPr>
            <w:r>
              <w:rPr>
                <w:rFonts w:ascii="Times New Roman" w:hAnsi="Times New Roman"/>
                <w:noProof/>
                <w:sz w:val="16"/>
                <w:szCs w:val="16"/>
              </w:rPr>
              <w:t>26 916 667</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23 071 429</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19 226 191</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15 380 953</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11 535 714</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7 690 476</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3 845 238</w:t>
            </w:r>
          </w:p>
        </w:tc>
        <w:tc>
          <w:tcPr>
            <w:tcW w:w="1149" w:type="dxa"/>
          </w:tcPr>
          <w:p>
            <w:pPr>
              <w:spacing w:after="0"/>
              <w:jc w:val="center"/>
              <w:rPr>
                <w:rFonts w:ascii="Times New Roman" w:hAnsi="Times New Roman"/>
                <w:noProof/>
                <w:sz w:val="16"/>
                <w:szCs w:val="16"/>
              </w:rPr>
            </w:pPr>
            <w:r>
              <w:rPr>
                <w:rFonts w:ascii="Times New Roman" w:hAnsi="Times New Roman"/>
                <w:noProof/>
                <w:sz w:val="16"/>
                <w:szCs w:val="16"/>
              </w:rPr>
              <w:t>107 666 668</w:t>
            </w:r>
          </w:p>
        </w:tc>
      </w:tr>
      <w:tr>
        <w:trPr>
          <w:trHeight w:val="306"/>
          <w:jc w:val="center"/>
        </w:trPr>
        <w:tc>
          <w:tcPr>
            <w:tcW w:w="1123" w:type="dxa"/>
          </w:tcPr>
          <w:p>
            <w:pPr>
              <w:spacing w:after="0"/>
              <w:jc w:val="center"/>
              <w:rPr>
                <w:rFonts w:ascii="Times New Roman" w:hAnsi="Times New Roman"/>
                <w:noProof/>
                <w:sz w:val="18"/>
                <w:szCs w:val="18"/>
              </w:rPr>
            </w:pPr>
            <w:r>
              <w:rPr>
                <w:rFonts w:ascii="Times New Roman" w:hAnsi="Times New Roman"/>
                <w:noProof/>
                <w:sz w:val="18"/>
                <w:szCs w:val="18"/>
              </w:rPr>
              <w:t>EE</w:t>
            </w:r>
          </w:p>
        </w:tc>
        <w:tc>
          <w:tcPr>
            <w:tcW w:w="1161" w:type="dxa"/>
          </w:tcPr>
          <w:p>
            <w:pPr>
              <w:spacing w:after="0"/>
              <w:jc w:val="center"/>
              <w:rPr>
                <w:rFonts w:ascii="Times New Roman" w:hAnsi="Times New Roman"/>
                <w:noProof/>
                <w:sz w:val="16"/>
                <w:szCs w:val="16"/>
              </w:rPr>
            </w:pPr>
            <w:r>
              <w:rPr>
                <w:rFonts w:ascii="Times New Roman" w:hAnsi="Times New Roman"/>
                <w:noProof/>
                <w:sz w:val="16"/>
                <w:szCs w:val="16"/>
              </w:rPr>
              <w:t>5 288 827</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4 533 280</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3 777 733</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3 022 187</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2 266 640</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1 511 093</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755 547</w:t>
            </w:r>
          </w:p>
        </w:tc>
        <w:tc>
          <w:tcPr>
            <w:tcW w:w="1149" w:type="dxa"/>
          </w:tcPr>
          <w:p>
            <w:pPr>
              <w:spacing w:after="0"/>
              <w:jc w:val="center"/>
              <w:rPr>
                <w:rFonts w:ascii="Times New Roman" w:hAnsi="Times New Roman"/>
                <w:noProof/>
                <w:sz w:val="16"/>
                <w:szCs w:val="16"/>
              </w:rPr>
            </w:pPr>
            <w:r>
              <w:rPr>
                <w:rFonts w:ascii="Times New Roman" w:hAnsi="Times New Roman"/>
                <w:noProof/>
                <w:sz w:val="16"/>
                <w:szCs w:val="16"/>
              </w:rPr>
              <w:t>21 155 307</w:t>
            </w:r>
          </w:p>
        </w:tc>
      </w:tr>
      <w:tr>
        <w:trPr>
          <w:trHeight w:val="306"/>
          <w:jc w:val="center"/>
        </w:trPr>
        <w:tc>
          <w:tcPr>
            <w:tcW w:w="1123" w:type="dxa"/>
          </w:tcPr>
          <w:p>
            <w:pPr>
              <w:spacing w:after="0"/>
              <w:jc w:val="center"/>
              <w:rPr>
                <w:rFonts w:ascii="Times New Roman" w:hAnsi="Times New Roman"/>
                <w:noProof/>
                <w:sz w:val="18"/>
                <w:szCs w:val="18"/>
              </w:rPr>
            </w:pPr>
            <w:r>
              <w:rPr>
                <w:rFonts w:ascii="Times New Roman" w:hAnsi="Times New Roman"/>
                <w:noProof/>
                <w:sz w:val="18"/>
                <w:szCs w:val="18"/>
              </w:rPr>
              <w:t>HU</w:t>
            </w:r>
          </w:p>
        </w:tc>
        <w:tc>
          <w:tcPr>
            <w:tcW w:w="1161" w:type="dxa"/>
          </w:tcPr>
          <w:p>
            <w:pPr>
              <w:spacing w:after="0"/>
              <w:jc w:val="center"/>
              <w:rPr>
                <w:rFonts w:ascii="Times New Roman" w:hAnsi="Times New Roman"/>
                <w:noProof/>
                <w:sz w:val="16"/>
                <w:szCs w:val="16"/>
              </w:rPr>
            </w:pPr>
            <w:r>
              <w:rPr>
                <w:rFonts w:ascii="Times New Roman" w:hAnsi="Times New Roman"/>
                <w:noProof/>
                <w:sz w:val="16"/>
                <w:szCs w:val="16"/>
              </w:rPr>
              <w:t>7 047 255</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0</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0</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0</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0</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0</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0</w:t>
            </w:r>
          </w:p>
        </w:tc>
        <w:tc>
          <w:tcPr>
            <w:tcW w:w="1149" w:type="dxa"/>
          </w:tcPr>
          <w:p>
            <w:pPr>
              <w:spacing w:after="0"/>
              <w:jc w:val="center"/>
              <w:rPr>
                <w:rFonts w:ascii="Times New Roman" w:hAnsi="Times New Roman"/>
                <w:noProof/>
                <w:sz w:val="16"/>
                <w:szCs w:val="16"/>
              </w:rPr>
            </w:pPr>
            <w:r>
              <w:rPr>
                <w:rFonts w:ascii="Times New Roman" w:hAnsi="Times New Roman"/>
                <w:noProof/>
                <w:sz w:val="16"/>
                <w:szCs w:val="16"/>
              </w:rPr>
              <w:t>7 047 255</w:t>
            </w:r>
          </w:p>
        </w:tc>
      </w:tr>
      <w:tr>
        <w:trPr>
          <w:trHeight w:val="306"/>
          <w:jc w:val="center"/>
        </w:trPr>
        <w:tc>
          <w:tcPr>
            <w:tcW w:w="1123" w:type="dxa"/>
          </w:tcPr>
          <w:p>
            <w:pPr>
              <w:spacing w:after="0"/>
              <w:jc w:val="center"/>
              <w:rPr>
                <w:rFonts w:ascii="Times New Roman" w:hAnsi="Times New Roman"/>
                <w:noProof/>
                <w:sz w:val="18"/>
                <w:szCs w:val="18"/>
              </w:rPr>
            </w:pPr>
            <w:r>
              <w:rPr>
                <w:rFonts w:ascii="Times New Roman" w:hAnsi="Times New Roman"/>
                <w:noProof/>
                <w:sz w:val="18"/>
                <w:szCs w:val="18"/>
              </w:rPr>
              <w:t>LT</w:t>
            </w:r>
          </w:p>
        </w:tc>
        <w:tc>
          <w:tcPr>
            <w:tcW w:w="1161" w:type="dxa"/>
          </w:tcPr>
          <w:p>
            <w:pPr>
              <w:spacing w:after="0"/>
              <w:jc w:val="center"/>
              <w:rPr>
                <w:rFonts w:ascii="Times New Roman" w:hAnsi="Times New Roman"/>
                <w:noProof/>
                <w:sz w:val="16"/>
                <w:szCs w:val="16"/>
                <w:highlight w:val="yellow"/>
              </w:rPr>
            </w:pPr>
            <w:r>
              <w:rPr>
                <w:rFonts w:ascii="Times New Roman" w:hAnsi="Times New Roman"/>
                <w:noProof/>
                <w:sz w:val="16"/>
                <w:szCs w:val="16"/>
              </w:rPr>
              <w:t>582 373</w:t>
            </w:r>
          </w:p>
        </w:tc>
        <w:tc>
          <w:tcPr>
            <w:tcW w:w="1031" w:type="dxa"/>
          </w:tcPr>
          <w:p>
            <w:pPr>
              <w:spacing w:after="0"/>
              <w:jc w:val="center"/>
              <w:rPr>
                <w:rFonts w:ascii="Times New Roman" w:hAnsi="Times New Roman"/>
                <w:noProof/>
                <w:sz w:val="16"/>
                <w:szCs w:val="16"/>
                <w:highlight w:val="yellow"/>
              </w:rPr>
            </w:pPr>
            <w:r>
              <w:rPr>
                <w:rFonts w:ascii="Times New Roman" w:hAnsi="Times New Roman"/>
                <w:noProof/>
                <w:sz w:val="16"/>
                <w:szCs w:val="16"/>
              </w:rPr>
              <w:t>536 615</w:t>
            </w:r>
          </w:p>
        </w:tc>
        <w:tc>
          <w:tcPr>
            <w:tcW w:w="1031" w:type="dxa"/>
          </w:tcPr>
          <w:p>
            <w:pPr>
              <w:spacing w:after="0"/>
              <w:jc w:val="center"/>
              <w:rPr>
                <w:rFonts w:ascii="Times New Roman" w:hAnsi="Times New Roman"/>
                <w:noProof/>
                <w:sz w:val="16"/>
                <w:szCs w:val="16"/>
                <w:highlight w:val="yellow"/>
              </w:rPr>
            </w:pPr>
            <w:r>
              <w:rPr>
                <w:rFonts w:ascii="Times New Roman" w:hAnsi="Times New Roman"/>
                <w:noProof/>
                <w:sz w:val="16"/>
                <w:szCs w:val="16"/>
              </w:rPr>
              <w:t>486 698</w:t>
            </w:r>
          </w:p>
        </w:tc>
        <w:tc>
          <w:tcPr>
            <w:tcW w:w="1031" w:type="dxa"/>
          </w:tcPr>
          <w:p>
            <w:pPr>
              <w:spacing w:after="0"/>
              <w:jc w:val="center"/>
              <w:rPr>
                <w:rFonts w:ascii="Times New Roman" w:hAnsi="Times New Roman"/>
                <w:noProof/>
                <w:sz w:val="16"/>
                <w:szCs w:val="16"/>
                <w:highlight w:val="yellow"/>
              </w:rPr>
            </w:pPr>
            <w:r>
              <w:rPr>
                <w:rFonts w:ascii="Times New Roman" w:hAnsi="Times New Roman"/>
                <w:noProof/>
                <w:sz w:val="16"/>
                <w:szCs w:val="16"/>
              </w:rPr>
              <w:t>428 460</w:t>
            </w:r>
          </w:p>
        </w:tc>
        <w:tc>
          <w:tcPr>
            <w:tcW w:w="1031" w:type="dxa"/>
          </w:tcPr>
          <w:p>
            <w:pPr>
              <w:spacing w:after="0"/>
              <w:jc w:val="center"/>
              <w:rPr>
                <w:rFonts w:ascii="Times New Roman" w:hAnsi="Times New Roman"/>
                <w:noProof/>
                <w:sz w:val="16"/>
                <w:szCs w:val="16"/>
                <w:highlight w:val="yellow"/>
              </w:rPr>
            </w:pPr>
            <w:r>
              <w:rPr>
                <w:rFonts w:ascii="Times New Roman" w:hAnsi="Times New Roman"/>
                <w:noProof/>
                <w:sz w:val="16"/>
                <w:szCs w:val="16"/>
              </w:rPr>
              <w:t>361 903</w:t>
            </w:r>
          </w:p>
        </w:tc>
        <w:tc>
          <w:tcPr>
            <w:tcW w:w="1031" w:type="dxa"/>
          </w:tcPr>
          <w:p>
            <w:pPr>
              <w:spacing w:after="0"/>
              <w:jc w:val="center"/>
              <w:rPr>
                <w:rFonts w:ascii="Times New Roman" w:hAnsi="Times New Roman"/>
                <w:noProof/>
                <w:sz w:val="16"/>
                <w:szCs w:val="16"/>
                <w:highlight w:val="yellow"/>
              </w:rPr>
            </w:pPr>
            <w:r>
              <w:rPr>
                <w:rFonts w:ascii="Times New Roman" w:hAnsi="Times New Roman"/>
                <w:noProof/>
                <w:sz w:val="16"/>
                <w:szCs w:val="16"/>
              </w:rPr>
              <w:t>287 027</w:t>
            </w:r>
          </w:p>
        </w:tc>
        <w:tc>
          <w:tcPr>
            <w:tcW w:w="1031" w:type="dxa"/>
          </w:tcPr>
          <w:p>
            <w:pPr>
              <w:spacing w:after="0"/>
              <w:jc w:val="center"/>
              <w:rPr>
                <w:rFonts w:ascii="Times New Roman" w:hAnsi="Times New Roman"/>
                <w:noProof/>
                <w:sz w:val="16"/>
                <w:szCs w:val="16"/>
                <w:highlight w:val="yellow"/>
              </w:rPr>
            </w:pPr>
            <w:r>
              <w:rPr>
                <w:rFonts w:ascii="Times New Roman" w:hAnsi="Times New Roman"/>
                <w:noProof/>
                <w:sz w:val="16"/>
                <w:szCs w:val="16"/>
              </w:rPr>
              <w:t>170 552</w:t>
            </w:r>
          </w:p>
        </w:tc>
        <w:tc>
          <w:tcPr>
            <w:tcW w:w="1149" w:type="dxa"/>
          </w:tcPr>
          <w:p>
            <w:pPr>
              <w:spacing w:after="0"/>
              <w:jc w:val="center"/>
              <w:rPr>
                <w:rFonts w:ascii="Times New Roman" w:hAnsi="Times New Roman"/>
                <w:noProof/>
                <w:sz w:val="16"/>
                <w:szCs w:val="16"/>
                <w:highlight w:val="yellow"/>
              </w:rPr>
            </w:pPr>
            <w:r>
              <w:rPr>
                <w:rFonts w:ascii="Times New Roman" w:hAnsi="Times New Roman"/>
                <w:noProof/>
                <w:sz w:val="16"/>
                <w:szCs w:val="16"/>
              </w:rPr>
              <w:t>2 853 628</w:t>
            </w:r>
          </w:p>
        </w:tc>
      </w:tr>
      <w:tr>
        <w:trPr>
          <w:trHeight w:val="306"/>
          <w:jc w:val="center"/>
        </w:trPr>
        <w:tc>
          <w:tcPr>
            <w:tcW w:w="1123" w:type="dxa"/>
          </w:tcPr>
          <w:p>
            <w:pPr>
              <w:spacing w:after="0"/>
              <w:jc w:val="center"/>
              <w:rPr>
                <w:rFonts w:ascii="Times New Roman" w:hAnsi="Times New Roman"/>
                <w:noProof/>
                <w:sz w:val="18"/>
                <w:szCs w:val="18"/>
              </w:rPr>
            </w:pPr>
            <w:r>
              <w:rPr>
                <w:rFonts w:ascii="Times New Roman" w:hAnsi="Times New Roman"/>
                <w:noProof/>
                <w:sz w:val="18"/>
                <w:szCs w:val="18"/>
              </w:rPr>
              <w:t>PL</w:t>
            </w:r>
          </w:p>
        </w:tc>
        <w:tc>
          <w:tcPr>
            <w:tcW w:w="1161" w:type="dxa"/>
          </w:tcPr>
          <w:p>
            <w:pPr>
              <w:spacing w:after="0"/>
              <w:jc w:val="center"/>
              <w:rPr>
                <w:rFonts w:ascii="Times New Roman" w:hAnsi="Times New Roman"/>
                <w:noProof/>
                <w:sz w:val="16"/>
                <w:szCs w:val="16"/>
              </w:rPr>
            </w:pPr>
            <w:r>
              <w:rPr>
                <w:rFonts w:ascii="Times New Roman" w:hAnsi="Times New Roman"/>
                <w:noProof/>
                <w:sz w:val="16"/>
                <w:szCs w:val="16"/>
              </w:rPr>
              <w:t>77 816 756</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72 258 416</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66 700 076</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60 030 069</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52 248 393</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43 355 049</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32 238 370</w:t>
            </w:r>
          </w:p>
        </w:tc>
        <w:tc>
          <w:tcPr>
            <w:tcW w:w="1149" w:type="dxa"/>
          </w:tcPr>
          <w:p>
            <w:pPr>
              <w:spacing w:after="0"/>
              <w:jc w:val="center"/>
              <w:rPr>
                <w:rFonts w:ascii="Times New Roman" w:hAnsi="Times New Roman"/>
                <w:noProof/>
                <w:sz w:val="16"/>
                <w:szCs w:val="16"/>
              </w:rPr>
            </w:pPr>
            <w:r>
              <w:rPr>
                <w:rFonts w:ascii="Times New Roman" w:hAnsi="Times New Roman"/>
                <w:noProof/>
                <w:sz w:val="16"/>
                <w:szCs w:val="16"/>
              </w:rPr>
              <w:t>404 647 129</w:t>
            </w:r>
          </w:p>
        </w:tc>
      </w:tr>
      <w:tr>
        <w:trPr>
          <w:trHeight w:val="306"/>
          <w:jc w:val="center"/>
        </w:trPr>
        <w:tc>
          <w:tcPr>
            <w:tcW w:w="1123" w:type="dxa"/>
          </w:tcPr>
          <w:p>
            <w:pPr>
              <w:spacing w:after="0"/>
              <w:jc w:val="center"/>
              <w:rPr>
                <w:rFonts w:ascii="Times New Roman" w:hAnsi="Times New Roman"/>
                <w:noProof/>
                <w:sz w:val="18"/>
                <w:szCs w:val="18"/>
              </w:rPr>
            </w:pPr>
            <w:r>
              <w:rPr>
                <w:rFonts w:ascii="Times New Roman" w:hAnsi="Times New Roman"/>
                <w:noProof/>
                <w:sz w:val="18"/>
                <w:szCs w:val="18"/>
              </w:rPr>
              <w:t>RO</w:t>
            </w:r>
          </w:p>
        </w:tc>
        <w:tc>
          <w:tcPr>
            <w:tcW w:w="1161" w:type="dxa"/>
          </w:tcPr>
          <w:p>
            <w:pPr>
              <w:spacing w:after="0"/>
              <w:jc w:val="center"/>
              <w:rPr>
                <w:rFonts w:ascii="Times New Roman" w:hAnsi="Times New Roman"/>
                <w:noProof/>
                <w:sz w:val="16"/>
                <w:szCs w:val="16"/>
              </w:rPr>
            </w:pPr>
            <w:r>
              <w:rPr>
                <w:rFonts w:ascii="Times New Roman" w:hAnsi="Times New Roman"/>
                <w:noProof/>
                <w:sz w:val="16"/>
                <w:szCs w:val="16"/>
              </w:rPr>
              <w:t>17 852 479</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15 302 125</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12 751 771</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10 201 417</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7 651 063</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5 100 708</w:t>
            </w:r>
          </w:p>
        </w:tc>
        <w:tc>
          <w:tcPr>
            <w:tcW w:w="1031" w:type="dxa"/>
          </w:tcPr>
          <w:p>
            <w:pPr>
              <w:spacing w:after="0"/>
              <w:jc w:val="center"/>
              <w:rPr>
                <w:rFonts w:ascii="Times New Roman" w:hAnsi="Times New Roman"/>
                <w:noProof/>
                <w:sz w:val="16"/>
                <w:szCs w:val="16"/>
              </w:rPr>
            </w:pPr>
            <w:r>
              <w:rPr>
                <w:rFonts w:ascii="Times New Roman" w:hAnsi="Times New Roman"/>
                <w:noProof/>
                <w:sz w:val="16"/>
                <w:szCs w:val="16"/>
              </w:rPr>
              <w:t>2 550 354</w:t>
            </w:r>
          </w:p>
        </w:tc>
        <w:tc>
          <w:tcPr>
            <w:tcW w:w="1149" w:type="dxa"/>
          </w:tcPr>
          <w:p>
            <w:pPr>
              <w:spacing w:after="0"/>
              <w:jc w:val="center"/>
              <w:rPr>
                <w:rFonts w:ascii="Times New Roman" w:hAnsi="Times New Roman"/>
                <w:noProof/>
                <w:sz w:val="16"/>
                <w:szCs w:val="16"/>
              </w:rPr>
            </w:pPr>
            <w:r>
              <w:rPr>
                <w:rFonts w:ascii="Times New Roman" w:hAnsi="Times New Roman"/>
                <w:noProof/>
                <w:sz w:val="16"/>
                <w:szCs w:val="16"/>
              </w:rPr>
              <w:t>71 409 917</w:t>
            </w:r>
          </w:p>
        </w:tc>
      </w:tr>
      <w:tr>
        <w:trPr>
          <w:trHeight w:val="435"/>
          <w:jc w:val="center"/>
        </w:trPr>
        <w:tc>
          <w:tcPr>
            <w:tcW w:w="1123" w:type="dxa"/>
          </w:tcPr>
          <w:p>
            <w:pPr>
              <w:spacing w:after="0"/>
              <w:jc w:val="center"/>
              <w:rPr>
                <w:rFonts w:ascii="Times New Roman" w:hAnsi="Times New Roman"/>
                <w:b/>
                <w:noProof/>
                <w:sz w:val="18"/>
                <w:szCs w:val="18"/>
                <w:u w:val="single"/>
              </w:rPr>
            </w:pPr>
            <w:r>
              <w:rPr>
                <w:rFonts w:ascii="Times New Roman" w:hAnsi="Times New Roman"/>
                <w:b/>
                <w:noProof/>
                <w:sz w:val="18"/>
                <w:szCs w:val="18"/>
                <w:u w:val="single"/>
              </w:rPr>
              <w:t>Total</w:t>
            </w:r>
          </w:p>
        </w:tc>
        <w:tc>
          <w:tcPr>
            <w:tcW w:w="1161" w:type="dxa"/>
          </w:tcPr>
          <w:p>
            <w:pPr>
              <w:spacing w:after="0"/>
              <w:jc w:val="center"/>
              <w:rPr>
                <w:rFonts w:ascii="Times New Roman" w:hAnsi="Times New Roman"/>
                <w:noProof/>
                <w:sz w:val="16"/>
                <w:szCs w:val="16"/>
                <w:highlight w:val="yellow"/>
              </w:rPr>
            </w:pPr>
            <w:r>
              <w:rPr>
                <w:rFonts w:ascii="Times New Roman" w:hAnsi="Times New Roman"/>
                <w:noProof/>
                <w:sz w:val="16"/>
                <w:szCs w:val="16"/>
              </w:rPr>
              <w:t>151 565 434</w:t>
            </w:r>
          </w:p>
        </w:tc>
        <w:tc>
          <w:tcPr>
            <w:tcW w:w="1031" w:type="dxa"/>
          </w:tcPr>
          <w:p>
            <w:pPr>
              <w:spacing w:after="0"/>
              <w:jc w:val="center"/>
              <w:rPr>
                <w:rFonts w:ascii="Times New Roman" w:hAnsi="Times New Roman"/>
                <w:noProof/>
                <w:sz w:val="16"/>
                <w:szCs w:val="16"/>
                <w:highlight w:val="yellow"/>
              </w:rPr>
            </w:pPr>
            <w:r>
              <w:rPr>
                <w:rFonts w:ascii="Times New Roman" w:hAnsi="Times New Roman"/>
                <w:noProof/>
                <w:sz w:val="16"/>
                <w:szCs w:val="16"/>
              </w:rPr>
              <w:t>129 504 488</w:t>
            </w:r>
          </w:p>
        </w:tc>
        <w:tc>
          <w:tcPr>
            <w:tcW w:w="1031" w:type="dxa"/>
          </w:tcPr>
          <w:p>
            <w:pPr>
              <w:spacing w:after="0"/>
              <w:jc w:val="center"/>
              <w:rPr>
                <w:rFonts w:ascii="Times New Roman" w:hAnsi="Times New Roman"/>
                <w:noProof/>
                <w:sz w:val="16"/>
                <w:szCs w:val="16"/>
                <w:highlight w:val="yellow"/>
              </w:rPr>
            </w:pPr>
            <w:r>
              <w:rPr>
                <w:rFonts w:ascii="Times New Roman" w:hAnsi="Times New Roman"/>
                <w:noProof/>
                <w:sz w:val="16"/>
                <w:szCs w:val="16"/>
              </w:rPr>
              <w:t>114 522 628</w:t>
            </w:r>
          </w:p>
        </w:tc>
        <w:tc>
          <w:tcPr>
            <w:tcW w:w="1031" w:type="dxa"/>
          </w:tcPr>
          <w:p>
            <w:pPr>
              <w:spacing w:after="0"/>
              <w:jc w:val="center"/>
              <w:rPr>
                <w:rFonts w:ascii="Times New Roman" w:hAnsi="Times New Roman"/>
                <w:noProof/>
                <w:sz w:val="16"/>
                <w:szCs w:val="16"/>
                <w:highlight w:val="yellow"/>
              </w:rPr>
            </w:pPr>
            <w:r>
              <w:rPr>
                <w:rFonts w:ascii="Times New Roman" w:hAnsi="Times New Roman"/>
                <w:noProof/>
                <w:sz w:val="16"/>
                <w:szCs w:val="16"/>
              </w:rPr>
              <w:t>98 384 792</w:t>
            </w:r>
          </w:p>
        </w:tc>
        <w:tc>
          <w:tcPr>
            <w:tcW w:w="1031" w:type="dxa"/>
          </w:tcPr>
          <w:p>
            <w:pPr>
              <w:spacing w:after="0"/>
              <w:jc w:val="center"/>
              <w:rPr>
                <w:rFonts w:ascii="Times New Roman" w:hAnsi="Times New Roman"/>
                <w:noProof/>
                <w:sz w:val="16"/>
                <w:szCs w:val="16"/>
                <w:highlight w:val="yellow"/>
              </w:rPr>
            </w:pPr>
            <w:r>
              <w:rPr>
                <w:rFonts w:ascii="Times New Roman" w:hAnsi="Times New Roman"/>
                <w:noProof/>
                <w:sz w:val="16"/>
                <w:szCs w:val="16"/>
              </w:rPr>
              <w:t>81 126 965</w:t>
            </w:r>
          </w:p>
        </w:tc>
        <w:tc>
          <w:tcPr>
            <w:tcW w:w="1031" w:type="dxa"/>
          </w:tcPr>
          <w:p>
            <w:pPr>
              <w:spacing w:after="0"/>
              <w:jc w:val="center"/>
              <w:rPr>
                <w:rFonts w:ascii="Times New Roman" w:hAnsi="Times New Roman"/>
                <w:noProof/>
                <w:sz w:val="16"/>
                <w:szCs w:val="16"/>
                <w:highlight w:val="yellow"/>
              </w:rPr>
            </w:pPr>
            <w:r>
              <w:rPr>
                <w:rFonts w:ascii="Times New Roman" w:hAnsi="Times New Roman"/>
                <w:noProof/>
                <w:sz w:val="16"/>
                <w:szCs w:val="16"/>
              </w:rPr>
              <w:t>62 749 153</w:t>
            </w:r>
          </w:p>
        </w:tc>
        <w:tc>
          <w:tcPr>
            <w:tcW w:w="1031" w:type="dxa"/>
          </w:tcPr>
          <w:p>
            <w:pPr>
              <w:spacing w:after="0"/>
              <w:jc w:val="center"/>
              <w:rPr>
                <w:rFonts w:ascii="Times New Roman" w:hAnsi="Times New Roman"/>
                <w:noProof/>
                <w:sz w:val="16"/>
                <w:szCs w:val="16"/>
                <w:highlight w:val="yellow"/>
              </w:rPr>
            </w:pPr>
            <w:r>
              <w:rPr>
                <w:rFonts w:ascii="Times New Roman" w:hAnsi="Times New Roman"/>
                <w:noProof/>
                <w:sz w:val="16"/>
                <w:szCs w:val="16"/>
              </w:rPr>
              <w:t>42 070 421</w:t>
            </w:r>
          </w:p>
        </w:tc>
        <w:tc>
          <w:tcPr>
            <w:tcW w:w="1149" w:type="dxa"/>
          </w:tcPr>
          <w:p>
            <w:pPr>
              <w:spacing w:after="0"/>
              <w:jc w:val="center"/>
              <w:rPr>
                <w:rFonts w:ascii="Times New Roman" w:hAnsi="Times New Roman"/>
                <w:noProof/>
                <w:sz w:val="16"/>
                <w:szCs w:val="16"/>
                <w:highlight w:val="yellow"/>
              </w:rPr>
            </w:pPr>
            <w:r>
              <w:rPr>
                <w:rFonts w:ascii="Times New Roman" w:hAnsi="Times New Roman"/>
                <w:noProof/>
                <w:sz w:val="16"/>
                <w:szCs w:val="16"/>
              </w:rPr>
              <w:t>679 923 881</w:t>
            </w:r>
          </w:p>
        </w:tc>
      </w:tr>
    </w:tbl>
    <w:p>
      <w:pPr>
        <w:rPr>
          <w:rFonts w:ascii="Times New Roman" w:hAnsi="Times New Roman"/>
          <w:noProof/>
          <w:sz w:val="18"/>
          <w:szCs w:val="18"/>
        </w:rPr>
      </w:pPr>
      <w:r>
        <w:rPr>
          <w:rFonts w:ascii="Times New Roman" w:hAnsi="Times New Roman"/>
          <w:noProof/>
          <w:sz w:val="18"/>
          <w:szCs w:val="18"/>
        </w:rPr>
        <w:t>Sors: DĠ Azzjoni Klimatika</w:t>
      </w:r>
    </w:p>
    <w:p>
      <w:pPr>
        <w:rPr>
          <w:rFonts w:ascii="Times New Roman" w:hAnsi="Times New Roman"/>
          <w:b/>
          <w:noProof/>
          <w:sz w:val="20"/>
          <w:szCs w:val="20"/>
        </w:rPr>
      </w:pPr>
    </w:p>
    <w:p>
      <w:pPr>
        <w:rPr>
          <w:rFonts w:ascii="Times New Roman" w:hAnsi="Times New Roman"/>
          <w:b/>
          <w:noProof/>
          <w:sz w:val="20"/>
          <w:szCs w:val="20"/>
        </w:rPr>
      </w:pPr>
      <w:r>
        <w:rPr>
          <w:rFonts w:ascii="Times New Roman" w:hAnsi="Times New Roman"/>
          <w:b/>
          <w:noProof/>
          <w:sz w:val="20"/>
          <w:szCs w:val="20"/>
        </w:rPr>
        <w:t>Tabella 1.3: L-għadd ta’ kwoti mingħajr ħlas mhux użati skont id-deroga tal-Artikolu 10c li ġew irkantati jew li huma ppjanati għall-irkantar fl-2013-2021</w:t>
      </w:r>
      <w:r>
        <w:rPr>
          <w:rStyle w:val="FootnoteReference"/>
          <w:rFonts w:ascii="Times New Roman" w:hAnsi="Times New Roman"/>
          <w:b/>
          <w:noProof/>
          <w:sz w:val="20"/>
          <w:szCs w:val="20"/>
        </w:rPr>
        <w:footnoteReference w:id="88"/>
      </w:r>
    </w:p>
    <w:tbl>
      <w:tblPr>
        <w:tblW w:w="9237" w:type="dxa"/>
        <w:tblInd w:w="85" w:type="dxa"/>
        <w:tblLook w:val="04A0" w:firstRow="1" w:lastRow="0" w:firstColumn="1" w:lastColumn="0" w:noHBand="0" w:noVBand="1"/>
      </w:tblPr>
      <w:tblGrid>
        <w:gridCol w:w="1269"/>
        <w:gridCol w:w="1135"/>
        <w:gridCol w:w="1135"/>
        <w:gridCol w:w="1135"/>
        <w:gridCol w:w="1135"/>
        <w:gridCol w:w="1160"/>
        <w:gridCol w:w="1134"/>
        <w:gridCol w:w="1134"/>
      </w:tblGrid>
      <w:tr>
        <w:trPr>
          <w:trHeight w:val="330"/>
        </w:trPr>
        <w:tc>
          <w:tcPr>
            <w:tcW w:w="1269" w:type="dxa"/>
            <w:tcBorders>
              <w:top w:val="double" w:sz="4" w:space="0" w:color="auto"/>
              <w:left w:val="double" w:sz="6" w:space="0" w:color="auto"/>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6"/>
                <w:szCs w:val="16"/>
              </w:rPr>
            </w:pPr>
            <w:r>
              <w:rPr>
                <w:rFonts w:ascii="Times New Roman" w:hAnsi="Times New Roman"/>
                <w:b/>
                <w:bCs/>
                <w:noProof/>
                <w:color w:val="000000"/>
                <w:sz w:val="16"/>
                <w:szCs w:val="16"/>
              </w:rPr>
              <w:t>Stat Membru</w:t>
            </w:r>
          </w:p>
        </w:tc>
        <w:tc>
          <w:tcPr>
            <w:tcW w:w="1135" w:type="dxa"/>
            <w:tcBorders>
              <w:top w:val="double" w:sz="4" w:space="0" w:color="auto"/>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bCs/>
                <w:noProof/>
                <w:color w:val="000000"/>
                <w:sz w:val="18"/>
                <w:szCs w:val="18"/>
              </w:rPr>
              <w:t>2015</w:t>
            </w:r>
          </w:p>
        </w:tc>
        <w:tc>
          <w:tcPr>
            <w:tcW w:w="1135" w:type="dxa"/>
            <w:tcBorders>
              <w:top w:val="double" w:sz="4" w:space="0" w:color="auto"/>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bCs/>
                <w:noProof/>
                <w:color w:val="000000"/>
                <w:sz w:val="18"/>
                <w:szCs w:val="18"/>
              </w:rPr>
              <w:t>2016</w:t>
            </w:r>
          </w:p>
        </w:tc>
        <w:tc>
          <w:tcPr>
            <w:tcW w:w="1135" w:type="dxa"/>
            <w:tcBorders>
              <w:top w:val="double" w:sz="4" w:space="0" w:color="auto"/>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bCs/>
                <w:noProof/>
                <w:color w:val="000000"/>
                <w:sz w:val="18"/>
                <w:szCs w:val="18"/>
              </w:rPr>
              <w:t>2017</w:t>
            </w:r>
          </w:p>
        </w:tc>
        <w:tc>
          <w:tcPr>
            <w:tcW w:w="1135" w:type="dxa"/>
            <w:tcBorders>
              <w:top w:val="double" w:sz="4" w:space="0" w:color="auto"/>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bCs/>
                <w:noProof/>
                <w:color w:val="000000"/>
                <w:sz w:val="18"/>
                <w:szCs w:val="18"/>
              </w:rPr>
              <w:t>2018</w:t>
            </w:r>
          </w:p>
        </w:tc>
        <w:tc>
          <w:tcPr>
            <w:tcW w:w="1160" w:type="dxa"/>
            <w:tcBorders>
              <w:top w:val="double" w:sz="4" w:space="0" w:color="auto"/>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bCs/>
                <w:noProof/>
                <w:color w:val="000000"/>
                <w:sz w:val="18"/>
                <w:szCs w:val="18"/>
              </w:rPr>
              <w:t>2019</w:t>
            </w:r>
          </w:p>
        </w:tc>
        <w:tc>
          <w:tcPr>
            <w:tcW w:w="1134" w:type="dxa"/>
            <w:tcBorders>
              <w:top w:val="double" w:sz="4" w:space="0" w:color="auto"/>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bCs/>
                <w:noProof/>
                <w:color w:val="000000"/>
                <w:sz w:val="18"/>
                <w:szCs w:val="18"/>
              </w:rPr>
              <w:t>2020</w:t>
            </w:r>
          </w:p>
        </w:tc>
        <w:tc>
          <w:tcPr>
            <w:tcW w:w="1134" w:type="dxa"/>
            <w:tcBorders>
              <w:top w:val="double" w:sz="4" w:space="0" w:color="auto"/>
              <w:left w:val="nil"/>
              <w:bottom w:val="double" w:sz="6" w:space="0" w:color="auto"/>
              <w:right w:val="double" w:sz="6" w:space="0" w:color="auto"/>
            </w:tcBorders>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bCs/>
                <w:noProof/>
                <w:color w:val="000000"/>
                <w:sz w:val="18"/>
                <w:szCs w:val="18"/>
              </w:rPr>
              <w:t>2021</w:t>
            </w:r>
          </w:p>
        </w:tc>
      </w:tr>
      <w:tr>
        <w:trPr>
          <w:trHeight w:val="330"/>
        </w:trPr>
        <w:tc>
          <w:tcPr>
            <w:tcW w:w="1269" w:type="dxa"/>
            <w:tcBorders>
              <w:top w:val="nil"/>
              <w:left w:val="double" w:sz="6" w:space="0" w:color="auto"/>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6"/>
                <w:szCs w:val="16"/>
              </w:rPr>
            </w:pPr>
            <w:r>
              <w:rPr>
                <w:rFonts w:ascii="Times New Roman" w:hAnsi="Times New Roman"/>
                <w:b/>
                <w:bCs/>
                <w:noProof/>
                <w:color w:val="000000"/>
                <w:sz w:val="16"/>
                <w:szCs w:val="16"/>
              </w:rPr>
              <w:t>BG</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5 444 169</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1 461 360</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920 823</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604 908</w:t>
            </w:r>
          </w:p>
        </w:tc>
        <w:tc>
          <w:tcPr>
            <w:tcW w:w="1160"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1 386 372</w:t>
            </w:r>
          </w:p>
        </w:tc>
        <w:tc>
          <w:tcPr>
            <w:tcW w:w="1134"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4" w:type="dxa"/>
            <w:tcBorders>
              <w:top w:val="nil"/>
              <w:left w:val="nil"/>
              <w:bottom w:val="double" w:sz="6" w:space="0" w:color="auto"/>
              <w:right w:val="double" w:sz="6" w:space="0" w:color="auto"/>
            </w:tcBorders>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476 621</w:t>
            </w:r>
          </w:p>
        </w:tc>
      </w:tr>
      <w:tr>
        <w:trPr>
          <w:trHeight w:val="330"/>
        </w:trPr>
        <w:tc>
          <w:tcPr>
            <w:tcW w:w="1269" w:type="dxa"/>
            <w:tcBorders>
              <w:top w:val="nil"/>
              <w:left w:val="double" w:sz="6" w:space="0" w:color="auto"/>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6"/>
                <w:szCs w:val="16"/>
              </w:rPr>
            </w:pPr>
            <w:r>
              <w:rPr>
                <w:rFonts w:ascii="Times New Roman" w:hAnsi="Times New Roman"/>
                <w:b/>
                <w:bCs/>
                <w:noProof/>
                <w:color w:val="000000"/>
                <w:sz w:val="16"/>
                <w:szCs w:val="16"/>
              </w:rPr>
              <w:t>CY</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60"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4"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4" w:type="dxa"/>
            <w:tcBorders>
              <w:top w:val="nil"/>
              <w:left w:val="nil"/>
              <w:bottom w:val="double" w:sz="6" w:space="0" w:color="auto"/>
              <w:right w:val="double" w:sz="6" w:space="0" w:color="auto"/>
            </w:tcBorders>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r>
      <w:tr>
        <w:trPr>
          <w:trHeight w:val="330"/>
        </w:trPr>
        <w:tc>
          <w:tcPr>
            <w:tcW w:w="1269" w:type="dxa"/>
            <w:tcBorders>
              <w:top w:val="nil"/>
              <w:left w:val="double" w:sz="6" w:space="0" w:color="auto"/>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6"/>
                <w:szCs w:val="16"/>
              </w:rPr>
            </w:pPr>
            <w:r>
              <w:rPr>
                <w:rFonts w:ascii="Times New Roman" w:hAnsi="Times New Roman"/>
                <w:b/>
                <w:bCs/>
                <w:noProof/>
                <w:color w:val="000000"/>
                <w:sz w:val="16"/>
                <w:szCs w:val="16"/>
              </w:rPr>
              <w:t>CZ</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90,694</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77 741</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66 740</w:t>
            </w:r>
          </w:p>
        </w:tc>
        <w:tc>
          <w:tcPr>
            <w:tcW w:w="1160"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54 550</w:t>
            </w:r>
          </w:p>
        </w:tc>
        <w:tc>
          <w:tcPr>
            <w:tcW w:w="1134"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80 295</w:t>
            </w:r>
          </w:p>
        </w:tc>
        <w:tc>
          <w:tcPr>
            <w:tcW w:w="1134" w:type="dxa"/>
            <w:tcBorders>
              <w:top w:val="nil"/>
              <w:left w:val="nil"/>
              <w:bottom w:val="double" w:sz="6" w:space="0" w:color="auto"/>
              <w:right w:val="double" w:sz="6" w:space="0" w:color="auto"/>
            </w:tcBorders>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r>
      <w:tr>
        <w:trPr>
          <w:trHeight w:val="330"/>
        </w:trPr>
        <w:tc>
          <w:tcPr>
            <w:tcW w:w="1269" w:type="dxa"/>
            <w:tcBorders>
              <w:top w:val="nil"/>
              <w:left w:val="double" w:sz="6" w:space="0" w:color="auto"/>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6"/>
                <w:szCs w:val="16"/>
              </w:rPr>
            </w:pPr>
            <w:r>
              <w:rPr>
                <w:rFonts w:ascii="Times New Roman" w:hAnsi="Times New Roman"/>
                <w:b/>
                <w:bCs/>
                <w:noProof/>
                <w:color w:val="000000"/>
                <w:sz w:val="16"/>
                <w:szCs w:val="16"/>
              </w:rPr>
              <w:t>EE</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188 682</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134 897</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1 767 499</w:t>
            </w:r>
          </w:p>
        </w:tc>
        <w:tc>
          <w:tcPr>
            <w:tcW w:w="1160"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761 088</w:t>
            </w:r>
          </w:p>
        </w:tc>
        <w:tc>
          <w:tcPr>
            <w:tcW w:w="1134"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50 026</w:t>
            </w:r>
          </w:p>
        </w:tc>
        <w:tc>
          <w:tcPr>
            <w:tcW w:w="1134" w:type="dxa"/>
            <w:tcBorders>
              <w:top w:val="nil"/>
              <w:left w:val="nil"/>
              <w:bottom w:val="double" w:sz="6" w:space="0" w:color="auto"/>
              <w:right w:val="double" w:sz="6" w:space="0" w:color="auto"/>
            </w:tcBorders>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r>
      <w:tr>
        <w:trPr>
          <w:trHeight w:val="330"/>
        </w:trPr>
        <w:tc>
          <w:tcPr>
            <w:tcW w:w="1269" w:type="dxa"/>
            <w:tcBorders>
              <w:top w:val="nil"/>
              <w:left w:val="double" w:sz="6" w:space="0" w:color="auto"/>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6"/>
                <w:szCs w:val="16"/>
              </w:rPr>
            </w:pPr>
            <w:r>
              <w:rPr>
                <w:rFonts w:ascii="Times New Roman" w:hAnsi="Times New Roman"/>
                <w:b/>
                <w:bCs/>
                <w:noProof/>
                <w:color w:val="000000"/>
                <w:sz w:val="16"/>
                <w:szCs w:val="16"/>
              </w:rPr>
              <w:t>LT</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259 924</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456 725</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191 229</w:t>
            </w:r>
          </w:p>
        </w:tc>
        <w:tc>
          <w:tcPr>
            <w:tcW w:w="1160"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161 522</w:t>
            </w:r>
          </w:p>
        </w:tc>
        <w:tc>
          <w:tcPr>
            <w:tcW w:w="1134"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128 105</w:t>
            </w:r>
          </w:p>
        </w:tc>
        <w:tc>
          <w:tcPr>
            <w:tcW w:w="1134" w:type="dxa"/>
            <w:tcBorders>
              <w:top w:val="nil"/>
              <w:left w:val="nil"/>
              <w:bottom w:val="double" w:sz="6" w:space="0" w:color="auto"/>
              <w:right w:val="double" w:sz="6" w:space="0" w:color="auto"/>
            </w:tcBorders>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76 120</w:t>
            </w:r>
          </w:p>
        </w:tc>
      </w:tr>
      <w:tr>
        <w:trPr>
          <w:trHeight w:val="405"/>
        </w:trPr>
        <w:tc>
          <w:tcPr>
            <w:tcW w:w="1269" w:type="dxa"/>
            <w:tcBorders>
              <w:top w:val="nil"/>
              <w:left w:val="double" w:sz="6" w:space="0" w:color="auto"/>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6"/>
                <w:szCs w:val="16"/>
              </w:rPr>
            </w:pPr>
            <w:r>
              <w:rPr>
                <w:rFonts w:ascii="Times New Roman" w:hAnsi="Times New Roman"/>
                <w:b/>
                <w:bCs/>
                <w:noProof/>
                <w:color w:val="000000"/>
                <w:sz w:val="16"/>
                <w:szCs w:val="16"/>
              </w:rPr>
              <w:t>PL</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1 196</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7,491</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60"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55 800 000</w:t>
            </w:r>
          </w:p>
        </w:tc>
        <w:tc>
          <w:tcPr>
            <w:tcW w:w="1134"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49 520 000</w:t>
            </w:r>
          </w:p>
        </w:tc>
        <w:tc>
          <w:tcPr>
            <w:tcW w:w="1134" w:type="dxa"/>
            <w:tcBorders>
              <w:top w:val="nil"/>
              <w:left w:val="nil"/>
              <w:bottom w:val="double" w:sz="6" w:space="0" w:color="auto"/>
              <w:right w:val="double" w:sz="6" w:space="0" w:color="auto"/>
            </w:tcBorders>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34 501 299</w:t>
            </w:r>
            <w:r>
              <w:rPr>
                <w:rStyle w:val="FootnoteReference"/>
                <w:rFonts w:ascii="Times New Roman" w:eastAsia="Times New Roman" w:hAnsi="Times New Roman"/>
                <w:noProof/>
                <w:color w:val="000000"/>
                <w:sz w:val="16"/>
                <w:szCs w:val="16"/>
                <w:lang w:eastAsia="en-GB"/>
              </w:rPr>
              <w:footnoteReference w:id="89"/>
            </w:r>
          </w:p>
        </w:tc>
      </w:tr>
      <w:tr>
        <w:trPr>
          <w:trHeight w:val="330"/>
        </w:trPr>
        <w:tc>
          <w:tcPr>
            <w:tcW w:w="1269" w:type="dxa"/>
            <w:tcBorders>
              <w:top w:val="nil"/>
              <w:left w:val="double" w:sz="6" w:space="0" w:color="auto"/>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6"/>
                <w:szCs w:val="16"/>
              </w:rPr>
            </w:pPr>
            <w:r>
              <w:rPr>
                <w:rFonts w:ascii="Times New Roman" w:hAnsi="Times New Roman"/>
                <w:b/>
                <w:bCs/>
                <w:noProof/>
                <w:color w:val="000000"/>
                <w:sz w:val="16"/>
                <w:szCs w:val="16"/>
              </w:rPr>
              <w:t>RO</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2 104 468</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6 710 664</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3 540 974</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3 011 456</w:t>
            </w:r>
          </w:p>
        </w:tc>
        <w:tc>
          <w:tcPr>
            <w:tcW w:w="1160"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4"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4" w:type="dxa"/>
            <w:tcBorders>
              <w:top w:val="nil"/>
              <w:left w:val="nil"/>
              <w:bottom w:val="double" w:sz="6" w:space="0" w:color="auto"/>
              <w:right w:val="double" w:sz="6" w:space="0" w:color="auto"/>
            </w:tcBorders>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827 338</w:t>
            </w:r>
          </w:p>
        </w:tc>
      </w:tr>
      <w:tr>
        <w:trPr>
          <w:trHeight w:val="330"/>
        </w:trPr>
        <w:tc>
          <w:tcPr>
            <w:tcW w:w="1269" w:type="dxa"/>
            <w:tcBorders>
              <w:top w:val="nil"/>
              <w:left w:val="double" w:sz="6" w:space="0" w:color="auto"/>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b/>
                <w:bCs/>
                <w:noProof/>
                <w:color w:val="000000"/>
                <w:sz w:val="16"/>
                <w:szCs w:val="16"/>
              </w:rPr>
            </w:pPr>
            <w:r>
              <w:rPr>
                <w:rFonts w:ascii="Times New Roman" w:hAnsi="Times New Roman"/>
                <w:b/>
                <w:bCs/>
                <w:noProof/>
                <w:color w:val="000000"/>
                <w:sz w:val="16"/>
                <w:szCs w:val="16"/>
              </w:rPr>
              <w:t>HU</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5"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60"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4" w:type="dxa"/>
            <w:tcBorders>
              <w:top w:val="nil"/>
              <w:left w:val="nil"/>
              <w:bottom w:val="double" w:sz="6" w:space="0" w:color="auto"/>
              <w:right w:val="double" w:sz="6" w:space="0" w:color="auto"/>
            </w:tcBorders>
            <w:noWrap/>
            <w:vAlign w:val="center"/>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c>
          <w:tcPr>
            <w:tcW w:w="1134" w:type="dxa"/>
            <w:tcBorders>
              <w:top w:val="nil"/>
              <w:left w:val="nil"/>
              <w:bottom w:val="double" w:sz="6" w:space="0" w:color="auto"/>
              <w:right w:val="double" w:sz="6" w:space="0" w:color="auto"/>
            </w:tcBorders>
            <w:hideMark/>
          </w:tcPr>
          <w:p>
            <w:pPr>
              <w:spacing w:after="0" w:line="240" w:lineRule="auto"/>
              <w:jc w:val="center"/>
              <w:rPr>
                <w:rFonts w:ascii="Times New Roman" w:eastAsia="Times New Roman" w:hAnsi="Times New Roman"/>
                <w:noProof/>
                <w:color w:val="000000"/>
                <w:sz w:val="16"/>
                <w:szCs w:val="16"/>
              </w:rPr>
            </w:pPr>
            <w:r>
              <w:rPr>
                <w:rFonts w:ascii="Times New Roman" w:hAnsi="Times New Roman"/>
                <w:noProof/>
                <w:color w:val="000000"/>
                <w:sz w:val="16"/>
                <w:szCs w:val="16"/>
              </w:rPr>
              <w:t>0</w:t>
            </w:r>
          </w:p>
        </w:tc>
      </w:tr>
    </w:tbl>
    <w:p>
      <w:pPr>
        <w:spacing w:after="0" w:line="240" w:lineRule="auto"/>
        <w:rPr>
          <w:rFonts w:eastAsia="Times New Roman"/>
          <w:noProof/>
        </w:rPr>
      </w:pPr>
    </w:p>
    <w:p>
      <w:pPr>
        <w:spacing w:after="0" w:line="240" w:lineRule="auto"/>
        <w:rPr>
          <w:rFonts w:eastAsia="Times New Roman"/>
          <w:noProof/>
        </w:rPr>
      </w:pPr>
    </w:p>
    <w:p>
      <w:pPr>
        <w:rPr>
          <w:rFonts w:ascii="Times New Roman" w:hAnsi="Times New Roman"/>
          <w:b/>
          <w:noProof/>
        </w:rPr>
      </w:pPr>
      <w:r>
        <w:rPr>
          <w:rFonts w:ascii="Times New Roman" w:hAnsi="Times New Roman"/>
          <w:b/>
          <w:noProof/>
        </w:rPr>
        <w:t>Appendiċi 2</w:t>
      </w:r>
    </w:p>
    <w:p>
      <w:pPr>
        <w:rPr>
          <w:rFonts w:ascii="Times New Roman" w:hAnsi="Times New Roman"/>
          <w:b/>
          <w:noProof/>
          <w:sz w:val="20"/>
          <w:szCs w:val="20"/>
        </w:rPr>
      </w:pPr>
      <w:r>
        <w:rPr>
          <w:rFonts w:ascii="Times New Roman" w:hAnsi="Times New Roman"/>
          <w:b/>
          <w:noProof/>
          <w:sz w:val="20"/>
          <w:szCs w:val="20"/>
        </w:rPr>
        <w:t>Illustrazzjoni 2.1: Numru ta’ offerenti fl-irkantijiet tal-kwoti ġenerali mill-2013 sat-30 ta’ Ġunju 2020</w:t>
      </w:r>
    </w:p>
    <w:p>
      <w:pPr>
        <w:rPr>
          <w:rFonts w:ascii="Times New Roman" w:hAnsi="Times New Roman"/>
          <w:b/>
          <w:noProof/>
          <w:sz w:val="20"/>
          <w:szCs w:val="20"/>
        </w:rPr>
      </w:pPr>
      <w:r>
        <w:rPr>
          <w:noProof/>
          <w:lang w:val="en-GB" w:eastAsia="en-GB"/>
        </w:rPr>
        <w:drawing>
          <wp:inline distT="0" distB="0" distL="0" distR="0">
            <wp:extent cx="5982970" cy="2988000"/>
            <wp:effectExtent l="0" t="0" r="17780" b="3175"/>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pPr>
        <w:spacing w:after="0"/>
        <w:rPr>
          <w:rFonts w:ascii="Times New Roman" w:hAnsi="Times New Roman"/>
          <w:noProof/>
          <w:color w:val="000000" w:themeColor="text1"/>
          <w:sz w:val="18"/>
          <w:szCs w:val="18"/>
        </w:rPr>
      </w:pPr>
      <w:r>
        <w:rPr>
          <w:rFonts w:ascii="Times New Roman" w:hAnsi="Times New Roman"/>
          <w:noProof/>
          <w:color w:val="000000" w:themeColor="text1"/>
          <w:sz w:val="18"/>
          <w:szCs w:val="18"/>
        </w:rPr>
        <w:t>Sors: EEX</w:t>
      </w:r>
    </w:p>
    <w:p>
      <w:pPr>
        <w:rPr>
          <w:b/>
          <w:noProof/>
        </w:rPr>
      </w:pPr>
      <w:r>
        <w:rPr>
          <w:b/>
          <w:noProof/>
          <w:sz w:val="32"/>
          <w:szCs w:val="32"/>
        </w:rPr>
        <w:t>.</w:t>
      </w:r>
      <w:r>
        <w:rPr>
          <w:rFonts w:ascii="Times New Roman" w:hAnsi="Times New Roman"/>
          <w:b/>
          <w:noProof/>
          <w:sz w:val="20"/>
          <w:szCs w:val="20"/>
        </w:rPr>
        <w:t xml:space="preserve"> </w:t>
      </w:r>
      <w:r>
        <w:rPr>
          <w:rFonts w:ascii="Times New Roman" w:hAnsi="Times New Roman"/>
          <w:noProof/>
          <w:sz w:val="20"/>
          <w:szCs w:val="20"/>
        </w:rPr>
        <w:t>Numru ta’ offerenti</w:t>
      </w:r>
      <w:r>
        <w:rPr>
          <w:b/>
          <w:noProof/>
        </w:rPr>
        <w:t xml:space="preserve"> </w:t>
      </w:r>
    </w:p>
    <w:p>
      <w:pPr>
        <w:rPr>
          <w:rFonts w:ascii="Times New Roman" w:hAnsi="Times New Roman"/>
          <w:b/>
          <w:noProof/>
          <w:sz w:val="20"/>
          <w:szCs w:val="20"/>
          <w:highlight w:val="yellow"/>
        </w:rPr>
        <w:sectPr>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pgNumType w:start="1"/>
          <w:cols w:space="720"/>
          <w:docGrid w:linePitch="360"/>
        </w:sectPr>
      </w:pPr>
    </w:p>
    <w:p>
      <w:pPr>
        <w:rPr>
          <w:rFonts w:ascii="Times New Roman" w:eastAsia="Times New Roman" w:hAnsi="Times New Roman"/>
          <w:b/>
          <w:bCs/>
          <w:noProof/>
          <w:color w:val="000000"/>
          <w:sz w:val="20"/>
          <w:szCs w:val="20"/>
        </w:rPr>
      </w:pPr>
      <w:r>
        <w:rPr>
          <w:rFonts w:ascii="Times New Roman" w:hAnsi="Times New Roman"/>
          <w:b/>
          <w:noProof/>
          <w:sz w:val="20"/>
          <w:szCs w:val="20"/>
        </w:rPr>
        <w:t>Tabella 2.1: Dħul iġġenerat</w:t>
      </w:r>
      <w:r>
        <w:rPr>
          <w:rFonts w:ascii="Times New Roman" w:hAnsi="Times New Roman"/>
          <w:b/>
          <w:bCs/>
          <w:noProof/>
          <w:color w:val="000000"/>
          <w:sz w:val="20"/>
          <w:szCs w:val="20"/>
        </w:rPr>
        <w:t xml:space="preserve"> mill-irkantar tal-kwoti tal-emissjonijiet</w:t>
      </w:r>
      <w:r>
        <w:rPr>
          <w:rFonts w:ascii="Times New Roman" w:hAnsi="Times New Roman"/>
          <w:b/>
          <w:noProof/>
          <w:sz w:val="20"/>
          <w:szCs w:val="20"/>
        </w:rPr>
        <w:t xml:space="preserve"> mill-Istati Membri u mir-Renju Unit fil-perjodu 2012 – 30 ta’ Ġunju 2020 </w:t>
      </w:r>
      <w:r>
        <w:rPr>
          <w:rFonts w:ascii="Times New Roman" w:hAnsi="Times New Roman"/>
          <w:b/>
          <w:bCs/>
          <w:noProof/>
          <w:color w:val="000000"/>
          <w:sz w:val="20"/>
          <w:szCs w:val="20"/>
        </w:rPr>
        <w:t>(f’miljuni ta’ EUR)</w:t>
      </w:r>
      <w:r>
        <w:rPr>
          <w:rStyle w:val="FootnoteReference"/>
          <w:rFonts w:ascii="Times New Roman" w:hAnsi="Times New Roman"/>
          <w:b/>
          <w:noProof/>
          <w:sz w:val="20"/>
          <w:szCs w:val="20"/>
        </w:rPr>
        <w:footnoteReference w:id="90"/>
      </w:r>
    </w:p>
    <w:tbl>
      <w:tblPr>
        <w:tblW w:w="15523" w:type="dxa"/>
        <w:tblInd w:w="-459" w:type="dxa"/>
        <w:tblLook w:val="04A0" w:firstRow="1" w:lastRow="0" w:firstColumn="1" w:lastColumn="0" w:noHBand="0" w:noVBand="1"/>
      </w:tblPr>
      <w:tblGrid>
        <w:gridCol w:w="851"/>
        <w:gridCol w:w="850"/>
        <w:gridCol w:w="851"/>
        <w:gridCol w:w="832"/>
        <w:gridCol w:w="727"/>
        <w:gridCol w:w="851"/>
        <w:gridCol w:w="708"/>
        <w:gridCol w:w="842"/>
        <w:gridCol w:w="801"/>
        <w:gridCol w:w="898"/>
        <w:gridCol w:w="711"/>
        <w:gridCol w:w="898"/>
        <w:gridCol w:w="711"/>
        <w:gridCol w:w="981"/>
        <w:gridCol w:w="679"/>
        <w:gridCol w:w="981"/>
        <w:gridCol w:w="801"/>
        <w:gridCol w:w="837"/>
        <w:gridCol w:w="702"/>
        <w:gridCol w:w="11"/>
      </w:tblGrid>
      <w:tr>
        <w:trPr>
          <w:gridAfter w:val="1"/>
          <w:wAfter w:w="11" w:type="dxa"/>
          <w:trHeight w:val="315"/>
        </w:trPr>
        <w:tc>
          <w:tcPr>
            <w:tcW w:w="851" w:type="dxa"/>
            <w:tcBorders>
              <w:top w:val="double" w:sz="4" w:space="0" w:color="auto"/>
              <w:left w:val="double" w:sz="4" w:space="0" w:color="auto"/>
              <w:bottom w:val="nil"/>
              <w:right w:val="double" w:sz="4" w:space="0" w:color="auto"/>
            </w:tcBorders>
            <w:shd w:val="clear" w:color="auto" w:fill="auto"/>
            <w:noWrap/>
            <w:vAlign w:val="bottom"/>
            <w:hideMark/>
          </w:tcPr>
          <w:p>
            <w:pPr>
              <w:spacing w:after="0" w:line="240" w:lineRule="auto"/>
              <w:ind w:right="-265"/>
              <w:jc w:val="center"/>
              <w:rPr>
                <w:rFonts w:ascii="Times New Roman" w:eastAsia="Times New Roman" w:hAnsi="Times New Roman"/>
                <w:noProof/>
                <w:color w:val="000000"/>
                <w:sz w:val="20"/>
                <w:szCs w:val="20"/>
              </w:rPr>
            </w:pPr>
            <w:r>
              <w:rPr>
                <w:rFonts w:ascii="Times New Roman" w:hAnsi="Times New Roman"/>
                <w:noProof/>
                <w:color w:val="000000"/>
                <w:sz w:val="20"/>
                <w:szCs w:val="20"/>
              </w:rPr>
              <w:t xml:space="preserve"> </w:t>
            </w:r>
          </w:p>
        </w:tc>
        <w:tc>
          <w:tcPr>
            <w:tcW w:w="1701" w:type="dxa"/>
            <w:gridSpan w:val="2"/>
            <w:tcBorders>
              <w:top w:val="double" w:sz="6" w:space="0" w:color="auto"/>
              <w:left w:val="double" w:sz="4" w:space="0" w:color="auto"/>
              <w:bottom w:val="double" w:sz="6" w:space="0" w:color="auto"/>
              <w:right w:val="double" w:sz="6" w:space="0" w:color="000000"/>
            </w:tcBorders>
            <w:shd w:val="clear" w:color="auto" w:fill="auto"/>
            <w:noWrap/>
            <w:vAlign w:val="center"/>
            <w:hideMark/>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2012</w:t>
            </w:r>
          </w:p>
        </w:tc>
        <w:tc>
          <w:tcPr>
            <w:tcW w:w="1559" w:type="dxa"/>
            <w:gridSpan w:val="2"/>
            <w:tcBorders>
              <w:top w:val="double" w:sz="6" w:space="0" w:color="auto"/>
              <w:left w:val="nil"/>
              <w:bottom w:val="double" w:sz="6" w:space="0" w:color="auto"/>
              <w:right w:val="double" w:sz="6" w:space="0" w:color="000000"/>
            </w:tcBorders>
            <w:shd w:val="clear" w:color="auto" w:fill="auto"/>
            <w:noWrap/>
            <w:vAlign w:val="center"/>
            <w:hideMark/>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2013</w:t>
            </w:r>
          </w:p>
        </w:tc>
        <w:tc>
          <w:tcPr>
            <w:tcW w:w="1559" w:type="dxa"/>
            <w:gridSpan w:val="2"/>
            <w:tcBorders>
              <w:top w:val="double" w:sz="6" w:space="0" w:color="auto"/>
              <w:left w:val="nil"/>
              <w:bottom w:val="double" w:sz="6" w:space="0" w:color="auto"/>
              <w:right w:val="double" w:sz="6" w:space="0" w:color="000000"/>
            </w:tcBorders>
            <w:shd w:val="clear" w:color="auto" w:fill="auto"/>
            <w:noWrap/>
            <w:vAlign w:val="center"/>
            <w:hideMark/>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2014</w:t>
            </w:r>
          </w:p>
        </w:tc>
        <w:tc>
          <w:tcPr>
            <w:tcW w:w="1643" w:type="dxa"/>
            <w:gridSpan w:val="2"/>
            <w:tcBorders>
              <w:top w:val="double" w:sz="6" w:space="0" w:color="auto"/>
              <w:left w:val="nil"/>
              <w:bottom w:val="double" w:sz="6" w:space="0" w:color="auto"/>
              <w:right w:val="double" w:sz="6" w:space="0" w:color="000000"/>
            </w:tcBorders>
            <w:shd w:val="clear" w:color="auto" w:fill="auto"/>
            <w:noWrap/>
            <w:vAlign w:val="center"/>
            <w:hideMark/>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2015</w:t>
            </w:r>
          </w:p>
        </w:tc>
        <w:tc>
          <w:tcPr>
            <w:tcW w:w="1609" w:type="dxa"/>
            <w:gridSpan w:val="2"/>
            <w:tcBorders>
              <w:top w:val="double" w:sz="6" w:space="0" w:color="auto"/>
              <w:left w:val="nil"/>
              <w:bottom w:val="double" w:sz="6" w:space="0" w:color="auto"/>
              <w:right w:val="double" w:sz="6" w:space="0" w:color="000000"/>
            </w:tcBorders>
            <w:shd w:val="clear" w:color="auto" w:fill="auto"/>
            <w:noWrap/>
            <w:vAlign w:val="center"/>
            <w:hideMark/>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2016</w:t>
            </w:r>
          </w:p>
        </w:tc>
        <w:tc>
          <w:tcPr>
            <w:tcW w:w="1609" w:type="dxa"/>
            <w:gridSpan w:val="2"/>
            <w:tcBorders>
              <w:top w:val="double" w:sz="6" w:space="0" w:color="auto"/>
              <w:left w:val="nil"/>
              <w:bottom w:val="double" w:sz="6" w:space="0" w:color="auto"/>
              <w:right w:val="double" w:sz="6" w:space="0" w:color="000000"/>
            </w:tcBorders>
            <w:shd w:val="clear" w:color="auto" w:fill="auto"/>
            <w:noWrap/>
            <w:vAlign w:val="center"/>
            <w:hideMark/>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2017</w:t>
            </w:r>
          </w:p>
        </w:tc>
        <w:tc>
          <w:tcPr>
            <w:tcW w:w="1660" w:type="dxa"/>
            <w:gridSpan w:val="2"/>
            <w:tcBorders>
              <w:top w:val="double" w:sz="6" w:space="0" w:color="auto"/>
              <w:left w:val="nil"/>
              <w:bottom w:val="double" w:sz="6" w:space="0" w:color="auto"/>
              <w:right w:val="double" w:sz="6" w:space="0" w:color="000000"/>
            </w:tcBorders>
            <w:shd w:val="clear" w:color="auto" w:fill="auto"/>
            <w:noWrap/>
            <w:vAlign w:val="center"/>
            <w:hideMark/>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2018</w:t>
            </w:r>
          </w:p>
        </w:tc>
        <w:tc>
          <w:tcPr>
            <w:tcW w:w="1782" w:type="dxa"/>
            <w:gridSpan w:val="2"/>
            <w:tcBorders>
              <w:top w:val="double" w:sz="6" w:space="0" w:color="auto"/>
              <w:left w:val="nil"/>
              <w:bottom w:val="double" w:sz="6" w:space="0" w:color="auto"/>
              <w:right w:val="double" w:sz="6" w:space="0" w:color="000000"/>
            </w:tcBorders>
            <w:vAlign w:val="center"/>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2019</w:t>
            </w:r>
          </w:p>
        </w:tc>
        <w:tc>
          <w:tcPr>
            <w:tcW w:w="1539" w:type="dxa"/>
            <w:gridSpan w:val="2"/>
            <w:tcBorders>
              <w:top w:val="double" w:sz="6" w:space="0" w:color="auto"/>
              <w:left w:val="nil"/>
              <w:bottom w:val="double" w:sz="6" w:space="0" w:color="auto"/>
              <w:right w:val="double" w:sz="6" w:space="0" w:color="000000"/>
            </w:tcBorders>
            <w:vAlign w:val="center"/>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2020</w:t>
            </w:r>
          </w:p>
        </w:tc>
      </w:tr>
      <w:tr>
        <w:trPr>
          <w:cantSplit/>
          <w:trHeight w:val="1134"/>
        </w:trPr>
        <w:tc>
          <w:tcPr>
            <w:tcW w:w="851" w:type="dxa"/>
            <w:tcBorders>
              <w:top w:val="nil"/>
              <w:left w:val="double" w:sz="4" w:space="0" w:color="auto"/>
              <w:bottom w:val="double" w:sz="4" w:space="0" w:color="auto"/>
              <w:right w:val="double" w:sz="4"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 xml:space="preserve"> </w:t>
            </w:r>
          </w:p>
        </w:tc>
        <w:tc>
          <w:tcPr>
            <w:tcW w:w="850" w:type="dxa"/>
            <w:tcBorders>
              <w:top w:val="nil"/>
              <w:left w:val="double" w:sz="4" w:space="0" w:color="auto"/>
              <w:bottom w:val="double" w:sz="6" w:space="0" w:color="auto"/>
              <w:right w:val="double" w:sz="6" w:space="0" w:color="auto"/>
            </w:tcBorders>
            <w:shd w:val="clear" w:color="auto" w:fill="auto"/>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Ġenerali (irkantijiet bikrija)</w:t>
            </w:r>
          </w:p>
        </w:tc>
        <w:tc>
          <w:tcPr>
            <w:tcW w:w="851" w:type="dxa"/>
            <w:tcBorders>
              <w:top w:val="nil"/>
              <w:left w:val="nil"/>
              <w:bottom w:val="double" w:sz="6" w:space="0" w:color="auto"/>
              <w:right w:val="double" w:sz="6" w:space="0" w:color="auto"/>
            </w:tcBorders>
            <w:shd w:val="clear" w:color="auto" w:fill="auto"/>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Avjazzjoni (irkantijiet bikrija)</w:t>
            </w:r>
          </w:p>
        </w:tc>
        <w:tc>
          <w:tcPr>
            <w:tcW w:w="832" w:type="dxa"/>
            <w:tcBorders>
              <w:top w:val="nil"/>
              <w:left w:val="nil"/>
              <w:bottom w:val="double" w:sz="6" w:space="0" w:color="auto"/>
              <w:right w:val="double" w:sz="6" w:space="0" w:color="auto"/>
            </w:tcBorders>
            <w:shd w:val="clear" w:color="auto" w:fill="auto"/>
            <w:noWrap/>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Ġenerali</w:t>
            </w:r>
          </w:p>
        </w:tc>
        <w:tc>
          <w:tcPr>
            <w:tcW w:w="727" w:type="dxa"/>
            <w:tcBorders>
              <w:top w:val="nil"/>
              <w:left w:val="nil"/>
              <w:bottom w:val="double" w:sz="6" w:space="0" w:color="auto"/>
              <w:right w:val="double" w:sz="6" w:space="0" w:color="auto"/>
            </w:tcBorders>
            <w:shd w:val="clear" w:color="auto" w:fill="auto"/>
            <w:noWrap/>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Avjazzjoni</w:t>
            </w:r>
          </w:p>
        </w:tc>
        <w:tc>
          <w:tcPr>
            <w:tcW w:w="851" w:type="dxa"/>
            <w:tcBorders>
              <w:top w:val="nil"/>
              <w:left w:val="nil"/>
              <w:bottom w:val="double" w:sz="6" w:space="0" w:color="auto"/>
              <w:right w:val="double" w:sz="6" w:space="0" w:color="auto"/>
            </w:tcBorders>
            <w:shd w:val="clear" w:color="auto" w:fill="auto"/>
            <w:noWrap/>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Ġenerali</w:t>
            </w:r>
          </w:p>
        </w:tc>
        <w:tc>
          <w:tcPr>
            <w:tcW w:w="708" w:type="dxa"/>
            <w:tcBorders>
              <w:top w:val="nil"/>
              <w:left w:val="nil"/>
              <w:bottom w:val="double" w:sz="6" w:space="0" w:color="auto"/>
              <w:right w:val="double" w:sz="6" w:space="0" w:color="auto"/>
            </w:tcBorders>
            <w:shd w:val="clear" w:color="auto" w:fill="auto"/>
            <w:noWrap/>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Avjazzjoni</w:t>
            </w:r>
          </w:p>
        </w:tc>
        <w:tc>
          <w:tcPr>
            <w:tcW w:w="842" w:type="dxa"/>
            <w:tcBorders>
              <w:top w:val="nil"/>
              <w:left w:val="nil"/>
              <w:bottom w:val="double" w:sz="6" w:space="0" w:color="auto"/>
              <w:right w:val="double" w:sz="6" w:space="0" w:color="auto"/>
            </w:tcBorders>
            <w:shd w:val="clear" w:color="auto" w:fill="auto"/>
            <w:noWrap/>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Ġenerali</w:t>
            </w:r>
          </w:p>
        </w:tc>
        <w:tc>
          <w:tcPr>
            <w:tcW w:w="801" w:type="dxa"/>
            <w:tcBorders>
              <w:top w:val="nil"/>
              <w:left w:val="nil"/>
              <w:bottom w:val="double" w:sz="6" w:space="0" w:color="auto"/>
              <w:right w:val="double" w:sz="6" w:space="0" w:color="auto"/>
            </w:tcBorders>
            <w:shd w:val="clear" w:color="auto" w:fill="auto"/>
            <w:noWrap/>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Avjazzjoni</w:t>
            </w:r>
          </w:p>
        </w:tc>
        <w:tc>
          <w:tcPr>
            <w:tcW w:w="898" w:type="dxa"/>
            <w:tcBorders>
              <w:top w:val="nil"/>
              <w:left w:val="nil"/>
              <w:bottom w:val="double" w:sz="6" w:space="0" w:color="auto"/>
              <w:right w:val="double" w:sz="6" w:space="0" w:color="auto"/>
            </w:tcBorders>
            <w:shd w:val="clear" w:color="auto" w:fill="auto"/>
            <w:noWrap/>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Ġenerali</w:t>
            </w:r>
          </w:p>
        </w:tc>
        <w:tc>
          <w:tcPr>
            <w:tcW w:w="711" w:type="dxa"/>
            <w:tcBorders>
              <w:top w:val="nil"/>
              <w:left w:val="nil"/>
              <w:bottom w:val="double" w:sz="6" w:space="0" w:color="auto"/>
              <w:right w:val="double" w:sz="6" w:space="0" w:color="auto"/>
            </w:tcBorders>
            <w:shd w:val="clear" w:color="auto" w:fill="auto"/>
            <w:noWrap/>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Avjazzjoni</w:t>
            </w:r>
          </w:p>
        </w:tc>
        <w:tc>
          <w:tcPr>
            <w:tcW w:w="898" w:type="dxa"/>
            <w:tcBorders>
              <w:top w:val="nil"/>
              <w:left w:val="nil"/>
              <w:bottom w:val="double" w:sz="6" w:space="0" w:color="auto"/>
              <w:right w:val="double" w:sz="6" w:space="0" w:color="auto"/>
            </w:tcBorders>
            <w:shd w:val="clear" w:color="auto" w:fill="auto"/>
            <w:noWrap/>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Ġenerali</w:t>
            </w:r>
          </w:p>
        </w:tc>
        <w:tc>
          <w:tcPr>
            <w:tcW w:w="711" w:type="dxa"/>
            <w:tcBorders>
              <w:top w:val="nil"/>
              <w:left w:val="nil"/>
              <w:bottom w:val="double" w:sz="6" w:space="0" w:color="auto"/>
              <w:right w:val="double" w:sz="6" w:space="0" w:color="auto"/>
            </w:tcBorders>
            <w:shd w:val="clear" w:color="auto" w:fill="auto"/>
            <w:noWrap/>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Avjazzjoni</w:t>
            </w:r>
          </w:p>
        </w:tc>
        <w:tc>
          <w:tcPr>
            <w:tcW w:w="981" w:type="dxa"/>
            <w:tcBorders>
              <w:top w:val="nil"/>
              <w:left w:val="nil"/>
              <w:bottom w:val="double" w:sz="6" w:space="0" w:color="auto"/>
              <w:right w:val="double" w:sz="6" w:space="0" w:color="auto"/>
            </w:tcBorders>
            <w:shd w:val="clear" w:color="auto" w:fill="auto"/>
            <w:noWrap/>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Ġenerali</w:t>
            </w:r>
          </w:p>
        </w:tc>
        <w:tc>
          <w:tcPr>
            <w:tcW w:w="679" w:type="dxa"/>
            <w:tcBorders>
              <w:top w:val="nil"/>
              <w:left w:val="nil"/>
              <w:bottom w:val="double" w:sz="6" w:space="0" w:color="auto"/>
              <w:right w:val="double" w:sz="6" w:space="0" w:color="auto"/>
            </w:tcBorders>
            <w:shd w:val="clear" w:color="auto" w:fill="auto"/>
            <w:noWrap/>
            <w:textDirection w:val="btLr"/>
            <w:vAlign w:val="center"/>
            <w:hideMark/>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Avjazzjoni</w:t>
            </w:r>
          </w:p>
        </w:tc>
        <w:tc>
          <w:tcPr>
            <w:tcW w:w="981" w:type="dxa"/>
            <w:tcBorders>
              <w:top w:val="nil"/>
              <w:left w:val="nil"/>
              <w:bottom w:val="double" w:sz="4" w:space="0" w:color="auto"/>
              <w:right w:val="double" w:sz="6" w:space="0" w:color="auto"/>
            </w:tcBorders>
            <w:textDirection w:val="btLr"/>
            <w:vAlign w:val="center"/>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Ġenerali</w:t>
            </w:r>
          </w:p>
        </w:tc>
        <w:tc>
          <w:tcPr>
            <w:tcW w:w="801" w:type="dxa"/>
            <w:tcBorders>
              <w:top w:val="nil"/>
              <w:left w:val="nil"/>
              <w:bottom w:val="double" w:sz="4" w:space="0" w:color="auto"/>
              <w:right w:val="double" w:sz="6" w:space="0" w:color="auto"/>
            </w:tcBorders>
            <w:textDirection w:val="btLr"/>
            <w:vAlign w:val="center"/>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Avjazzjoni</w:t>
            </w:r>
          </w:p>
        </w:tc>
        <w:tc>
          <w:tcPr>
            <w:tcW w:w="837" w:type="dxa"/>
            <w:tcBorders>
              <w:top w:val="nil"/>
              <w:left w:val="nil"/>
              <w:bottom w:val="double" w:sz="4" w:space="0" w:color="auto"/>
              <w:right w:val="double" w:sz="6" w:space="0" w:color="auto"/>
            </w:tcBorders>
            <w:textDirection w:val="btLr"/>
            <w:vAlign w:val="center"/>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Ġenerali</w:t>
            </w:r>
          </w:p>
        </w:tc>
        <w:tc>
          <w:tcPr>
            <w:tcW w:w="713" w:type="dxa"/>
            <w:gridSpan w:val="2"/>
            <w:tcBorders>
              <w:top w:val="nil"/>
              <w:left w:val="nil"/>
              <w:bottom w:val="double" w:sz="4" w:space="0" w:color="auto"/>
              <w:right w:val="double" w:sz="6" w:space="0" w:color="auto"/>
            </w:tcBorders>
            <w:textDirection w:val="btLr"/>
            <w:vAlign w:val="center"/>
          </w:tcPr>
          <w:p>
            <w:pPr>
              <w:spacing w:after="0" w:line="240" w:lineRule="auto"/>
              <w:ind w:left="113" w:right="113"/>
              <w:jc w:val="center"/>
              <w:rPr>
                <w:rFonts w:ascii="Times New Roman" w:eastAsia="Times New Roman" w:hAnsi="Times New Roman"/>
                <w:b/>
                <w:noProof/>
                <w:color w:val="000000"/>
                <w:sz w:val="18"/>
                <w:szCs w:val="18"/>
              </w:rPr>
            </w:pPr>
            <w:r>
              <w:rPr>
                <w:rFonts w:ascii="Times New Roman" w:hAnsi="Times New Roman"/>
                <w:b/>
                <w:noProof/>
                <w:color w:val="000000"/>
                <w:sz w:val="18"/>
                <w:szCs w:val="18"/>
              </w:rPr>
              <w:t>Avjazzjoni</w:t>
            </w:r>
          </w:p>
        </w:tc>
      </w:tr>
      <w:tr>
        <w:trPr>
          <w:trHeight w:val="315"/>
        </w:trPr>
        <w:tc>
          <w:tcPr>
            <w:tcW w:w="851" w:type="dxa"/>
            <w:tcBorders>
              <w:top w:val="double" w:sz="4" w:space="0" w:color="auto"/>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AT</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11,05</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55,75</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52,17</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1,18</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76,24</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2,36</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58,81</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0,65</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78,74</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0,69</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208,20</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2,16</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180,94</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2,89</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82,07</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1,50</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BE</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114,99</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95,03</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2,05</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138,96</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2,69</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107,14</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0,74</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143,52</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0,79</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379,00</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2,47</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353,47</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3,30</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160,28</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1,70</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BG</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22,14</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52,63</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36,19</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0,22</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120,91</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0,91</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85,08</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0,25</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130,15</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0,27</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367,34</w:t>
            </w:r>
          </w:p>
        </w:tc>
        <w:tc>
          <w:tcPr>
            <w:tcW w:w="679" w:type="dxa"/>
            <w:tcBorders>
              <w:top w:val="nil"/>
              <w:left w:val="nil"/>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0,83</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439,19</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1,11</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205,96</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0,58</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CY</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1,58</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0,35</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0,43</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0,30</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1,42</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0,39</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6,15</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0,41</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 xml:space="preserve">24,66 </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1,30</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24,4</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1,74</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17,03</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0,91</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HR</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86,40</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0,49</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20,09</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0,16</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26,97</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0,18</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70,96</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0,55</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71,97</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0,74</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32,52</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0,37</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CZ</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55,24</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0,47</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110,30</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1,20</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117,63</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0,33</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199,43</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0,35</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 xml:space="preserve">583,33 </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1,10</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628,94</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1,46</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329,84</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0,75</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DE</w:t>
            </w:r>
          </w:p>
        </w:tc>
        <w:tc>
          <w:tcPr>
            <w:tcW w:w="850"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166,18</w:t>
            </w:r>
          </w:p>
        </w:tc>
        <w:tc>
          <w:tcPr>
            <w:tcW w:w="851"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17,52</w:t>
            </w:r>
          </w:p>
        </w:tc>
        <w:tc>
          <w:tcPr>
            <w:tcW w:w="832"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791,25</w:t>
            </w:r>
          </w:p>
        </w:tc>
        <w:tc>
          <w:tcPr>
            <w:tcW w:w="727"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749,97</w:t>
            </w:r>
          </w:p>
        </w:tc>
        <w:tc>
          <w:tcPr>
            <w:tcW w:w="708"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42"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1093,31</w:t>
            </w:r>
          </w:p>
        </w:tc>
        <w:tc>
          <w:tcPr>
            <w:tcW w:w="801"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16,87</w:t>
            </w:r>
          </w:p>
        </w:tc>
        <w:tc>
          <w:tcPr>
            <w:tcW w:w="898"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845,74</w:t>
            </w:r>
          </w:p>
        </w:tc>
        <w:tc>
          <w:tcPr>
            <w:tcW w:w="711"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4,65</w:t>
            </w:r>
          </w:p>
        </w:tc>
        <w:tc>
          <w:tcPr>
            <w:tcW w:w="898"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1141,74</w:t>
            </w:r>
          </w:p>
        </w:tc>
        <w:tc>
          <w:tcPr>
            <w:tcW w:w="711"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5,07</w:t>
            </w:r>
          </w:p>
        </w:tc>
        <w:tc>
          <w:tcPr>
            <w:tcW w:w="981" w:type="dxa"/>
            <w:tcBorders>
              <w:top w:val="nil"/>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2565,34</w:t>
            </w:r>
          </w:p>
        </w:tc>
        <w:tc>
          <w:tcPr>
            <w:tcW w:w="679" w:type="dxa"/>
            <w:tcBorders>
              <w:top w:val="nil"/>
              <w:left w:val="nil"/>
              <w:bottom w:val="double" w:sz="6" w:space="0" w:color="auto"/>
              <w:right w:val="double" w:sz="4" w:space="0" w:color="auto"/>
            </w:tcBorders>
            <w:shd w:val="clear" w:color="auto" w:fill="auto"/>
            <w:noWrap/>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16,31</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3146,14</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17,89</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1149,91</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DK</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1,07</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56,06</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46,93</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1,16</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68,64</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2,71</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52,93</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0,74</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70,93</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0,79</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187,32</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2,48</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162,78</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3,31</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73,56</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1,70</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EE</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18,07</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7,41</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0,04</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21,13</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0,15</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23,57</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0,04</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39,31</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0,05</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139,89</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0,14</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142,65</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0,20</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65,81</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0,08</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EL</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14,84</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147,64</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129,97</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1,10</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190,17</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4,99</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146,68</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1,37</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196,57</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1,46</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518,96</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4,57</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503,34</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6,11</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229,19</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3,16</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ES</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68,53</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346,11</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323,53</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6,56</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473,20</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16,32</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364,97</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4,48</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488,78</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4,77</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1291,07</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14,97</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1225,22</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19,97</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555,93</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10,31</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FI</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13,28</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66,97</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62,68</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0,81</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91,64</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2,13</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70,63</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0,58</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94,64</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0,62</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249,84</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1,96</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217,35</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2,60</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98,33</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1,33</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FR</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43,46</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219,25</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205,29</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10,05</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299,94</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12,18</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231,34</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3,35</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309,85</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3,55</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818,40</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11,16</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711,64</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14,89</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322,10</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7,69</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HU</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3,99</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34,59</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56,21</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0,29</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82,28</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0,99</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63,43</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0,27</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84,94</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0,29</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224,48</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0,91</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226,8</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1,21</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102,98</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0,62</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IE</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41,68</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35,11</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0,87</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51,32</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2,15</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39,54</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0,59</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52,93</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0,63</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140,10</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1,97</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121,64</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2,62</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54,97</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1,37</w:t>
            </w:r>
          </w:p>
        </w:tc>
      </w:tr>
      <w:tr>
        <w:trPr>
          <w:trHeight w:val="315"/>
        </w:trPr>
        <w:tc>
          <w:tcPr>
            <w:tcW w:w="851" w:type="dxa"/>
            <w:tcBorders>
              <w:top w:val="nil"/>
              <w:left w:val="double" w:sz="6" w:space="0" w:color="auto"/>
              <w:bottom w:val="double" w:sz="4"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IT</w:t>
            </w:r>
          </w:p>
        </w:tc>
        <w:tc>
          <w:tcPr>
            <w:tcW w:w="850"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76,50</w:t>
            </w:r>
          </w:p>
        </w:tc>
        <w:tc>
          <w:tcPr>
            <w:tcW w:w="851"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385,98</w:t>
            </w:r>
          </w:p>
        </w:tc>
        <w:tc>
          <w:tcPr>
            <w:tcW w:w="727"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361,25</w:t>
            </w:r>
          </w:p>
        </w:tc>
        <w:tc>
          <w:tcPr>
            <w:tcW w:w="708"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5,24</w:t>
            </w:r>
          </w:p>
        </w:tc>
        <w:tc>
          <w:tcPr>
            <w:tcW w:w="842"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528,00</w:t>
            </w:r>
          </w:p>
        </w:tc>
        <w:tc>
          <w:tcPr>
            <w:tcW w:w="801"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14,41</w:t>
            </w:r>
          </w:p>
        </w:tc>
        <w:tc>
          <w:tcPr>
            <w:tcW w:w="898"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407,23</w:t>
            </w:r>
          </w:p>
        </w:tc>
        <w:tc>
          <w:tcPr>
            <w:tcW w:w="711"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3,96</w:t>
            </w:r>
          </w:p>
        </w:tc>
        <w:tc>
          <w:tcPr>
            <w:tcW w:w="898"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545,44</w:t>
            </w:r>
          </w:p>
        </w:tc>
        <w:tc>
          <w:tcPr>
            <w:tcW w:w="711"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4,21</w:t>
            </w:r>
          </w:p>
        </w:tc>
        <w:tc>
          <w:tcPr>
            <w:tcW w:w="981" w:type="dxa"/>
            <w:tcBorders>
              <w:top w:val="nil"/>
              <w:left w:val="nil"/>
              <w:bottom w:val="double" w:sz="4"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1440,10</w:t>
            </w:r>
          </w:p>
        </w:tc>
        <w:tc>
          <w:tcPr>
            <w:tcW w:w="679" w:type="dxa"/>
            <w:tcBorders>
              <w:top w:val="nil"/>
              <w:left w:val="nil"/>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13,22</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1271,35</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17,64</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576,06</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9,11</w:t>
            </w:r>
          </w:p>
        </w:tc>
      </w:tr>
      <w:tr>
        <w:trPr>
          <w:trHeight w:val="315"/>
        </w:trPr>
        <w:tc>
          <w:tcPr>
            <w:tcW w:w="851"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LT</w:t>
            </w:r>
          </w:p>
        </w:tc>
        <w:tc>
          <w:tcPr>
            <w:tcW w:w="850"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3,29</w:t>
            </w:r>
          </w:p>
        </w:tc>
        <w:tc>
          <w:tcPr>
            <w:tcW w:w="851"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19,98</w:t>
            </w:r>
          </w:p>
        </w:tc>
        <w:tc>
          <w:tcPr>
            <w:tcW w:w="727"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17,28</w:t>
            </w:r>
          </w:p>
        </w:tc>
        <w:tc>
          <w:tcPr>
            <w:tcW w:w="708"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0,06</w:t>
            </w:r>
          </w:p>
        </w:tc>
        <w:tc>
          <w:tcPr>
            <w:tcW w:w="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28,13</w:t>
            </w:r>
          </w:p>
        </w:tc>
        <w:tc>
          <w:tcPr>
            <w:tcW w:w="801"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0,29</w:t>
            </w:r>
          </w:p>
        </w:tc>
        <w:tc>
          <w:tcPr>
            <w:tcW w:w="898"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20,76</w:t>
            </w:r>
          </w:p>
        </w:tc>
        <w:tc>
          <w:tcPr>
            <w:tcW w:w="711"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0,08</w:t>
            </w:r>
          </w:p>
        </w:tc>
        <w:tc>
          <w:tcPr>
            <w:tcW w:w="898"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31,43</w:t>
            </w:r>
          </w:p>
        </w:tc>
        <w:tc>
          <w:tcPr>
            <w:tcW w:w="711"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0,09</w:t>
            </w:r>
          </w:p>
        </w:tc>
        <w:tc>
          <w:tcPr>
            <w:tcW w:w="981"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80,11</w:t>
            </w:r>
          </w:p>
        </w:tc>
        <w:tc>
          <w:tcPr>
            <w:tcW w:w="679"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0,25</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83,69</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0,35</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39,49</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0,17</w:t>
            </w:r>
          </w:p>
        </w:tc>
      </w:tr>
      <w:tr>
        <w:trPr>
          <w:trHeight w:val="315"/>
        </w:trPr>
        <w:tc>
          <w:tcPr>
            <w:tcW w:w="851" w:type="dxa"/>
            <w:tcBorders>
              <w:top w:val="double" w:sz="4" w:space="0" w:color="auto"/>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LU</w:t>
            </w:r>
          </w:p>
        </w:tc>
        <w:tc>
          <w:tcPr>
            <w:tcW w:w="850"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0,74</w:t>
            </w:r>
          </w:p>
        </w:tc>
        <w:tc>
          <w:tcPr>
            <w:tcW w:w="851"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4,97</w:t>
            </w:r>
          </w:p>
        </w:tc>
        <w:tc>
          <w:tcPr>
            <w:tcW w:w="727"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4,52</w:t>
            </w:r>
          </w:p>
        </w:tc>
        <w:tc>
          <w:tcPr>
            <w:tcW w:w="708"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0,63</w:t>
            </w:r>
          </w:p>
        </w:tc>
        <w:tc>
          <w:tcPr>
            <w:tcW w:w="842"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6,62</w:t>
            </w:r>
          </w:p>
        </w:tc>
        <w:tc>
          <w:tcPr>
            <w:tcW w:w="801"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0,22</w:t>
            </w:r>
          </w:p>
        </w:tc>
        <w:tc>
          <w:tcPr>
            <w:tcW w:w="898"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5,08</w:t>
            </w:r>
          </w:p>
        </w:tc>
        <w:tc>
          <w:tcPr>
            <w:tcW w:w="711"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0,06</w:t>
            </w:r>
          </w:p>
        </w:tc>
        <w:tc>
          <w:tcPr>
            <w:tcW w:w="898"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6,81</w:t>
            </w:r>
          </w:p>
        </w:tc>
        <w:tc>
          <w:tcPr>
            <w:tcW w:w="711"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0,07</w:t>
            </w:r>
          </w:p>
        </w:tc>
        <w:tc>
          <w:tcPr>
            <w:tcW w:w="981" w:type="dxa"/>
            <w:tcBorders>
              <w:top w:val="double" w:sz="4"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18,09</w:t>
            </w:r>
          </w:p>
        </w:tc>
        <w:tc>
          <w:tcPr>
            <w:tcW w:w="679" w:type="dxa"/>
            <w:tcBorders>
              <w:top w:val="double" w:sz="4" w:space="0" w:color="auto"/>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Cs/>
                <w:noProof/>
                <w:color w:val="000000"/>
                <w:sz w:val="18"/>
                <w:szCs w:val="18"/>
              </w:rPr>
            </w:pPr>
            <w:r>
              <w:rPr>
                <w:rFonts w:ascii="Times New Roman" w:hAnsi="Times New Roman"/>
                <w:bCs/>
                <w:noProof/>
                <w:color w:val="000000"/>
                <w:sz w:val="18"/>
                <w:szCs w:val="18"/>
              </w:rPr>
              <w:t>0,20</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noProof/>
                <w:color w:val="000000"/>
                <w:sz w:val="18"/>
                <w:szCs w:val="18"/>
              </w:rPr>
              <w:t>16,79</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noProof/>
                <w:color w:val="000000"/>
                <w:sz w:val="18"/>
                <w:szCs w:val="18"/>
              </w:rPr>
              <w:t>0,28</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7,74</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0,17</w:t>
            </w:r>
          </w:p>
        </w:tc>
      </w:tr>
      <w:tr>
        <w:trPr>
          <w:trHeight w:val="315"/>
        </w:trPr>
        <w:tc>
          <w:tcPr>
            <w:tcW w:w="851"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LV</w:t>
            </w:r>
          </w:p>
        </w:tc>
        <w:tc>
          <w:tcPr>
            <w:tcW w:w="850"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2,13</w:t>
            </w:r>
          </w:p>
        </w:tc>
        <w:tc>
          <w:tcPr>
            <w:tcW w:w="851"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10,79</w:t>
            </w:r>
          </w:p>
        </w:tc>
        <w:tc>
          <w:tcPr>
            <w:tcW w:w="727"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10,08</w:t>
            </w:r>
          </w:p>
        </w:tc>
        <w:tc>
          <w:tcPr>
            <w:tcW w:w="708"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0,14</w:t>
            </w:r>
          </w:p>
        </w:tc>
        <w:tc>
          <w:tcPr>
            <w:tcW w:w="842"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14,76</w:t>
            </w:r>
          </w:p>
        </w:tc>
        <w:tc>
          <w:tcPr>
            <w:tcW w:w="801"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0,53</w:t>
            </w:r>
          </w:p>
        </w:tc>
        <w:tc>
          <w:tcPr>
            <w:tcW w:w="898"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11,36</w:t>
            </w:r>
          </w:p>
        </w:tc>
        <w:tc>
          <w:tcPr>
            <w:tcW w:w="711"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0,15</w:t>
            </w:r>
          </w:p>
        </w:tc>
        <w:tc>
          <w:tcPr>
            <w:tcW w:w="898"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15,24</w:t>
            </w:r>
          </w:p>
        </w:tc>
        <w:tc>
          <w:tcPr>
            <w:tcW w:w="711"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0,15</w:t>
            </w:r>
          </w:p>
        </w:tc>
        <w:tc>
          <w:tcPr>
            <w:tcW w:w="981" w:type="dxa"/>
            <w:tcBorders>
              <w:top w:val="double" w:sz="6" w:space="0" w:color="auto"/>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40,20</w:t>
            </w:r>
          </w:p>
        </w:tc>
        <w:tc>
          <w:tcPr>
            <w:tcW w:w="679" w:type="dxa"/>
            <w:tcBorders>
              <w:top w:val="double" w:sz="6" w:space="0" w:color="auto"/>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0,49</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41,92</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0,66</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18,58</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0,33</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MT</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0,27</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4,47</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3,81</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0,10</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5,62</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0,57</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4,30</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0,16</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5,78</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0,17</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15,19</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0,52</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15,21</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0,71</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6,97</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0,37</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NL</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25,61</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134,24</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125,63</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5,47</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183,57</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3,68</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141,59</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1,01</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189,63</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1,07</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500,84</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3,37</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435,64</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4,50</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197,44</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2,33</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PL</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244,02</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78,01</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129,84</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2,98</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135,57</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0,58</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505,31</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0,69</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1209,98</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1,59</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2545,94</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2,89</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1384,13</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4,38</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PT</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10,65</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72,78</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65,82</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1,27</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96,32</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2,89</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74,29</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0,79</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99,50</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0,85</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262,96</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2,65</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253,58</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3,53</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115,37</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1,83</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RO</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39,71</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122,74</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97,57</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0,32</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193,62</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1,60</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193,56</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0,44</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260,29</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0,47</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717,64</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1,45</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747,87</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1,95</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369,33</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1,00</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SE</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7,07</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35,67</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33,34</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1,02</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48,79</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3,63</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37,61</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1,00</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50,45</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1,06</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132,98</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3,34</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124,1</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4,43</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56,52</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2,29</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SI</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3,51</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17,74</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16,59</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0,05</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24,28</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0,14</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18,70</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0,04</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25,05</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0,04</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66,19</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0,12</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65,14</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0,16</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29,42</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0,08</w:t>
            </w:r>
          </w:p>
        </w:tc>
      </w:tr>
      <w:tr>
        <w:trPr>
          <w:trHeight w:val="315"/>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SK</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12,19</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61,70</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57,59</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0,04</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84,31</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0,20</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64,99</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0,06</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87,01</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0,06</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229,74</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0,18</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244,47</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0,24</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111,50</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0,12</w:t>
            </w:r>
          </w:p>
        </w:tc>
      </w:tr>
      <w:tr>
        <w:trPr>
          <w:trHeight w:val="373"/>
        </w:trPr>
        <w:tc>
          <w:tcPr>
            <w:tcW w:w="851" w:type="dxa"/>
            <w:tcBorders>
              <w:top w:val="nil"/>
              <w:left w:val="double" w:sz="6" w:space="0" w:color="auto"/>
              <w:bottom w:val="double" w:sz="6" w:space="0" w:color="auto"/>
              <w:right w:val="double" w:sz="6" w:space="0" w:color="auto"/>
            </w:tcBorders>
            <w:shd w:val="clear" w:color="auto" w:fill="auto"/>
            <w:noWrap/>
            <w:vAlign w:val="bottom"/>
            <w:hideMark/>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Ir-Renju Unit</w:t>
            </w:r>
          </w:p>
        </w:tc>
        <w:tc>
          <w:tcPr>
            <w:tcW w:w="850"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75,74</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3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409,63</w:t>
            </w:r>
          </w:p>
        </w:tc>
        <w:tc>
          <w:tcPr>
            <w:tcW w:w="727"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85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387,42</w:t>
            </w:r>
          </w:p>
        </w:tc>
        <w:tc>
          <w:tcPr>
            <w:tcW w:w="70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14,08</w:t>
            </w:r>
          </w:p>
        </w:tc>
        <w:tc>
          <w:tcPr>
            <w:tcW w:w="842"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567,72</w:t>
            </w:r>
          </w:p>
        </w:tc>
        <w:tc>
          <w:tcPr>
            <w:tcW w:w="80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18,54</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418,96</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5,37</w:t>
            </w:r>
          </w:p>
        </w:tc>
        <w:tc>
          <w:tcPr>
            <w:tcW w:w="898"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604,02</w:t>
            </w:r>
          </w:p>
        </w:tc>
        <w:tc>
          <w:tcPr>
            <w:tcW w:w="71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5,30</w:t>
            </w:r>
          </w:p>
        </w:tc>
        <w:tc>
          <w:tcPr>
            <w:tcW w:w="981" w:type="dxa"/>
            <w:tcBorders>
              <w:top w:val="nil"/>
              <w:left w:val="nil"/>
              <w:bottom w:val="double" w:sz="6" w:space="0" w:color="auto"/>
              <w:right w:val="double" w:sz="6"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1607,32</w:t>
            </w:r>
          </w:p>
        </w:tc>
        <w:tc>
          <w:tcPr>
            <w:tcW w:w="679" w:type="dxa"/>
            <w:tcBorders>
              <w:top w:val="nil"/>
              <w:left w:val="nil"/>
              <w:bottom w:val="double" w:sz="6"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0,00</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1043,32</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szCs w:val="18"/>
              </w:rPr>
              <w:t>0,83</w:t>
            </w:r>
          </w:p>
        </w:tc>
      </w:tr>
      <w:tr>
        <w:trPr>
          <w:trHeight w:val="315"/>
        </w:trPr>
        <w:tc>
          <w:tcPr>
            <w:tcW w:w="851" w:type="dxa"/>
            <w:tcBorders>
              <w:top w:val="double" w:sz="4" w:space="0" w:color="auto"/>
              <w:left w:val="double" w:sz="6" w:space="0" w:color="auto"/>
              <w:bottom w:val="double" w:sz="6" w:space="0" w:color="auto"/>
              <w:right w:val="double" w:sz="6" w:space="0" w:color="auto"/>
            </w:tcBorders>
            <w:shd w:val="clear" w:color="auto" w:fill="auto"/>
            <w:noWrap/>
            <w:vAlign w:val="bottom"/>
          </w:tcPr>
          <w:p>
            <w:pPr>
              <w:spacing w:after="0" w:line="240" w:lineRule="auto"/>
              <w:ind w:right="-265"/>
              <w:rPr>
                <w:rFonts w:ascii="Times New Roman" w:eastAsia="Times New Roman" w:hAnsi="Times New Roman"/>
                <w:b/>
                <w:bCs/>
                <w:noProof/>
                <w:color w:val="000000"/>
                <w:sz w:val="20"/>
                <w:szCs w:val="20"/>
              </w:rPr>
            </w:pPr>
            <w:r>
              <w:rPr>
                <w:rFonts w:ascii="Times New Roman" w:hAnsi="Times New Roman"/>
                <w:b/>
                <w:bCs/>
                <w:noProof/>
                <w:color w:val="000000"/>
                <w:sz w:val="20"/>
                <w:szCs w:val="20"/>
              </w:rPr>
              <w:t>TOTAL</w:t>
            </w:r>
          </w:p>
        </w:tc>
        <w:tc>
          <w:tcPr>
            <w:tcW w:w="850"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603,52</w:t>
            </w:r>
          </w:p>
        </w:tc>
        <w:tc>
          <w:tcPr>
            <w:tcW w:w="851"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17,53</w:t>
            </w:r>
          </w:p>
        </w:tc>
        <w:tc>
          <w:tcPr>
            <w:tcW w:w="832"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3550,73</w:t>
            </w:r>
          </w:p>
        </w:tc>
        <w:tc>
          <w:tcPr>
            <w:tcW w:w="727"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0,00</w:t>
            </w:r>
          </w:p>
        </w:tc>
        <w:tc>
          <w:tcPr>
            <w:tcW w:w="851"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3115,11</w:t>
            </w:r>
          </w:p>
        </w:tc>
        <w:tc>
          <w:tcPr>
            <w:tcW w:w="708"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53,53</w:t>
            </w:r>
          </w:p>
        </w:tc>
        <w:tc>
          <w:tcPr>
            <w:tcW w:w="842"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4815,97</w:t>
            </w:r>
          </w:p>
        </w:tc>
        <w:tc>
          <w:tcPr>
            <w:tcW w:w="801"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117,26</w:t>
            </w:r>
          </w:p>
        </w:tc>
        <w:tc>
          <w:tcPr>
            <w:tcW w:w="898"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3761,57</w:t>
            </w:r>
          </w:p>
        </w:tc>
        <w:tc>
          <w:tcPr>
            <w:tcW w:w="711"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32,28</w:t>
            </w:r>
          </w:p>
        </w:tc>
        <w:tc>
          <w:tcPr>
            <w:tcW w:w="898"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5490,60</w:t>
            </w:r>
          </w:p>
        </w:tc>
        <w:tc>
          <w:tcPr>
            <w:tcW w:w="711"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34,14</w:t>
            </w:r>
          </w:p>
        </w:tc>
        <w:tc>
          <w:tcPr>
            <w:tcW w:w="981" w:type="dxa"/>
            <w:tcBorders>
              <w:top w:val="double" w:sz="4" w:space="0" w:color="auto"/>
              <w:left w:val="nil"/>
              <w:bottom w:val="double" w:sz="6" w:space="0" w:color="auto"/>
              <w:right w:val="double" w:sz="6"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14090,23</w:t>
            </w:r>
          </w:p>
        </w:tc>
        <w:tc>
          <w:tcPr>
            <w:tcW w:w="679" w:type="dxa"/>
            <w:tcBorders>
              <w:top w:val="double" w:sz="4" w:space="0" w:color="auto"/>
              <w:left w:val="nil"/>
              <w:bottom w:val="double" w:sz="6" w:space="0" w:color="auto"/>
              <w:right w:val="double" w:sz="4" w:space="0" w:color="auto"/>
            </w:tcBorders>
            <w:shd w:val="clear" w:color="auto" w:fill="auto"/>
            <w:noWrap/>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90,27</w:t>
            </w:r>
          </w:p>
        </w:tc>
        <w:tc>
          <w:tcPr>
            <w:tcW w:w="98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bCs/>
                <w:noProof/>
                <w:color w:val="000000"/>
                <w:sz w:val="18"/>
                <w:szCs w:val="18"/>
              </w:rPr>
              <w:t>14002,17</w:t>
            </w:r>
          </w:p>
        </w:tc>
        <w:tc>
          <w:tcPr>
            <w:tcW w:w="801"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bCs/>
                <w:noProof/>
                <w:color w:val="000000"/>
                <w:sz w:val="18"/>
                <w:szCs w:val="18"/>
              </w:rPr>
              <w:t>117,37</w:t>
            </w:r>
          </w:p>
        </w:tc>
        <w:tc>
          <w:tcPr>
            <w:tcW w:w="837" w:type="dxa"/>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7436,36</w:t>
            </w:r>
          </w:p>
        </w:tc>
        <w:tc>
          <w:tcPr>
            <w:tcW w:w="713" w:type="dxa"/>
            <w:gridSpan w:val="2"/>
            <w:tcBorders>
              <w:top w:val="double" w:sz="4" w:space="0" w:color="auto"/>
              <w:left w:val="double" w:sz="4" w:space="0" w:color="auto"/>
              <w:bottom w:val="double" w:sz="4" w:space="0" w:color="auto"/>
              <w:right w:val="double" w:sz="4" w:space="0" w:color="auto"/>
            </w:tcBorders>
            <w:vAlign w:val="bottom"/>
          </w:tcPr>
          <w:p>
            <w:pPr>
              <w:spacing w:after="0" w:line="240" w:lineRule="auto"/>
              <w:jc w:val="right"/>
              <w:rPr>
                <w:rFonts w:ascii="Times New Roman" w:eastAsia="Times New Roman" w:hAnsi="Times New Roman"/>
                <w:b/>
                <w:noProof/>
                <w:color w:val="000000"/>
                <w:sz w:val="18"/>
                <w:szCs w:val="18"/>
              </w:rPr>
            </w:pPr>
            <w:r>
              <w:rPr>
                <w:rFonts w:ascii="Times New Roman" w:hAnsi="Times New Roman"/>
                <w:b/>
                <w:noProof/>
                <w:color w:val="000000"/>
                <w:sz w:val="18"/>
                <w:szCs w:val="18"/>
              </w:rPr>
              <w:t>55,11</w:t>
            </w:r>
          </w:p>
        </w:tc>
      </w:tr>
    </w:tbl>
    <w:p>
      <w:pPr>
        <w:rPr>
          <w:rFonts w:ascii="Times New Roman" w:hAnsi="Times New Roman"/>
          <w:b/>
          <w:noProof/>
          <w:sz w:val="20"/>
          <w:szCs w:val="20"/>
        </w:rPr>
      </w:pPr>
    </w:p>
    <w:p>
      <w:pPr>
        <w:rPr>
          <w:rFonts w:ascii="Times New Roman" w:hAnsi="Times New Roman"/>
          <w:b/>
          <w:noProof/>
        </w:rPr>
        <w:sectPr>
          <w:headerReference w:type="even" r:id="rId36"/>
          <w:headerReference w:type="default" r:id="rId37"/>
          <w:footerReference w:type="even" r:id="rId38"/>
          <w:footerReference w:type="default" r:id="rId39"/>
          <w:headerReference w:type="first" r:id="rId40"/>
          <w:footerReference w:type="first" r:id="rId41"/>
          <w:pgSz w:w="16838" w:h="11906" w:orient="landscape"/>
          <w:pgMar w:top="1440" w:right="1440" w:bottom="1440" w:left="1440" w:header="709" w:footer="709" w:gutter="0"/>
          <w:cols w:space="720"/>
          <w:docGrid w:linePitch="360"/>
        </w:sectPr>
      </w:pPr>
    </w:p>
    <w:p>
      <w:pPr>
        <w:rPr>
          <w:rFonts w:ascii="Times New Roman" w:hAnsi="Times New Roman"/>
          <w:b/>
          <w:noProof/>
          <w:sz w:val="20"/>
          <w:szCs w:val="20"/>
        </w:rPr>
      </w:pPr>
      <w:r>
        <w:rPr>
          <w:rFonts w:ascii="Times New Roman" w:hAnsi="Times New Roman"/>
          <w:b/>
          <w:noProof/>
          <w:sz w:val="20"/>
          <w:szCs w:val="20"/>
        </w:rPr>
        <w:t>Tabella 2.2: Dħul iġġenerat</w:t>
      </w:r>
      <w:r>
        <w:rPr>
          <w:rFonts w:ascii="Times New Roman" w:hAnsi="Times New Roman"/>
          <w:b/>
          <w:bCs/>
          <w:noProof/>
          <w:color w:val="000000"/>
          <w:sz w:val="20"/>
          <w:szCs w:val="20"/>
        </w:rPr>
        <w:t xml:space="preserve"> mill-irkantar tal-kwoti tal-emissjonijiet</w:t>
      </w:r>
      <w:r>
        <w:rPr>
          <w:rFonts w:ascii="Times New Roman" w:hAnsi="Times New Roman"/>
          <w:b/>
          <w:noProof/>
          <w:sz w:val="20"/>
          <w:szCs w:val="20"/>
        </w:rPr>
        <w:t xml:space="preserve"> mill-pajjiżi taż-ŻEE fil-perjodu 2019 - 30 ta</w:t>
      </w:r>
      <w:r>
        <w:rPr>
          <w:rFonts w:ascii="Times New Roman" w:hAnsi="Times New Roman"/>
          <w:b/>
          <w:bCs/>
          <w:noProof/>
          <w:color w:val="000000"/>
          <w:sz w:val="20"/>
          <w:szCs w:val="20"/>
        </w:rPr>
        <w:t>’ Ġunju 2020 (f’miljuni ta’ EUR)</w:t>
      </w:r>
      <w:r>
        <w:rPr>
          <w:rStyle w:val="FootnoteReference"/>
          <w:rFonts w:ascii="Times New Roman" w:hAnsi="Times New Roman"/>
          <w:b/>
          <w:noProof/>
          <w:sz w:val="20"/>
          <w:szCs w:val="20"/>
        </w:rPr>
        <w:footnoteReference w:id="91"/>
      </w:r>
    </w:p>
    <w:tbl>
      <w:tblPr>
        <w:tblW w:w="5662" w:type="dxa"/>
        <w:tblInd w:w="108" w:type="dxa"/>
        <w:tblLook w:val="04A0" w:firstRow="1" w:lastRow="0" w:firstColumn="1" w:lastColumn="0" w:noHBand="0" w:noVBand="1"/>
      </w:tblPr>
      <w:tblGrid>
        <w:gridCol w:w="917"/>
        <w:gridCol w:w="1190"/>
        <w:gridCol w:w="1138"/>
        <w:gridCol w:w="1144"/>
        <w:gridCol w:w="1273"/>
      </w:tblGrid>
      <w:tr>
        <w:trPr>
          <w:trHeight w:val="283"/>
        </w:trPr>
        <w:tc>
          <w:tcPr>
            <w:tcW w:w="595" w:type="dxa"/>
            <w:vMerge w:val="restart"/>
            <w:tcBorders>
              <w:top w:val="double" w:sz="6" w:space="0" w:color="auto"/>
              <w:left w:val="double" w:sz="6" w:space="0" w:color="auto"/>
              <w:right w:val="double" w:sz="6" w:space="0" w:color="auto"/>
            </w:tcBorders>
            <w:shd w:val="clear" w:color="auto" w:fill="auto"/>
            <w:noWrap/>
            <w:vAlign w:val="center"/>
            <w:hideMark/>
          </w:tcPr>
          <w:p>
            <w:pPr>
              <w:spacing w:after="0" w:line="240" w:lineRule="auto"/>
              <w:jc w:val="center"/>
              <w:rPr>
                <w:rFonts w:ascii="Times New Roman" w:eastAsia="Times New Roman" w:hAnsi="Times New Roman"/>
                <w:noProof/>
                <w:color w:val="000000"/>
                <w:sz w:val="20"/>
                <w:szCs w:val="20"/>
              </w:rPr>
            </w:pPr>
            <w:r>
              <w:rPr>
                <w:rFonts w:ascii="Times New Roman" w:hAnsi="Times New Roman"/>
                <w:noProof/>
                <w:color w:val="000000"/>
                <w:sz w:val="20"/>
                <w:szCs w:val="20"/>
              </w:rPr>
              <w:t xml:space="preserve"> </w:t>
            </w:r>
          </w:p>
          <w:p>
            <w:pPr>
              <w:spacing w:after="0" w:line="240" w:lineRule="auto"/>
              <w:rPr>
                <w:rFonts w:ascii="Times New Roman" w:eastAsia="Times New Roman" w:hAnsi="Times New Roman"/>
                <w:noProof/>
                <w:color w:val="000000"/>
                <w:sz w:val="20"/>
                <w:szCs w:val="20"/>
              </w:rPr>
            </w:pPr>
            <w:r>
              <w:rPr>
                <w:rFonts w:ascii="Times New Roman" w:hAnsi="Times New Roman"/>
                <w:b/>
                <w:bCs/>
                <w:noProof/>
                <w:color w:val="000000"/>
                <w:sz w:val="20"/>
                <w:szCs w:val="20"/>
              </w:rPr>
              <w:t xml:space="preserve"> </w:t>
            </w:r>
          </w:p>
        </w:tc>
        <w:tc>
          <w:tcPr>
            <w:tcW w:w="1785" w:type="dxa"/>
            <w:gridSpan w:val="2"/>
            <w:tcBorders>
              <w:top w:val="double" w:sz="6" w:space="0" w:color="auto"/>
              <w:left w:val="nil"/>
              <w:bottom w:val="double" w:sz="6" w:space="0" w:color="auto"/>
              <w:right w:val="double" w:sz="6" w:space="0" w:color="000000"/>
            </w:tcBorders>
            <w:shd w:val="clear" w:color="auto" w:fill="auto"/>
            <w:noWrap/>
            <w:vAlign w:val="center"/>
            <w:hideMark/>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2019</w:t>
            </w:r>
          </w:p>
        </w:tc>
        <w:tc>
          <w:tcPr>
            <w:tcW w:w="3282" w:type="dxa"/>
            <w:gridSpan w:val="2"/>
            <w:tcBorders>
              <w:top w:val="double" w:sz="6" w:space="0" w:color="auto"/>
              <w:left w:val="nil"/>
              <w:bottom w:val="double" w:sz="6" w:space="0" w:color="auto"/>
              <w:right w:val="double" w:sz="6" w:space="0" w:color="000000"/>
            </w:tcBorders>
          </w:tcPr>
          <w:p>
            <w:pPr>
              <w:spacing w:after="0" w:line="240" w:lineRule="auto"/>
              <w:jc w:val="center"/>
              <w:rPr>
                <w:rFonts w:ascii="Times New Roman" w:eastAsia="Times New Roman" w:hAnsi="Times New Roman"/>
                <w:b/>
                <w:bCs/>
                <w:noProof/>
                <w:color w:val="000000"/>
                <w:sz w:val="20"/>
                <w:szCs w:val="20"/>
              </w:rPr>
            </w:pPr>
            <w:r>
              <w:rPr>
                <w:rFonts w:ascii="Times New Roman" w:hAnsi="Times New Roman"/>
                <w:b/>
                <w:bCs/>
                <w:noProof/>
                <w:color w:val="000000"/>
                <w:sz w:val="20"/>
                <w:szCs w:val="20"/>
              </w:rPr>
              <w:t>2020</w:t>
            </w:r>
          </w:p>
        </w:tc>
      </w:tr>
      <w:tr>
        <w:trPr>
          <w:trHeight w:val="283"/>
        </w:trPr>
        <w:tc>
          <w:tcPr>
            <w:tcW w:w="595" w:type="dxa"/>
            <w:vMerge/>
            <w:tcBorders>
              <w:left w:val="double" w:sz="6" w:space="0" w:color="auto"/>
              <w:bottom w:val="double" w:sz="6" w:space="0" w:color="auto"/>
              <w:right w:val="double" w:sz="6" w:space="0" w:color="auto"/>
            </w:tcBorders>
            <w:shd w:val="clear" w:color="auto" w:fill="auto"/>
            <w:noWrap/>
            <w:vAlign w:val="center"/>
            <w:hideMark/>
          </w:tcPr>
          <w:p>
            <w:pPr>
              <w:spacing w:after="0" w:line="240" w:lineRule="auto"/>
              <w:rPr>
                <w:rFonts w:ascii="Times New Roman" w:eastAsia="Times New Roman" w:hAnsi="Times New Roman"/>
                <w:b/>
                <w:bCs/>
                <w:noProof/>
                <w:color w:val="000000"/>
                <w:sz w:val="20"/>
                <w:szCs w:val="20"/>
                <w:lang w:eastAsia="en-IE"/>
              </w:rPr>
            </w:pPr>
          </w:p>
        </w:tc>
        <w:tc>
          <w:tcPr>
            <w:tcW w:w="1190" w:type="dxa"/>
            <w:tcBorders>
              <w:top w:val="nil"/>
              <w:left w:val="nil"/>
              <w:bottom w:val="double" w:sz="6" w:space="0" w:color="auto"/>
              <w:right w:val="double" w:sz="6" w:space="0" w:color="auto"/>
            </w:tcBorders>
            <w:shd w:val="clear" w:color="auto" w:fill="auto"/>
            <w:vAlign w:val="center"/>
            <w:hideMark/>
          </w:tcPr>
          <w:p>
            <w:pPr>
              <w:spacing w:after="0" w:line="240" w:lineRule="auto"/>
              <w:jc w:val="center"/>
              <w:rPr>
                <w:rFonts w:ascii="Times New Roman" w:eastAsia="Times New Roman" w:hAnsi="Times New Roman"/>
                <w:b/>
                <w:noProof/>
                <w:color w:val="000000"/>
                <w:sz w:val="20"/>
                <w:szCs w:val="20"/>
              </w:rPr>
            </w:pPr>
            <w:r>
              <w:rPr>
                <w:rFonts w:ascii="Times New Roman" w:hAnsi="Times New Roman"/>
                <w:b/>
                <w:noProof/>
                <w:color w:val="000000"/>
                <w:sz w:val="20"/>
                <w:szCs w:val="20"/>
              </w:rPr>
              <w:t>Ġenerali</w:t>
            </w:r>
          </w:p>
        </w:tc>
        <w:tc>
          <w:tcPr>
            <w:tcW w:w="595" w:type="dxa"/>
            <w:tcBorders>
              <w:top w:val="nil"/>
              <w:left w:val="nil"/>
              <w:bottom w:val="double" w:sz="6" w:space="0" w:color="auto"/>
              <w:right w:val="double" w:sz="6" w:space="0" w:color="auto"/>
            </w:tcBorders>
            <w:shd w:val="clear" w:color="auto" w:fill="auto"/>
            <w:vAlign w:val="center"/>
            <w:hideMark/>
          </w:tcPr>
          <w:p>
            <w:pPr>
              <w:spacing w:after="0" w:line="240" w:lineRule="auto"/>
              <w:jc w:val="center"/>
              <w:rPr>
                <w:rFonts w:ascii="Times New Roman" w:eastAsia="Times New Roman" w:hAnsi="Times New Roman"/>
                <w:b/>
                <w:noProof/>
                <w:color w:val="000000"/>
                <w:sz w:val="20"/>
                <w:szCs w:val="20"/>
              </w:rPr>
            </w:pPr>
            <w:r>
              <w:rPr>
                <w:rFonts w:ascii="Times New Roman" w:hAnsi="Times New Roman"/>
                <w:b/>
                <w:noProof/>
                <w:color w:val="000000"/>
                <w:sz w:val="20"/>
                <w:szCs w:val="20"/>
              </w:rPr>
              <w:t>Avjazzjoni</w:t>
            </w:r>
          </w:p>
        </w:tc>
        <w:tc>
          <w:tcPr>
            <w:tcW w:w="1641" w:type="dxa"/>
            <w:tcBorders>
              <w:top w:val="nil"/>
              <w:left w:val="nil"/>
              <w:bottom w:val="double" w:sz="6" w:space="0" w:color="auto"/>
              <w:right w:val="double" w:sz="6" w:space="0" w:color="auto"/>
            </w:tcBorders>
            <w:vAlign w:val="center"/>
          </w:tcPr>
          <w:p>
            <w:pPr>
              <w:spacing w:after="0" w:line="240" w:lineRule="auto"/>
              <w:jc w:val="center"/>
              <w:rPr>
                <w:rFonts w:ascii="Times New Roman" w:eastAsia="Times New Roman" w:hAnsi="Times New Roman"/>
                <w:b/>
                <w:noProof/>
                <w:color w:val="000000"/>
                <w:sz w:val="20"/>
                <w:szCs w:val="20"/>
              </w:rPr>
            </w:pPr>
            <w:r>
              <w:rPr>
                <w:rFonts w:ascii="Times New Roman" w:hAnsi="Times New Roman"/>
                <w:b/>
                <w:noProof/>
                <w:color w:val="000000"/>
                <w:sz w:val="20"/>
                <w:szCs w:val="20"/>
              </w:rPr>
              <w:t>Ġenerali</w:t>
            </w:r>
          </w:p>
        </w:tc>
        <w:tc>
          <w:tcPr>
            <w:tcW w:w="1641" w:type="dxa"/>
            <w:tcBorders>
              <w:top w:val="nil"/>
              <w:left w:val="nil"/>
              <w:bottom w:val="double" w:sz="6" w:space="0" w:color="auto"/>
              <w:right w:val="double" w:sz="6" w:space="0" w:color="auto"/>
            </w:tcBorders>
            <w:vAlign w:val="center"/>
          </w:tcPr>
          <w:p>
            <w:pPr>
              <w:spacing w:after="0" w:line="240" w:lineRule="auto"/>
              <w:jc w:val="center"/>
              <w:rPr>
                <w:rFonts w:ascii="Times New Roman" w:eastAsia="Times New Roman" w:hAnsi="Times New Roman"/>
                <w:b/>
                <w:noProof/>
                <w:color w:val="000000"/>
                <w:sz w:val="20"/>
                <w:szCs w:val="20"/>
              </w:rPr>
            </w:pPr>
            <w:r>
              <w:rPr>
                <w:rFonts w:ascii="Times New Roman" w:hAnsi="Times New Roman"/>
                <w:b/>
                <w:noProof/>
                <w:color w:val="000000"/>
                <w:sz w:val="20"/>
                <w:szCs w:val="20"/>
              </w:rPr>
              <w:t>Avjazzjoni</w:t>
            </w:r>
          </w:p>
        </w:tc>
      </w:tr>
      <w:tr>
        <w:trPr>
          <w:trHeight w:val="283"/>
        </w:trPr>
        <w:tc>
          <w:tcPr>
            <w:tcW w:w="595" w:type="dxa"/>
            <w:tcBorders>
              <w:top w:val="nil"/>
              <w:left w:val="double" w:sz="6" w:space="0" w:color="auto"/>
              <w:bottom w:val="double" w:sz="6" w:space="0" w:color="auto"/>
              <w:right w:val="double" w:sz="6" w:space="0" w:color="auto"/>
            </w:tcBorders>
            <w:shd w:val="clear" w:color="auto" w:fill="auto"/>
            <w:noWrap/>
            <w:vAlign w:val="center"/>
            <w:hideMark/>
          </w:tcPr>
          <w:p>
            <w:pPr>
              <w:spacing w:after="0" w:line="240" w:lineRule="auto"/>
              <w:rPr>
                <w:rFonts w:ascii="Times New Roman" w:eastAsia="Times New Roman" w:hAnsi="Times New Roman"/>
                <w:b/>
                <w:bCs/>
                <w:noProof/>
                <w:color w:val="000000"/>
                <w:sz w:val="20"/>
                <w:szCs w:val="20"/>
              </w:rPr>
            </w:pPr>
            <w:r>
              <w:rPr>
                <w:rFonts w:ascii="Times New Roman" w:hAnsi="Times New Roman"/>
                <w:b/>
                <w:bCs/>
                <w:noProof/>
                <w:color w:val="000000"/>
                <w:sz w:val="20"/>
                <w:szCs w:val="20"/>
              </w:rPr>
              <w:t>IS</w:t>
            </w:r>
          </w:p>
        </w:tc>
        <w:tc>
          <w:tcPr>
            <w:tcW w:w="1190" w:type="dxa"/>
            <w:tcBorders>
              <w:top w:val="nil"/>
              <w:left w:val="nil"/>
              <w:bottom w:val="double" w:sz="6" w:space="0" w:color="auto"/>
              <w:right w:val="double" w:sz="6" w:space="0" w:color="auto"/>
            </w:tcBorders>
            <w:shd w:val="clear" w:color="auto" w:fill="auto"/>
            <w:noWrap/>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sz w:val="18"/>
                <w:szCs w:val="18"/>
              </w:rPr>
              <w:t>23,91</w:t>
            </w:r>
          </w:p>
        </w:tc>
        <w:tc>
          <w:tcPr>
            <w:tcW w:w="595" w:type="dxa"/>
            <w:tcBorders>
              <w:top w:val="nil"/>
              <w:left w:val="nil"/>
              <w:bottom w:val="double" w:sz="6" w:space="0" w:color="auto"/>
              <w:right w:val="double" w:sz="6" w:space="0" w:color="auto"/>
            </w:tcBorders>
            <w:shd w:val="clear" w:color="auto" w:fill="auto"/>
            <w:noWrap/>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sz w:val="18"/>
                <w:szCs w:val="18"/>
              </w:rPr>
              <w:t>1,86</w:t>
            </w:r>
          </w:p>
        </w:tc>
        <w:tc>
          <w:tcPr>
            <w:tcW w:w="1641" w:type="dxa"/>
            <w:tcBorders>
              <w:top w:val="nil"/>
              <w:left w:val="nil"/>
              <w:bottom w:val="double" w:sz="6" w:space="0" w:color="auto"/>
              <w:right w:val="double" w:sz="6" w:space="0" w:color="auto"/>
            </w:tcBorders>
          </w:tcPr>
          <w:p>
            <w:pPr>
              <w:spacing w:after="0" w:line="240" w:lineRule="auto"/>
              <w:jc w:val="right"/>
              <w:rPr>
                <w:rFonts w:ascii="Times New Roman" w:eastAsia="Times New Roman" w:hAnsi="Times New Roman"/>
                <w:noProof/>
                <w:sz w:val="18"/>
                <w:szCs w:val="18"/>
              </w:rPr>
            </w:pPr>
            <w:r>
              <w:rPr>
                <w:rFonts w:ascii="Times New Roman" w:hAnsi="Times New Roman"/>
                <w:noProof/>
                <w:sz w:val="18"/>
                <w:szCs w:val="18"/>
              </w:rPr>
              <w:t>16,26</w:t>
            </w:r>
          </w:p>
        </w:tc>
        <w:tc>
          <w:tcPr>
            <w:tcW w:w="1641" w:type="dxa"/>
            <w:tcBorders>
              <w:top w:val="nil"/>
              <w:left w:val="nil"/>
              <w:bottom w:val="double" w:sz="6" w:space="0" w:color="auto"/>
              <w:right w:val="double" w:sz="6" w:space="0" w:color="auto"/>
            </w:tcBorders>
          </w:tcPr>
          <w:p>
            <w:pPr>
              <w:spacing w:after="0" w:line="240" w:lineRule="auto"/>
              <w:jc w:val="right"/>
              <w:rPr>
                <w:rFonts w:ascii="Times New Roman" w:eastAsia="Times New Roman" w:hAnsi="Times New Roman"/>
                <w:noProof/>
                <w:sz w:val="18"/>
                <w:szCs w:val="18"/>
              </w:rPr>
            </w:pPr>
            <w:r>
              <w:rPr>
                <w:rFonts w:ascii="Times New Roman" w:hAnsi="Times New Roman"/>
                <w:noProof/>
                <w:sz w:val="18"/>
                <w:szCs w:val="18"/>
              </w:rPr>
              <w:t>1,66</w:t>
            </w:r>
          </w:p>
        </w:tc>
      </w:tr>
      <w:tr>
        <w:trPr>
          <w:trHeight w:val="283"/>
        </w:trPr>
        <w:tc>
          <w:tcPr>
            <w:tcW w:w="595" w:type="dxa"/>
            <w:tcBorders>
              <w:top w:val="nil"/>
              <w:left w:val="double" w:sz="6" w:space="0" w:color="auto"/>
              <w:bottom w:val="double" w:sz="6" w:space="0" w:color="auto"/>
              <w:right w:val="double" w:sz="6" w:space="0" w:color="auto"/>
            </w:tcBorders>
            <w:shd w:val="clear" w:color="auto" w:fill="auto"/>
            <w:noWrap/>
            <w:vAlign w:val="center"/>
            <w:hideMark/>
          </w:tcPr>
          <w:p>
            <w:pPr>
              <w:spacing w:after="0" w:line="240" w:lineRule="auto"/>
              <w:rPr>
                <w:rFonts w:ascii="Times New Roman" w:eastAsia="Times New Roman" w:hAnsi="Times New Roman"/>
                <w:b/>
                <w:bCs/>
                <w:noProof/>
                <w:color w:val="000000"/>
                <w:sz w:val="20"/>
                <w:szCs w:val="20"/>
              </w:rPr>
            </w:pPr>
            <w:r>
              <w:rPr>
                <w:rFonts w:ascii="Times New Roman" w:hAnsi="Times New Roman"/>
                <w:b/>
                <w:bCs/>
                <w:noProof/>
                <w:color w:val="000000"/>
                <w:sz w:val="20"/>
                <w:szCs w:val="20"/>
              </w:rPr>
              <w:t>LI</w:t>
            </w:r>
          </w:p>
        </w:tc>
        <w:tc>
          <w:tcPr>
            <w:tcW w:w="1190" w:type="dxa"/>
            <w:tcBorders>
              <w:top w:val="nil"/>
              <w:left w:val="nil"/>
              <w:bottom w:val="double" w:sz="6" w:space="0" w:color="auto"/>
              <w:right w:val="double" w:sz="6" w:space="0" w:color="auto"/>
            </w:tcBorders>
            <w:shd w:val="clear" w:color="auto" w:fill="auto"/>
            <w:noWrap/>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sz w:val="18"/>
                <w:szCs w:val="18"/>
              </w:rPr>
              <w:t>0,52</w:t>
            </w:r>
          </w:p>
        </w:tc>
        <w:tc>
          <w:tcPr>
            <w:tcW w:w="595" w:type="dxa"/>
            <w:tcBorders>
              <w:top w:val="nil"/>
              <w:left w:val="nil"/>
              <w:bottom w:val="double" w:sz="6" w:space="0" w:color="auto"/>
              <w:right w:val="double" w:sz="6" w:space="0" w:color="auto"/>
            </w:tcBorders>
            <w:shd w:val="clear" w:color="auto" w:fill="auto"/>
            <w:noWrap/>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sz w:val="18"/>
                <w:szCs w:val="18"/>
              </w:rPr>
              <w:t>0</w:t>
            </w:r>
          </w:p>
        </w:tc>
        <w:tc>
          <w:tcPr>
            <w:tcW w:w="1641" w:type="dxa"/>
            <w:tcBorders>
              <w:top w:val="nil"/>
              <w:left w:val="nil"/>
              <w:bottom w:val="double" w:sz="6" w:space="0" w:color="auto"/>
              <w:right w:val="double" w:sz="6" w:space="0" w:color="auto"/>
            </w:tcBorders>
          </w:tcPr>
          <w:p>
            <w:pPr>
              <w:spacing w:after="0" w:line="240" w:lineRule="auto"/>
              <w:jc w:val="right"/>
              <w:rPr>
                <w:rFonts w:ascii="Times New Roman" w:eastAsia="Times New Roman" w:hAnsi="Times New Roman"/>
                <w:noProof/>
                <w:sz w:val="18"/>
                <w:szCs w:val="18"/>
              </w:rPr>
            </w:pPr>
            <w:r>
              <w:rPr>
                <w:rFonts w:ascii="Times New Roman" w:hAnsi="Times New Roman"/>
                <w:noProof/>
                <w:sz w:val="18"/>
                <w:szCs w:val="18"/>
              </w:rPr>
              <w:t>0,47</w:t>
            </w:r>
          </w:p>
        </w:tc>
        <w:tc>
          <w:tcPr>
            <w:tcW w:w="1641" w:type="dxa"/>
            <w:tcBorders>
              <w:top w:val="nil"/>
              <w:left w:val="nil"/>
              <w:bottom w:val="double" w:sz="6" w:space="0" w:color="auto"/>
              <w:right w:val="double" w:sz="6" w:space="0" w:color="auto"/>
            </w:tcBorders>
          </w:tcPr>
          <w:p>
            <w:pPr>
              <w:spacing w:after="0" w:line="240" w:lineRule="auto"/>
              <w:jc w:val="right"/>
              <w:rPr>
                <w:rFonts w:ascii="Times New Roman" w:eastAsia="Times New Roman" w:hAnsi="Times New Roman"/>
                <w:noProof/>
                <w:sz w:val="18"/>
                <w:szCs w:val="18"/>
              </w:rPr>
            </w:pPr>
            <w:r>
              <w:rPr>
                <w:rFonts w:ascii="Times New Roman" w:hAnsi="Times New Roman"/>
                <w:noProof/>
                <w:sz w:val="18"/>
                <w:szCs w:val="18"/>
              </w:rPr>
              <w:t>0,00</w:t>
            </w:r>
          </w:p>
        </w:tc>
      </w:tr>
      <w:tr>
        <w:trPr>
          <w:trHeight w:val="283"/>
        </w:trPr>
        <w:tc>
          <w:tcPr>
            <w:tcW w:w="595" w:type="dxa"/>
            <w:tcBorders>
              <w:top w:val="nil"/>
              <w:left w:val="double" w:sz="6" w:space="0" w:color="auto"/>
              <w:bottom w:val="double" w:sz="6" w:space="0" w:color="auto"/>
              <w:right w:val="double" w:sz="6" w:space="0" w:color="auto"/>
            </w:tcBorders>
            <w:shd w:val="clear" w:color="auto" w:fill="auto"/>
            <w:noWrap/>
            <w:vAlign w:val="center"/>
            <w:hideMark/>
          </w:tcPr>
          <w:p>
            <w:pPr>
              <w:spacing w:after="0" w:line="240" w:lineRule="auto"/>
              <w:rPr>
                <w:rFonts w:ascii="Times New Roman" w:eastAsia="Times New Roman" w:hAnsi="Times New Roman"/>
                <w:b/>
                <w:bCs/>
                <w:noProof/>
                <w:color w:val="000000"/>
                <w:sz w:val="20"/>
                <w:szCs w:val="20"/>
              </w:rPr>
            </w:pPr>
            <w:r>
              <w:rPr>
                <w:rFonts w:ascii="Times New Roman" w:hAnsi="Times New Roman"/>
                <w:b/>
                <w:bCs/>
                <w:noProof/>
                <w:color w:val="000000"/>
                <w:sz w:val="20"/>
                <w:szCs w:val="20"/>
              </w:rPr>
              <w:t>NO</w:t>
            </w:r>
          </w:p>
        </w:tc>
        <w:tc>
          <w:tcPr>
            <w:tcW w:w="1190" w:type="dxa"/>
            <w:tcBorders>
              <w:top w:val="nil"/>
              <w:left w:val="nil"/>
              <w:bottom w:val="double" w:sz="6" w:space="0" w:color="auto"/>
              <w:right w:val="double" w:sz="6" w:space="0" w:color="auto"/>
            </w:tcBorders>
            <w:shd w:val="clear" w:color="auto" w:fill="auto"/>
            <w:noWrap/>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sz w:val="18"/>
                <w:szCs w:val="18"/>
              </w:rPr>
              <w:t>476,78</w:t>
            </w:r>
          </w:p>
        </w:tc>
        <w:tc>
          <w:tcPr>
            <w:tcW w:w="595" w:type="dxa"/>
            <w:tcBorders>
              <w:top w:val="nil"/>
              <w:left w:val="nil"/>
              <w:bottom w:val="double" w:sz="6" w:space="0" w:color="auto"/>
              <w:right w:val="double" w:sz="6" w:space="0" w:color="auto"/>
            </w:tcBorders>
            <w:shd w:val="clear" w:color="auto" w:fill="auto"/>
            <w:noWrap/>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sz w:val="18"/>
                <w:szCs w:val="18"/>
              </w:rPr>
              <w:t>18,24</w:t>
            </w:r>
          </w:p>
        </w:tc>
        <w:tc>
          <w:tcPr>
            <w:tcW w:w="1641" w:type="dxa"/>
            <w:tcBorders>
              <w:top w:val="nil"/>
              <w:left w:val="nil"/>
              <w:bottom w:val="double" w:sz="6" w:space="0" w:color="auto"/>
              <w:right w:val="double" w:sz="6" w:space="0" w:color="auto"/>
            </w:tcBorders>
          </w:tcPr>
          <w:p>
            <w:pPr>
              <w:spacing w:after="0" w:line="240" w:lineRule="auto"/>
              <w:jc w:val="right"/>
              <w:rPr>
                <w:rFonts w:ascii="Times New Roman" w:eastAsia="Times New Roman" w:hAnsi="Times New Roman"/>
                <w:noProof/>
                <w:sz w:val="18"/>
                <w:szCs w:val="18"/>
              </w:rPr>
            </w:pPr>
            <w:r>
              <w:rPr>
                <w:rFonts w:ascii="Times New Roman" w:hAnsi="Times New Roman"/>
                <w:noProof/>
                <w:sz w:val="18"/>
                <w:szCs w:val="18"/>
              </w:rPr>
              <w:t>332,17</w:t>
            </w:r>
          </w:p>
        </w:tc>
        <w:tc>
          <w:tcPr>
            <w:tcW w:w="1641" w:type="dxa"/>
            <w:tcBorders>
              <w:top w:val="nil"/>
              <w:left w:val="nil"/>
              <w:bottom w:val="double" w:sz="6" w:space="0" w:color="auto"/>
              <w:right w:val="double" w:sz="6" w:space="0" w:color="auto"/>
            </w:tcBorders>
          </w:tcPr>
          <w:p>
            <w:pPr>
              <w:spacing w:after="0" w:line="240" w:lineRule="auto"/>
              <w:jc w:val="right"/>
              <w:rPr>
                <w:rFonts w:ascii="Times New Roman" w:eastAsia="Times New Roman" w:hAnsi="Times New Roman"/>
                <w:noProof/>
                <w:sz w:val="18"/>
                <w:szCs w:val="18"/>
              </w:rPr>
            </w:pPr>
            <w:r>
              <w:rPr>
                <w:rFonts w:ascii="Times New Roman" w:hAnsi="Times New Roman"/>
                <w:noProof/>
                <w:sz w:val="18"/>
                <w:szCs w:val="18"/>
              </w:rPr>
              <w:t>15,84</w:t>
            </w:r>
          </w:p>
        </w:tc>
      </w:tr>
      <w:tr>
        <w:trPr>
          <w:trHeight w:val="283"/>
        </w:trPr>
        <w:tc>
          <w:tcPr>
            <w:tcW w:w="595" w:type="dxa"/>
            <w:tcBorders>
              <w:top w:val="double" w:sz="6" w:space="0" w:color="auto"/>
              <w:left w:val="double" w:sz="6" w:space="0" w:color="auto"/>
              <w:bottom w:val="double" w:sz="6" w:space="0" w:color="auto"/>
              <w:right w:val="double" w:sz="6" w:space="0" w:color="auto"/>
            </w:tcBorders>
            <w:shd w:val="clear" w:color="auto" w:fill="auto"/>
            <w:noWrap/>
            <w:vAlign w:val="center"/>
          </w:tcPr>
          <w:p>
            <w:pPr>
              <w:spacing w:after="0" w:line="240" w:lineRule="auto"/>
              <w:rPr>
                <w:rFonts w:ascii="Times New Roman" w:eastAsia="Times New Roman" w:hAnsi="Times New Roman"/>
                <w:b/>
                <w:bCs/>
                <w:noProof/>
                <w:color w:val="000000"/>
                <w:sz w:val="20"/>
                <w:szCs w:val="20"/>
              </w:rPr>
            </w:pPr>
            <w:r>
              <w:rPr>
                <w:rFonts w:ascii="Times New Roman" w:hAnsi="Times New Roman"/>
                <w:b/>
                <w:bCs/>
                <w:noProof/>
                <w:color w:val="000000"/>
                <w:sz w:val="20"/>
                <w:szCs w:val="20"/>
              </w:rPr>
              <w:t>TOTAL</w:t>
            </w:r>
          </w:p>
        </w:tc>
        <w:tc>
          <w:tcPr>
            <w:tcW w:w="1190" w:type="dxa"/>
            <w:tcBorders>
              <w:top w:val="double" w:sz="6" w:space="0" w:color="auto"/>
              <w:left w:val="nil"/>
              <w:bottom w:val="double" w:sz="6" w:space="0" w:color="auto"/>
              <w:right w:val="double" w:sz="6" w:space="0" w:color="auto"/>
            </w:tcBorders>
            <w:shd w:val="clear" w:color="auto" w:fill="auto"/>
            <w:noWrap/>
            <w:vAlign w:val="center"/>
          </w:tcPr>
          <w:p>
            <w:pPr>
              <w:spacing w:after="0" w:line="240" w:lineRule="auto"/>
              <w:jc w:val="right"/>
              <w:rPr>
                <w:rFonts w:ascii="Times New Roman" w:eastAsia="Times New Roman" w:hAnsi="Times New Roman"/>
                <w:b/>
                <w:noProof/>
                <w:sz w:val="18"/>
                <w:szCs w:val="18"/>
              </w:rPr>
            </w:pPr>
            <w:r>
              <w:rPr>
                <w:rFonts w:ascii="Times New Roman" w:hAnsi="Times New Roman"/>
                <w:b/>
                <w:noProof/>
                <w:sz w:val="18"/>
                <w:szCs w:val="18"/>
              </w:rPr>
              <w:t>501,21</w:t>
            </w:r>
          </w:p>
        </w:tc>
        <w:tc>
          <w:tcPr>
            <w:tcW w:w="595" w:type="dxa"/>
            <w:tcBorders>
              <w:top w:val="double" w:sz="6" w:space="0" w:color="auto"/>
              <w:left w:val="nil"/>
              <w:bottom w:val="double" w:sz="6" w:space="0" w:color="auto"/>
              <w:right w:val="double" w:sz="6" w:space="0" w:color="auto"/>
            </w:tcBorders>
            <w:shd w:val="clear" w:color="auto" w:fill="auto"/>
            <w:noWrap/>
            <w:vAlign w:val="center"/>
          </w:tcPr>
          <w:p>
            <w:pPr>
              <w:spacing w:after="0" w:line="240" w:lineRule="auto"/>
              <w:jc w:val="right"/>
              <w:rPr>
                <w:rFonts w:ascii="Times New Roman" w:eastAsia="Times New Roman" w:hAnsi="Times New Roman"/>
                <w:b/>
                <w:noProof/>
                <w:sz w:val="18"/>
                <w:szCs w:val="18"/>
              </w:rPr>
            </w:pPr>
            <w:r>
              <w:rPr>
                <w:rFonts w:ascii="Times New Roman" w:hAnsi="Times New Roman"/>
                <w:b/>
                <w:noProof/>
                <w:sz w:val="18"/>
                <w:szCs w:val="18"/>
              </w:rPr>
              <w:t>20,1</w:t>
            </w:r>
          </w:p>
        </w:tc>
        <w:tc>
          <w:tcPr>
            <w:tcW w:w="1641" w:type="dxa"/>
            <w:tcBorders>
              <w:top w:val="double" w:sz="6" w:space="0" w:color="auto"/>
              <w:left w:val="nil"/>
              <w:bottom w:val="double" w:sz="6" w:space="0" w:color="auto"/>
              <w:right w:val="double" w:sz="6" w:space="0" w:color="auto"/>
            </w:tcBorders>
          </w:tcPr>
          <w:p>
            <w:pPr>
              <w:spacing w:after="0" w:line="240" w:lineRule="auto"/>
              <w:jc w:val="right"/>
              <w:rPr>
                <w:rFonts w:ascii="Times New Roman" w:eastAsia="Times New Roman" w:hAnsi="Times New Roman"/>
                <w:b/>
                <w:noProof/>
                <w:sz w:val="18"/>
                <w:szCs w:val="18"/>
              </w:rPr>
            </w:pPr>
            <w:r>
              <w:rPr>
                <w:rFonts w:ascii="Times New Roman" w:hAnsi="Times New Roman"/>
                <w:b/>
                <w:noProof/>
                <w:sz w:val="18"/>
                <w:szCs w:val="18"/>
              </w:rPr>
              <w:t>348,90</w:t>
            </w:r>
          </w:p>
        </w:tc>
        <w:tc>
          <w:tcPr>
            <w:tcW w:w="1641" w:type="dxa"/>
            <w:tcBorders>
              <w:top w:val="double" w:sz="6" w:space="0" w:color="auto"/>
              <w:left w:val="nil"/>
              <w:bottom w:val="double" w:sz="6" w:space="0" w:color="auto"/>
              <w:right w:val="double" w:sz="6" w:space="0" w:color="auto"/>
            </w:tcBorders>
          </w:tcPr>
          <w:p>
            <w:pPr>
              <w:spacing w:after="0" w:line="240" w:lineRule="auto"/>
              <w:jc w:val="right"/>
              <w:rPr>
                <w:rFonts w:ascii="Times New Roman" w:eastAsia="Times New Roman" w:hAnsi="Times New Roman"/>
                <w:b/>
                <w:noProof/>
                <w:sz w:val="18"/>
                <w:szCs w:val="18"/>
              </w:rPr>
            </w:pPr>
            <w:r>
              <w:rPr>
                <w:rFonts w:ascii="Times New Roman" w:hAnsi="Times New Roman"/>
                <w:b/>
                <w:noProof/>
                <w:sz w:val="18"/>
                <w:szCs w:val="18"/>
              </w:rPr>
              <w:t>17,51</w:t>
            </w:r>
          </w:p>
        </w:tc>
      </w:tr>
    </w:tbl>
    <w:p>
      <w:pPr>
        <w:rPr>
          <w:rFonts w:ascii="Times New Roman" w:hAnsi="Times New Roman"/>
          <w:b/>
          <w:noProof/>
        </w:rPr>
      </w:pPr>
    </w:p>
    <w:p>
      <w:pPr>
        <w:rPr>
          <w:rFonts w:ascii="Times New Roman" w:hAnsi="Times New Roman"/>
          <w:b/>
          <w:noProof/>
        </w:rPr>
      </w:pPr>
      <w:r>
        <w:rPr>
          <w:rFonts w:ascii="Times New Roman" w:hAnsi="Times New Roman"/>
          <w:b/>
          <w:noProof/>
        </w:rPr>
        <w:t>Appendiċi 3</w:t>
      </w:r>
    </w:p>
    <w:p>
      <w:pPr>
        <w:rPr>
          <w:rFonts w:ascii="Times New Roman" w:hAnsi="Times New Roman"/>
          <w:b/>
          <w:noProof/>
          <w:sz w:val="20"/>
          <w:szCs w:val="20"/>
        </w:rPr>
      </w:pPr>
      <w:r>
        <w:rPr>
          <w:rFonts w:ascii="Times New Roman" w:hAnsi="Times New Roman"/>
          <w:b/>
          <w:noProof/>
          <w:sz w:val="20"/>
          <w:szCs w:val="20"/>
        </w:rPr>
        <w:t>Tabella 3.1: Sommarju tal-iskambju ta’ krediti internazzjonali sa Ġunju 2020</w:t>
      </w:r>
      <w:r>
        <w:rPr>
          <w:rStyle w:val="FootnoteReference"/>
          <w:rFonts w:ascii="Times New Roman" w:hAnsi="Times New Roman"/>
          <w:b/>
          <w:noProof/>
          <w:sz w:val="20"/>
          <w:szCs w:val="20"/>
        </w:rPr>
        <w:footnoteReference w:id="92"/>
      </w:r>
    </w:p>
    <w:tbl>
      <w:tblPr>
        <w:tblW w:w="4957"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586"/>
        <w:gridCol w:w="1397"/>
        <w:gridCol w:w="1547"/>
        <w:gridCol w:w="1635"/>
        <w:gridCol w:w="1455"/>
        <w:gridCol w:w="1543"/>
      </w:tblGrid>
      <w:tr>
        <w:trPr>
          <w:trHeight w:val="238"/>
        </w:trPr>
        <w:tc>
          <w:tcPr>
            <w:tcW w:w="865" w:type="pct"/>
            <w:shd w:val="clear" w:color="auto" w:fill="auto"/>
            <w:noWrap/>
            <w:hideMark/>
          </w:tcPr>
          <w:p>
            <w:pPr>
              <w:spacing w:after="0" w:line="240" w:lineRule="auto"/>
              <w:ind w:right="57"/>
              <w:rPr>
                <w:rFonts w:ascii="Times New Roman" w:eastAsia="Times New Roman" w:hAnsi="Times New Roman"/>
                <w:b/>
                <w:bCs/>
                <w:noProof/>
                <w:color w:val="000000"/>
                <w:sz w:val="20"/>
                <w:szCs w:val="20"/>
              </w:rPr>
            </w:pPr>
            <w:r>
              <w:rPr>
                <w:rFonts w:ascii="Times New Roman" w:hAnsi="Times New Roman"/>
                <w:b/>
                <w:noProof/>
                <w:sz w:val="20"/>
                <w:szCs w:val="20"/>
              </w:rPr>
              <w:t>Krediti internazzjonali skambjati sal-aħħar ta’ Ġunju 2020</w:t>
            </w:r>
          </w:p>
        </w:tc>
        <w:tc>
          <w:tcPr>
            <w:tcW w:w="762" w:type="pct"/>
            <w:shd w:val="clear" w:color="auto" w:fill="auto"/>
            <w:noWrap/>
            <w:hideMark/>
          </w:tcPr>
          <w:p>
            <w:pPr>
              <w:spacing w:after="0" w:line="240" w:lineRule="auto"/>
              <w:ind w:right="57"/>
              <w:jc w:val="center"/>
              <w:rPr>
                <w:rFonts w:ascii="Times New Roman" w:eastAsia="Times New Roman" w:hAnsi="Times New Roman"/>
                <w:b/>
                <w:bCs/>
                <w:noProof/>
                <w:color w:val="000000"/>
                <w:sz w:val="20"/>
                <w:szCs w:val="20"/>
              </w:rPr>
            </w:pPr>
            <w:r>
              <w:rPr>
                <w:rFonts w:ascii="Times New Roman" w:hAnsi="Times New Roman"/>
                <w:b/>
                <w:noProof/>
                <w:sz w:val="20"/>
                <w:szCs w:val="20"/>
              </w:rPr>
              <w:t>miljun</w:t>
            </w:r>
          </w:p>
        </w:tc>
        <w:tc>
          <w:tcPr>
            <w:tcW w:w="844" w:type="pct"/>
            <w:shd w:val="clear" w:color="auto" w:fill="auto"/>
            <w:noWrap/>
            <w:hideMark/>
          </w:tcPr>
          <w:p>
            <w:pPr>
              <w:spacing w:after="0" w:line="240" w:lineRule="auto"/>
              <w:ind w:right="57"/>
              <w:jc w:val="center"/>
              <w:rPr>
                <w:rFonts w:ascii="Times New Roman" w:eastAsia="Times New Roman" w:hAnsi="Times New Roman"/>
                <w:b/>
                <w:bCs/>
                <w:noProof/>
                <w:color w:val="000000"/>
                <w:sz w:val="20"/>
                <w:szCs w:val="20"/>
              </w:rPr>
            </w:pPr>
            <w:r>
              <w:rPr>
                <w:rFonts w:ascii="Times New Roman" w:hAnsi="Times New Roman"/>
                <w:b/>
                <w:noProof/>
                <w:sz w:val="20"/>
                <w:szCs w:val="20"/>
              </w:rPr>
              <w:t>perċentwali</w:t>
            </w:r>
          </w:p>
        </w:tc>
        <w:tc>
          <w:tcPr>
            <w:tcW w:w="892" w:type="pct"/>
            <w:shd w:val="clear" w:color="auto" w:fill="auto"/>
            <w:noWrap/>
            <w:hideMark/>
          </w:tcPr>
          <w:p>
            <w:pPr>
              <w:spacing w:after="0" w:line="240" w:lineRule="auto"/>
              <w:ind w:right="57"/>
              <w:jc w:val="center"/>
              <w:rPr>
                <w:rFonts w:ascii="Times New Roman" w:eastAsia="Times New Roman" w:hAnsi="Times New Roman"/>
                <w:b/>
                <w:noProof/>
                <w:color w:val="000000"/>
                <w:sz w:val="20"/>
                <w:szCs w:val="20"/>
              </w:rPr>
            </w:pPr>
            <w:r>
              <w:rPr>
                <w:rFonts w:ascii="Times New Roman" w:hAnsi="Times New Roman"/>
                <w:b/>
                <w:noProof/>
                <w:sz w:val="20"/>
                <w:szCs w:val="20"/>
              </w:rPr>
              <w:t>Krediti internazzjonali skambjati sal-aħħar ta’ Ġunju 2020</w:t>
            </w:r>
          </w:p>
        </w:tc>
        <w:tc>
          <w:tcPr>
            <w:tcW w:w="794" w:type="pct"/>
            <w:shd w:val="clear" w:color="auto" w:fill="auto"/>
            <w:noWrap/>
            <w:hideMark/>
          </w:tcPr>
          <w:p>
            <w:pPr>
              <w:spacing w:after="0" w:line="240" w:lineRule="auto"/>
              <w:ind w:right="57"/>
              <w:jc w:val="center"/>
              <w:rPr>
                <w:rFonts w:ascii="Times New Roman" w:eastAsia="Times New Roman" w:hAnsi="Times New Roman"/>
                <w:b/>
                <w:noProof/>
                <w:color w:val="000000"/>
                <w:sz w:val="20"/>
                <w:szCs w:val="20"/>
              </w:rPr>
            </w:pPr>
            <w:r>
              <w:rPr>
                <w:rFonts w:ascii="Times New Roman" w:hAnsi="Times New Roman"/>
                <w:b/>
                <w:noProof/>
                <w:sz w:val="20"/>
                <w:szCs w:val="20"/>
              </w:rPr>
              <w:t>miljun</w:t>
            </w:r>
          </w:p>
        </w:tc>
        <w:tc>
          <w:tcPr>
            <w:tcW w:w="842" w:type="pct"/>
            <w:shd w:val="clear" w:color="auto" w:fill="auto"/>
            <w:noWrap/>
            <w:hideMark/>
          </w:tcPr>
          <w:p>
            <w:pPr>
              <w:spacing w:after="0" w:line="240" w:lineRule="auto"/>
              <w:ind w:right="57"/>
              <w:jc w:val="center"/>
              <w:rPr>
                <w:rFonts w:ascii="Times New Roman" w:eastAsia="Times New Roman" w:hAnsi="Times New Roman"/>
                <w:b/>
                <w:noProof/>
                <w:color w:val="000000"/>
                <w:sz w:val="20"/>
                <w:szCs w:val="20"/>
              </w:rPr>
            </w:pPr>
            <w:r>
              <w:rPr>
                <w:rFonts w:ascii="Times New Roman" w:hAnsi="Times New Roman"/>
                <w:b/>
                <w:noProof/>
                <w:sz w:val="20"/>
                <w:szCs w:val="20"/>
              </w:rPr>
              <w:t>perċentwali</w:t>
            </w:r>
          </w:p>
        </w:tc>
      </w:tr>
      <w:tr>
        <w:trPr>
          <w:trHeight w:val="238"/>
        </w:trPr>
        <w:tc>
          <w:tcPr>
            <w:tcW w:w="865" w:type="pct"/>
            <w:shd w:val="clear" w:color="auto" w:fill="auto"/>
            <w:noWrap/>
            <w:hideMark/>
          </w:tcPr>
          <w:p>
            <w:pPr>
              <w:spacing w:after="120" w:line="240" w:lineRule="auto"/>
              <w:ind w:right="57"/>
              <w:rPr>
                <w:rFonts w:ascii="Times New Roman" w:eastAsia="Times New Roman" w:hAnsi="Times New Roman"/>
                <w:b/>
                <w:bCs/>
                <w:noProof/>
                <w:color w:val="000000"/>
                <w:sz w:val="20"/>
                <w:szCs w:val="20"/>
              </w:rPr>
            </w:pPr>
            <w:r>
              <w:rPr>
                <w:rFonts w:ascii="Times New Roman" w:hAnsi="Times New Roman"/>
                <w:b/>
                <w:noProof/>
                <w:sz w:val="20"/>
                <w:szCs w:val="20"/>
              </w:rPr>
              <w:t>CERs</w:t>
            </w:r>
          </w:p>
        </w:tc>
        <w:tc>
          <w:tcPr>
            <w:tcW w:w="762" w:type="pct"/>
            <w:shd w:val="clear" w:color="auto" w:fill="auto"/>
            <w:noWrap/>
            <w:hideMark/>
          </w:tcPr>
          <w:p>
            <w:pPr>
              <w:spacing w:after="120" w:line="240" w:lineRule="auto"/>
              <w:ind w:right="57"/>
              <w:jc w:val="center"/>
              <w:rPr>
                <w:rFonts w:ascii="Times New Roman" w:eastAsia="Times New Roman" w:hAnsi="Times New Roman"/>
                <w:b/>
                <w:bCs/>
                <w:noProof/>
                <w:color w:val="000000"/>
                <w:sz w:val="20"/>
                <w:szCs w:val="20"/>
              </w:rPr>
            </w:pPr>
            <w:r>
              <w:rPr>
                <w:rFonts w:ascii="Times New Roman" w:hAnsi="Times New Roman"/>
                <w:b/>
                <w:noProof/>
                <w:sz w:val="20"/>
                <w:szCs w:val="20"/>
              </w:rPr>
              <w:t>288,86</w:t>
            </w:r>
          </w:p>
        </w:tc>
        <w:tc>
          <w:tcPr>
            <w:tcW w:w="844" w:type="pct"/>
            <w:shd w:val="clear" w:color="auto" w:fill="auto"/>
            <w:noWrap/>
            <w:hideMark/>
          </w:tcPr>
          <w:p>
            <w:pPr>
              <w:spacing w:after="120"/>
              <w:jc w:val="center"/>
              <w:rPr>
                <w:rFonts w:ascii="Times New Roman" w:hAnsi="Times New Roman"/>
                <w:b/>
                <w:noProof/>
                <w:sz w:val="20"/>
                <w:szCs w:val="20"/>
              </w:rPr>
            </w:pPr>
            <w:r>
              <w:rPr>
                <w:rFonts w:ascii="Times New Roman" w:hAnsi="Times New Roman"/>
                <w:b/>
                <w:noProof/>
                <w:sz w:val="20"/>
                <w:szCs w:val="20"/>
              </w:rPr>
              <w:t>60,06 %</w:t>
            </w:r>
          </w:p>
        </w:tc>
        <w:tc>
          <w:tcPr>
            <w:tcW w:w="892"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b/>
                <w:noProof/>
                <w:sz w:val="20"/>
                <w:szCs w:val="20"/>
              </w:rPr>
              <w:t>ERUs</w:t>
            </w:r>
          </w:p>
        </w:tc>
        <w:tc>
          <w:tcPr>
            <w:tcW w:w="794"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b/>
                <w:noProof/>
                <w:sz w:val="20"/>
                <w:szCs w:val="20"/>
              </w:rPr>
              <w:t>192,07</w:t>
            </w:r>
          </w:p>
        </w:tc>
        <w:tc>
          <w:tcPr>
            <w:tcW w:w="842"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b/>
                <w:noProof/>
                <w:sz w:val="20"/>
                <w:szCs w:val="20"/>
              </w:rPr>
              <w:t>39,94%</w:t>
            </w:r>
          </w:p>
        </w:tc>
      </w:tr>
      <w:tr>
        <w:trPr>
          <w:trHeight w:val="229"/>
        </w:trPr>
        <w:tc>
          <w:tcPr>
            <w:tcW w:w="865"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Iċ-Ċina</w:t>
            </w:r>
          </w:p>
        </w:tc>
        <w:tc>
          <w:tcPr>
            <w:tcW w:w="762" w:type="pct"/>
            <w:shd w:val="clear" w:color="auto" w:fill="auto"/>
            <w:noWrap/>
          </w:tcPr>
          <w:p>
            <w:pPr>
              <w:spacing w:after="120" w:line="240" w:lineRule="auto"/>
              <w:ind w:right="57"/>
              <w:jc w:val="center"/>
              <w:rPr>
                <w:rFonts w:ascii="Times New Roman" w:eastAsia="Times New Roman" w:hAnsi="Times New Roman"/>
                <w:noProof/>
                <w:sz w:val="20"/>
                <w:szCs w:val="20"/>
              </w:rPr>
            </w:pPr>
            <w:r>
              <w:rPr>
                <w:rFonts w:ascii="Times New Roman" w:hAnsi="Times New Roman"/>
                <w:noProof/>
                <w:sz w:val="20"/>
                <w:szCs w:val="20"/>
              </w:rPr>
              <w:t>213,31</w:t>
            </w:r>
          </w:p>
        </w:tc>
        <w:tc>
          <w:tcPr>
            <w:tcW w:w="844" w:type="pct"/>
            <w:shd w:val="clear" w:color="auto" w:fill="auto"/>
            <w:noWrap/>
          </w:tcPr>
          <w:p>
            <w:pPr>
              <w:spacing w:after="120"/>
              <w:jc w:val="center"/>
              <w:rPr>
                <w:rFonts w:ascii="Times New Roman" w:hAnsi="Times New Roman"/>
                <w:noProof/>
                <w:sz w:val="20"/>
                <w:szCs w:val="20"/>
              </w:rPr>
            </w:pPr>
            <w:r>
              <w:rPr>
                <w:rFonts w:ascii="Times New Roman" w:hAnsi="Times New Roman"/>
                <w:noProof/>
                <w:sz w:val="20"/>
                <w:szCs w:val="20"/>
              </w:rPr>
              <w:t>73,85</w:t>
            </w:r>
          </w:p>
        </w:tc>
        <w:tc>
          <w:tcPr>
            <w:tcW w:w="892"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L-Ukrajna</w:t>
            </w:r>
          </w:p>
        </w:tc>
        <w:tc>
          <w:tcPr>
            <w:tcW w:w="794"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147,69</w:t>
            </w:r>
          </w:p>
        </w:tc>
        <w:tc>
          <w:tcPr>
            <w:tcW w:w="842"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76,89%</w:t>
            </w:r>
          </w:p>
        </w:tc>
      </w:tr>
      <w:tr>
        <w:trPr>
          <w:trHeight w:val="249"/>
        </w:trPr>
        <w:tc>
          <w:tcPr>
            <w:tcW w:w="865"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L-Indja</w:t>
            </w:r>
          </w:p>
        </w:tc>
        <w:tc>
          <w:tcPr>
            <w:tcW w:w="762" w:type="pct"/>
            <w:shd w:val="clear" w:color="auto" w:fill="auto"/>
            <w:noWrap/>
          </w:tcPr>
          <w:p>
            <w:pPr>
              <w:spacing w:after="120" w:line="240" w:lineRule="auto"/>
              <w:ind w:right="57"/>
              <w:jc w:val="center"/>
              <w:rPr>
                <w:rFonts w:ascii="Times New Roman" w:eastAsia="Times New Roman" w:hAnsi="Times New Roman"/>
                <w:noProof/>
                <w:sz w:val="20"/>
                <w:szCs w:val="20"/>
              </w:rPr>
            </w:pPr>
            <w:r>
              <w:rPr>
                <w:rFonts w:ascii="Times New Roman" w:hAnsi="Times New Roman"/>
                <w:noProof/>
                <w:sz w:val="20"/>
                <w:szCs w:val="20"/>
              </w:rPr>
              <w:t>20,30</w:t>
            </w:r>
          </w:p>
        </w:tc>
        <w:tc>
          <w:tcPr>
            <w:tcW w:w="844" w:type="pct"/>
            <w:shd w:val="clear" w:color="auto" w:fill="auto"/>
            <w:noWrap/>
          </w:tcPr>
          <w:p>
            <w:pPr>
              <w:spacing w:after="120"/>
              <w:jc w:val="center"/>
              <w:rPr>
                <w:rFonts w:ascii="Times New Roman" w:hAnsi="Times New Roman"/>
                <w:noProof/>
                <w:sz w:val="20"/>
                <w:szCs w:val="20"/>
              </w:rPr>
            </w:pPr>
            <w:r>
              <w:rPr>
                <w:rFonts w:ascii="Times New Roman" w:hAnsi="Times New Roman"/>
                <w:noProof/>
                <w:sz w:val="20"/>
                <w:szCs w:val="20"/>
              </w:rPr>
              <w:t>7,03</w:t>
            </w:r>
          </w:p>
        </w:tc>
        <w:tc>
          <w:tcPr>
            <w:tcW w:w="892"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Ir-Russja</w:t>
            </w:r>
          </w:p>
        </w:tc>
        <w:tc>
          <w:tcPr>
            <w:tcW w:w="794"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32,06</w:t>
            </w:r>
          </w:p>
        </w:tc>
        <w:tc>
          <w:tcPr>
            <w:tcW w:w="842"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16,69%</w:t>
            </w:r>
          </w:p>
        </w:tc>
      </w:tr>
      <w:tr>
        <w:trPr>
          <w:trHeight w:val="249"/>
        </w:trPr>
        <w:tc>
          <w:tcPr>
            <w:tcW w:w="865"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L-Użbekistan</w:t>
            </w:r>
          </w:p>
        </w:tc>
        <w:tc>
          <w:tcPr>
            <w:tcW w:w="762" w:type="pct"/>
            <w:shd w:val="clear" w:color="auto" w:fill="auto"/>
            <w:noWrap/>
          </w:tcPr>
          <w:p>
            <w:pPr>
              <w:spacing w:after="120" w:line="240" w:lineRule="auto"/>
              <w:ind w:right="57"/>
              <w:jc w:val="center"/>
              <w:rPr>
                <w:rFonts w:ascii="Times New Roman" w:eastAsia="Times New Roman" w:hAnsi="Times New Roman"/>
                <w:noProof/>
                <w:sz w:val="20"/>
                <w:szCs w:val="20"/>
              </w:rPr>
            </w:pPr>
            <w:r>
              <w:rPr>
                <w:rFonts w:ascii="Times New Roman" w:hAnsi="Times New Roman"/>
                <w:noProof/>
                <w:sz w:val="20"/>
                <w:szCs w:val="20"/>
              </w:rPr>
              <w:t>10,17</w:t>
            </w:r>
          </w:p>
        </w:tc>
        <w:tc>
          <w:tcPr>
            <w:tcW w:w="844" w:type="pct"/>
            <w:shd w:val="clear" w:color="auto" w:fill="auto"/>
            <w:noWrap/>
          </w:tcPr>
          <w:p>
            <w:pPr>
              <w:spacing w:after="120"/>
              <w:jc w:val="center"/>
              <w:rPr>
                <w:rFonts w:ascii="Times New Roman" w:hAnsi="Times New Roman"/>
                <w:noProof/>
                <w:sz w:val="20"/>
                <w:szCs w:val="20"/>
              </w:rPr>
            </w:pPr>
            <w:r>
              <w:rPr>
                <w:rFonts w:ascii="Times New Roman" w:hAnsi="Times New Roman"/>
                <w:noProof/>
                <w:sz w:val="20"/>
                <w:szCs w:val="20"/>
              </w:rPr>
              <w:t>3,52</w:t>
            </w:r>
          </w:p>
        </w:tc>
        <w:tc>
          <w:tcPr>
            <w:tcW w:w="892"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Il-Polonja</w:t>
            </w:r>
          </w:p>
        </w:tc>
        <w:tc>
          <w:tcPr>
            <w:tcW w:w="794"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2,82</w:t>
            </w:r>
          </w:p>
        </w:tc>
        <w:tc>
          <w:tcPr>
            <w:tcW w:w="842"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1,46%</w:t>
            </w:r>
          </w:p>
        </w:tc>
      </w:tr>
      <w:tr>
        <w:trPr>
          <w:trHeight w:val="249"/>
        </w:trPr>
        <w:tc>
          <w:tcPr>
            <w:tcW w:w="865"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Il-Brażil</w:t>
            </w:r>
          </w:p>
        </w:tc>
        <w:tc>
          <w:tcPr>
            <w:tcW w:w="762" w:type="pct"/>
            <w:shd w:val="clear" w:color="auto" w:fill="auto"/>
            <w:noWrap/>
          </w:tcPr>
          <w:p>
            <w:pPr>
              <w:spacing w:after="120" w:line="240" w:lineRule="auto"/>
              <w:ind w:right="57"/>
              <w:jc w:val="center"/>
              <w:rPr>
                <w:rFonts w:ascii="Times New Roman" w:eastAsia="Times New Roman" w:hAnsi="Times New Roman"/>
                <w:noProof/>
                <w:sz w:val="20"/>
                <w:szCs w:val="20"/>
              </w:rPr>
            </w:pPr>
            <w:r>
              <w:rPr>
                <w:rFonts w:ascii="Times New Roman" w:hAnsi="Times New Roman"/>
                <w:noProof/>
                <w:sz w:val="20"/>
                <w:szCs w:val="20"/>
              </w:rPr>
              <w:t>6,00</w:t>
            </w:r>
          </w:p>
        </w:tc>
        <w:tc>
          <w:tcPr>
            <w:tcW w:w="844" w:type="pct"/>
            <w:shd w:val="clear" w:color="auto" w:fill="auto"/>
            <w:noWrap/>
          </w:tcPr>
          <w:p>
            <w:pPr>
              <w:spacing w:after="120"/>
              <w:jc w:val="center"/>
              <w:rPr>
                <w:rFonts w:ascii="Times New Roman" w:hAnsi="Times New Roman"/>
                <w:noProof/>
                <w:sz w:val="20"/>
                <w:szCs w:val="20"/>
              </w:rPr>
            </w:pPr>
            <w:r>
              <w:rPr>
                <w:rFonts w:ascii="Times New Roman" w:hAnsi="Times New Roman"/>
                <w:noProof/>
                <w:sz w:val="20"/>
                <w:szCs w:val="20"/>
              </w:rPr>
              <w:t xml:space="preserve">2,08 </w:t>
            </w:r>
          </w:p>
        </w:tc>
        <w:tc>
          <w:tcPr>
            <w:tcW w:w="892"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Il-Ġermanja</w:t>
            </w:r>
          </w:p>
        </w:tc>
        <w:tc>
          <w:tcPr>
            <w:tcW w:w="794"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1,65</w:t>
            </w:r>
          </w:p>
        </w:tc>
        <w:tc>
          <w:tcPr>
            <w:tcW w:w="842"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0,85%</w:t>
            </w:r>
          </w:p>
        </w:tc>
      </w:tr>
      <w:tr>
        <w:trPr>
          <w:trHeight w:val="249"/>
        </w:trPr>
        <w:tc>
          <w:tcPr>
            <w:tcW w:w="865" w:type="pct"/>
            <w:shd w:val="clear" w:color="auto" w:fill="auto"/>
            <w:noWrap/>
          </w:tcPr>
          <w:p>
            <w:pPr>
              <w:spacing w:after="120" w:line="240" w:lineRule="auto"/>
              <w:ind w:right="57"/>
              <w:rPr>
                <w:rFonts w:ascii="Times New Roman" w:eastAsia="Times New Roman" w:hAnsi="Times New Roman"/>
                <w:noProof/>
                <w:sz w:val="20"/>
                <w:szCs w:val="20"/>
              </w:rPr>
            </w:pPr>
            <w:r>
              <w:rPr>
                <w:rFonts w:ascii="Times New Roman" w:hAnsi="Times New Roman"/>
                <w:noProof/>
                <w:sz w:val="20"/>
                <w:szCs w:val="20"/>
              </w:rPr>
              <w:t>Il-Vjetnam</w:t>
            </w:r>
          </w:p>
        </w:tc>
        <w:tc>
          <w:tcPr>
            <w:tcW w:w="762" w:type="pct"/>
            <w:shd w:val="clear" w:color="auto" w:fill="auto"/>
            <w:noWrap/>
          </w:tcPr>
          <w:p>
            <w:pPr>
              <w:spacing w:after="120" w:line="240" w:lineRule="auto"/>
              <w:ind w:right="57"/>
              <w:jc w:val="center"/>
              <w:rPr>
                <w:rFonts w:ascii="Times New Roman" w:eastAsia="Times New Roman" w:hAnsi="Times New Roman"/>
                <w:noProof/>
                <w:sz w:val="20"/>
                <w:szCs w:val="20"/>
              </w:rPr>
            </w:pPr>
            <w:r>
              <w:rPr>
                <w:rFonts w:ascii="Times New Roman" w:hAnsi="Times New Roman"/>
                <w:noProof/>
                <w:sz w:val="20"/>
                <w:szCs w:val="20"/>
              </w:rPr>
              <w:t>3,71</w:t>
            </w:r>
          </w:p>
        </w:tc>
        <w:tc>
          <w:tcPr>
            <w:tcW w:w="844" w:type="pct"/>
            <w:shd w:val="clear" w:color="auto" w:fill="auto"/>
            <w:noWrap/>
          </w:tcPr>
          <w:p>
            <w:pPr>
              <w:spacing w:after="120"/>
              <w:jc w:val="center"/>
              <w:rPr>
                <w:rFonts w:ascii="Times New Roman" w:hAnsi="Times New Roman"/>
                <w:noProof/>
                <w:sz w:val="20"/>
                <w:szCs w:val="20"/>
              </w:rPr>
            </w:pPr>
            <w:r>
              <w:rPr>
                <w:rFonts w:ascii="Times New Roman" w:hAnsi="Times New Roman"/>
                <w:noProof/>
                <w:sz w:val="20"/>
                <w:szCs w:val="20"/>
              </w:rPr>
              <w:t>1,28</w:t>
            </w:r>
          </w:p>
        </w:tc>
        <w:tc>
          <w:tcPr>
            <w:tcW w:w="892" w:type="pct"/>
            <w:shd w:val="clear" w:color="auto" w:fill="auto"/>
            <w:noWrap/>
          </w:tcPr>
          <w:p>
            <w:pPr>
              <w:spacing w:after="120" w:line="240" w:lineRule="auto"/>
              <w:ind w:right="57"/>
              <w:rPr>
                <w:rFonts w:ascii="Times New Roman" w:eastAsia="Times New Roman" w:hAnsi="Times New Roman"/>
                <w:noProof/>
                <w:sz w:val="20"/>
                <w:szCs w:val="20"/>
              </w:rPr>
            </w:pPr>
            <w:r>
              <w:rPr>
                <w:rFonts w:ascii="Times New Roman" w:hAnsi="Times New Roman"/>
                <w:noProof/>
                <w:sz w:val="20"/>
                <w:szCs w:val="20"/>
              </w:rPr>
              <w:t>Franza</w:t>
            </w:r>
          </w:p>
        </w:tc>
        <w:tc>
          <w:tcPr>
            <w:tcW w:w="794" w:type="pct"/>
            <w:shd w:val="clear" w:color="auto" w:fill="auto"/>
            <w:noWrap/>
          </w:tcPr>
          <w:p>
            <w:pPr>
              <w:spacing w:after="120" w:line="240" w:lineRule="auto"/>
              <w:ind w:right="57"/>
              <w:rPr>
                <w:rFonts w:ascii="Times New Roman" w:eastAsia="Times New Roman" w:hAnsi="Times New Roman"/>
                <w:noProof/>
                <w:sz w:val="20"/>
                <w:szCs w:val="20"/>
              </w:rPr>
            </w:pPr>
            <w:r>
              <w:rPr>
                <w:rFonts w:ascii="Times New Roman" w:hAnsi="Times New Roman"/>
                <w:noProof/>
                <w:sz w:val="20"/>
                <w:szCs w:val="20"/>
              </w:rPr>
              <w:t>1,24</w:t>
            </w:r>
          </w:p>
        </w:tc>
        <w:tc>
          <w:tcPr>
            <w:tcW w:w="842" w:type="pct"/>
            <w:shd w:val="clear" w:color="auto" w:fill="auto"/>
            <w:noWrap/>
          </w:tcPr>
          <w:p>
            <w:pPr>
              <w:spacing w:after="120" w:line="240" w:lineRule="auto"/>
              <w:ind w:right="57"/>
              <w:rPr>
                <w:rFonts w:ascii="Times New Roman" w:hAnsi="Times New Roman"/>
                <w:noProof/>
                <w:sz w:val="20"/>
                <w:szCs w:val="20"/>
              </w:rPr>
            </w:pPr>
            <w:r>
              <w:rPr>
                <w:rFonts w:ascii="Times New Roman" w:hAnsi="Times New Roman"/>
                <w:noProof/>
                <w:sz w:val="20"/>
                <w:szCs w:val="20"/>
              </w:rPr>
              <w:t>0,64%</w:t>
            </w:r>
          </w:p>
        </w:tc>
      </w:tr>
      <w:tr>
        <w:trPr>
          <w:trHeight w:val="249"/>
        </w:trPr>
        <w:tc>
          <w:tcPr>
            <w:tcW w:w="865"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Iċ-Ċilì</w:t>
            </w:r>
          </w:p>
        </w:tc>
        <w:tc>
          <w:tcPr>
            <w:tcW w:w="762" w:type="pct"/>
            <w:shd w:val="clear" w:color="auto" w:fill="auto"/>
            <w:noWrap/>
          </w:tcPr>
          <w:p>
            <w:pPr>
              <w:spacing w:after="120" w:line="240" w:lineRule="auto"/>
              <w:ind w:right="57"/>
              <w:jc w:val="center"/>
              <w:rPr>
                <w:rFonts w:ascii="Times New Roman" w:eastAsia="Times New Roman" w:hAnsi="Times New Roman"/>
                <w:noProof/>
                <w:sz w:val="20"/>
                <w:szCs w:val="20"/>
              </w:rPr>
            </w:pPr>
            <w:r>
              <w:rPr>
                <w:rFonts w:ascii="Times New Roman" w:hAnsi="Times New Roman"/>
                <w:noProof/>
                <w:sz w:val="20"/>
                <w:szCs w:val="20"/>
              </w:rPr>
              <w:t>3,21</w:t>
            </w:r>
          </w:p>
        </w:tc>
        <w:tc>
          <w:tcPr>
            <w:tcW w:w="844" w:type="pct"/>
            <w:shd w:val="clear" w:color="auto" w:fill="auto"/>
            <w:noWrap/>
          </w:tcPr>
          <w:p>
            <w:pPr>
              <w:spacing w:after="120"/>
              <w:jc w:val="center"/>
              <w:rPr>
                <w:rFonts w:ascii="Times New Roman" w:hAnsi="Times New Roman"/>
                <w:noProof/>
                <w:sz w:val="20"/>
                <w:szCs w:val="20"/>
              </w:rPr>
            </w:pPr>
            <w:r>
              <w:rPr>
                <w:rFonts w:ascii="Times New Roman" w:hAnsi="Times New Roman"/>
                <w:noProof/>
                <w:sz w:val="20"/>
                <w:szCs w:val="20"/>
              </w:rPr>
              <w:t xml:space="preserve">1,11 </w:t>
            </w:r>
          </w:p>
        </w:tc>
        <w:tc>
          <w:tcPr>
            <w:tcW w:w="892" w:type="pct"/>
            <w:shd w:val="clear" w:color="auto" w:fill="auto"/>
            <w:noWrap/>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Il-Bulgarija</w:t>
            </w:r>
          </w:p>
        </w:tc>
        <w:tc>
          <w:tcPr>
            <w:tcW w:w="794" w:type="pct"/>
            <w:shd w:val="clear" w:color="auto" w:fill="auto"/>
            <w:noWrap/>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0,50</w:t>
            </w:r>
          </w:p>
        </w:tc>
        <w:tc>
          <w:tcPr>
            <w:tcW w:w="842" w:type="pct"/>
            <w:shd w:val="clear" w:color="auto" w:fill="auto"/>
            <w:noWrap/>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0,26%</w:t>
            </w:r>
          </w:p>
        </w:tc>
      </w:tr>
      <w:tr>
        <w:trPr>
          <w:trHeight w:val="249"/>
        </w:trPr>
        <w:tc>
          <w:tcPr>
            <w:tcW w:w="865"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 xml:space="preserve">Il-Messiku </w:t>
            </w:r>
          </w:p>
        </w:tc>
        <w:tc>
          <w:tcPr>
            <w:tcW w:w="762" w:type="pct"/>
            <w:shd w:val="clear" w:color="auto" w:fill="auto"/>
            <w:noWrap/>
          </w:tcPr>
          <w:p>
            <w:pPr>
              <w:spacing w:after="120" w:line="240" w:lineRule="auto"/>
              <w:ind w:right="57"/>
              <w:jc w:val="center"/>
              <w:rPr>
                <w:rFonts w:ascii="Times New Roman" w:eastAsia="Times New Roman" w:hAnsi="Times New Roman"/>
                <w:noProof/>
                <w:sz w:val="20"/>
                <w:szCs w:val="20"/>
              </w:rPr>
            </w:pPr>
            <w:r>
              <w:rPr>
                <w:rFonts w:ascii="Times New Roman" w:hAnsi="Times New Roman"/>
                <w:noProof/>
                <w:sz w:val="20"/>
                <w:szCs w:val="20"/>
              </w:rPr>
              <w:t>3,17</w:t>
            </w:r>
          </w:p>
        </w:tc>
        <w:tc>
          <w:tcPr>
            <w:tcW w:w="844" w:type="pct"/>
            <w:shd w:val="clear" w:color="auto" w:fill="auto"/>
            <w:noWrap/>
          </w:tcPr>
          <w:p>
            <w:pPr>
              <w:spacing w:after="120"/>
              <w:jc w:val="center"/>
              <w:rPr>
                <w:rFonts w:ascii="Times New Roman" w:hAnsi="Times New Roman"/>
                <w:noProof/>
                <w:sz w:val="20"/>
                <w:szCs w:val="20"/>
              </w:rPr>
            </w:pPr>
            <w:r>
              <w:rPr>
                <w:rFonts w:ascii="Times New Roman" w:hAnsi="Times New Roman"/>
                <w:noProof/>
                <w:sz w:val="20"/>
                <w:szCs w:val="20"/>
              </w:rPr>
              <w:t>1,10</w:t>
            </w:r>
          </w:p>
        </w:tc>
        <w:tc>
          <w:tcPr>
            <w:tcW w:w="892" w:type="pct"/>
            <w:shd w:val="clear" w:color="auto" w:fill="auto"/>
            <w:noWrap/>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Oħrajn</w:t>
            </w:r>
          </w:p>
        </w:tc>
        <w:tc>
          <w:tcPr>
            <w:tcW w:w="794" w:type="pct"/>
            <w:shd w:val="clear" w:color="auto" w:fill="auto"/>
            <w:noWrap/>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6,11</w:t>
            </w:r>
          </w:p>
        </w:tc>
        <w:tc>
          <w:tcPr>
            <w:tcW w:w="842" w:type="pct"/>
            <w:shd w:val="clear" w:color="auto" w:fill="auto"/>
            <w:noWrap/>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3,21%</w:t>
            </w:r>
          </w:p>
        </w:tc>
      </w:tr>
      <w:tr>
        <w:trPr>
          <w:trHeight w:val="260"/>
        </w:trPr>
        <w:tc>
          <w:tcPr>
            <w:tcW w:w="865"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 xml:space="preserve">Il-Korea </w:t>
            </w:r>
          </w:p>
        </w:tc>
        <w:tc>
          <w:tcPr>
            <w:tcW w:w="762" w:type="pct"/>
            <w:shd w:val="clear" w:color="auto" w:fill="auto"/>
            <w:noWrap/>
          </w:tcPr>
          <w:p>
            <w:pPr>
              <w:spacing w:after="120" w:line="240" w:lineRule="auto"/>
              <w:ind w:right="57"/>
              <w:jc w:val="center"/>
              <w:rPr>
                <w:rFonts w:ascii="Times New Roman" w:eastAsia="Times New Roman" w:hAnsi="Times New Roman"/>
                <w:noProof/>
                <w:sz w:val="20"/>
                <w:szCs w:val="20"/>
              </w:rPr>
            </w:pPr>
            <w:r>
              <w:rPr>
                <w:rFonts w:ascii="Times New Roman" w:hAnsi="Times New Roman"/>
                <w:noProof/>
                <w:sz w:val="20"/>
                <w:szCs w:val="20"/>
              </w:rPr>
              <w:t>2,93</w:t>
            </w:r>
          </w:p>
        </w:tc>
        <w:tc>
          <w:tcPr>
            <w:tcW w:w="844" w:type="pct"/>
            <w:shd w:val="clear" w:color="auto" w:fill="auto"/>
            <w:noWrap/>
          </w:tcPr>
          <w:p>
            <w:pPr>
              <w:spacing w:after="120"/>
              <w:jc w:val="center"/>
              <w:rPr>
                <w:rFonts w:ascii="Times New Roman" w:hAnsi="Times New Roman"/>
                <w:noProof/>
                <w:sz w:val="20"/>
                <w:szCs w:val="20"/>
              </w:rPr>
            </w:pPr>
            <w:r>
              <w:rPr>
                <w:rFonts w:ascii="Times New Roman" w:hAnsi="Times New Roman"/>
                <w:noProof/>
                <w:sz w:val="20"/>
                <w:szCs w:val="20"/>
              </w:rPr>
              <w:t>1,01</w:t>
            </w:r>
          </w:p>
        </w:tc>
        <w:tc>
          <w:tcPr>
            <w:tcW w:w="892" w:type="pct"/>
            <w:shd w:val="clear" w:color="auto" w:fill="auto"/>
            <w:noWrap/>
          </w:tcPr>
          <w:p>
            <w:pPr>
              <w:spacing w:after="120" w:line="240" w:lineRule="auto"/>
              <w:ind w:right="57"/>
              <w:rPr>
                <w:rFonts w:ascii="Times New Roman" w:eastAsia="Times New Roman" w:hAnsi="Times New Roman"/>
                <w:noProof/>
                <w:color w:val="000000"/>
                <w:sz w:val="20"/>
                <w:szCs w:val="20"/>
                <w:lang w:eastAsia="en-GB"/>
              </w:rPr>
            </w:pPr>
          </w:p>
        </w:tc>
        <w:tc>
          <w:tcPr>
            <w:tcW w:w="794" w:type="pct"/>
            <w:shd w:val="clear" w:color="auto" w:fill="auto"/>
            <w:noWrap/>
          </w:tcPr>
          <w:p>
            <w:pPr>
              <w:spacing w:after="120" w:line="240" w:lineRule="auto"/>
              <w:ind w:right="57"/>
              <w:rPr>
                <w:rFonts w:ascii="Times New Roman" w:eastAsia="Times New Roman" w:hAnsi="Times New Roman"/>
                <w:noProof/>
                <w:color w:val="000000"/>
                <w:sz w:val="20"/>
                <w:szCs w:val="20"/>
                <w:lang w:eastAsia="en-GB"/>
              </w:rPr>
            </w:pPr>
          </w:p>
        </w:tc>
        <w:tc>
          <w:tcPr>
            <w:tcW w:w="842" w:type="pct"/>
            <w:shd w:val="clear" w:color="auto" w:fill="auto"/>
            <w:noWrap/>
          </w:tcPr>
          <w:p>
            <w:pPr>
              <w:spacing w:after="120" w:line="240" w:lineRule="auto"/>
              <w:ind w:right="57"/>
              <w:rPr>
                <w:rFonts w:ascii="Times New Roman" w:eastAsia="Times New Roman" w:hAnsi="Times New Roman"/>
                <w:noProof/>
                <w:color w:val="000000"/>
                <w:sz w:val="20"/>
                <w:szCs w:val="20"/>
                <w:lang w:eastAsia="en-GB"/>
              </w:rPr>
            </w:pPr>
          </w:p>
        </w:tc>
      </w:tr>
      <w:tr>
        <w:trPr>
          <w:trHeight w:val="260"/>
        </w:trPr>
        <w:tc>
          <w:tcPr>
            <w:tcW w:w="865" w:type="pct"/>
            <w:shd w:val="clear" w:color="auto" w:fill="auto"/>
            <w:noWrap/>
          </w:tcPr>
          <w:p>
            <w:pPr>
              <w:spacing w:after="120" w:line="240" w:lineRule="auto"/>
              <w:ind w:right="57"/>
              <w:rPr>
                <w:rFonts w:ascii="Times New Roman" w:eastAsia="Times New Roman" w:hAnsi="Times New Roman"/>
                <w:noProof/>
                <w:sz w:val="20"/>
                <w:szCs w:val="20"/>
              </w:rPr>
            </w:pPr>
            <w:r>
              <w:rPr>
                <w:rFonts w:ascii="Times New Roman" w:hAnsi="Times New Roman"/>
                <w:noProof/>
                <w:sz w:val="20"/>
                <w:szCs w:val="20"/>
              </w:rPr>
              <w:t>Oħrajn</w:t>
            </w:r>
          </w:p>
        </w:tc>
        <w:tc>
          <w:tcPr>
            <w:tcW w:w="762" w:type="pct"/>
            <w:shd w:val="clear" w:color="auto" w:fill="auto"/>
            <w:noWrap/>
          </w:tcPr>
          <w:p>
            <w:pPr>
              <w:spacing w:after="120" w:line="240" w:lineRule="auto"/>
              <w:ind w:right="57"/>
              <w:jc w:val="center"/>
              <w:rPr>
                <w:rFonts w:ascii="Times New Roman" w:eastAsia="Times New Roman" w:hAnsi="Times New Roman"/>
                <w:noProof/>
                <w:sz w:val="20"/>
                <w:szCs w:val="20"/>
              </w:rPr>
            </w:pPr>
            <w:r>
              <w:rPr>
                <w:rFonts w:ascii="Times New Roman" w:hAnsi="Times New Roman"/>
                <w:noProof/>
                <w:sz w:val="20"/>
                <w:szCs w:val="20"/>
              </w:rPr>
              <w:t>26,06</w:t>
            </w:r>
          </w:p>
        </w:tc>
        <w:tc>
          <w:tcPr>
            <w:tcW w:w="844" w:type="pct"/>
            <w:shd w:val="clear" w:color="auto" w:fill="auto"/>
            <w:noWrap/>
          </w:tcPr>
          <w:p>
            <w:pPr>
              <w:spacing w:after="120"/>
              <w:jc w:val="center"/>
              <w:rPr>
                <w:rFonts w:ascii="Times New Roman" w:hAnsi="Times New Roman"/>
                <w:noProof/>
                <w:sz w:val="20"/>
                <w:szCs w:val="20"/>
              </w:rPr>
            </w:pPr>
            <w:r>
              <w:rPr>
                <w:rFonts w:ascii="Times New Roman" w:hAnsi="Times New Roman"/>
                <w:noProof/>
                <w:sz w:val="20"/>
                <w:szCs w:val="20"/>
              </w:rPr>
              <w:t>9,02</w:t>
            </w:r>
          </w:p>
        </w:tc>
        <w:tc>
          <w:tcPr>
            <w:tcW w:w="892" w:type="pct"/>
            <w:shd w:val="clear" w:color="auto" w:fill="auto"/>
            <w:noWrap/>
          </w:tcPr>
          <w:p>
            <w:pPr>
              <w:spacing w:after="120" w:line="240" w:lineRule="auto"/>
              <w:ind w:right="57"/>
              <w:rPr>
                <w:rFonts w:ascii="Times New Roman" w:eastAsia="Times New Roman" w:hAnsi="Times New Roman"/>
                <w:noProof/>
                <w:color w:val="000000"/>
                <w:sz w:val="20"/>
                <w:szCs w:val="20"/>
                <w:highlight w:val="yellow"/>
                <w:lang w:eastAsia="en-GB"/>
              </w:rPr>
            </w:pPr>
          </w:p>
        </w:tc>
        <w:tc>
          <w:tcPr>
            <w:tcW w:w="794" w:type="pct"/>
            <w:shd w:val="clear" w:color="auto" w:fill="auto"/>
            <w:noWrap/>
          </w:tcPr>
          <w:p>
            <w:pPr>
              <w:spacing w:after="120" w:line="240" w:lineRule="auto"/>
              <w:ind w:right="57"/>
              <w:rPr>
                <w:rFonts w:ascii="Times New Roman" w:eastAsia="Times New Roman" w:hAnsi="Times New Roman"/>
                <w:noProof/>
                <w:color w:val="000000"/>
                <w:sz w:val="20"/>
                <w:szCs w:val="20"/>
                <w:highlight w:val="yellow"/>
                <w:lang w:eastAsia="en-GB"/>
              </w:rPr>
            </w:pPr>
          </w:p>
        </w:tc>
        <w:tc>
          <w:tcPr>
            <w:tcW w:w="842" w:type="pct"/>
            <w:shd w:val="clear" w:color="auto" w:fill="auto"/>
            <w:noWrap/>
          </w:tcPr>
          <w:p>
            <w:pPr>
              <w:spacing w:after="120" w:line="240" w:lineRule="auto"/>
              <w:ind w:right="57"/>
              <w:rPr>
                <w:rFonts w:ascii="Times New Roman" w:eastAsia="Times New Roman" w:hAnsi="Times New Roman"/>
                <w:noProof/>
                <w:color w:val="000000"/>
                <w:sz w:val="20"/>
                <w:szCs w:val="20"/>
                <w:highlight w:val="yellow"/>
                <w:lang w:eastAsia="en-GB"/>
              </w:rPr>
            </w:pPr>
          </w:p>
        </w:tc>
      </w:tr>
      <w:tr>
        <w:trPr>
          <w:trHeight w:val="260"/>
        </w:trPr>
        <w:tc>
          <w:tcPr>
            <w:tcW w:w="865" w:type="pct"/>
            <w:shd w:val="clear" w:color="auto" w:fill="auto"/>
            <w:noWrap/>
          </w:tcPr>
          <w:p>
            <w:pPr>
              <w:spacing w:after="120" w:line="240" w:lineRule="auto"/>
              <w:ind w:right="57"/>
              <w:rPr>
                <w:rFonts w:ascii="Times New Roman" w:eastAsia="Times New Roman" w:hAnsi="Times New Roman"/>
                <w:b/>
                <w:noProof/>
                <w:sz w:val="20"/>
                <w:szCs w:val="20"/>
              </w:rPr>
            </w:pPr>
            <w:r>
              <w:rPr>
                <w:rFonts w:ascii="Times New Roman" w:hAnsi="Times New Roman"/>
                <w:b/>
                <w:noProof/>
                <w:sz w:val="20"/>
                <w:szCs w:val="20"/>
              </w:rPr>
              <w:t>TOTAL ta’ CERs u ERUs</w:t>
            </w:r>
          </w:p>
        </w:tc>
        <w:tc>
          <w:tcPr>
            <w:tcW w:w="762" w:type="pct"/>
            <w:shd w:val="clear" w:color="auto" w:fill="auto"/>
            <w:noWrap/>
          </w:tcPr>
          <w:p>
            <w:pPr>
              <w:spacing w:after="120" w:line="240" w:lineRule="auto"/>
              <w:ind w:right="57"/>
              <w:jc w:val="center"/>
              <w:rPr>
                <w:rFonts w:ascii="Times New Roman" w:eastAsia="Times New Roman" w:hAnsi="Times New Roman"/>
                <w:b/>
                <w:noProof/>
                <w:sz w:val="20"/>
                <w:szCs w:val="20"/>
              </w:rPr>
            </w:pPr>
            <w:r>
              <w:rPr>
                <w:rFonts w:ascii="Times New Roman" w:hAnsi="Times New Roman"/>
                <w:b/>
                <w:noProof/>
                <w:sz w:val="20"/>
                <w:szCs w:val="20"/>
              </w:rPr>
              <w:t>480,94</w:t>
            </w:r>
          </w:p>
        </w:tc>
        <w:tc>
          <w:tcPr>
            <w:tcW w:w="844" w:type="pct"/>
            <w:shd w:val="clear" w:color="auto" w:fill="auto"/>
            <w:noWrap/>
          </w:tcPr>
          <w:p>
            <w:pPr>
              <w:spacing w:after="120"/>
              <w:jc w:val="center"/>
              <w:rPr>
                <w:rFonts w:ascii="Times New Roman" w:hAnsi="Times New Roman"/>
                <w:b/>
                <w:noProof/>
                <w:sz w:val="20"/>
                <w:szCs w:val="20"/>
              </w:rPr>
            </w:pPr>
            <w:r>
              <w:rPr>
                <w:rFonts w:ascii="Times New Roman" w:hAnsi="Times New Roman"/>
                <w:b/>
                <w:noProof/>
                <w:sz w:val="20"/>
                <w:szCs w:val="20"/>
              </w:rPr>
              <w:t>100%</w:t>
            </w:r>
          </w:p>
        </w:tc>
        <w:tc>
          <w:tcPr>
            <w:tcW w:w="892" w:type="pct"/>
            <w:shd w:val="clear" w:color="auto" w:fill="auto"/>
            <w:noWrap/>
          </w:tcPr>
          <w:p>
            <w:pPr>
              <w:spacing w:after="120" w:line="240" w:lineRule="auto"/>
              <w:ind w:right="57"/>
              <w:rPr>
                <w:rFonts w:ascii="Times New Roman" w:eastAsia="Times New Roman" w:hAnsi="Times New Roman"/>
                <w:b/>
                <w:noProof/>
                <w:color w:val="000000"/>
                <w:sz w:val="20"/>
                <w:szCs w:val="20"/>
                <w:lang w:eastAsia="en-GB"/>
              </w:rPr>
            </w:pPr>
          </w:p>
        </w:tc>
        <w:tc>
          <w:tcPr>
            <w:tcW w:w="794" w:type="pct"/>
            <w:shd w:val="clear" w:color="auto" w:fill="auto"/>
            <w:noWrap/>
          </w:tcPr>
          <w:p>
            <w:pPr>
              <w:spacing w:after="120" w:line="240" w:lineRule="auto"/>
              <w:ind w:right="57"/>
              <w:rPr>
                <w:rFonts w:ascii="Times New Roman" w:eastAsia="Times New Roman" w:hAnsi="Times New Roman"/>
                <w:b/>
                <w:noProof/>
                <w:color w:val="000000"/>
                <w:sz w:val="20"/>
                <w:szCs w:val="20"/>
                <w:lang w:eastAsia="en-GB"/>
              </w:rPr>
            </w:pPr>
          </w:p>
        </w:tc>
        <w:tc>
          <w:tcPr>
            <w:tcW w:w="842" w:type="pct"/>
            <w:shd w:val="clear" w:color="auto" w:fill="auto"/>
            <w:noWrap/>
          </w:tcPr>
          <w:p>
            <w:pPr>
              <w:spacing w:after="120" w:line="240" w:lineRule="auto"/>
              <w:ind w:right="57"/>
              <w:rPr>
                <w:rFonts w:ascii="Times New Roman" w:eastAsia="Times New Roman" w:hAnsi="Times New Roman"/>
                <w:b/>
                <w:noProof/>
                <w:color w:val="000000"/>
                <w:sz w:val="20"/>
                <w:szCs w:val="20"/>
                <w:lang w:eastAsia="en-GB"/>
              </w:rPr>
            </w:pPr>
          </w:p>
        </w:tc>
      </w:tr>
    </w:tbl>
    <w:p>
      <w:pPr>
        <w:rPr>
          <w:rFonts w:ascii="Times New Roman" w:hAnsi="Times New Roman"/>
          <w:b/>
          <w:noProof/>
          <w:sz w:val="18"/>
          <w:szCs w:val="18"/>
        </w:rPr>
      </w:pPr>
      <w:r>
        <w:rPr>
          <w:rFonts w:ascii="Times New Roman" w:hAnsi="Times New Roman"/>
          <w:b/>
          <w:noProof/>
          <w:sz w:val="18"/>
          <w:szCs w:val="18"/>
        </w:rPr>
        <w:t>Sors: EUTL</w:t>
      </w:r>
    </w:p>
    <w:p>
      <w:pPr>
        <w:rPr>
          <w:rFonts w:ascii="Times New Roman" w:hAnsi="Times New Roman"/>
          <w:b/>
          <w:noProof/>
          <w:sz w:val="20"/>
          <w:szCs w:val="20"/>
        </w:rPr>
      </w:pPr>
      <w:r>
        <w:rPr>
          <w:rFonts w:ascii="Times New Roman" w:hAnsi="Times New Roman"/>
          <w:b/>
          <w:noProof/>
          <w:sz w:val="20"/>
          <w:szCs w:val="20"/>
        </w:rPr>
        <w:t xml:space="preserve">Tabella 3.2: Sommarju tal-iskambju ta’ krediti internazzjonali sal-aħħar ta’ Ġunju 2020 skont it-tip ta’ installazzjonijiet </w:t>
      </w:r>
    </w:p>
    <w:tbl>
      <w:tblPr>
        <w:tblW w:w="4111"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533"/>
        <w:gridCol w:w="2534"/>
        <w:gridCol w:w="2532"/>
      </w:tblGrid>
      <w:tr>
        <w:trPr>
          <w:trHeight w:val="247"/>
        </w:trPr>
        <w:tc>
          <w:tcPr>
            <w:tcW w:w="1667" w:type="pct"/>
            <w:shd w:val="clear" w:color="auto" w:fill="auto"/>
            <w:noWrap/>
            <w:hideMark/>
          </w:tcPr>
          <w:p>
            <w:pPr>
              <w:spacing w:after="0" w:line="240" w:lineRule="auto"/>
              <w:ind w:right="57"/>
              <w:rPr>
                <w:rFonts w:ascii="Times New Roman" w:eastAsia="Times New Roman" w:hAnsi="Times New Roman"/>
                <w:b/>
                <w:bCs/>
                <w:noProof/>
                <w:color w:val="000000"/>
                <w:sz w:val="20"/>
                <w:szCs w:val="20"/>
              </w:rPr>
            </w:pPr>
            <w:r>
              <w:rPr>
                <w:rFonts w:ascii="Times New Roman" w:hAnsi="Times New Roman"/>
                <w:b/>
                <w:noProof/>
                <w:sz w:val="20"/>
                <w:szCs w:val="20"/>
              </w:rPr>
              <w:t>Skambju ta’ krediti internazzjonali sal-aħħar ta’ Ġunju 2020 minn:</w:t>
            </w:r>
          </w:p>
        </w:tc>
        <w:tc>
          <w:tcPr>
            <w:tcW w:w="1667" w:type="pct"/>
            <w:shd w:val="clear" w:color="auto" w:fill="auto"/>
            <w:noWrap/>
            <w:hideMark/>
          </w:tcPr>
          <w:p>
            <w:pPr>
              <w:spacing w:after="0" w:line="240" w:lineRule="auto"/>
              <w:ind w:right="57"/>
              <w:jc w:val="center"/>
              <w:rPr>
                <w:rFonts w:ascii="Times New Roman" w:eastAsia="Times New Roman" w:hAnsi="Times New Roman"/>
                <w:b/>
                <w:noProof/>
                <w:sz w:val="20"/>
                <w:szCs w:val="20"/>
              </w:rPr>
            </w:pPr>
            <w:r>
              <w:rPr>
                <w:rFonts w:ascii="Times New Roman" w:hAnsi="Times New Roman"/>
                <w:b/>
                <w:noProof/>
                <w:sz w:val="20"/>
                <w:szCs w:val="20"/>
              </w:rPr>
              <w:t>CERs</w:t>
            </w:r>
          </w:p>
          <w:p>
            <w:pPr>
              <w:spacing w:after="0" w:line="240" w:lineRule="auto"/>
              <w:ind w:right="57"/>
              <w:jc w:val="center"/>
              <w:rPr>
                <w:rFonts w:ascii="Times New Roman" w:eastAsia="Times New Roman" w:hAnsi="Times New Roman"/>
                <w:b/>
                <w:bCs/>
                <w:noProof/>
                <w:color w:val="000000"/>
                <w:sz w:val="20"/>
                <w:szCs w:val="20"/>
              </w:rPr>
            </w:pPr>
            <w:r>
              <w:rPr>
                <w:rFonts w:ascii="Times New Roman" w:hAnsi="Times New Roman"/>
                <w:b/>
                <w:noProof/>
                <w:sz w:val="20"/>
                <w:szCs w:val="20"/>
              </w:rPr>
              <w:t xml:space="preserve">f’miljuni  </w:t>
            </w:r>
          </w:p>
        </w:tc>
        <w:tc>
          <w:tcPr>
            <w:tcW w:w="1666" w:type="pct"/>
            <w:shd w:val="clear" w:color="auto" w:fill="auto"/>
            <w:noWrap/>
            <w:hideMark/>
          </w:tcPr>
          <w:p>
            <w:pPr>
              <w:spacing w:after="0" w:line="240" w:lineRule="auto"/>
              <w:ind w:right="57"/>
              <w:jc w:val="center"/>
              <w:rPr>
                <w:rFonts w:ascii="Times New Roman" w:eastAsia="Times New Roman" w:hAnsi="Times New Roman"/>
                <w:b/>
                <w:noProof/>
                <w:sz w:val="20"/>
                <w:szCs w:val="20"/>
              </w:rPr>
            </w:pPr>
            <w:r>
              <w:rPr>
                <w:rFonts w:ascii="Times New Roman" w:hAnsi="Times New Roman"/>
                <w:b/>
                <w:noProof/>
                <w:sz w:val="20"/>
                <w:szCs w:val="20"/>
              </w:rPr>
              <w:t>ERUs</w:t>
            </w:r>
          </w:p>
          <w:p>
            <w:pPr>
              <w:spacing w:after="0" w:line="240" w:lineRule="auto"/>
              <w:ind w:right="57"/>
              <w:jc w:val="center"/>
              <w:rPr>
                <w:rFonts w:ascii="Times New Roman" w:eastAsia="Times New Roman" w:hAnsi="Times New Roman"/>
                <w:b/>
                <w:bCs/>
                <w:noProof/>
                <w:color w:val="000000"/>
                <w:sz w:val="20"/>
                <w:szCs w:val="20"/>
              </w:rPr>
            </w:pPr>
            <w:r>
              <w:rPr>
                <w:rFonts w:ascii="Times New Roman" w:hAnsi="Times New Roman"/>
                <w:b/>
                <w:noProof/>
                <w:sz w:val="20"/>
                <w:szCs w:val="20"/>
              </w:rPr>
              <w:t xml:space="preserve">f’miljuni </w:t>
            </w:r>
          </w:p>
        </w:tc>
      </w:tr>
      <w:tr>
        <w:trPr>
          <w:trHeight w:val="247"/>
        </w:trPr>
        <w:tc>
          <w:tcPr>
            <w:tcW w:w="1667" w:type="pct"/>
            <w:shd w:val="clear" w:color="auto" w:fill="auto"/>
            <w:noWrap/>
            <w:hideMark/>
          </w:tcPr>
          <w:p>
            <w:pPr>
              <w:spacing w:after="120" w:line="240" w:lineRule="auto"/>
              <w:ind w:right="57"/>
              <w:rPr>
                <w:rFonts w:ascii="Times New Roman" w:eastAsia="Times New Roman" w:hAnsi="Times New Roman"/>
                <w:bCs/>
                <w:noProof/>
                <w:color w:val="000000"/>
                <w:sz w:val="20"/>
                <w:szCs w:val="20"/>
              </w:rPr>
            </w:pPr>
            <w:r>
              <w:rPr>
                <w:rFonts w:ascii="Times New Roman" w:hAnsi="Times New Roman"/>
                <w:noProof/>
                <w:sz w:val="20"/>
                <w:szCs w:val="20"/>
              </w:rPr>
              <w:t>Installazzjonijiet stazzjonarji</w:t>
            </w:r>
          </w:p>
        </w:tc>
        <w:tc>
          <w:tcPr>
            <w:tcW w:w="1667" w:type="pct"/>
            <w:shd w:val="clear" w:color="auto" w:fill="auto"/>
            <w:noWrap/>
            <w:hideMark/>
          </w:tcPr>
          <w:p>
            <w:pPr>
              <w:spacing w:after="120" w:line="240" w:lineRule="auto"/>
              <w:ind w:right="57"/>
              <w:jc w:val="center"/>
              <w:rPr>
                <w:rFonts w:ascii="Times New Roman" w:eastAsia="Times New Roman" w:hAnsi="Times New Roman"/>
                <w:bCs/>
                <w:noProof/>
                <w:color w:val="000000"/>
                <w:sz w:val="20"/>
                <w:szCs w:val="20"/>
              </w:rPr>
            </w:pPr>
            <w:r>
              <w:rPr>
                <w:rFonts w:ascii="Times New Roman" w:hAnsi="Times New Roman"/>
                <w:noProof/>
                <w:sz w:val="20"/>
                <w:szCs w:val="20"/>
              </w:rPr>
              <w:t>282,54</w:t>
            </w:r>
          </w:p>
        </w:tc>
        <w:tc>
          <w:tcPr>
            <w:tcW w:w="1666" w:type="pct"/>
            <w:shd w:val="clear" w:color="auto" w:fill="auto"/>
            <w:noWrap/>
            <w:hideMark/>
          </w:tcPr>
          <w:p>
            <w:pPr>
              <w:spacing w:after="120"/>
              <w:jc w:val="center"/>
              <w:rPr>
                <w:rFonts w:ascii="Times New Roman" w:hAnsi="Times New Roman"/>
                <w:noProof/>
                <w:sz w:val="20"/>
                <w:szCs w:val="20"/>
              </w:rPr>
            </w:pPr>
            <w:r>
              <w:rPr>
                <w:rFonts w:ascii="Times New Roman" w:hAnsi="Times New Roman"/>
                <w:noProof/>
                <w:sz w:val="20"/>
                <w:szCs w:val="20"/>
              </w:rPr>
              <w:t>191,25</w:t>
            </w:r>
          </w:p>
        </w:tc>
      </w:tr>
      <w:tr>
        <w:trPr>
          <w:trHeight w:val="237"/>
        </w:trPr>
        <w:tc>
          <w:tcPr>
            <w:tcW w:w="1667" w:type="pct"/>
            <w:shd w:val="clear" w:color="auto" w:fill="auto"/>
            <w:noWrap/>
            <w:hideMark/>
          </w:tcPr>
          <w:p>
            <w:pPr>
              <w:spacing w:after="120" w:line="240" w:lineRule="auto"/>
              <w:ind w:right="57"/>
              <w:rPr>
                <w:rFonts w:ascii="Times New Roman" w:eastAsia="Times New Roman" w:hAnsi="Times New Roman"/>
                <w:noProof/>
                <w:color w:val="000000"/>
                <w:sz w:val="20"/>
                <w:szCs w:val="20"/>
              </w:rPr>
            </w:pPr>
            <w:r>
              <w:rPr>
                <w:rFonts w:ascii="Times New Roman" w:hAnsi="Times New Roman"/>
                <w:noProof/>
                <w:sz w:val="20"/>
                <w:szCs w:val="20"/>
              </w:rPr>
              <w:t xml:space="preserve">Operaturi tal-avjazzjoni </w:t>
            </w:r>
          </w:p>
        </w:tc>
        <w:tc>
          <w:tcPr>
            <w:tcW w:w="1667" w:type="pct"/>
            <w:shd w:val="clear" w:color="auto" w:fill="auto"/>
            <w:noWrap/>
          </w:tcPr>
          <w:p>
            <w:pPr>
              <w:spacing w:after="120" w:line="240" w:lineRule="auto"/>
              <w:ind w:right="57"/>
              <w:jc w:val="center"/>
              <w:rPr>
                <w:rFonts w:ascii="Times New Roman" w:eastAsia="Times New Roman" w:hAnsi="Times New Roman"/>
                <w:noProof/>
                <w:sz w:val="20"/>
                <w:szCs w:val="20"/>
              </w:rPr>
            </w:pPr>
            <w:r>
              <w:rPr>
                <w:rFonts w:ascii="Times New Roman" w:hAnsi="Times New Roman"/>
                <w:noProof/>
                <w:sz w:val="20"/>
                <w:szCs w:val="20"/>
              </w:rPr>
              <w:t>6,32</w:t>
            </w:r>
          </w:p>
        </w:tc>
        <w:tc>
          <w:tcPr>
            <w:tcW w:w="1666" w:type="pct"/>
            <w:shd w:val="clear" w:color="auto" w:fill="auto"/>
            <w:noWrap/>
          </w:tcPr>
          <w:p>
            <w:pPr>
              <w:spacing w:after="120"/>
              <w:jc w:val="center"/>
              <w:rPr>
                <w:rFonts w:ascii="Times New Roman" w:hAnsi="Times New Roman"/>
                <w:noProof/>
                <w:sz w:val="20"/>
                <w:szCs w:val="20"/>
              </w:rPr>
            </w:pPr>
            <w:r>
              <w:rPr>
                <w:rFonts w:ascii="Times New Roman" w:hAnsi="Times New Roman"/>
                <w:noProof/>
                <w:sz w:val="20"/>
                <w:szCs w:val="20"/>
              </w:rPr>
              <w:t>0,82</w:t>
            </w:r>
          </w:p>
        </w:tc>
      </w:tr>
      <w:tr>
        <w:trPr>
          <w:trHeight w:val="269"/>
        </w:trPr>
        <w:tc>
          <w:tcPr>
            <w:tcW w:w="1667" w:type="pct"/>
            <w:shd w:val="clear" w:color="auto" w:fill="auto"/>
            <w:noWrap/>
          </w:tcPr>
          <w:p>
            <w:pPr>
              <w:spacing w:after="120" w:line="240" w:lineRule="auto"/>
              <w:ind w:right="57"/>
              <w:rPr>
                <w:rFonts w:ascii="Times New Roman" w:eastAsia="Times New Roman" w:hAnsi="Times New Roman"/>
                <w:b/>
                <w:noProof/>
                <w:sz w:val="20"/>
                <w:szCs w:val="20"/>
              </w:rPr>
            </w:pPr>
            <w:r>
              <w:rPr>
                <w:rFonts w:ascii="Times New Roman" w:hAnsi="Times New Roman"/>
                <w:b/>
                <w:noProof/>
                <w:sz w:val="20"/>
                <w:szCs w:val="20"/>
              </w:rPr>
              <w:t>TOTAL</w:t>
            </w:r>
          </w:p>
        </w:tc>
        <w:tc>
          <w:tcPr>
            <w:tcW w:w="1667" w:type="pct"/>
            <w:shd w:val="clear" w:color="auto" w:fill="auto"/>
            <w:noWrap/>
          </w:tcPr>
          <w:p>
            <w:pPr>
              <w:spacing w:after="120" w:line="240" w:lineRule="auto"/>
              <w:ind w:right="57"/>
              <w:jc w:val="center"/>
              <w:rPr>
                <w:rFonts w:ascii="Times New Roman" w:eastAsia="Times New Roman" w:hAnsi="Times New Roman"/>
                <w:b/>
                <w:noProof/>
                <w:sz w:val="20"/>
                <w:szCs w:val="20"/>
              </w:rPr>
            </w:pPr>
            <w:r>
              <w:rPr>
                <w:rFonts w:ascii="Times New Roman" w:hAnsi="Times New Roman"/>
                <w:b/>
                <w:noProof/>
                <w:sz w:val="20"/>
                <w:szCs w:val="20"/>
              </w:rPr>
              <w:t>288,86</w:t>
            </w:r>
          </w:p>
        </w:tc>
        <w:tc>
          <w:tcPr>
            <w:tcW w:w="1666" w:type="pct"/>
            <w:shd w:val="clear" w:color="auto" w:fill="auto"/>
            <w:noWrap/>
          </w:tcPr>
          <w:p>
            <w:pPr>
              <w:spacing w:after="120"/>
              <w:jc w:val="center"/>
              <w:rPr>
                <w:rFonts w:ascii="Times New Roman" w:hAnsi="Times New Roman"/>
                <w:b/>
                <w:noProof/>
                <w:sz w:val="20"/>
                <w:szCs w:val="20"/>
              </w:rPr>
            </w:pPr>
            <w:r>
              <w:rPr>
                <w:rFonts w:ascii="Times New Roman" w:hAnsi="Times New Roman"/>
                <w:b/>
                <w:noProof/>
                <w:sz w:val="20"/>
                <w:szCs w:val="20"/>
              </w:rPr>
              <w:t>192,07</w:t>
            </w:r>
          </w:p>
        </w:tc>
      </w:tr>
    </w:tbl>
    <w:p>
      <w:pPr>
        <w:rPr>
          <w:rFonts w:ascii="Times New Roman" w:hAnsi="Times New Roman"/>
          <w:b/>
          <w:noProof/>
          <w:sz w:val="18"/>
          <w:szCs w:val="18"/>
        </w:rPr>
      </w:pPr>
      <w:r>
        <w:rPr>
          <w:rFonts w:ascii="Times New Roman" w:hAnsi="Times New Roman"/>
          <w:b/>
          <w:noProof/>
          <w:sz w:val="18"/>
          <w:szCs w:val="18"/>
        </w:rPr>
        <w:t>Sors: EUTL</w:t>
      </w:r>
    </w:p>
    <w:p>
      <w:pPr>
        <w:rPr>
          <w:rFonts w:ascii="Times New Roman" w:hAnsi="Times New Roman"/>
          <w:b/>
          <w:noProof/>
        </w:rPr>
      </w:pPr>
    </w:p>
    <w:p>
      <w:pPr>
        <w:rPr>
          <w:rFonts w:ascii="Times New Roman" w:hAnsi="Times New Roman"/>
          <w:b/>
          <w:noProof/>
        </w:rPr>
      </w:pPr>
      <w:r>
        <w:rPr>
          <w:rFonts w:ascii="Times New Roman" w:hAnsi="Times New Roman"/>
          <w:b/>
          <w:noProof/>
        </w:rPr>
        <w:t>Appendiċi 4</w:t>
      </w:r>
    </w:p>
    <w:p>
      <w:pPr>
        <w:rPr>
          <w:rFonts w:ascii="Times New Roman" w:hAnsi="Times New Roman"/>
          <w:b/>
          <w:noProof/>
        </w:rPr>
      </w:pPr>
      <w:r>
        <w:rPr>
          <w:rFonts w:ascii="Times New Roman" w:hAnsi="Times New Roman"/>
          <w:b/>
          <w:noProof/>
          <w:sz w:val="20"/>
          <w:szCs w:val="20"/>
        </w:rPr>
        <w:t>Tabella 4.1 L-emissjonijiet mill-installazzjonijiet ivverifikati mill-ETS li mhumiex</w:t>
      </w:r>
      <w:r>
        <w:rPr>
          <w:rFonts w:ascii="Times New Roman" w:hAnsi="Times New Roman"/>
          <w:b/>
          <w:bCs/>
          <w:noProof/>
          <w:color w:val="262626"/>
          <w:sz w:val="20"/>
          <w:szCs w:val="20"/>
        </w:rPr>
        <w:t>CO</w:t>
      </w:r>
      <w:r>
        <w:rPr>
          <w:rFonts w:ascii="Times New Roman" w:hAnsi="Times New Roman"/>
          <w:b/>
          <w:bCs/>
          <w:noProof/>
          <w:color w:val="262626"/>
          <w:sz w:val="20"/>
          <w:szCs w:val="20"/>
          <w:bdr w:val="none" w:sz="0" w:space="0" w:color="auto" w:frame="1"/>
          <w:vertAlign w:val="subscript"/>
        </w:rPr>
        <w:t>2</w:t>
      </w:r>
      <w:r>
        <w:rPr>
          <w:rFonts w:ascii="Times New Roman" w:hAnsi="Times New Roman"/>
          <w:b/>
          <w:noProof/>
          <w:sz w:val="20"/>
          <w:szCs w:val="20"/>
        </w:rPr>
        <w:t xml:space="preserve"> skont it-tip ta’ gass serra 2013-2019 (f’miljuni ta’ tunnellati)</w:t>
      </w:r>
      <w:r>
        <w:rPr>
          <w:rFonts w:ascii="Times New Roman" w:hAnsi="Times New Roman"/>
          <w:b/>
          <w:noProof/>
        </w:rPr>
        <w:t>)</w:t>
      </w:r>
      <w:r>
        <w:rPr>
          <w:rStyle w:val="FootnoteReference"/>
          <w:rFonts w:ascii="Times New Roman" w:hAnsi="Times New Roman"/>
          <w:b/>
          <w:noProof/>
        </w:rPr>
        <w:footnoteReference w:id="93"/>
      </w:r>
      <w:r>
        <w:rPr>
          <w:rFonts w:ascii="Times New Roman" w:hAnsi="Times New Roman"/>
          <w:b/>
          <w:noProof/>
        </w:rPr>
        <w:fldChar w:fldCharType="begin"/>
      </w:r>
      <w:r>
        <w:rPr>
          <w:rFonts w:ascii="Times New Roman" w:hAnsi="Times New Roman"/>
          <w:b/>
          <w:noProof/>
        </w:rPr>
        <w:instrText xml:space="preserve"> LINK Excel.Sheet.12 "\\\\net1.cec.eu.int\\CLIMA\\B\\1\\23.01 General\\23.01-7.6 Carbon market reports\\2019\\Copy of Report emissions_N2O_PFC_CO2.xlsx" Sheet1!R20C1:R24C9 \a \f 5 \h  \* MERGEFORMAT </w:instrText>
      </w:r>
      <w:r>
        <w:rPr>
          <w:rFonts w:ascii="Times New Roman" w:hAnsi="Times New Roman"/>
          <w:b/>
          <w:noProof/>
        </w:rPr>
        <w:fldChar w:fldCharType="separate"/>
      </w:r>
    </w:p>
    <w:tbl>
      <w:tblPr>
        <w:tblStyle w:val="TableGrid"/>
        <w:tblpPr w:leftFromText="180" w:rightFromText="180" w:vertAnchor="text" w:tblpY="1"/>
        <w:tblOverlap w:val="never"/>
        <w:tblW w:w="77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2"/>
        <w:gridCol w:w="973"/>
        <w:gridCol w:w="972"/>
        <w:gridCol w:w="973"/>
        <w:gridCol w:w="973"/>
        <w:gridCol w:w="973"/>
        <w:gridCol w:w="973"/>
        <w:gridCol w:w="973"/>
      </w:tblGrid>
      <w:tr>
        <w:trPr>
          <w:trHeight w:val="506"/>
        </w:trPr>
        <w:tc>
          <w:tcPr>
            <w:tcW w:w="972" w:type="dxa"/>
            <w:noWrap/>
            <w:vAlign w:val="center"/>
            <w:hideMark/>
          </w:tcPr>
          <w:p>
            <w:pPr>
              <w:rPr>
                <w:rFonts w:ascii="Times New Roman" w:hAnsi="Times New Roman"/>
                <w:noProof/>
              </w:rPr>
            </w:pPr>
          </w:p>
        </w:tc>
        <w:tc>
          <w:tcPr>
            <w:tcW w:w="973" w:type="dxa"/>
            <w:noWrap/>
            <w:vAlign w:val="center"/>
            <w:hideMark/>
          </w:tcPr>
          <w:p>
            <w:pPr>
              <w:jc w:val="center"/>
              <w:rPr>
                <w:rFonts w:ascii="Times New Roman" w:hAnsi="Times New Roman"/>
                <w:b/>
                <w:noProof/>
              </w:rPr>
            </w:pPr>
            <w:r>
              <w:rPr>
                <w:rFonts w:ascii="Times New Roman" w:hAnsi="Times New Roman"/>
                <w:b/>
                <w:noProof/>
              </w:rPr>
              <w:t>2013</w:t>
            </w:r>
          </w:p>
        </w:tc>
        <w:tc>
          <w:tcPr>
            <w:tcW w:w="972" w:type="dxa"/>
            <w:noWrap/>
            <w:vAlign w:val="center"/>
            <w:hideMark/>
          </w:tcPr>
          <w:p>
            <w:pPr>
              <w:jc w:val="center"/>
              <w:rPr>
                <w:rFonts w:ascii="Times New Roman" w:hAnsi="Times New Roman"/>
                <w:b/>
                <w:noProof/>
              </w:rPr>
            </w:pPr>
            <w:r>
              <w:rPr>
                <w:rFonts w:ascii="Times New Roman" w:hAnsi="Times New Roman"/>
                <w:b/>
                <w:noProof/>
              </w:rPr>
              <w:t>2014</w:t>
            </w:r>
          </w:p>
        </w:tc>
        <w:tc>
          <w:tcPr>
            <w:tcW w:w="973" w:type="dxa"/>
            <w:noWrap/>
            <w:vAlign w:val="center"/>
            <w:hideMark/>
          </w:tcPr>
          <w:p>
            <w:pPr>
              <w:jc w:val="center"/>
              <w:rPr>
                <w:rFonts w:ascii="Times New Roman" w:hAnsi="Times New Roman"/>
                <w:b/>
                <w:noProof/>
              </w:rPr>
            </w:pPr>
            <w:r>
              <w:rPr>
                <w:rFonts w:ascii="Times New Roman" w:hAnsi="Times New Roman"/>
                <w:b/>
                <w:noProof/>
              </w:rPr>
              <w:t>2015</w:t>
            </w:r>
          </w:p>
        </w:tc>
        <w:tc>
          <w:tcPr>
            <w:tcW w:w="973" w:type="dxa"/>
            <w:noWrap/>
            <w:vAlign w:val="center"/>
            <w:hideMark/>
          </w:tcPr>
          <w:p>
            <w:pPr>
              <w:jc w:val="center"/>
              <w:rPr>
                <w:rFonts w:ascii="Times New Roman" w:hAnsi="Times New Roman"/>
                <w:b/>
                <w:noProof/>
              </w:rPr>
            </w:pPr>
            <w:r>
              <w:rPr>
                <w:rFonts w:ascii="Times New Roman" w:hAnsi="Times New Roman"/>
                <w:b/>
                <w:noProof/>
              </w:rPr>
              <w:t>2016</w:t>
            </w:r>
          </w:p>
        </w:tc>
        <w:tc>
          <w:tcPr>
            <w:tcW w:w="973" w:type="dxa"/>
            <w:noWrap/>
            <w:vAlign w:val="center"/>
            <w:hideMark/>
          </w:tcPr>
          <w:p>
            <w:pPr>
              <w:jc w:val="center"/>
              <w:rPr>
                <w:rFonts w:ascii="Times New Roman" w:hAnsi="Times New Roman"/>
                <w:b/>
                <w:noProof/>
              </w:rPr>
            </w:pPr>
            <w:r>
              <w:rPr>
                <w:rFonts w:ascii="Times New Roman" w:hAnsi="Times New Roman"/>
                <w:b/>
                <w:noProof/>
              </w:rPr>
              <w:t>2017</w:t>
            </w:r>
          </w:p>
        </w:tc>
        <w:tc>
          <w:tcPr>
            <w:tcW w:w="973" w:type="dxa"/>
            <w:noWrap/>
            <w:vAlign w:val="center"/>
            <w:hideMark/>
          </w:tcPr>
          <w:p>
            <w:pPr>
              <w:jc w:val="center"/>
              <w:rPr>
                <w:rFonts w:ascii="Times New Roman" w:hAnsi="Times New Roman"/>
                <w:b/>
                <w:noProof/>
              </w:rPr>
            </w:pPr>
            <w:r>
              <w:rPr>
                <w:rFonts w:ascii="Times New Roman" w:hAnsi="Times New Roman"/>
                <w:b/>
                <w:noProof/>
              </w:rPr>
              <w:t>2018</w:t>
            </w:r>
          </w:p>
        </w:tc>
        <w:tc>
          <w:tcPr>
            <w:tcW w:w="973" w:type="dxa"/>
            <w:vAlign w:val="center"/>
          </w:tcPr>
          <w:p>
            <w:pPr>
              <w:jc w:val="center"/>
              <w:rPr>
                <w:rFonts w:ascii="Times New Roman" w:hAnsi="Times New Roman"/>
                <w:b/>
                <w:noProof/>
              </w:rPr>
            </w:pPr>
            <w:r>
              <w:rPr>
                <w:rFonts w:ascii="Times New Roman" w:hAnsi="Times New Roman"/>
                <w:b/>
                <w:noProof/>
              </w:rPr>
              <w:t>2019</w:t>
            </w:r>
          </w:p>
        </w:tc>
      </w:tr>
      <w:tr>
        <w:trPr>
          <w:trHeight w:val="506"/>
        </w:trPr>
        <w:tc>
          <w:tcPr>
            <w:tcW w:w="972" w:type="dxa"/>
            <w:noWrap/>
            <w:vAlign w:val="center"/>
            <w:hideMark/>
          </w:tcPr>
          <w:p>
            <w:pPr>
              <w:rPr>
                <w:rFonts w:ascii="Times New Roman" w:hAnsi="Times New Roman"/>
                <w:b/>
                <w:noProof/>
              </w:rPr>
            </w:pPr>
            <w:r>
              <w:rPr>
                <w:rFonts w:ascii="Times New Roman" w:hAnsi="Times New Roman"/>
                <w:b/>
                <w:noProof/>
              </w:rPr>
              <w:t>PFCs</w:t>
            </w:r>
          </w:p>
        </w:tc>
        <w:tc>
          <w:tcPr>
            <w:tcW w:w="973" w:type="dxa"/>
            <w:noWrap/>
            <w:vAlign w:val="center"/>
            <w:hideMark/>
          </w:tcPr>
          <w:p>
            <w:pPr>
              <w:jc w:val="center"/>
              <w:rPr>
                <w:rFonts w:ascii="Times New Roman" w:hAnsi="Times New Roman"/>
                <w:noProof/>
              </w:rPr>
            </w:pPr>
            <w:r>
              <w:rPr>
                <w:rFonts w:ascii="Times New Roman" w:hAnsi="Times New Roman"/>
                <w:noProof/>
              </w:rPr>
              <w:t>0.40</w:t>
            </w:r>
          </w:p>
        </w:tc>
        <w:tc>
          <w:tcPr>
            <w:tcW w:w="972" w:type="dxa"/>
            <w:noWrap/>
            <w:vAlign w:val="center"/>
            <w:hideMark/>
          </w:tcPr>
          <w:p>
            <w:pPr>
              <w:jc w:val="center"/>
              <w:rPr>
                <w:rFonts w:ascii="Times New Roman" w:hAnsi="Times New Roman"/>
                <w:noProof/>
              </w:rPr>
            </w:pPr>
            <w:r>
              <w:rPr>
                <w:rFonts w:ascii="Times New Roman" w:hAnsi="Times New Roman"/>
                <w:noProof/>
              </w:rPr>
              <w:t>0.74</w:t>
            </w:r>
          </w:p>
        </w:tc>
        <w:tc>
          <w:tcPr>
            <w:tcW w:w="973" w:type="dxa"/>
            <w:noWrap/>
            <w:vAlign w:val="center"/>
            <w:hideMark/>
          </w:tcPr>
          <w:p>
            <w:pPr>
              <w:jc w:val="center"/>
              <w:rPr>
                <w:rFonts w:ascii="Times New Roman" w:hAnsi="Times New Roman"/>
                <w:noProof/>
              </w:rPr>
            </w:pPr>
            <w:r>
              <w:rPr>
                <w:rFonts w:ascii="Times New Roman" w:hAnsi="Times New Roman"/>
                <w:noProof/>
              </w:rPr>
              <w:t>0.58</w:t>
            </w:r>
          </w:p>
        </w:tc>
        <w:tc>
          <w:tcPr>
            <w:tcW w:w="973" w:type="dxa"/>
            <w:noWrap/>
            <w:vAlign w:val="center"/>
            <w:hideMark/>
          </w:tcPr>
          <w:p>
            <w:pPr>
              <w:jc w:val="center"/>
              <w:rPr>
                <w:rFonts w:ascii="Times New Roman" w:hAnsi="Times New Roman"/>
                <w:noProof/>
              </w:rPr>
            </w:pPr>
            <w:r>
              <w:rPr>
                <w:rFonts w:ascii="Times New Roman" w:hAnsi="Times New Roman"/>
                <w:noProof/>
              </w:rPr>
              <w:t>0.64</w:t>
            </w:r>
          </w:p>
        </w:tc>
        <w:tc>
          <w:tcPr>
            <w:tcW w:w="973" w:type="dxa"/>
            <w:noWrap/>
            <w:vAlign w:val="center"/>
            <w:hideMark/>
          </w:tcPr>
          <w:p>
            <w:pPr>
              <w:jc w:val="center"/>
              <w:rPr>
                <w:rFonts w:ascii="Times New Roman" w:hAnsi="Times New Roman"/>
                <w:noProof/>
              </w:rPr>
            </w:pPr>
            <w:r>
              <w:rPr>
                <w:rFonts w:ascii="Times New Roman" w:hAnsi="Times New Roman"/>
                <w:noProof/>
              </w:rPr>
              <w:t>0.51</w:t>
            </w:r>
          </w:p>
        </w:tc>
        <w:tc>
          <w:tcPr>
            <w:tcW w:w="973" w:type="dxa"/>
            <w:noWrap/>
            <w:vAlign w:val="center"/>
            <w:hideMark/>
          </w:tcPr>
          <w:p>
            <w:pPr>
              <w:jc w:val="center"/>
              <w:rPr>
                <w:rFonts w:ascii="Times New Roman" w:hAnsi="Times New Roman"/>
                <w:noProof/>
              </w:rPr>
            </w:pPr>
            <w:r>
              <w:rPr>
                <w:rFonts w:ascii="Times New Roman" w:hAnsi="Times New Roman"/>
                <w:noProof/>
              </w:rPr>
              <w:t>0.64</w:t>
            </w:r>
          </w:p>
        </w:tc>
        <w:tc>
          <w:tcPr>
            <w:tcW w:w="973" w:type="dxa"/>
            <w:vAlign w:val="center"/>
          </w:tcPr>
          <w:p>
            <w:pPr>
              <w:jc w:val="center"/>
              <w:rPr>
                <w:rFonts w:ascii="Times New Roman" w:hAnsi="Times New Roman"/>
                <w:noProof/>
              </w:rPr>
            </w:pPr>
            <w:r>
              <w:rPr>
                <w:rFonts w:ascii="Times New Roman" w:hAnsi="Times New Roman"/>
                <w:noProof/>
              </w:rPr>
              <w:t>0.57</w:t>
            </w:r>
          </w:p>
        </w:tc>
      </w:tr>
      <w:tr>
        <w:trPr>
          <w:trHeight w:val="506"/>
        </w:trPr>
        <w:tc>
          <w:tcPr>
            <w:tcW w:w="972" w:type="dxa"/>
            <w:noWrap/>
            <w:vAlign w:val="center"/>
            <w:hideMark/>
          </w:tcPr>
          <w:p>
            <w:pPr>
              <w:rPr>
                <w:rFonts w:ascii="Times New Roman" w:hAnsi="Times New Roman"/>
                <w:b/>
                <w:noProof/>
              </w:rPr>
            </w:pPr>
            <w:r>
              <w:rPr>
                <w:rFonts w:ascii="Times New Roman" w:hAnsi="Times New Roman"/>
                <w:b/>
                <w:bCs/>
                <w:noProof/>
                <w:color w:val="262626"/>
              </w:rPr>
              <w:t>N</w:t>
            </w:r>
            <w:r>
              <w:rPr>
                <w:rFonts w:ascii="Times New Roman" w:hAnsi="Times New Roman"/>
                <w:b/>
                <w:bCs/>
                <w:noProof/>
                <w:color w:val="262626"/>
                <w:bdr w:val="none" w:sz="0" w:space="0" w:color="auto" w:frame="1"/>
                <w:vertAlign w:val="subscript"/>
              </w:rPr>
              <w:t>2</w:t>
            </w:r>
            <w:r>
              <w:rPr>
                <w:rFonts w:ascii="Times New Roman" w:hAnsi="Times New Roman"/>
                <w:b/>
                <w:bCs/>
                <w:noProof/>
                <w:color w:val="262626"/>
              </w:rPr>
              <w:t>O</w:t>
            </w:r>
          </w:p>
        </w:tc>
        <w:tc>
          <w:tcPr>
            <w:tcW w:w="973" w:type="dxa"/>
            <w:noWrap/>
            <w:vAlign w:val="center"/>
            <w:hideMark/>
          </w:tcPr>
          <w:p>
            <w:pPr>
              <w:jc w:val="center"/>
              <w:rPr>
                <w:rFonts w:ascii="Times New Roman" w:hAnsi="Times New Roman"/>
                <w:noProof/>
              </w:rPr>
            </w:pPr>
            <w:r>
              <w:rPr>
                <w:rFonts w:ascii="Times New Roman" w:hAnsi="Times New Roman"/>
                <w:noProof/>
              </w:rPr>
              <w:t>2.48</w:t>
            </w:r>
          </w:p>
        </w:tc>
        <w:tc>
          <w:tcPr>
            <w:tcW w:w="972" w:type="dxa"/>
            <w:noWrap/>
            <w:vAlign w:val="center"/>
            <w:hideMark/>
          </w:tcPr>
          <w:p>
            <w:pPr>
              <w:jc w:val="center"/>
              <w:rPr>
                <w:rFonts w:ascii="Times New Roman" w:hAnsi="Times New Roman"/>
                <w:noProof/>
              </w:rPr>
            </w:pPr>
            <w:r>
              <w:rPr>
                <w:rFonts w:ascii="Times New Roman" w:hAnsi="Times New Roman"/>
                <w:noProof/>
              </w:rPr>
              <w:t>5.48</w:t>
            </w:r>
          </w:p>
        </w:tc>
        <w:tc>
          <w:tcPr>
            <w:tcW w:w="973" w:type="dxa"/>
            <w:noWrap/>
            <w:vAlign w:val="center"/>
            <w:hideMark/>
          </w:tcPr>
          <w:p>
            <w:pPr>
              <w:jc w:val="center"/>
              <w:rPr>
                <w:rFonts w:ascii="Times New Roman" w:hAnsi="Times New Roman"/>
                <w:noProof/>
              </w:rPr>
            </w:pPr>
            <w:r>
              <w:rPr>
                <w:rFonts w:ascii="Times New Roman" w:hAnsi="Times New Roman"/>
                <w:noProof/>
              </w:rPr>
              <w:t>5.31</w:t>
            </w:r>
          </w:p>
        </w:tc>
        <w:tc>
          <w:tcPr>
            <w:tcW w:w="973" w:type="dxa"/>
            <w:noWrap/>
            <w:vAlign w:val="center"/>
            <w:hideMark/>
          </w:tcPr>
          <w:p>
            <w:pPr>
              <w:jc w:val="center"/>
              <w:rPr>
                <w:rFonts w:ascii="Times New Roman" w:hAnsi="Times New Roman"/>
                <w:noProof/>
              </w:rPr>
            </w:pPr>
            <w:r>
              <w:rPr>
                <w:rFonts w:ascii="Times New Roman" w:hAnsi="Times New Roman"/>
                <w:noProof/>
              </w:rPr>
              <w:t>4.62</w:t>
            </w:r>
          </w:p>
        </w:tc>
        <w:tc>
          <w:tcPr>
            <w:tcW w:w="973" w:type="dxa"/>
            <w:noWrap/>
            <w:vAlign w:val="center"/>
            <w:hideMark/>
          </w:tcPr>
          <w:p>
            <w:pPr>
              <w:jc w:val="center"/>
              <w:rPr>
                <w:rFonts w:ascii="Times New Roman" w:hAnsi="Times New Roman"/>
                <w:noProof/>
              </w:rPr>
            </w:pPr>
            <w:r>
              <w:rPr>
                <w:rFonts w:ascii="Times New Roman" w:hAnsi="Times New Roman"/>
                <w:noProof/>
              </w:rPr>
              <w:t>4.92</w:t>
            </w:r>
          </w:p>
        </w:tc>
        <w:tc>
          <w:tcPr>
            <w:tcW w:w="973" w:type="dxa"/>
            <w:noWrap/>
            <w:vAlign w:val="center"/>
            <w:hideMark/>
          </w:tcPr>
          <w:p>
            <w:pPr>
              <w:jc w:val="center"/>
              <w:rPr>
                <w:rFonts w:ascii="Times New Roman" w:hAnsi="Times New Roman"/>
                <w:noProof/>
              </w:rPr>
            </w:pPr>
            <w:r>
              <w:rPr>
                <w:rFonts w:ascii="Times New Roman" w:hAnsi="Times New Roman"/>
                <w:noProof/>
              </w:rPr>
              <w:t>4.108</w:t>
            </w:r>
          </w:p>
        </w:tc>
        <w:tc>
          <w:tcPr>
            <w:tcW w:w="973" w:type="dxa"/>
            <w:vAlign w:val="center"/>
          </w:tcPr>
          <w:p>
            <w:pPr>
              <w:jc w:val="center"/>
              <w:rPr>
                <w:rFonts w:ascii="Times New Roman" w:hAnsi="Times New Roman"/>
                <w:noProof/>
              </w:rPr>
            </w:pPr>
            <w:r>
              <w:rPr>
                <w:rFonts w:ascii="Times New Roman" w:hAnsi="Times New Roman"/>
                <w:noProof/>
              </w:rPr>
              <w:t>3.68</w:t>
            </w:r>
          </w:p>
        </w:tc>
      </w:tr>
    </w:tbl>
    <w:p>
      <w:pPr>
        <w:rPr>
          <w:rFonts w:ascii="Times New Roman" w:hAnsi="Times New Roman"/>
          <w:noProof/>
          <w:sz w:val="18"/>
          <w:szCs w:val="18"/>
        </w:rPr>
      </w:pPr>
      <w:r>
        <w:rPr>
          <w:rFonts w:ascii="Times New Roman" w:hAnsi="Times New Roman"/>
          <w:noProof/>
        </w:rPr>
        <w:fldChar w:fldCharType="end"/>
      </w:r>
      <w:r>
        <w:rPr>
          <w:noProof/>
        </w:rPr>
        <w:br w:type="textWrapping" w:clear="all"/>
      </w:r>
      <w:r>
        <w:rPr>
          <w:rFonts w:ascii="Times New Roman" w:hAnsi="Times New Roman"/>
          <w:noProof/>
          <w:sz w:val="18"/>
          <w:szCs w:val="18"/>
        </w:rPr>
        <w:t>Sors: EUTL</w:t>
      </w:r>
    </w:p>
    <w:p>
      <w:pPr>
        <w:rPr>
          <w:rFonts w:ascii="Times New Roman" w:hAnsi="Times New Roman"/>
          <w:b/>
          <w:noProof/>
        </w:rPr>
      </w:pPr>
    </w:p>
    <w:p>
      <w:pPr>
        <w:rPr>
          <w:rFonts w:ascii="Times New Roman" w:hAnsi="Times New Roman"/>
          <w:b/>
          <w:noProof/>
        </w:rPr>
      </w:pPr>
      <w:r>
        <w:rPr>
          <w:rFonts w:ascii="Times New Roman" w:hAnsi="Times New Roman"/>
          <w:b/>
          <w:noProof/>
        </w:rPr>
        <w:t>Appendiċi 5</w:t>
      </w:r>
    </w:p>
    <w:p>
      <w:pPr>
        <w:rPr>
          <w:rFonts w:ascii="Times New Roman" w:hAnsi="Times New Roman"/>
          <w:b/>
          <w:noProof/>
          <w:sz w:val="20"/>
          <w:szCs w:val="20"/>
        </w:rPr>
      </w:pPr>
      <w:r>
        <w:rPr>
          <w:rFonts w:ascii="Times New Roman" w:hAnsi="Times New Roman"/>
          <w:b/>
          <w:noProof/>
          <w:sz w:val="20"/>
          <w:szCs w:val="20"/>
        </w:rPr>
        <w:t>Tabella 5.1: Deċiżjonijiet magħżula tal-Qorti tal-Ġustizzja tal-UE rilevanti għall-funzjonament tal-EU ETS fil-perjodu minn Lulju 2019 sa Ġunju 2020</w:t>
      </w:r>
    </w:p>
    <w:tbl>
      <w:tblPr>
        <w:tblStyle w:val="TableGrid4"/>
        <w:tblW w:w="9565"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134"/>
        <w:gridCol w:w="1253"/>
        <w:gridCol w:w="1382"/>
        <w:gridCol w:w="2640"/>
        <w:gridCol w:w="753"/>
        <w:gridCol w:w="2403"/>
      </w:tblGrid>
      <w:tr>
        <w:trPr>
          <w:trHeight w:val="551"/>
        </w:trPr>
        <w:tc>
          <w:tcPr>
            <w:tcW w:w="1134" w:type="dxa"/>
            <w:vAlign w:val="center"/>
            <w:hideMark/>
          </w:tcPr>
          <w:p>
            <w:pPr>
              <w:rPr>
                <w:rFonts w:ascii="Times New Roman" w:hAnsi="Times New Roman"/>
                <w:b/>
                <w:bCs/>
                <w:noProof/>
                <w:sz w:val="20"/>
                <w:szCs w:val="20"/>
              </w:rPr>
            </w:pPr>
            <w:r>
              <w:rPr>
                <w:rFonts w:ascii="Times New Roman" w:hAnsi="Times New Roman"/>
                <w:b/>
                <w:bCs/>
                <w:noProof/>
                <w:sz w:val="20"/>
                <w:szCs w:val="20"/>
              </w:rPr>
              <w:t>Referenza tal-kawża</w:t>
            </w:r>
          </w:p>
        </w:tc>
        <w:tc>
          <w:tcPr>
            <w:tcW w:w="1253" w:type="dxa"/>
            <w:vAlign w:val="center"/>
          </w:tcPr>
          <w:p>
            <w:pPr>
              <w:rPr>
                <w:rFonts w:ascii="Times New Roman" w:hAnsi="Times New Roman"/>
                <w:b/>
                <w:noProof/>
                <w:sz w:val="20"/>
                <w:szCs w:val="20"/>
              </w:rPr>
            </w:pPr>
            <w:r>
              <w:rPr>
                <w:rFonts w:ascii="Times New Roman" w:hAnsi="Times New Roman"/>
                <w:b/>
                <w:noProof/>
                <w:sz w:val="20"/>
                <w:szCs w:val="20"/>
              </w:rPr>
              <w:t>Il-leġiżlazzjoni kkonċernata</w:t>
            </w:r>
          </w:p>
        </w:tc>
        <w:tc>
          <w:tcPr>
            <w:tcW w:w="1382" w:type="dxa"/>
            <w:vAlign w:val="center"/>
          </w:tcPr>
          <w:p>
            <w:pPr>
              <w:rPr>
                <w:rFonts w:ascii="Times New Roman" w:hAnsi="Times New Roman"/>
                <w:b/>
                <w:noProof/>
                <w:sz w:val="20"/>
                <w:szCs w:val="20"/>
              </w:rPr>
            </w:pPr>
            <w:r>
              <w:rPr>
                <w:rFonts w:ascii="Times New Roman" w:hAnsi="Times New Roman"/>
                <w:b/>
                <w:noProof/>
                <w:sz w:val="20"/>
                <w:szCs w:val="20"/>
              </w:rPr>
              <w:t>Partijiet</w:t>
            </w:r>
          </w:p>
        </w:tc>
        <w:tc>
          <w:tcPr>
            <w:tcW w:w="2640" w:type="dxa"/>
            <w:vAlign w:val="center"/>
          </w:tcPr>
          <w:p>
            <w:pPr>
              <w:jc w:val="center"/>
              <w:rPr>
                <w:rFonts w:ascii="Times New Roman" w:hAnsi="Times New Roman"/>
                <w:b/>
                <w:bCs/>
                <w:noProof/>
                <w:sz w:val="20"/>
                <w:szCs w:val="20"/>
              </w:rPr>
            </w:pPr>
            <w:r>
              <w:rPr>
                <w:rFonts w:ascii="Times New Roman" w:hAnsi="Times New Roman"/>
                <w:b/>
                <w:bCs/>
                <w:noProof/>
                <w:sz w:val="20"/>
                <w:szCs w:val="20"/>
              </w:rPr>
              <w:t>Kuntest tal-kawża</w:t>
            </w:r>
          </w:p>
        </w:tc>
        <w:tc>
          <w:tcPr>
            <w:tcW w:w="753" w:type="dxa"/>
            <w:vAlign w:val="center"/>
            <w:hideMark/>
          </w:tcPr>
          <w:p>
            <w:pPr>
              <w:jc w:val="center"/>
              <w:rPr>
                <w:rFonts w:ascii="Times New Roman" w:hAnsi="Times New Roman"/>
                <w:b/>
                <w:bCs/>
                <w:noProof/>
                <w:sz w:val="20"/>
                <w:szCs w:val="20"/>
              </w:rPr>
            </w:pPr>
            <w:r>
              <w:rPr>
                <w:rFonts w:ascii="Times New Roman" w:hAnsi="Times New Roman"/>
                <w:b/>
                <w:bCs/>
                <w:noProof/>
                <w:sz w:val="20"/>
                <w:szCs w:val="20"/>
              </w:rPr>
              <w:t>Data</w:t>
            </w:r>
          </w:p>
        </w:tc>
        <w:tc>
          <w:tcPr>
            <w:tcW w:w="2403" w:type="dxa"/>
            <w:vAlign w:val="center"/>
            <w:hideMark/>
          </w:tcPr>
          <w:p>
            <w:pPr>
              <w:jc w:val="center"/>
              <w:rPr>
                <w:rFonts w:ascii="Times New Roman" w:hAnsi="Times New Roman"/>
                <w:b/>
                <w:bCs/>
                <w:noProof/>
                <w:sz w:val="20"/>
                <w:szCs w:val="20"/>
              </w:rPr>
            </w:pPr>
            <w:r>
              <w:rPr>
                <w:rFonts w:ascii="Times New Roman" w:hAnsi="Times New Roman"/>
                <w:b/>
                <w:bCs/>
                <w:noProof/>
                <w:sz w:val="20"/>
                <w:szCs w:val="20"/>
              </w:rPr>
              <w:t>Konstatazzjonijiet tal-Qorti</w:t>
            </w:r>
          </w:p>
        </w:tc>
      </w:tr>
      <w:tr>
        <w:trPr>
          <w:trHeight w:val="1384"/>
        </w:trPr>
        <w:tc>
          <w:tcPr>
            <w:tcW w:w="1134" w:type="dxa"/>
          </w:tcPr>
          <w:p>
            <w:pPr>
              <w:rPr>
                <w:rFonts w:ascii="Times New Roman" w:hAnsi="Times New Roman"/>
                <w:bCs/>
                <w:noProof/>
                <w:sz w:val="20"/>
                <w:szCs w:val="20"/>
              </w:rPr>
            </w:pPr>
            <w:r>
              <w:rPr>
                <w:rFonts w:ascii="Times New Roman" w:hAnsi="Times New Roman"/>
                <w:noProof/>
                <w:sz w:val="20"/>
                <w:szCs w:val="20"/>
              </w:rPr>
              <w:t>Kawża C‑189/19</w:t>
            </w:r>
          </w:p>
        </w:tc>
        <w:tc>
          <w:tcPr>
            <w:tcW w:w="1253" w:type="dxa"/>
          </w:tcPr>
          <w:p>
            <w:pPr>
              <w:rPr>
                <w:rFonts w:ascii="Times New Roman" w:hAnsi="Times New Roman"/>
                <w:noProof/>
                <w:sz w:val="20"/>
                <w:szCs w:val="20"/>
              </w:rPr>
            </w:pPr>
            <w:r>
              <w:rPr>
                <w:rFonts w:ascii="Times New Roman" w:hAnsi="Times New Roman"/>
                <w:noProof/>
                <w:sz w:val="20"/>
                <w:szCs w:val="20"/>
              </w:rPr>
              <w:t>Deċiżjoni tal-Kummissjoni 2011/278</w:t>
            </w:r>
          </w:p>
        </w:tc>
        <w:tc>
          <w:tcPr>
            <w:tcW w:w="1382" w:type="dxa"/>
          </w:tcPr>
          <w:p>
            <w:pPr>
              <w:rPr>
                <w:rFonts w:ascii="Times New Roman" w:hAnsi="Times New Roman"/>
                <w:noProof/>
                <w:sz w:val="20"/>
                <w:szCs w:val="20"/>
              </w:rPr>
            </w:pPr>
            <w:r>
              <w:rPr>
                <w:noProof/>
              </w:rPr>
              <w:t xml:space="preserve"> </w:t>
            </w:r>
            <w:r>
              <w:rPr>
                <w:rFonts w:ascii="Times New Roman" w:hAnsi="Times New Roman"/>
                <w:noProof/>
                <w:sz w:val="20"/>
                <w:szCs w:val="20"/>
              </w:rPr>
              <w:t>Spenner GmbH &amp; Co. KG/DE</w:t>
            </w:r>
          </w:p>
        </w:tc>
        <w:tc>
          <w:tcPr>
            <w:tcW w:w="2640" w:type="dxa"/>
          </w:tcPr>
          <w:p>
            <w:pPr>
              <w:rPr>
                <w:rFonts w:ascii="Times New Roman" w:hAnsi="Times New Roman"/>
                <w:bCs/>
                <w:noProof/>
                <w:sz w:val="20"/>
                <w:szCs w:val="20"/>
              </w:rPr>
            </w:pPr>
            <w:r>
              <w:rPr>
                <w:rFonts w:ascii="Times New Roman" w:hAnsi="Times New Roman"/>
                <w:bCs/>
                <w:noProof/>
                <w:sz w:val="20"/>
                <w:szCs w:val="20"/>
              </w:rPr>
              <w:t xml:space="preserve">Spenner GmbH riedet tirċievi aktar allokazzjonijiet mingħajr ħlas għall-fażi 3 tal-ETS (2013-2020), u sostniet li l-awtorità kompetenti Ġermaniża ma tagħthiex biżżejjed allokazzjonijiet mingħajr ħlas minħabba li kien hemm interpretazzjoni ħażina tad-Deċiżjoni tal-Kummissjoni 2011/278/UE, b’mod partikolari l-Artikolu 9 li jikkonċerna l-livelli storiċi ta’ attività. </w:t>
            </w:r>
          </w:p>
        </w:tc>
        <w:tc>
          <w:tcPr>
            <w:tcW w:w="753" w:type="dxa"/>
          </w:tcPr>
          <w:p>
            <w:pPr>
              <w:rPr>
                <w:rFonts w:ascii="Times New Roman" w:hAnsi="Times New Roman"/>
                <w:bCs/>
                <w:noProof/>
                <w:sz w:val="20"/>
                <w:szCs w:val="20"/>
              </w:rPr>
            </w:pPr>
            <w:r>
              <w:rPr>
                <w:rFonts w:ascii="Times New Roman" w:hAnsi="Times New Roman"/>
                <w:bCs/>
                <w:noProof/>
                <w:sz w:val="20"/>
                <w:szCs w:val="20"/>
              </w:rPr>
              <w:t>14.05.2020</w:t>
            </w:r>
          </w:p>
        </w:tc>
        <w:tc>
          <w:tcPr>
            <w:tcW w:w="2403" w:type="dxa"/>
          </w:tcPr>
          <w:p>
            <w:pPr>
              <w:rPr>
                <w:rFonts w:ascii="Times New Roman" w:hAnsi="Times New Roman"/>
                <w:bCs/>
                <w:noProof/>
                <w:sz w:val="20"/>
                <w:szCs w:val="20"/>
              </w:rPr>
            </w:pPr>
            <w:r>
              <w:rPr>
                <w:rFonts w:ascii="Times New Roman" w:hAnsi="Times New Roman"/>
                <w:bCs/>
                <w:noProof/>
                <w:sz w:val="20"/>
                <w:szCs w:val="20"/>
              </w:rPr>
              <w:t>Il-Qorti ddeċidiet li l-Artikolu 9(9) tad-Deċiżjoni 2011/278 ma japplikax għal żidiet sinifikanti fil-kapaċità ta’ installazzjoni mħaddma li seħħew qabel il-perjodu bażi stabbilit f’konformità mal-Artikolu 9(1) tad-Deċiżjoni, u li l-Artikolu 9(1) tad-Deċiżjoni 2011/278 ma jobbligax lill-awtorità kompetenti tiddetermina hi stess il-perjodu bażi rilevanti sabiex tivvaluta l-livelli storiċi ta’ attività ta’ installazzjoni.</w:t>
            </w:r>
          </w:p>
        </w:tc>
      </w:tr>
      <w:tr>
        <w:trPr>
          <w:trHeight w:val="1384"/>
        </w:trPr>
        <w:tc>
          <w:tcPr>
            <w:tcW w:w="1134" w:type="dxa"/>
          </w:tcPr>
          <w:p>
            <w:pPr>
              <w:rPr>
                <w:rFonts w:ascii="Times New Roman" w:hAnsi="Times New Roman"/>
                <w:bCs/>
                <w:noProof/>
                <w:sz w:val="20"/>
                <w:szCs w:val="20"/>
              </w:rPr>
            </w:pPr>
            <w:r>
              <w:rPr>
                <w:rFonts w:ascii="Times New Roman" w:hAnsi="Times New Roman"/>
                <w:bCs/>
                <w:noProof/>
                <w:sz w:val="20"/>
                <w:szCs w:val="20"/>
              </w:rPr>
              <w:t>Kawża C‑113/19</w:t>
            </w:r>
          </w:p>
        </w:tc>
        <w:tc>
          <w:tcPr>
            <w:tcW w:w="1253" w:type="dxa"/>
          </w:tcPr>
          <w:p>
            <w:pPr>
              <w:rPr>
                <w:rFonts w:ascii="Times New Roman" w:hAnsi="Times New Roman"/>
                <w:noProof/>
                <w:sz w:val="20"/>
                <w:szCs w:val="20"/>
              </w:rPr>
            </w:pPr>
            <w:r>
              <w:rPr>
                <w:rFonts w:ascii="Times New Roman" w:hAnsi="Times New Roman"/>
                <w:noProof/>
                <w:sz w:val="20"/>
                <w:szCs w:val="20"/>
              </w:rPr>
              <w:t>Id-Direttiva 2003/87/KE, il-Karta tad-Drittijiet Fundamentali tal-Unjoni Ewropea</w:t>
            </w:r>
          </w:p>
        </w:tc>
        <w:tc>
          <w:tcPr>
            <w:tcW w:w="1382" w:type="dxa"/>
          </w:tcPr>
          <w:p>
            <w:pPr>
              <w:rPr>
                <w:rFonts w:ascii="Times New Roman" w:hAnsi="Times New Roman"/>
                <w:noProof/>
                <w:sz w:val="20"/>
                <w:szCs w:val="20"/>
              </w:rPr>
            </w:pPr>
            <w:r>
              <w:rPr>
                <w:rFonts w:ascii="Times New Roman" w:hAnsi="Times New Roman"/>
                <w:noProof/>
                <w:sz w:val="20"/>
                <w:szCs w:val="20"/>
              </w:rPr>
              <w:t>Luxaviation SA/ il-Ministru għall-Ambjent, il-Lussemburgu</w:t>
            </w:r>
          </w:p>
        </w:tc>
        <w:tc>
          <w:tcPr>
            <w:tcW w:w="2640" w:type="dxa"/>
          </w:tcPr>
          <w:p>
            <w:pPr>
              <w:rPr>
                <w:rFonts w:ascii="Times New Roman" w:hAnsi="Times New Roman"/>
                <w:bCs/>
                <w:noProof/>
                <w:sz w:val="20"/>
                <w:szCs w:val="20"/>
              </w:rPr>
            </w:pPr>
            <w:r>
              <w:rPr>
                <w:rFonts w:ascii="Times New Roman" w:hAnsi="Times New Roman"/>
                <w:bCs/>
                <w:noProof/>
                <w:sz w:val="20"/>
                <w:szCs w:val="20"/>
              </w:rPr>
              <w:t>Luxaviation ħasbet li kienet lestiet il-proċedura biex jiġu ċeduti l-kwoti tal-emissjonijiet fl-2016, iżda skont il-Ministeru tal-Ambjent dan ma kienx il-każ.</w:t>
            </w:r>
            <w:r>
              <w:rPr>
                <w:noProof/>
              </w:rPr>
              <w:t xml:space="preserve"> </w:t>
            </w:r>
            <w:r>
              <w:rPr>
                <w:rFonts w:ascii="Times New Roman" w:hAnsi="Times New Roman"/>
                <w:bCs/>
                <w:noProof/>
                <w:sz w:val="20"/>
                <w:szCs w:val="20"/>
              </w:rPr>
              <w:t>F’Ġunju 2016, il-Ministru għall-Ambjent indika lil Luxaviation li kienet naqset milli twettaq iċ-ċediment meħtieġ fiż-żmien permess, jiġifieri qabel it-30 ta’ April ta’ dik is-sena. Ġiet imposta penali u l-isem ta’ Luxaviation ġie ppubblikat fis-sit web tal-Aġenzija għall-Ambjent.</w:t>
            </w:r>
            <w:r>
              <w:rPr>
                <w:noProof/>
              </w:rPr>
              <w:t xml:space="preserve"> </w:t>
            </w:r>
          </w:p>
        </w:tc>
        <w:tc>
          <w:tcPr>
            <w:tcW w:w="753" w:type="dxa"/>
          </w:tcPr>
          <w:p>
            <w:pPr>
              <w:rPr>
                <w:rFonts w:ascii="Times New Roman" w:hAnsi="Times New Roman"/>
                <w:bCs/>
                <w:noProof/>
                <w:sz w:val="20"/>
                <w:szCs w:val="20"/>
              </w:rPr>
            </w:pPr>
            <w:r>
              <w:rPr>
                <w:rFonts w:ascii="Times New Roman" w:hAnsi="Times New Roman"/>
                <w:bCs/>
                <w:noProof/>
                <w:sz w:val="20"/>
                <w:szCs w:val="20"/>
              </w:rPr>
              <w:t>26.03. 2020</w:t>
            </w:r>
          </w:p>
        </w:tc>
        <w:tc>
          <w:tcPr>
            <w:tcW w:w="2403" w:type="dxa"/>
          </w:tcPr>
          <w:p>
            <w:pPr>
              <w:rPr>
                <w:rFonts w:ascii="Times New Roman" w:hAnsi="Times New Roman"/>
                <w:bCs/>
                <w:noProof/>
                <w:sz w:val="20"/>
                <w:szCs w:val="20"/>
              </w:rPr>
            </w:pPr>
            <w:r>
              <w:rPr>
                <w:rFonts w:ascii="Times New Roman" w:hAnsi="Times New Roman"/>
                <w:bCs/>
                <w:noProof/>
                <w:sz w:val="20"/>
                <w:szCs w:val="20"/>
              </w:rPr>
              <w:t xml:space="preserve">Il-Qorti ordnat li l-Artikoli 20, 47 u l-Artikolu 49(3) tal-Karta tad-Drittijiet Fundamentali tal-UE ma jipprekludux li l-piena b’rata fissa skont id-Direttiva tal-ETS tista’ tiġi varjata minn qorti nazzjonali, l-Artikolu 41 tal-Karta ma japplikax għall-kwistjoni dwar jekk huwiex obbligatorju jew fakultattiv għall-Istati Membri li joħorġu twissijiet jew tfakkiriet lill-operaturi li jaġixxu </w:t>
            </w:r>
            <w:r>
              <w:rPr>
                <w:rFonts w:ascii="Times New Roman" w:hAnsi="Times New Roman"/>
                <w:bCs/>
                <w:i/>
                <w:noProof/>
                <w:sz w:val="20"/>
                <w:szCs w:val="20"/>
              </w:rPr>
              <w:t>in</w:t>
            </w:r>
            <w:r>
              <w:rPr>
                <w:rFonts w:ascii="Times New Roman" w:hAnsi="Times New Roman"/>
                <w:bCs/>
                <w:noProof/>
                <w:sz w:val="20"/>
                <w:szCs w:val="20"/>
              </w:rPr>
              <w:t xml:space="preserve"> </w:t>
            </w:r>
            <w:r>
              <w:rPr>
                <w:rFonts w:ascii="Times New Roman" w:hAnsi="Times New Roman"/>
                <w:bCs/>
                <w:i/>
                <w:noProof/>
                <w:sz w:val="20"/>
                <w:szCs w:val="20"/>
              </w:rPr>
              <w:t>bona fede</w:t>
            </w:r>
            <w:r>
              <w:rPr>
                <w:rFonts w:ascii="Times New Roman" w:hAnsi="Times New Roman"/>
                <w:bCs/>
                <w:noProof/>
                <w:sz w:val="20"/>
                <w:szCs w:val="20"/>
              </w:rPr>
              <w:t xml:space="preserve">, u li l-prinċipju tal-protezzjoni tal-aspettattivi leġittimi ma jipprekludix l-impożizzjoni tal-penali prevista fl-Artikolu 16(3) tad-Direttiva 2003/87, f’sitwazzjoni fejn l-awtoritajiet kompetenti ma jwissux lill-operatur qabel l-iskadenza tal-limitu ta’ żmien għaċ-ċediment. </w:t>
            </w:r>
          </w:p>
        </w:tc>
      </w:tr>
    </w:tbl>
    <w:p>
      <w:pPr>
        <w:rPr>
          <w:rFonts w:ascii="Times New Roman" w:hAnsi="Times New Roman"/>
          <w:b/>
          <w:noProof/>
          <w:sz w:val="20"/>
          <w:szCs w:val="20"/>
        </w:rPr>
      </w:pPr>
    </w:p>
    <w:p>
      <w:pPr>
        <w:rPr>
          <w:rFonts w:ascii="Times New Roman" w:hAnsi="Times New Roman"/>
          <w:b/>
          <w:noProof/>
        </w:rPr>
      </w:pPr>
    </w:p>
    <w:p>
      <w:pPr>
        <w:rPr>
          <w:rFonts w:ascii="Times New Roman" w:hAnsi="Times New Roman"/>
          <w:b/>
          <w:noProof/>
        </w:rPr>
      </w:pPr>
      <w:r>
        <w:rPr>
          <w:rFonts w:ascii="Times New Roman" w:hAnsi="Times New Roman"/>
          <w:b/>
          <w:noProof/>
        </w:rPr>
        <w:t>Appendiċi 6</w:t>
      </w:r>
    </w:p>
    <w:p>
      <w:pPr>
        <w:rPr>
          <w:rFonts w:ascii="Times New Roman" w:hAnsi="Times New Roman"/>
          <w:b/>
          <w:noProof/>
          <w:sz w:val="20"/>
          <w:szCs w:val="20"/>
        </w:rPr>
      </w:pPr>
      <w:r>
        <w:rPr>
          <w:rFonts w:ascii="Times New Roman" w:hAnsi="Times New Roman"/>
          <w:b/>
          <w:noProof/>
          <w:sz w:val="20"/>
          <w:szCs w:val="20"/>
        </w:rPr>
        <w:t xml:space="preserve">Tabella 6.1: Il-qagħda attwali tal-implimentazzjoni tal-fażi 4 tal-EU ETS </w:t>
      </w:r>
    </w:p>
    <w:tbl>
      <w:tblPr>
        <w:tblStyle w:val="TableGrid"/>
        <w:tblW w:w="969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030"/>
        <w:gridCol w:w="3808"/>
        <w:gridCol w:w="1862"/>
        <w:gridCol w:w="1994"/>
      </w:tblGrid>
      <w:tr>
        <w:trPr>
          <w:trHeight w:val="230"/>
        </w:trPr>
        <w:tc>
          <w:tcPr>
            <w:tcW w:w="2030" w:type="dxa"/>
            <w:vMerge w:val="restart"/>
            <w:vAlign w:val="center"/>
          </w:tcPr>
          <w:p>
            <w:pPr>
              <w:jc w:val="center"/>
              <w:rPr>
                <w:rFonts w:ascii="Times New Roman" w:hAnsi="Times New Roman"/>
                <w:b/>
                <w:noProof/>
              </w:rPr>
            </w:pPr>
            <w:r>
              <w:rPr>
                <w:rFonts w:ascii="Times New Roman" w:hAnsi="Times New Roman"/>
                <w:b/>
                <w:noProof/>
              </w:rPr>
              <w:t>Miżura</w:t>
            </w:r>
          </w:p>
        </w:tc>
        <w:tc>
          <w:tcPr>
            <w:tcW w:w="3808" w:type="dxa"/>
            <w:vMerge w:val="restart"/>
            <w:vAlign w:val="center"/>
          </w:tcPr>
          <w:p>
            <w:pPr>
              <w:jc w:val="center"/>
              <w:rPr>
                <w:rFonts w:ascii="Times New Roman" w:hAnsi="Times New Roman"/>
                <w:b/>
                <w:noProof/>
              </w:rPr>
            </w:pPr>
            <w:r>
              <w:rPr>
                <w:rFonts w:ascii="Times New Roman" w:hAnsi="Times New Roman"/>
                <w:b/>
                <w:noProof/>
              </w:rPr>
              <w:t>Għan</w:t>
            </w:r>
          </w:p>
        </w:tc>
        <w:tc>
          <w:tcPr>
            <w:tcW w:w="1862" w:type="dxa"/>
            <w:vMerge w:val="restart"/>
            <w:vAlign w:val="center"/>
          </w:tcPr>
          <w:p>
            <w:pPr>
              <w:jc w:val="center"/>
              <w:rPr>
                <w:rFonts w:ascii="Times New Roman" w:hAnsi="Times New Roman"/>
                <w:b/>
                <w:noProof/>
              </w:rPr>
            </w:pPr>
            <w:r>
              <w:rPr>
                <w:rFonts w:ascii="Times New Roman" w:hAnsi="Times New Roman"/>
                <w:b/>
                <w:noProof/>
              </w:rPr>
              <w:t>Tip ta’ att leġiżlattiv</w:t>
            </w:r>
          </w:p>
        </w:tc>
        <w:tc>
          <w:tcPr>
            <w:tcW w:w="1994" w:type="dxa"/>
            <w:vMerge w:val="restart"/>
            <w:vAlign w:val="center"/>
          </w:tcPr>
          <w:p>
            <w:pPr>
              <w:jc w:val="center"/>
              <w:rPr>
                <w:rFonts w:ascii="Times New Roman" w:hAnsi="Times New Roman"/>
                <w:b/>
                <w:noProof/>
              </w:rPr>
            </w:pPr>
            <w:r>
              <w:rPr>
                <w:rFonts w:ascii="Times New Roman" w:hAnsi="Times New Roman"/>
                <w:b/>
                <w:noProof/>
              </w:rPr>
              <w:t>Adozzjoni prevista</w:t>
            </w:r>
          </w:p>
        </w:tc>
      </w:tr>
      <w:tr>
        <w:trPr>
          <w:trHeight w:val="230"/>
        </w:trPr>
        <w:tc>
          <w:tcPr>
            <w:tcW w:w="2030" w:type="dxa"/>
            <w:vMerge/>
            <w:vAlign w:val="center"/>
          </w:tcPr>
          <w:p>
            <w:pPr>
              <w:rPr>
                <w:rFonts w:ascii="Times New Roman" w:hAnsi="Times New Roman"/>
                <w:b/>
                <w:noProof/>
              </w:rPr>
            </w:pPr>
          </w:p>
        </w:tc>
        <w:tc>
          <w:tcPr>
            <w:tcW w:w="3808" w:type="dxa"/>
            <w:vMerge/>
          </w:tcPr>
          <w:p>
            <w:pPr>
              <w:rPr>
                <w:rFonts w:ascii="Times New Roman" w:hAnsi="Times New Roman"/>
                <w:b/>
                <w:noProof/>
              </w:rPr>
            </w:pPr>
          </w:p>
        </w:tc>
        <w:tc>
          <w:tcPr>
            <w:tcW w:w="1862" w:type="dxa"/>
            <w:vMerge/>
            <w:vAlign w:val="center"/>
          </w:tcPr>
          <w:p>
            <w:pPr>
              <w:rPr>
                <w:rFonts w:ascii="Times New Roman" w:hAnsi="Times New Roman"/>
                <w:b/>
                <w:noProof/>
              </w:rPr>
            </w:pPr>
          </w:p>
        </w:tc>
        <w:tc>
          <w:tcPr>
            <w:tcW w:w="1994" w:type="dxa"/>
            <w:vMerge/>
            <w:vAlign w:val="center"/>
          </w:tcPr>
          <w:p>
            <w:pPr>
              <w:rPr>
                <w:rFonts w:ascii="Times New Roman" w:hAnsi="Times New Roman"/>
                <w:b/>
                <w:noProof/>
              </w:rPr>
            </w:pPr>
          </w:p>
        </w:tc>
      </w:tr>
      <w:tr>
        <w:trPr>
          <w:trHeight w:val="247"/>
        </w:trPr>
        <w:tc>
          <w:tcPr>
            <w:tcW w:w="2030" w:type="dxa"/>
            <w:shd w:val="clear" w:color="auto" w:fill="CCFFCC"/>
            <w:vAlign w:val="center"/>
          </w:tcPr>
          <w:p>
            <w:pPr>
              <w:rPr>
                <w:rFonts w:ascii="Times New Roman" w:hAnsi="Times New Roman"/>
                <w:noProof/>
              </w:rPr>
            </w:pPr>
            <w:r>
              <w:rPr>
                <w:rFonts w:ascii="Times New Roman" w:hAnsi="Times New Roman"/>
                <w:noProof/>
              </w:rPr>
              <w:t>Lista tar-Rilokazzjoni tal-Emissjonijiet tal-Karbonju għall-2021-2030</w:t>
            </w:r>
          </w:p>
        </w:tc>
        <w:tc>
          <w:tcPr>
            <w:tcW w:w="3808" w:type="dxa"/>
            <w:shd w:val="clear" w:color="auto" w:fill="CCFFCC"/>
            <w:vAlign w:val="center"/>
          </w:tcPr>
          <w:p>
            <w:pPr>
              <w:rPr>
                <w:rFonts w:ascii="Times New Roman" w:hAnsi="Times New Roman"/>
                <w:noProof/>
              </w:rPr>
            </w:pPr>
            <w:r>
              <w:rPr>
                <w:rFonts w:ascii="Times New Roman" w:hAnsi="Times New Roman"/>
                <w:noProof/>
              </w:rPr>
              <w:t>L-istabbiliment tal-Lista l-ġdida tar-Rilokazzjoni tal-Emissjonijiet tal-Karbonju għall-fażi 4 tal-EU ETS abbażi tal-kriterji biex jiġu stabbiliti s-setturi esposti b’mod sinifikanti għar-riskju tar-rilokazzjoni tal-emissjonijiet tal-karbonju</w:t>
            </w:r>
          </w:p>
        </w:tc>
        <w:tc>
          <w:tcPr>
            <w:tcW w:w="1862" w:type="dxa"/>
            <w:shd w:val="clear" w:color="auto" w:fill="CCFFCC"/>
            <w:vAlign w:val="center"/>
          </w:tcPr>
          <w:p>
            <w:pPr>
              <w:jc w:val="center"/>
              <w:rPr>
                <w:rFonts w:ascii="Times New Roman" w:hAnsi="Times New Roman"/>
                <w:noProof/>
              </w:rPr>
            </w:pPr>
            <w:r>
              <w:rPr>
                <w:rFonts w:ascii="Times New Roman" w:hAnsi="Times New Roman"/>
                <w:noProof/>
              </w:rPr>
              <w:t>Deċiżjoni Delegata tal-Kummissjoni</w:t>
            </w:r>
          </w:p>
        </w:tc>
        <w:tc>
          <w:tcPr>
            <w:tcW w:w="1994" w:type="dxa"/>
            <w:shd w:val="clear" w:color="auto" w:fill="CCFFCC"/>
            <w:vAlign w:val="center"/>
          </w:tcPr>
          <w:p>
            <w:pPr>
              <w:jc w:val="center"/>
              <w:rPr>
                <w:rFonts w:ascii="Times New Roman" w:hAnsi="Times New Roman"/>
                <w:noProof/>
              </w:rPr>
            </w:pPr>
            <w:r>
              <w:rPr>
                <w:rFonts w:ascii="Times New Roman" w:hAnsi="Times New Roman"/>
                <w:noProof/>
                <w:color w:val="000000" w:themeColor="text1"/>
              </w:rPr>
              <w:t>Adottata fil-15 ta’ Frar 2019 u ppubblikata fil-Ġurnal Uffiċjali fit-8 ta’ Mejju 2019</w:t>
            </w:r>
            <w:r>
              <w:rPr>
                <w:rStyle w:val="FootnoteReference"/>
                <w:rFonts w:ascii="Times New Roman" w:hAnsi="Times New Roman"/>
                <w:noProof/>
                <w:color w:val="000000" w:themeColor="text1"/>
              </w:rPr>
              <w:footnoteReference w:id="94"/>
            </w:r>
          </w:p>
        </w:tc>
      </w:tr>
      <w:tr>
        <w:trPr>
          <w:trHeight w:val="247"/>
        </w:trPr>
        <w:tc>
          <w:tcPr>
            <w:tcW w:w="2030" w:type="dxa"/>
            <w:tcBorders>
              <w:bottom w:val="double" w:sz="4" w:space="0" w:color="auto"/>
            </w:tcBorders>
            <w:shd w:val="clear" w:color="auto" w:fill="CCFFCC"/>
            <w:vAlign w:val="center"/>
          </w:tcPr>
          <w:p>
            <w:pPr>
              <w:rPr>
                <w:rFonts w:ascii="Times New Roman" w:hAnsi="Times New Roman"/>
                <w:noProof/>
              </w:rPr>
            </w:pPr>
            <w:r>
              <w:rPr>
                <w:rFonts w:ascii="Times New Roman" w:hAnsi="Times New Roman"/>
                <w:noProof/>
              </w:rPr>
              <w:t>Reviżjoni tar-regoli dwar l-allokazzjoni bla ħlas għall-2021-2030</w:t>
            </w:r>
          </w:p>
        </w:tc>
        <w:tc>
          <w:tcPr>
            <w:tcW w:w="3808" w:type="dxa"/>
            <w:tcBorders>
              <w:bottom w:val="double" w:sz="4" w:space="0" w:color="auto"/>
            </w:tcBorders>
            <w:shd w:val="clear" w:color="auto" w:fill="CCFFCC"/>
            <w:vAlign w:val="center"/>
          </w:tcPr>
          <w:p>
            <w:pPr>
              <w:rPr>
                <w:rFonts w:ascii="Times New Roman" w:hAnsi="Times New Roman"/>
                <w:noProof/>
              </w:rPr>
            </w:pPr>
            <w:r>
              <w:rPr>
                <w:rFonts w:ascii="Times New Roman" w:hAnsi="Times New Roman"/>
                <w:noProof/>
              </w:rPr>
              <w:t>Ir-reviżjoni tad-Deċiżjoni tal-Kummissjoni 2011/278/UE dwar id-determinazzjoni ta’ regoli tranżitorji madwar l-Unjoni kollha għal allokazzjoni armonizzata mingħajr ħlas sabiex din tiġi adatta għall-kuntest legali l-ġdid stabbilit għall-fażi 4</w:t>
            </w:r>
          </w:p>
        </w:tc>
        <w:tc>
          <w:tcPr>
            <w:tcW w:w="1862" w:type="dxa"/>
            <w:tcBorders>
              <w:bottom w:val="double" w:sz="4" w:space="0" w:color="auto"/>
            </w:tcBorders>
            <w:shd w:val="clear" w:color="auto" w:fill="CCFFCC"/>
            <w:vAlign w:val="center"/>
          </w:tcPr>
          <w:p>
            <w:pPr>
              <w:jc w:val="center"/>
              <w:rPr>
                <w:rFonts w:ascii="Times New Roman" w:hAnsi="Times New Roman"/>
                <w:noProof/>
              </w:rPr>
            </w:pPr>
            <w:r>
              <w:rPr>
                <w:rFonts w:ascii="Times New Roman" w:hAnsi="Times New Roman"/>
                <w:noProof/>
              </w:rPr>
              <w:t>Regolament Delegat tal-Kummissjoni</w:t>
            </w:r>
          </w:p>
        </w:tc>
        <w:tc>
          <w:tcPr>
            <w:tcW w:w="1994" w:type="dxa"/>
            <w:tcBorders>
              <w:bottom w:val="double" w:sz="4" w:space="0" w:color="auto"/>
            </w:tcBorders>
            <w:shd w:val="clear" w:color="auto" w:fill="CCFFCC"/>
            <w:vAlign w:val="center"/>
          </w:tcPr>
          <w:p>
            <w:pPr>
              <w:jc w:val="center"/>
              <w:rPr>
                <w:rFonts w:ascii="Times New Roman" w:hAnsi="Times New Roman"/>
                <w:noProof/>
              </w:rPr>
            </w:pPr>
            <w:r>
              <w:rPr>
                <w:rFonts w:ascii="Times New Roman" w:hAnsi="Times New Roman"/>
                <w:noProof/>
                <w:color w:val="000000" w:themeColor="text1"/>
              </w:rPr>
              <w:t>Adottat fid-19 ta’ Diċembru 2018 u ppubblikat fil-Ġurnal Uffiċjali fis-27 ta’ Frar 2019</w:t>
            </w:r>
            <w:r>
              <w:rPr>
                <w:rStyle w:val="FootnoteReference"/>
                <w:rFonts w:ascii="Times New Roman" w:hAnsi="Times New Roman"/>
                <w:noProof/>
                <w:color w:val="000000" w:themeColor="text1"/>
              </w:rPr>
              <w:footnoteReference w:id="95"/>
            </w:r>
          </w:p>
        </w:tc>
      </w:tr>
      <w:tr>
        <w:trPr>
          <w:trHeight w:val="247"/>
        </w:trPr>
        <w:tc>
          <w:tcPr>
            <w:tcW w:w="2030" w:type="dxa"/>
            <w:tcBorders>
              <w:bottom w:val="double" w:sz="4" w:space="0" w:color="auto"/>
            </w:tcBorders>
            <w:shd w:val="clear" w:color="auto" w:fill="CCFFCC"/>
            <w:vAlign w:val="center"/>
          </w:tcPr>
          <w:p>
            <w:pPr>
              <w:rPr>
                <w:rFonts w:ascii="Times New Roman" w:hAnsi="Times New Roman"/>
                <w:noProof/>
              </w:rPr>
            </w:pPr>
            <w:r>
              <w:rPr>
                <w:rFonts w:ascii="Times New Roman" w:hAnsi="Times New Roman"/>
                <w:noProof/>
              </w:rPr>
              <w:t>Aġġustament għall-allokazzjoni bla ħlas minħabba bidliet fil-produzzjoni</w:t>
            </w:r>
          </w:p>
        </w:tc>
        <w:tc>
          <w:tcPr>
            <w:tcW w:w="3808" w:type="dxa"/>
            <w:tcBorders>
              <w:bottom w:val="double" w:sz="4" w:space="0" w:color="auto"/>
            </w:tcBorders>
            <w:shd w:val="clear" w:color="auto" w:fill="CCFFCC"/>
            <w:vAlign w:val="center"/>
          </w:tcPr>
          <w:p>
            <w:pPr>
              <w:rPr>
                <w:rFonts w:ascii="Times New Roman" w:hAnsi="Times New Roman"/>
                <w:noProof/>
              </w:rPr>
            </w:pPr>
            <w:r>
              <w:rPr>
                <w:rFonts w:ascii="Times New Roman" w:hAnsi="Times New Roman"/>
                <w:noProof/>
              </w:rPr>
              <w:t>Definizzjoni tal-arranġamenti għall-aġġustament tal-livell ta’ allokazzjoni bla ħlas għal installazzjonijiet abbażi ta’ livelli ta’ tħaddim li qed jinbidlu ta’ aktar minn 15 % ’il fuq jew ’l isfel bħala medja fuq perjodu ta’ sentejn</w:t>
            </w:r>
          </w:p>
        </w:tc>
        <w:tc>
          <w:tcPr>
            <w:tcW w:w="1862" w:type="dxa"/>
            <w:tcBorders>
              <w:bottom w:val="double" w:sz="4" w:space="0" w:color="auto"/>
            </w:tcBorders>
            <w:shd w:val="clear" w:color="auto" w:fill="CCFFCC"/>
            <w:vAlign w:val="center"/>
          </w:tcPr>
          <w:p>
            <w:pPr>
              <w:jc w:val="center"/>
              <w:rPr>
                <w:rFonts w:ascii="Times New Roman" w:hAnsi="Times New Roman"/>
                <w:noProof/>
              </w:rPr>
            </w:pPr>
            <w:r>
              <w:rPr>
                <w:rFonts w:ascii="Times New Roman" w:hAnsi="Times New Roman"/>
                <w:noProof/>
              </w:rPr>
              <w:t>Regolament ta’ Implimentazzjoni tal-Kummissjoni</w:t>
            </w:r>
          </w:p>
        </w:tc>
        <w:tc>
          <w:tcPr>
            <w:tcW w:w="1994" w:type="dxa"/>
            <w:tcBorders>
              <w:bottom w:val="double" w:sz="4" w:space="0" w:color="auto"/>
            </w:tcBorders>
            <w:shd w:val="clear" w:color="auto" w:fill="CCFFCC"/>
            <w:vAlign w:val="center"/>
          </w:tcPr>
          <w:p>
            <w:pPr>
              <w:jc w:val="center"/>
              <w:rPr>
                <w:rFonts w:ascii="Times New Roman" w:hAnsi="Times New Roman"/>
                <w:noProof/>
              </w:rPr>
            </w:pPr>
            <w:r>
              <w:rPr>
                <w:rFonts w:ascii="Times New Roman" w:hAnsi="Times New Roman"/>
                <w:noProof/>
              </w:rPr>
              <w:t>Adottat fil-31 ta’ Ottubru 2019 u ppubblikat fil-Ġurnal Uffiċjali fl-4 ta’ Novembru 2019</w:t>
            </w:r>
            <w:r>
              <w:rPr>
                <w:rStyle w:val="FootnoteReference"/>
                <w:rFonts w:ascii="Times New Roman" w:hAnsi="Times New Roman"/>
                <w:noProof/>
              </w:rPr>
              <w:footnoteReference w:id="96"/>
            </w:r>
          </w:p>
        </w:tc>
      </w:tr>
      <w:tr>
        <w:trPr>
          <w:trHeight w:val="247"/>
        </w:trPr>
        <w:tc>
          <w:tcPr>
            <w:tcW w:w="2030" w:type="dxa"/>
            <w:shd w:val="clear" w:color="auto" w:fill="FFFFCC"/>
            <w:vAlign w:val="center"/>
          </w:tcPr>
          <w:p>
            <w:pPr>
              <w:rPr>
                <w:rFonts w:ascii="Times New Roman" w:hAnsi="Times New Roman"/>
                <w:noProof/>
              </w:rPr>
            </w:pPr>
            <w:r>
              <w:rPr>
                <w:rFonts w:ascii="Times New Roman" w:hAnsi="Times New Roman"/>
                <w:noProof/>
              </w:rPr>
              <w:t>Aġġornament tal-valuri referenzjarji għall-allokazzjoni bla ħlas għall-2021-2025</w:t>
            </w:r>
          </w:p>
        </w:tc>
        <w:tc>
          <w:tcPr>
            <w:tcW w:w="3808" w:type="dxa"/>
            <w:shd w:val="clear" w:color="auto" w:fill="FFFFCC"/>
            <w:vAlign w:val="center"/>
          </w:tcPr>
          <w:p>
            <w:pPr>
              <w:rPr>
                <w:rFonts w:ascii="Times New Roman" w:hAnsi="Times New Roman"/>
                <w:noProof/>
              </w:rPr>
            </w:pPr>
            <w:r>
              <w:rPr>
                <w:rFonts w:ascii="Times New Roman" w:hAnsi="Times New Roman"/>
                <w:noProof/>
              </w:rPr>
              <w:t>Determinazzjoni tal-valuri referenzjarji aġġornati għall-2021-2025 abbażi tad-</w:t>
            </w:r>
            <w:r>
              <w:rPr>
                <w:rFonts w:ascii="Times New Roman" w:hAnsi="Times New Roman"/>
                <w:i/>
                <w:noProof/>
              </w:rPr>
              <w:t>data</w:t>
            </w:r>
            <w:r>
              <w:rPr>
                <w:rFonts w:ascii="Times New Roman" w:hAnsi="Times New Roman"/>
                <w:noProof/>
              </w:rPr>
              <w:t xml:space="preserve"> ppreżentata mill-Istati Membri sat-30 ta’ Settembru 2019 għas-snin 2016 u 2017.</w:t>
            </w:r>
          </w:p>
        </w:tc>
        <w:tc>
          <w:tcPr>
            <w:tcW w:w="1862" w:type="dxa"/>
            <w:shd w:val="clear" w:color="auto" w:fill="FFFFCC"/>
            <w:vAlign w:val="center"/>
          </w:tcPr>
          <w:p>
            <w:pPr>
              <w:jc w:val="center"/>
              <w:rPr>
                <w:rFonts w:ascii="Times New Roman" w:hAnsi="Times New Roman"/>
                <w:noProof/>
              </w:rPr>
            </w:pPr>
            <w:r>
              <w:rPr>
                <w:rFonts w:ascii="Times New Roman" w:hAnsi="Times New Roman"/>
                <w:noProof/>
              </w:rPr>
              <w:t>Regolament ta’ Implimentazzjoni tal-Kummissjoni</w:t>
            </w:r>
          </w:p>
        </w:tc>
        <w:tc>
          <w:tcPr>
            <w:tcW w:w="1994" w:type="dxa"/>
            <w:shd w:val="clear" w:color="auto" w:fill="FFFFCC"/>
            <w:vAlign w:val="center"/>
          </w:tcPr>
          <w:p>
            <w:pPr>
              <w:jc w:val="center"/>
              <w:rPr>
                <w:rFonts w:ascii="Times New Roman" w:hAnsi="Times New Roman"/>
                <w:noProof/>
              </w:rPr>
            </w:pPr>
            <w:r>
              <w:rPr>
                <w:rFonts w:ascii="Times New Roman" w:hAnsi="Times New Roman"/>
                <w:noProof/>
              </w:rPr>
              <w:t xml:space="preserve">2020 </w:t>
            </w:r>
          </w:p>
        </w:tc>
      </w:tr>
      <w:tr>
        <w:trPr>
          <w:trHeight w:val="259"/>
        </w:trPr>
        <w:tc>
          <w:tcPr>
            <w:tcW w:w="2030" w:type="dxa"/>
            <w:tcBorders>
              <w:bottom w:val="double" w:sz="4" w:space="0" w:color="auto"/>
            </w:tcBorders>
            <w:shd w:val="clear" w:color="auto" w:fill="CCFFCC"/>
            <w:vAlign w:val="center"/>
          </w:tcPr>
          <w:p>
            <w:pPr>
              <w:rPr>
                <w:rFonts w:ascii="Times New Roman" w:hAnsi="Times New Roman"/>
                <w:noProof/>
              </w:rPr>
            </w:pPr>
            <w:r>
              <w:rPr>
                <w:rFonts w:ascii="Times New Roman" w:hAnsi="Times New Roman"/>
                <w:noProof/>
              </w:rPr>
              <w:t>L-istabbiliment tal-Fond għall-Innovazzjoni</w:t>
            </w:r>
          </w:p>
        </w:tc>
        <w:tc>
          <w:tcPr>
            <w:tcW w:w="3808" w:type="dxa"/>
            <w:tcBorders>
              <w:bottom w:val="double" w:sz="4" w:space="0" w:color="auto"/>
            </w:tcBorders>
            <w:shd w:val="clear" w:color="auto" w:fill="CCFFCC"/>
            <w:vAlign w:val="center"/>
          </w:tcPr>
          <w:p>
            <w:pPr>
              <w:rPr>
                <w:rFonts w:ascii="Times New Roman" w:hAnsi="Times New Roman"/>
                <w:noProof/>
              </w:rPr>
            </w:pPr>
            <w:r>
              <w:rPr>
                <w:rFonts w:ascii="Times New Roman" w:hAnsi="Times New Roman"/>
                <w:noProof/>
              </w:rPr>
              <w:t>Id-determinazzjoni tar-regoli dwar it-tħaddim tal-Fond għall-Innovazzjoni, inkluż il-proċedura u l-kriterji tal-għażla</w:t>
            </w:r>
          </w:p>
        </w:tc>
        <w:tc>
          <w:tcPr>
            <w:tcW w:w="1862" w:type="dxa"/>
            <w:tcBorders>
              <w:bottom w:val="double" w:sz="4" w:space="0" w:color="auto"/>
            </w:tcBorders>
            <w:shd w:val="clear" w:color="auto" w:fill="CCFFCC"/>
            <w:vAlign w:val="center"/>
          </w:tcPr>
          <w:p>
            <w:pPr>
              <w:jc w:val="center"/>
              <w:rPr>
                <w:rFonts w:ascii="Times New Roman" w:hAnsi="Times New Roman"/>
                <w:noProof/>
              </w:rPr>
            </w:pPr>
            <w:r>
              <w:rPr>
                <w:rFonts w:ascii="Times New Roman" w:hAnsi="Times New Roman"/>
                <w:noProof/>
              </w:rPr>
              <w:t>Regolament Delegat tal-Kummissjoni</w:t>
            </w:r>
          </w:p>
        </w:tc>
        <w:tc>
          <w:tcPr>
            <w:tcW w:w="1994" w:type="dxa"/>
            <w:tcBorders>
              <w:bottom w:val="double" w:sz="4" w:space="0" w:color="auto"/>
            </w:tcBorders>
            <w:shd w:val="clear" w:color="auto" w:fill="CCFFCC"/>
            <w:vAlign w:val="center"/>
          </w:tcPr>
          <w:p>
            <w:pPr>
              <w:jc w:val="center"/>
              <w:rPr>
                <w:rFonts w:ascii="Times New Roman" w:hAnsi="Times New Roman"/>
                <w:noProof/>
              </w:rPr>
            </w:pPr>
            <w:r>
              <w:rPr>
                <w:rFonts w:ascii="Times New Roman" w:hAnsi="Times New Roman"/>
                <w:noProof/>
              </w:rPr>
              <w:t>Adottat fis-26 ta’ Frar 2019 u ppubblikat fil-Ġurnal Uffiċjali fit-28 ta’ Mejju 2019</w:t>
            </w:r>
            <w:r>
              <w:rPr>
                <w:rStyle w:val="FootnoteReference"/>
                <w:rFonts w:ascii="Times New Roman" w:hAnsi="Times New Roman"/>
                <w:noProof/>
              </w:rPr>
              <w:footnoteReference w:id="97"/>
            </w:r>
          </w:p>
        </w:tc>
      </w:tr>
      <w:tr>
        <w:trPr>
          <w:trHeight w:val="154"/>
        </w:trPr>
        <w:tc>
          <w:tcPr>
            <w:tcW w:w="2030" w:type="dxa"/>
            <w:shd w:val="clear" w:color="auto" w:fill="CCFFCC"/>
            <w:vAlign w:val="center"/>
          </w:tcPr>
          <w:p>
            <w:pPr>
              <w:rPr>
                <w:rFonts w:ascii="Times New Roman" w:hAnsi="Times New Roman"/>
                <w:noProof/>
              </w:rPr>
            </w:pPr>
            <w:r>
              <w:rPr>
                <w:rFonts w:ascii="Times New Roman" w:hAnsi="Times New Roman"/>
                <w:noProof/>
              </w:rPr>
              <w:t>L-istabbiliment tal-Fond għall-Modernizzazzjoni</w:t>
            </w:r>
          </w:p>
        </w:tc>
        <w:tc>
          <w:tcPr>
            <w:tcW w:w="3808" w:type="dxa"/>
            <w:shd w:val="clear" w:color="auto" w:fill="CCFFCC"/>
            <w:vAlign w:val="center"/>
          </w:tcPr>
          <w:p>
            <w:pPr>
              <w:rPr>
                <w:rFonts w:ascii="Times New Roman" w:hAnsi="Times New Roman"/>
                <w:noProof/>
              </w:rPr>
            </w:pPr>
            <w:r>
              <w:rPr>
                <w:rFonts w:ascii="Times New Roman" w:hAnsi="Times New Roman"/>
                <w:noProof/>
              </w:rPr>
              <w:t>L-identifikazzjoni tar-regoli dwar l-operat tal-Fond għall-Modernizzazzjoni</w:t>
            </w:r>
          </w:p>
        </w:tc>
        <w:tc>
          <w:tcPr>
            <w:tcW w:w="1862" w:type="dxa"/>
            <w:shd w:val="clear" w:color="auto" w:fill="CCFFCC"/>
            <w:vAlign w:val="center"/>
          </w:tcPr>
          <w:p>
            <w:pPr>
              <w:jc w:val="center"/>
              <w:rPr>
                <w:rFonts w:ascii="Times New Roman" w:hAnsi="Times New Roman"/>
                <w:noProof/>
              </w:rPr>
            </w:pPr>
            <w:r>
              <w:rPr>
                <w:rFonts w:ascii="Times New Roman" w:hAnsi="Times New Roman"/>
                <w:noProof/>
              </w:rPr>
              <w:t>Regolament ta’ Implimentazzjoni tal-Kummissjoni</w:t>
            </w:r>
          </w:p>
        </w:tc>
        <w:tc>
          <w:tcPr>
            <w:tcW w:w="1994" w:type="dxa"/>
            <w:shd w:val="clear" w:color="auto" w:fill="CCFFCC"/>
            <w:vAlign w:val="center"/>
          </w:tcPr>
          <w:p>
            <w:pPr>
              <w:jc w:val="center"/>
              <w:rPr>
                <w:rFonts w:ascii="Times New Roman" w:hAnsi="Times New Roman"/>
                <w:noProof/>
              </w:rPr>
            </w:pPr>
            <w:r>
              <w:rPr>
                <w:rFonts w:ascii="Times New Roman" w:hAnsi="Times New Roman"/>
                <w:noProof/>
              </w:rPr>
              <w:t>Adottat fid-9 ta’ Lulju 2020 u ppubblikat fil-Ġurnal Uffiċjali fl-10 ta’ Lulju 2020</w:t>
            </w:r>
            <w:r>
              <w:rPr>
                <w:rStyle w:val="FootnoteReference"/>
                <w:rFonts w:ascii="Times New Roman" w:hAnsi="Times New Roman"/>
                <w:noProof/>
              </w:rPr>
              <w:footnoteReference w:id="98"/>
            </w:r>
          </w:p>
        </w:tc>
      </w:tr>
      <w:tr>
        <w:trPr>
          <w:trHeight w:val="154"/>
        </w:trPr>
        <w:tc>
          <w:tcPr>
            <w:tcW w:w="2030" w:type="dxa"/>
            <w:shd w:val="clear" w:color="auto" w:fill="CCFFCC"/>
            <w:vAlign w:val="center"/>
          </w:tcPr>
          <w:p>
            <w:pPr>
              <w:rPr>
                <w:rFonts w:ascii="Times New Roman" w:hAnsi="Times New Roman"/>
                <w:noProof/>
              </w:rPr>
            </w:pPr>
            <w:r>
              <w:rPr>
                <w:rFonts w:ascii="Times New Roman" w:hAnsi="Times New Roman"/>
                <w:noProof/>
              </w:rPr>
              <w:t>Reviżjoni tar-Regolament (UE) Nru 389/2013 (ir-Regolament dwar ir-Reġistru)</w:t>
            </w:r>
          </w:p>
        </w:tc>
        <w:tc>
          <w:tcPr>
            <w:tcW w:w="3808" w:type="dxa"/>
            <w:shd w:val="clear" w:color="auto" w:fill="CCFFCC"/>
            <w:vAlign w:val="center"/>
          </w:tcPr>
          <w:p>
            <w:pPr>
              <w:rPr>
                <w:rFonts w:ascii="Times New Roman" w:hAnsi="Times New Roman"/>
                <w:noProof/>
              </w:rPr>
            </w:pPr>
            <w:r>
              <w:rPr>
                <w:rFonts w:ascii="Times New Roman" w:hAnsi="Times New Roman"/>
                <w:noProof/>
              </w:rPr>
              <w:t xml:space="preserve">L-istabbiliment tar-rekwiżiti għar-Reġistru tal-Unjoni għall-fażi 4 fil-forma ta’ bażijiet ta’ </w:t>
            </w:r>
            <w:r>
              <w:rPr>
                <w:rFonts w:ascii="Times New Roman" w:hAnsi="Times New Roman"/>
                <w:i/>
                <w:noProof/>
              </w:rPr>
              <w:t>data</w:t>
            </w:r>
            <w:r>
              <w:rPr>
                <w:rFonts w:ascii="Times New Roman" w:hAnsi="Times New Roman"/>
                <w:noProof/>
              </w:rPr>
              <w:t xml:space="preserve"> elettroniċi standardizzati li fihom elementi ta’ </w:t>
            </w:r>
            <w:r>
              <w:rPr>
                <w:rFonts w:ascii="Times New Roman" w:hAnsi="Times New Roman"/>
                <w:i/>
                <w:noProof/>
              </w:rPr>
              <w:t>data</w:t>
            </w:r>
            <w:r>
              <w:rPr>
                <w:rFonts w:ascii="Times New Roman" w:hAnsi="Times New Roman"/>
                <w:noProof/>
              </w:rPr>
              <w:t xml:space="preserve"> komuni biex jiġu ssorveljati l-ħruġ, iż-żamma, it-trasferiment u l-kanċellazzjoni tal-kwoti, u biex jiġi pprovdut aċċess għall-pubbliku u kunfidenzjalità</w:t>
            </w:r>
          </w:p>
        </w:tc>
        <w:tc>
          <w:tcPr>
            <w:tcW w:w="1862" w:type="dxa"/>
            <w:shd w:val="clear" w:color="auto" w:fill="CCFFCC"/>
            <w:vAlign w:val="center"/>
          </w:tcPr>
          <w:p>
            <w:pPr>
              <w:jc w:val="center"/>
              <w:rPr>
                <w:rFonts w:ascii="Times New Roman" w:hAnsi="Times New Roman"/>
                <w:noProof/>
              </w:rPr>
            </w:pPr>
            <w:r>
              <w:rPr>
                <w:rFonts w:ascii="Times New Roman" w:hAnsi="Times New Roman"/>
                <w:noProof/>
              </w:rPr>
              <w:t>Regolament Delegat tal-Kummissjoni</w:t>
            </w:r>
          </w:p>
        </w:tc>
        <w:tc>
          <w:tcPr>
            <w:tcW w:w="1994" w:type="dxa"/>
            <w:shd w:val="clear" w:color="auto" w:fill="CCFFCC"/>
            <w:vAlign w:val="center"/>
          </w:tcPr>
          <w:p>
            <w:pPr>
              <w:jc w:val="center"/>
              <w:rPr>
                <w:rFonts w:ascii="Times New Roman" w:hAnsi="Times New Roman"/>
                <w:noProof/>
              </w:rPr>
            </w:pPr>
            <w:r>
              <w:rPr>
                <w:rFonts w:ascii="Times New Roman" w:hAnsi="Times New Roman"/>
                <w:noProof/>
                <w:color w:val="000000" w:themeColor="text1"/>
              </w:rPr>
              <w:t>Adottat fit-12 ta’ Marzu 2019 u ppubblikat fil-Ġurnal Uffiċjali fit-2 ta’ Lulju 2019</w:t>
            </w:r>
            <w:r>
              <w:rPr>
                <w:rStyle w:val="FootnoteReference"/>
                <w:rFonts w:ascii="Times New Roman" w:hAnsi="Times New Roman"/>
                <w:noProof/>
                <w:color w:val="000000" w:themeColor="text1"/>
              </w:rPr>
              <w:footnoteReference w:id="99"/>
            </w:r>
          </w:p>
        </w:tc>
      </w:tr>
      <w:tr>
        <w:trPr>
          <w:trHeight w:val="154"/>
        </w:trPr>
        <w:tc>
          <w:tcPr>
            <w:tcW w:w="2030" w:type="dxa"/>
            <w:tcBorders>
              <w:bottom w:val="double" w:sz="4" w:space="0" w:color="auto"/>
            </w:tcBorders>
            <w:shd w:val="clear" w:color="auto" w:fill="CCFFCC"/>
            <w:vAlign w:val="center"/>
          </w:tcPr>
          <w:p>
            <w:pPr>
              <w:rPr>
                <w:rFonts w:ascii="Times New Roman" w:hAnsi="Times New Roman"/>
                <w:noProof/>
              </w:rPr>
            </w:pPr>
            <w:r>
              <w:rPr>
                <w:rFonts w:ascii="Times New Roman" w:hAnsi="Times New Roman"/>
                <w:noProof/>
              </w:rPr>
              <w:t>Emenda tar-Regolament (UE) Nru 1031/2010 (ir-Regolament dwar l-Irkantar)</w:t>
            </w:r>
          </w:p>
        </w:tc>
        <w:tc>
          <w:tcPr>
            <w:tcW w:w="3808" w:type="dxa"/>
            <w:tcBorders>
              <w:bottom w:val="double" w:sz="4" w:space="0" w:color="auto"/>
            </w:tcBorders>
            <w:shd w:val="clear" w:color="auto" w:fill="CCFFCC"/>
            <w:vAlign w:val="center"/>
          </w:tcPr>
          <w:p>
            <w:pPr>
              <w:rPr>
                <w:rFonts w:ascii="Times New Roman" w:hAnsi="Times New Roman"/>
                <w:noProof/>
              </w:rPr>
            </w:pPr>
            <w:r>
              <w:rPr>
                <w:rFonts w:ascii="Times New Roman" w:hAnsi="Times New Roman"/>
                <w:noProof/>
              </w:rPr>
              <w:t>Li tippermetti l-irkantar tal-ewwel 50 miljun kwota għall-Fond għall-Innovazzjoni meħuda mir-Riserva tal-Istabbiltà tas-Suq (MSR) fl-2020</w:t>
            </w:r>
          </w:p>
        </w:tc>
        <w:tc>
          <w:tcPr>
            <w:tcW w:w="1862" w:type="dxa"/>
            <w:tcBorders>
              <w:bottom w:val="double" w:sz="4" w:space="0" w:color="auto"/>
            </w:tcBorders>
            <w:shd w:val="clear" w:color="auto" w:fill="CCFFCC"/>
            <w:vAlign w:val="center"/>
          </w:tcPr>
          <w:p>
            <w:pPr>
              <w:jc w:val="center"/>
              <w:rPr>
                <w:rFonts w:ascii="Times New Roman" w:hAnsi="Times New Roman"/>
                <w:noProof/>
              </w:rPr>
            </w:pPr>
            <w:r>
              <w:rPr>
                <w:rFonts w:ascii="Times New Roman" w:hAnsi="Times New Roman"/>
                <w:noProof/>
              </w:rPr>
              <w:t>Regolament Delegat tal-Kummissjoni</w:t>
            </w:r>
          </w:p>
        </w:tc>
        <w:tc>
          <w:tcPr>
            <w:tcW w:w="1994" w:type="dxa"/>
            <w:tcBorders>
              <w:bottom w:val="double" w:sz="4" w:space="0" w:color="auto"/>
            </w:tcBorders>
            <w:shd w:val="clear" w:color="auto" w:fill="CCFFCC"/>
            <w:vAlign w:val="center"/>
          </w:tcPr>
          <w:p>
            <w:pPr>
              <w:jc w:val="center"/>
              <w:rPr>
                <w:rFonts w:ascii="Times New Roman" w:hAnsi="Times New Roman"/>
                <w:noProof/>
              </w:rPr>
            </w:pPr>
            <w:r>
              <w:rPr>
                <w:rFonts w:ascii="Times New Roman" w:hAnsi="Times New Roman"/>
                <w:noProof/>
                <w:color w:val="000000" w:themeColor="text1"/>
              </w:rPr>
              <w:t>Adottat fit-30 ta’ Ottubru 2018 u ppubblikat fil-Ġurnal Uffiċjali fl-4 ta’ Jannar 2019</w:t>
            </w:r>
            <w:r>
              <w:rPr>
                <w:rStyle w:val="FootnoteReference"/>
                <w:rFonts w:ascii="Times New Roman" w:hAnsi="Times New Roman"/>
                <w:noProof/>
                <w:color w:val="000000" w:themeColor="text1"/>
              </w:rPr>
              <w:footnoteReference w:id="100"/>
            </w:r>
          </w:p>
        </w:tc>
      </w:tr>
      <w:tr>
        <w:trPr>
          <w:trHeight w:val="154"/>
        </w:trPr>
        <w:tc>
          <w:tcPr>
            <w:tcW w:w="2030" w:type="dxa"/>
            <w:shd w:val="clear" w:color="auto" w:fill="CCFFCC"/>
            <w:vAlign w:val="center"/>
          </w:tcPr>
          <w:p>
            <w:pPr>
              <w:rPr>
                <w:rFonts w:ascii="Times New Roman" w:hAnsi="Times New Roman"/>
                <w:noProof/>
              </w:rPr>
            </w:pPr>
            <w:r>
              <w:rPr>
                <w:rFonts w:ascii="Times New Roman" w:hAnsi="Times New Roman"/>
                <w:noProof/>
              </w:rPr>
              <w:t>Reviżjonii tar-Regolament (UE) Nru 1031/2010 (ir-Regolament dwar l-Irkantar)</w:t>
            </w:r>
          </w:p>
        </w:tc>
        <w:tc>
          <w:tcPr>
            <w:tcW w:w="3808" w:type="dxa"/>
            <w:shd w:val="clear" w:color="auto" w:fill="CCFFCC"/>
            <w:vAlign w:val="center"/>
          </w:tcPr>
          <w:p>
            <w:pPr>
              <w:spacing w:after="120"/>
              <w:rPr>
                <w:rFonts w:ascii="Times New Roman" w:hAnsi="Times New Roman"/>
                <w:noProof/>
              </w:rPr>
            </w:pPr>
            <w:r>
              <w:rPr>
                <w:rFonts w:ascii="Times New Roman" w:hAnsi="Times New Roman"/>
                <w:noProof/>
              </w:rPr>
              <w:t>Ir-reviżjoni ta' xi aspetti tal-proċess tal-irkantar biex jiġu implimentati r-rekwiżiti għall-fażi 4, b’mod partikolari biex ikun jista’ jsir l-irkantar ta’ kwoti għall-Fond għall-Innovazzjoni u għall-Fond għall-Modernizzazzjoni, kif ukoll biex tkun riflessa l-klassifikazzjoni tal-kwoti tal-EU ETS bħala strumenti finanzjarji skont id-Direttiva 2014/65/UE dwar is-swieq fl-istrumenti finanzjarji (MiFID2).</w:t>
            </w:r>
          </w:p>
        </w:tc>
        <w:tc>
          <w:tcPr>
            <w:tcW w:w="1862" w:type="dxa"/>
            <w:shd w:val="clear" w:color="auto" w:fill="CCFFCC"/>
            <w:vAlign w:val="center"/>
          </w:tcPr>
          <w:p>
            <w:pPr>
              <w:jc w:val="center"/>
              <w:rPr>
                <w:rFonts w:ascii="Times New Roman" w:hAnsi="Times New Roman"/>
                <w:noProof/>
              </w:rPr>
            </w:pPr>
            <w:r>
              <w:rPr>
                <w:rFonts w:ascii="Times New Roman" w:hAnsi="Times New Roman"/>
                <w:noProof/>
              </w:rPr>
              <w:t>Regolament Delegat tal-Kummissjoni</w:t>
            </w:r>
          </w:p>
        </w:tc>
        <w:tc>
          <w:tcPr>
            <w:tcW w:w="1994" w:type="dxa"/>
            <w:shd w:val="clear" w:color="auto" w:fill="CCFFCC"/>
            <w:vAlign w:val="center"/>
          </w:tcPr>
          <w:p>
            <w:pPr>
              <w:jc w:val="center"/>
              <w:rPr>
                <w:rFonts w:ascii="Times New Roman" w:hAnsi="Times New Roman"/>
                <w:noProof/>
              </w:rPr>
            </w:pPr>
            <w:r>
              <w:rPr>
                <w:rFonts w:ascii="Times New Roman" w:hAnsi="Times New Roman"/>
                <w:noProof/>
              </w:rPr>
              <w:t>Adottat fit-28 ta’ Awwissu 2019 u ppubblikat fil-Ġurnal Uffiċjali fit-8 ta’ Novembru 2019</w:t>
            </w:r>
            <w:r>
              <w:rPr>
                <w:rStyle w:val="FootnoteReference"/>
                <w:rFonts w:ascii="Times New Roman" w:hAnsi="Times New Roman"/>
                <w:noProof/>
              </w:rPr>
              <w:footnoteReference w:id="101"/>
            </w:r>
          </w:p>
        </w:tc>
      </w:tr>
      <w:tr>
        <w:trPr>
          <w:trHeight w:val="154"/>
        </w:trPr>
        <w:tc>
          <w:tcPr>
            <w:tcW w:w="2030" w:type="dxa"/>
            <w:shd w:val="clear" w:color="auto" w:fill="CCFFCC"/>
            <w:vAlign w:val="center"/>
          </w:tcPr>
          <w:p>
            <w:pPr>
              <w:rPr>
                <w:rFonts w:ascii="Times New Roman" w:hAnsi="Times New Roman"/>
                <w:noProof/>
              </w:rPr>
            </w:pPr>
            <w:r>
              <w:rPr>
                <w:rFonts w:ascii="Times New Roman" w:hAnsi="Times New Roman"/>
                <w:noProof/>
              </w:rPr>
              <w:t>Reviżjoni tar-Regolament Nru 601/2012 dwar il-Monitoraġġ u r-Rapportar</w:t>
            </w:r>
          </w:p>
        </w:tc>
        <w:tc>
          <w:tcPr>
            <w:tcW w:w="3808" w:type="dxa"/>
            <w:shd w:val="clear" w:color="auto" w:fill="CCFFCC"/>
            <w:vAlign w:val="center"/>
          </w:tcPr>
          <w:p>
            <w:pPr>
              <w:rPr>
                <w:rFonts w:ascii="Times New Roman" w:hAnsi="Times New Roman"/>
                <w:noProof/>
              </w:rPr>
            </w:pPr>
            <w:r>
              <w:rPr>
                <w:rFonts w:ascii="Times New Roman" w:hAnsi="Times New Roman"/>
                <w:noProof/>
              </w:rPr>
              <w:t>Is-simplifikazzjoni, it-titjib u l-kjarifika tar-regoli ta’ monitoraġġ u rapportar u t-tnaqqis tal-piż amministrattiv, ibbażat fuq l-esperjenza ta’ implimentazzjoni mill-fażi 3</w:t>
            </w:r>
          </w:p>
        </w:tc>
        <w:tc>
          <w:tcPr>
            <w:tcW w:w="1862" w:type="dxa"/>
            <w:shd w:val="clear" w:color="auto" w:fill="CCFFCC"/>
            <w:vAlign w:val="center"/>
          </w:tcPr>
          <w:p>
            <w:pPr>
              <w:jc w:val="center"/>
              <w:rPr>
                <w:rFonts w:ascii="Times New Roman" w:hAnsi="Times New Roman"/>
                <w:noProof/>
              </w:rPr>
            </w:pPr>
            <w:r>
              <w:rPr>
                <w:rFonts w:ascii="Times New Roman" w:hAnsi="Times New Roman"/>
                <w:noProof/>
              </w:rPr>
              <w:t>Regolament ta’ Implimentazzjoni tal-Kummissjoni</w:t>
            </w:r>
          </w:p>
        </w:tc>
        <w:tc>
          <w:tcPr>
            <w:tcW w:w="1994" w:type="dxa"/>
            <w:shd w:val="clear" w:color="auto" w:fill="CCFFCC"/>
            <w:vAlign w:val="center"/>
          </w:tcPr>
          <w:p>
            <w:pPr>
              <w:jc w:val="center"/>
              <w:rPr>
                <w:rFonts w:ascii="Times New Roman" w:hAnsi="Times New Roman"/>
                <w:noProof/>
              </w:rPr>
            </w:pPr>
            <w:r>
              <w:rPr>
                <w:rFonts w:ascii="Times New Roman" w:hAnsi="Times New Roman"/>
                <w:noProof/>
              </w:rPr>
              <w:t>Adottat fid-19 ta’ Diċembru 2018 u ppubblikat fil-Ġurnal Uffiċjali fil-31 ta’ Diċembru 2018</w:t>
            </w:r>
            <w:r>
              <w:rPr>
                <w:rStyle w:val="FootnoteReference"/>
                <w:rFonts w:ascii="Times New Roman" w:hAnsi="Times New Roman"/>
                <w:noProof/>
              </w:rPr>
              <w:footnoteReference w:id="102"/>
            </w:r>
          </w:p>
        </w:tc>
      </w:tr>
      <w:tr>
        <w:trPr>
          <w:trHeight w:val="154"/>
        </w:trPr>
        <w:tc>
          <w:tcPr>
            <w:tcW w:w="2030" w:type="dxa"/>
            <w:tcBorders>
              <w:bottom w:val="double" w:sz="4" w:space="0" w:color="auto"/>
            </w:tcBorders>
            <w:shd w:val="clear" w:color="auto" w:fill="CCFFCC"/>
            <w:vAlign w:val="center"/>
          </w:tcPr>
          <w:p>
            <w:pPr>
              <w:rPr>
                <w:rFonts w:ascii="Times New Roman" w:hAnsi="Times New Roman"/>
                <w:noProof/>
              </w:rPr>
            </w:pPr>
            <w:r>
              <w:rPr>
                <w:rFonts w:ascii="Times New Roman" w:hAnsi="Times New Roman"/>
                <w:noProof/>
              </w:rPr>
              <w:t>Reviżjoni tar-Regolament Nru 600/2012 dwar il-Verifika u l-Akkreditazzjoni</w:t>
            </w:r>
          </w:p>
        </w:tc>
        <w:tc>
          <w:tcPr>
            <w:tcW w:w="3808" w:type="dxa"/>
            <w:tcBorders>
              <w:bottom w:val="double" w:sz="4" w:space="0" w:color="auto"/>
            </w:tcBorders>
            <w:shd w:val="clear" w:color="auto" w:fill="CCFFCC"/>
            <w:vAlign w:val="center"/>
          </w:tcPr>
          <w:p>
            <w:pPr>
              <w:rPr>
                <w:rFonts w:ascii="Times New Roman" w:hAnsi="Times New Roman"/>
                <w:noProof/>
              </w:rPr>
            </w:pPr>
            <w:r>
              <w:rPr>
                <w:rFonts w:ascii="Times New Roman" w:hAnsi="Times New Roman"/>
                <w:noProof/>
              </w:rPr>
              <w:t>Is-simplifikazzjoni, it-titjib u l-iċċarar tar-regoli ta’ akkreditazzjoni u verifika u t-tnaqqis tal-piż amministrattiv sa fejn hu possibbli, abbażi tal-esperjenza tal-implimentazzjoni mill-fażi 3</w:t>
            </w:r>
          </w:p>
        </w:tc>
        <w:tc>
          <w:tcPr>
            <w:tcW w:w="1862" w:type="dxa"/>
            <w:tcBorders>
              <w:bottom w:val="double" w:sz="4" w:space="0" w:color="auto"/>
            </w:tcBorders>
            <w:shd w:val="clear" w:color="auto" w:fill="CCFFCC"/>
            <w:vAlign w:val="center"/>
          </w:tcPr>
          <w:p>
            <w:pPr>
              <w:jc w:val="center"/>
              <w:rPr>
                <w:rFonts w:ascii="Times New Roman" w:hAnsi="Times New Roman"/>
                <w:noProof/>
              </w:rPr>
            </w:pPr>
            <w:r>
              <w:rPr>
                <w:rFonts w:ascii="Times New Roman" w:hAnsi="Times New Roman"/>
                <w:noProof/>
              </w:rPr>
              <w:t xml:space="preserve">Regolament ta’ Implimentazzjoni tal-Kummissjoni </w:t>
            </w:r>
          </w:p>
        </w:tc>
        <w:tc>
          <w:tcPr>
            <w:tcW w:w="1994" w:type="dxa"/>
            <w:tcBorders>
              <w:bottom w:val="double" w:sz="4" w:space="0" w:color="auto"/>
            </w:tcBorders>
            <w:shd w:val="clear" w:color="auto" w:fill="CCFFCC"/>
            <w:vAlign w:val="center"/>
          </w:tcPr>
          <w:p>
            <w:pPr>
              <w:jc w:val="center"/>
              <w:rPr>
                <w:rFonts w:ascii="Times New Roman" w:hAnsi="Times New Roman"/>
                <w:noProof/>
              </w:rPr>
            </w:pPr>
            <w:r>
              <w:rPr>
                <w:rFonts w:ascii="Times New Roman" w:hAnsi="Times New Roman"/>
                <w:noProof/>
              </w:rPr>
              <w:t>Adottat fid-19 ta’ Diċembru 2018 u ppubblikat fil-Ġurnal Uffiċjali fil-31 ta’ Diċembru 2018</w:t>
            </w:r>
            <w:r>
              <w:rPr>
                <w:rStyle w:val="FootnoteReference"/>
                <w:rFonts w:ascii="Times New Roman" w:hAnsi="Times New Roman"/>
                <w:noProof/>
              </w:rPr>
              <w:footnoteReference w:id="103"/>
            </w:r>
          </w:p>
        </w:tc>
      </w:tr>
      <w:tr>
        <w:trPr>
          <w:trHeight w:val="154"/>
        </w:trPr>
        <w:tc>
          <w:tcPr>
            <w:tcW w:w="2030" w:type="dxa"/>
            <w:shd w:val="clear" w:color="auto" w:fill="CCFFCC"/>
            <w:vAlign w:val="center"/>
          </w:tcPr>
          <w:p>
            <w:pPr>
              <w:rPr>
                <w:rFonts w:ascii="Times New Roman" w:hAnsi="Times New Roman"/>
                <w:noProof/>
              </w:rPr>
            </w:pPr>
            <w:r>
              <w:rPr>
                <w:rFonts w:ascii="Times New Roman" w:hAnsi="Times New Roman"/>
                <w:noProof/>
              </w:rPr>
              <w:t>Ir-Regolament (UE) 2019/1603 li jissupplimenta d-Direttiva 2003/87/KE għall-monitoraġġ, ir-rappurtar u l-verifika tal-emissjonijiet tal-avjazzjoni fir-rigward tal-CORSIA</w:t>
            </w:r>
          </w:p>
        </w:tc>
        <w:tc>
          <w:tcPr>
            <w:tcW w:w="3808" w:type="dxa"/>
            <w:shd w:val="clear" w:color="auto" w:fill="CCFFCC"/>
            <w:vAlign w:val="center"/>
          </w:tcPr>
          <w:p>
            <w:pPr>
              <w:rPr>
                <w:rFonts w:ascii="Times New Roman" w:hAnsi="Times New Roman"/>
                <w:noProof/>
              </w:rPr>
            </w:pPr>
            <w:r>
              <w:rPr>
                <w:rFonts w:ascii="Times New Roman" w:hAnsi="Times New Roman"/>
                <w:noProof/>
              </w:rPr>
              <w:t>Li jissuplimenta d-Direttiva dwar l-EU ETS fir-rigward ta’ miżuri adottati mill-Organizzazzjoni tal-Avjazzjoni Ċivili Internazzjonali għall-monitoraġġ, ir-rapportar u l-verifika tal-emissjonijiet mill-avjazzjoni għall-fini tal-implimentazzjoni tal-CORSIA</w:t>
            </w:r>
          </w:p>
        </w:tc>
        <w:tc>
          <w:tcPr>
            <w:tcW w:w="1862" w:type="dxa"/>
            <w:shd w:val="clear" w:color="auto" w:fill="CCFFCC"/>
            <w:vAlign w:val="center"/>
          </w:tcPr>
          <w:p>
            <w:pPr>
              <w:jc w:val="center"/>
              <w:rPr>
                <w:rFonts w:ascii="Times New Roman" w:hAnsi="Times New Roman"/>
                <w:noProof/>
              </w:rPr>
            </w:pPr>
            <w:r>
              <w:rPr>
                <w:rFonts w:ascii="Times New Roman" w:hAnsi="Times New Roman"/>
                <w:noProof/>
              </w:rPr>
              <w:t>Regolament Delegat tal-Kummissjoni</w:t>
            </w:r>
          </w:p>
        </w:tc>
        <w:tc>
          <w:tcPr>
            <w:tcW w:w="1994" w:type="dxa"/>
            <w:shd w:val="clear" w:color="auto" w:fill="CCFFCC"/>
            <w:vAlign w:val="center"/>
          </w:tcPr>
          <w:p>
            <w:pPr>
              <w:jc w:val="center"/>
              <w:rPr>
                <w:rFonts w:ascii="Times New Roman" w:hAnsi="Times New Roman"/>
                <w:noProof/>
              </w:rPr>
            </w:pPr>
            <w:r>
              <w:rPr>
                <w:rFonts w:ascii="Times New Roman" w:hAnsi="Times New Roman"/>
                <w:noProof/>
              </w:rPr>
              <w:t>Adottat fit-18 ta’ Lulju 2019 u ppubblikat fil-Ġurnal Uffiċjali fit-30 ta’ Settembru 2019</w:t>
            </w:r>
            <w:r>
              <w:rPr>
                <w:rStyle w:val="FootnoteReference"/>
                <w:rFonts w:ascii="Times New Roman" w:hAnsi="Times New Roman"/>
                <w:noProof/>
              </w:rPr>
              <w:footnoteReference w:id="104"/>
            </w:r>
          </w:p>
        </w:tc>
      </w:tr>
      <w:tr>
        <w:trPr>
          <w:trHeight w:val="154"/>
        </w:trPr>
        <w:tc>
          <w:tcPr>
            <w:tcW w:w="2030" w:type="dxa"/>
            <w:tcBorders>
              <w:bottom w:val="double" w:sz="4" w:space="0" w:color="auto"/>
            </w:tcBorders>
            <w:shd w:val="clear" w:color="auto" w:fill="FFFFCC"/>
            <w:vAlign w:val="center"/>
          </w:tcPr>
          <w:p>
            <w:pPr>
              <w:rPr>
                <w:rFonts w:ascii="Times New Roman" w:hAnsi="Times New Roman"/>
                <w:noProof/>
              </w:rPr>
            </w:pPr>
            <w:r>
              <w:rPr>
                <w:rFonts w:ascii="Times New Roman" w:hAnsi="Times New Roman"/>
                <w:noProof/>
              </w:rPr>
              <w:t>Linji Gwida għall-Għajnuna mill-Istat fil-qasam tal-EU ETS 2021-2030</w:t>
            </w:r>
          </w:p>
        </w:tc>
        <w:tc>
          <w:tcPr>
            <w:tcW w:w="3808" w:type="dxa"/>
            <w:tcBorders>
              <w:bottom w:val="double" w:sz="4" w:space="0" w:color="auto"/>
            </w:tcBorders>
            <w:shd w:val="clear" w:color="auto" w:fill="FFFFCC"/>
            <w:vAlign w:val="center"/>
          </w:tcPr>
          <w:p>
            <w:pPr>
              <w:rPr>
                <w:rFonts w:ascii="Times New Roman" w:hAnsi="Times New Roman"/>
                <w:noProof/>
              </w:rPr>
            </w:pPr>
            <w:r>
              <w:rPr>
                <w:rFonts w:ascii="Times New Roman" w:hAnsi="Times New Roman"/>
                <w:noProof/>
              </w:rPr>
              <w:t>Ir-reviżjoni tal-Linji Gwida għall-Għajnuna mill-Istat fil-qasam tal-EU ETS għall-fażi 4 biex jiġu akkomodati d-dispożizzjonijiet il-ġodda introdotti mid-Direttiva dwar l-EU ETS riveduta għall-mekkaniżmi ta’ kumpens għall-ispejjeż indiretti tal-karbonju</w:t>
            </w:r>
          </w:p>
        </w:tc>
        <w:tc>
          <w:tcPr>
            <w:tcW w:w="1862" w:type="dxa"/>
            <w:tcBorders>
              <w:bottom w:val="double" w:sz="4" w:space="0" w:color="auto"/>
            </w:tcBorders>
            <w:shd w:val="clear" w:color="auto" w:fill="FFFFCC"/>
            <w:vAlign w:val="center"/>
          </w:tcPr>
          <w:p>
            <w:pPr>
              <w:jc w:val="center"/>
              <w:rPr>
                <w:rFonts w:ascii="Times New Roman" w:hAnsi="Times New Roman"/>
                <w:noProof/>
              </w:rPr>
            </w:pPr>
            <w:r>
              <w:rPr>
                <w:rFonts w:ascii="Times New Roman" w:hAnsi="Times New Roman"/>
                <w:noProof/>
              </w:rPr>
              <w:t>Komunikazzjoni mill-Kummissjoni</w:t>
            </w:r>
          </w:p>
        </w:tc>
        <w:tc>
          <w:tcPr>
            <w:tcW w:w="1994" w:type="dxa"/>
            <w:tcBorders>
              <w:bottom w:val="double" w:sz="4" w:space="0" w:color="auto"/>
            </w:tcBorders>
            <w:shd w:val="clear" w:color="auto" w:fill="FFFFCC"/>
            <w:vAlign w:val="center"/>
          </w:tcPr>
          <w:p>
            <w:pPr>
              <w:jc w:val="center"/>
              <w:rPr>
                <w:rFonts w:ascii="Times New Roman" w:hAnsi="Times New Roman"/>
                <w:noProof/>
              </w:rPr>
            </w:pPr>
            <w:r>
              <w:rPr>
                <w:rFonts w:ascii="Times New Roman" w:hAnsi="Times New Roman"/>
                <w:noProof/>
              </w:rPr>
              <w:t>2020</w:t>
            </w:r>
          </w:p>
        </w:tc>
      </w:tr>
      <w:tr>
        <w:trPr>
          <w:trHeight w:val="154"/>
        </w:trPr>
        <w:tc>
          <w:tcPr>
            <w:tcW w:w="2030" w:type="dxa"/>
            <w:shd w:val="clear" w:color="auto" w:fill="CCFFCC"/>
            <w:vAlign w:val="center"/>
          </w:tcPr>
          <w:p>
            <w:pPr>
              <w:rPr>
                <w:rFonts w:ascii="Times New Roman" w:hAnsi="Times New Roman"/>
                <w:noProof/>
              </w:rPr>
            </w:pPr>
            <w:r>
              <w:rPr>
                <w:rFonts w:ascii="Times New Roman" w:hAnsi="Times New Roman"/>
                <w:noProof/>
              </w:rPr>
              <w:t>Id-Deċiżjoni Delegata tal-Kummissjoni (UE) 2020/1071 dwar l-esklużjoni ta’ titjiriet li jidħlu mill-Iżvizzera mill-iskema tal-UE għall-iskambju tal-kwoti tal-emissjonijiet</w:t>
            </w:r>
          </w:p>
        </w:tc>
        <w:tc>
          <w:tcPr>
            <w:tcW w:w="3808" w:type="dxa"/>
            <w:shd w:val="clear" w:color="auto" w:fill="CCFFCC"/>
            <w:vAlign w:val="center"/>
          </w:tcPr>
          <w:p>
            <w:pPr>
              <w:rPr>
                <w:rFonts w:ascii="Times New Roman" w:hAnsi="Times New Roman"/>
                <w:noProof/>
              </w:rPr>
            </w:pPr>
            <w:r>
              <w:rPr>
                <w:rFonts w:ascii="Times New Roman" w:hAnsi="Times New Roman"/>
                <w:noProof/>
              </w:rPr>
              <w:t>Temenda l-Anness I tad-Direttiva dwar l-EU ETS biex teskludi titjiriet li jkunu deħlin mill-Iżvizzera mis-sistema tal-UE għall-iskambju ta’ kwoti tal-emissjonijiet mill-1 ta’ Jannar 2020</w:t>
            </w:r>
          </w:p>
        </w:tc>
        <w:tc>
          <w:tcPr>
            <w:tcW w:w="1862" w:type="dxa"/>
            <w:shd w:val="clear" w:color="auto" w:fill="CCFFCC"/>
            <w:vAlign w:val="center"/>
          </w:tcPr>
          <w:p>
            <w:pPr>
              <w:jc w:val="center"/>
              <w:rPr>
                <w:rFonts w:ascii="Times New Roman" w:hAnsi="Times New Roman"/>
                <w:noProof/>
              </w:rPr>
            </w:pPr>
            <w:r>
              <w:rPr>
                <w:rFonts w:ascii="Times New Roman" w:hAnsi="Times New Roman"/>
                <w:noProof/>
              </w:rPr>
              <w:t>Regolament Delegat tal-Kummissjoni</w:t>
            </w:r>
          </w:p>
        </w:tc>
        <w:tc>
          <w:tcPr>
            <w:tcW w:w="1994" w:type="dxa"/>
            <w:shd w:val="clear" w:color="auto" w:fill="CCFFCC"/>
            <w:vAlign w:val="center"/>
          </w:tcPr>
          <w:p>
            <w:pPr>
              <w:jc w:val="center"/>
              <w:rPr>
                <w:rFonts w:ascii="Times New Roman" w:hAnsi="Times New Roman"/>
                <w:noProof/>
              </w:rPr>
            </w:pPr>
            <w:r>
              <w:rPr>
                <w:rFonts w:ascii="Times New Roman" w:hAnsi="Times New Roman"/>
                <w:noProof/>
              </w:rPr>
              <w:t>Adottat fit-18 ta’ Mejju 2020 u ppubblikat fil-Ġurnal Uffiċjali fil-21 ta’ Lulju 2020</w:t>
            </w:r>
            <w:r>
              <w:rPr>
                <w:rStyle w:val="FootnoteReference"/>
                <w:rFonts w:ascii="Times New Roman" w:hAnsi="Times New Roman"/>
                <w:noProof/>
              </w:rPr>
              <w:footnoteReference w:id="105"/>
            </w:r>
          </w:p>
        </w:tc>
      </w:tr>
    </w:tbl>
    <w:tbl>
      <w:tblPr>
        <w:tblStyle w:val="TableGrid6"/>
        <w:tblpPr w:leftFromText="180" w:rightFromText="180" w:vertAnchor="text" w:horzAnchor="margin" w:tblpY="72"/>
        <w:tblW w:w="1851" w:type="dxa"/>
        <w:tblLook w:val="04A0" w:firstRow="1" w:lastRow="0" w:firstColumn="1" w:lastColumn="0" w:noHBand="0" w:noVBand="1"/>
      </w:tblPr>
      <w:tblGrid>
        <w:gridCol w:w="1851"/>
      </w:tblGrid>
      <w:tr>
        <w:trPr>
          <w:trHeight w:val="251"/>
        </w:trPr>
        <w:tc>
          <w:tcPr>
            <w:tcW w:w="1851" w:type="dxa"/>
          </w:tcPr>
          <w:p>
            <w:pPr>
              <w:rPr>
                <w:rFonts w:ascii="Times New Roman" w:hAnsi="Times New Roman"/>
                <w:b/>
                <w:noProof/>
              </w:rPr>
            </w:pPr>
            <w:r>
              <w:rPr>
                <w:rFonts w:ascii="Times New Roman" w:hAnsi="Times New Roman"/>
                <w:b/>
                <w:noProof/>
              </w:rPr>
              <w:t xml:space="preserve">Qagħda attwali </w:t>
            </w:r>
          </w:p>
        </w:tc>
      </w:tr>
      <w:tr>
        <w:trPr>
          <w:trHeight w:val="251"/>
        </w:trPr>
        <w:tc>
          <w:tcPr>
            <w:tcW w:w="1851" w:type="dxa"/>
            <w:tcBorders>
              <w:bottom w:val="single" w:sz="4" w:space="0" w:color="auto"/>
            </w:tcBorders>
          </w:tcPr>
          <w:p>
            <w:pPr>
              <w:rPr>
                <w:rFonts w:ascii="Times New Roman" w:hAnsi="Times New Roman"/>
                <w:noProof/>
              </w:rPr>
            </w:pPr>
            <w:r>
              <w:rPr>
                <w:rFonts w:ascii="Times New Roman" w:hAnsi="Times New Roman"/>
                <w:noProof/>
              </w:rPr>
              <w:t>Ippjanat</w:t>
            </w:r>
          </w:p>
        </w:tc>
      </w:tr>
      <w:tr>
        <w:trPr>
          <w:trHeight w:val="251"/>
        </w:trPr>
        <w:tc>
          <w:tcPr>
            <w:tcW w:w="1851" w:type="dxa"/>
            <w:tcBorders>
              <w:bottom w:val="single" w:sz="4" w:space="0" w:color="auto"/>
            </w:tcBorders>
            <w:shd w:val="clear" w:color="auto" w:fill="FFFFCC"/>
          </w:tcPr>
          <w:p>
            <w:pPr>
              <w:rPr>
                <w:rFonts w:ascii="Times New Roman" w:hAnsi="Times New Roman"/>
                <w:noProof/>
              </w:rPr>
            </w:pPr>
            <w:r>
              <w:rPr>
                <w:rFonts w:ascii="Times New Roman" w:hAnsi="Times New Roman"/>
                <w:noProof/>
              </w:rPr>
              <w:t>Għadu għaddej</w:t>
            </w:r>
          </w:p>
        </w:tc>
      </w:tr>
      <w:tr>
        <w:trPr>
          <w:trHeight w:val="264"/>
        </w:trPr>
        <w:tc>
          <w:tcPr>
            <w:tcW w:w="1851" w:type="dxa"/>
            <w:shd w:val="clear" w:color="auto" w:fill="CCFFCC"/>
          </w:tcPr>
          <w:p>
            <w:pPr>
              <w:rPr>
                <w:rFonts w:ascii="Times New Roman" w:hAnsi="Times New Roman"/>
                <w:noProof/>
              </w:rPr>
            </w:pPr>
            <w:r>
              <w:rPr>
                <w:rFonts w:ascii="Times New Roman" w:hAnsi="Times New Roman"/>
                <w:noProof/>
              </w:rPr>
              <w:t>Lest</w:t>
            </w:r>
          </w:p>
        </w:tc>
      </w:tr>
    </w:tbl>
    <w:p>
      <w:pPr>
        <w:spacing w:after="0"/>
        <w:rPr>
          <w:rFonts w:ascii="Times New Roman" w:hAnsi="Times New Roman"/>
          <w:b/>
          <w:noProof/>
        </w:rPr>
      </w:pPr>
    </w:p>
    <w:p>
      <w:pPr>
        <w:rPr>
          <w:rFonts w:ascii="Times New Roman" w:hAnsi="Times New Roman"/>
          <w:b/>
          <w:noProof/>
        </w:rPr>
      </w:pPr>
    </w:p>
    <w:p>
      <w:pPr>
        <w:rPr>
          <w:rFonts w:ascii="Times New Roman" w:hAnsi="Times New Roman"/>
          <w:b/>
          <w:noProof/>
        </w:rPr>
      </w:pPr>
    </w:p>
    <w:p>
      <w:pPr>
        <w:rPr>
          <w:rFonts w:ascii="Times New Roman" w:hAnsi="Times New Roman"/>
          <w:b/>
          <w:noProof/>
        </w:rPr>
      </w:pPr>
    </w:p>
    <w:p>
      <w:pPr>
        <w:rPr>
          <w:rFonts w:ascii="Times New Roman" w:hAnsi="Times New Roman"/>
          <w:b/>
          <w:noProof/>
        </w:rPr>
      </w:pPr>
      <w:r>
        <w:rPr>
          <w:rFonts w:ascii="Times New Roman" w:hAnsi="Times New Roman"/>
          <w:b/>
          <w:noProof/>
        </w:rPr>
        <w:t>Appendiċi 7</w:t>
      </w:r>
    </w:p>
    <w:p>
      <w:pPr>
        <w:keepNext/>
        <w:rPr>
          <w:rFonts w:ascii="Times New Roman" w:hAnsi="Times New Roman"/>
          <w:b/>
          <w:bCs/>
          <w:noProof/>
          <w:sz w:val="20"/>
          <w:szCs w:val="20"/>
        </w:rPr>
      </w:pPr>
      <w:r>
        <w:rPr>
          <w:rFonts w:ascii="Times New Roman" w:hAnsi="Times New Roman"/>
          <w:b/>
          <w:bCs/>
          <w:noProof/>
          <w:sz w:val="20"/>
          <w:szCs w:val="20"/>
        </w:rPr>
        <w:t>Tabella 7.1:</w:t>
      </w:r>
      <w:r>
        <w:rPr>
          <w:b/>
          <w:bCs/>
          <w:noProof/>
          <w:sz w:val="20"/>
          <w:szCs w:val="20"/>
        </w:rPr>
        <w:t xml:space="preserve"> </w:t>
      </w:r>
      <w:r>
        <w:rPr>
          <w:rFonts w:ascii="Times New Roman" w:hAnsi="Times New Roman"/>
          <w:b/>
          <w:bCs/>
          <w:noProof/>
          <w:sz w:val="20"/>
          <w:szCs w:val="20"/>
        </w:rPr>
        <w:t>Il-kontribuzzjonijiet tal-Istati Membri/Stati taż-ŻEE EFTA għar-Riżerva tal-Istabbiltà tas-Suq fl-2019-2020 (għadd ta’ kwoti)</w:t>
      </w:r>
    </w:p>
    <w:tbl>
      <w:tblPr>
        <w:tblW w:w="6799" w:type="dxa"/>
        <w:tblInd w:w="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102"/>
        <w:gridCol w:w="1855"/>
        <w:gridCol w:w="1842"/>
      </w:tblGrid>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Stat Membru/ ŻEE</w:t>
            </w:r>
            <w:r>
              <w:rPr>
                <w:noProof/>
              </w:rPr>
              <w:t xml:space="preserve"> </w:t>
            </w:r>
            <w:r>
              <w:rPr>
                <w:noProof/>
              </w:rPr>
              <w:br/>
            </w:r>
            <w:r>
              <w:rPr>
                <w:rFonts w:ascii="Times New Roman" w:hAnsi="Times New Roman"/>
                <w:b/>
                <w:bCs/>
                <w:noProof/>
                <w:sz w:val="20"/>
                <w:szCs w:val="20"/>
              </w:rPr>
              <w:t>Stat tal-EFTA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Kontribuzzjonijiet tal-MSR fl-2019</w:t>
            </w:r>
            <w:r>
              <w:rPr>
                <w:rStyle w:val="FootnoteReference"/>
                <w:rFonts w:ascii="Times New Roman" w:eastAsia="Times New Roman" w:hAnsi="Times New Roman"/>
                <w:b/>
                <w:bCs/>
                <w:noProof/>
                <w:sz w:val="20"/>
                <w:szCs w:val="20"/>
                <w:lang w:eastAsia="fr-BE"/>
              </w:rPr>
              <w:footnoteReference w:id="106"/>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Kontribuzzjonijiet tal-MSR fl-2020</w:t>
            </w:r>
            <w:r>
              <w:rPr>
                <w:rStyle w:val="FootnoteReference"/>
                <w:rFonts w:ascii="Times New Roman" w:eastAsia="Times New Roman" w:hAnsi="Times New Roman"/>
                <w:b/>
                <w:bCs/>
                <w:noProof/>
                <w:sz w:val="20"/>
                <w:szCs w:val="20"/>
                <w:lang w:eastAsia="fr-BE"/>
              </w:rPr>
              <w:footnoteReference w:id="107"/>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L-Awstrija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5 935 748</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5 614 399</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Il-Belġju</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9 846 994</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9 313 899</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Il-Bulgarija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8 292 720</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7 843 771</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Il-Kroazja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1 614 984</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1 527 552</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Ċipru</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932 844</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882 342</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Ir-Repubblika Ċeka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15 406 858</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14 572 765</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Id-Danimarka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5 340 750</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5 051 614</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L-Estonja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2 904 319</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2 747 085</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Il-Finlandja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7 130 025</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6 744 021</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Franza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23 346 791</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22 082 847</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Il-Ġermanja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85 389 770</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80 766 957</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Il-Greċja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12 684 492</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11 997 782</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L-Ungerija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5 115 708</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4 838 755</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L-Iżlanda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166 450</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157 439</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L-Irlanda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3 991 393</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3 775 308</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L-Italja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40 304 729</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38 122 721</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Il-Latvja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865 501</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818 645</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Il-Liechtenstein</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3 725</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3 524</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Il-Litwanja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1 792 324</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1 695 292</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Il-Lussemburgu</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467 394</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442 090</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Malta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354 798</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335 590</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In-Netherlands</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14 291 411</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13 517 705</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In-Norveġja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3 314 570</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3 135 127</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Il-Polonja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39 282 170</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37 155 520</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Il-Portugall</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6 478 775</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6 128 029</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Ir-Rumanija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14 941 290</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14 132 401</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Is-Slovakkja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4 752 513</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4 495 223</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Is-Slovenja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1 577 714</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1 492 300</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Spanja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32 660 234</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30 892 081</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L-Iżvezja</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3 457 106</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3 269 946</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Ir-Renju Unit</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44 480 623</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42 072 540</w:t>
            </w:r>
          </w:p>
        </w:tc>
      </w:tr>
      <w:tr>
        <w:trPr>
          <w:trHeight w:val="292"/>
        </w:trPr>
        <w:tc>
          <w:tcPr>
            <w:tcW w:w="310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rPr>
                <w:rFonts w:ascii="Times New Roman" w:eastAsia="Times New Roman" w:hAnsi="Times New Roman"/>
                <w:b/>
                <w:bCs/>
                <w:noProof/>
                <w:sz w:val="20"/>
                <w:szCs w:val="20"/>
              </w:rPr>
            </w:pPr>
            <w:r>
              <w:rPr>
                <w:rFonts w:ascii="Times New Roman" w:hAnsi="Times New Roman"/>
                <w:b/>
                <w:bCs/>
                <w:noProof/>
                <w:sz w:val="20"/>
                <w:szCs w:val="20"/>
              </w:rPr>
              <w:t>Total</w:t>
            </w:r>
          </w:p>
        </w:tc>
        <w:tc>
          <w:tcPr>
            <w:tcW w:w="1855"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397 124 722</w:t>
            </w:r>
          </w:p>
        </w:tc>
        <w:tc>
          <w:tcPr>
            <w:tcW w:w="1842"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pPr>
              <w:spacing w:after="0" w:line="240" w:lineRule="auto"/>
              <w:jc w:val="right"/>
              <w:rPr>
                <w:rFonts w:ascii="Times New Roman" w:eastAsia="Times New Roman" w:hAnsi="Times New Roman"/>
                <w:b/>
                <w:bCs/>
                <w:noProof/>
                <w:sz w:val="20"/>
                <w:szCs w:val="20"/>
              </w:rPr>
            </w:pPr>
            <w:r>
              <w:rPr>
                <w:rFonts w:ascii="Times New Roman" w:hAnsi="Times New Roman"/>
                <w:b/>
                <w:bCs/>
                <w:noProof/>
                <w:sz w:val="20"/>
                <w:szCs w:val="20"/>
              </w:rPr>
              <w:t>375 625 270</w:t>
            </w:r>
          </w:p>
        </w:tc>
      </w:tr>
    </w:tbl>
    <w:p>
      <w:pPr>
        <w:tabs>
          <w:tab w:val="left" w:pos="3491"/>
        </w:tabs>
        <w:rPr>
          <w:rFonts w:ascii="Times New Roman" w:hAnsi="Times New Roman"/>
          <w:b/>
          <w:noProof/>
        </w:rPr>
      </w:pPr>
    </w:p>
    <w:p>
      <w:pPr>
        <w:tabs>
          <w:tab w:val="left" w:pos="3491"/>
        </w:tabs>
        <w:rPr>
          <w:rFonts w:ascii="Times New Roman" w:hAnsi="Times New Roman"/>
          <w:b/>
          <w:noProof/>
        </w:rPr>
      </w:pPr>
      <w:r>
        <w:rPr>
          <w:rFonts w:ascii="Times New Roman" w:hAnsi="Times New Roman"/>
          <w:b/>
          <w:noProof/>
        </w:rPr>
        <w:t>Appendiċi 8</w:t>
      </w:r>
    </w:p>
    <w:p>
      <w:pPr>
        <w:rPr>
          <w:rFonts w:ascii="Times New Roman" w:hAnsi="Times New Roman"/>
          <w:b/>
          <w:noProof/>
          <w:sz w:val="20"/>
          <w:szCs w:val="20"/>
        </w:rPr>
      </w:pPr>
      <w:r>
        <w:rPr>
          <w:rFonts w:ascii="Times New Roman" w:hAnsi="Times New Roman"/>
          <w:b/>
          <w:noProof/>
          <w:sz w:val="20"/>
          <w:szCs w:val="20"/>
        </w:rPr>
        <w:t>Tabella 8.1: Fondi NER 300 mhux minfuqa skont l-InnoFin EDP u s-CEF DI: Proġetti appoġġati fil-perjodu minn Awwissu 2019 sa Ġunju 2020</w:t>
      </w:r>
    </w:p>
    <w:tbl>
      <w:tblPr>
        <w:tblStyle w:val="TableGrid"/>
        <w:tblW w:w="946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8"/>
        <w:gridCol w:w="6626"/>
      </w:tblGrid>
      <w:tr>
        <w:trPr>
          <w:trHeight w:val="178"/>
        </w:trPr>
        <w:tc>
          <w:tcPr>
            <w:tcW w:w="2838" w:type="dxa"/>
            <w:shd w:val="clear" w:color="auto" w:fill="D9D9D9" w:themeFill="background1" w:themeFillShade="D9"/>
          </w:tcPr>
          <w:p>
            <w:pPr>
              <w:rPr>
                <w:rFonts w:ascii="Times New Roman" w:hAnsi="Times New Roman"/>
                <w:b/>
                <w:noProof/>
              </w:rPr>
            </w:pPr>
            <w:r>
              <w:rPr>
                <w:rFonts w:ascii="Times New Roman" w:hAnsi="Times New Roman"/>
                <w:b/>
                <w:noProof/>
              </w:rPr>
              <w:t>Titlu tal-proġett</w:t>
            </w:r>
          </w:p>
        </w:tc>
        <w:tc>
          <w:tcPr>
            <w:tcW w:w="6626" w:type="dxa"/>
            <w:shd w:val="clear" w:color="auto" w:fill="D9D9D9" w:themeFill="background1" w:themeFillShade="D9"/>
          </w:tcPr>
          <w:p>
            <w:pPr>
              <w:rPr>
                <w:rFonts w:ascii="Times New Roman" w:hAnsi="Times New Roman"/>
                <w:b/>
                <w:noProof/>
              </w:rPr>
            </w:pPr>
            <w:r>
              <w:rPr>
                <w:rFonts w:ascii="Times New Roman" w:hAnsi="Times New Roman"/>
                <w:b/>
                <w:noProof/>
              </w:rPr>
              <w:t>Deskrizzjoni</w:t>
            </w:r>
          </w:p>
        </w:tc>
      </w:tr>
      <w:tr>
        <w:trPr>
          <w:trHeight w:val="1674"/>
        </w:trPr>
        <w:tc>
          <w:tcPr>
            <w:tcW w:w="2838" w:type="dxa"/>
          </w:tcPr>
          <w:p>
            <w:pPr>
              <w:rPr>
                <w:rFonts w:ascii="Times New Roman" w:hAnsi="Times New Roman"/>
                <w:noProof/>
              </w:rPr>
            </w:pPr>
            <w:r>
              <w:rPr>
                <w:rFonts w:ascii="Times New Roman" w:hAnsi="Times New Roman"/>
                <w:noProof/>
              </w:rPr>
              <w:t>VOLTALIS (EDP)</w:t>
            </w:r>
          </w:p>
        </w:tc>
        <w:tc>
          <w:tcPr>
            <w:tcW w:w="6626" w:type="dxa"/>
          </w:tcPr>
          <w:p>
            <w:pPr>
              <w:jc w:val="both"/>
              <w:rPr>
                <w:rFonts w:ascii="Times New Roman" w:hAnsi="Times New Roman"/>
                <w:noProof/>
              </w:rPr>
            </w:pPr>
            <w:r>
              <w:rPr>
                <w:rFonts w:ascii="Times New Roman" w:hAnsi="Times New Roman"/>
                <w:noProof/>
              </w:rPr>
              <w:t>Voltalis huwa aggregatur tar-rispons għad-domanda fis-settur tal-elettriku. Dan jipprovdi soluzzjonijiet tekniċi intelliġenti biex it-tagħbijiet domestiċi u t-tagħbijiet kummerċjali u industrijali żgħar ikunu jistgħu jipparteċipaw fis-swieq tal-enerġija u jisfruttaw il-potenzjal tal-flessibbiltà tagħhom. Il-proġett se jtejjeb is-sigurtà tal-provvista, billi jnaqqas ir-riskju ta’ qtugħ ta’ elettriku, u se jtejjeb l-effiċjenza tal-enerġija billi jnaqqas il-konsum ġenerali tal-elettriku. Voltalis ingħata self ta’ EUR 20 miljun iffinanzjat mill-fondi NER 300 mhux minfuqa.</w:t>
            </w:r>
          </w:p>
        </w:tc>
      </w:tr>
      <w:tr>
        <w:trPr>
          <w:trHeight w:val="1530"/>
        </w:trPr>
        <w:tc>
          <w:tcPr>
            <w:tcW w:w="2838" w:type="dxa"/>
          </w:tcPr>
          <w:p>
            <w:pPr>
              <w:rPr>
                <w:rFonts w:ascii="Times New Roman" w:hAnsi="Times New Roman"/>
                <w:noProof/>
              </w:rPr>
            </w:pPr>
            <w:r>
              <w:rPr>
                <w:rFonts w:ascii="Times New Roman" w:hAnsi="Times New Roman"/>
                <w:noProof/>
              </w:rPr>
              <w:t>STEELANOL (EDP): Il-produzzjoni avvanzata tal-bijofjuwils mill-gass ta’ skart li ġej mill-produzzjoni tal-azzar</w:t>
            </w:r>
          </w:p>
        </w:tc>
        <w:tc>
          <w:tcPr>
            <w:tcW w:w="6626" w:type="dxa"/>
          </w:tcPr>
          <w:p>
            <w:pPr>
              <w:jc w:val="both"/>
              <w:rPr>
                <w:rFonts w:ascii="Times New Roman" w:hAnsi="Times New Roman"/>
                <w:noProof/>
              </w:rPr>
            </w:pPr>
            <w:r>
              <w:rPr>
                <w:rFonts w:ascii="Times New Roman" w:hAnsi="Times New Roman"/>
                <w:noProof/>
              </w:rPr>
              <w:t xml:space="preserve">L-operazzjoni Steelanol irċeviet self ta’ EUR 75 miljun appoġġat bis-sħiħ minn riżorsi ta’ NER 300 mhux minfuqa biex tiġi appoġġata d-dimostrazzjoni ta’ produzzjoni tal-azzar b’livell baxx ta’ karbonju. Dan l-ewwel proġett ta’ dan it-tip għandu l-għan li juri mod effettiv għall-produzzjoni tal-bijoetanol mill-materja prima tal-iskart tal-injam u jintegrah bis-sħiħ f’impjant tal-azzar fuq skala kbira. Jirrappreżenta rivoluzzjoni fid-dekarbonizzazzjoni tas-settur. </w:t>
            </w:r>
          </w:p>
        </w:tc>
      </w:tr>
      <w:tr>
        <w:trPr>
          <w:trHeight w:val="1241"/>
        </w:trPr>
        <w:tc>
          <w:tcPr>
            <w:tcW w:w="2838" w:type="dxa"/>
          </w:tcPr>
          <w:p>
            <w:pPr>
              <w:rPr>
                <w:rFonts w:ascii="Times New Roman" w:hAnsi="Times New Roman"/>
                <w:noProof/>
              </w:rPr>
            </w:pPr>
            <w:r>
              <w:rPr>
                <w:rFonts w:ascii="Times New Roman" w:hAnsi="Times New Roman"/>
                <w:noProof/>
              </w:rPr>
              <w:t>EV Charging Italy (CEF DI)</w:t>
            </w:r>
          </w:p>
        </w:tc>
        <w:tc>
          <w:tcPr>
            <w:tcW w:w="6626" w:type="dxa"/>
          </w:tcPr>
          <w:p>
            <w:pPr>
              <w:jc w:val="both"/>
              <w:rPr>
                <w:rFonts w:ascii="Times New Roman" w:hAnsi="Times New Roman"/>
                <w:noProof/>
              </w:rPr>
            </w:pPr>
            <w:r>
              <w:rPr>
                <w:rFonts w:ascii="Times New Roman" w:hAnsi="Times New Roman"/>
                <w:noProof/>
              </w:rPr>
              <w:t>Il-proġett għandu l-għan li jiżviluppa infrastruttura tal-iċċarġjar tal-vetturi elettriċi fl-Italja. Dan se jinvolvi l-installazzjoni ta’ madwar 6 850 punt tal-iċċarġjar u l-konnessjonijiet assoċjati man-network ta’ distribuzzjoni matul il-perjodu 2019-2023. Il-finanzjament tal-proġett jammonta għal EUR 25 miljun appoġġat bis-sħiħ mill-fondi NER 300 mhux minfuqa</w:t>
            </w:r>
          </w:p>
        </w:tc>
      </w:tr>
      <w:tr>
        <w:trPr>
          <w:trHeight w:val="1832"/>
        </w:trPr>
        <w:tc>
          <w:tcPr>
            <w:tcW w:w="2838" w:type="dxa"/>
          </w:tcPr>
          <w:p>
            <w:pPr>
              <w:rPr>
                <w:rFonts w:ascii="Times New Roman" w:hAnsi="Times New Roman"/>
                <w:noProof/>
              </w:rPr>
            </w:pPr>
            <w:r>
              <w:rPr>
                <w:rFonts w:ascii="Times New Roman" w:hAnsi="Times New Roman"/>
                <w:noProof/>
              </w:rPr>
              <w:t>Il-programm ta’ Elettromobbiltà ta’ Hamburger Hochbahn (CEF DI)</w:t>
            </w:r>
          </w:p>
        </w:tc>
        <w:tc>
          <w:tcPr>
            <w:tcW w:w="6626" w:type="dxa"/>
          </w:tcPr>
          <w:p>
            <w:pPr>
              <w:jc w:val="both"/>
              <w:rPr>
                <w:rFonts w:ascii="Times New Roman" w:hAnsi="Times New Roman"/>
                <w:noProof/>
              </w:rPr>
            </w:pPr>
            <w:r>
              <w:rPr>
                <w:rFonts w:ascii="Times New Roman" w:hAnsi="Times New Roman"/>
                <w:noProof/>
              </w:rPr>
              <w:t>Dan il-proġett minn Hamburger Hochbahn, operatur tat-trasport pubbliku f’Hamburg, għandu l-għan li jġedded u li jelettrifika l-flotta tat-trasport pubbliku urban ta’ Hamburg bis-sostituzzjoni tal-karozzi tal-linja attwali li jaħdmu bid-diżil b’100 e-bus u l-użu tal-infrastruttura tal-iċċarġjar relatata. Il-promotur tal-proġett juża 100 % enerġija rinnovabbli ċċertifikata għall-e-buses tiegħu. L-istrateġija tal-kumpanija tipprevedi li l-infrastruttura tal-iċċarġjar trid tkun modulari u skalabbli, faċli biex tmantniha, u effiċjenti ħafna fl-enerġija u fl-ispejjeż.</w:t>
            </w:r>
          </w:p>
        </w:tc>
      </w:tr>
      <w:tr>
        <w:trPr>
          <w:trHeight w:val="1530"/>
        </w:trPr>
        <w:tc>
          <w:tcPr>
            <w:tcW w:w="2838" w:type="dxa"/>
          </w:tcPr>
          <w:p>
            <w:pPr>
              <w:rPr>
                <w:rFonts w:ascii="Times New Roman" w:hAnsi="Times New Roman"/>
                <w:noProof/>
              </w:rPr>
            </w:pPr>
            <w:r>
              <w:rPr>
                <w:rFonts w:ascii="Times New Roman" w:hAnsi="Times New Roman"/>
                <w:noProof/>
              </w:rPr>
              <w:t>Il-programm ta’ elettromobbiltà ta’ VSS Hamburg (CEF DI)</w:t>
            </w:r>
          </w:p>
        </w:tc>
        <w:tc>
          <w:tcPr>
            <w:tcW w:w="6626" w:type="dxa"/>
          </w:tcPr>
          <w:p>
            <w:pPr>
              <w:jc w:val="both"/>
              <w:rPr>
                <w:rFonts w:ascii="Times New Roman" w:hAnsi="Times New Roman"/>
                <w:noProof/>
              </w:rPr>
            </w:pPr>
            <w:r>
              <w:rPr>
                <w:rFonts w:ascii="Times New Roman" w:hAnsi="Times New Roman"/>
                <w:noProof/>
              </w:rPr>
              <w:t>Dan il-proġett jappoġġa lil VHH, operatur tat-trasport pubbliku f’Hamburg, fix-xiri ta’ madwar 155 e-bus biex jissostitwixxu l-karozzi tal-linja li jaħdmu bid-diżil qodma u jibni l-infrastruttura tal-iċċarġjar assoċjata. Dan jinkludi l-adattament ta’ erba’ depożiti għall-elettromobbiltà u l-bini ta’ depożitu ġdid adattat għall-karozzi tal-linja elettriċi, kif ukoll l-implimentazzjoni tas-software u s-sistemi tal-IT. Il-promotur tal-proġett juża 100 % enerġija rinnovabbli ċċertifikata.</w:t>
            </w:r>
          </w:p>
        </w:tc>
      </w:tr>
      <w:tr>
        <w:trPr>
          <w:trHeight w:val="1955"/>
        </w:trPr>
        <w:tc>
          <w:tcPr>
            <w:tcW w:w="2838" w:type="dxa"/>
          </w:tcPr>
          <w:p>
            <w:pPr>
              <w:rPr>
                <w:rFonts w:ascii="Times New Roman" w:hAnsi="Times New Roman"/>
                <w:noProof/>
              </w:rPr>
            </w:pPr>
            <w:r>
              <w:rPr>
                <w:rFonts w:ascii="Times New Roman" w:hAnsi="Times New Roman"/>
                <w:noProof/>
              </w:rPr>
              <w:t>LIGNOL (PDA)</w:t>
            </w:r>
          </w:p>
        </w:tc>
        <w:tc>
          <w:tcPr>
            <w:tcW w:w="6626" w:type="dxa"/>
          </w:tcPr>
          <w:p>
            <w:pPr>
              <w:jc w:val="both"/>
              <w:rPr>
                <w:rFonts w:ascii="Times New Roman" w:hAnsi="Times New Roman"/>
                <w:noProof/>
              </w:rPr>
            </w:pPr>
            <w:r>
              <w:rPr>
                <w:rFonts w:ascii="Times New Roman" w:hAnsi="Times New Roman"/>
                <w:noProof/>
              </w:rPr>
              <w:t xml:space="preserve">Dan il-proġett jappoġġa l-bini ta’ impjant ta’ produzzjoni tal-Lignol f'mitħna eżistenti tal-polpa f’Mörrum, l-Iżvezja, li huwa mistenni li jipproduċi madwar 185 000 tunnellata ta’ Lignol (bijożejt rinnovabbli, ibbażat fuq il-linjina, li jitħallat f’magni tal-kombustjoni sa kwalunkwe grad u huwa adattat għat-taħlit mal-fjuwil tal-avjazzjoni) kull sena. Minbarra li jnaqqas l-emissjonijiet ta’ </w:t>
            </w:r>
            <w:r>
              <w:rPr>
                <w:rFonts w:ascii="Times New Roman" w:hAnsi="Times New Roman"/>
                <w:bCs/>
                <w:noProof/>
              </w:rPr>
              <w:t>CO</w:t>
            </w:r>
            <w:r>
              <w:rPr>
                <w:rFonts w:ascii="Times New Roman" w:hAnsi="Times New Roman"/>
                <w:bCs/>
                <w:noProof/>
                <w:vertAlign w:val="subscript"/>
              </w:rPr>
              <w:t>2</w:t>
            </w:r>
            <w:r>
              <w:rPr>
                <w:rFonts w:ascii="Times New Roman" w:hAnsi="Times New Roman"/>
                <w:noProof/>
              </w:rPr>
              <w:t xml:space="preserve"> mis-settur tat-trasport Żvediż, il-proċess tal-produzzjoni tal-Lignol huwa effiċjenti ħafna fl-enerġija u ma jipproduċix emissjonijiet tossiċi jew prodotti ta’ skart li jagħmlu l-ħsara. L-ispejjeż tad-dimostrazzjoni stmati jammontaw għal EUR 105,5 miljuni.</w:t>
            </w:r>
          </w:p>
        </w:tc>
      </w:tr>
      <w:tr>
        <w:trPr>
          <w:trHeight w:val="1670"/>
        </w:trPr>
        <w:tc>
          <w:tcPr>
            <w:tcW w:w="2838" w:type="dxa"/>
          </w:tcPr>
          <w:p>
            <w:pPr>
              <w:rPr>
                <w:rFonts w:ascii="Times New Roman" w:hAnsi="Times New Roman"/>
                <w:noProof/>
              </w:rPr>
            </w:pPr>
            <w:r>
              <w:rPr>
                <w:rFonts w:ascii="Times New Roman" w:hAnsi="Times New Roman"/>
                <w:noProof/>
              </w:rPr>
              <w:t>Solar Thermo Electric Magaldi (PDA)</w:t>
            </w:r>
          </w:p>
        </w:tc>
        <w:tc>
          <w:tcPr>
            <w:tcW w:w="6626" w:type="dxa"/>
          </w:tcPr>
          <w:p>
            <w:pPr>
              <w:jc w:val="both"/>
              <w:rPr>
                <w:rFonts w:ascii="Times New Roman" w:hAnsi="Times New Roman"/>
                <w:noProof/>
              </w:rPr>
            </w:pPr>
            <w:r>
              <w:rPr>
                <w:rFonts w:ascii="Times New Roman" w:hAnsi="Times New Roman"/>
                <w:noProof/>
              </w:rPr>
              <w:t>Dan il-proġett, ibbażat fl-Italja, jappoġġa impjant li hu l-ewwel ta’ dan it-tip, ibbażat fuq kunċett ġdid ta’ ġenerazzjoni u ħżin solari termali u li jiġġenera elettriku ekoloġiku li jkun jista’ jiġi spedit fuq talba. L-impjant se joffri provvista elettrika kontinwa minn sorsi rinnovabbli mingħajr il-ħtieġa li jinbnew linji ta’ trażmissjoni twal, u dan se jissostitwixxi l-ispiża tal-impjanti termali li jaħdmu biż-żejt tal-fjuwil tqil jew bid-diżil. L-enerġija totali ġġenerata kull sena mill-impjant hija mistennija li tkun madwar 14 300 MWh/sena. L-ispejjeż bħalissa huma stmati għal madwar EUR 36 miljun.</w:t>
            </w:r>
          </w:p>
        </w:tc>
      </w:tr>
      <w:tr>
        <w:trPr>
          <w:trHeight w:val="1281"/>
        </w:trPr>
        <w:tc>
          <w:tcPr>
            <w:tcW w:w="2838" w:type="dxa"/>
          </w:tcPr>
          <w:p>
            <w:pPr>
              <w:rPr>
                <w:rFonts w:ascii="Times New Roman" w:hAnsi="Times New Roman"/>
                <w:noProof/>
              </w:rPr>
            </w:pPr>
            <w:r>
              <w:rPr>
                <w:rFonts w:ascii="Times New Roman" w:hAnsi="Times New Roman"/>
                <w:noProof/>
              </w:rPr>
              <w:t>BIOFOREVER (PDA)</w:t>
            </w:r>
          </w:p>
        </w:tc>
        <w:tc>
          <w:tcPr>
            <w:tcW w:w="6626" w:type="dxa"/>
          </w:tcPr>
          <w:p>
            <w:pPr>
              <w:jc w:val="both"/>
              <w:rPr>
                <w:rFonts w:ascii="Times New Roman" w:hAnsi="Times New Roman"/>
                <w:noProof/>
              </w:rPr>
            </w:pPr>
            <w:r>
              <w:rPr>
                <w:rFonts w:ascii="Times New Roman" w:hAnsi="Times New Roman"/>
                <w:noProof/>
              </w:rPr>
              <w:t>Dan il-proġett jappoġġa bijoraffinerija li tikkonverti l-injam fl-etanol fuq skala ta’ dimostrazzjoni f’Rotterdam, li tipproduċi 8 000 tunnellata etanol fis-sena. L-input għall-proċess tal-produzzjoni se jkun skart tal-injam tal-gradi A jew B. L-output tal-proċess tal-produzzjoni se jkun l-etanol għall-bijofjuwils. L-ispejjeż tad-dimostrazzjoni tal-proġett huma stmati għal EUR 30 miljun.</w:t>
            </w:r>
          </w:p>
        </w:tc>
      </w:tr>
    </w:tbl>
    <w:p>
      <w:pPr>
        <w:rPr>
          <w:rFonts w:ascii="Times New Roman" w:hAnsi="Times New Roman"/>
          <w:noProof/>
          <w:sz w:val="20"/>
          <w:szCs w:val="20"/>
        </w:rPr>
      </w:pPr>
    </w:p>
    <w:sectPr>
      <w:headerReference w:type="even" r:id="rId42"/>
      <w:headerReference w:type="default" r:id="rId43"/>
      <w:footerReference w:type="even" r:id="rId44"/>
      <w:footerReference w:type="default" r:id="rId45"/>
      <w:headerReference w:type="first" r:id="rId46"/>
      <w:footerReference w:type="first" r:id="rId47"/>
      <w:pgSz w:w="11906" w:h="16838"/>
      <w:pgMar w:top="1440" w:right="1440" w:bottom="1440" w:left="1440" w:header="709" w:footer="709"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E97C30" w16cid:durableId="1D584DA1"/>
  <w16cid:commentId w16cid:paraId="5F4E4608" w16cid:durableId="1D584DA2"/>
  <w16cid:commentId w16cid:paraId="58E17FD7" w16cid:durableId="1D584DA3"/>
  <w16cid:commentId w16cid:paraId="5DF23A43" w16cid:durableId="1D584DA4"/>
  <w16cid:commentId w16cid:paraId="30B21068" w16cid:durableId="1D584DA5"/>
  <w16cid:commentId w16cid:paraId="3A2C271F" w16cid:durableId="1D584DA6"/>
  <w16cid:commentId w16cid:paraId="4AE592B9" w16cid:durableId="1D584DA7"/>
  <w16cid:commentId w16cid:paraId="643AA177" w16cid:durableId="1D584DA8"/>
  <w16cid:commentId w16cid:paraId="38513F67" w16cid:durableId="1D584DA9"/>
  <w16cid:commentId w16cid:paraId="1FFA1ED9" w16cid:durableId="1D584DAA"/>
  <w16cid:commentId w16cid:paraId="597E28CC" w16cid:durableId="1D584DAB"/>
  <w16cid:commentId w16cid:paraId="57EFFC44" w16cid:durableId="1D584DA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49</w:t>
    </w:r>
    <w:r>
      <w:fldChar w:fldCharType="end"/>
    </w:r>
  </w:p>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MT</w:t>
    </w:r>
    <w:r>
      <w:rPr>
        <w:rFonts w:ascii="Arial" w:hAnsi="Arial" w:cs="Arial"/>
        <w:b/>
        <w:sz w:val="48"/>
      </w:rPr>
      <w:tab/>
    </w:r>
    <w:r>
      <w:rPr>
        <w:rFonts w:ascii="Arial" w:hAnsi="Arial" w:cs="Arial"/>
        <w:b/>
        <w:sz w:val="48"/>
      </w:rPr>
      <w:tab/>
    </w:r>
    <w:r>
      <w:tab/>
    </w:r>
    <w:r>
      <w:rPr>
        <w:rFonts w:ascii="Arial" w:hAnsi="Arial" w:cs="Arial"/>
        <w:b/>
        <w:sz w:val="48"/>
      </w:rPr>
      <w:t>MT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w:t>
    </w:r>
    <w:r>
      <w:fldChar w:fldCharType="end"/>
    </w:r>
  </w:p>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46</w:t>
    </w:r>
    <w:r>
      <w:fldChar w:fldCharType="end"/>
    </w:r>
  </w:p>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pPr>
      <w:r>
        <w:rPr>
          <w:rStyle w:val="FootnoteReference"/>
        </w:rPr>
        <w:footnoteRef/>
      </w:r>
      <w:r>
        <w:t xml:space="preserve"> Id-Direttiva 2003/87/KE tal-Parlament Ewropew u tal-Kunsill tat-13 ta’ Ottubru 2003 li tistabbilixxi skema għall-iskambju ta’ kwoti ta’ emissjonijiet ta’ gassijiet serra ġewwa l-Unjoni u li temenda d-Direttiva tal-Kunsill 96/61/KE, ĠU L 275, 25.10.2003, p. 32.</w:t>
      </w:r>
    </w:p>
  </w:footnote>
  <w:footnote w:id="2">
    <w:p>
      <w:pPr>
        <w:pStyle w:val="FootnoteText"/>
      </w:pPr>
      <w:r>
        <w:rPr>
          <w:rStyle w:val="FootnoteReference"/>
        </w:rPr>
        <w:footnoteRef/>
      </w:r>
      <w:r>
        <w:t xml:space="preserve"> COM(2020) 562 final– Komunikazzjoni mill-Kummissjoni lill-Parlament Ewropew, lill-Kunsil, lill-Kumitat Ekonomiku u Soċjali Ewropew u lill-Kumitat tar-Reġjuni - It-tisħiħ tal-ambizzjoni klimatika tal-Ewropa għall-2030 Ninvestu f’futur newtrali għall-klima għall-benefiċċju tal-popli tagħna – Il-Pjan dwar il-Mira Klimatika għall-2030</w:t>
      </w:r>
    </w:p>
  </w:footnote>
  <w:footnote w:id="3">
    <w:p>
      <w:pPr>
        <w:pStyle w:val="FootnoteText"/>
      </w:pPr>
      <w:r>
        <w:rPr>
          <w:rStyle w:val="FootnoteReference"/>
        </w:rPr>
        <w:footnoteRef/>
      </w:r>
      <w:r>
        <w:t xml:space="preserve"> COM(2019) 640 final – Komunikazzjoni mill-Kummissjoni lill-Parlament Ewropew, lill-Kunsill Ewropew, lill-Kunsill, lill-Kumitat Ekonomiku u Soċjali Ewropew u lill-Kumitat tar-Reġjuni – Il-Patt Ekoloġiku Ewropew</w:t>
      </w:r>
    </w:p>
  </w:footnote>
  <w:footnote w:id="4">
    <w:p>
      <w:pPr>
        <w:pStyle w:val="FootnoteText"/>
      </w:pPr>
      <w:r>
        <w:rPr>
          <w:rStyle w:val="FootnoteReference"/>
        </w:rPr>
        <w:footnoteRef/>
      </w:r>
      <w:r>
        <w:t xml:space="preserve"> Id-Direttiva (UE) 2018/410 tal-Parlament Ewropew u tal-Kunsill tal-14 ta’ Marzu 2018 li temenda d-Direttiva 2003/87/KE biex jiżdiedu t-tnaqqis kosteffettiv tal-emissjonijiet u l-investimenti għal emissjonijiet baxxi ta’ karbonju, u d-Deċiżjoni (UE) 2015/1814, ĠU L 76, 19.03.2018, p. 3</w:t>
      </w:r>
    </w:p>
  </w:footnote>
  <w:footnote w:id="5">
    <w:p>
      <w:pPr>
        <w:pStyle w:val="FootnoteText"/>
      </w:pPr>
      <w:r>
        <w:rPr>
          <w:rStyle w:val="FootnoteReference"/>
        </w:rPr>
        <w:footnoteRef/>
      </w:r>
      <w:r>
        <w:t xml:space="preserve"> L-EU ETS hija regolata f’fażijiet. Il-fażi 3 tkopri l-perjodu 2013-2020, filwaqt li l-fażi 4 tkopri l-perjodu 2021-2030.</w:t>
      </w:r>
    </w:p>
  </w:footnote>
  <w:footnote w:id="6">
    <w:p>
      <w:pPr>
        <w:pStyle w:val="FootnoteText"/>
      </w:pPr>
      <w:r>
        <w:rPr>
          <w:rStyle w:val="FootnoteReference"/>
        </w:rPr>
        <w:footnoteRef/>
      </w:r>
      <w:r>
        <w:t xml:space="preserve"> Ir-Regolament ta’ Implimentazzjoni tal-Kummissjoni (UE) 2019/1842 tal-31 ta’ Ottubru 2019 li jistabbilixxi regoli għall-applikazzjoni tad-Direttiva 2003/87/KE tal-Parlament Ewropew u tal-Kunsill fir-rigward ta’ arranġamenti ulterjuri għall-aġġustamenti għall-allokazzjoni bla ħlas tal-kwoti tal-emissjonijiet minħabba bidliet fil-livell tal-attività, ĠU L 282, 4.11.2019, p. 20</w:t>
      </w:r>
    </w:p>
  </w:footnote>
  <w:footnote w:id="7">
    <w:p>
      <w:pPr>
        <w:pStyle w:val="FootnoteText"/>
      </w:pPr>
      <w:r>
        <w:rPr>
          <w:rStyle w:val="FootnoteReference"/>
        </w:rPr>
        <w:footnoteRef/>
      </w:r>
      <w:r>
        <w:t xml:space="preserve"> Ir-Regolament ta’ Implimentazzjoni tal-Kummissjoni (UE) 2020/1001 tad-9 ta’ Lulju 2020 li jistabbilixxi regoli dettaljati għall-applikazzjoni tad-Direttiva 2003/87/KE tal-Parlament Ewropew u tal-Kunsill fir-rigward tal-operat tal-Fond għall-Modernizzazzjoni li jsostni investimenti għall-modernizzazzjoni tas-sistemi tal-enerġija u għat-titjib tal-effiċjenza enerġetika ta’ ċerti Stati Membri, ĠU L 221, 10.7.2020, p. 107</w:t>
      </w:r>
    </w:p>
  </w:footnote>
  <w:footnote w:id="8">
    <w:p>
      <w:pPr>
        <w:pStyle w:val="FootnoteText"/>
      </w:pPr>
      <w:r>
        <w:rPr>
          <w:rStyle w:val="FootnoteReference"/>
        </w:rPr>
        <w:footnoteRef/>
      </w:r>
      <w:r>
        <w:t xml:space="preserve"> Ir-Regolament Delegat tal-Kummissjoni (UE) 2019/1868 tat-28 ta’ Awwissu 2019 li jemenda r-Regolament (UE) Nru 1031/2010 sabiex jallinja l-irkantar ta’ kwoti mar-regoli tal-EU ETS għall-perjodu mill-2021 sal-2030 u mal-klassifikazzjoni tal-kwoti bħala strumenti finanzjarji skont id-Direttiva 2014/65/UE tal-Parlament Ewropew u tal-Kunsill (Test b’rilevanza għaż-ŻEE), ĠU L 289, 8.11.2019, p. 9</w:t>
      </w:r>
    </w:p>
  </w:footnote>
  <w:footnote w:id="9">
    <w:p>
      <w:pPr>
        <w:pStyle w:val="FootnoteText"/>
      </w:pPr>
      <w:r>
        <w:rPr>
          <w:rStyle w:val="FootnoteReference"/>
        </w:rPr>
        <w:footnoteRef/>
      </w:r>
      <w:r>
        <w:t xml:space="preserve"> Ir-rapport tas-suq tal-karbonju tal-2019 jinsab hawnhekk: </w:t>
      </w:r>
      <w:hyperlink r:id="rId1" w:history="1">
        <w:r>
          <w:rPr>
            <w:rStyle w:val="Hyperlink"/>
          </w:rPr>
          <w:t>https://eur-lex.europa.eu/legal-content/MT/TXT/?uri=CELEX:52019DC0557R(01)</w:t>
        </w:r>
      </w:hyperlink>
      <w:r>
        <w:t xml:space="preserve"> </w:t>
      </w:r>
    </w:p>
  </w:footnote>
  <w:footnote w:id="10">
    <w:p>
      <w:pPr>
        <w:pStyle w:val="FootnoteText"/>
      </w:pPr>
      <w:r>
        <w:rPr>
          <w:rStyle w:val="FootnoteReference"/>
        </w:rPr>
        <w:footnoteRef/>
      </w:r>
      <w:r>
        <w:t xml:space="preserve"> C(2020) 2835 final, </w:t>
      </w:r>
      <w:hyperlink r:id="rId2" w:history="1">
        <w:r>
          <w:rPr>
            <w:rStyle w:val="Hyperlink"/>
          </w:rPr>
          <w:t>https://ec.europa.eu/clima/sites/clima/files/ets/reform/docs/c_2020_2835_en.pdf</w:t>
        </w:r>
      </w:hyperlink>
      <w:r>
        <w:t xml:space="preserve"> </w:t>
      </w:r>
    </w:p>
  </w:footnote>
  <w:footnote w:id="11">
    <w:p>
      <w:pPr>
        <w:pStyle w:val="FootnoteText"/>
      </w:pPr>
      <w:r>
        <w:rPr>
          <w:rStyle w:val="FootnoteReference"/>
        </w:rPr>
        <w:footnoteRef/>
      </w:r>
      <w:r>
        <w:t xml:space="preserve"> Sors: ICE</w:t>
      </w:r>
    </w:p>
  </w:footnote>
  <w:footnote w:id="12">
    <w:p>
      <w:pPr>
        <w:pStyle w:val="FootnoteText"/>
      </w:pPr>
      <w:r>
        <w:rPr>
          <w:rStyle w:val="FootnoteReference"/>
        </w:rPr>
        <w:footnoteRef/>
      </w:r>
      <w:r>
        <w:t xml:space="preserve"> Id-data limitu użata kienet it-30 ta’ Ġunju 2020.</w:t>
      </w:r>
    </w:p>
  </w:footnote>
  <w:footnote w:id="13">
    <w:p>
      <w:pPr>
        <w:pStyle w:val="FootnoteText"/>
      </w:pPr>
      <w:r>
        <w:rPr>
          <w:rStyle w:val="FootnoteReference"/>
        </w:rPr>
        <w:footnoteRef/>
      </w:r>
      <w:r>
        <w:t xml:space="preserve"> “Ir-rapporti tal-Artikolu 21” jirreferu għal rapporti ppreżentati mill-Istati Membri bbażati fuq ir-rekwiżiti fl-Artikolu 21 tad-Direttiva tal-ETS, f’dan il-kuntest, “pajjiżi parteċipanti” jew sempliċement “pajjiżi” jinkludu s-27 Stat Membru tal-UE, ir-Renju Unit, u l-pajjiżi taż-ŻEE (l-Iżlanda, in-Norveġja u l-Liechtenstein).</w:t>
      </w:r>
    </w:p>
  </w:footnote>
  <w:footnote w:id="14">
    <w:p>
      <w:pPr>
        <w:pStyle w:val="FootnoteText"/>
      </w:pPr>
      <w:r>
        <w:rPr>
          <w:rStyle w:val="FootnoteReference"/>
        </w:rPr>
        <w:footnoteRef/>
      </w:r>
      <w:r>
        <w:t xml:space="preserve"> Fl-EU ETS, il-fattur ta’ emissjoni tal-bijomassa huwa stabbilit għal żero jekk tiġi ssodisfata d-definizzjoni tat-terminu “bijomassa” u fejn – fir-rigward tal-bijokarburanti jew il-bijolikwidi – jiġu ssodisfati l-kriterji ta’ sostenibbiltà skont l-Artikolu 17(1) tad-Direttiva 2009/28/KE (id-Direttiva dwar l-Enerġija Rinnovabbli). L-ebda kwota ma trid tiġi restitwita għall-emissjonijiet bi klassifikazzjoni żero. Fis-sottomissjonijiet tal-Artikolu 21 tal-2020, żewġ pajjiżi parteċipanti (LV u DK) irrapportaw biss il-kontenut enerġetiku tal-bijomassa bi klassifikazzjoni żero, u mhux l-emissjonijiet proprji. Għalhekk, l-emissjonijiet tagħhom ma jitqisux fit-total ipprovdut. </w:t>
      </w:r>
    </w:p>
  </w:footnote>
  <w:footnote w:id="15">
    <w:p>
      <w:pPr>
        <w:pStyle w:val="FootnoteText"/>
      </w:pPr>
      <w:r>
        <w:rPr>
          <w:rStyle w:val="FootnoteReference"/>
        </w:rPr>
        <w:footnoteRef/>
      </w:r>
      <w:r>
        <w:t xml:space="preserve"> L-installazzjonijiet tal-kategorija C jarmu aktar minn 500 000 tunnellata ta’ CO</w:t>
      </w:r>
      <w:r>
        <w:rPr>
          <w:vertAlign w:val="subscript"/>
        </w:rPr>
        <w:t>2</w:t>
      </w:r>
      <w:r>
        <w:t>e fis-sena, l-installazzjonijiet tal-kategorija B jarmu bejn 500 000 u 50 000 tunnellata ta’ CO</w:t>
      </w:r>
      <w:r>
        <w:rPr>
          <w:vertAlign w:val="subscript"/>
        </w:rPr>
        <w:t>2</w:t>
      </w:r>
      <w:r>
        <w:t>e fis-sena, u l-installazzjonijiet tal-kategorija A jarmu inqas minn 50 000 tunnellata ta’ CO</w:t>
      </w:r>
      <w:r>
        <w:rPr>
          <w:vertAlign w:val="subscript"/>
        </w:rPr>
        <w:t>2</w:t>
      </w:r>
      <w:r>
        <w:t>e fis-sena. Ara r-Regolament tal-Kummissjoni (UE) Nru 601/2012 tal-21 ta’ Ġunju 2012 dwar il-monitoraġġ u r-rapportar ta’ emissjonijiet ta’ gassijiet serra skont id-Direttiva 2003/87/KE tal-Parlament Ewropew u tal-Kunsill, ĠU L 181, 12.7.2012, p. 30</w:t>
      </w:r>
    </w:p>
  </w:footnote>
  <w:footnote w:id="16">
    <w:p>
      <w:pPr>
        <w:pStyle w:val="FootnoteText"/>
      </w:pPr>
      <w:r>
        <w:rPr>
          <w:rStyle w:val="FootnoteReference"/>
        </w:rPr>
        <w:footnoteRef/>
      </w:r>
      <w:r>
        <w:t xml:space="preserve"> L-installazzjonijiet b’emissjonijiet baxxi huma subsett fi ħdan l-installazzjonijiet tal-kategorija A, li jarmu anqas minn 25 000 tunnellata ta’ CO</w:t>
      </w:r>
      <w:r>
        <w:rPr>
          <w:vertAlign w:val="subscript"/>
        </w:rPr>
        <w:t>2</w:t>
      </w:r>
      <w:r>
        <w:t xml:space="preserve">e fis-sena (ara l-Artikolu 47(2) tar-Regolament (UE) Nru 601/2012). </w:t>
      </w:r>
    </w:p>
  </w:footnote>
  <w:footnote w:id="17">
    <w:p>
      <w:pPr>
        <w:pStyle w:val="FootnoteText"/>
      </w:pPr>
      <w:r>
        <w:rPr>
          <w:rStyle w:val="FootnoteReference"/>
        </w:rPr>
        <w:footnoteRef/>
      </w:r>
      <w:r>
        <w:t xml:space="preserve"> Ir-Regolament tal-Kummissjoni (UE) Nru 601/2012 tal-21 ta’ Ġunju 2012 dwar il-monitoraġġ u r-rapportar ta’ emissjonijiet ta’ gassijiet serra skont id-Direttiva 2003/87/KE tal-Parlament Ewropew u tal-Kunsill, ĠU L 181, 12.7.2012, p. 30.</w:t>
      </w:r>
    </w:p>
  </w:footnote>
  <w:footnote w:id="18">
    <w:p>
      <w:pPr>
        <w:pStyle w:val="FootnoteText"/>
      </w:pPr>
      <w:r>
        <w:rPr>
          <w:rStyle w:val="FootnoteReference"/>
        </w:rPr>
        <w:footnoteRef/>
      </w:r>
      <w:r>
        <w:t xml:space="preserve"> Eżempju ta’ operatur ta’ inġenju tal-ajru kummerċjali huwa linja tal-ajru tal-passiġġieri li tipprovdi servizzi lill-pubbliku ġenerali. Eżempju ta’ operatur ta’ inġenju tal-ajru mhux kummerċjali huwa inġenju tal-ajru privat.</w:t>
      </w:r>
    </w:p>
  </w:footnote>
  <w:footnote w:id="19">
    <w:p>
      <w:pPr>
        <w:pStyle w:val="FootnoteText"/>
      </w:pPr>
      <w:r>
        <w:rPr>
          <w:rStyle w:val="FootnoteReference"/>
        </w:rPr>
        <w:footnoteRef/>
      </w:r>
      <w:r>
        <w:t xml:space="preserve"> Id-Deċiżjoni tal-Kummissjoni C(2018) 8707 tas-17.12.2018 dwar istruzzjonijiet lill-amministratur ċentrali biex jissospendi temporanjament l-aċċettazzjoni mir-Reġistru tat-Tranżazzjonijiet tal-Unjoni Ewropea tal-proċessi rilevanti għar-Renju Unit relatati mal-allokazzjoni mingħajr ħlas, l-irkant u l-iskambju ta’ krediti internazzjonali </w:t>
      </w:r>
    </w:p>
  </w:footnote>
  <w:footnote w:id="20">
    <w:p>
      <w:pPr>
        <w:pStyle w:val="FootnoteText"/>
      </w:pPr>
      <w:r>
        <w:rPr>
          <w:rStyle w:val="FootnoteReference"/>
        </w:rPr>
        <w:footnoteRef/>
      </w:r>
      <w:r>
        <w:t xml:space="preserve"> Ir-Regolament tal-Kummissjoni (UE) Nru 2018/208 tat-12 ta’ Frar 2018 li jemenda r-Regolament (UE) Nru 389/2013 li jistabbilixxi Reġistru tal-Unjoni, ĠU L 39, 13.02.2018, p. 3.</w:t>
      </w:r>
    </w:p>
  </w:footnote>
  <w:footnote w:id="21">
    <w:p>
      <w:pPr>
        <w:pStyle w:val="FootnoteText"/>
      </w:pPr>
      <w:r>
        <w:rPr>
          <w:rStyle w:val="FootnoteReference"/>
        </w:rPr>
        <w:footnoteRef/>
      </w:r>
      <w:r>
        <w:t xml:space="preserve"> Il-Ftehim dwar il-ħruġ tar-Renju Unit tal-Gran Brittanja u l-Irlanda ta’ Fuq mill-Unjoni Ewropea u mill-Komunità Ewropea tal-Enerġija Atomika (2019/C 384 I/01), ĠU C 384I, 12.11.2019, p. 1.</w:t>
      </w:r>
    </w:p>
  </w:footnote>
  <w:footnote w:id="22">
    <w:p>
      <w:pPr>
        <w:pStyle w:val="FootnoteText"/>
      </w:pPr>
      <w:r>
        <w:rPr>
          <w:rStyle w:val="FootnoteReference"/>
        </w:rPr>
        <w:footnoteRef/>
      </w:r>
      <w:r>
        <w:t xml:space="preserve"> Il-Ftehim bejn l-Unjoni Ewropea u l-Konfederazzjoni Żvizzera dwar il-kollegament tal-iskemi għall-iskambju ta’ kwoti tal-emissjonijiet ta’ gassijiet serra tagħhom, ĠU L 322, 7.12.2017, p. 3</w:t>
      </w:r>
    </w:p>
  </w:footnote>
  <w:footnote w:id="23">
    <w:p>
      <w:pPr>
        <w:pStyle w:val="FootnoteText"/>
      </w:pPr>
      <w:r>
        <w:rPr>
          <w:rStyle w:val="FootnoteReference"/>
        </w:rPr>
        <w:footnoteRef/>
      </w:r>
      <w:r>
        <w:t xml:space="preserve"> </w:t>
      </w:r>
      <w:hyperlink r:id="rId3" w:history="1">
        <w:r>
          <w:rPr>
            <w:rStyle w:val="Hyperlink"/>
          </w:rPr>
          <w:t>https://ec.europa.eu/clima/sites/clima/files/ets/markets/docs/decision_201902_swiss_ets_linking.pdf</w:t>
        </w:r>
      </w:hyperlink>
      <w:r>
        <w:t xml:space="preserve"> </w:t>
      </w:r>
    </w:p>
  </w:footnote>
  <w:footnote w:id="24">
    <w:p>
      <w:pPr>
        <w:pStyle w:val="FootnoteText"/>
      </w:pPr>
      <w:r>
        <w:rPr>
          <w:rStyle w:val="FootnoteReference"/>
        </w:rPr>
        <w:footnoteRef/>
      </w:r>
      <w:r>
        <w:t xml:space="preserve"> Ir-Regolament Delegat tal-Kummissjoni (UE) 2019/1122 tat-12 ta’ Marzu 2019 li jissupplimenta d-Direttiva 2003/87/KE tal-Parlament Ewropew u tal-Kunsill fir-rigward tal-funzjonament tar-Reġistru tal-Unjoni, ĠU L 177, 2.7.2019, p. 3.</w:t>
      </w:r>
    </w:p>
  </w:footnote>
  <w:footnote w:id="25">
    <w:p>
      <w:pPr>
        <w:pStyle w:val="FootnoteText"/>
      </w:pPr>
      <w:r>
        <w:rPr>
          <w:rStyle w:val="FootnoteReference"/>
        </w:rPr>
        <w:footnoteRef/>
      </w:r>
      <w:r>
        <w:t xml:space="preserve"> In-numru ta’ kwoti tal-avjazzjoni mqiegħda fiċ-ċirkolazzjoni sa mill-2013 huwa r-riżultat ta’ approċċ minn isfel għal fuq li jibda minn allokazzjoni bla ħlas (iddeterminat fuq il-bażi ta’ parametri referenzjarji bbażati fuq l-attivitajiet għall-attività tal-operaturi fi ħdan iż-ŻEE). In-numru ta’ kwoti rkantati mbagħad jinkiseb abbażi tal-fatt li l-allokazzjoni bla ħlas (inkluża riżerva speċjali għal distribuzzjoni aktar tard għal operaturi ta’ inġenji tal-ajru li qed jikbru malajr u għal min jidħol ġdid) jenħtieġ li tkun 85 % tat-total u l-irkantar jenħtieġ li jkun 15 %.</w:t>
      </w:r>
    </w:p>
  </w:footnote>
  <w:footnote w:id="26">
    <w:p>
      <w:pPr>
        <w:pStyle w:val="FootnoteText"/>
      </w:pPr>
      <w:r>
        <w:rPr>
          <w:rStyle w:val="FootnoteReference"/>
        </w:rPr>
        <w:footnoteRef/>
      </w:r>
      <w:r>
        <w:t xml:space="preserve"> Iċ-ċifri aġġornati jinkludu skambji ta’ krediti internazzjonali minbarra l-allokazzjoni bla ħlas u l-ammonti rkantati. </w:t>
      </w:r>
    </w:p>
  </w:footnote>
  <w:footnote w:id="27">
    <w:p>
      <w:pPr>
        <w:pStyle w:val="FootnoteText"/>
      </w:pPr>
      <w:r>
        <w:rPr>
          <w:rStyle w:val="FootnoteReference"/>
        </w:rPr>
        <w:footnoteRef/>
      </w:r>
      <w:r>
        <w:t xml:space="preserve"> https://ec.europa.eu/info/european-union-and-united-kingdom-forging-new-partnership/eu-uk-withdrawal-agreement_mt</w:t>
      </w:r>
    </w:p>
  </w:footnote>
  <w:footnote w:id="28">
    <w:p>
      <w:pPr>
        <w:pStyle w:val="FootnoteText"/>
      </w:pPr>
      <w:r>
        <w:rPr>
          <w:rStyle w:val="FootnoteReference"/>
        </w:rPr>
        <w:footnoteRef/>
      </w:r>
      <w:r>
        <w:t xml:space="preserve"> https://ec.europa.eu/info/european-union-and-united-kingdom-forging-new-partnership/eu-uk-withdrawal-agreement/protocol-ireland-and-northern-ireland_mt</w:t>
      </w:r>
    </w:p>
  </w:footnote>
  <w:footnote w:id="29">
    <w:p>
      <w:pPr>
        <w:pStyle w:val="FootnoteText"/>
      </w:pPr>
      <w:r>
        <w:rPr>
          <w:rStyle w:val="FootnoteReference"/>
        </w:rPr>
        <w:footnoteRef/>
      </w:r>
      <w:r>
        <w:t xml:space="preserve"> Id-Deċiżjoni tal-Kummissjoni C/2020/7704</w:t>
      </w:r>
    </w:p>
  </w:footnote>
  <w:footnote w:id="30">
    <w:p>
      <w:pPr>
        <w:pStyle w:val="FootnoteText"/>
      </w:pPr>
      <w:r>
        <w:rPr>
          <w:rStyle w:val="FootnoteReference"/>
        </w:rPr>
        <w:footnoteRef/>
      </w:r>
      <w:r>
        <w:t xml:space="preserve"> Il-limitu massimu għall-2021 sal-2030 jirrifletti l-pubblikazzjoni wara l-BREXIT tal-volum totali tal-kwoti tal-EU ETS permezz tad-Deċiżjoni tal-Kummissjoni C/2020/7704. L-impatt fuq il-leġiżlazzjoni tal-ETS tal-miri miżjuda għat-tnaqqis tal-emissjonijiet sal-2030 proposti mill-Kummissjoni fis-17 ta’ Settembru 2020 fil-Pjan dwar il-Mira Klimatika se jiġi vvalutat fl-eżerċizzju li ġej ta’ rieżami tal-leġiżlazzjoni dwar il-klima.</w:t>
      </w:r>
    </w:p>
  </w:footnote>
  <w:footnote w:id="31">
    <w:p>
      <w:pPr>
        <w:pStyle w:val="FootnoteText"/>
      </w:pPr>
      <w:r>
        <w:rPr>
          <w:rStyle w:val="FootnoteReference"/>
        </w:rPr>
        <w:footnoteRef/>
      </w:r>
      <w:r>
        <w:t xml:space="preserve"> Filwaqt li ċ-ċifri fis-snin preċedenti kienu bbażati fuq notifiki mill-Istati Membri sal-aħħar ta’ Ġunju tas-sena rispettiva, fir-rapport ta’ din is-sena huma bbażati fuq ir-Reġistru tal-Unjoni b’data limitu tat-30 ta’ Ġunju 2020. Dan l-approċċ il-ġdid intgħażel sabiex jirrifletti b’mod aktar preċiż l-allokazzjonijiet kif iseħħu u jiġu rreġistrati fir-Reġistru tal-Unjoni.  </w:t>
      </w:r>
    </w:p>
  </w:footnote>
  <w:footnote w:id="32">
    <w:p>
      <w:pPr>
        <w:pStyle w:val="FootnoteText"/>
      </w:pPr>
      <w:r>
        <w:rPr>
          <w:rStyle w:val="FootnoteReference"/>
        </w:rPr>
        <w:footnoteRef/>
      </w:r>
      <w:r>
        <w:t xml:space="preserve"> Ammont inizjali, qabel l-applikazzjoni tat-tnaqqis imsemmi hawn taħt. </w:t>
      </w:r>
    </w:p>
  </w:footnote>
  <w:footnote w:id="33">
    <w:p>
      <w:pPr>
        <w:pStyle w:val="FootnoteText"/>
      </w:pPr>
      <w:r>
        <w:rPr>
          <w:rStyle w:val="FootnoteReference"/>
        </w:rPr>
        <w:footnoteRef/>
      </w:r>
      <w:r>
        <w:t xml:space="preserve"> L-allokazzjoni għar-Renju Unit (48,0 miljun kwota tat-total għall-2019) li ġiet sospiża fl-2019 minħabba l-miżuri ta’ salvagwardja biex tiġi protetta l-integrità ambjentali tal-EU ETS reġgħet bdiet fl-2020. </w:t>
      </w:r>
    </w:p>
  </w:footnote>
  <w:footnote w:id="34">
    <w:p>
      <w:pPr>
        <w:pStyle w:val="FootnoteText"/>
      </w:pPr>
      <w:r>
        <w:rPr>
          <w:rStyle w:val="FootnoteReference"/>
        </w:rPr>
        <w:footnoteRef/>
      </w:r>
      <w:r>
        <w:t xml:space="preserve"> Id-Deċiżjoni Delegata tal-Kummissjoni (UE) 2019/708, </w:t>
      </w:r>
      <w:hyperlink r:id="rId4" w:history="1">
        <w:r>
          <w:rPr>
            <w:rStyle w:val="Hyperlink"/>
          </w:rPr>
          <w:t>https://eur-lex.europa.eu/legal-content/MT/TXT/PDF/?uri=OJ:L:2019:120:FULL&amp;from=MT</w:t>
        </w:r>
      </w:hyperlink>
      <w:r>
        <w:t xml:space="preserve"> </w:t>
      </w:r>
    </w:p>
  </w:footnote>
  <w:footnote w:id="35">
    <w:p>
      <w:pPr>
        <w:pStyle w:val="FootnoteText"/>
      </w:pPr>
      <w:r>
        <w:rPr>
          <w:rStyle w:val="FootnoteReference"/>
        </w:rPr>
        <w:footnoteRef/>
      </w:r>
      <w:r>
        <w:t xml:space="preserve"> Ir-Regolament Delegat tal-Kummissjoni (UE) 2019/331, </w:t>
      </w:r>
      <w:hyperlink r:id="rId5" w:history="1">
        <w:r>
          <w:rPr>
            <w:rStyle w:val="Hyperlink"/>
          </w:rPr>
          <w:t>https://eur-lex.europa.eu/legal-content/MT/TXT/PDF/?uri=OJ:L:2019:059:FULL&amp;from=MT</w:t>
        </w:r>
      </w:hyperlink>
      <w:r>
        <w:t xml:space="preserve"> </w:t>
      </w:r>
    </w:p>
  </w:footnote>
  <w:footnote w:id="36">
    <w:p>
      <w:pPr>
        <w:pStyle w:val="FootnoteText"/>
      </w:pPr>
      <w:r>
        <w:rPr>
          <w:rStyle w:val="FootnoteReference"/>
        </w:rPr>
        <w:footnoteRef/>
      </w:r>
      <w:r>
        <w:t xml:space="preserve"> Ir-Regolament ta’ Implimentazzjoni tal-Kummissjoni (UE) 2019/1842, </w:t>
      </w:r>
      <w:hyperlink r:id="rId6" w:history="1">
        <w:r>
          <w:rPr>
            <w:rStyle w:val="Hyperlink"/>
          </w:rPr>
          <w:t>https://eur-lex.europa.eu/legal-content/EN/TXT/?uri=uriserv:OJ.L.2019.282.01.0020.01.ENG</w:t>
        </w:r>
      </w:hyperlink>
      <w:r>
        <w:t xml:space="preserve"> </w:t>
      </w:r>
    </w:p>
  </w:footnote>
  <w:footnote w:id="37">
    <w:p>
      <w:pPr>
        <w:pStyle w:val="FootnoteText"/>
      </w:pPr>
      <w:r>
        <w:rPr>
          <w:rStyle w:val="FootnoteReference"/>
        </w:rPr>
        <w:footnoteRef/>
      </w:r>
      <w:r>
        <w:t xml:space="preserve"> Commission Decision C(2018) 8707 of 17.12.2018 on instructing the central administrator to temporarily suspend the acceptance by the European Union Transaction Log of relevant processes for the United Kingdom relating to free allocation, auctioning and the exchange of international credits. (Id-Deċiżjoni tal-Kummissjoni C(2018) 8707 tas-17.12.2018 dwar istruzzjonijiet lill-amministratur ċentrali biex jissospendi temporanjament l-aċċettazzjoni mir-Reġistru tat-Tranżazzjonijiet tal-Unjoni Ewropea tal-proċessi rilevanti għar-Renju Unit relatati mal-allokazzjoni mingħajr ħlas, l-irkant u l-iskambju ta’ krediti internazzjonali.) </w:t>
      </w:r>
    </w:p>
  </w:footnote>
  <w:footnote w:id="38">
    <w:p>
      <w:pPr>
        <w:pStyle w:val="FootnoteText"/>
      </w:pPr>
      <w:r>
        <w:rPr>
          <w:rStyle w:val="FootnoteReference"/>
        </w:rPr>
        <w:footnoteRef/>
      </w:r>
      <w:r>
        <w:t xml:space="preserve"> Il-volumi tal-kwoti ġenerali ġew determinati b’kunsiderazzjoni għad-Deċiżjoni 1359/2013/UE. Il-volumi tal-kwoti tal-avjazzjoni ġew stabbiliti b’kunsiderazzjoni għad-Deċiżjoni Nru 377/2013/UE u r-Regolament (UE) Nru 421/2014. </w:t>
      </w:r>
    </w:p>
  </w:footnote>
  <w:footnote w:id="39">
    <w:p>
      <w:pPr>
        <w:pStyle w:val="FootnoteText"/>
      </w:pPr>
      <w:r>
        <w:rPr>
          <w:rStyle w:val="FootnoteReference"/>
        </w:rPr>
        <w:footnoteRef/>
      </w:r>
      <w:r>
        <w:t xml:space="preserve"> Fl-2012 saru l-irkantijiet bikrija tal-kwoti tal-fażi 3 fid-dawl tal-prattika kummerċjali mifruxa fis-settur tal-elettriku ta’ bejgħ ta’ enerġija fuq bażi bil-quddiem u xiri tal-inputs meħtieġa (inkluż il-kwoti) meta jbigħu l-produzzjoni tagħhom.</w:t>
      </w:r>
    </w:p>
  </w:footnote>
  <w:footnote w:id="40">
    <w:p>
      <w:pPr>
        <w:pStyle w:val="FootnoteText"/>
      </w:pPr>
      <w:r>
        <w:rPr>
          <w:rStyle w:val="FootnoteReference"/>
        </w:rPr>
        <w:footnoteRef/>
      </w:r>
      <w:r>
        <w:t xml:space="preserve"> It-tabella tinkludi l-volumi tal-irkant għall-EU27 + UK + ŻEE.</w:t>
      </w:r>
    </w:p>
  </w:footnote>
  <w:footnote w:id="41">
    <w:p>
      <w:pPr>
        <w:pStyle w:val="FootnoteText"/>
      </w:pPr>
      <w:r>
        <w:rPr>
          <w:rStyle w:val="FootnoteReference"/>
        </w:rPr>
        <w:footnoteRef/>
      </w:r>
      <w:r>
        <w:t xml:space="preserve"> </w:t>
      </w:r>
      <w:hyperlink r:id="rId7" w:history="1">
        <w:r>
          <w:rPr>
            <w:rStyle w:val="Hyperlink"/>
          </w:rPr>
          <w:t>http://ec.europa.eu/clima/policies/ets/auctioning/documentation_en.htm</w:t>
        </w:r>
      </w:hyperlink>
    </w:p>
  </w:footnote>
  <w:footnote w:id="42">
    <w:p>
      <w:pPr>
        <w:pStyle w:val="FootnoteText"/>
      </w:pPr>
      <w:r>
        <w:rPr>
          <w:rStyle w:val="FootnoteReference"/>
        </w:rPr>
        <w:footnoteRef/>
      </w:r>
      <w:r>
        <w:t xml:space="preserve"> L-Artikolu 3d(4) tad-Direttiva 2003/87/KE.</w:t>
      </w:r>
    </w:p>
  </w:footnote>
  <w:footnote w:id="43">
    <w:p>
      <w:pPr>
        <w:pStyle w:val="FootnoteText"/>
      </w:pPr>
      <w:r>
        <w:rPr>
          <w:rStyle w:val="FootnoteReference"/>
        </w:rPr>
        <w:footnoteRef/>
      </w:r>
      <w:r>
        <w:t xml:space="preserve"> Tinsab aktar informazzjoni dwar l-użu tad-dħul mill-irkantijiet mill-Istati Membri fir-Rapport ta’ Progress dwar l-Azzjoni Klimatika 2020. </w:t>
      </w:r>
    </w:p>
  </w:footnote>
  <w:footnote w:id="44">
    <w:p>
      <w:pPr>
        <w:pStyle w:val="FootnoteText"/>
      </w:pPr>
      <w:r>
        <w:rPr>
          <w:rStyle w:val="FootnoteReference"/>
        </w:rPr>
        <w:footnoteRef/>
      </w:r>
      <w:r>
        <w:t xml:space="preserve"> Ir-Regolament Delegat tal-Kummissjoni (UE) tat-28 ta’ Awwissu 2019 li jemenda r-Regolament (UE) Nru 1031/2010 sabiex jallinja l-irkantar ta’ kwoti mar-regoli tal-EU ETS għall-perjodu mill-2021 sal-2030 u mal-klassifikazzjoni tal-kwoti bħala strumenti finanzjarji skont id-Direttiva 2014/65/UE tal-Parlament Ewropew u tal-Kunsill</w:t>
      </w:r>
    </w:p>
  </w:footnote>
  <w:footnote w:id="45">
    <w:p>
      <w:pPr>
        <w:pStyle w:val="FootnoteText"/>
      </w:pPr>
      <w:r>
        <w:rPr>
          <w:rStyle w:val="FootnoteReference"/>
        </w:rPr>
        <w:footnoteRef/>
      </w:r>
      <w:r>
        <w:t xml:space="preserve"> </w:t>
      </w:r>
      <w:hyperlink r:id="rId8" w:history="1">
        <w:r>
          <w:rPr>
            <w:rStyle w:val="Hyperlink"/>
          </w:rPr>
          <w:t>https://etendering.ted.europa.eu/cft/cft-display.html?cftId=6456</w:t>
        </w:r>
      </w:hyperlink>
      <w:r>
        <w:t xml:space="preserve"> </w:t>
      </w:r>
    </w:p>
  </w:footnote>
  <w:footnote w:id="46">
    <w:p>
      <w:pPr>
        <w:pStyle w:val="FootnoteText"/>
      </w:pPr>
      <w:r>
        <w:rPr>
          <w:rStyle w:val="FootnoteReference"/>
        </w:rPr>
        <w:footnoteRef/>
      </w:r>
      <w:r>
        <w:t xml:space="preserve"> In-numru ta’ kwoti 10c inklużi f’din l-illustrazzjoni jista’ jinkludi kwoti maħruġa b’dewmien għas-snin preċedenti. F’dan il-każ, l-ammonti rilevanti kull sena huma riflessi fl-EUTL.</w:t>
      </w:r>
    </w:p>
  </w:footnote>
  <w:footnote w:id="47">
    <w:p>
      <w:pPr>
        <w:pStyle w:val="FootnoteText"/>
      </w:pPr>
      <w:r>
        <w:rPr>
          <w:rStyle w:val="FootnoteReference"/>
        </w:rPr>
        <w:footnoteRef/>
      </w:r>
      <w:r>
        <w:t xml:space="preserve"> Iċ-ċifri jinkludu l-ammonti li se jiġu rkantati sa l-kalendarju tal-irkant tal-2020 u matulu. </w:t>
      </w:r>
    </w:p>
  </w:footnote>
  <w:footnote w:id="48">
    <w:p>
      <w:pPr>
        <w:pStyle w:val="FootnoteText"/>
      </w:pPr>
      <w:r>
        <w:rPr>
          <w:rStyle w:val="FootnoteReference"/>
        </w:rPr>
        <w:footnoteRef/>
      </w:r>
      <w:r>
        <w:t xml:space="preserve"> Iċ-ċifri jinkludu l-ammonti għall-irkant sa u matul il-kalendarju tal-irkant tal-2020 (mis-snin tal-allokazzjoni 2013-2019). </w:t>
      </w:r>
    </w:p>
  </w:footnote>
  <w:footnote w:id="49">
    <w:p>
      <w:pPr>
        <w:pStyle w:val="FootnoteText"/>
      </w:pPr>
      <w:r>
        <w:rPr>
          <w:rStyle w:val="FootnoteReference"/>
        </w:rPr>
        <w:footnoteRef/>
      </w:r>
      <w:r>
        <w:t xml:space="preserve"> Id-Deċiżjoni tal-Kummissjoni (UE) 2017/2172 tal-20 ta’ Novembru 2017 li temenda d-Deċiżjoni 2010/670/UE rigward l-użu ta’ dħul mhux imqassam mill-ewwel serje ta’ sejħiet għal proposti.</w:t>
      </w:r>
    </w:p>
  </w:footnote>
  <w:footnote w:id="50">
    <w:p>
      <w:pPr>
        <w:pStyle w:val="FootnoteText"/>
      </w:pPr>
      <w:r>
        <w:rPr>
          <w:rStyle w:val="FootnoteReference"/>
        </w:rPr>
        <w:footnoteRef/>
      </w:r>
      <w:r>
        <w:t xml:space="preserve"> B’konformità mad-Deċiżjoni tal-Kummissjoni 2010/670/UE, il-proġetti magħżula skont l-ewwel sejħa kellhom jaslu għal deċiżjoni finali ta’ investiment sa tmiem l-2016, filwaqt li l-proġetti magħżula fit-tieni sejħa kellhom jagħmlu dan sal-aħħar ta’ Ġunju 2018.</w:t>
      </w:r>
    </w:p>
  </w:footnote>
  <w:footnote w:id="51">
    <w:p>
      <w:pPr>
        <w:pStyle w:val="FootnoteText"/>
      </w:pPr>
      <w:r>
        <w:rPr>
          <w:rStyle w:val="FootnoteReference"/>
        </w:rPr>
        <w:footnoteRef/>
      </w:r>
      <w:r>
        <w:t xml:space="preserve"> Is-sejħa għall-proposti tista’ tiġi aċċessata hawnhekk: </w:t>
      </w:r>
      <w:hyperlink r:id="rId9" w:history="1">
        <w:r>
          <w:rPr>
            <w:rStyle w:val="Hyperlink"/>
          </w:rPr>
          <w:t>https://ec.europa.eu/info/funding-tenders/opportunities/portal/screen/opportunities/topic-details/innovfund-lsc-2020-two-stage</w:t>
        </w:r>
      </w:hyperlink>
      <w:r>
        <w:t xml:space="preserve"> </w:t>
      </w:r>
    </w:p>
  </w:footnote>
  <w:footnote w:id="52">
    <w:p>
      <w:pPr>
        <w:pStyle w:val="FootnoteText"/>
      </w:pPr>
      <w:r>
        <w:rPr>
          <w:rStyle w:val="FootnoteReference"/>
        </w:rPr>
        <w:footnoteRef/>
      </w:r>
      <w:r>
        <w:t xml:space="preserve"> </w:t>
      </w:r>
      <w:hyperlink r:id="rId10" w:history="1">
        <w:r>
          <w:rPr>
            <w:rStyle w:val="Hyperlink"/>
          </w:rPr>
          <w:t>https://ec.europa.eu/info/funding-tenders/opportunities/portal/screen/home</w:t>
        </w:r>
      </w:hyperlink>
      <w:r>
        <w:t xml:space="preserve"> </w:t>
      </w:r>
    </w:p>
  </w:footnote>
  <w:footnote w:id="53">
    <w:p>
      <w:pPr>
        <w:pStyle w:val="FootnoteText"/>
      </w:pPr>
      <w:r>
        <w:rPr>
          <w:rStyle w:val="FootnoteReference"/>
        </w:rPr>
        <w:footnoteRef/>
      </w:r>
      <w:r>
        <w:t xml:space="preserve"> Il-Bulgarija, il-Kroazja, iċ-Ċekja, l-Estonja, l-Ungerija, il-Latvja, il-Litwanja, il-Polonja, ir-Rumanija u s-Slovakkja</w:t>
      </w:r>
    </w:p>
  </w:footnote>
  <w:footnote w:id="54">
    <w:p>
      <w:pPr>
        <w:pStyle w:val="FootnoteText"/>
      </w:pPr>
      <w:r>
        <w:rPr>
          <w:rStyle w:val="FootnoteReference"/>
        </w:rPr>
        <w:footnoteRef/>
      </w:r>
      <w:r>
        <w:t xml:space="preserve"> Ir-Regolament ta’ Implimentazzjoni tal-Kummissjoni (UE) 2020/1001, </w:t>
      </w:r>
      <w:hyperlink r:id="rId11" w:history="1">
        <w:r>
          <w:rPr>
            <w:rStyle w:val="Hyperlink"/>
          </w:rPr>
          <w:t>https://eur-lex.europa.eu/legal-content/MT/ALL/?uri=CELEX:32020R1001</w:t>
        </w:r>
      </w:hyperlink>
      <w:r>
        <w:t xml:space="preserve"> </w:t>
      </w:r>
    </w:p>
  </w:footnote>
  <w:footnote w:id="55">
    <w:p>
      <w:pPr>
        <w:pStyle w:val="FootnoteText"/>
      </w:pPr>
      <w:r>
        <w:rPr>
          <w:rStyle w:val="FootnoteReference"/>
        </w:rPr>
        <w:footnoteRef/>
      </w:r>
      <w:r>
        <w:t xml:space="preserve"> Barra minn hekk, ġew adottati modifikazzjonijiet għall-iskemi Franċiżi u Spanjoli.</w:t>
      </w:r>
    </w:p>
  </w:footnote>
  <w:footnote w:id="56">
    <w:p>
      <w:pPr>
        <w:pStyle w:val="FootnoteText"/>
      </w:pPr>
      <w:r>
        <w:rPr>
          <w:rStyle w:val="FootnoteReference"/>
        </w:rPr>
        <w:footnoteRef/>
      </w:r>
      <w:r>
        <w:t xml:space="preserve"> </w:t>
      </w:r>
      <w:hyperlink r:id="rId12" w:history="1">
        <w:r>
          <w:rPr>
            <w:rStyle w:val="Hyperlink"/>
          </w:rPr>
          <w:t>https://ec.europa.eu/competition/elojade/isef/case_details.cfm?proc_code=3_SA_53850</w:t>
        </w:r>
      </w:hyperlink>
      <w:r>
        <w:t xml:space="preserve"> </w:t>
      </w:r>
    </w:p>
  </w:footnote>
  <w:footnote w:id="57">
    <w:p>
      <w:pPr>
        <w:pStyle w:val="FootnoteText"/>
      </w:pPr>
      <w:r>
        <w:rPr>
          <w:rStyle w:val="FootnoteReference"/>
        </w:rPr>
        <w:footnoteRef/>
      </w:r>
      <w:r>
        <w:t xml:space="preserve"> </w:t>
      </w:r>
      <w:hyperlink r:id="rId13" w:history="1">
        <w:r>
          <w:rPr>
            <w:rStyle w:val="Hyperlink"/>
          </w:rPr>
          <w:t>https://ec.europa.eu/competition/elojade/isef/case_details.cfm?proc_code=3_SA_56403</w:t>
        </w:r>
      </w:hyperlink>
    </w:p>
  </w:footnote>
  <w:footnote w:id="58">
    <w:p>
      <w:pPr>
        <w:pStyle w:val="FootnoteText"/>
      </w:pPr>
      <w:r>
        <w:rPr>
          <w:rStyle w:val="FootnoteReference"/>
        </w:rPr>
        <w:footnoteRef/>
      </w:r>
      <w:r>
        <w:t xml:space="preserve"> Id-dħul mill-irkant tal-kwoti tal-avjazzjoni huwa eskluż.</w:t>
      </w:r>
    </w:p>
  </w:footnote>
  <w:footnote w:id="59">
    <w:p>
      <w:pPr>
        <w:pStyle w:val="FootnoteText"/>
      </w:pPr>
      <w:r>
        <w:rPr>
          <w:rStyle w:val="FootnoteReference"/>
        </w:rPr>
        <w:footnoteRef/>
      </w:r>
      <w:r>
        <w:t xml:space="preserve"> Iċ-ċifri għar-Renju Unit riflessi fit-tabella huma l-istess ċifri bħal fir-rapport tas-sena l-oħra. Ir-raġuni hija l-komparabbiltà ma’ pajjiżi oħra li jimplimentaw skemi ta’ kumpens tal-ispejjeż indiretti tal-karbonju. Ir-Renju Unit jippubblika ċ-ċifri tiegħu aktar malajr minn pajjiżi oħra u għalhekk iċ-ċifri tal-2020 huma diġà disponibbli hawnhekk:  </w:t>
      </w:r>
      <w:hyperlink r:id="rId14" w:history="1">
        <w:r>
          <w:rPr>
            <w:rStyle w:val="Hyperlink"/>
          </w:rPr>
          <w:t>https://assets.publishing.service.gov.uk/government/uploads/system/uploads/attachment_data/file/903187/indirect-cost-compensation-uk-2019.pdf</w:t>
        </w:r>
      </w:hyperlink>
      <w:r>
        <w:t xml:space="preserve"> </w:t>
      </w:r>
    </w:p>
  </w:footnote>
  <w:footnote w:id="60">
    <w:p>
      <w:pPr>
        <w:pStyle w:val="FootnoteText"/>
      </w:pPr>
      <w:r>
        <w:rPr>
          <w:rStyle w:val="FootnoteReference"/>
        </w:rPr>
        <w:footnoteRef/>
      </w:r>
      <w:r>
        <w:t xml:space="preserve"> Ċifri għall-EU27 + ir-Renju Unit + iż-ŻEE. It-tqegħid fil-kategoriji tal-produzzjoni ta’ elettriku u  sħana u tal-industrija fit-Tabella 7 hija bbażata fuq il-klassifikazzjoni tan-NACE mis-sottomissjoni tal-2020 mill-Istati Membri tal-Miżuri Nazzjonali ta’ Traspożizzjoni tagħhom skont l-Artikolu 11 tad-Direttiva 2003/87/KE.  </w:t>
      </w:r>
    </w:p>
  </w:footnote>
  <w:footnote w:id="61">
    <w:p>
      <w:pPr>
        <w:pStyle w:val="FootnoteText"/>
      </w:pPr>
      <w:r>
        <w:rPr>
          <w:rStyle w:val="FootnoteReference"/>
        </w:rPr>
        <w:footnoteRef/>
      </w:r>
      <w:r>
        <w:t xml:space="preserve"> Id-Direttiva (UE) 2018/410 tal-Parlament Ewropew u tal-Kunsill tal-14 ta’ Marzu 2018 li temenda d-Direttiva 2003/87/KE biex jiżdiedu t-tnaqqis kosteffettiv tal-emissjonijiet u l-investimenti għal emissjonijiet baxxi ta’ karbonju, u d-Deċiżjoni (UE) 2015/1814, (ĠU L 76, 19 ta’ Marzu 2018, p. 3); disponibbli fuq: </w:t>
      </w:r>
      <w:hyperlink r:id="rId15" w:history="1">
        <w:r>
          <w:rPr>
            <w:rStyle w:val="Hyperlink"/>
          </w:rPr>
          <w:t>https://eur-lex.europa.eu/legal-content/MT/TXT/HTML/?uri=CELEX:32018L0410&amp;from=MT</w:t>
        </w:r>
      </w:hyperlink>
      <w:r>
        <w:t xml:space="preserve"> </w:t>
      </w:r>
    </w:p>
  </w:footnote>
  <w:footnote w:id="62">
    <w:p>
      <w:pPr>
        <w:pStyle w:val="Default"/>
        <w:rPr>
          <w:color w:val="auto"/>
          <w:sz w:val="18"/>
          <w:szCs w:val="18"/>
        </w:rPr>
      </w:pPr>
      <w:r>
        <w:rPr>
          <w:rStyle w:val="FootnoteReference"/>
          <w:color w:val="auto"/>
          <w:sz w:val="20"/>
          <w:szCs w:val="20"/>
        </w:rPr>
        <w:footnoteRef/>
      </w:r>
      <w:r>
        <w:rPr>
          <w:color w:val="auto"/>
          <w:sz w:val="20"/>
          <w:szCs w:val="20"/>
        </w:rPr>
        <w:t xml:space="preserve">  C(2020) 2835 final, </w:t>
      </w:r>
      <w:hyperlink r:id="rId16" w:history="1">
        <w:r>
          <w:rPr>
            <w:rStyle w:val="Hyperlink"/>
            <w:sz w:val="20"/>
            <w:szCs w:val="20"/>
          </w:rPr>
          <w:t>https://ec.europa.eu/clima/sites/clima/files/ets/reform/docs/c_2020_2835_en.pdf</w:t>
        </w:r>
      </w:hyperlink>
    </w:p>
  </w:footnote>
  <w:footnote w:id="63">
    <w:p>
      <w:pPr>
        <w:pStyle w:val="FootnoteText"/>
      </w:pPr>
      <w:r>
        <w:rPr>
          <w:rStyle w:val="FootnoteReference"/>
        </w:rPr>
        <w:footnoteRef/>
      </w:r>
      <w:r>
        <w:t xml:space="preserve"> C(2017) 3228 final, https://ec.europa.eu/clima/sites/clima/files/ets/reform/docs/c_2017_3228_en.pdf</w:t>
      </w:r>
    </w:p>
  </w:footnote>
  <w:footnote w:id="64">
    <w:p>
      <w:pPr>
        <w:pStyle w:val="FootnoteText"/>
      </w:pPr>
      <w:r>
        <w:rPr>
          <w:rStyle w:val="FootnoteReference"/>
        </w:rPr>
        <w:footnoteRef/>
      </w:r>
      <w:r>
        <w:t xml:space="preserve"> C(2020) 2835 final, https://ec.europa.eu/clima/sites/clima/files/ets/reform/docs/c_2020_2835_en.pdf</w:t>
      </w:r>
    </w:p>
  </w:footnote>
  <w:footnote w:id="65">
    <w:p>
      <w:pPr>
        <w:pStyle w:val="FootnoteText"/>
      </w:pPr>
      <w:r>
        <w:rPr>
          <w:rStyle w:val="FootnoteReference"/>
        </w:rPr>
        <w:footnoteRef/>
      </w:r>
      <w:r>
        <w:t xml:space="preserve"> Dawn in-numri ma jqisux l-għeluq kollu tal-operaturi tal-inġenji tal-ajru u l-kwoti mingħajr ħlas mir-Riżerva Speċjali.</w:t>
      </w:r>
    </w:p>
  </w:footnote>
  <w:footnote w:id="66">
    <w:p>
      <w:pPr>
        <w:pStyle w:val="FootnoteText"/>
      </w:pPr>
      <w:r>
        <w:rPr>
          <w:rStyle w:val="FootnoteReference"/>
        </w:rPr>
        <w:footnoteRef/>
      </w:r>
      <w:r>
        <w:t xml:space="preserve"> Meta wieħed iqis in-numri miżmuma minħabba l-għeluq, l-allokazzjoni reali għall-2019 tkun ta’ 1,4 miljun inqas miċ-ċifra ppreżentata. L-allokazzjoni għar-Renju Unit (4,31 miljun kwota tat-total għall-2019) li ġiet sospiża fl-2019 minħabba l-miżuri ta’ salvagwardja adottati mill-Kummissjoni biex tipproteġi l-integrità ambjentali tal-EU ETS, reġgħet inbdiet fl-2020.</w:t>
      </w:r>
    </w:p>
  </w:footnote>
  <w:footnote w:id="67">
    <w:p>
      <w:pPr>
        <w:pStyle w:val="FootnoteText"/>
      </w:pPr>
      <w:r>
        <w:rPr>
          <w:rStyle w:val="FootnoteReference"/>
        </w:rPr>
        <w:footnoteRef/>
      </w:r>
      <w:r>
        <w:t xml:space="preserve"> Sal-aħħar ta’ Ġunju 2020</w:t>
      </w:r>
    </w:p>
  </w:footnote>
  <w:footnote w:id="68">
    <w:p>
      <w:pPr>
        <w:jc w:val="both"/>
      </w:pPr>
      <w:r>
        <w:rPr>
          <w:rStyle w:val="FootnoteReference"/>
          <w:rFonts w:ascii="Times New Roman" w:hAnsi="Times New Roman"/>
          <w:sz w:val="18"/>
          <w:szCs w:val="18"/>
        </w:rPr>
        <w:footnoteRef/>
      </w:r>
      <w:r>
        <w:rPr>
          <w:rFonts w:ascii="Times New Roman" w:hAnsi="Times New Roman"/>
          <w:sz w:val="18"/>
          <w:szCs w:val="18"/>
        </w:rPr>
        <w:t xml:space="preserve"> Id-Deċiżjoni Nru 377/2013/UE tal-Parlament Ewropew u tal-Kunsill tal-24 ta’ April 2013 għal deroga temporanja mid-Direttiva 2003/87/KE li tistabbilixxi skema għall-iskambju ta’ kwoti ta’ emissjonijiet ta’ gassijiet serra ġewwa l-Komunità Test b’relevanza għaż-ŻEE, ĠU L 113, 25.4.2013, p. 1.</w:t>
      </w:r>
    </w:p>
  </w:footnote>
  <w:footnote w:id="69">
    <w:p>
      <w:pPr>
        <w:pStyle w:val="FootnoteText"/>
      </w:pPr>
      <w:r>
        <w:rPr>
          <w:rStyle w:val="FootnoteReference"/>
        </w:rPr>
        <w:footnoteRef/>
      </w:r>
      <w:r>
        <w:t xml:space="preserve"> </w:t>
      </w:r>
      <w:hyperlink r:id="rId17" w:history="1">
        <w:r>
          <w:rPr>
            <w:rStyle w:val="Hyperlink"/>
          </w:rPr>
          <w:t>https://www.icao.int/environmental-protection/CORSIA/Pages/SARPs-Annex-16-Volume-IV.aspx</w:t>
        </w:r>
      </w:hyperlink>
      <w:r>
        <w:t xml:space="preserve"> </w:t>
      </w:r>
    </w:p>
  </w:footnote>
  <w:footnote w:id="70">
    <w:p>
      <w:pPr>
        <w:pStyle w:val="FootnoteText"/>
      </w:pPr>
      <w:r>
        <w:rPr>
          <w:rStyle w:val="FootnoteReference"/>
        </w:rPr>
        <w:footnoteRef/>
      </w:r>
      <w:r>
        <w:t xml:space="preserve"> </w:t>
      </w:r>
      <w:hyperlink r:id="rId18" w:history="1">
        <w:r>
          <w:rPr>
            <w:rStyle w:val="Hyperlink"/>
          </w:rPr>
          <w:t>https://eur-lex.europa.eu/legal-content/MT/TXT/?uri=CELEX:32018D2027</w:t>
        </w:r>
      </w:hyperlink>
      <w:r>
        <w:t xml:space="preserve"> </w:t>
      </w:r>
    </w:p>
  </w:footnote>
  <w:footnote w:id="71">
    <w:p>
      <w:pPr>
        <w:pStyle w:val="FootnoteText"/>
      </w:pPr>
      <w:r>
        <w:rPr>
          <w:rStyle w:val="FootnoteReference"/>
        </w:rPr>
        <w:footnoteRef/>
      </w:r>
      <w:r>
        <w:t xml:space="preserve"> </w:t>
      </w:r>
      <w:hyperlink r:id="rId19" w:history="1">
        <w:r>
          <w:rPr>
            <w:rStyle w:val="Hyperlink"/>
          </w:rPr>
          <w:t>https://eur-lex.europa.eu/legal-content/MT/TXT/HTML/?uri=CELEX:32017R2392&amp;from=EN</w:t>
        </w:r>
      </w:hyperlink>
      <w:r>
        <w:t xml:space="preserve"> </w:t>
      </w:r>
    </w:p>
  </w:footnote>
  <w:footnote w:id="72">
    <w:p>
      <w:pPr>
        <w:pStyle w:val="FootnoteText"/>
      </w:pPr>
      <w:r>
        <w:rPr>
          <w:rStyle w:val="FootnoteReference"/>
        </w:rPr>
        <w:footnoteRef/>
      </w:r>
      <w:r>
        <w:t xml:space="preserve"> </w:t>
      </w:r>
      <w:hyperlink r:id="rId20" w:history="1">
        <w:r>
          <w:rPr>
            <w:rStyle w:val="Hyperlink"/>
          </w:rPr>
          <w:t>https://ec.europa.eu/info/law/better-regulation/have-your-say/initiatives/12494-Revision-of-the-EU-Emission-Trading-System-Directive-concerning-aviation-</w:t>
        </w:r>
      </w:hyperlink>
    </w:p>
  </w:footnote>
  <w:footnote w:id="73">
    <w:p>
      <w:pPr>
        <w:pStyle w:val="FootnoteText"/>
      </w:pPr>
      <w:r>
        <w:rPr>
          <w:rStyle w:val="FootnoteReference"/>
        </w:rPr>
        <w:footnoteRef/>
      </w:r>
      <w:r>
        <w:t xml:space="preserve"> Id-</w:t>
      </w:r>
      <w:r>
        <w:rPr>
          <w:i/>
        </w:rPr>
        <w:t>data</w:t>
      </w:r>
      <w:r>
        <w:t xml:space="preserve"> kollha tittieħed mir-rapporti ta’ kull xahar tal-Pjattaforma Komuni tal-Irkantijiet (CAP2) lill-Kummissjoni.</w:t>
      </w:r>
    </w:p>
  </w:footnote>
  <w:footnote w:id="74">
    <w:p>
      <w:pPr>
        <w:pStyle w:val="FootnoteText"/>
      </w:pPr>
      <w:r>
        <w:rPr>
          <w:rStyle w:val="FootnoteReference"/>
        </w:rPr>
        <w:footnoteRef/>
      </w:r>
      <w:r>
        <w:t xml:space="preserve"> Informazzjoni aktar dettaljata dwar l-attivitajiet tal-awtoritajiet kompetenti nazzjonali fil-monitoraġġ tas-suq hija disponibbli fir-Rapport tas-Suq tal-Karbonju tal-2019 (COM(2019) 557 finali/2), li jinstab hawn: </w:t>
      </w:r>
      <w:hyperlink r:id="rId21" w:history="1">
        <w:r>
          <w:rPr>
            <w:rStyle w:val="Hyperlink"/>
          </w:rPr>
          <w:t>https://eur-lex.europa.eu/legal-content/MT/TXT/?uri=CELEX:52019DC0557R(01)</w:t>
        </w:r>
      </w:hyperlink>
      <w:r>
        <w:t xml:space="preserve"> </w:t>
      </w:r>
    </w:p>
  </w:footnote>
  <w:footnote w:id="75">
    <w:p>
      <w:pPr>
        <w:pStyle w:val="FootnoteText"/>
      </w:pPr>
      <w:r>
        <w:rPr>
          <w:rStyle w:val="FootnoteReference"/>
        </w:rPr>
        <w:footnoteRef/>
      </w:r>
      <w:r>
        <w:t xml:space="preserve"> Il-lista tal-awtoritajiet kompetenti nazzjonali responsabbli skont ir-Regolament dwar l-abbuż tas-suq tinstab fil-paġni web tal-ESMA. Il-lista tal-unitajiet tal-Intelliġenza finanzjarja Ewropea, li jittrattaw kwistjonijiet relatati mal-ħasil tal-flus u l-finanzjament tat-terroriżmu, tinstab fil-paġni web tal-Europol.</w:t>
      </w:r>
    </w:p>
  </w:footnote>
  <w:footnote w:id="76">
    <w:p>
      <w:pPr>
        <w:pStyle w:val="FootnoteText"/>
      </w:pPr>
      <w:r>
        <w:rPr>
          <w:rStyle w:val="FootnoteReference"/>
        </w:rPr>
        <w:footnoteRef/>
      </w:r>
      <w:r>
        <w:t xml:space="preserve"> Ir-Regolament ta’ Implimentazzjoni tal-Kummissjoni (UE) 2018/2066 tad-19 ta’ Diċembru 2018 dwar il-monitoraġġ u r-rapportar ta’ emissjonijiet ta’ gassijiet serra skont id-Direttiva 2003/87/KE tal-Parlament Ewropew u tal-Kunsill u li jemenda r-Regolament tal-Kummissjoni (UE) Nru 601/2012, ĠU L 334, 31.12.2018, p. 1–93</w:t>
      </w:r>
    </w:p>
  </w:footnote>
  <w:footnote w:id="77">
    <w:p>
      <w:pPr>
        <w:pStyle w:val="FootnoteText"/>
      </w:pPr>
      <w:r>
        <w:rPr>
          <w:rStyle w:val="FootnoteReference"/>
        </w:rPr>
        <w:footnoteRef/>
      </w:r>
      <w:r>
        <w:t xml:space="preserve"> Ir-Regolament ta’ Implimentazzjoni tal-Kummissjoni (UE) 2018/2067 tad-19 ta’ Diċembru 2018 dwar il-verifika tad-</w:t>
      </w:r>
      <w:r>
        <w:rPr>
          <w:i/>
        </w:rPr>
        <w:t>data</w:t>
      </w:r>
      <w:r>
        <w:t xml:space="preserve"> u l-akkreditament tal-verifikaturi skont id-Direttiva 2003/87/KE tal-Parlament Ewropew u tal-Kunsill, ĠU L 334, 31.12.2018, p. 94–134.</w:t>
      </w:r>
    </w:p>
  </w:footnote>
  <w:footnote w:id="78">
    <w:p>
      <w:pPr>
        <w:pStyle w:val="FootnoteText"/>
      </w:pPr>
      <w:r>
        <w:rPr>
          <w:rStyle w:val="FootnoteReference"/>
        </w:rPr>
        <w:footnoteRef/>
      </w:r>
      <w:r>
        <w:t xml:space="preserve"> Id-Direttiva (UE) 2018/2001 tal-Parlament Ewropew u tal-Kunsill tal-11 ta’ Diċembru 2018 dwar il-promozzjoni tal-użu tal-enerġija minn sorsi rinnovabbli, ĠU L 328, 21.12.2018, p. 82-209.</w:t>
      </w:r>
    </w:p>
  </w:footnote>
  <w:footnote w:id="79">
    <w:p>
      <w:pPr>
        <w:pStyle w:val="FootnoteText"/>
      </w:pPr>
      <w:r>
        <w:rPr>
          <w:rStyle w:val="FootnoteReference"/>
        </w:rPr>
        <w:footnoteRef/>
      </w:r>
      <w:r>
        <w:t xml:space="preserve"> Ir-raġuni ewlenija għal dan hija li l-metodoloġija bbażata fuq il-kejl tinvolvi l-iskjerament ta’ riżorsi sinifikanti u ta’ għarfien għall-kejl kontinwu tal-konċentrazzjoni ta’ GHGs rilevanti, li ħafna mill-operaturi ż-żgħar ma għandhomx.</w:t>
      </w:r>
    </w:p>
  </w:footnote>
  <w:footnote w:id="80">
    <w:p>
      <w:pPr>
        <w:pStyle w:val="FootnoteText"/>
      </w:pPr>
      <w:r>
        <w:rPr>
          <w:rStyle w:val="FootnoteReference"/>
        </w:rPr>
        <w:footnoteRef/>
      </w:r>
      <w:r>
        <w:t xml:space="preserve"> Ir-Regolament tal-Kummissjoni (UE) Nru 601/2012 jirrikjedi li l-operaturi kollha jissodisfaw ċerti gradi minimi, u s-sorsi l-kbar ta’ emissjonijiet huma meħtieġa jilħqu gradi ogħla (li jinvolvu kwalità tad-</w:t>
      </w:r>
      <w:r>
        <w:rPr>
          <w:i/>
        </w:rPr>
        <w:t>data</w:t>
      </w:r>
      <w:r>
        <w:t xml:space="preserve"> aktar affidabbli), filwaqt li għal raġunijiet ta’ kosteffiċjenza għandhom japplikaw rekwiżiti inqas stretti għas-sorsi ż-żgħar.</w:t>
      </w:r>
    </w:p>
  </w:footnote>
  <w:footnote w:id="81">
    <w:p>
      <w:pPr>
        <w:pStyle w:val="FootnoteText"/>
      </w:pPr>
      <w:r>
        <w:rPr>
          <w:rStyle w:val="FootnoteReference"/>
        </w:rPr>
        <w:footnoteRef/>
      </w:r>
      <w:r>
        <w:t xml:space="preserve"> Lista tal-EA tal-punti ta’ aċċess għall-NABs li jakkreditaw il-verifikaturi għall-EU ETS: https://european-accreditation.org/national-accreditation-bodies-having-successfully-undergone-peer-evaluation-by-ea/</w:t>
      </w:r>
    </w:p>
  </w:footnote>
  <w:footnote w:id="82">
    <w:p>
      <w:pPr>
        <w:pStyle w:val="FootnoteText"/>
      </w:pPr>
      <w:r>
        <w:rPr>
          <w:rStyle w:val="FootnoteReference"/>
        </w:rPr>
        <w:footnoteRef/>
      </w:r>
      <w:r>
        <w:t xml:space="preserve"> F’xi każijiet, il-pajjiżi jistgħu jkunu qegħdin jirrapportaw diversi awtoritajiet reġjonali/lokali bħala awtorità kompetenti waħda.</w:t>
      </w:r>
    </w:p>
  </w:footnote>
  <w:footnote w:id="83">
    <w:p>
      <w:pPr>
        <w:pStyle w:val="FootnoteText"/>
      </w:pPr>
      <w:r>
        <w:rPr>
          <w:rStyle w:val="FootnoteReference"/>
        </w:rPr>
        <w:footnoteRef/>
      </w:r>
      <w:r>
        <w:t xml:space="preserve"> L-Italja ma tatx tweġiba għall-mistoqsija rilevanti fis-sottomissjoni tal-2020, għalhekk, għal dan il-pajjiż intużat id-</w:t>
      </w:r>
      <w:r>
        <w:rPr>
          <w:i/>
        </w:rPr>
        <w:t>data</w:t>
      </w:r>
      <w:r>
        <w:t xml:space="preserve"> mis-sena ta’ qabel bħala approssimazzjoni. </w:t>
      </w:r>
    </w:p>
  </w:footnote>
  <w:footnote w:id="84">
    <w:p>
      <w:pPr>
        <w:pStyle w:val="FootnoteText"/>
      </w:pPr>
      <w:r>
        <w:rPr>
          <w:rStyle w:val="FootnoteReference"/>
        </w:rPr>
        <w:footnoteRef/>
      </w:r>
      <w:r>
        <w:t xml:space="preserve"> https://ec.europa.eu/clima/sites/clima/files/ets/monitoring/docs/report_5th_compliance_en.pdf</w:t>
      </w:r>
    </w:p>
  </w:footnote>
  <w:footnote w:id="85">
    <w:p>
      <w:pPr>
        <w:pStyle w:val="FootnoteText"/>
      </w:pPr>
      <w:r>
        <w:rPr>
          <w:rStyle w:val="FootnoteReference"/>
        </w:rPr>
        <w:footnoteRef/>
      </w:r>
      <w:r>
        <w:t xml:space="preserve"> In-numru ta’ kwoti 10c elenkati f’din it-tabella jista’ jinkludi kwoti maħruġin b’dewmien għas-snin preċedenti. F’dan il-każ, l-ammonti rilevanti kull sena huma riflessi fl-EUTL. </w:t>
      </w:r>
    </w:p>
  </w:footnote>
  <w:footnote w:id="86">
    <w:p>
      <w:pPr>
        <w:pStyle w:val="FootnoteText"/>
      </w:pPr>
      <w:r>
        <w:rPr>
          <w:rStyle w:val="FootnoteReference"/>
        </w:rPr>
        <w:footnoteRef/>
      </w:r>
      <w:r>
        <w:t xml:space="preserve"> L-HU użat id-deroga tal-Artikolu 10c fl-2013 biss.</w:t>
      </w:r>
    </w:p>
  </w:footnote>
  <w:footnote w:id="87">
    <w:p>
      <w:pPr>
        <w:pStyle w:val="FootnoteText"/>
      </w:pPr>
      <w:r>
        <w:rPr>
          <w:rStyle w:val="FootnoteReference"/>
        </w:rPr>
        <w:footnoteRef/>
      </w:r>
      <w:r>
        <w:t xml:space="preserve"> In-numri finali tal-allokazzjoni għall-Polonja se jkunu disponibbli fir-rapport tas-sena d-dieħla, sakemm jitlestew it-talbiet kollha għall-allokazzjoni. </w:t>
      </w:r>
    </w:p>
  </w:footnote>
  <w:footnote w:id="88">
    <w:p>
      <w:pPr>
        <w:pStyle w:val="FootnoteText"/>
      </w:pPr>
      <w:r>
        <w:rPr>
          <w:rStyle w:val="FootnoteReference"/>
        </w:rPr>
        <w:footnoteRef/>
      </w:r>
      <w:r>
        <w:t xml:space="preserve"> L-ebda kwota mhux użata tal-Artikolu 10c ma ġiet irkantata fl-2013 u l-2014.</w:t>
      </w:r>
    </w:p>
  </w:footnote>
  <w:footnote w:id="89">
    <w:p>
      <w:pPr>
        <w:pStyle w:val="FootnoteText"/>
      </w:pPr>
      <w:r>
        <w:rPr>
          <w:rStyle w:val="FootnoteReference"/>
        </w:rPr>
        <w:footnoteRef/>
      </w:r>
      <w:r>
        <w:t xml:space="preserve"> In-numri finali għall-Polonja se jkunu disponibbli fir-rapport tas-sena d-dieħla, sakemm jitlestew it-talbiet kollha għall-allokazzjoni.</w:t>
      </w:r>
    </w:p>
  </w:footnote>
  <w:footnote w:id="90">
    <w:p>
      <w:pPr>
        <w:pStyle w:val="FootnoteText"/>
      </w:pPr>
      <w:r>
        <w:rPr>
          <w:rStyle w:val="FootnoteReference"/>
        </w:rPr>
        <w:footnoteRef/>
      </w:r>
      <w:r>
        <w:t xml:space="preserve"> Sors: EEX</w:t>
      </w:r>
    </w:p>
  </w:footnote>
  <w:footnote w:id="91">
    <w:p>
      <w:pPr>
        <w:pStyle w:val="FootnoteText"/>
      </w:pPr>
      <w:r>
        <w:rPr>
          <w:rStyle w:val="FootnoteReference"/>
        </w:rPr>
        <w:footnoteRef/>
      </w:r>
      <w:r>
        <w:t xml:space="preserve"> Sors: EEX</w:t>
      </w:r>
    </w:p>
  </w:footnote>
  <w:footnote w:id="92">
    <w:p>
      <w:pPr>
        <w:pStyle w:val="FootnoteText"/>
      </w:pPr>
      <w:r>
        <w:rPr>
          <w:rStyle w:val="FootnoteReference"/>
        </w:rPr>
        <w:footnoteRef/>
      </w:r>
      <w:r>
        <w:t xml:space="preserve"> L-iskambji tar-Renju Unit li ġew sospiżi fl-2019 minħabba l-miżuri ta’ salvagwardja adottati biex tiġi protetta l-integrità ambjentali tal-EU ETS reġgħu bdew fl-2020.</w:t>
      </w:r>
    </w:p>
  </w:footnote>
  <w:footnote w:id="93">
    <w:p>
      <w:pPr>
        <w:pStyle w:val="FootnoteText"/>
      </w:pPr>
      <w:r>
        <w:rPr>
          <w:rStyle w:val="FootnoteReference"/>
        </w:rPr>
        <w:footnoteRef/>
      </w:r>
      <w:r>
        <w:t xml:space="preserve"> Għal xi installazzjonijiet, l-emissjonijiet minn </w:t>
      </w:r>
      <w:r>
        <w:rPr>
          <w:bCs/>
          <w:color w:val="262626"/>
        </w:rPr>
        <w:t>N</w:t>
      </w:r>
      <w:r>
        <w:rPr>
          <w:bCs/>
          <w:color w:val="262626"/>
          <w:bdr w:val="none" w:sz="0" w:space="0" w:color="auto" w:frame="1"/>
          <w:vertAlign w:val="subscript"/>
        </w:rPr>
        <w:t>2</w:t>
      </w:r>
      <w:r>
        <w:rPr>
          <w:bCs/>
          <w:color w:val="262626"/>
        </w:rPr>
        <w:t>O</w:t>
      </w:r>
      <w:r>
        <w:t xml:space="preserve"> jew PFCs setgħu ma ġewx irrappurtati separatament fir-Reġistru tal-Unjoni, bl-emissjonijiet totali rrappurtati f’tunnellati ta’ ekwivalenti ta’ </w:t>
      </w:r>
      <w:r>
        <w:rPr>
          <w:bCs/>
          <w:color w:val="262626"/>
        </w:rPr>
        <w:t>CO</w:t>
      </w:r>
      <w:r>
        <w:rPr>
          <w:bCs/>
          <w:color w:val="262626"/>
          <w:bdr w:val="none" w:sz="0" w:space="0" w:color="auto" w:frame="1"/>
          <w:vertAlign w:val="subscript"/>
        </w:rPr>
        <w:t>2</w:t>
      </w:r>
      <w:r>
        <w:t xml:space="preserve"> minflok. Id-</w:t>
      </w:r>
      <w:r>
        <w:rPr>
          <w:i/>
        </w:rPr>
        <w:t>data</w:t>
      </w:r>
      <w:r>
        <w:t xml:space="preserve"> fit-tabella tirrifletti t-tqassim tal-emissjonijiet skont il-GHG kif disponibbli fir-Reġistru tal-Unjoni. L-emissjonijiet ta’ </w:t>
      </w:r>
      <w:r>
        <w:rPr>
          <w:bCs/>
          <w:color w:val="262626"/>
        </w:rPr>
        <w:t>N</w:t>
      </w:r>
      <w:r>
        <w:rPr>
          <w:bCs/>
          <w:color w:val="262626"/>
          <w:bdr w:val="none" w:sz="0" w:space="0" w:color="auto" w:frame="1"/>
          <w:vertAlign w:val="subscript"/>
        </w:rPr>
        <w:t>2</w:t>
      </w:r>
      <w:r>
        <w:rPr>
          <w:bCs/>
          <w:color w:val="262626"/>
        </w:rPr>
        <w:t>O</w:t>
      </w:r>
      <w:r>
        <w:t xml:space="preserve"> ġew inklużi fl-EU ETS mill-fażi 2 (mill-2008) bħala inklużjoni fakultattiva volontarja minn xi Stati Membri, u flimkien ma’ PFCs fuq bażi obbligatorja– mill-fażi 3 (mill-2013).</w:t>
      </w:r>
    </w:p>
  </w:footnote>
  <w:footnote w:id="94">
    <w:p>
      <w:pPr>
        <w:pStyle w:val="FootnoteText"/>
      </w:pPr>
      <w:r>
        <w:rPr>
          <w:rStyle w:val="FootnoteReference"/>
        </w:rPr>
        <w:footnoteRef/>
      </w:r>
      <w:r>
        <w:t>https://eur-lex.europa.eu/legal-content/MT/TXT/PDF/?uri=OJ:L:2019:120:FULL&amp;from=MT</w:t>
      </w:r>
    </w:p>
  </w:footnote>
  <w:footnote w:id="95">
    <w:p>
      <w:pPr>
        <w:pStyle w:val="FootnoteText"/>
      </w:pPr>
      <w:r>
        <w:rPr>
          <w:rStyle w:val="FootnoteReference"/>
        </w:rPr>
        <w:footnoteRef/>
      </w:r>
      <w:r>
        <w:t>https://eur-lex.europa.eu/legal-content/MT/TXT/PDF/?uri=CELEX:32019R0331&amp;from=MT</w:t>
      </w:r>
    </w:p>
  </w:footnote>
  <w:footnote w:id="96">
    <w:p>
      <w:pPr>
        <w:pStyle w:val="FootnoteText"/>
      </w:pPr>
      <w:r>
        <w:rPr>
          <w:rStyle w:val="FootnoteReference"/>
        </w:rPr>
        <w:footnoteRef/>
      </w:r>
      <w:r>
        <w:t xml:space="preserve"> https://eur-lex.europa.eu/legal-content/MT/TXT/PDF/?uri=CELEX:32019R1842&amp;from=MT</w:t>
      </w:r>
    </w:p>
  </w:footnote>
  <w:footnote w:id="97">
    <w:p>
      <w:pPr>
        <w:pStyle w:val="FootnoteText"/>
      </w:pPr>
      <w:r>
        <w:rPr>
          <w:rStyle w:val="FootnoteReference"/>
        </w:rPr>
        <w:footnoteRef/>
      </w:r>
      <w:r>
        <w:t>https://eur-lex.europa.eu/legal-content/MT/TXT/PDF/?uri=CELEX:32019R0856&amp;from=MT</w:t>
      </w:r>
    </w:p>
  </w:footnote>
  <w:footnote w:id="98">
    <w:p>
      <w:pPr>
        <w:pStyle w:val="FootnoteText"/>
      </w:pPr>
      <w:r>
        <w:rPr>
          <w:rStyle w:val="FootnoteReference"/>
        </w:rPr>
        <w:footnoteRef/>
      </w:r>
      <w:r>
        <w:t xml:space="preserve"> https://eur-lex.europa.eu/legal-content/MTN/TXT/PDF/?uri=CELEX:32020R1001&amp;from=MT</w:t>
      </w:r>
    </w:p>
  </w:footnote>
  <w:footnote w:id="99">
    <w:p>
      <w:pPr>
        <w:pStyle w:val="FootnoteText"/>
      </w:pPr>
      <w:r>
        <w:rPr>
          <w:rStyle w:val="FootnoteReference"/>
        </w:rPr>
        <w:footnoteRef/>
      </w:r>
      <w:r>
        <w:t xml:space="preserve"> https://eur-lex.europa.eu/legal-content/MT/TXT/PDF/?uri=CELEX:32019R1122&amp;from=MT</w:t>
      </w:r>
    </w:p>
  </w:footnote>
  <w:footnote w:id="100">
    <w:p>
      <w:pPr>
        <w:pStyle w:val="FootnoteText"/>
      </w:pPr>
      <w:r>
        <w:rPr>
          <w:rStyle w:val="FootnoteReference"/>
        </w:rPr>
        <w:footnoteRef/>
      </w:r>
      <w:r>
        <w:t xml:space="preserve"> https://eur-lex.europa.eu/legal-content/MT/TXT/PDF/?uri=CELEX:32019R0007</w:t>
      </w:r>
    </w:p>
  </w:footnote>
  <w:footnote w:id="101">
    <w:p>
      <w:pPr>
        <w:pStyle w:val="FootnoteText"/>
      </w:pPr>
      <w:r>
        <w:rPr>
          <w:rStyle w:val="FootnoteReference"/>
        </w:rPr>
        <w:footnoteRef/>
      </w:r>
      <w:r>
        <w:t xml:space="preserve"> https://eur-lex.europa.eu/legal-content/MT/TXT/PDF/?uri=CELEX:32019R1868&amp;from=MT</w:t>
      </w:r>
    </w:p>
  </w:footnote>
  <w:footnote w:id="102">
    <w:p>
      <w:pPr>
        <w:pStyle w:val="FootnoteText"/>
      </w:pPr>
      <w:r>
        <w:rPr>
          <w:rStyle w:val="FootnoteReference"/>
        </w:rPr>
        <w:footnoteRef/>
      </w:r>
      <w:r>
        <w:t xml:space="preserve"> https://eur-lex.europa.eu/legal-content/MT/TXT/PDF/?uri=CELEX:32018R2066</w:t>
      </w:r>
    </w:p>
  </w:footnote>
  <w:footnote w:id="103">
    <w:p>
      <w:pPr>
        <w:pStyle w:val="FootnoteText"/>
      </w:pPr>
      <w:r>
        <w:rPr>
          <w:rStyle w:val="FootnoteReference"/>
        </w:rPr>
        <w:footnoteRef/>
      </w:r>
      <w:r>
        <w:t xml:space="preserve"> https://eur-lex.europa.eu/legal-content/MT/TXT/PDF/?uri=CELEX:32018R2067&amp;from=MT</w:t>
      </w:r>
    </w:p>
  </w:footnote>
  <w:footnote w:id="104">
    <w:p>
      <w:pPr>
        <w:pStyle w:val="FootnoteText"/>
      </w:pPr>
      <w:r>
        <w:rPr>
          <w:rStyle w:val="FootnoteReference"/>
        </w:rPr>
        <w:footnoteRef/>
      </w:r>
      <w:r>
        <w:t xml:space="preserve"> https://eur-lex.europa.eu/legal-content/MT/TXT/PDF/?uri=CELEX:32019R1603&amp;from=MT</w:t>
      </w:r>
    </w:p>
  </w:footnote>
  <w:footnote w:id="105">
    <w:p>
      <w:pPr>
        <w:pStyle w:val="FootnoteText"/>
      </w:pPr>
      <w:r>
        <w:rPr>
          <w:rStyle w:val="FootnoteReference"/>
        </w:rPr>
        <w:footnoteRef/>
      </w:r>
      <w:r>
        <w:t xml:space="preserve"> https://eur-lex.europa.eu/legal-content/MT/TXT/PDF/?uri=CELEX:32020D1071</w:t>
      </w:r>
    </w:p>
  </w:footnote>
  <w:footnote w:id="106">
    <w:p>
      <w:pPr>
        <w:pStyle w:val="FootnoteText"/>
      </w:pPr>
      <w:r>
        <w:rPr>
          <w:rStyle w:val="FootnoteReference"/>
        </w:rPr>
        <w:footnoteRef/>
      </w:r>
      <w:r>
        <w:t xml:space="preserve"> Għall-perjodu minn Jannar sa Awwissu 2019, iċ-ċifri huma bbażati fuq il-Komunikazzjoni tal-Kummissjoni C(2018) 2801 final tal-15.5.2018 </w:t>
      </w:r>
      <w:hyperlink r:id="rId22" w:history="1">
        <w:r>
          <w:rPr>
            <w:rStyle w:val="Hyperlink"/>
          </w:rPr>
          <w:t>https://ec.europa.eu/clima/sites/clima/files/ets/reform/docs/c_2018_2801_en.pdf</w:t>
        </w:r>
      </w:hyperlink>
      <w:r>
        <w:t xml:space="preserve"> </w:t>
      </w:r>
    </w:p>
  </w:footnote>
  <w:footnote w:id="107">
    <w:p>
      <w:pPr>
        <w:pStyle w:val="FootnoteText"/>
      </w:pPr>
      <w:r>
        <w:rPr>
          <w:rStyle w:val="FootnoteReference"/>
        </w:rPr>
        <w:footnoteRef/>
      </w:r>
      <w:r>
        <w:t xml:space="preserve"> Għall-perjodi minn Settembru sa Diċembru 2019 u minn Jannar sa Awwissu 2020, iċ-ċifri huma bbażati fuq il-Komunikazzjoni tal-Kummissjoni C(2019) 3288 final, disponibbli fuq </w:t>
      </w:r>
      <w:hyperlink r:id="rId23" w:history="1">
        <w:r>
          <w:rPr>
            <w:rStyle w:val="Hyperlink"/>
          </w:rPr>
          <w:t>https://ec.europa.eu/clima/sites/clima/files/ets/reform/docs/c_2019_3288_en.pdf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360" w:hanging="360"/>
      </w:pPr>
      <w:rPr>
        <w:rFonts w:ascii="Symbol" w:hAnsi="Symbol" w:cs="Symbol"/>
      </w:rPr>
    </w:lvl>
  </w:abstractNum>
  <w:abstractNum w:abstractNumId="1">
    <w:nsid w:val="00000003"/>
    <w:multiLevelType w:val="singleLevel"/>
    <w:tmpl w:val="00000003"/>
    <w:name w:val="WW8Num2"/>
    <w:lvl w:ilvl="0">
      <w:start w:val="1"/>
      <w:numFmt w:val="bullet"/>
      <w:lvlText w:val="o"/>
      <w:lvlJc w:val="left"/>
      <w:pPr>
        <w:tabs>
          <w:tab w:val="num" w:pos="0"/>
        </w:tabs>
        <w:ind w:left="720" w:hanging="360"/>
      </w:pPr>
      <w:rPr>
        <w:rFonts w:ascii="Courier New" w:hAnsi="Courier New" w:cs="Courier New"/>
      </w:rPr>
    </w:lvl>
  </w:abstractNum>
  <w:abstractNum w:abstractNumId="2">
    <w:nsid w:val="00586663"/>
    <w:multiLevelType w:val="hybridMultilevel"/>
    <w:tmpl w:val="636E0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0F4A9C"/>
    <w:multiLevelType w:val="multilevel"/>
    <w:tmpl w:val="F476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9E1EF7"/>
    <w:multiLevelType w:val="hybridMultilevel"/>
    <w:tmpl w:val="3E6C0D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nsid w:val="1535361B"/>
    <w:multiLevelType w:val="hybridMultilevel"/>
    <w:tmpl w:val="F0243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F46418"/>
    <w:multiLevelType w:val="hybridMultilevel"/>
    <w:tmpl w:val="82B4D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AAB37AA"/>
    <w:multiLevelType w:val="multilevel"/>
    <w:tmpl w:val="AB602AF8"/>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E54362E"/>
    <w:multiLevelType w:val="hybridMultilevel"/>
    <w:tmpl w:val="6018E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7173E9"/>
    <w:multiLevelType w:val="hybridMultilevel"/>
    <w:tmpl w:val="39EA262A"/>
    <w:lvl w:ilvl="0" w:tplc="924A8FE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651550"/>
    <w:multiLevelType w:val="hybridMultilevel"/>
    <w:tmpl w:val="90964D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42F3C02"/>
    <w:multiLevelType w:val="hybridMultilevel"/>
    <w:tmpl w:val="B83E91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nsid w:val="42987CC0"/>
    <w:multiLevelType w:val="hybridMultilevel"/>
    <w:tmpl w:val="48FA1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3CF1B1C"/>
    <w:multiLevelType w:val="hybridMultilevel"/>
    <w:tmpl w:val="61D0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1B1D46"/>
    <w:multiLevelType w:val="multilevel"/>
    <w:tmpl w:val="9F0E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D97B9D"/>
    <w:multiLevelType w:val="hybridMultilevel"/>
    <w:tmpl w:val="14823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50C4B58"/>
    <w:multiLevelType w:val="hybridMultilevel"/>
    <w:tmpl w:val="78524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5FD65E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8277188"/>
    <w:multiLevelType w:val="multilevel"/>
    <w:tmpl w:val="6F66F5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7251656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359678A"/>
    <w:multiLevelType w:val="hybridMultilevel"/>
    <w:tmpl w:val="B730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9E75877"/>
    <w:multiLevelType w:val="hybridMultilevel"/>
    <w:tmpl w:val="F57C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D351DAB"/>
    <w:multiLevelType w:val="hybridMultilevel"/>
    <w:tmpl w:val="CD70F27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20"/>
  </w:num>
  <w:num w:numId="5">
    <w:abstractNumId w:val="10"/>
  </w:num>
  <w:num w:numId="6">
    <w:abstractNumId w:val="19"/>
  </w:num>
  <w:num w:numId="7">
    <w:abstractNumId w:val="22"/>
  </w:num>
  <w:num w:numId="8">
    <w:abstractNumId w:val="13"/>
  </w:num>
  <w:num w:numId="9">
    <w:abstractNumId w:val="9"/>
  </w:num>
  <w:num w:numId="10">
    <w:abstractNumId w:val="16"/>
  </w:num>
  <w:num w:numId="11">
    <w:abstractNumId w:val="17"/>
  </w:num>
  <w:num w:numId="12">
    <w:abstractNumId w:val="6"/>
  </w:num>
  <w:num w:numId="13">
    <w:abstractNumId w:val="12"/>
  </w:num>
  <w:num w:numId="14">
    <w:abstractNumId w:val="21"/>
  </w:num>
  <w:num w:numId="15">
    <w:abstractNumId w:val="2"/>
  </w:num>
  <w:num w:numId="16">
    <w:abstractNumId w:val="3"/>
  </w:num>
  <w:num w:numId="17">
    <w:abstractNumId w:val="14"/>
  </w:num>
  <w:num w:numId="18">
    <w:abstractNumId w:val="18"/>
  </w:num>
  <w:num w:numId="19">
    <w:abstractNumId w:val="12"/>
  </w:num>
  <w:num w:numId="20">
    <w:abstractNumId w:val="21"/>
  </w:num>
  <w:num w:numId="21">
    <w:abstractNumId w:val="1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revisionView w:markup="0"/>
  <w:defaultTabStop w:val="720"/>
  <w:hyphenationZone w:val="283"/>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1F7FCFC6-E8CA-4F8B-B7B1-61FE0A0C70C2"/>
    <w:docVar w:name="LW_COVERPAGE_TYPE" w:val="1"/>
    <w:docVar w:name="LW_CROSSREFERENCE" w:val="&lt;UNUSED&gt;"/>
    <w:docVar w:name="LW_DocType" w:val="NORMAL"/>
    <w:docVar w:name="LW_EMISSION" w:val="18.11.2020"/>
    <w:docVar w:name="LW_EMISSION_ISODATE" w:val="2020-11-18"/>
    <w:docVar w:name="LW_EMISSION_LOCATION" w:val="BRX"/>
    <w:docVar w:name="LW_EMISSION_PREFIX" w:val="Brussell, "/>
    <w:docVar w:name="LW_EMISSION_SUFFIX" w:val=" "/>
    <w:docVar w:name="LW_ID_DOCTYPE_NONLW" w:val="CP-006"/>
    <w:docVar w:name="LW_LANGUE" w:val="MT"/>
    <w:docVar w:name="LW_LEVEL_OF_SENSITIVITY" w:val="Standard treatment"/>
    <w:docVar w:name="LW_NOM.INST" w:val="IL-KUMMISSJONI EWROPEA"/>
    <w:docVar w:name="LW_NOM.INST_JOINTDOC" w:val="&lt;EMPTY&gt;"/>
    <w:docVar w:name="LW_PART_NBR" w:val="1"/>
    <w:docVar w:name="LW_PART_NBR_TOTAL" w:val="1"/>
    <w:docVar w:name="LW_REF.INST.NEW" w:val="COM"/>
    <w:docVar w:name="LW_REF.INST.NEW_ADOPTED" w:val="final"/>
    <w:docVar w:name="LW_REF.INST.NEW_TEXT" w:val="(2020) 74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UPERTITRE" w:val="&lt;UNUSED&gt;"/>
    <w:docVar w:name="LW_TITRE.OBJ.CP" w:val="Rapport dwar il-funzjonament tas-suq Ewropew tal-karbonju"/>
    <w:docVar w:name="LW_TYPE.DOC.CP" w:val="RAPPORT TAL-KUMMISSJONI LILL-PARLAMENT EWROPEW U LILL-KUNSILL"/>
  </w:docVar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t-M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rPr>
  </w:style>
  <w:style w:type="paragraph" w:styleId="Heading1">
    <w:name w:val="heading 1"/>
    <w:basedOn w:val="Normal"/>
    <w:next w:val="Normal"/>
    <w:link w:val="Heading1Char"/>
    <w:uiPriority w:val="9"/>
    <w:qFormat/>
    <w:pPr>
      <w:keepNext/>
      <w:spacing w:before="240" w:after="60"/>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iPriority w:val="9"/>
    <w:unhideWhenUsed/>
    <w:qFormat/>
    <w:pPr>
      <w:keepNext/>
      <w:spacing w:before="240" w:after="60"/>
      <w:outlineLvl w:val="1"/>
    </w:pPr>
    <w:rPr>
      <w:rFonts w:ascii="Times New Roman" w:eastAsia="Times New Roman" w:hAnsi="Times New Roman"/>
      <w:b/>
      <w:bCs/>
      <w:i/>
      <w:iCs/>
      <w:sz w:val="24"/>
      <w:szCs w:val="28"/>
    </w:rPr>
  </w:style>
  <w:style w:type="paragraph" w:styleId="Heading3">
    <w:name w:val="heading 3"/>
    <w:basedOn w:val="Normal"/>
    <w:next w:val="Normal"/>
    <w:link w:val="Heading3Char"/>
    <w:uiPriority w:val="9"/>
    <w:unhideWhenUsed/>
    <w:qFormat/>
    <w:pPr>
      <w:keepNext/>
      <w:spacing w:before="240" w:after="60"/>
      <w:outlineLvl w:val="2"/>
    </w:pPr>
    <w:rPr>
      <w:rFonts w:ascii="Times New Roman" w:eastAsia="Times New Roman" w:hAnsi="Times New Roman"/>
      <w:b/>
      <w:bCs/>
      <w:sz w:val="24"/>
      <w:szCs w:val="26"/>
    </w:rPr>
  </w:style>
  <w:style w:type="paragraph" w:styleId="Heading4">
    <w:name w:val="heading 4"/>
    <w:basedOn w:val="Normal"/>
    <w:next w:val="Normal"/>
    <w:link w:val="Heading4Char"/>
    <w:uiPriority w:val="9"/>
    <w:unhideWhenUsed/>
    <w:qFormat/>
    <w:pPr>
      <w:keepNext/>
      <w:spacing w:before="240" w:after="60"/>
      <w:outlineLvl w:val="3"/>
    </w:pPr>
    <w:rPr>
      <w:rFonts w:ascii="Times New Roman" w:eastAsia="Times New Roman" w:hAnsi="Times New Roman"/>
      <w:bCs/>
      <w:i/>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2"/>
      <w:sz w:val="24"/>
      <w:szCs w:val="32"/>
    </w:rPr>
  </w:style>
  <w:style w:type="character" w:customStyle="1" w:styleId="Heading2Char">
    <w:name w:val="Heading 2 Char"/>
    <w:basedOn w:val="DefaultParagraphFont"/>
    <w:link w:val="Heading2"/>
    <w:uiPriority w:val="9"/>
    <w:rPr>
      <w:rFonts w:ascii="Times New Roman" w:eastAsia="Times New Roman" w:hAnsi="Times New Roman" w:cs="Times New Roman"/>
      <w:b/>
      <w:bCs/>
      <w:i/>
      <w:iCs/>
      <w:sz w:val="24"/>
      <w:szCs w:val="28"/>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uiPriority w:val="9"/>
    <w:rPr>
      <w:rFonts w:ascii="Times New Roman" w:eastAsia="Times New Roman" w:hAnsi="Times New Roman" w:cs="Times New Roman"/>
      <w:bCs/>
      <w:i/>
      <w:sz w:val="24"/>
      <w:szCs w:val="28"/>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Pr>
      <w:rFonts w:ascii="Tahoma" w:eastAsia="Calibri" w:hAnsi="Tahoma" w:cs="Times New Roman"/>
      <w:sz w:val="16"/>
      <w:szCs w:val="16"/>
      <w:lang w:val="mt-M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lang w:val="mt-M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lang w:val="mt-MT"/>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Pr>
      <w:color w:val="0000FF"/>
      <w:u w:val="single"/>
    </w:rPr>
  </w:style>
  <w:style w:type="paragraph" w:styleId="FootnoteText">
    <w:name w:val="footnote text"/>
    <w:aliases w:val="Fußnotentextf,RSK-FT,RSK-FT1,RSK-FT2"/>
    <w:basedOn w:val="Normal"/>
    <w:link w:val="FootnoteTextChar"/>
    <w:autoRedefine/>
    <w:uiPriority w:val="99"/>
    <w:unhideWhenUsed/>
    <w:qFormat/>
    <w:pPr>
      <w:spacing w:after="0" w:line="240" w:lineRule="auto"/>
    </w:pPr>
    <w:rPr>
      <w:rFonts w:ascii="Times New Roman" w:hAnsi="Times New Roman"/>
      <w:sz w:val="18"/>
      <w:szCs w:val="18"/>
    </w:rPr>
  </w:style>
  <w:style w:type="character" w:customStyle="1" w:styleId="FootnoteTextChar">
    <w:name w:val="Footnote Text Char"/>
    <w:aliases w:val="Fußnotentextf Char,RSK-FT Char,RSK-FT1 Char,RSK-FT2 Char"/>
    <w:basedOn w:val="DefaultParagraphFont"/>
    <w:link w:val="FootnoteText"/>
    <w:uiPriority w:val="99"/>
    <w:rPr>
      <w:rFonts w:ascii="Times New Roman" w:eastAsia="Calibri" w:hAnsi="Times New Roman" w:cs="Times New Roman"/>
      <w:sz w:val="18"/>
      <w:szCs w:val="18"/>
    </w:rPr>
  </w:style>
  <w:style w:type="character" w:styleId="FootnoteReference">
    <w:name w:val="footnote reference"/>
    <w:aliases w:val="Footnote Refernece,BVI fnr,callout,16 Point,Superscript 6 Point,Odwołanie przypisu,Footnote symbol,Footnote Reference Number,Footnote Reference Superscript,SUPERS,Times 10 Point,Exposant 3 Point,Ref,de nota al pie,number, BVI fnr"/>
    <w:uiPriority w:val="99"/>
    <w:unhideWhenUsed/>
    <w:qFormat/>
    <w:rPr>
      <w:vertAlign w:val="superscript"/>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Calibri" w:eastAsia="Calibri" w:hAnsi="Calibri" w:cs="Times New Roman"/>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Calibri" w:eastAsia="Calibri" w:hAnsi="Calibri" w:cs="Times New Roman"/>
    </w:rPr>
  </w:style>
  <w:style w:type="paragraph" w:customStyle="1" w:styleId="a3520normalp11">
    <w:name w:val="a__35__20_normal_p11"/>
    <w:basedOn w:val="Normal"/>
    <w:pPr>
      <w:spacing w:after="120" w:line="240" w:lineRule="auto"/>
      <w:ind w:right="57"/>
      <w:jc w:val="both"/>
    </w:pPr>
    <w:rPr>
      <w:rFonts w:ascii="Times New Roman" w:eastAsia="Times New Roman" w:hAnsi="Times New Roman"/>
      <w:sz w:val="24"/>
      <w:szCs w:val="24"/>
      <w:lang w:eastAsia="en-GB"/>
    </w:rPr>
  </w:style>
  <w:style w:type="paragraph" w:customStyle="1" w:styleId="5normal">
    <w:name w:val="5normal"/>
    <w:basedOn w:val="Normal"/>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ps">
    <w:name w:val="hps"/>
  </w:style>
  <w:style w:type="paragraph" w:styleId="ListParagraph">
    <w:name w:val="List Paragraph"/>
    <w:basedOn w:val="Normal"/>
    <w:uiPriority w:val="34"/>
    <w:qFormat/>
    <w:pPr>
      <w:spacing w:after="160" w:line="259" w:lineRule="auto"/>
      <w:ind w:left="720"/>
      <w:contextualSpacing/>
    </w:pPr>
  </w:style>
  <w:style w:type="character" w:styleId="Strong">
    <w:name w:val="Strong"/>
    <w:uiPriority w:val="22"/>
    <w:qFormat/>
    <w:rPr>
      <w:b/>
      <w:bCs/>
    </w:rPr>
  </w:style>
  <w:style w:type="paragraph" w:customStyle="1" w:styleId="ECStandard">
    <w:name w:val="EC Standard"/>
    <w:basedOn w:val="Normal"/>
    <w:link w:val="ECStandardZchn"/>
    <w:qFormat/>
    <w:pPr>
      <w:spacing w:after="120" w:line="240" w:lineRule="auto"/>
      <w:jc w:val="both"/>
    </w:pPr>
    <w:rPr>
      <w:rFonts w:ascii="Times New Roman" w:eastAsia="Times New Roman" w:hAnsi="Times New Roman"/>
      <w:sz w:val="24"/>
      <w:szCs w:val="24"/>
      <w:lang w:eastAsia="de-DE"/>
    </w:rPr>
  </w:style>
  <w:style w:type="character" w:customStyle="1" w:styleId="ECStandardZchn">
    <w:name w:val="EC Standard Zchn"/>
    <w:link w:val="ECStandard"/>
    <w:rPr>
      <w:rFonts w:ascii="Times New Roman" w:eastAsia="Times New Roman" w:hAnsi="Times New Roman" w:cs="Times New Roman"/>
      <w:sz w:val="24"/>
      <w:szCs w:val="24"/>
      <w:lang w:eastAsia="de-DE"/>
    </w:rPr>
  </w:style>
  <w:style w:type="paragraph" w:styleId="Revision">
    <w:name w:val="Revision"/>
    <w:hidden/>
    <w:uiPriority w:val="99"/>
    <w:semiHidden/>
    <w:pPr>
      <w:spacing w:after="0" w:line="240" w:lineRule="auto"/>
    </w:pPr>
    <w:rPr>
      <w:rFonts w:ascii="Calibri" w:eastAsia="Calibri" w:hAnsi="Calibri" w:cs="Times New Roman"/>
    </w:rPr>
  </w:style>
  <w:style w:type="paragraph" w:customStyle="1" w:styleId="5Normal0">
    <w:name w:val="5 Normal"/>
    <w:basedOn w:val="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jc w:val="both"/>
    </w:pPr>
    <w:rPr>
      <w:rFonts w:ascii="Verdana" w:eastAsia="Times New Roman" w:hAnsi="Verdana"/>
      <w:spacing w:val="-2"/>
      <w:sz w:val="20"/>
      <w:szCs w:val="24"/>
      <w:lang w:eastAsia="en-GB"/>
    </w:rPr>
  </w:style>
  <w:style w:type="character" w:customStyle="1" w:styleId="5NormalChar">
    <w:name w:val="5 Normal Char"/>
    <w:link w:val="5Normal0"/>
    <w:locked/>
    <w:rPr>
      <w:rFonts w:ascii="Verdana" w:eastAsia="Times New Roman" w:hAnsi="Verdana" w:cs="Times New Roman"/>
      <w:spacing w:val="-2"/>
      <w:sz w:val="20"/>
      <w:szCs w:val="24"/>
      <w:lang w:eastAsia="en-GB"/>
    </w:rPr>
  </w:style>
  <w:style w:type="table" w:styleId="TableGrid">
    <w:name w:val="Table Grid"/>
    <w:basedOn w:val="TableNormal"/>
    <w:uiPriority w:val="5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link w:val="TOCHeadingChar"/>
    <w:uiPriority w:val="39"/>
    <w:unhideWhenUsed/>
    <w:qFormat/>
    <w:pPr>
      <w:keepLines/>
      <w:spacing w:before="480" w:after="0"/>
      <w:outlineLvl w:val="9"/>
    </w:pPr>
    <w:rPr>
      <w:rFonts w:ascii="Cambria" w:hAnsi="Cambria"/>
      <w:color w:val="365F91"/>
      <w:kern w:val="0"/>
      <w:sz w:val="28"/>
      <w:szCs w:val="28"/>
      <w:lang w:eastAsia="ja-JP"/>
    </w:rPr>
  </w:style>
  <w:style w:type="paragraph" w:styleId="TOC1">
    <w:name w:val="toc 1"/>
    <w:basedOn w:val="Normal"/>
    <w:next w:val="Normal"/>
    <w:autoRedefine/>
    <w:uiPriority w:val="39"/>
    <w:unhideWhenUsed/>
    <w:qFormat/>
    <w:pPr>
      <w:tabs>
        <w:tab w:val="right" w:leader="dot" w:pos="9016"/>
      </w:tabs>
    </w:pPr>
  </w:style>
  <w:style w:type="paragraph" w:styleId="TOC2">
    <w:name w:val="toc 2"/>
    <w:basedOn w:val="Normal"/>
    <w:next w:val="Normal"/>
    <w:autoRedefine/>
    <w:uiPriority w:val="39"/>
    <w:unhideWhenUsed/>
    <w:qFormat/>
    <w:pPr>
      <w:ind w:left="220"/>
    </w:pPr>
  </w:style>
  <w:style w:type="paragraph" w:styleId="TOC3">
    <w:name w:val="toc 3"/>
    <w:basedOn w:val="Normal"/>
    <w:next w:val="Normal"/>
    <w:autoRedefine/>
    <w:uiPriority w:val="39"/>
    <w:unhideWhenUsed/>
    <w:qFormat/>
    <w:pPr>
      <w:ind w:left="440"/>
    </w:pPr>
  </w:style>
  <w:style w:type="paragraph" w:styleId="Caption">
    <w:name w:val="caption"/>
    <w:basedOn w:val="Normal"/>
    <w:next w:val="Normal"/>
    <w:uiPriority w:val="35"/>
    <w:unhideWhenUsed/>
    <w:qFormat/>
    <w:rPr>
      <w:b/>
      <w:bCs/>
      <w:sz w:val="20"/>
      <w:szCs w:val="20"/>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basedOn w:val="DefaultParagraphFont"/>
    <w:link w:val="FooterCoverPage"/>
    <w:rPr>
      <w:rFonts w:ascii="Times New Roman" w:eastAsia="Calibri"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basedOn w:val="DefaultParagraphFont"/>
    <w:link w:val="HeaderCoverPage"/>
    <w:rPr>
      <w:rFonts w:ascii="Times New Roman" w:eastAsia="Calibri" w:hAnsi="Times New Roman" w:cs="Times New Roman"/>
      <w:sz w:val="24"/>
    </w:rPr>
  </w:style>
  <w:style w:type="paragraph" w:styleId="TOC4">
    <w:name w:val="toc 4"/>
    <w:basedOn w:val="Normal"/>
    <w:next w:val="Normal"/>
    <w:autoRedefine/>
    <w:uiPriority w:val="39"/>
    <w:unhideWhenUsed/>
    <w:pPr>
      <w:spacing w:after="100"/>
      <w:ind w:left="660"/>
    </w:pPr>
  </w:style>
  <w:style w:type="paragraph" w:styleId="NoSpacing">
    <w:name w:val="No Spacing"/>
    <w:uiPriority w:val="1"/>
    <w:qFormat/>
    <w:pPr>
      <w:spacing w:after="0" w:line="240" w:lineRule="auto"/>
    </w:pPr>
    <w:rPr>
      <w:rFonts w:ascii="Calibri" w:eastAsia="Calibri" w:hAnsi="Calibri" w:cs="Times New Roman"/>
    </w:rPr>
  </w:style>
  <w:style w:type="character" w:styleId="CommentReference">
    <w:name w:val="annotation reference"/>
    <w:uiPriority w:val="99"/>
    <w:semiHidden/>
    <w:unhideWhenUsed/>
    <w:rPr>
      <w:sz w:val="16"/>
      <w:szCs w:val="16"/>
    </w:rPr>
  </w:style>
  <w:style w:type="character" w:customStyle="1" w:styleId="clear">
    <w:name w:val="clear"/>
    <w:basedOn w:val="DefaultParagraphFont"/>
  </w:style>
  <w:style w:type="character" w:styleId="FollowedHyperlink">
    <w:name w:val="FollowedHyperlink"/>
    <w:basedOn w:val="DefaultParagraphFont"/>
    <w:uiPriority w:val="99"/>
    <w:semiHidden/>
    <w:unhideWhenUsed/>
    <w:rPr>
      <w:color w:val="800080" w:themeColor="followedHyperlink"/>
      <w:u w:val="single"/>
    </w:rPr>
  </w:style>
  <w:style w:type="table" w:customStyle="1" w:styleId="TableGrid1">
    <w:name w:val="Table Grid1"/>
    <w:basedOn w:val="TableNormal"/>
    <w:next w:val="TableGrid"/>
    <w:uiPriority w:val="5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3">
    <w:name w:val="Table Grid3"/>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b/>
      <w:sz w:val="32"/>
    </w:rPr>
  </w:style>
  <w:style w:type="character" w:customStyle="1" w:styleId="TOCHeadingChar">
    <w:name w:val="TOC Heading Char"/>
    <w:basedOn w:val="Heading1Char"/>
    <w:link w:val="TOCHeading"/>
    <w:uiPriority w:val="39"/>
    <w:rPr>
      <w:rFonts w:ascii="Cambria" w:eastAsia="Times New Roman" w:hAnsi="Cambria" w:cs="Times New Roman"/>
      <w:b/>
      <w:bCs/>
      <w:color w:val="365F91"/>
      <w:kern w:val="32"/>
      <w:sz w:val="28"/>
      <w:szCs w:val="28"/>
      <w:lang w:val="mt-MT" w:eastAsia="ja-JP"/>
    </w:rPr>
  </w:style>
  <w:style w:type="character" w:customStyle="1" w:styleId="FooterSensitivityChar">
    <w:name w:val="Footer Sensitivity Char"/>
    <w:basedOn w:val="TOCHeadingChar"/>
    <w:link w:val="FooterSensitivity"/>
    <w:rPr>
      <w:rFonts w:ascii="Times New Roman" w:eastAsia="Calibri" w:hAnsi="Times New Roman" w:cs="Times New Roman"/>
      <w:b/>
      <w:bCs w:val="0"/>
      <w:color w:val="365F91"/>
      <w:kern w:val="32"/>
      <w:sz w:val="32"/>
      <w:szCs w:val="28"/>
      <w:lang w:val="mt-MT" w:eastAsia="ja-JP"/>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b/>
      <w:sz w:val="32"/>
    </w:rPr>
  </w:style>
  <w:style w:type="character" w:customStyle="1" w:styleId="HeaderSensitivityChar">
    <w:name w:val="Header Sensitivity Char"/>
    <w:basedOn w:val="TOCHeadingChar"/>
    <w:link w:val="HeaderSensitivity"/>
    <w:rPr>
      <w:rFonts w:ascii="Times New Roman" w:eastAsia="Calibri" w:hAnsi="Times New Roman" w:cs="Times New Roman"/>
      <w:b/>
      <w:bCs w:val="0"/>
      <w:color w:val="365F91"/>
      <w:kern w:val="32"/>
      <w:sz w:val="32"/>
      <w:szCs w:val="28"/>
      <w:lang w:val="mt-MT" w:eastAsia="ja-JP"/>
    </w:rPr>
  </w:style>
  <w:style w:type="table" w:customStyle="1" w:styleId="TableGrid5">
    <w:name w:val="Table Grid5"/>
    <w:basedOn w:val="TableNormal"/>
    <w:next w:val="TableGrid"/>
    <w:uiPriority w:val="5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urityMarking">
    <w:name w:val="SecurityMarking"/>
    <w:basedOn w:val="Normal"/>
    <w:pPr>
      <w:spacing w:after="0"/>
      <w:ind w:left="5103"/>
    </w:pPr>
    <w:rPr>
      <w:rFonts w:ascii="Times New Roman" w:eastAsiaTheme="minorHAnsi" w:hAnsi="Times New Roman"/>
      <w:sz w:val="28"/>
    </w:rPr>
  </w:style>
  <w:style w:type="paragraph" w:customStyle="1" w:styleId="DateMarking">
    <w:name w:val="DateMarking"/>
    <w:basedOn w:val="Normal"/>
    <w:pPr>
      <w:spacing w:after="0"/>
      <w:ind w:left="5103"/>
    </w:pPr>
    <w:rPr>
      <w:rFonts w:ascii="Times New Roman" w:eastAsiaTheme="minorHAnsi" w:hAnsi="Times New Roman"/>
      <w:i/>
      <w:sz w:val="28"/>
    </w:rPr>
  </w:style>
  <w:style w:type="paragraph" w:customStyle="1" w:styleId="ReleasableTo">
    <w:name w:val="ReleasableTo"/>
    <w:basedOn w:val="Normal"/>
    <w:pPr>
      <w:spacing w:after="0"/>
      <w:ind w:left="5103"/>
    </w:pPr>
    <w:rPr>
      <w:rFonts w:ascii="Times New Roman" w:eastAsiaTheme="minorHAnsi" w:hAnsi="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t-M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Times New Roman"/>
    </w:rPr>
  </w:style>
  <w:style w:type="paragraph" w:styleId="Heading1">
    <w:name w:val="heading 1"/>
    <w:basedOn w:val="Normal"/>
    <w:next w:val="Normal"/>
    <w:link w:val="Heading1Char"/>
    <w:uiPriority w:val="9"/>
    <w:qFormat/>
    <w:pPr>
      <w:keepNext/>
      <w:spacing w:before="240" w:after="60"/>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iPriority w:val="9"/>
    <w:unhideWhenUsed/>
    <w:qFormat/>
    <w:pPr>
      <w:keepNext/>
      <w:spacing w:before="240" w:after="60"/>
      <w:outlineLvl w:val="1"/>
    </w:pPr>
    <w:rPr>
      <w:rFonts w:ascii="Times New Roman" w:eastAsia="Times New Roman" w:hAnsi="Times New Roman"/>
      <w:b/>
      <w:bCs/>
      <w:i/>
      <w:iCs/>
      <w:sz w:val="24"/>
      <w:szCs w:val="28"/>
    </w:rPr>
  </w:style>
  <w:style w:type="paragraph" w:styleId="Heading3">
    <w:name w:val="heading 3"/>
    <w:basedOn w:val="Normal"/>
    <w:next w:val="Normal"/>
    <w:link w:val="Heading3Char"/>
    <w:uiPriority w:val="9"/>
    <w:unhideWhenUsed/>
    <w:qFormat/>
    <w:pPr>
      <w:keepNext/>
      <w:spacing w:before="240" w:after="60"/>
      <w:outlineLvl w:val="2"/>
    </w:pPr>
    <w:rPr>
      <w:rFonts w:ascii="Times New Roman" w:eastAsia="Times New Roman" w:hAnsi="Times New Roman"/>
      <w:b/>
      <w:bCs/>
      <w:sz w:val="24"/>
      <w:szCs w:val="26"/>
    </w:rPr>
  </w:style>
  <w:style w:type="paragraph" w:styleId="Heading4">
    <w:name w:val="heading 4"/>
    <w:basedOn w:val="Normal"/>
    <w:next w:val="Normal"/>
    <w:link w:val="Heading4Char"/>
    <w:uiPriority w:val="9"/>
    <w:unhideWhenUsed/>
    <w:qFormat/>
    <w:pPr>
      <w:keepNext/>
      <w:spacing w:before="240" w:after="60"/>
      <w:outlineLvl w:val="3"/>
    </w:pPr>
    <w:rPr>
      <w:rFonts w:ascii="Times New Roman" w:eastAsia="Times New Roman" w:hAnsi="Times New Roman"/>
      <w:bCs/>
      <w:i/>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2"/>
      <w:sz w:val="24"/>
      <w:szCs w:val="32"/>
    </w:rPr>
  </w:style>
  <w:style w:type="character" w:customStyle="1" w:styleId="Heading2Char">
    <w:name w:val="Heading 2 Char"/>
    <w:basedOn w:val="DefaultParagraphFont"/>
    <w:link w:val="Heading2"/>
    <w:uiPriority w:val="9"/>
    <w:rPr>
      <w:rFonts w:ascii="Times New Roman" w:eastAsia="Times New Roman" w:hAnsi="Times New Roman" w:cs="Times New Roman"/>
      <w:b/>
      <w:bCs/>
      <w:i/>
      <w:iCs/>
      <w:sz w:val="24"/>
      <w:szCs w:val="28"/>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uiPriority w:val="9"/>
    <w:rPr>
      <w:rFonts w:ascii="Times New Roman" w:eastAsia="Times New Roman" w:hAnsi="Times New Roman" w:cs="Times New Roman"/>
      <w:bCs/>
      <w:i/>
      <w:sz w:val="24"/>
      <w:szCs w:val="28"/>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Pr>
      <w:rFonts w:ascii="Tahoma" w:eastAsia="Calibri" w:hAnsi="Tahoma" w:cs="Times New Roman"/>
      <w:sz w:val="16"/>
      <w:szCs w:val="16"/>
      <w:lang w:val="mt-M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lang w:val="mt-M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lang w:val="mt-MT"/>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Pr>
      <w:color w:val="0000FF"/>
      <w:u w:val="single"/>
    </w:rPr>
  </w:style>
  <w:style w:type="paragraph" w:styleId="FootnoteText">
    <w:name w:val="footnote text"/>
    <w:aliases w:val="Fußnotentextf,RSK-FT,RSK-FT1,RSK-FT2"/>
    <w:basedOn w:val="Normal"/>
    <w:link w:val="FootnoteTextChar"/>
    <w:autoRedefine/>
    <w:uiPriority w:val="99"/>
    <w:unhideWhenUsed/>
    <w:qFormat/>
    <w:pPr>
      <w:spacing w:after="0" w:line="240" w:lineRule="auto"/>
    </w:pPr>
    <w:rPr>
      <w:rFonts w:ascii="Times New Roman" w:hAnsi="Times New Roman"/>
      <w:sz w:val="18"/>
      <w:szCs w:val="18"/>
    </w:rPr>
  </w:style>
  <w:style w:type="character" w:customStyle="1" w:styleId="FootnoteTextChar">
    <w:name w:val="Footnote Text Char"/>
    <w:aliases w:val="Fußnotentextf Char,RSK-FT Char,RSK-FT1 Char,RSK-FT2 Char"/>
    <w:basedOn w:val="DefaultParagraphFont"/>
    <w:link w:val="FootnoteText"/>
    <w:uiPriority w:val="99"/>
    <w:rPr>
      <w:rFonts w:ascii="Times New Roman" w:eastAsia="Calibri" w:hAnsi="Times New Roman" w:cs="Times New Roman"/>
      <w:sz w:val="18"/>
      <w:szCs w:val="18"/>
    </w:rPr>
  </w:style>
  <w:style w:type="character" w:styleId="FootnoteReference">
    <w:name w:val="footnote reference"/>
    <w:aliases w:val="Footnote Refernece,BVI fnr,callout,16 Point,Superscript 6 Point,Odwołanie przypisu,Footnote symbol,Footnote Reference Number,Footnote Reference Superscript,SUPERS,Times 10 Point,Exposant 3 Point,Ref,de nota al pie,number, BVI fnr"/>
    <w:uiPriority w:val="99"/>
    <w:unhideWhenUsed/>
    <w:qFormat/>
    <w:rPr>
      <w:vertAlign w:val="superscript"/>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Calibri" w:eastAsia="Calibri" w:hAnsi="Calibri" w:cs="Times New Roman"/>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Calibri" w:eastAsia="Calibri" w:hAnsi="Calibri" w:cs="Times New Roman"/>
    </w:rPr>
  </w:style>
  <w:style w:type="paragraph" w:customStyle="1" w:styleId="a3520normalp11">
    <w:name w:val="a__35__20_normal_p11"/>
    <w:basedOn w:val="Normal"/>
    <w:pPr>
      <w:spacing w:after="120" w:line="240" w:lineRule="auto"/>
      <w:ind w:right="57"/>
      <w:jc w:val="both"/>
    </w:pPr>
    <w:rPr>
      <w:rFonts w:ascii="Times New Roman" w:eastAsia="Times New Roman" w:hAnsi="Times New Roman"/>
      <w:sz w:val="24"/>
      <w:szCs w:val="24"/>
      <w:lang w:eastAsia="en-GB"/>
    </w:rPr>
  </w:style>
  <w:style w:type="paragraph" w:customStyle="1" w:styleId="5normal">
    <w:name w:val="5normal"/>
    <w:basedOn w:val="Normal"/>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ps">
    <w:name w:val="hps"/>
  </w:style>
  <w:style w:type="paragraph" w:styleId="ListParagraph">
    <w:name w:val="List Paragraph"/>
    <w:basedOn w:val="Normal"/>
    <w:uiPriority w:val="34"/>
    <w:qFormat/>
    <w:pPr>
      <w:spacing w:after="160" w:line="259" w:lineRule="auto"/>
      <w:ind w:left="720"/>
      <w:contextualSpacing/>
    </w:pPr>
  </w:style>
  <w:style w:type="character" w:styleId="Strong">
    <w:name w:val="Strong"/>
    <w:uiPriority w:val="22"/>
    <w:qFormat/>
    <w:rPr>
      <w:b/>
      <w:bCs/>
    </w:rPr>
  </w:style>
  <w:style w:type="paragraph" w:customStyle="1" w:styleId="ECStandard">
    <w:name w:val="EC Standard"/>
    <w:basedOn w:val="Normal"/>
    <w:link w:val="ECStandardZchn"/>
    <w:qFormat/>
    <w:pPr>
      <w:spacing w:after="120" w:line="240" w:lineRule="auto"/>
      <w:jc w:val="both"/>
    </w:pPr>
    <w:rPr>
      <w:rFonts w:ascii="Times New Roman" w:eastAsia="Times New Roman" w:hAnsi="Times New Roman"/>
      <w:sz w:val="24"/>
      <w:szCs w:val="24"/>
      <w:lang w:eastAsia="de-DE"/>
    </w:rPr>
  </w:style>
  <w:style w:type="character" w:customStyle="1" w:styleId="ECStandardZchn">
    <w:name w:val="EC Standard Zchn"/>
    <w:link w:val="ECStandard"/>
    <w:rPr>
      <w:rFonts w:ascii="Times New Roman" w:eastAsia="Times New Roman" w:hAnsi="Times New Roman" w:cs="Times New Roman"/>
      <w:sz w:val="24"/>
      <w:szCs w:val="24"/>
      <w:lang w:eastAsia="de-DE"/>
    </w:rPr>
  </w:style>
  <w:style w:type="paragraph" w:styleId="Revision">
    <w:name w:val="Revision"/>
    <w:hidden/>
    <w:uiPriority w:val="99"/>
    <w:semiHidden/>
    <w:pPr>
      <w:spacing w:after="0" w:line="240" w:lineRule="auto"/>
    </w:pPr>
    <w:rPr>
      <w:rFonts w:ascii="Calibri" w:eastAsia="Calibri" w:hAnsi="Calibri" w:cs="Times New Roman"/>
    </w:rPr>
  </w:style>
  <w:style w:type="paragraph" w:customStyle="1" w:styleId="5Normal0">
    <w:name w:val="5 Normal"/>
    <w:basedOn w:val="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jc w:val="both"/>
    </w:pPr>
    <w:rPr>
      <w:rFonts w:ascii="Verdana" w:eastAsia="Times New Roman" w:hAnsi="Verdana"/>
      <w:spacing w:val="-2"/>
      <w:sz w:val="20"/>
      <w:szCs w:val="24"/>
      <w:lang w:eastAsia="en-GB"/>
    </w:rPr>
  </w:style>
  <w:style w:type="character" w:customStyle="1" w:styleId="5NormalChar">
    <w:name w:val="5 Normal Char"/>
    <w:link w:val="5Normal0"/>
    <w:locked/>
    <w:rPr>
      <w:rFonts w:ascii="Verdana" w:eastAsia="Times New Roman" w:hAnsi="Verdana" w:cs="Times New Roman"/>
      <w:spacing w:val="-2"/>
      <w:sz w:val="20"/>
      <w:szCs w:val="24"/>
      <w:lang w:eastAsia="en-GB"/>
    </w:rPr>
  </w:style>
  <w:style w:type="table" w:styleId="TableGrid">
    <w:name w:val="Table Grid"/>
    <w:basedOn w:val="TableNormal"/>
    <w:uiPriority w:val="5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link w:val="TOCHeadingChar"/>
    <w:uiPriority w:val="39"/>
    <w:unhideWhenUsed/>
    <w:qFormat/>
    <w:pPr>
      <w:keepLines/>
      <w:spacing w:before="480" w:after="0"/>
      <w:outlineLvl w:val="9"/>
    </w:pPr>
    <w:rPr>
      <w:rFonts w:ascii="Cambria" w:hAnsi="Cambria"/>
      <w:color w:val="365F91"/>
      <w:kern w:val="0"/>
      <w:sz w:val="28"/>
      <w:szCs w:val="28"/>
      <w:lang w:eastAsia="ja-JP"/>
    </w:rPr>
  </w:style>
  <w:style w:type="paragraph" w:styleId="TOC1">
    <w:name w:val="toc 1"/>
    <w:basedOn w:val="Normal"/>
    <w:next w:val="Normal"/>
    <w:autoRedefine/>
    <w:uiPriority w:val="39"/>
    <w:unhideWhenUsed/>
    <w:qFormat/>
    <w:pPr>
      <w:tabs>
        <w:tab w:val="right" w:leader="dot" w:pos="9016"/>
      </w:tabs>
    </w:pPr>
  </w:style>
  <w:style w:type="paragraph" w:styleId="TOC2">
    <w:name w:val="toc 2"/>
    <w:basedOn w:val="Normal"/>
    <w:next w:val="Normal"/>
    <w:autoRedefine/>
    <w:uiPriority w:val="39"/>
    <w:unhideWhenUsed/>
    <w:qFormat/>
    <w:pPr>
      <w:ind w:left="220"/>
    </w:pPr>
  </w:style>
  <w:style w:type="paragraph" w:styleId="TOC3">
    <w:name w:val="toc 3"/>
    <w:basedOn w:val="Normal"/>
    <w:next w:val="Normal"/>
    <w:autoRedefine/>
    <w:uiPriority w:val="39"/>
    <w:unhideWhenUsed/>
    <w:qFormat/>
    <w:pPr>
      <w:ind w:left="440"/>
    </w:pPr>
  </w:style>
  <w:style w:type="paragraph" w:styleId="Caption">
    <w:name w:val="caption"/>
    <w:basedOn w:val="Normal"/>
    <w:next w:val="Normal"/>
    <w:uiPriority w:val="35"/>
    <w:unhideWhenUsed/>
    <w:qFormat/>
    <w:rPr>
      <w:b/>
      <w:bCs/>
      <w:sz w:val="20"/>
      <w:szCs w:val="20"/>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basedOn w:val="DefaultParagraphFont"/>
    <w:link w:val="FooterCoverPage"/>
    <w:rPr>
      <w:rFonts w:ascii="Times New Roman" w:eastAsia="Calibri"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basedOn w:val="DefaultParagraphFont"/>
    <w:link w:val="HeaderCoverPage"/>
    <w:rPr>
      <w:rFonts w:ascii="Times New Roman" w:eastAsia="Calibri" w:hAnsi="Times New Roman" w:cs="Times New Roman"/>
      <w:sz w:val="24"/>
    </w:rPr>
  </w:style>
  <w:style w:type="paragraph" w:styleId="TOC4">
    <w:name w:val="toc 4"/>
    <w:basedOn w:val="Normal"/>
    <w:next w:val="Normal"/>
    <w:autoRedefine/>
    <w:uiPriority w:val="39"/>
    <w:unhideWhenUsed/>
    <w:pPr>
      <w:spacing w:after="100"/>
      <w:ind w:left="660"/>
    </w:pPr>
  </w:style>
  <w:style w:type="paragraph" w:styleId="NoSpacing">
    <w:name w:val="No Spacing"/>
    <w:uiPriority w:val="1"/>
    <w:qFormat/>
    <w:pPr>
      <w:spacing w:after="0" w:line="240" w:lineRule="auto"/>
    </w:pPr>
    <w:rPr>
      <w:rFonts w:ascii="Calibri" w:eastAsia="Calibri" w:hAnsi="Calibri" w:cs="Times New Roman"/>
    </w:rPr>
  </w:style>
  <w:style w:type="character" w:styleId="CommentReference">
    <w:name w:val="annotation reference"/>
    <w:uiPriority w:val="99"/>
    <w:semiHidden/>
    <w:unhideWhenUsed/>
    <w:rPr>
      <w:sz w:val="16"/>
      <w:szCs w:val="16"/>
    </w:rPr>
  </w:style>
  <w:style w:type="character" w:customStyle="1" w:styleId="clear">
    <w:name w:val="clear"/>
    <w:basedOn w:val="DefaultParagraphFont"/>
  </w:style>
  <w:style w:type="character" w:styleId="FollowedHyperlink">
    <w:name w:val="FollowedHyperlink"/>
    <w:basedOn w:val="DefaultParagraphFont"/>
    <w:uiPriority w:val="99"/>
    <w:semiHidden/>
    <w:unhideWhenUsed/>
    <w:rPr>
      <w:color w:val="800080" w:themeColor="followedHyperlink"/>
      <w:u w:val="single"/>
    </w:rPr>
  </w:style>
  <w:style w:type="table" w:customStyle="1" w:styleId="TableGrid1">
    <w:name w:val="Table Grid1"/>
    <w:basedOn w:val="TableNormal"/>
    <w:next w:val="TableGrid"/>
    <w:uiPriority w:val="5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3">
    <w:name w:val="Table Grid3"/>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b/>
      <w:sz w:val="32"/>
    </w:rPr>
  </w:style>
  <w:style w:type="character" w:customStyle="1" w:styleId="TOCHeadingChar">
    <w:name w:val="TOC Heading Char"/>
    <w:basedOn w:val="Heading1Char"/>
    <w:link w:val="TOCHeading"/>
    <w:uiPriority w:val="39"/>
    <w:rPr>
      <w:rFonts w:ascii="Cambria" w:eastAsia="Times New Roman" w:hAnsi="Cambria" w:cs="Times New Roman"/>
      <w:b/>
      <w:bCs/>
      <w:color w:val="365F91"/>
      <w:kern w:val="32"/>
      <w:sz w:val="28"/>
      <w:szCs w:val="28"/>
      <w:lang w:val="mt-MT" w:eastAsia="ja-JP"/>
    </w:rPr>
  </w:style>
  <w:style w:type="character" w:customStyle="1" w:styleId="FooterSensitivityChar">
    <w:name w:val="Footer Sensitivity Char"/>
    <w:basedOn w:val="TOCHeadingChar"/>
    <w:link w:val="FooterSensitivity"/>
    <w:rPr>
      <w:rFonts w:ascii="Times New Roman" w:eastAsia="Calibri" w:hAnsi="Times New Roman" w:cs="Times New Roman"/>
      <w:b/>
      <w:bCs w:val="0"/>
      <w:color w:val="365F91"/>
      <w:kern w:val="32"/>
      <w:sz w:val="32"/>
      <w:szCs w:val="28"/>
      <w:lang w:val="mt-MT" w:eastAsia="ja-JP"/>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b/>
      <w:sz w:val="32"/>
    </w:rPr>
  </w:style>
  <w:style w:type="character" w:customStyle="1" w:styleId="HeaderSensitivityChar">
    <w:name w:val="Header Sensitivity Char"/>
    <w:basedOn w:val="TOCHeadingChar"/>
    <w:link w:val="HeaderSensitivity"/>
    <w:rPr>
      <w:rFonts w:ascii="Times New Roman" w:eastAsia="Calibri" w:hAnsi="Times New Roman" w:cs="Times New Roman"/>
      <w:b/>
      <w:bCs w:val="0"/>
      <w:color w:val="365F91"/>
      <w:kern w:val="32"/>
      <w:sz w:val="32"/>
      <w:szCs w:val="28"/>
      <w:lang w:val="mt-MT" w:eastAsia="ja-JP"/>
    </w:rPr>
  </w:style>
  <w:style w:type="table" w:customStyle="1" w:styleId="TableGrid5">
    <w:name w:val="Table Grid5"/>
    <w:basedOn w:val="TableNormal"/>
    <w:next w:val="TableGrid"/>
    <w:uiPriority w:val="5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urityMarking">
    <w:name w:val="SecurityMarking"/>
    <w:basedOn w:val="Normal"/>
    <w:pPr>
      <w:spacing w:after="0"/>
      <w:ind w:left="5103"/>
    </w:pPr>
    <w:rPr>
      <w:rFonts w:ascii="Times New Roman" w:eastAsiaTheme="minorHAnsi" w:hAnsi="Times New Roman"/>
      <w:sz w:val="28"/>
    </w:rPr>
  </w:style>
  <w:style w:type="paragraph" w:customStyle="1" w:styleId="DateMarking">
    <w:name w:val="DateMarking"/>
    <w:basedOn w:val="Normal"/>
    <w:pPr>
      <w:spacing w:after="0"/>
      <w:ind w:left="5103"/>
    </w:pPr>
    <w:rPr>
      <w:rFonts w:ascii="Times New Roman" w:eastAsiaTheme="minorHAnsi" w:hAnsi="Times New Roman"/>
      <w:i/>
      <w:sz w:val="28"/>
    </w:rPr>
  </w:style>
  <w:style w:type="paragraph" w:customStyle="1" w:styleId="ReleasableTo">
    <w:name w:val="ReleasableTo"/>
    <w:basedOn w:val="Normal"/>
    <w:pPr>
      <w:spacing w:after="0"/>
      <w:ind w:left="5103"/>
    </w:pPr>
    <w:rPr>
      <w:rFonts w:ascii="Times New Roman" w:eastAsiaTheme="minorHAnsi" w:hAnsi="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1495">
      <w:bodyDiv w:val="1"/>
      <w:marLeft w:val="0"/>
      <w:marRight w:val="0"/>
      <w:marTop w:val="0"/>
      <w:marBottom w:val="0"/>
      <w:divBdr>
        <w:top w:val="none" w:sz="0" w:space="0" w:color="auto"/>
        <w:left w:val="none" w:sz="0" w:space="0" w:color="auto"/>
        <w:bottom w:val="none" w:sz="0" w:space="0" w:color="auto"/>
        <w:right w:val="none" w:sz="0" w:space="0" w:color="auto"/>
      </w:divBdr>
    </w:div>
    <w:div w:id="93596496">
      <w:bodyDiv w:val="1"/>
      <w:marLeft w:val="0"/>
      <w:marRight w:val="0"/>
      <w:marTop w:val="0"/>
      <w:marBottom w:val="0"/>
      <w:divBdr>
        <w:top w:val="none" w:sz="0" w:space="0" w:color="auto"/>
        <w:left w:val="none" w:sz="0" w:space="0" w:color="auto"/>
        <w:bottom w:val="none" w:sz="0" w:space="0" w:color="auto"/>
        <w:right w:val="none" w:sz="0" w:space="0" w:color="auto"/>
      </w:divBdr>
    </w:div>
    <w:div w:id="133959825">
      <w:bodyDiv w:val="1"/>
      <w:marLeft w:val="0"/>
      <w:marRight w:val="0"/>
      <w:marTop w:val="0"/>
      <w:marBottom w:val="0"/>
      <w:divBdr>
        <w:top w:val="none" w:sz="0" w:space="0" w:color="auto"/>
        <w:left w:val="none" w:sz="0" w:space="0" w:color="auto"/>
        <w:bottom w:val="none" w:sz="0" w:space="0" w:color="auto"/>
        <w:right w:val="none" w:sz="0" w:space="0" w:color="auto"/>
      </w:divBdr>
    </w:div>
    <w:div w:id="255866945">
      <w:bodyDiv w:val="1"/>
      <w:marLeft w:val="0"/>
      <w:marRight w:val="0"/>
      <w:marTop w:val="0"/>
      <w:marBottom w:val="0"/>
      <w:divBdr>
        <w:top w:val="none" w:sz="0" w:space="0" w:color="auto"/>
        <w:left w:val="none" w:sz="0" w:space="0" w:color="auto"/>
        <w:bottom w:val="none" w:sz="0" w:space="0" w:color="auto"/>
        <w:right w:val="none" w:sz="0" w:space="0" w:color="auto"/>
      </w:divBdr>
    </w:div>
    <w:div w:id="275797483">
      <w:bodyDiv w:val="1"/>
      <w:marLeft w:val="0"/>
      <w:marRight w:val="0"/>
      <w:marTop w:val="0"/>
      <w:marBottom w:val="0"/>
      <w:divBdr>
        <w:top w:val="none" w:sz="0" w:space="0" w:color="auto"/>
        <w:left w:val="none" w:sz="0" w:space="0" w:color="auto"/>
        <w:bottom w:val="none" w:sz="0" w:space="0" w:color="auto"/>
        <w:right w:val="none" w:sz="0" w:space="0" w:color="auto"/>
      </w:divBdr>
    </w:div>
    <w:div w:id="290207403">
      <w:bodyDiv w:val="1"/>
      <w:marLeft w:val="0"/>
      <w:marRight w:val="0"/>
      <w:marTop w:val="0"/>
      <w:marBottom w:val="0"/>
      <w:divBdr>
        <w:top w:val="none" w:sz="0" w:space="0" w:color="auto"/>
        <w:left w:val="none" w:sz="0" w:space="0" w:color="auto"/>
        <w:bottom w:val="none" w:sz="0" w:space="0" w:color="auto"/>
        <w:right w:val="none" w:sz="0" w:space="0" w:color="auto"/>
      </w:divBdr>
    </w:div>
    <w:div w:id="364062195">
      <w:bodyDiv w:val="1"/>
      <w:marLeft w:val="0"/>
      <w:marRight w:val="0"/>
      <w:marTop w:val="0"/>
      <w:marBottom w:val="0"/>
      <w:divBdr>
        <w:top w:val="none" w:sz="0" w:space="0" w:color="auto"/>
        <w:left w:val="none" w:sz="0" w:space="0" w:color="auto"/>
        <w:bottom w:val="none" w:sz="0" w:space="0" w:color="auto"/>
        <w:right w:val="none" w:sz="0" w:space="0" w:color="auto"/>
      </w:divBdr>
      <w:divsChild>
        <w:div w:id="1461415837">
          <w:marLeft w:val="0"/>
          <w:marRight w:val="0"/>
          <w:marTop w:val="0"/>
          <w:marBottom w:val="0"/>
          <w:divBdr>
            <w:top w:val="none" w:sz="0" w:space="0" w:color="auto"/>
            <w:left w:val="none" w:sz="0" w:space="0" w:color="auto"/>
            <w:bottom w:val="none" w:sz="0" w:space="0" w:color="auto"/>
            <w:right w:val="none" w:sz="0" w:space="0" w:color="auto"/>
          </w:divBdr>
        </w:div>
      </w:divsChild>
    </w:div>
    <w:div w:id="372270018">
      <w:bodyDiv w:val="1"/>
      <w:marLeft w:val="0"/>
      <w:marRight w:val="0"/>
      <w:marTop w:val="0"/>
      <w:marBottom w:val="0"/>
      <w:divBdr>
        <w:top w:val="none" w:sz="0" w:space="0" w:color="auto"/>
        <w:left w:val="none" w:sz="0" w:space="0" w:color="auto"/>
        <w:bottom w:val="none" w:sz="0" w:space="0" w:color="auto"/>
        <w:right w:val="none" w:sz="0" w:space="0" w:color="auto"/>
      </w:divBdr>
      <w:divsChild>
        <w:div w:id="2046782589">
          <w:marLeft w:val="0"/>
          <w:marRight w:val="0"/>
          <w:marTop w:val="0"/>
          <w:marBottom w:val="0"/>
          <w:divBdr>
            <w:top w:val="none" w:sz="0" w:space="0" w:color="auto"/>
            <w:left w:val="none" w:sz="0" w:space="0" w:color="auto"/>
            <w:bottom w:val="none" w:sz="0" w:space="0" w:color="auto"/>
            <w:right w:val="none" w:sz="0" w:space="0" w:color="auto"/>
          </w:divBdr>
        </w:div>
        <w:div w:id="302003568">
          <w:marLeft w:val="0"/>
          <w:marRight w:val="0"/>
          <w:marTop w:val="0"/>
          <w:marBottom w:val="0"/>
          <w:divBdr>
            <w:top w:val="none" w:sz="0" w:space="0" w:color="auto"/>
            <w:left w:val="none" w:sz="0" w:space="0" w:color="auto"/>
            <w:bottom w:val="none" w:sz="0" w:space="0" w:color="auto"/>
            <w:right w:val="none" w:sz="0" w:space="0" w:color="auto"/>
          </w:divBdr>
        </w:div>
        <w:div w:id="805123812">
          <w:marLeft w:val="0"/>
          <w:marRight w:val="0"/>
          <w:marTop w:val="0"/>
          <w:marBottom w:val="0"/>
          <w:divBdr>
            <w:top w:val="none" w:sz="0" w:space="0" w:color="auto"/>
            <w:left w:val="none" w:sz="0" w:space="0" w:color="auto"/>
            <w:bottom w:val="none" w:sz="0" w:space="0" w:color="auto"/>
            <w:right w:val="none" w:sz="0" w:space="0" w:color="auto"/>
          </w:divBdr>
        </w:div>
        <w:div w:id="1823505275">
          <w:marLeft w:val="0"/>
          <w:marRight w:val="0"/>
          <w:marTop w:val="0"/>
          <w:marBottom w:val="0"/>
          <w:divBdr>
            <w:top w:val="none" w:sz="0" w:space="0" w:color="auto"/>
            <w:left w:val="none" w:sz="0" w:space="0" w:color="auto"/>
            <w:bottom w:val="none" w:sz="0" w:space="0" w:color="auto"/>
            <w:right w:val="none" w:sz="0" w:space="0" w:color="auto"/>
          </w:divBdr>
        </w:div>
        <w:div w:id="975600029">
          <w:marLeft w:val="0"/>
          <w:marRight w:val="0"/>
          <w:marTop w:val="0"/>
          <w:marBottom w:val="0"/>
          <w:divBdr>
            <w:top w:val="none" w:sz="0" w:space="0" w:color="auto"/>
            <w:left w:val="none" w:sz="0" w:space="0" w:color="auto"/>
            <w:bottom w:val="none" w:sz="0" w:space="0" w:color="auto"/>
            <w:right w:val="none" w:sz="0" w:space="0" w:color="auto"/>
          </w:divBdr>
        </w:div>
      </w:divsChild>
    </w:div>
    <w:div w:id="382825163">
      <w:bodyDiv w:val="1"/>
      <w:marLeft w:val="0"/>
      <w:marRight w:val="0"/>
      <w:marTop w:val="0"/>
      <w:marBottom w:val="0"/>
      <w:divBdr>
        <w:top w:val="none" w:sz="0" w:space="0" w:color="auto"/>
        <w:left w:val="none" w:sz="0" w:space="0" w:color="auto"/>
        <w:bottom w:val="none" w:sz="0" w:space="0" w:color="auto"/>
        <w:right w:val="none" w:sz="0" w:space="0" w:color="auto"/>
      </w:divBdr>
      <w:divsChild>
        <w:div w:id="1072195181">
          <w:marLeft w:val="0"/>
          <w:marRight w:val="0"/>
          <w:marTop w:val="0"/>
          <w:marBottom w:val="0"/>
          <w:divBdr>
            <w:top w:val="none" w:sz="0" w:space="0" w:color="auto"/>
            <w:left w:val="none" w:sz="0" w:space="0" w:color="auto"/>
            <w:bottom w:val="none" w:sz="0" w:space="0" w:color="auto"/>
            <w:right w:val="none" w:sz="0" w:space="0" w:color="auto"/>
          </w:divBdr>
          <w:divsChild>
            <w:div w:id="1886259599">
              <w:marLeft w:val="0"/>
              <w:marRight w:val="0"/>
              <w:marTop w:val="0"/>
              <w:marBottom w:val="0"/>
              <w:divBdr>
                <w:top w:val="none" w:sz="0" w:space="0" w:color="auto"/>
                <w:left w:val="none" w:sz="0" w:space="0" w:color="auto"/>
                <w:bottom w:val="none" w:sz="0" w:space="0" w:color="auto"/>
                <w:right w:val="none" w:sz="0" w:space="0" w:color="auto"/>
              </w:divBdr>
              <w:divsChild>
                <w:div w:id="1709329333">
                  <w:marLeft w:val="0"/>
                  <w:marRight w:val="0"/>
                  <w:marTop w:val="0"/>
                  <w:marBottom w:val="0"/>
                  <w:divBdr>
                    <w:top w:val="none" w:sz="0" w:space="0" w:color="auto"/>
                    <w:left w:val="none" w:sz="0" w:space="0" w:color="auto"/>
                    <w:bottom w:val="none" w:sz="0" w:space="0" w:color="auto"/>
                    <w:right w:val="none" w:sz="0" w:space="0" w:color="auto"/>
                  </w:divBdr>
                  <w:divsChild>
                    <w:div w:id="1583679908">
                      <w:marLeft w:val="0"/>
                      <w:marRight w:val="0"/>
                      <w:marTop w:val="0"/>
                      <w:marBottom w:val="0"/>
                      <w:divBdr>
                        <w:top w:val="none" w:sz="0" w:space="0" w:color="auto"/>
                        <w:left w:val="none" w:sz="0" w:space="0" w:color="auto"/>
                        <w:bottom w:val="none" w:sz="0" w:space="0" w:color="auto"/>
                        <w:right w:val="none" w:sz="0" w:space="0" w:color="auto"/>
                      </w:divBdr>
                      <w:divsChild>
                        <w:div w:id="1452434118">
                          <w:marLeft w:val="0"/>
                          <w:marRight w:val="0"/>
                          <w:marTop w:val="0"/>
                          <w:marBottom w:val="0"/>
                          <w:divBdr>
                            <w:top w:val="none" w:sz="0" w:space="0" w:color="auto"/>
                            <w:left w:val="none" w:sz="0" w:space="0" w:color="auto"/>
                            <w:bottom w:val="none" w:sz="0" w:space="0" w:color="auto"/>
                            <w:right w:val="none" w:sz="0" w:space="0" w:color="auto"/>
                          </w:divBdr>
                          <w:divsChild>
                            <w:div w:id="1843818149">
                              <w:marLeft w:val="0"/>
                              <w:marRight w:val="0"/>
                              <w:marTop w:val="0"/>
                              <w:marBottom w:val="0"/>
                              <w:divBdr>
                                <w:top w:val="none" w:sz="0" w:space="0" w:color="auto"/>
                                <w:left w:val="none" w:sz="0" w:space="0" w:color="auto"/>
                                <w:bottom w:val="none" w:sz="0" w:space="0" w:color="auto"/>
                                <w:right w:val="none" w:sz="0" w:space="0" w:color="auto"/>
                              </w:divBdr>
                              <w:divsChild>
                                <w:div w:id="757288114">
                                  <w:marLeft w:val="0"/>
                                  <w:marRight w:val="0"/>
                                  <w:marTop w:val="0"/>
                                  <w:marBottom w:val="0"/>
                                  <w:divBdr>
                                    <w:top w:val="none" w:sz="0" w:space="0" w:color="auto"/>
                                    <w:left w:val="none" w:sz="0" w:space="0" w:color="auto"/>
                                    <w:bottom w:val="none" w:sz="0" w:space="0" w:color="auto"/>
                                    <w:right w:val="none" w:sz="0" w:space="0" w:color="auto"/>
                                  </w:divBdr>
                                  <w:divsChild>
                                    <w:div w:id="79837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711484">
      <w:bodyDiv w:val="1"/>
      <w:marLeft w:val="0"/>
      <w:marRight w:val="0"/>
      <w:marTop w:val="0"/>
      <w:marBottom w:val="0"/>
      <w:divBdr>
        <w:top w:val="none" w:sz="0" w:space="0" w:color="auto"/>
        <w:left w:val="none" w:sz="0" w:space="0" w:color="auto"/>
        <w:bottom w:val="none" w:sz="0" w:space="0" w:color="auto"/>
        <w:right w:val="none" w:sz="0" w:space="0" w:color="auto"/>
      </w:divBdr>
    </w:div>
    <w:div w:id="414322125">
      <w:bodyDiv w:val="1"/>
      <w:marLeft w:val="0"/>
      <w:marRight w:val="0"/>
      <w:marTop w:val="0"/>
      <w:marBottom w:val="0"/>
      <w:divBdr>
        <w:top w:val="none" w:sz="0" w:space="0" w:color="auto"/>
        <w:left w:val="none" w:sz="0" w:space="0" w:color="auto"/>
        <w:bottom w:val="none" w:sz="0" w:space="0" w:color="auto"/>
        <w:right w:val="none" w:sz="0" w:space="0" w:color="auto"/>
      </w:divBdr>
    </w:div>
    <w:div w:id="414471705">
      <w:bodyDiv w:val="1"/>
      <w:marLeft w:val="0"/>
      <w:marRight w:val="0"/>
      <w:marTop w:val="0"/>
      <w:marBottom w:val="0"/>
      <w:divBdr>
        <w:top w:val="none" w:sz="0" w:space="0" w:color="auto"/>
        <w:left w:val="none" w:sz="0" w:space="0" w:color="auto"/>
        <w:bottom w:val="none" w:sz="0" w:space="0" w:color="auto"/>
        <w:right w:val="none" w:sz="0" w:space="0" w:color="auto"/>
      </w:divBdr>
    </w:div>
    <w:div w:id="457072976">
      <w:bodyDiv w:val="1"/>
      <w:marLeft w:val="0"/>
      <w:marRight w:val="0"/>
      <w:marTop w:val="0"/>
      <w:marBottom w:val="0"/>
      <w:divBdr>
        <w:top w:val="none" w:sz="0" w:space="0" w:color="auto"/>
        <w:left w:val="none" w:sz="0" w:space="0" w:color="auto"/>
        <w:bottom w:val="none" w:sz="0" w:space="0" w:color="auto"/>
        <w:right w:val="none" w:sz="0" w:space="0" w:color="auto"/>
      </w:divBdr>
    </w:div>
    <w:div w:id="484980193">
      <w:bodyDiv w:val="1"/>
      <w:marLeft w:val="0"/>
      <w:marRight w:val="0"/>
      <w:marTop w:val="0"/>
      <w:marBottom w:val="0"/>
      <w:divBdr>
        <w:top w:val="none" w:sz="0" w:space="0" w:color="auto"/>
        <w:left w:val="none" w:sz="0" w:space="0" w:color="auto"/>
        <w:bottom w:val="none" w:sz="0" w:space="0" w:color="auto"/>
        <w:right w:val="none" w:sz="0" w:space="0" w:color="auto"/>
      </w:divBdr>
    </w:div>
    <w:div w:id="503974906">
      <w:bodyDiv w:val="1"/>
      <w:marLeft w:val="0"/>
      <w:marRight w:val="0"/>
      <w:marTop w:val="0"/>
      <w:marBottom w:val="0"/>
      <w:divBdr>
        <w:top w:val="none" w:sz="0" w:space="0" w:color="auto"/>
        <w:left w:val="none" w:sz="0" w:space="0" w:color="auto"/>
        <w:bottom w:val="none" w:sz="0" w:space="0" w:color="auto"/>
        <w:right w:val="none" w:sz="0" w:space="0" w:color="auto"/>
      </w:divBdr>
    </w:div>
    <w:div w:id="653223400">
      <w:bodyDiv w:val="1"/>
      <w:marLeft w:val="0"/>
      <w:marRight w:val="0"/>
      <w:marTop w:val="0"/>
      <w:marBottom w:val="0"/>
      <w:divBdr>
        <w:top w:val="none" w:sz="0" w:space="0" w:color="auto"/>
        <w:left w:val="none" w:sz="0" w:space="0" w:color="auto"/>
        <w:bottom w:val="none" w:sz="0" w:space="0" w:color="auto"/>
        <w:right w:val="none" w:sz="0" w:space="0" w:color="auto"/>
      </w:divBdr>
    </w:div>
    <w:div w:id="690716501">
      <w:bodyDiv w:val="1"/>
      <w:marLeft w:val="0"/>
      <w:marRight w:val="0"/>
      <w:marTop w:val="0"/>
      <w:marBottom w:val="0"/>
      <w:divBdr>
        <w:top w:val="none" w:sz="0" w:space="0" w:color="auto"/>
        <w:left w:val="none" w:sz="0" w:space="0" w:color="auto"/>
        <w:bottom w:val="none" w:sz="0" w:space="0" w:color="auto"/>
        <w:right w:val="none" w:sz="0" w:space="0" w:color="auto"/>
      </w:divBdr>
    </w:div>
    <w:div w:id="752094506">
      <w:bodyDiv w:val="1"/>
      <w:marLeft w:val="0"/>
      <w:marRight w:val="0"/>
      <w:marTop w:val="0"/>
      <w:marBottom w:val="0"/>
      <w:divBdr>
        <w:top w:val="none" w:sz="0" w:space="0" w:color="auto"/>
        <w:left w:val="none" w:sz="0" w:space="0" w:color="auto"/>
        <w:bottom w:val="none" w:sz="0" w:space="0" w:color="auto"/>
        <w:right w:val="none" w:sz="0" w:space="0" w:color="auto"/>
      </w:divBdr>
    </w:div>
    <w:div w:id="786779991">
      <w:bodyDiv w:val="1"/>
      <w:marLeft w:val="0"/>
      <w:marRight w:val="0"/>
      <w:marTop w:val="0"/>
      <w:marBottom w:val="0"/>
      <w:divBdr>
        <w:top w:val="none" w:sz="0" w:space="0" w:color="auto"/>
        <w:left w:val="none" w:sz="0" w:space="0" w:color="auto"/>
        <w:bottom w:val="none" w:sz="0" w:space="0" w:color="auto"/>
        <w:right w:val="none" w:sz="0" w:space="0" w:color="auto"/>
      </w:divBdr>
    </w:div>
    <w:div w:id="797643879">
      <w:bodyDiv w:val="1"/>
      <w:marLeft w:val="0"/>
      <w:marRight w:val="0"/>
      <w:marTop w:val="0"/>
      <w:marBottom w:val="0"/>
      <w:divBdr>
        <w:top w:val="none" w:sz="0" w:space="0" w:color="auto"/>
        <w:left w:val="none" w:sz="0" w:space="0" w:color="auto"/>
        <w:bottom w:val="none" w:sz="0" w:space="0" w:color="auto"/>
        <w:right w:val="none" w:sz="0" w:space="0" w:color="auto"/>
      </w:divBdr>
    </w:div>
    <w:div w:id="942765932">
      <w:bodyDiv w:val="1"/>
      <w:marLeft w:val="0"/>
      <w:marRight w:val="0"/>
      <w:marTop w:val="0"/>
      <w:marBottom w:val="0"/>
      <w:divBdr>
        <w:top w:val="none" w:sz="0" w:space="0" w:color="auto"/>
        <w:left w:val="none" w:sz="0" w:space="0" w:color="auto"/>
        <w:bottom w:val="none" w:sz="0" w:space="0" w:color="auto"/>
        <w:right w:val="none" w:sz="0" w:space="0" w:color="auto"/>
      </w:divBdr>
    </w:div>
    <w:div w:id="946347997">
      <w:bodyDiv w:val="1"/>
      <w:marLeft w:val="0"/>
      <w:marRight w:val="0"/>
      <w:marTop w:val="0"/>
      <w:marBottom w:val="0"/>
      <w:divBdr>
        <w:top w:val="none" w:sz="0" w:space="0" w:color="auto"/>
        <w:left w:val="none" w:sz="0" w:space="0" w:color="auto"/>
        <w:bottom w:val="none" w:sz="0" w:space="0" w:color="auto"/>
        <w:right w:val="none" w:sz="0" w:space="0" w:color="auto"/>
      </w:divBdr>
    </w:div>
    <w:div w:id="1109006879">
      <w:bodyDiv w:val="1"/>
      <w:marLeft w:val="0"/>
      <w:marRight w:val="0"/>
      <w:marTop w:val="0"/>
      <w:marBottom w:val="0"/>
      <w:divBdr>
        <w:top w:val="none" w:sz="0" w:space="0" w:color="auto"/>
        <w:left w:val="none" w:sz="0" w:space="0" w:color="auto"/>
        <w:bottom w:val="none" w:sz="0" w:space="0" w:color="auto"/>
        <w:right w:val="none" w:sz="0" w:space="0" w:color="auto"/>
      </w:divBdr>
    </w:div>
    <w:div w:id="1168448656">
      <w:bodyDiv w:val="1"/>
      <w:marLeft w:val="0"/>
      <w:marRight w:val="0"/>
      <w:marTop w:val="0"/>
      <w:marBottom w:val="0"/>
      <w:divBdr>
        <w:top w:val="none" w:sz="0" w:space="0" w:color="auto"/>
        <w:left w:val="none" w:sz="0" w:space="0" w:color="auto"/>
        <w:bottom w:val="none" w:sz="0" w:space="0" w:color="auto"/>
        <w:right w:val="none" w:sz="0" w:space="0" w:color="auto"/>
      </w:divBdr>
    </w:div>
    <w:div w:id="1230732294">
      <w:bodyDiv w:val="1"/>
      <w:marLeft w:val="0"/>
      <w:marRight w:val="0"/>
      <w:marTop w:val="0"/>
      <w:marBottom w:val="0"/>
      <w:divBdr>
        <w:top w:val="none" w:sz="0" w:space="0" w:color="auto"/>
        <w:left w:val="none" w:sz="0" w:space="0" w:color="auto"/>
        <w:bottom w:val="none" w:sz="0" w:space="0" w:color="auto"/>
        <w:right w:val="none" w:sz="0" w:space="0" w:color="auto"/>
      </w:divBdr>
    </w:div>
    <w:div w:id="1268191800">
      <w:bodyDiv w:val="1"/>
      <w:marLeft w:val="0"/>
      <w:marRight w:val="0"/>
      <w:marTop w:val="0"/>
      <w:marBottom w:val="0"/>
      <w:divBdr>
        <w:top w:val="none" w:sz="0" w:space="0" w:color="auto"/>
        <w:left w:val="none" w:sz="0" w:space="0" w:color="auto"/>
        <w:bottom w:val="none" w:sz="0" w:space="0" w:color="auto"/>
        <w:right w:val="none" w:sz="0" w:space="0" w:color="auto"/>
      </w:divBdr>
    </w:div>
    <w:div w:id="1344358518">
      <w:bodyDiv w:val="1"/>
      <w:marLeft w:val="0"/>
      <w:marRight w:val="0"/>
      <w:marTop w:val="0"/>
      <w:marBottom w:val="0"/>
      <w:divBdr>
        <w:top w:val="none" w:sz="0" w:space="0" w:color="auto"/>
        <w:left w:val="none" w:sz="0" w:space="0" w:color="auto"/>
        <w:bottom w:val="none" w:sz="0" w:space="0" w:color="auto"/>
        <w:right w:val="none" w:sz="0" w:space="0" w:color="auto"/>
      </w:divBdr>
    </w:div>
    <w:div w:id="1436095905">
      <w:bodyDiv w:val="1"/>
      <w:marLeft w:val="0"/>
      <w:marRight w:val="0"/>
      <w:marTop w:val="0"/>
      <w:marBottom w:val="0"/>
      <w:divBdr>
        <w:top w:val="none" w:sz="0" w:space="0" w:color="auto"/>
        <w:left w:val="none" w:sz="0" w:space="0" w:color="auto"/>
        <w:bottom w:val="none" w:sz="0" w:space="0" w:color="auto"/>
        <w:right w:val="none" w:sz="0" w:space="0" w:color="auto"/>
      </w:divBdr>
    </w:div>
    <w:div w:id="1444837507">
      <w:bodyDiv w:val="1"/>
      <w:marLeft w:val="0"/>
      <w:marRight w:val="0"/>
      <w:marTop w:val="0"/>
      <w:marBottom w:val="0"/>
      <w:divBdr>
        <w:top w:val="none" w:sz="0" w:space="0" w:color="auto"/>
        <w:left w:val="none" w:sz="0" w:space="0" w:color="auto"/>
        <w:bottom w:val="none" w:sz="0" w:space="0" w:color="auto"/>
        <w:right w:val="none" w:sz="0" w:space="0" w:color="auto"/>
      </w:divBdr>
    </w:div>
    <w:div w:id="1589078938">
      <w:bodyDiv w:val="1"/>
      <w:marLeft w:val="0"/>
      <w:marRight w:val="0"/>
      <w:marTop w:val="0"/>
      <w:marBottom w:val="0"/>
      <w:divBdr>
        <w:top w:val="none" w:sz="0" w:space="0" w:color="auto"/>
        <w:left w:val="none" w:sz="0" w:space="0" w:color="auto"/>
        <w:bottom w:val="none" w:sz="0" w:space="0" w:color="auto"/>
        <w:right w:val="none" w:sz="0" w:space="0" w:color="auto"/>
      </w:divBdr>
    </w:div>
    <w:div w:id="1713337364">
      <w:bodyDiv w:val="1"/>
      <w:marLeft w:val="0"/>
      <w:marRight w:val="0"/>
      <w:marTop w:val="0"/>
      <w:marBottom w:val="0"/>
      <w:divBdr>
        <w:top w:val="none" w:sz="0" w:space="0" w:color="auto"/>
        <w:left w:val="none" w:sz="0" w:space="0" w:color="auto"/>
        <w:bottom w:val="none" w:sz="0" w:space="0" w:color="auto"/>
        <w:right w:val="none" w:sz="0" w:space="0" w:color="auto"/>
      </w:divBdr>
    </w:div>
    <w:div w:id="1733575401">
      <w:bodyDiv w:val="1"/>
      <w:marLeft w:val="0"/>
      <w:marRight w:val="0"/>
      <w:marTop w:val="0"/>
      <w:marBottom w:val="0"/>
      <w:divBdr>
        <w:top w:val="none" w:sz="0" w:space="0" w:color="auto"/>
        <w:left w:val="none" w:sz="0" w:space="0" w:color="auto"/>
        <w:bottom w:val="none" w:sz="0" w:space="0" w:color="auto"/>
        <w:right w:val="none" w:sz="0" w:space="0" w:color="auto"/>
      </w:divBdr>
    </w:div>
    <w:div w:id="1739478285">
      <w:bodyDiv w:val="1"/>
      <w:marLeft w:val="0"/>
      <w:marRight w:val="0"/>
      <w:marTop w:val="0"/>
      <w:marBottom w:val="0"/>
      <w:divBdr>
        <w:top w:val="none" w:sz="0" w:space="0" w:color="auto"/>
        <w:left w:val="none" w:sz="0" w:space="0" w:color="auto"/>
        <w:bottom w:val="none" w:sz="0" w:space="0" w:color="auto"/>
        <w:right w:val="none" w:sz="0" w:space="0" w:color="auto"/>
      </w:divBdr>
    </w:div>
    <w:div w:id="1745953170">
      <w:bodyDiv w:val="1"/>
      <w:marLeft w:val="0"/>
      <w:marRight w:val="0"/>
      <w:marTop w:val="0"/>
      <w:marBottom w:val="0"/>
      <w:divBdr>
        <w:top w:val="none" w:sz="0" w:space="0" w:color="auto"/>
        <w:left w:val="none" w:sz="0" w:space="0" w:color="auto"/>
        <w:bottom w:val="none" w:sz="0" w:space="0" w:color="auto"/>
        <w:right w:val="none" w:sz="0" w:space="0" w:color="auto"/>
      </w:divBdr>
    </w:div>
    <w:div w:id="1765101787">
      <w:bodyDiv w:val="1"/>
      <w:marLeft w:val="0"/>
      <w:marRight w:val="0"/>
      <w:marTop w:val="0"/>
      <w:marBottom w:val="0"/>
      <w:divBdr>
        <w:top w:val="none" w:sz="0" w:space="0" w:color="auto"/>
        <w:left w:val="none" w:sz="0" w:space="0" w:color="auto"/>
        <w:bottom w:val="none" w:sz="0" w:space="0" w:color="auto"/>
        <w:right w:val="none" w:sz="0" w:space="0" w:color="auto"/>
      </w:divBdr>
    </w:div>
    <w:div w:id="1765104420">
      <w:bodyDiv w:val="1"/>
      <w:marLeft w:val="0"/>
      <w:marRight w:val="0"/>
      <w:marTop w:val="0"/>
      <w:marBottom w:val="0"/>
      <w:divBdr>
        <w:top w:val="none" w:sz="0" w:space="0" w:color="auto"/>
        <w:left w:val="none" w:sz="0" w:space="0" w:color="auto"/>
        <w:bottom w:val="none" w:sz="0" w:space="0" w:color="auto"/>
        <w:right w:val="none" w:sz="0" w:space="0" w:color="auto"/>
      </w:divBdr>
    </w:div>
    <w:div w:id="1793939123">
      <w:bodyDiv w:val="1"/>
      <w:marLeft w:val="0"/>
      <w:marRight w:val="0"/>
      <w:marTop w:val="0"/>
      <w:marBottom w:val="0"/>
      <w:divBdr>
        <w:top w:val="none" w:sz="0" w:space="0" w:color="auto"/>
        <w:left w:val="none" w:sz="0" w:space="0" w:color="auto"/>
        <w:bottom w:val="none" w:sz="0" w:space="0" w:color="auto"/>
        <w:right w:val="none" w:sz="0" w:space="0" w:color="auto"/>
      </w:divBdr>
    </w:div>
    <w:div w:id="1841188378">
      <w:bodyDiv w:val="1"/>
      <w:marLeft w:val="0"/>
      <w:marRight w:val="0"/>
      <w:marTop w:val="0"/>
      <w:marBottom w:val="0"/>
      <w:divBdr>
        <w:top w:val="none" w:sz="0" w:space="0" w:color="auto"/>
        <w:left w:val="none" w:sz="0" w:space="0" w:color="auto"/>
        <w:bottom w:val="none" w:sz="0" w:space="0" w:color="auto"/>
        <w:right w:val="none" w:sz="0" w:space="0" w:color="auto"/>
      </w:divBdr>
    </w:div>
    <w:div w:id="1859201110">
      <w:bodyDiv w:val="1"/>
      <w:marLeft w:val="0"/>
      <w:marRight w:val="0"/>
      <w:marTop w:val="0"/>
      <w:marBottom w:val="0"/>
      <w:divBdr>
        <w:top w:val="none" w:sz="0" w:space="0" w:color="auto"/>
        <w:left w:val="none" w:sz="0" w:space="0" w:color="auto"/>
        <w:bottom w:val="none" w:sz="0" w:space="0" w:color="auto"/>
        <w:right w:val="none" w:sz="0" w:space="0" w:color="auto"/>
      </w:divBdr>
      <w:divsChild>
        <w:div w:id="1262105219">
          <w:marLeft w:val="0"/>
          <w:marRight w:val="0"/>
          <w:marTop w:val="0"/>
          <w:marBottom w:val="0"/>
          <w:divBdr>
            <w:top w:val="none" w:sz="0" w:space="0" w:color="auto"/>
            <w:left w:val="none" w:sz="0" w:space="0" w:color="auto"/>
            <w:bottom w:val="none" w:sz="0" w:space="0" w:color="auto"/>
            <w:right w:val="none" w:sz="0" w:space="0" w:color="auto"/>
          </w:divBdr>
          <w:divsChild>
            <w:div w:id="1047146044">
              <w:marLeft w:val="0"/>
              <w:marRight w:val="0"/>
              <w:marTop w:val="0"/>
              <w:marBottom w:val="0"/>
              <w:divBdr>
                <w:top w:val="none" w:sz="0" w:space="0" w:color="auto"/>
                <w:left w:val="none" w:sz="0" w:space="0" w:color="auto"/>
                <w:bottom w:val="none" w:sz="0" w:space="0" w:color="auto"/>
                <w:right w:val="none" w:sz="0" w:space="0" w:color="auto"/>
              </w:divBdr>
              <w:divsChild>
                <w:div w:id="809054003">
                  <w:marLeft w:val="0"/>
                  <w:marRight w:val="0"/>
                  <w:marTop w:val="0"/>
                  <w:marBottom w:val="0"/>
                  <w:divBdr>
                    <w:top w:val="none" w:sz="0" w:space="0" w:color="auto"/>
                    <w:left w:val="none" w:sz="0" w:space="0" w:color="auto"/>
                    <w:bottom w:val="none" w:sz="0" w:space="0" w:color="auto"/>
                    <w:right w:val="none" w:sz="0" w:space="0" w:color="auto"/>
                  </w:divBdr>
                  <w:divsChild>
                    <w:div w:id="1645574807">
                      <w:marLeft w:val="0"/>
                      <w:marRight w:val="0"/>
                      <w:marTop w:val="0"/>
                      <w:marBottom w:val="0"/>
                      <w:divBdr>
                        <w:top w:val="none" w:sz="0" w:space="0" w:color="auto"/>
                        <w:left w:val="none" w:sz="0" w:space="0" w:color="auto"/>
                        <w:bottom w:val="none" w:sz="0" w:space="0" w:color="auto"/>
                        <w:right w:val="none" w:sz="0" w:space="0" w:color="auto"/>
                      </w:divBdr>
                      <w:divsChild>
                        <w:div w:id="980187837">
                          <w:marLeft w:val="0"/>
                          <w:marRight w:val="0"/>
                          <w:marTop w:val="0"/>
                          <w:marBottom w:val="0"/>
                          <w:divBdr>
                            <w:top w:val="none" w:sz="0" w:space="0" w:color="auto"/>
                            <w:left w:val="none" w:sz="0" w:space="0" w:color="auto"/>
                            <w:bottom w:val="none" w:sz="0" w:space="0" w:color="auto"/>
                            <w:right w:val="none" w:sz="0" w:space="0" w:color="auto"/>
                          </w:divBdr>
                          <w:divsChild>
                            <w:div w:id="600185095">
                              <w:marLeft w:val="0"/>
                              <w:marRight w:val="0"/>
                              <w:marTop w:val="0"/>
                              <w:marBottom w:val="0"/>
                              <w:divBdr>
                                <w:top w:val="none" w:sz="0" w:space="0" w:color="auto"/>
                                <w:left w:val="none" w:sz="0" w:space="0" w:color="auto"/>
                                <w:bottom w:val="none" w:sz="0" w:space="0" w:color="auto"/>
                                <w:right w:val="none" w:sz="0" w:space="0" w:color="auto"/>
                              </w:divBdr>
                              <w:divsChild>
                                <w:div w:id="421731457">
                                  <w:marLeft w:val="0"/>
                                  <w:marRight w:val="0"/>
                                  <w:marTop w:val="0"/>
                                  <w:marBottom w:val="0"/>
                                  <w:divBdr>
                                    <w:top w:val="none" w:sz="0" w:space="0" w:color="auto"/>
                                    <w:left w:val="none" w:sz="0" w:space="0" w:color="auto"/>
                                    <w:bottom w:val="none" w:sz="0" w:space="0" w:color="auto"/>
                                    <w:right w:val="none" w:sz="0" w:space="0" w:color="auto"/>
                                  </w:divBdr>
                                  <w:divsChild>
                                    <w:div w:id="1216620166">
                                      <w:marLeft w:val="0"/>
                                      <w:marRight w:val="0"/>
                                      <w:marTop w:val="0"/>
                                      <w:marBottom w:val="0"/>
                                      <w:divBdr>
                                        <w:top w:val="none" w:sz="0" w:space="0" w:color="auto"/>
                                        <w:left w:val="none" w:sz="0" w:space="0" w:color="auto"/>
                                        <w:bottom w:val="none" w:sz="0" w:space="0" w:color="auto"/>
                                        <w:right w:val="none" w:sz="0" w:space="0" w:color="auto"/>
                                      </w:divBdr>
                                    </w:div>
                                    <w:div w:id="1953970728">
                                      <w:marLeft w:val="0"/>
                                      <w:marRight w:val="0"/>
                                      <w:marTop w:val="0"/>
                                      <w:marBottom w:val="0"/>
                                      <w:divBdr>
                                        <w:top w:val="none" w:sz="0" w:space="0" w:color="auto"/>
                                        <w:left w:val="none" w:sz="0" w:space="0" w:color="auto"/>
                                        <w:bottom w:val="none" w:sz="0" w:space="0" w:color="auto"/>
                                        <w:right w:val="none" w:sz="0" w:space="0" w:color="auto"/>
                                      </w:divBdr>
                                      <w:divsChild>
                                        <w:div w:id="10985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1644609">
      <w:bodyDiv w:val="1"/>
      <w:marLeft w:val="0"/>
      <w:marRight w:val="0"/>
      <w:marTop w:val="0"/>
      <w:marBottom w:val="0"/>
      <w:divBdr>
        <w:top w:val="none" w:sz="0" w:space="0" w:color="auto"/>
        <w:left w:val="none" w:sz="0" w:space="0" w:color="auto"/>
        <w:bottom w:val="none" w:sz="0" w:space="0" w:color="auto"/>
        <w:right w:val="none" w:sz="0" w:space="0" w:color="auto"/>
      </w:divBdr>
    </w:div>
    <w:div w:id="2001808309">
      <w:bodyDiv w:val="1"/>
      <w:marLeft w:val="0"/>
      <w:marRight w:val="0"/>
      <w:marTop w:val="0"/>
      <w:marBottom w:val="0"/>
      <w:divBdr>
        <w:top w:val="none" w:sz="0" w:space="0" w:color="auto"/>
        <w:left w:val="none" w:sz="0" w:space="0" w:color="auto"/>
        <w:bottom w:val="none" w:sz="0" w:space="0" w:color="auto"/>
        <w:right w:val="none" w:sz="0" w:space="0" w:color="auto"/>
      </w:divBdr>
    </w:div>
    <w:div w:id="2016879733">
      <w:bodyDiv w:val="1"/>
      <w:marLeft w:val="0"/>
      <w:marRight w:val="0"/>
      <w:marTop w:val="0"/>
      <w:marBottom w:val="0"/>
      <w:divBdr>
        <w:top w:val="none" w:sz="0" w:space="0" w:color="auto"/>
        <w:left w:val="none" w:sz="0" w:space="0" w:color="auto"/>
        <w:bottom w:val="none" w:sz="0" w:space="0" w:color="auto"/>
        <w:right w:val="none" w:sz="0" w:space="0" w:color="auto"/>
      </w:divBdr>
    </w:div>
    <w:div w:id="2020963727">
      <w:bodyDiv w:val="1"/>
      <w:marLeft w:val="0"/>
      <w:marRight w:val="0"/>
      <w:marTop w:val="0"/>
      <w:marBottom w:val="0"/>
      <w:divBdr>
        <w:top w:val="none" w:sz="0" w:space="0" w:color="auto"/>
        <w:left w:val="none" w:sz="0" w:space="0" w:color="auto"/>
        <w:bottom w:val="none" w:sz="0" w:space="0" w:color="auto"/>
        <w:right w:val="none" w:sz="0" w:space="0" w:color="auto"/>
      </w:divBdr>
    </w:div>
    <w:div w:id="2024278107">
      <w:bodyDiv w:val="1"/>
      <w:marLeft w:val="0"/>
      <w:marRight w:val="0"/>
      <w:marTop w:val="0"/>
      <w:marBottom w:val="0"/>
      <w:divBdr>
        <w:top w:val="none" w:sz="0" w:space="0" w:color="auto"/>
        <w:left w:val="none" w:sz="0" w:space="0" w:color="auto"/>
        <w:bottom w:val="none" w:sz="0" w:space="0" w:color="auto"/>
        <w:right w:val="none" w:sz="0" w:space="0" w:color="auto"/>
      </w:divBdr>
    </w:div>
    <w:div w:id="2098013947">
      <w:bodyDiv w:val="1"/>
      <w:marLeft w:val="0"/>
      <w:marRight w:val="0"/>
      <w:marTop w:val="0"/>
      <w:marBottom w:val="0"/>
      <w:divBdr>
        <w:top w:val="none" w:sz="0" w:space="0" w:color="auto"/>
        <w:left w:val="none" w:sz="0" w:space="0" w:color="auto"/>
        <w:bottom w:val="none" w:sz="0" w:space="0" w:color="auto"/>
        <w:right w:val="none" w:sz="0" w:space="0" w:color="auto"/>
      </w:divBdr>
    </w:div>
    <w:div w:id="212075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hyperlink" Target="https://ec.europa.eu/clima/sites/clima/files/ets/reform/docs/c_2020_2835_en.pdf" TargetMode="Externa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header" Target="header6.xml"/><Relationship Id="rId42" Type="http://schemas.openxmlformats.org/officeDocument/2006/relationships/header" Target="header10.xml"/><Relationship Id="rId47" Type="http://schemas.openxmlformats.org/officeDocument/2006/relationships/footer" Target="footer12.xml"/><Relationship Id="rId50"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ec.europa.eu/clima/policies/ets/pre2013_en" TargetMode="External"/><Relationship Id="rId25" Type="http://schemas.openxmlformats.org/officeDocument/2006/relationships/chart" Target="charts/chart3.xml"/><Relationship Id="rId33" Type="http://schemas.openxmlformats.org/officeDocument/2006/relationships/footer" Target="footer5.xml"/><Relationship Id="rId38" Type="http://schemas.openxmlformats.org/officeDocument/2006/relationships/footer" Target="footer7.xml"/><Relationship Id="rId46"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https://ec.europa.eu/clima/policies/ets/pre2013_en" TargetMode="External"/><Relationship Id="rId20" Type="http://schemas.openxmlformats.org/officeDocument/2006/relationships/hyperlink" Target="http://eur-lex.europa.eu/legal-content/MT/ALL/?uri=CELEX:32014D0746" TargetMode="External"/><Relationship Id="rId29" Type="http://schemas.openxmlformats.org/officeDocument/2006/relationships/chart" Target="charts/chart5.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ec.europa.eu/info/funding-tenders/opportunities/portal/screen/programmes/if" TargetMode="External"/><Relationship Id="rId32" Type="http://schemas.openxmlformats.org/officeDocument/2006/relationships/footer" Target="footer4.xml"/><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hart" Target="charts/chart2.xml"/><Relationship Id="rId28" Type="http://schemas.openxmlformats.org/officeDocument/2006/relationships/chart" Target="charts/chart4.xml"/><Relationship Id="rId36" Type="http://schemas.openxmlformats.org/officeDocument/2006/relationships/header" Target="header7.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eur-lex.europa.eu/legal-content/MT/ALL/?uri=CELEX:32014D0746" TargetMode="External"/><Relationship Id="rId31" Type="http://schemas.openxmlformats.org/officeDocument/2006/relationships/header" Target="header5.xml"/><Relationship Id="rId44"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chart" Target="charts/chart1.xml"/><Relationship Id="rId27" Type="http://schemas.openxmlformats.org/officeDocument/2006/relationships/hyperlink" Target="https://ec.europa.eu/clima/sites/clima/files/ets/reform/docs/c_2020_2835_en.pdf" TargetMode="External"/><Relationship Id="rId30" Type="http://schemas.openxmlformats.org/officeDocument/2006/relationships/header" Target="header4.xml"/><Relationship Id="rId35" Type="http://schemas.openxmlformats.org/officeDocument/2006/relationships/footer" Target="footer6.xml"/><Relationship Id="rId43" Type="http://schemas.openxmlformats.org/officeDocument/2006/relationships/header" Target="header11.xm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etendering.ted.europa.eu/cft/cft-display.html?cftId=6456" TargetMode="External"/><Relationship Id="rId13" Type="http://schemas.openxmlformats.org/officeDocument/2006/relationships/hyperlink" Target="https://ec.europa.eu/competition/elojade/isef/case_details.cfm?proc_code=3_SA_56403" TargetMode="External"/><Relationship Id="rId18" Type="http://schemas.openxmlformats.org/officeDocument/2006/relationships/hyperlink" Target="https://eur-lex.europa.eu/legal-content/MT/TXT/?uri=CELEX:32018D2027" TargetMode="External"/><Relationship Id="rId3" Type="http://schemas.openxmlformats.org/officeDocument/2006/relationships/hyperlink" Target="https://ec.europa.eu/clima/sites/clima/files/ets/markets/docs/decision_201902_swiss_ets_linking.pdf" TargetMode="External"/><Relationship Id="rId21" Type="http://schemas.openxmlformats.org/officeDocument/2006/relationships/hyperlink" Target="https://eur-lex.europa.eu/legal-content/MT/TXT/?uri=CELEX:52019DC0557R(01)" TargetMode="External"/><Relationship Id="rId7" Type="http://schemas.openxmlformats.org/officeDocument/2006/relationships/hyperlink" Target="http://ec.europa.eu/clima/policies/ets/auctioning/documentation_en.htm" TargetMode="External"/><Relationship Id="rId12" Type="http://schemas.openxmlformats.org/officeDocument/2006/relationships/hyperlink" Target="https://ec.europa.eu/competition/elojade/isef/case_details.cfm?proc_code=3_SA_53850" TargetMode="External"/><Relationship Id="rId17" Type="http://schemas.openxmlformats.org/officeDocument/2006/relationships/hyperlink" Target="https://www.icao.int/environmental-protection/CORSIA/Pages/SARPs-Annex-16-Volume-IV.aspx" TargetMode="External"/><Relationship Id="rId2" Type="http://schemas.openxmlformats.org/officeDocument/2006/relationships/hyperlink" Target="https://ec.europa.eu/clima/sites/clima/files/ets/reform/docs/c_2020_2835_en.pdf" TargetMode="External"/><Relationship Id="rId16" Type="http://schemas.openxmlformats.org/officeDocument/2006/relationships/hyperlink" Target="https://ec.europa.eu/clima/sites/clima/files/ets/reform/docs/c_2020_2835_en.pdf" TargetMode="External"/><Relationship Id="rId20" Type="http://schemas.openxmlformats.org/officeDocument/2006/relationships/hyperlink" Target="https://ec.europa.eu/info/law/better-regulation/have-your-say/initiatives/12494-Revision-of-the-EU-Emission-Trading-System-Directive-concerning-aviation-" TargetMode="External"/><Relationship Id="rId1" Type="http://schemas.openxmlformats.org/officeDocument/2006/relationships/hyperlink" Target="https://eur-lex.europa.eu/legal-content/MT/TXT/?uri=CELEX:52019DC0557R(01)" TargetMode="External"/><Relationship Id="rId6" Type="http://schemas.openxmlformats.org/officeDocument/2006/relationships/hyperlink" Target="https://eur-lex.europa.eu/legal-content/EN/TXT/?uri=uriserv:OJ.L.2019.282.01.0020.01.ENG" TargetMode="External"/><Relationship Id="rId11" Type="http://schemas.openxmlformats.org/officeDocument/2006/relationships/hyperlink" Target="https://eur-lex.europa.eu/legal-content/MT/ALL/?uri=CELEX:32020R1001" TargetMode="External"/><Relationship Id="rId5" Type="http://schemas.openxmlformats.org/officeDocument/2006/relationships/hyperlink" Target="https://eur-lex.europa.eu/legal-content/MT/TXT/PDF/?uri=OJ:L:2019:059:FULL&amp;from=MT" TargetMode="External"/><Relationship Id="rId15" Type="http://schemas.openxmlformats.org/officeDocument/2006/relationships/hyperlink" Target="https://eur-lex.europa.eu/legal-content/MT/TXT/HTML/?uri=CELEX:32018L0410&amp;from=MT" TargetMode="External"/><Relationship Id="rId23" Type="http://schemas.openxmlformats.org/officeDocument/2006/relationships/hyperlink" Target="https://ec.europa.eu/clima/sites/clima/files/ets/reform/docs/c_2019_3288_en.pdf" TargetMode="External"/><Relationship Id="rId10" Type="http://schemas.openxmlformats.org/officeDocument/2006/relationships/hyperlink" Target="https://ec.europa.eu/info/funding-tenders/opportunities/portal/screen/home" TargetMode="External"/><Relationship Id="rId19" Type="http://schemas.openxmlformats.org/officeDocument/2006/relationships/hyperlink" Target="https://eur-lex.europa.eu/legal-content/MT/TXT/HTML/?uri=CELEX:32017R2392&amp;from=MT" TargetMode="External"/><Relationship Id="rId4" Type="http://schemas.openxmlformats.org/officeDocument/2006/relationships/hyperlink" Target="https://eur-lex.europa.eu/legal-content/MT/TXT/PDF/?uri=OJ:L:2019:120:FULL&amp;from=MT" TargetMode="External"/><Relationship Id="rId9" Type="http://schemas.openxmlformats.org/officeDocument/2006/relationships/hyperlink" Target="https://ec.europa.eu/info/funding-tenders/opportunities/portal/screen/opportunities/topic-details/innovfund-lsc-2020-two-stage" TargetMode="External"/><Relationship Id="rId14" Type="http://schemas.openxmlformats.org/officeDocument/2006/relationships/hyperlink" Target="https://assets.publishing.service.gov.uk/government/uploads/system/uploads/attachment_data/file/903187/indirect-cost-compensation-uk-2019.pdf" TargetMode="External"/><Relationship Id="rId22" Type="http://schemas.openxmlformats.org/officeDocument/2006/relationships/hyperlink" Target="https://ec.europa.eu/clima/sites/clima/files/ets/reform/docs/c_2018_2801_en.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garrobr\Downloads\Figure%203_10c%20totals%20and%20SoP%20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garrobr\Downloads\Figure%204_Distribution%20of%2010c%20allowances.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garrobr\Downloads\Figure%205_Surplus%20and%20Figure%206_MSR%20composition.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garrobr\Downloads\Figure%205_Surplus%20and%20Figure%206_MSR%20compositi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garrobr\Downloads\Figure%202_Clearing%20price%20and%20Figure%202.1%20(appendix%202)_No%20of%20bidder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776944472217814E-2"/>
          <c:y val="3.6695428360999822E-2"/>
          <c:w val="0.76758068468524721"/>
          <c:h val="0.8805052446392253"/>
        </c:manualLayout>
      </c:layout>
      <c:barChart>
        <c:barDir val="col"/>
        <c:grouping val="stacked"/>
        <c:varyColors val="0"/>
        <c:ser>
          <c:idx val="0"/>
          <c:order val="0"/>
          <c:tx>
            <c:strRef>
              <c:f>'Fig.3 10c totals and 2019 SoP'!$C$3</c:f>
              <c:strCache>
                <c:ptCount val="1"/>
                <c:pt idx="0">
                  <c:v>BG</c:v>
                </c:pt>
              </c:strCache>
            </c:strRef>
          </c:tx>
          <c:invertIfNegative val="0"/>
          <c:cat>
            <c:numRef>
              <c:f>'Fig.3 10c totals and 2019 SoP'!$AQ$14:$AW$14</c:f>
              <c:numCache>
                <c:formatCode>General</c:formatCode>
                <c:ptCount val="7"/>
                <c:pt idx="0">
                  <c:v>2013</c:v>
                </c:pt>
                <c:pt idx="1">
                  <c:v>2014</c:v>
                </c:pt>
                <c:pt idx="2">
                  <c:v>2015</c:v>
                </c:pt>
                <c:pt idx="3">
                  <c:v>2016</c:v>
                </c:pt>
                <c:pt idx="4">
                  <c:v>2017</c:v>
                </c:pt>
                <c:pt idx="5">
                  <c:v>2018</c:v>
                </c:pt>
                <c:pt idx="6">
                  <c:v>2019</c:v>
                </c:pt>
              </c:numCache>
            </c:numRef>
          </c:cat>
          <c:val>
            <c:numRef>
              <c:f>'Fig.3 10c totals and 2019 SoP'!$AQ$22:$AW$22</c:f>
              <c:numCache>
                <c:formatCode>General</c:formatCode>
                <c:ptCount val="7"/>
                <c:pt idx="0">
                  <c:v>11009416</c:v>
                </c:pt>
                <c:pt idx="1">
                  <c:v>9779243</c:v>
                </c:pt>
                <c:pt idx="2">
                  <c:v>8259680</c:v>
                </c:pt>
                <c:pt idx="3">
                  <c:v>6593238</c:v>
                </c:pt>
                <c:pt idx="4">
                  <c:v>3812436</c:v>
                </c:pt>
                <c:pt idx="5" formatCode="@">
                  <c:v>2471297</c:v>
                </c:pt>
                <c:pt idx="6">
                  <c:v>1948441</c:v>
                </c:pt>
              </c:numCache>
            </c:numRef>
          </c:val>
          <c:extLst xmlns:c16r2="http://schemas.microsoft.com/office/drawing/2015/06/chart">
            <c:ext xmlns:c16="http://schemas.microsoft.com/office/drawing/2014/chart" uri="{C3380CC4-5D6E-409C-BE32-E72D297353CC}">
              <c16:uniqueId val="{00000000-A3B9-4FB6-97A4-345228E0A63D}"/>
            </c:ext>
          </c:extLst>
        </c:ser>
        <c:ser>
          <c:idx val="1"/>
          <c:order val="1"/>
          <c:tx>
            <c:strRef>
              <c:f>'Fig.3 10c totals and 2019 SoP'!$C$4</c:f>
              <c:strCache>
                <c:ptCount val="1"/>
                <c:pt idx="0">
                  <c:v>CY</c:v>
                </c:pt>
              </c:strCache>
            </c:strRef>
          </c:tx>
          <c:invertIfNegative val="0"/>
          <c:cat>
            <c:numRef>
              <c:f>'Fig.3 10c totals and 2019 SoP'!$AQ$14:$AW$14</c:f>
              <c:numCache>
                <c:formatCode>General</c:formatCode>
                <c:ptCount val="7"/>
                <c:pt idx="0">
                  <c:v>2013</c:v>
                </c:pt>
                <c:pt idx="1">
                  <c:v>2014</c:v>
                </c:pt>
                <c:pt idx="2">
                  <c:v>2015</c:v>
                </c:pt>
                <c:pt idx="3">
                  <c:v>2016</c:v>
                </c:pt>
                <c:pt idx="4">
                  <c:v>2017</c:v>
                </c:pt>
                <c:pt idx="5">
                  <c:v>2018</c:v>
                </c:pt>
                <c:pt idx="6">
                  <c:v>2019</c:v>
                </c:pt>
              </c:numCache>
            </c:numRef>
          </c:cat>
          <c:val>
            <c:numRef>
              <c:f>'Fig.3 10c totals and 2019 SoP'!$AQ$21:$AW$21</c:f>
              <c:numCache>
                <c:formatCode>General</c:formatCode>
                <c:ptCount val="7"/>
                <c:pt idx="0">
                  <c:v>2519077</c:v>
                </c:pt>
                <c:pt idx="1">
                  <c:v>2195195</c:v>
                </c:pt>
                <c:pt idx="2">
                  <c:v>1907302</c:v>
                </c:pt>
                <c:pt idx="3">
                  <c:v>1583420</c:v>
                </c:pt>
                <c:pt idx="4">
                  <c:v>1259538</c:v>
                </c:pt>
                <c:pt idx="5" formatCode="@">
                  <c:v>935657</c:v>
                </c:pt>
                <c:pt idx="6">
                  <c:v>575789</c:v>
                </c:pt>
              </c:numCache>
            </c:numRef>
          </c:val>
          <c:extLst xmlns:c16r2="http://schemas.microsoft.com/office/drawing/2015/06/chart">
            <c:ext xmlns:c16="http://schemas.microsoft.com/office/drawing/2014/chart" uri="{C3380CC4-5D6E-409C-BE32-E72D297353CC}">
              <c16:uniqueId val="{00000001-A3B9-4FB6-97A4-345228E0A63D}"/>
            </c:ext>
          </c:extLst>
        </c:ser>
        <c:ser>
          <c:idx val="2"/>
          <c:order val="2"/>
          <c:tx>
            <c:strRef>
              <c:f>'Fig.3 10c totals and 2019 SoP'!$C$5</c:f>
              <c:strCache>
                <c:ptCount val="1"/>
                <c:pt idx="0">
                  <c:v>CZ</c:v>
                </c:pt>
              </c:strCache>
            </c:strRef>
          </c:tx>
          <c:invertIfNegative val="0"/>
          <c:cat>
            <c:numRef>
              <c:f>'Fig.3 10c totals and 2019 SoP'!$AQ$14:$AW$14</c:f>
              <c:numCache>
                <c:formatCode>General</c:formatCode>
                <c:ptCount val="7"/>
                <c:pt idx="0">
                  <c:v>2013</c:v>
                </c:pt>
                <c:pt idx="1">
                  <c:v>2014</c:v>
                </c:pt>
                <c:pt idx="2">
                  <c:v>2015</c:v>
                </c:pt>
                <c:pt idx="3">
                  <c:v>2016</c:v>
                </c:pt>
                <c:pt idx="4">
                  <c:v>2017</c:v>
                </c:pt>
                <c:pt idx="5">
                  <c:v>2018</c:v>
                </c:pt>
                <c:pt idx="6">
                  <c:v>2019</c:v>
                </c:pt>
              </c:numCache>
            </c:numRef>
          </c:cat>
          <c:val>
            <c:numRef>
              <c:f>'Fig.3 10c totals and 2019 SoP'!$AQ$20:$AW$20</c:f>
              <c:numCache>
                <c:formatCode>General</c:formatCode>
                <c:ptCount val="7"/>
                <c:pt idx="0">
                  <c:v>25285353</c:v>
                </c:pt>
                <c:pt idx="1">
                  <c:v>22383398</c:v>
                </c:pt>
                <c:pt idx="2">
                  <c:v>20623005</c:v>
                </c:pt>
                <c:pt idx="3">
                  <c:v>15831329</c:v>
                </c:pt>
                <c:pt idx="4">
                  <c:v>11681994</c:v>
                </c:pt>
                <c:pt idx="5" formatCode="@">
                  <c:v>7661840</c:v>
                </c:pt>
                <c:pt idx="6">
                  <c:v>3830905</c:v>
                </c:pt>
              </c:numCache>
            </c:numRef>
          </c:val>
          <c:extLst xmlns:c16r2="http://schemas.microsoft.com/office/drawing/2015/06/chart">
            <c:ext xmlns:c16="http://schemas.microsoft.com/office/drawing/2014/chart" uri="{C3380CC4-5D6E-409C-BE32-E72D297353CC}">
              <c16:uniqueId val="{00000002-A3B9-4FB6-97A4-345228E0A63D}"/>
            </c:ext>
          </c:extLst>
        </c:ser>
        <c:ser>
          <c:idx val="3"/>
          <c:order val="3"/>
          <c:tx>
            <c:strRef>
              <c:f>'Fig.3 10c totals and 2019 SoP'!$C$6</c:f>
              <c:strCache>
                <c:ptCount val="1"/>
                <c:pt idx="0">
                  <c:v>EE</c:v>
                </c:pt>
              </c:strCache>
            </c:strRef>
          </c:tx>
          <c:invertIfNegative val="0"/>
          <c:cat>
            <c:numRef>
              <c:f>'Fig.3 10c totals and 2019 SoP'!$AQ$14:$AW$14</c:f>
              <c:numCache>
                <c:formatCode>General</c:formatCode>
                <c:ptCount val="7"/>
                <c:pt idx="0">
                  <c:v>2013</c:v>
                </c:pt>
                <c:pt idx="1">
                  <c:v>2014</c:v>
                </c:pt>
                <c:pt idx="2">
                  <c:v>2015</c:v>
                </c:pt>
                <c:pt idx="3">
                  <c:v>2016</c:v>
                </c:pt>
                <c:pt idx="4">
                  <c:v>2017</c:v>
                </c:pt>
                <c:pt idx="5">
                  <c:v>2018</c:v>
                </c:pt>
                <c:pt idx="6">
                  <c:v>2019</c:v>
                </c:pt>
              </c:numCache>
            </c:numRef>
          </c:cat>
          <c:val>
            <c:numRef>
              <c:f>'Fig.3 10c totals and 2019 SoP'!$AQ$19:$AW$19</c:f>
              <c:numCache>
                <c:formatCode>General</c:formatCode>
                <c:ptCount val="7"/>
                <c:pt idx="0">
                  <c:v>5135166</c:v>
                </c:pt>
                <c:pt idx="1">
                  <c:v>4401568</c:v>
                </c:pt>
                <c:pt idx="2">
                  <c:v>3667975</c:v>
                </c:pt>
                <c:pt idx="3">
                  <c:v>2934380</c:v>
                </c:pt>
                <c:pt idx="4">
                  <c:v>2055614</c:v>
                </c:pt>
                <c:pt idx="5" formatCode="@">
                  <c:v>38939</c:v>
                </c:pt>
                <c:pt idx="6">
                  <c:v>19471</c:v>
                </c:pt>
              </c:numCache>
            </c:numRef>
          </c:val>
          <c:extLst xmlns:c16r2="http://schemas.microsoft.com/office/drawing/2015/06/chart">
            <c:ext xmlns:c16="http://schemas.microsoft.com/office/drawing/2014/chart" uri="{C3380CC4-5D6E-409C-BE32-E72D297353CC}">
              <c16:uniqueId val="{00000003-A3B9-4FB6-97A4-345228E0A63D}"/>
            </c:ext>
          </c:extLst>
        </c:ser>
        <c:ser>
          <c:idx val="4"/>
          <c:order val="4"/>
          <c:tx>
            <c:strRef>
              <c:f>'Fig.3 10c totals and 2019 SoP'!$C$7</c:f>
              <c:strCache>
                <c:ptCount val="1"/>
                <c:pt idx="0">
                  <c:v>HU</c:v>
                </c:pt>
              </c:strCache>
            </c:strRef>
          </c:tx>
          <c:invertIfNegative val="0"/>
          <c:cat>
            <c:numRef>
              <c:f>'Fig.3 10c totals and 2019 SoP'!$AQ$14:$AW$14</c:f>
              <c:numCache>
                <c:formatCode>General</c:formatCode>
                <c:ptCount val="7"/>
                <c:pt idx="0">
                  <c:v>2013</c:v>
                </c:pt>
                <c:pt idx="1">
                  <c:v>2014</c:v>
                </c:pt>
                <c:pt idx="2">
                  <c:v>2015</c:v>
                </c:pt>
                <c:pt idx="3">
                  <c:v>2016</c:v>
                </c:pt>
                <c:pt idx="4">
                  <c:v>2017</c:v>
                </c:pt>
                <c:pt idx="5">
                  <c:v>2018</c:v>
                </c:pt>
                <c:pt idx="6">
                  <c:v>2019</c:v>
                </c:pt>
              </c:numCache>
            </c:numRef>
          </c:cat>
          <c:val>
            <c:numRef>
              <c:f>'Fig.3 10c totals and 2019 SoP'!$AQ$18:$AW$18</c:f>
              <c:numCache>
                <c:formatCode>General</c:formatCode>
                <c:ptCount val="7"/>
                <c:pt idx="0">
                  <c:v>7047255</c:v>
                </c:pt>
                <c:pt idx="1">
                  <c:v>0</c:v>
                </c:pt>
                <c:pt idx="2">
                  <c:v>0</c:v>
                </c:pt>
                <c:pt idx="3">
                  <c:v>0</c:v>
                </c:pt>
                <c:pt idx="4">
                  <c:v>0</c:v>
                </c:pt>
                <c:pt idx="5" formatCode="@">
                  <c:v>0</c:v>
                </c:pt>
                <c:pt idx="6">
                  <c:v>0</c:v>
                </c:pt>
              </c:numCache>
            </c:numRef>
          </c:val>
          <c:extLst xmlns:c16r2="http://schemas.microsoft.com/office/drawing/2015/06/chart">
            <c:ext xmlns:c16="http://schemas.microsoft.com/office/drawing/2014/chart" uri="{C3380CC4-5D6E-409C-BE32-E72D297353CC}">
              <c16:uniqueId val="{00000004-A3B9-4FB6-97A4-345228E0A63D}"/>
            </c:ext>
          </c:extLst>
        </c:ser>
        <c:ser>
          <c:idx val="5"/>
          <c:order val="5"/>
          <c:tx>
            <c:strRef>
              <c:f>'Fig.3 10c totals and 2019 SoP'!$C$8</c:f>
              <c:strCache>
                <c:ptCount val="1"/>
                <c:pt idx="0">
                  <c:v>LT</c:v>
                </c:pt>
              </c:strCache>
            </c:strRef>
          </c:tx>
          <c:invertIfNegative val="0"/>
          <c:cat>
            <c:numRef>
              <c:f>'Fig.3 10c totals and 2019 SoP'!$AQ$14:$AW$14</c:f>
              <c:numCache>
                <c:formatCode>General</c:formatCode>
                <c:ptCount val="7"/>
                <c:pt idx="0">
                  <c:v>2013</c:v>
                </c:pt>
                <c:pt idx="1">
                  <c:v>2014</c:v>
                </c:pt>
                <c:pt idx="2">
                  <c:v>2015</c:v>
                </c:pt>
                <c:pt idx="3">
                  <c:v>2016</c:v>
                </c:pt>
                <c:pt idx="4">
                  <c:v>2017</c:v>
                </c:pt>
                <c:pt idx="5">
                  <c:v>2018</c:v>
                </c:pt>
                <c:pt idx="6">
                  <c:v>2019</c:v>
                </c:pt>
              </c:numCache>
            </c:numRef>
          </c:cat>
          <c:val>
            <c:numRef>
              <c:f>'Fig.3 10c totals and 2019 SoP'!$AQ$17:$AW$17</c:f>
              <c:numCache>
                <c:formatCode>General</c:formatCode>
                <c:ptCount val="7"/>
                <c:pt idx="0">
                  <c:v>322449</c:v>
                </c:pt>
                <c:pt idx="1">
                  <c:v>297113</c:v>
                </c:pt>
                <c:pt idx="2">
                  <c:v>269475</c:v>
                </c:pt>
                <c:pt idx="3">
                  <c:v>237230</c:v>
                </c:pt>
                <c:pt idx="4">
                  <c:v>200379</c:v>
                </c:pt>
                <c:pt idx="5" formatCode="@">
                  <c:v>158922</c:v>
                </c:pt>
                <c:pt idx="6">
                  <c:v>94432</c:v>
                </c:pt>
              </c:numCache>
            </c:numRef>
          </c:val>
          <c:extLst xmlns:c16r2="http://schemas.microsoft.com/office/drawing/2015/06/chart">
            <c:ext xmlns:c16="http://schemas.microsoft.com/office/drawing/2014/chart" uri="{C3380CC4-5D6E-409C-BE32-E72D297353CC}">
              <c16:uniqueId val="{00000005-A3B9-4FB6-97A4-345228E0A63D}"/>
            </c:ext>
          </c:extLst>
        </c:ser>
        <c:ser>
          <c:idx val="6"/>
          <c:order val="6"/>
          <c:tx>
            <c:strRef>
              <c:f>'Fig.3 10c totals and 2019 SoP'!$C$9</c:f>
              <c:strCache>
                <c:ptCount val="1"/>
                <c:pt idx="0">
                  <c:v>PL</c:v>
                </c:pt>
              </c:strCache>
            </c:strRef>
          </c:tx>
          <c:invertIfNegative val="0"/>
          <c:cat>
            <c:numRef>
              <c:f>'Fig.3 10c totals and 2019 SoP'!$AQ$14:$AW$14</c:f>
              <c:numCache>
                <c:formatCode>General</c:formatCode>
                <c:ptCount val="7"/>
                <c:pt idx="0">
                  <c:v>2013</c:v>
                </c:pt>
                <c:pt idx="1">
                  <c:v>2014</c:v>
                </c:pt>
                <c:pt idx="2">
                  <c:v>2015</c:v>
                </c:pt>
                <c:pt idx="3">
                  <c:v>2016</c:v>
                </c:pt>
                <c:pt idx="4">
                  <c:v>2017</c:v>
                </c:pt>
                <c:pt idx="5">
                  <c:v>2018</c:v>
                </c:pt>
                <c:pt idx="6">
                  <c:v>2019</c:v>
                </c:pt>
              </c:numCache>
            </c:numRef>
          </c:cat>
          <c:val>
            <c:numRef>
              <c:f>'Fig.3 10c totals and 2019 SoP'!$AQ$16:$AW$16</c:f>
              <c:numCache>
                <c:formatCode>General</c:formatCode>
                <c:ptCount val="7"/>
                <c:pt idx="0">
                  <c:v>65992703</c:v>
                </c:pt>
                <c:pt idx="1">
                  <c:v>52826465</c:v>
                </c:pt>
                <c:pt idx="2">
                  <c:v>43594320</c:v>
                </c:pt>
                <c:pt idx="3">
                  <c:v>31621148</c:v>
                </c:pt>
                <c:pt idx="4">
                  <c:v>21752908</c:v>
                </c:pt>
                <c:pt idx="5" formatCode="@">
                  <c:v>31942281</c:v>
                </c:pt>
                <c:pt idx="6">
                  <c:v>16912108</c:v>
                </c:pt>
              </c:numCache>
            </c:numRef>
          </c:val>
          <c:extLst xmlns:c16r2="http://schemas.microsoft.com/office/drawing/2015/06/chart">
            <c:ext xmlns:c16="http://schemas.microsoft.com/office/drawing/2014/chart" uri="{C3380CC4-5D6E-409C-BE32-E72D297353CC}">
              <c16:uniqueId val="{00000006-A3B9-4FB6-97A4-345228E0A63D}"/>
            </c:ext>
          </c:extLst>
        </c:ser>
        <c:ser>
          <c:idx val="7"/>
          <c:order val="7"/>
          <c:tx>
            <c:strRef>
              <c:f>'Fig.3 10c totals and 2019 SoP'!$C$10</c:f>
              <c:strCache>
                <c:ptCount val="1"/>
                <c:pt idx="0">
                  <c:v>RO</c:v>
                </c:pt>
              </c:strCache>
            </c:strRef>
          </c:tx>
          <c:invertIfNegative val="0"/>
          <c:cat>
            <c:numRef>
              <c:f>'Fig.3 10c totals and 2019 SoP'!$AQ$14:$AW$14</c:f>
              <c:numCache>
                <c:formatCode>General</c:formatCode>
                <c:ptCount val="7"/>
                <c:pt idx="0">
                  <c:v>2013</c:v>
                </c:pt>
                <c:pt idx="1">
                  <c:v>2014</c:v>
                </c:pt>
                <c:pt idx="2">
                  <c:v>2015</c:v>
                </c:pt>
                <c:pt idx="3">
                  <c:v>2016</c:v>
                </c:pt>
                <c:pt idx="4">
                  <c:v>2017</c:v>
                </c:pt>
                <c:pt idx="5">
                  <c:v>2018</c:v>
                </c:pt>
                <c:pt idx="6">
                  <c:v>2019</c:v>
                </c:pt>
              </c:numCache>
            </c:numRef>
          </c:cat>
          <c:val>
            <c:numRef>
              <c:f>'Fig.3 10c totals and 2019 SoP'!$AQ$15:$AW$15</c:f>
              <c:numCache>
                <c:formatCode>General</c:formatCode>
                <c:ptCount val="7"/>
                <c:pt idx="0">
                  <c:v>15748011</c:v>
                </c:pt>
                <c:pt idx="1">
                  <c:v>8591461</c:v>
                </c:pt>
                <c:pt idx="2">
                  <c:v>9210797</c:v>
                </c:pt>
                <c:pt idx="3">
                  <c:v>7189961</c:v>
                </c:pt>
                <c:pt idx="4">
                  <c:v>6222255</c:v>
                </c:pt>
                <c:pt idx="5" formatCode="@">
                  <c:v>3778439</c:v>
                </c:pt>
                <c:pt idx="6">
                  <c:v>1723016</c:v>
                </c:pt>
              </c:numCache>
            </c:numRef>
          </c:val>
          <c:extLst xmlns:c16r2="http://schemas.microsoft.com/office/drawing/2015/06/chart">
            <c:ext xmlns:c16="http://schemas.microsoft.com/office/drawing/2014/chart" uri="{C3380CC4-5D6E-409C-BE32-E72D297353CC}">
              <c16:uniqueId val="{00000007-A3B9-4FB6-97A4-345228E0A63D}"/>
            </c:ext>
          </c:extLst>
        </c:ser>
        <c:dLbls>
          <c:showLegendKey val="0"/>
          <c:showVal val="0"/>
          <c:showCatName val="0"/>
          <c:showSerName val="0"/>
          <c:showPercent val="0"/>
          <c:showBubbleSize val="0"/>
        </c:dLbls>
        <c:gapWidth val="150"/>
        <c:overlap val="100"/>
        <c:axId val="100143488"/>
        <c:axId val="100145024"/>
      </c:barChart>
      <c:lineChart>
        <c:grouping val="standard"/>
        <c:varyColors val="0"/>
        <c:ser>
          <c:idx val="8"/>
          <c:order val="8"/>
          <c:tx>
            <c:v>Max</c:v>
          </c:tx>
          <c:spPr>
            <a:ln cap="sq">
              <a:solidFill>
                <a:schemeClr val="tx1">
                  <a:lumMod val="50000"/>
                  <a:lumOff val="50000"/>
                </a:schemeClr>
              </a:solidFill>
              <a:prstDash val="dash"/>
            </a:ln>
          </c:spPr>
          <c:marker>
            <c:symbol val="none"/>
          </c:marker>
          <c:cat>
            <c:numRef>
              <c:f>'Fig.3 10c totals and 2019 SoP'!$AQ$14:$AW$14</c:f>
              <c:numCache>
                <c:formatCode>General</c:formatCode>
                <c:ptCount val="7"/>
                <c:pt idx="0">
                  <c:v>2013</c:v>
                </c:pt>
                <c:pt idx="1">
                  <c:v>2014</c:v>
                </c:pt>
                <c:pt idx="2">
                  <c:v>2015</c:v>
                </c:pt>
                <c:pt idx="3">
                  <c:v>2016</c:v>
                </c:pt>
                <c:pt idx="4">
                  <c:v>2017</c:v>
                </c:pt>
                <c:pt idx="5">
                  <c:v>2018</c:v>
                </c:pt>
                <c:pt idx="6">
                  <c:v>2019</c:v>
                </c:pt>
              </c:numCache>
            </c:numRef>
          </c:cat>
          <c:val>
            <c:numRef>
              <c:f>'Fig.3 10c totals and 2019 SoP'!$AQ$23:$AW$23</c:f>
              <c:numCache>
                <c:formatCode>#,##0</c:formatCode>
                <c:ptCount val="7"/>
                <c:pt idx="0">
                  <c:v>151565434</c:v>
                </c:pt>
                <c:pt idx="1">
                  <c:v>129504488</c:v>
                </c:pt>
                <c:pt idx="2">
                  <c:v>114522628</c:v>
                </c:pt>
                <c:pt idx="3">
                  <c:v>98384792</c:v>
                </c:pt>
                <c:pt idx="4">
                  <c:v>81126965</c:v>
                </c:pt>
                <c:pt idx="5" formatCode="_-* #,##0_-;\-* #,##0_-;_-* &quot;-&quot;??_-;_-@_-">
                  <c:v>62749153.461532399</c:v>
                </c:pt>
                <c:pt idx="6" formatCode="General">
                  <c:v>42070421</c:v>
                </c:pt>
              </c:numCache>
            </c:numRef>
          </c:val>
          <c:smooth val="0"/>
          <c:extLst xmlns:c16r2="http://schemas.microsoft.com/office/drawing/2015/06/chart">
            <c:ext xmlns:c16="http://schemas.microsoft.com/office/drawing/2014/chart" uri="{C3380CC4-5D6E-409C-BE32-E72D297353CC}">
              <c16:uniqueId val="{00000008-A3B9-4FB6-97A4-345228E0A63D}"/>
            </c:ext>
          </c:extLst>
        </c:ser>
        <c:dLbls>
          <c:showLegendKey val="0"/>
          <c:showVal val="0"/>
          <c:showCatName val="0"/>
          <c:showSerName val="0"/>
          <c:showPercent val="0"/>
          <c:showBubbleSize val="0"/>
        </c:dLbls>
        <c:marker val="1"/>
        <c:smooth val="0"/>
        <c:axId val="100152832"/>
        <c:axId val="100151296"/>
      </c:lineChart>
      <c:catAx>
        <c:axId val="100143488"/>
        <c:scaling>
          <c:orientation val="minMax"/>
        </c:scaling>
        <c:delete val="0"/>
        <c:axPos val="b"/>
        <c:numFmt formatCode="General" sourceLinked="1"/>
        <c:majorTickMark val="out"/>
        <c:minorTickMark val="none"/>
        <c:tickLblPos val="nextTo"/>
        <c:crossAx val="100145024"/>
        <c:crosses val="autoZero"/>
        <c:auto val="1"/>
        <c:lblAlgn val="ctr"/>
        <c:lblOffset val="100"/>
        <c:noMultiLvlLbl val="0"/>
      </c:catAx>
      <c:valAx>
        <c:axId val="100145024"/>
        <c:scaling>
          <c:orientation val="minMax"/>
          <c:max val="160000000"/>
        </c:scaling>
        <c:delete val="0"/>
        <c:axPos val="l"/>
        <c:majorGridlines/>
        <c:numFmt formatCode="General" sourceLinked="1"/>
        <c:majorTickMark val="out"/>
        <c:minorTickMark val="none"/>
        <c:tickLblPos val="nextTo"/>
        <c:crossAx val="100143488"/>
        <c:crosses val="autoZero"/>
        <c:crossBetween val="between"/>
        <c:dispUnits>
          <c:builtInUnit val="millions"/>
          <c:dispUnitsLbl>
            <c:tx>
              <c:rich>
                <a:bodyPr/>
                <a:lstStyle/>
                <a:p>
                  <a:pPr>
                    <a:defRPr/>
                  </a:pPr>
                  <a:r>
                    <a:rPr lang="en-US"/>
                    <a:t>Miljuni</a:t>
                  </a:r>
                </a:p>
              </c:rich>
            </c:tx>
          </c:dispUnitsLbl>
        </c:dispUnits>
      </c:valAx>
      <c:valAx>
        <c:axId val="100151296"/>
        <c:scaling>
          <c:orientation val="minMax"/>
        </c:scaling>
        <c:delete val="1"/>
        <c:axPos val="r"/>
        <c:numFmt formatCode="#,##0" sourceLinked="1"/>
        <c:majorTickMark val="out"/>
        <c:minorTickMark val="none"/>
        <c:tickLblPos val="nextTo"/>
        <c:crossAx val="100152832"/>
        <c:crosses val="max"/>
        <c:crossBetween val="between"/>
      </c:valAx>
      <c:catAx>
        <c:axId val="100152832"/>
        <c:scaling>
          <c:orientation val="minMax"/>
        </c:scaling>
        <c:delete val="1"/>
        <c:axPos val="b"/>
        <c:numFmt formatCode="General" sourceLinked="1"/>
        <c:majorTickMark val="out"/>
        <c:minorTickMark val="none"/>
        <c:tickLblPos val="nextTo"/>
        <c:crossAx val="100151296"/>
        <c:crosses val="autoZero"/>
        <c:auto val="1"/>
        <c:lblAlgn val="ctr"/>
        <c:lblOffset val="100"/>
        <c:noMultiLvlLbl val="0"/>
      </c:cat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'Fig.4 Distribution of 10c'!$K$124</c:f>
              <c:strCache>
                <c:ptCount val="1"/>
                <c:pt idx="0">
                  <c:v>allokati</c:v>
                </c:pt>
              </c:strCache>
            </c:strRef>
          </c:tx>
          <c:invertIfNegative val="0"/>
          <c:cat>
            <c:numRef>
              <c:f>'Fig.4 Distribution of 10c'!$L$122:$R$122</c:f>
              <c:numCache>
                <c:formatCode>General</c:formatCode>
                <c:ptCount val="7"/>
                <c:pt idx="0">
                  <c:v>2013</c:v>
                </c:pt>
                <c:pt idx="1">
                  <c:v>2014</c:v>
                </c:pt>
                <c:pt idx="2">
                  <c:v>2015</c:v>
                </c:pt>
                <c:pt idx="3">
                  <c:v>2016</c:v>
                </c:pt>
                <c:pt idx="4">
                  <c:v>2017</c:v>
                </c:pt>
                <c:pt idx="5">
                  <c:v>2018</c:v>
                </c:pt>
                <c:pt idx="6">
                  <c:v>2019</c:v>
                </c:pt>
              </c:numCache>
            </c:numRef>
          </c:cat>
          <c:val>
            <c:numRef>
              <c:f>'Fig.4 Distribution of 10c'!$L$124:$R$124</c:f>
              <c:numCache>
                <c:formatCode>_-* #,##0_-;\-* #,##0_-;_-* "-"??_-;_-@_-</c:formatCode>
                <c:ptCount val="7"/>
                <c:pt idx="0">
                  <c:v>133306205.91046387</c:v>
                </c:pt>
                <c:pt idx="1">
                  <c:v>109047672</c:v>
                </c:pt>
                <c:pt idx="2">
                  <c:v>85948733.799987882</c:v>
                </c:pt>
                <c:pt idx="3">
                  <c:v>65963382.772210509</c:v>
                </c:pt>
                <c:pt idx="4">
                  <c:v>46302146</c:v>
                </c:pt>
                <c:pt idx="5">
                  <c:v>34342941</c:v>
                </c:pt>
                <c:pt idx="6">
                  <c:v>24175456</c:v>
                </c:pt>
              </c:numCache>
            </c:numRef>
          </c:val>
          <c:extLst xmlns:c16r2="http://schemas.microsoft.com/office/drawing/2015/06/chart">
            <c:ext xmlns:c16="http://schemas.microsoft.com/office/drawing/2014/chart" uri="{C3380CC4-5D6E-409C-BE32-E72D297353CC}">
              <c16:uniqueId val="{00000000-BAC8-4A72-A6F0-1A7EDBA741B0}"/>
            </c:ext>
          </c:extLst>
        </c:ser>
        <c:ser>
          <c:idx val="1"/>
          <c:order val="1"/>
          <c:tx>
            <c:strRef>
              <c:f>'Fig.4 Distribution of 10c'!$K$125</c:f>
              <c:strCache>
                <c:ptCount val="1"/>
                <c:pt idx="0">
                  <c:v>irkantati</c:v>
                </c:pt>
              </c:strCache>
            </c:strRef>
          </c:tx>
          <c:invertIfNegative val="0"/>
          <c:cat>
            <c:numRef>
              <c:f>'Fig.4 Distribution of 10c'!$L$122:$R$122</c:f>
              <c:numCache>
                <c:formatCode>General</c:formatCode>
                <c:ptCount val="7"/>
                <c:pt idx="0">
                  <c:v>2013</c:v>
                </c:pt>
                <c:pt idx="1">
                  <c:v>2014</c:v>
                </c:pt>
                <c:pt idx="2">
                  <c:v>2015</c:v>
                </c:pt>
                <c:pt idx="3">
                  <c:v>2016</c:v>
                </c:pt>
                <c:pt idx="4">
                  <c:v>2017</c:v>
                </c:pt>
                <c:pt idx="5">
                  <c:v>2018</c:v>
                </c:pt>
                <c:pt idx="6">
                  <c:v>2019</c:v>
                </c:pt>
              </c:numCache>
            </c:numRef>
          </c:cat>
          <c:val>
            <c:numRef>
              <c:f>'Fig.4 Distribution of 10c'!$L$125:$R$125</c:f>
              <c:numCache>
                <c:formatCode>_-* #,##0_-;\-* #,##0_-;_-* "-"??_-;_-@_-</c:formatCode>
                <c:ptCount val="7"/>
                <c:pt idx="0">
                  <c:v>11212590.197252408</c:v>
                </c:pt>
                <c:pt idx="1">
                  <c:v>20457391.897448659</c:v>
                </c:pt>
                <c:pt idx="2">
                  <c:v>28573893</c:v>
                </c:pt>
                <c:pt idx="3">
                  <c:v>32421404</c:v>
                </c:pt>
                <c:pt idx="4">
                  <c:v>33397920</c:v>
                </c:pt>
                <c:pt idx="5">
                  <c:v>7868238</c:v>
                </c:pt>
                <c:pt idx="6">
                  <c:v>1054071</c:v>
                </c:pt>
              </c:numCache>
            </c:numRef>
          </c:val>
          <c:extLst xmlns:c16r2="http://schemas.microsoft.com/office/drawing/2015/06/chart">
            <c:ext xmlns:c16="http://schemas.microsoft.com/office/drawing/2014/chart" uri="{C3380CC4-5D6E-409C-BE32-E72D297353CC}">
              <c16:uniqueId val="{00000001-BAC8-4A72-A6F0-1A7EDBA741B0}"/>
            </c:ext>
          </c:extLst>
        </c:ser>
        <c:ser>
          <c:idx val="2"/>
          <c:order val="2"/>
          <c:tx>
            <c:strRef>
              <c:f>'Fig.4 Distribution of 10c'!$K$126</c:f>
              <c:strCache>
                <c:ptCount val="1"/>
                <c:pt idx="0">
                  <c:v>li fadal mhux użati</c:v>
                </c:pt>
              </c:strCache>
            </c:strRef>
          </c:tx>
          <c:invertIfNegative val="0"/>
          <c:cat>
            <c:numRef>
              <c:f>'Fig.4 Distribution of 10c'!$L$122:$R$122</c:f>
              <c:numCache>
                <c:formatCode>General</c:formatCode>
                <c:ptCount val="7"/>
                <c:pt idx="0">
                  <c:v>2013</c:v>
                </c:pt>
                <c:pt idx="1">
                  <c:v>2014</c:v>
                </c:pt>
                <c:pt idx="2">
                  <c:v>2015</c:v>
                </c:pt>
                <c:pt idx="3">
                  <c:v>2016</c:v>
                </c:pt>
                <c:pt idx="4">
                  <c:v>2017</c:v>
                </c:pt>
                <c:pt idx="5">
                  <c:v>2018</c:v>
                </c:pt>
                <c:pt idx="6">
                  <c:v>2019</c:v>
                </c:pt>
              </c:numCache>
            </c:numRef>
          </c:cat>
          <c:val>
            <c:numRef>
              <c:f>'Fig.4 Distribution of 10c'!$L$126:$R$126</c:f>
              <c:numCache>
                <c:formatCode>_-* #,##0_-;\-* #,##0_-;_-* "-"??_-;_-@_-</c:formatCode>
                <c:ptCount val="7"/>
                <c:pt idx="0">
                  <c:v>-0.10771626979112625</c:v>
                </c:pt>
                <c:pt idx="1">
                  <c:v>0.10255134105682373</c:v>
                </c:pt>
                <c:pt idx="2">
                  <c:v>-0.39763280004262924</c:v>
                </c:pt>
                <c:pt idx="3">
                  <c:v>4.7899106610566378</c:v>
                </c:pt>
                <c:pt idx="4">
                  <c:v>1428809.5818495974</c:v>
                </c:pt>
                <c:pt idx="5">
                  <c:v>20537974.461532399</c:v>
                </c:pt>
                <c:pt idx="6">
                  <c:v>16840894.061139882</c:v>
                </c:pt>
              </c:numCache>
            </c:numRef>
          </c:val>
          <c:extLst xmlns:c16r2="http://schemas.microsoft.com/office/drawing/2015/06/chart">
            <c:ext xmlns:c16="http://schemas.microsoft.com/office/drawing/2014/chart" uri="{C3380CC4-5D6E-409C-BE32-E72D297353CC}">
              <c16:uniqueId val="{00000002-BAC8-4A72-A6F0-1A7EDBA741B0}"/>
            </c:ext>
          </c:extLst>
        </c:ser>
        <c:dLbls>
          <c:showLegendKey val="0"/>
          <c:showVal val="0"/>
          <c:showCatName val="0"/>
          <c:showSerName val="0"/>
          <c:showPercent val="0"/>
          <c:showBubbleSize val="0"/>
        </c:dLbls>
        <c:gapWidth val="100"/>
        <c:overlap val="100"/>
        <c:axId val="100175872"/>
        <c:axId val="100177408"/>
      </c:barChart>
      <c:catAx>
        <c:axId val="100175872"/>
        <c:scaling>
          <c:orientation val="minMax"/>
        </c:scaling>
        <c:delete val="0"/>
        <c:axPos val="b"/>
        <c:numFmt formatCode="General" sourceLinked="1"/>
        <c:majorTickMark val="out"/>
        <c:minorTickMark val="none"/>
        <c:tickLblPos val="nextTo"/>
        <c:crossAx val="100177408"/>
        <c:crosses val="autoZero"/>
        <c:auto val="1"/>
        <c:lblAlgn val="ctr"/>
        <c:lblOffset val="100"/>
        <c:noMultiLvlLbl val="0"/>
      </c:catAx>
      <c:valAx>
        <c:axId val="100177408"/>
        <c:scaling>
          <c:orientation val="minMax"/>
          <c:min val="0"/>
        </c:scaling>
        <c:delete val="0"/>
        <c:axPos val="l"/>
        <c:majorGridlines/>
        <c:numFmt formatCode="_-* #,##0_-;\-* #,##0_-;_-* &quot;-&quot;??_-;_-@_-" sourceLinked="1"/>
        <c:majorTickMark val="out"/>
        <c:minorTickMark val="none"/>
        <c:tickLblPos val="nextTo"/>
        <c:crossAx val="100175872"/>
        <c:crosses val="autoZero"/>
        <c:crossBetween val="between"/>
        <c:dispUnits>
          <c:builtInUnit val="millions"/>
          <c:dispUnitsLbl>
            <c:tx>
              <c:rich>
                <a:bodyPr/>
                <a:lstStyle/>
                <a:p>
                  <a:pPr>
                    <a:defRPr/>
                  </a:pPr>
                  <a:r>
                    <a:rPr lang="en-US"/>
                    <a:t>Mil</a:t>
                  </a:r>
                  <a:r>
                    <a:rPr lang="mt-MT"/>
                    <a:t>juni</a:t>
                  </a:r>
                  <a:endParaRPr lang="en-US"/>
                </a:p>
              </c:rich>
            </c:tx>
          </c:dispUnitsLbl>
        </c:dispUnits>
      </c:valAx>
    </c:plotArea>
    <c:legend>
      <c:legendPos val="r"/>
      <c:overlay val="0"/>
    </c:legend>
    <c:plotVisOnly val="1"/>
    <c:dispBlanksAs val="gap"/>
    <c:showDLblsOverMax val="0"/>
  </c:chart>
  <c:txPr>
    <a:bodyPr/>
    <a:lstStyle/>
    <a:p>
      <a:pPr>
        <a:defRPr sz="16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'Fig.5 Market surplus'!$A$2</c:f>
              <c:strCache>
                <c:ptCount val="1"/>
                <c:pt idx="0">
                  <c:v>Surplus</c:v>
                </c:pt>
              </c:strCache>
            </c:strRef>
          </c:tx>
          <c:spPr>
            <a:solidFill>
              <a:schemeClr val="accent1"/>
            </a:solidFill>
            <a:ln>
              <a:noFill/>
            </a:ln>
            <a:effectLst/>
          </c:spPr>
          <c:invertIfNegative val="0"/>
          <c:cat>
            <c:numRef>
              <c:f>'Fig.5 Market surplus'!$B$1:$H$1</c:f>
              <c:numCache>
                <c:formatCode>General</c:formatCode>
                <c:ptCount val="7"/>
                <c:pt idx="0">
                  <c:v>2013</c:v>
                </c:pt>
                <c:pt idx="1">
                  <c:v>2014</c:v>
                </c:pt>
                <c:pt idx="2">
                  <c:v>2015</c:v>
                </c:pt>
                <c:pt idx="3">
                  <c:v>2016</c:v>
                </c:pt>
                <c:pt idx="4">
                  <c:v>2017</c:v>
                </c:pt>
                <c:pt idx="5">
                  <c:v>2018</c:v>
                </c:pt>
                <c:pt idx="6">
                  <c:v>2019</c:v>
                </c:pt>
              </c:numCache>
            </c:numRef>
          </c:cat>
          <c:val>
            <c:numRef>
              <c:f>'Fig.5 Market surplus'!$B$2:$H$2</c:f>
              <c:numCache>
                <c:formatCode>#,##0</c:formatCode>
                <c:ptCount val="7"/>
                <c:pt idx="0">
                  <c:v>2084787900</c:v>
                </c:pt>
                <c:pt idx="1">
                  <c:v>2093383593</c:v>
                </c:pt>
                <c:pt idx="2">
                  <c:v>1818041895</c:v>
                </c:pt>
                <c:pt idx="3">
                  <c:v>1684569981</c:v>
                </c:pt>
                <c:pt idx="4">
                  <c:v>1654574598</c:v>
                </c:pt>
                <c:pt idx="5">
                  <c:v>1654909824</c:v>
                </c:pt>
                <c:pt idx="6" formatCode="General">
                  <c:v>1385496166</c:v>
                </c:pt>
              </c:numCache>
            </c:numRef>
          </c:val>
          <c:extLst xmlns:c16r2="http://schemas.microsoft.com/office/drawing/2015/06/chart">
            <c:ext xmlns:c16="http://schemas.microsoft.com/office/drawing/2014/chart" uri="{C3380CC4-5D6E-409C-BE32-E72D297353CC}">
              <c16:uniqueId val="{00000000-C7EA-4588-924E-A1FB3643012A}"/>
            </c:ext>
          </c:extLst>
        </c:ser>
        <c:dLbls>
          <c:showLegendKey val="0"/>
          <c:showVal val="0"/>
          <c:showCatName val="0"/>
          <c:showSerName val="0"/>
          <c:showPercent val="0"/>
          <c:showBubbleSize val="0"/>
        </c:dLbls>
        <c:gapWidth val="219"/>
        <c:overlap val="-27"/>
        <c:axId val="100572160"/>
        <c:axId val="100573952"/>
      </c:barChart>
      <c:catAx>
        <c:axId val="10057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573952"/>
        <c:crosses val="autoZero"/>
        <c:auto val="1"/>
        <c:lblAlgn val="ctr"/>
        <c:lblOffset val="100"/>
        <c:noMultiLvlLbl val="0"/>
      </c:catAx>
      <c:valAx>
        <c:axId val="1005739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572160"/>
        <c:crosses val="autoZero"/>
        <c:crossBetween val="between"/>
        <c:dispUnits>
          <c:builtInUnit val="b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Bil</a:t>
                  </a:r>
                  <a:r>
                    <a:rPr lang="mt-MT"/>
                    <a:t>juni</a:t>
                  </a:r>
                  <a:endParaRPr lang="en-US"/>
                </a:p>
              </c:rich>
            </c:tx>
            <c:spPr>
              <a:noFill/>
              <a:ln>
                <a:noFill/>
              </a:ln>
              <a:effectLst/>
            </c:sp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[Figure 5_Surplus and Figure 6_MSR composition.xlsx]Fig.6 MSR composition!PivotTable2</c:name>
    <c:fmtId val="16"/>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s>
    <c:plotArea>
      <c:layout/>
      <c:barChart>
        <c:barDir val="col"/>
        <c:grouping val="stacked"/>
        <c:varyColors val="0"/>
        <c:ser>
          <c:idx val="0"/>
          <c:order val="0"/>
          <c:tx>
            <c:strRef>
              <c:f>'Fig.6 MSR composition'!$B$15:$B$16</c:f>
              <c:strCache>
                <c:ptCount val="1"/>
                <c:pt idx="0">
                  <c:v>Numru ta' kwoti fir-riżerva</c:v>
                </c:pt>
              </c:strCache>
            </c:strRef>
          </c:tx>
          <c:spPr>
            <a:solidFill>
              <a:schemeClr val="accent1"/>
            </a:solidFill>
            <a:ln>
              <a:noFill/>
            </a:ln>
            <a:effectLst/>
          </c:spPr>
          <c:invertIfNegative val="0"/>
          <c:cat>
            <c:strRef>
              <c:f>'Fig.6 MSR composition'!$A$17:$A$18</c:f>
              <c:strCache>
                <c:ptCount val="2"/>
                <c:pt idx="0">
                  <c:v>Provvista</c:v>
                </c:pt>
                <c:pt idx="1">
                  <c:v>Domanda u dak li hemm fir-Riżerva tal-Istati Membri</c:v>
                </c:pt>
              </c:strCache>
            </c:strRef>
          </c:cat>
          <c:val>
            <c:numRef>
              <c:f>'Fig.6 MSR composition'!$B$17:$B$18</c:f>
              <c:numCache>
                <c:formatCode>General</c:formatCode>
                <c:ptCount val="2"/>
                <c:pt idx="1">
                  <c:v>1297124722</c:v>
                </c:pt>
              </c:numCache>
            </c:numRef>
          </c:val>
          <c:extLst xmlns:c16r2="http://schemas.microsoft.com/office/drawing/2015/06/chart">
            <c:ext xmlns:c16="http://schemas.microsoft.com/office/drawing/2014/chart" uri="{C3380CC4-5D6E-409C-BE32-E72D297353CC}">
              <c16:uniqueId val="{00000000-4111-4865-859A-EBBD190D22D2}"/>
            </c:ext>
          </c:extLst>
        </c:ser>
        <c:ser>
          <c:idx val="1"/>
          <c:order val="1"/>
          <c:tx>
            <c:strRef>
              <c:f>'Fig.6 MSR composition'!$C$15:$C$16</c:f>
              <c:strCache>
                <c:ptCount val="1"/>
                <c:pt idx="0">
                  <c:v>Bankar mill-fażi 2</c:v>
                </c:pt>
              </c:strCache>
            </c:strRef>
          </c:tx>
          <c:spPr>
            <a:solidFill>
              <a:schemeClr val="accent2"/>
            </a:solidFill>
            <a:ln>
              <a:noFill/>
            </a:ln>
            <a:effectLst/>
          </c:spPr>
          <c:invertIfNegative val="0"/>
          <c:cat>
            <c:strRef>
              <c:f>'Fig.6 MSR composition'!$A$17:$A$18</c:f>
              <c:strCache>
                <c:ptCount val="2"/>
                <c:pt idx="0">
                  <c:v>Provvista</c:v>
                </c:pt>
                <c:pt idx="1">
                  <c:v>Domanda u dak li hemm fir-Riżerva tal-Istati Membri</c:v>
                </c:pt>
              </c:strCache>
            </c:strRef>
          </c:cat>
          <c:val>
            <c:numRef>
              <c:f>'Fig.6 MSR composition'!$C$17:$C$18</c:f>
              <c:numCache>
                <c:formatCode>General</c:formatCode>
                <c:ptCount val="2"/>
                <c:pt idx="0">
                  <c:v>1749540826</c:v>
                </c:pt>
              </c:numCache>
            </c:numRef>
          </c:val>
          <c:extLst xmlns:c16r2="http://schemas.microsoft.com/office/drawing/2015/06/chart">
            <c:ext xmlns:c16="http://schemas.microsoft.com/office/drawing/2014/chart" uri="{C3380CC4-5D6E-409C-BE32-E72D297353CC}">
              <c16:uniqueId val="{00000001-4111-4865-859A-EBBD190D22D2}"/>
            </c:ext>
          </c:extLst>
        </c:ser>
        <c:ser>
          <c:idx val="2"/>
          <c:order val="2"/>
          <c:tx>
            <c:strRef>
              <c:f>'Fig.6 MSR composition'!$D$15:$D$16</c:f>
              <c:strCache>
                <c:ptCount val="1"/>
                <c:pt idx="0">
                  <c:v>Irkantijiet bikrin</c:v>
                </c:pt>
              </c:strCache>
            </c:strRef>
          </c:tx>
          <c:spPr>
            <a:solidFill>
              <a:schemeClr val="accent3"/>
            </a:solidFill>
            <a:ln>
              <a:noFill/>
            </a:ln>
            <a:effectLst/>
          </c:spPr>
          <c:invertIfNegative val="0"/>
          <c:cat>
            <c:strRef>
              <c:f>'Fig.6 MSR composition'!$A$17:$A$18</c:f>
              <c:strCache>
                <c:ptCount val="2"/>
                <c:pt idx="0">
                  <c:v>Provvista</c:v>
                </c:pt>
                <c:pt idx="1">
                  <c:v>Domanda u dak li hemm fir-Riżerva tal-Istati Membri</c:v>
                </c:pt>
              </c:strCache>
            </c:strRef>
          </c:cat>
          <c:val>
            <c:numRef>
              <c:f>'Fig.6 MSR composition'!$D$17:$D$18</c:f>
              <c:numCache>
                <c:formatCode>General</c:formatCode>
                <c:ptCount val="2"/>
                <c:pt idx="0">
                  <c:v>89701500</c:v>
                </c:pt>
              </c:numCache>
            </c:numRef>
          </c:val>
          <c:extLst xmlns:c16r2="http://schemas.microsoft.com/office/drawing/2015/06/chart">
            <c:ext xmlns:c16="http://schemas.microsoft.com/office/drawing/2014/chart" uri="{C3380CC4-5D6E-409C-BE32-E72D297353CC}">
              <c16:uniqueId val="{00000002-4111-4865-859A-EBBD190D22D2}"/>
            </c:ext>
          </c:extLst>
        </c:ser>
        <c:ser>
          <c:idx val="3"/>
          <c:order val="3"/>
          <c:tx>
            <c:strRef>
              <c:f>'Fig.6 MSR composition'!$E$15:$E$16</c:f>
              <c:strCache>
                <c:ptCount val="1"/>
                <c:pt idx="0">
                  <c:v>Monetizzazzjoni tal-NER 300 mill-BEI</c:v>
                </c:pt>
              </c:strCache>
            </c:strRef>
          </c:tx>
          <c:spPr>
            <a:solidFill>
              <a:schemeClr val="accent4"/>
            </a:solidFill>
            <a:ln>
              <a:noFill/>
            </a:ln>
            <a:effectLst/>
          </c:spPr>
          <c:invertIfNegative val="0"/>
          <c:cat>
            <c:strRef>
              <c:f>'Fig.6 MSR composition'!$A$17:$A$18</c:f>
              <c:strCache>
                <c:ptCount val="2"/>
                <c:pt idx="0">
                  <c:v>Provvista</c:v>
                </c:pt>
                <c:pt idx="1">
                  <c:v>Domanda u dak li hemm fir-Riżerva tal-Istati Membri</c:v>
                </c:pt>
              </c:strCache>
            </c:strRef>
          </c:cat>
          <c:val>
            <c:numRef>
              <c:f>'Fig.6 MSR composition'!$E$17:$E$18</c:f>
              <c:numCache>
                <c:formatCode>General</c:formatCode>
                <c:ptCount val="2"/>
                <c:pt idx="0">
                  <c:v>300000000</c:v>
                </c:pt>
              </c:numCache>
            </c:numRef>
          </c:val>
          <c:extLst xmlns:c16r2="http://schemas.microsoft.com/office/drawing/2015/06/chart">
            <c:ext xmlns:c16="http://schemas.microsoft.com/office/drawing/2014/chart" uri="{C3380CC4-5D6E-409C-BE32-E72D297353CC}">
              <c16:uniqueId val="{00000003-4111-4865-859A-EBBD190D22D2}"/>
            </c:ext>
          </c:extLst>
        </c:ser>
        <c:ser>
          <c:idx val="4"/>
          <c:order val="4"/>
          <c:tx>
            <c:strRef>
              <c:f>'Fig.6 MSR composition'!$F$15:$F$16</c:f>
              <c:strCache>
                <c:ptCount val="1"/>
                <c:pt idx="0">
                  <c:v>Krediti internazzjonali skambjati</c:v>
                </c:pt>
              </c:strCache>
            </c:strRef>
          </c:tx>
          <c:spPr>
            <a:solidFill>
              <a:schemeClr val="accent5"/>
            </a:solidFill>
            <a:ln>
              <a:noFill/>
            </a:ln>
            <a:effectLst/>
          </c:spPr>
          <c:invertIfNegative val="0"/>
          <c:cat>
            <c:strRef>
              <c:f>'Fig.6 MSR composition'!$A$17:$A$18</c:f>
              <c:strCache>
                <c:ptCount val="2"/>
                <c:pt idx="0">
                  <c:v>Provvista</c:v>
                </c:pt>
                <c:pt idx="1">
                  <c:v>Domanda u dak li hemm fir-Riżerva tal-Istati Membri</c:v>
                </c:pt>
              </c:strCache>
            </c:strRef>
          </c:cat>
          <c:val>
            <c:numRef>
              <c:f>'Fig.6 MSR composition'!$F$17:$F$18</c:f>
              <c:numCache>
                <c:formatCode>General</c:formatCode>
                <c:ptCount val="2"/>
                <c:pt idx="0">
                  <c:v>450221816</c:v>
                </c:pt>
              </c:numCache>
            </c:numRef>
          </c:val>
          <c:extLst xmlns:c16r2="http://schemas.microsoft.com/office/drawing/2015/06/chart">
            <c:ext xmlns:c16="http://schemas.microsoft.com/office/drawing/2014/chart" uri="{C3380CC4-5D6E-409C-BE32-E72D297353CC}">
              <c16:uniqueId val="{00000004-4111-4865-859A-EBBD190D22D2}"/>
            </c:ext>
          </c:extLst>
        </c:ser>
        <c:ser>
          <c:idx val="5"/>
          <c:order val="5"/>
          <c:tx>
            <c:strRef>
              <c:f>'Fig.6 MSR composition'!$G$15:$G$16</c:f>
              <c:strCache>
                <c:ptCount val="1"/>
                <c:pt idx="0">
                  <c:v>Kanċellazzjonijiet</c:v>
                </c:pt>
              </c:strCache>
            </c:strRef>
          </c:tx>
          <c:spPr>
            <a:solidFill>
              <a:schemeClr val="accent6"/>
            </a:solidFill>
            <a:ln>
              <a:noFill/>
            </a:ln>
            <a:effectLst/>
          </c:spPr>
          <c:invertIfNegative val="0"/>
          <c:cat>
            <c:strRef>
              <c:f>'Fig.6 MSR composition'!$A$17:$A$18</c:f>
              <c:strCache>
                <c:ptCount val="2"/>
                <c:pt idx="0">
                  <c:v>Provvista</c:v>
                </c:pt>
                <c:pt idx="1">
                  <c:v>Domanda u dak li hemm fir-Riżerva tal-Istati Membri</c:v>
                </c:pt>
              </c:strCache>
            </c:strRef>
          </c:cat>
          <c:val>
            <c:numRef>
              <c:f>'Fig.6 MSR composition'!$G$17:$G$18</c:f>
              <c:numCache>
                <c:formatCode>General</c:formatCode>
                <c:ptCount val="2"/>
                <c:pt idx="1">
                  <c:v>348581</c:v>
                </c:pt>
              </c:numCache>
            </c:numRef>
          </c:val>
          <c:extLst xmlns:c16r2="http://schemas.microsoft.com/office/drawing/2015/06/chart">
            <c:ext xmlns:c16="http://schemas.microsoft.com/office/drawing/2014/chart" uri="{C3380CC4-5D6E-409C-BE32-E72D297353CC}">
              <c16:uniqueId val="{00000005-4111-4865-859A-EBBD190D22D2}"/>
            </c:ext>
          </c:extLst>
        </c:ser>
        <c:ser>
          <c:idx val="6"/>
          <c:order val="6"/>
          <c:tx>
            <c:strRef>
              <c:f>'Fig.6 MSR composition'!$H$15:$H$16</c:f>
              <c:strCache>
                <c:ptCount val="1"/>
                <c:pt idx="0">
                  <c:v>Kwoti maħruġin għall-irkantar</c:v>
                </c:pt>
              </c:strCache>
            </c:strRef>
          </c:tx>
          <c:spPr>
            <a:solidFill>
              <a:schemeClr val="accent1">
                <a:lumMod val="60000"/>
              </a:schemeClr>
            </a:solidFill>
            <a:ln>
              <a:noFill/>
            </a:ln>
            <a:effectLst/>
          </c:spPr>
          <c:invertIfNegative val="0"/>
          <c:cat>
            <c:strRef>
              <c:f>'Fig.6 MSR composition'!$A$17:$A$18</c:f>
              <c:strCache>
                <c:ptCount val="2"/>
                <c:pt idx="0">
                  <c:v>Provvista</c:v>
                </c:pt>
                <c:pt idx="1">
                  <c:v>Domanda u dak li hemm fir-Riżerva tal-Istati Membri</c:v>
                </c:pt>
              </c:strCache>
            </c:strRef>
          </c:cat>
          <c:val>
            <c:numRef>
              <c:f>'Fig.6 MSR composition'!$H$17:$H$18</c:f>
              <c:numCache>
                <c:formatCode>General</c:formatCode>
                <c:ptCount val="2"/>
                <c:pt idx="0">
                  <c:v>6437171222</c:v>
                </c:pt>
              </c:numCache>
            </c:numRef>
          </c:val>
          <c:extLst xmlns:c16r2="http://schemas.microsoft.com/office/drawing/2015/06/chart">
            <c:ext xmlns:c16="http://schemas.microsoft.com/office/drawing/2014/chart" uri="{C3380CC4-5D6E-409C-BE32-E72D297353CC}">
              <c16:uniqueId val="{00000006-4111-4865-859A-EBBD190D22D2}"/>
            </c:ext>
          </c:extLst>
        </c:ser>
        <c:ser>
          <c:idx val="7"/>
          <c:order val="7"/>
          <c:tx>
            <c:strRef>
              <c:f>'Fig.6 MSR composition'!$I$15:$I$16</c:f>
              <c:strCache>
                <c:ptCount val="1"/>
                <c:pt idx="0">
                  <c:v>Allokazzjoni bla ħlas</c:v>
                </c:pt>
              </c:strCache>
            </c:strRef>
          </c:tx>
          <c:spPr>
            <a:solidFill>
              <a:schemeClr val="accent2">
                <a:lumMod val="60000"/>
              </a:schemeClr>
            </a:solidFill>
            <a:ln>
              <a:noFill/>
            </a:ln>
            <a:effectLst/>
          </c:spPr>
          <c:invertIfNegative val="0"/>
          <c:cat>
            <c:strRef>
              <c:f>'Fig.6 MSR composition'!$A$17:$A$18</c:f>
              <c:strCache>
                <c:ptCount val="2"/>
                <c:pt idx="0">
                  <c:v>Provvista</c:v>
                </c:pt>
                <c:pt idx="1">
                  <c:v>Domanda u dak li hemm fir-Riżerva tal-Istati Membri</c:v>
                </c:pt>
              </c:strCache>
            </c:strRef>
          </c:cat>
          <c:val>
            <c:numRef>
              <c:f>'Fig.6 MSR composition'!$I$17:$I$18</c:f>
              <c:numCache>
                <c:formatCode>General</c:formatCode>
                <c:ptCount val="2"/>
                <c:pt idx="0">
                  <c:v>5227054360</c:v>
                </c:pt>
              </c:numCache>
            </c:numRef>
          </c:val>
          <c:extLst xmlns:c16r2="http://schemas.microsoft.com/office/drawing/2015/06/chart">
            <c:ext xmlns:c16="http://schemas.microsoft.com/office/drawing/2014/chart" uri="{C3380CC4-5D6E-409C-BE32-E72D297353CC}">
              <c16:uniqueId val="{00000007-4111-4865-859A-EBBD190D22D2}"/>
            </c:ext>
          </c:extLst>
        </c:ser>
        <c:ser>
          <c:idx val="8"/>
          <c:order val="8"/>
          <c:tx>
            <c:strRef>
              <c:f>'Fig.6 MSR composition'!$J$15:$J$16</c:f>
              <c:strCache>
                <c:ptCount val="1"/>
                <c:pt idx="0">
                  <c:v>Allokazzjoni bla ħlas (10c)</c:v>
                </c:pt>
              </c:strCache>
            </c:strRef>
          </c:tx>
          <c:spPr>
            <a:solidFill>
              <a:schemeClr val="accent3">
                <a:lumMod val="60000"/>
              </a:schemeClr>
            </a:solidFill>
            <a:ln>
              <a:noFill/>
            </a:ln>
            <a:effectLst/>
          </c:spPr>
          <c:invertIfNegative val="0"/>
          <c:cat>
            <c:strRef>
              <c:f>'Fig.6 MSR composition'!$A$17:$A$18</c:f>
              <c:strCache>
                <c:ptCount val="2"/>
                <c:pt idx="0">
                  <c:v>Provvista</c:v>
                </c:pt>
                <c:pt idx="1">
                  <c:v>Domanda u dak li hemm fir-Riżerva tal-Istati Membri</c:v>
                </c:pt>
              </c:strCache>
            </c:strRef>
          </c:cat>
          <c:val>
            <c:numRef>
              <c:f>'Fig.6 MSR composition'!$J$17:$J$18</c:f>
              <c:numCache>
                <c:formatCode>General</c:formatCode>
                <c:ptCount val="2"/>
                <c:pt idx="0">
                  <c:v>480690402</c:v>
                </c:pt>
              </c:numCache>
            </c:numRef>
          </c:val>
          <c:extLst xmlns:c16r2="http://schemas.microsoft.com/office/drawing/2015/06/chart">
            <c:ext xmlns:c16="http://schemas.microsoft.com/office/drawing/2014/chart" uri="{C3380CC4-5D6E-409C-BE32-E72D297353CC}">
              <c16:uniqueId val="{00000008-4111-4865-859A-EBBD190D22D2}"/>
            </c:ext>
          </c:extLst>
        </c:ser>
        <c:ser>
          <c:idx val="9"/>
          <c:order val="9"/>
          <c:tx>
            <c:strRef>
              <c:f>'Fig.6 MSR composition'!$K$15:$K$16</c:f>
              <c:strCache>
                <c:ptCount val="1"/>
                <c:pt idx="0">
                  <c:v>Allokazzjoni bla ħlas (NER)</c:v>
                </c:pt>
              </c:strCache>
            </c:strRef>
          </c:tx>
          <c:spPr>
            <a:solidFill>
              <a:schemeClr val="accent4">
                <a:lumMod val="60000"/>
              </a:schemeClr>
            </a:solidFill>
            <a:ln>
              <a:noFill/>
            </a:ln>
            <a:effectLst/>
          </c:spPr>
          <c:invertIfNegative val="0"/>
          <c:cat>
            <c:strRef>
              <c:f>'Fig.6 MSR composition'!$A$17:$A$18</c:f>
              <c:strCache>
                <c:ptCount val="2"/>
                <c:pt idx="0">
                  <c:v>Provvista</c:v>
                </c:pt>
                <c:pt idx="1">
                  <c:v>Domanda u dak li hemm fir-Riżerva tal-Istati Membri</c:v>
                </c:pt>
              </c:strCache>
            </c:strRef>
          </c:cat>
          <c:val>
            <c:numRef>
              <c:f>'Fig.6 MSR composition'!$K$17:$K$18</c:f>
              <c:numCache>
                <c:formatCode>General</c:formatCode>
                <c:ptCount val="2"/>
                <c:pt idx="0">
                  <c:v>142518546</c:v>
                </c:pt>
              </c:numCache>
            </c:numRef>
          </c:val>
          <c:extLst xmlns:c16r2="http://schemas.microsoft.com/office/drawing/2015/06/chart">
            <c:ext xmlns:c16="http://schemas.microsoft.com/office/drawing/2014/chart" uri="{C3380CC4-5D6E-409C-BE32-E72D297353CC}">
              <c16:uniqueId val="{00000009-4111-4865-859A-EBBD190D22D2}"/>
            </c:ext>
          </c:extLst>
        </c:ser>
        <c:ser>
          <c:idx val="10"/>
          <c:order val="10"/>
          <c:tx>
            <c:strRef>
              <c:f>'Fig.6 MSR composition'!$L$15:$L$16</c:f>
              <c:strCache>
                <c:ptCount val="1"/>
                <c:pt idx="0">
                  <c:v>Emissjonijiet ivverifikati</c:v>
                </c:pt>
              </c:strCache>
            </c:strRef>
          </c:tx>
          <c:spPr>
            <a:solidFill>
              <a:schemeClr val="accent5">
                <a:lumMod val="60000"/>
              </a:schemeClr>
            </a:solidFill>
            <a:ln>
              <a:noFill/>
            </a:ln>
            <a:effectLst/>
          </c:spPr>
          <c:invertIfNegative val="0"/>
          <c:cat>
            <c:strRef>
              <c:f>'Fig.6 MSR composition'!$A$17:$A$18</c:f>
              <c:strCache>
                <c:ptCount val="2"/>
                <c:pt idx="0">
                  <c:v>Provvista</c:v>
                </c:pt>
                <c:pt idx="1">
                  <c:v>Domanda u dak li hemm fir-Riżerva tal-Istati Membri</c:v>
                </c:pt>
              </c:strCache>
            </c:strRef>
          </c:cat>
          <c:val>
            <c:numRef>
              <c:f>'Fig.6 MSR composition'!$L$17:$L$18</c:f>
              <c:numCache>
                <c:formatCode>General</c:formatCode>
                <c:ptCount val="2"/>
                <c:pt idx="1">
                  <c:v>12193929203</c:v>
                </c:pt>
              </c:numCache>
            </c:numRef>
          </c:val>
          <c:extLst xmlns:c16r2="http://schemas.microsoft.com/office/drawing/2015/06/chart">
            <c:ext xmlns:c16="http://schemas.microsoft.com/office/drawing/2014/chart" uri="{C3380CC4-5D6E-409C-BE32-E72D297353CC}">
              <c16:uniqueId val="{0000000A-4111-4865-859A-EBBD190D22D2}"/>
            </c:ext>
          </c:extLst>
        </c:ser>
        <c:dLbls>
          <c:showLegendKey val="0"/>
          <c:showVal val="0"/>
          <c:showCatName val="0"/>
          <c:showSerName val="0"/>
          <c:showPercent val="0"/>
          <c:showBubbleSize val="0"/>
        </c:dLbls>
        <c:gapWidth val="75"/>
        <c:overlap val="100"/>
        <c:axId val="100615680"/>
        <c:axId val="100617216"/>
      </c:barChart>
      <c:catAx>
        <c:axId val="10061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17216"/>
        <c:crosses val="autoZero"/>
        <c:auto val="1"/>
        <c:lblAlgn val="ctr"/>
        <c:lblOffset val="100"/>
        <c:noMultiLvlLbl val="0"/>
      </c:catAx>
      <c:valAx>
        <c:axId val="10061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15680"/>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a:t>
                  </a:r>
                  <a:r>
                    <a:rPr lang="mt-MT"/>
                    <a:t>ljuni</a:t>
                  </a:r>
                  <a:endParaRPr lang="en-US"/>
                </a:p>
              </c:rich>
            </c:tx>
            <c:spPr>
              <a:noFill/>
              <a:ln>
                <a:noFill/>
              </a:ln>
              <a:effectLst/>
            </c:sp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897361111111098E-2"/>
          <c:y val="2.3178333333333332E-2"/>
          <c:w val="0.86112402777777775"/>
          <c:h val="0.8326195683872849"/>
        </c:manualLayout>
      </c:layout>
      <c:lineChart>
        <c:grouping val="standard"/>
        <c:varyColors val="0"/>
        <c:ser>
          <c:idx val="2"/>
          <c:order val="0"/>
          <c:tx>
            <c:strRef>
              <c:f>'Auctioning charts'!$D$1</c:f>
              <c:strCache>
                <c:ptCount val="1"/>
                <c:pt idx="0">
                  <c:v>Numru ta' Offerenti</c:v>
                </c:pt>
              </c:strCache>
            </c:strRef>
          </c:tx>
          <c:spPr>
            <a:ln>
              <a:noFill/>
            </a:ln>
          </c:spPr>
          <c:marker>
            <c:symbol val="circle"/>
            <c:size val="4"/>
            <c:spPr>
              <a:solidFill>
                <a:schemeClr val="tx2"/>
              </a:solidFill>
              <a:ln w="9525">
                <a:solidFill>
                  <a:schemeClr val="tx2"/>
                </a:solidFill>
                <a:miter lim="800000"/>
              </a:ln>
            </c:spPr>
          </c:marker>
          <c:cat>
            <c:numRef>
              <c:f>'Auctioning charts'!$A$2:$A$1648</c:f>
              <c:numCache>
                <c:formatCode>m/d/yyyy</c:formatCode>
                <c:ptCount val="1647"/>
                <c:pt idx="0">
                  <c:v>41281</c:v>
                </c:pt>
                <c:pt idx="1">
                  <c:v>41282</c:v>
                </c:pt>
                <c:pt idx="2">
                  <c:v>41284</c:v>
                </c:pt>
                <c:pt idx="3">
                  <c:v>41285</c:v>
                </c:pt>
                <c:pt idx="4">
                  <c:v>41288</c:v>
                </c:pt>
                <c:pt idx="5">
                  <c:v>41289</c:v>
                </c:pt>
                <c:pt idx="6">
                  <c:v>41290</c:v>
                </c:pt>
                <c:pt idx="7">
                  <c:v>41291</c:v>
                </c:pt>
                <c:pt idx="8">
                  <c:v>41295</c:v>
                </c:pt>
                <c:pt idx="9">
                  <c:v>41296</c:v>
                </c:pt>
                <c:pt idx="10">
                  <c:v>41298</c:v>
                </c:pt>
                <c:pt idx="11">
                  <c:v>41299</c:v>
                </c:pt>
                <c:pt idx="12">
                  <c:v>41302</c:v>
                </c:pt>
                <c:pt idx="13">
                  <c:v>41303</c:v>
                </c:pt>
                <c:pt idx="14">
                  <c:v>41304</c:v>
                </c:pt>
                <c:pt idx="15">
                  <c:v>41305</c:v>
                </c:pt>
                <c:pt idx="16">
                  <c:v>41306</c:v>
                </c:pt>
                <c:pt idx="17">
                  <c:v>41309</c:v>
                </c:pt>
                <c:pt idx="18">
                  <c:v>41310</c:v>
                </c:pt>
                <c:pt idx="19">
                  <c:v>41312</c:v>
                </c:pt>
                <c:pt idx="20">
                  <c:v>41313</c:v>
                </c:pt>
                <c:pt idx="21">
                  <c:v>41316</c:v>
                </c:pt>
                <c:pt idx="22">
                  <c:v>41317</c:v>
                </c:pt>
                <c:pt idx="23">
                  <c:v>41318</c:v>
                </c:pt>
                <c:pt idx="24">
                  <c:v>41319</c:v>
                </c:pt>
                <c:pt idx="25">
                  <c:v>41320</c:v>
                </c:pt>
                <c:pt idx="26">
                  <c:v>41323</c:v>
                </c:pt>
                <c:pt idx="27">
                  <c:v>41324</c:v>
                </c:pt>
                <c:pt idx="28">
                  <c:v>41326</c:v>
                </c:pt>
                <c:pt idx="29">
                  <c:v>41330</c:v>
                </c:pt>
                <c:pt idx="30">
                  <c:v>41331</c:v>
                </c:pt>
                <c:pt idx="31">
                  <c:v>41332</c:v>
                </c:pt>
                <c:pt idx="32">
                  <c:v>41333</c:v>
                </c:pt>
                <c:pt idx="33">
                  <c:v>41334</c:v>
                </c:pt>
                <c:pt idx="34">
                  <c:v>41337</c:v>
                </c:pt>
                <c:pt idx="35">
                  <c:v>41338</c:v>
                </c:pt>
                <c:pt idx="36">
                  <c:v>41340</c:v>
                </c:pt>
                <c:pt idx="37">
                  <c:v>41341</c:v>
                </c:pt>
                <c:pt idx="38">
                  <c:v>41344</c:v>
                </c:pt>
                <c:pt idx="39">
                  <c:v>41346</c:v>
                </c:pt>
                <c:pt idx="40">
                  <c:v>41347</c:v>
                </c:pt>
                <c:pt idx="41">
                  <c:v>41348</c:v>
                </c:pt>
                <c:pt idx="42">
                  <c:v>41351</c:v>
                </c:pt>
                <c:pt idx="43">
                  <c:v>41352</c:v>
                </c:pt>
                <c:pt idx="44">
                  <c:v>41354</c:v>
                </c:pt>
                <c:pt idx="45">
                  <c:v>41355</c:v>
                </c:pt>
                <c:pt idx="46">
                  <c:v>41358</c:v>
                </c:pt>
                <c:pt idx="47">
                  <c:v>41359</c:v>
                </c:pt>
                <c:pt idx="48">
                  <c:v>41360</c:v>
                </c:pt>
                <c:pt idx="49">
                  <c:v>41361</c:v>
                </c:pt>
                <c:pt idx="50">
                  <c:v>41366</c:v>
                </c:pt>
                <c:pt idx="51">
                  <c:v>41368</c:v>
                </c:pt>
                <c:pt idx="52">
                  <c:v>41369</c:v>
                </c:pt>
                <c:pt idx="53">
                  <c:v>41372</c:v>
                </c:pt>
                <c:pt idx="54">
                  <c:v>41373</c:v>
                </c:pt>
                <c:pt idx="55">
                  <c:v>41374</c:v>
                </c:pt>
                <c:pt idx="56">
                  <c:v>41375</c:v>
                </c:pt>
                <c:pt idx="57">
                  <c:v>41376</c:v>
                </c:pt>
                <c:pt idx="58">
                  <c:v>41379</c:v>
                </c:pt>
                <c:pt idx="59">
                  <c:v>41380</c:v>
                </c:pt>
                <c:pt idx="60">
                  <c:v>41382</c:v>
                </c:pt>
                <c:pt idx="61">
                  <c:v>41383</c:v>
                </c:pt>
                <c:pt idx="62">
                  <c:v>41386</c:v>
                </c:pt>
                <c:pt idx="63">
                  <c:v>41387</c:v>
                </c:pt>
                <c:pt idx="64">
                  <c:v>41388</c:v>
                </c:pt>
                <c:pt idx="65">
                  <c:v>41389</c:v>
                </c:pt>
                <c:pt idx="66">
                  <c:v>41390</c:v>
                </c:pt>
                <c:pt idx="67">
                  <c:v>41393</c:v>
                </c:pt>
                <c:pt idx="68">
                  <c:v>41394</c:v>
                </c:pt>
                <c:pt idx="69">
                  <c:v>41396</c:v>
                </c:pt>
                <c:pt idx="70">
                  <c:v>41397</c:v>
                </c:pt>
                <c:pt idx="71">
                  <c:v>41400</c:v>
                </c:pt>
                <c:pt idx="72">
                  <c:v>41401</c:v>
                </c:pt>
                <c:pt idx="73">
                  <c:v>41402</c:v>
                </c:pt>
                <c:pt idx="74">
                  <c:v>41404</c:v>
                </c:pt>
                <c:pt idx="75">
                  <c:v>41407</c:v>
                </c:pt>
                <c:pt idx="76">
                  <c:v>41408</c:v>
                </c:pt>
                <c:pt idx="77">
                  <c:v>41410</c:v>
                </c:pt>
                <c:pt idx="78">
                  <c:v>41411</c:v>
                </c:pt>
                <c:pt idx="79">
                  <c:v>41415</c:v>
                </c:pt>
                <c:pt idx="80">
                  <c:v>41416</c:v>
                </c:pt>
                <c:pt idx="81">
                  <c:v>41417</c:v>
                </c:pt>
                <c:pt idx="82">
                  <c:v>41418</c:v>
                </c:pt>
                <c:pt idx="83">
                  <c:v>41421</c:v>
                </c:pt>
                <c:pt idx="84">
                  <c:v>41422</c:v>
                </c:pt>
                <c:pt idx="85">
                  <c:v>41424</c:v>
                </c:pt>
                <c:pt idx="86">
                  <c:v>41425</c:v>
                </c:pt>
                <c:pt idx="87">
                  <c:v>41428</c:v>
                </c:pt>
                <c:pt idx="88">
                  <c:v>41429</c:v>
                </c:pt>
                <c:pt idx="89">
                  <c:v>41430</c:v>
                </c:pt>
                <c:pt idx="90">
                  <c:v>41431</c:v>
                </c:pt>
                <c:pt idx="91">
                  <c:v>41432</c:v>
                </c:pt>
                <c:pt idx="92">
                  <c:v>41435</c:v>
                </c:pt>
                <c:pt idx="93">
                  <c:v>41436</c:v>
                </c:pt>
                <c:pt idx="94">
                  <c:v>41438</c:v>
                </c:pt>
                <c:pt idx="95">
                  <c:v>41439</c:v>
                </c:pt>
                <c:pt idx="96">
                  <c:v>41442</c:v>
                </c:pt>
                <c:pt idx="97">
                  <c:v>41443</c:v>
                </c:pt>
                <c:pt idx="98">
                  <c:v>41444</c:v>
                </c:pt>
                <c:pt idx="99">
                  <c:v>41445</c:v>
                </c:pt>
                <c:pt idx="100">
                  <c:v>41446</c:v>
                </c:pt>
                <c:pt idx="101">
                  <c:v>41449</c:v>
                </c:pt>
                <c:pt idx="102">
                  <c:v>41450</c:v>
                </c:pt>
                <c:pt idx="103">
                  <c:v>41452</c:v>
                </c:pt>
                <c:pt idx="104">
                  <c:v>41453</c:v>
                </c:pt>
                <c:pt idx="105">
                  <c:v>41456</c:v>
                </c:pt>
                <c:pt idx="106">
                  <c:v>41457</c:v>
                </c:pt>
                <c:pt idx="107">
                  <c:v>41458</c:v>
                </c:pt>
                <c:pt idx="108">
                  <c:v>41459</c:v>
                </c:pt>
                <c:pt idx="109">
                  <c:v>41460</c:v>
                </c:pt>
                <c:pt idx="110">
                  <c:v>41463</c:v>
                </c:pt>
                <c:pt idx="111">
                  <c:v>41464</c:v>
                </c:pt>
                <c:pt idx="112">
                  <c:v>41466</c:v>
                </c:pt>
                <c:pt idx="113">
                  <c:v>41467</c:v>
                </c:pt>
                <c:pt idx="114">
                  <c:v>41470</c:v>
                </c:pt>
                <c:pt idx="115">
                  <c:v>41471</c:v>
                </c:pt>
                <c:pt idx="116">
                  <c:v>41472</c:v>
                </c:pt>
                <c:pt idx="117">
                  <c:v>41473</c:v>
                </c:pt>
                <c:pt idx="118">
                  <c:v>41474</c:v>
                </c:pt>
                <c:pt idx="119">
                  <c:v>41477</c:v>
                </c:pt>
                <c:pt idx="120">
                  <c:v>41478</c:v>
                </c:pt>
                <c:pt idx="121">
                  <c:v>41480</c:v>
                </c:pt>
                <c:pt idx="122">
                  <c:v>41481</c:v>
                </c:pt>
                <c:pt idx="123">
                  <c:v>41484</c:v>
                </c:pt>
                <c:pt idx="124">
                  <c:v>41485</c:v>
                </c:pt>
                <c:pt idx="125">
                  <c:v>41486</c:v>
                </c:pt>
                <c:pt idx="126">
                  <c:v>41487</c:v>
                </c:pt>
                <c:pt idx="127">
                  <c:v>41488</c:v>
                </c:pt>
                <c:pt idx="128">
                  <c:v>41491</c:v>
                </c:pt>
                <c:pt idx="129">
                  <c:v>41492</c:v>
                </c:pt>
                <c:pt idx="130">
                  <c:v>41494</c:v>
                </c:pt>
                <c:pt idx="131">
                  <c:v>41495</c:v>
                </c:pt>
                <c:pt idx="132">
                  <c:v>41498</c:v>
                </c:pt>
                <c:pt idx="133">
                  <c:v>41499</c:v>
                </c:pt>
                <c:pt idx="134">
                  <c:v>41500</c:v>
                </c:pt>
                <c:pt idx="135">
                  <c:v>41502</c:v>
                </c:pt>
                <c:pt idx="136">
                  <c:v>41505</c:v>
                </c:pt>
                <c:pt idx="137">
                  <c:v>41506</c:v>
                </c:pt>
                <c:pt idx="138">
                  <c:v>41508</c:v>
                </c:pt>
                <c:pt idx="139">
                  <c:v>41509</c:v>
                </c:pt>
                <c:pt idx="140">
                  <c:v>41513</c:v>
                </c:pt>
                <c:pt idx="141">
                  <c:v>41514</c:v>
                </c:pt>
                <c:pt idx="142">
                  <c:v>41515</c:v>
                </c:pt>
                <c:pt idx="143">
                  <c:v>41516</c:v>
                </c:pt>
                <c:pt idx="144">
                  <c:v>41519</c:v>
                </c:pt>
                <c:pt idx="145">
                  <c:v>41520</c:v>
                </c:pt>
                <c:pt idx="146">
                  <c:v>41522</c:v>
                </c:pt>
                <c:pt idx="147">
                  <c:v>41523</c:v>
                </c:pt>
                <c:pt idx="148">
                  <c:v>41526</c:v>
                </c:pt>
                <c:pt idx="149">
                  <c:v>41527</c:v>
                </c:pt>
                <c:pt idx="150">
                  <c:v>41528</c:v>
                </c:pt>
                <c:pt idx="151">
                  <c:v>41529</c:v>
                </c:pt>
                <c:pt idx="152">
                  <c:v>41530</c:v>
                </c:pt>
                <c:pt idx="153">
                  <c:v>41533</c:v>
                </c:pt>
                <c:pt idx="154">
                  <c:v>41533</c:v>
                </c:pt>
                <c:pt idx="155">
                  <c:v>41534</c:v>
                </c:pt>
                <c:pt idx="156">
                  <c:v>41536</c:v>
                </c:pt>
                <c:pt idx="157">
                  <c:v>41537</c:v>
                </c:pt>
                <c:pt idx="158">
                  <c:v>41540</c:v>
                </c:pt>
                <c:pt idx="159">
                  <c:v>41540</c:v>
                </c:pt>
                <c:pt idx="160">
                  <c:v>41541</c:v>
                </c:pt>
                <c:pt idx="161">
                  <c:v>41542</c:v>
                </c:pt>
                <c:pt idx="162">
                  <c:v>41543</c:v>
                </c:pt>
                <c:pt idx="163">
                  <c:v>41544</c:v>
                </c:pt>
                <c:pt idx="164">
                  <c:v>41547</c:v>
                </c:pt>
                <c:pt idx="165">
                  <c:v>41547</c:v>
                </c:pt>
                <c:pt idx="166">
                  <c:v>41548</c:v>
                </c:pt>
                <c:pt idx="167">
                  <c:v>41551</c:v>
                </c:pt>
                <c:pt idx="168">
                  <c:v>41554</c:v>
                </c:pt>
                <c:pt idx="169">
                  <c:v>41554</c:v>
                </c:pt>
                <c:pt idx="170">
                  <c:v>41555</c:v>
                </c:pt>
                <c:pt idx="171">
                  <c:v>41556</c:v>
                </c:pt>
                <c:pt idx="172">
                  <c:v>41557</c:v>
                </c:pt>
                <c:pt idx="173">
                  <c:v>41558</c:v>
                </c:pt>
                <c:pt idx="174">
                  <c:v>41561</c:v>
                </c:pt>
                <c:pt idx="175">
                  <c:v>41561</c:v>
                </c:pt>
                <c:pt idx="176">
                  <c:v>41562</c:v>
                </c:pt>
                <c:pt idx="177">
                  <c:v>41564</c:v>
                </c:pt>
                <c:pt idx="178">
                  <c:v>41565</c:v>
                </c:pt>
                <c:pt idx="179">
                  <c:v>41568</c:v>
                </c:pt>
                <c:pt idx="180">
                  <c:v>41568</c:v>
                </c:pt>
                <c:pt idx="181">
                  <c:v>41569</c:v>
                </c:pt>
                <c:pt idx="182">
                  <c:v>41570</c:v>
                </c:pt>
                <c:pt idx="183">
                  <c:v>41571</c:v>
                </c:pt>
                <c:pt idx="184">
                  <c:v>41572</c:v>
                </c:pt>
                <c:pt idx="185">
                  <c:v>41575</c:v>
                </c:pt>
                <c:pt idx="186">
                  <c:v>41575</c:v>
                </c:pt>
                <c:pt idx="187">
                  <c:v>41576</c:v>
                </c:pt>
                <c:pt idx="188">
                  <c:v>41578</c:v>
                </c:pt>
                <c:pt idx="189">
                  <c:v>41579</c:v>
                </c:pt>
                <c:pt idx="190">
                  <c:v>41582</c:v>
                </c:pt>
                <c:pt idx="191">
                  <c:v>41582</c:v>
                </c:pt>
                <c:pt idx="192">
                  <c:v>41583</c:v>
                </c:pt>
                <c:pt idx="193">
                  <c:v>41584</c:v>
                </c:pt>
                <c:pt idx="194">
                  <c:v>41585</c:v>
                </c:pt>
                <c:pt idx="195">
                  <c:v>41586</c:v>
                </c:pt>
                <c:pt idx="196">
                  <c:v>41589</c:v>
                </c:pt>
                <c:pt idx="197">
                  <c:v>41589</c:v>
                </c:pt>
                <c:pt idx="198">
                  <c:v>41590</c:v>
                </c:pt>
                <c:pt idx="199">
                  <c:v>41592</c:v>
                </c:pt>
                <c:pt idx="200">
                  <c:v>41593</c:v>
                </c:pt>
                <c:pt idx="201">
                  <c:v>41596</c:v>
                </c:pt>
                <c:pt idx="202">
                  <c:v>41596</c:v>
                </c:pt>
                <c:pt idx="203">
                  <c:v>41597</c:v>
                </c:pt>
                <c:pt idx="204">
                  <c:v>41598</c:v>
                </c:pt>
                <c:pt idx="205">
                  <c:v>41599</c:v>
                </c:pt>
                <c:pt idx="206">
                  <c:v>41600</c:v>
                </c:pt>
                <c:pt idx="207">
                  <c:v>41603</c:v>
                </c:pt>
                <c:pt idx="208">
                  <c:v>41603</c:v>
                </c:pt>
                <c:pt idx="209">
                  <c:v>41604</c:v>
                </c:pt>
                <c:pt idx="210">
                  <c:v>41606</c:v>
                </c:pt>
                <c:pt idx="211">
                  <c:v>41607</c:v>
                </c:pt>
                <c:pt idx="212">
                  <c:v>41610</c:v>
                </c:pt>
                <c:pt idx="213">
                  <c:v>41610</c:v>
                </c:pt>
                <c:pt idx="214">
                  <c:v>41611</c:v>
                </c:pt>
                <c:pt idx="215">
                  <c:v>41612</c:v>
                </c:pt>
                <c:pt idx="216">
                  <c:v>41613</c:v>
                </c:pt>
                <c:pt idx="217">
                  <c:v>41614</c:v>
                </c:pt>
                <c:pt idx="218">
                  <c:v>41617</c:v>
                </c:pt>
                <c:pt idx="219">
                  <c:v>41617</c:v>
                </c:pt>
                <c:pt idx="220">
                  <c:v>41618</c:v>
                </c:pt>
                <c:pt idx="221">
                  <c:v>41620</c:v>
                </c:pt>
                <c:pt idx="222">
                  <c:v>41621</c:v>
                </c:pt>
                <c:pt idx="223">
                  <c:v>41624</c:v>
                </c:pt>
                <c:pt idx="224">
                  <c:v>41624</c:v>
                </c:pt>
                <c:pt idx="225">
                  <c:v>41625</c:v>
                </c:pt>
                <c:pt idx="226">
                  <c:v>41646</c:v>
                </c:pt>
                <c:pt idx="227">
                  <c:v>41647</c:v>
                </c:pt>
                <c:pt idx="228">
                  <c:v>41648</c:v>
                </c:pt>
                <c:pt idx="229">
                  <c:v>41649</c:v>
                </c:pt>
                <c:pt idx="230">
                  <c:v>41652</c:v>
                </c:pt>
                <c:pt idx="231">
                  <c:v>41653</c:v>
                </c:pt>
                <c:pt idx="232">
                  <c:v>41654</c:v>
                </c:pt>
                <c:pt idx="233">
                  <c:v>41655</c:v>
                </c:pt>
                <c:pt idx="234">
                  <c:v>41656</c:v>
                </c:pt>
                <c:pt idx="235">
                  <c:v>41659</c:v>
                </c:pt>
                <c:pt idx="236">
                  <c:v>41660</c:v>
                </c:pt>
                <c:pt idx="237">
                  <c:v>41662</c:v>
                </c:pt>
                <c:pt idx="238">
                  <c:v>41663</c:v>
                </c:pt>
                <c:pt idx="239">
                  <c:v>41666</c:v>
                </c:pt>
                <c:pt idx="240">
                  <c:v>41667</c:v>
                </c:pt>
                <c:pt idx="241">
                  <c:v>41668</c:v>
                </c:pt>
                <c:pt idx="242">
                  <c:v>41669</c:v>
                </c:pt>
                <c:pt idx="243">
                  <c:v>41670</c:v>
                </c:pt>
                <c:pt idx="244">
                  <c:v>41673</c:v>
                </c:pt>
                <c:pt idx="245">
                  <c:v>41674</c:v>
                </c:pt>
                <c:pt idx="246">
                  <c:v>41675</c:v>
                </c:pt>
                <c:pt idx="247">
                  <c:v>41676</c:v>
                </c:pt>
                <c:pt idx="248">
                  <c:v>41677</c:v>
                </c:pt>
                <c:pt idx="249">
                  <c:v>41680</c:v>
                </c:pt>
                <c:pt idx="250">
                  <c:v>41681</c:v>
                </c:pt>
                <c:pt idx="251">
                  <c:v>41682</c:v>
                </c:pt>
                <c:pt idx="252">
                  <c:v>41683</c:v>
                </c:pt>
                <c:pt idx="253">
                  <c:v>41684</c:v>
                </c:pt>
                <c:pt idx="254">
                  <c:v>41687</c:v>
                </c:pt>
                <c:pt idx="255">
                  <c:v>41688</c:v>
                </c:pt>
                <c:pt idx="256">
                  <c:v>41690</c:v>
                </c:pt>
                <c:pt idx="257">
                  <c:v>41691</c:v>
                </c:pt>
                <c:pt idx="258">
                  <c:v>41694</c:v>
                </c:pt>
                <c:pt idx="259">
                  <c:v>41695</c:v>
                </c:pt>
                <c:pt idx="260">
                  <c:v>41696</c:v>
                </c:pt>
                <c:pt idx="261">
                  <c:v>41697</c:v>
                </c:pt>
                <c:pt idx="262">
                  <c:v>41698</c:v>
                </c:pt>
                <c:pt idx="263">
                  <c:v>41701</c:v>
                </c:pt>
                <c:pt idx="264">
                  <c:v>41702</c:v>
                </c:pt>
                <c:pt idx="265">
                  <c:v>41703</c:v>
                </c:pt>
                <c:pt idx="266">
                  <c:v>41704</c:v>
                </c:pt>
                <c:pt idx="267">
                  <c:v>41705</c:v>
                </c:pt>
                <c:pt idx="268">
                  <c:v>41708</c:v>
                </c:pt>
                <c:pt idx="269">
                  <c:v>41709</c:v>
                </c:pt>
                <c:pt idx="270">
                  <c:v>41710</c:v>
                </c:pt>
                <c:pt idx="271">
                  <c:v>41711</c:v>
                </c:pt>
                <c:pt idx="272">
                  <c:v>41712</c:v>
                </c:pt>
                <c:pt idx="273">
                  <c:v>41715</c:v>
                </c:pt>
                <c:pt idx="274">
                  <c:v>41716</c:v>
                </c:pt>
                <c:pt idx="275">
                  <c:v>41718</c:v>
                </c:pt>
                <c:pt idx="276">
                  <c:v>41719</c:v>
                </c:pt>
                <c:pt idx="277">
                  <c:v>41722</c:v>
                </c:pt>
                <c:pt idx="278">
                  <c:v>41723</c:v>
                </c:pt>
                <c:pt idx="279">
                  <c:v>41724</c:v>
                </c:pt>
                <c:pt idx="280">
                  <c:v>41725</c:v>
                </c:pt>
                <c:pt idx="281">
                  <c:v>41726</c:v>
                </c:pt>
                <c:pt idx="282">
                  <c:v>41729</c:v>
                </c:pt>
                <c:pt idx="283">
                  <c:v>41730</c:v>
                </c:pt>
                <c:pt idx="284">
                  <c:v>41732</c:v>
                </c:pt>
                <c:pt idx="285">
                  <c:v>41733</c:v>
                </c:pt>
                <c:pt idx="286">
                  <c:v>41736</c:v>
                </c:pt>
                <c:pt idx="287">
                  <c:v>41737</c:v>
                </c:pt>
                <c:pt idx="288">
                  <c:v>41738</c:v>
                </c:pt>
                <c:pt idx="289">
                  <c:v>41739</c:v>
                </c:pt>
                <c:pt idx="290">
                  <c:v>41740</c:v>
                </c:pt>
                <c:pt idx="291">
                  <c:v>41743</c:v>
                </c:pt>
                <c:pt idx="292">
                  <c:v>41744</c:v>
                </c:pt>
                <c:pt idx="293">
                  <c:v>41746</c:v>
                </c:pt>
                <c:pt idx="294">
                  <c:v>41751</c:v>
                </c:pt>
                <c:pt idx="295">
                  <c:v>41752</c:v>
                </c:pt>
                <c:pt idx="296">
                  <c:v>41753</c:v>
                </c:pt>
                <c:pt idx="297">
                  <c:v>41754</c:v>
                </c:pt>
                <c:pt idx="298">
                  <c:v>41757</c:v>
                </c:pt>
                <c:pt idx="299">
                  <c:v>41758</c:v>
                </c:pt>
                <c:pt idx="300">
                  <c:v>41761</c:v>
                </c:pt>
                <c:pt idx="301">
                  <c:v>41764</c:v>
                </c:pt>
                <c:pt idx="302">
                  <c:v>41765</c:v>
                </c:pt>
                <c:pt idx="303">
                  <c:v>41766</c:v>
                </c:pt>
                <c:pt idx="304">
                  <c:v>41767</c:v>
                </c:pt>
                <c:pt idx="305">
                  <c:v>41768</c:v>
                </c:pt>
                <c:pt idx="306">
                  <c:v>41771</c:v>
                </c:pt>
                <c:pt idx="307">
                  <c:v>41772</c:v>
                </c:pt>
                <c:pt idx="308">
                  <c:v>41774</c:v>
                </c:pt>
                <c:pt idx="309">
                  <c:v>41775</c:v>
                </c:pt>
                <c:pt idx="310">
                  <c:v>41778</c:v>
                </c:pt>
                <c:pt idx="311">
                  <c:v>41779</c:v>
                </c:pt>
                <c:pt idx="312">
                  <c:v>41780</c:v>
                </c:pt>
                <c:pt idx="313">
                  <c:v>41781</c:v>
                </c:pt>
                <c:pt idx="314">
                  <c:v>41782</c:v>
                </c:pt>
                <c:pt idx="315">
                  <c:v>41785</c:v>
                </c:pt>
                <c:pt idx="316">
                  <c:v>41786</c:v>
                </c:pt>
                <c:pt idx="317">
                  <c:v>41789</c:v>
                </c:pt>
                <c:pt idx="318">
                  <c:v>41792</c:v>
                </c:pt>
                <c:pt idx="319">
                  <c:v>41793</c:v>
                </c:pt>
                <c:pt idx="320">
                  <c:v>41794</c:v>
                </c:pt>
                <c:pt idx="321">
                  <c:v>41795</c:v>
                </c:pt>
                <c:pt idx="322">
                  <c:v>41796</c:v>
                </c:pt>
                <c:pt idx="323">
                  <c:v>41800</c:v>
                </c:pt>
                <c:pt idx="324">
                  <c:v>41802</c:v>
                </c:pt>
                <c:pt idx="325">
                  <c:v>41803</c:v>
                </c:pt>
                <c:pt idx="326">
                  <c:v>41806</c:v>
                </c:pt>
                <c:pt idx="327">
                  <c:v>41807</c:v>
                </c:pt>
                <c:pt idx="328">
                  <c:v>41808</c:v>
                </c:pt>
                <c:pt idx="329">
                  <c:v>41809</c:v>
                </c:pt>
                <c:pt idx="330">
                  <c:v>41810</c:v>
                </c:pt>
                <c:pt idx="331">
                  <c:v>41813</c:v>
                </c:pt>
                <c:pt idx="332">
                  <c:v>41814</c:v>
                </c:pt>
                <c:pt idx="333">
                  <c:v>41816</c:v>
                </c:pt>
                <c:pt idx="334">
                  <c:v>41817</c:v>
                </c:pt>
                <c:pt idx="335">
                  <c:v>41820</c:v>
                </c:pt>
                <c:pt idx="336">
                  <c:v>41821</c:v>
                </c:pt>
                <c:pt idx="337">
                  <c:v>41822</c:v>
                </c:pt>
                <c:pt idx="338">
                  <c:v>41823</c:v>
                </c:pt>
                <c:pt idx="339">
                  <c:v>41824</c:v>
                </c:pt>
                <c:pt idx="340">
                  <c:v>41827</c:v>
                </c:pt>
                <c:pt idx="341">
                  <c:v>41828</c:v>
                </c:pt>
                <c:pt idx="342">
                  <c:v>41830</c:v>
                </c:pt>
                <c:pt idx="343">
                  <c:v>41831</c:v>
                </c:pt>
                <c:pt idx="344">
                  <c:v>41834</c:v>
                </c:pt>
                <c:pt idx="345">
                  <c:v>41835</c:v>
                </c:pt>
                <c:pt idx="346">
                  <c:v>41836</c:v>
                </c:pt>
                <c:pt idx="347">
                  <c:v>41837</c:v>
                </c:pt>
                <c:pt idx="348">
                  <c:v>41838</c:v>
                </c:pt>
                <c:pt idx="349">
                  <c:v>41841</c:v>
                </c:pt>
                <c:pt idx="350">
                  <c:v>41842</c:v>
                </c:pt>
                <c:pt idx="351">
                  <c:v>41844</c:v>
                </c:pt>
                <c:pt idx="352">
                  <c:v>41845</c:v>
                </c:pt>
                <c:pt idx="353">
                  <c:v>41848</c:v>
                </c:pt>
                <c:pt idx="354">
                  <c:v>41849</c:v>
                </c:pt>
                <c:pt idx="355">
                  <c:v>41850</c:v>
                </c:pt>
                <c:pt idx="356">
                  <c:v>41851</c:v>
                </c:pt>
                <c:pt idx="357">
                  <c:v>41852</c:v>
                </c:pt>
                <c:pt idx="358">
                  <c:v>41855</c:v>
                </c:pt>
                <c:pt idx="359">
                  <c:v>41856</c:v>
                </c:pt>
                <c:pt idx="360">
                  <c:v>41858</c:v>
                </c:pt>
                <c:pt idx="361">
                  <c:v>41859</c:v>
                </c:pt>
                <c:pt idx="362">
                  <c:v>41862</c:v>
                </c:pt>
                <c:pt idx="363">
                  <c:v>41863</c:v>
                </c:pt>
                <c:pt idx="364">
                  <c:v>41864</c:v>
                </c:pt>
                <c:pt idx="365">
                  <c:v>41865</c:v>
                </c:pt>
                <c:pt idx="366">
                  <c:v>41866</c:v>
                </c:pt>
                <c:pt idx="367">
                  <c:v>41869</c:v>
                </c:pt>
                <c:pt idx="368">
                  <c:v>41870</c:v>
                </c:pt>
                <c:pt idx="369">
                  <c:v>41872</c:v>
                </c:pt>
                <c:pt idx="370">
                  <c:v>41873</c:v>
                </c:pt>
                <c:pt idx="371">
                  <c:v>41876</c:v>
                </c:pt>
                <c:pt idx="372">
                  <c:v>41877</c:v>
                </c:pt>
                <c:pt idx="373">
                  <c:v>41878</c:v>
                </c:pt>
                <c:pt idx="374">
                  <c:v>41879</c:v>
                </c:pt>
                <c:pt idx="375">
                  <c:v>41880</c:v>
                </c:pt>
                <c:pt idx="376">
                  <c:v>41883</c:v>
                </c:pt>
                <c:pt idx="377">
                  <c:v>41884</c:v>
                </c:pt>
                <c:pt idx="378">
                  <c:v>41886</c:v>
                </c:pt>
                <c:pt idx="379">
                  <c:v>41887</c:v>
                </c:pt>
                <c:pt idx="380">
                  <c:v>41890</c:v>
                </c:pt>
                <c:pt idx="381">
                  <c:v>41891</c:v>
                </c:pt>
                <c:pt idx="382">
                  <c:v>41892</c:v>
                </c:pt>
                <c:pt idx="383">
                  <c:v>41893</c:v>
                </c:pt>
                <c:pt idx="384">
                  <c:v>41894</c:v>
                </c:pt>
                <c:pt idx="385">
                  <c:v>41897</c:v>
                </c:pt>
                <c:pt idx="386">
                  <c:v>41898</c:v>
                </c:pt>
                <c:pt idx="387">
                  <c:v>41900</c:v>
                </c:pt>
                <c:pt idx="388">
                  <c:v>41901</c:v>
                </c:pt>
                <c:pt idx="389">
                  <c:v>41904</c:v>
                </c:pt>
                <c:pt idx="390">
                  <c:v>41905</c:v>
                </c:pt>
                <c:pt idx="391">
                  <c:v>41906</c:v>
                </c:pt>
                <c:pt idx="392">
                  <c:v>41907</c:v>
                </c:pt>
                <c:pt idx="393">
                  <c:v>41908</c:v>
                </c:pt>
                <c:pt idx="394">
                  <c:v>41911</c:v>
                </c:pt>
                <c:pt idx="395">
                  <c:v>41912</c:v>
                </c:pt>
                <c:pt idx="396">
                  <c:v>41914</c:v>
                </c:pt>
                <c:pt idx="397">
                  <c:v>41918</c:v>
                </c:pt>
                <c:pt idx="398">
                  <c:v>41919</c:v>
                </c:pt>
                <c:pt idx="399">
                  <c:v>41920</c:v>
                </c:pt>
                <c:pt idx="400">
                  <c:v>41921</c:v>
                </c:pt>
                <c:pt idx="401">
                  <c:v>41922</c:v>
                </c:pt>
                <c:pt idx="402">
                  <c:v>41925</c:v>
                </c:pt>
                <c:pt idx="403">
                  <c:v>41926</c:v>
                </c:pt>
                <c:pt idx="404">
                  <c:v>41928</c:v>
                </c:pt>
                <c:pt idx="405">
                  <c:v>41929</c:v>
                </c:pt>
                <c:pt idx="406">
                  <c:v>41932</c:v>
                </c:pt>
                <c:pt idx="407">
                  <c:v>41933</c:v>
                </c:pt>
                <c:pt idx="408">
                  <c:v>41934</c:v>
                </c:pt>
                <c:pt idx="409">
                  <c:v>41935</c:v>
                </c:pt>
                <c:pt idx="410">
                  <c:v>41936</c:v>
                </c:pt>
                <c:pt idx="411">
                  <c:v>41939</c:v>
                </c:pt>
                <c:pt idx="412">
                  <c:v>41940</c:v>
                </c:pt>
                <c:pt idx="413">
                  <c:v>41942</c:v>
                </c:pt>
                <c:pt idx="414">
                  <c:v>41943</c:v>
                </c:pt>
                <c:pt idx="415">
                  <c:v>41946</c:v>
                </c:pt>
                <c:pt idx="416">
                  <c:v>41947</c:v>
                </c:pt>
                <c:pt idx="417">
                  <c:v>41948</c:v>
                </c:pt>
                <c:pt idx="418">
                  <c:v>41949</c:v>
                </c:pt>
                <c:pt idx="419">
                  <c:v>41950</c:v>
                </c:pt>
                <c:pt idx="420">
                  <c:v>41953</c:v>
                </c:pt>
                <c:pt idx="421">
                  <c:v>41954</c:v>
                </c:pt>
                <c:pt idx="422">
                  <c:v>41956</c:v>
                </c:pt>
                <c:pt idx="423">
                  <c:v>41957</c:v>
                </c:pt>
                <c:pt idx="424">
                  <c:v>41960</c:v>
                </c:pt>
                <c:pt idx="425">
                  <c:v>41961</c:v>
                </c:pt>
                <c:pt idx="426">
                  <c:v>41962</c:v>
                </c:pt>
                <c:pt idx="427">
                  <c:v>41963</c:v>
                </c:pt>
                <c:pt idx="428">
                  <c:v>41964</c:v>
                </c:pt>
                <c:pt idx="429">
                  <c:v>41967</c:v>
                </c:pt>
                <c:pt idx="430">
                  <c:v>41968</c:v>
                </c:pt>
                <c:pt idx="431">
                  <c:v>41970</c:v>
                </c:pt>
                <c:pt idx="432">
                  <c:v>41971</c:v>
                </c:pt>
                <c:pt idx="433">
                  <c:v>41974</c:v>
                </c:pt>
                <c:pt idx="434">
                  <c:v>41975</c:v>
                </c:pt>
                <c:pt idx="435">
                  <c:v>41976</c:v>
                </c:pt>
                <c:pt idx="436">
                  <c:v>41977</c:v>
                </c:pt>
                <c:pt idx="437">
                  <c:v>41978</c:v>
                </c:pt>
                <c:pt idx="438">
                  <c:v>41981</c:v>
                </c:pt>
                <c:pt idx="439">
                  <c:v>41982</c:v>
                </c:pt>
                <c:pt idx="440">
                  <c:v>41984</c:v>
                </c:pt>
                <c:pt idx="441">
                  <c:v>41985</c:v>
                </c:pt>
                <c:pt idx="442">
                  <c:v>41988</c:v>
                </c:pt>
                <c:pt idx="443">
                  <c:v>41989</c:v>
                </c:pt>
                <c:pt idx="444">
                  <c:v>42011</c:v>
                </c:pt>
                <c:pt idx="445">
                  <c:v>42012</c:v>
                </c:pt>
                <c:pt idx="446">
                  <c:v>42013</c:v>
                </c:pt>
                <c:pt idx="447">
                  <c:v>42016</c:v>
                </c:pt>
                <c:pt idx="448">
                  <c:v>42017</c:v>
                </c:pt>
                <c:pt idx="449">
                  <c:v>42019</c:v>
                </c:pt>
                <c:pt idx="450">
                  <c:v>42020</c:v>
                </c:pt>
                <c:pt idx="451">
                  <c:v>42023</c:v>
                </c:pt>
                <c:pt idx="452">
                  <c:v>42024</c:v>
                </c:pt>
                <c:pt idx="453">
                  <c:v>42025</c:v>
                </c:pt>
                <c:pt idx="454">
                  <c:v>42026</c:v>
                </c:pt>
                <c:pt idx="455">
                  <c:v>42027</c:v>
                </c:pt>
                <c:pt idx="456">
                  <c:v>42030</c:v>
                </c:pt>
                <c:pt idx="457">
                  <c:v>42031</c:v>
                </c:pt>
                <c:pt idx="458">
                  <c:v>42032</c:v>
                </c:pt>
                <c:pt idx="459">
                  <c:v>42033</c:v>
                </c:pt>
                <c:pt idx="460">
                  <c:v>42034</c:v>
                </c:pt>
                <c:pt idx="461">
                  <c:v>42037</c:v>
                </c:pt>
                <c:pt idx="462">
                  <c:v>42038</c:v>
                </c:pt>
                <c:pt idx="463">
                  <c:v>42039</c:v>
                </c:pt>
                <c:pt idx="464">
                  <c:v>42040</c:v>
                </c:pt>
                <c:pt idx="465">
                  <c:v>42041</c:v>
                </c:pt>
                <c:pt idx="466">
                  <c:v>42044</c:v>
                </c:pt>
                <c:pt idx="467">
                  <c:v>42045</c:v>
                </c:pt>
                <c:pt idx="468">
                  <c:v>42047</c:v>
                </c:pt>
                <c:pt idx="469">
                  <c:v>42048</c:v>
                </c:pt>
                <c:pt idx="470">
                  <c:v>42051</c:v>
                </c:pt>
                <c:pt idx="471">
                  <c:v>42052</c:v>
                </c:pt>
                <c:pt idx="472">
                  <c:v>42053</c:v>
                </c:pt>
                <c:pt idx="473">
                  <c:v>42054</c:v>
                </c:pt>
                <c:pt idx="474">
                  <c:v>42055</c:v>
                </c:pt>
                <c:pt idx="475">
                  <c:v>42058</c:v>
                </c:pt>
                <c:pt idx="476">
                  <c:v>42059</c:v>
                </c:pt>
                <c:pt idx="477">
                  <c:v>42061</c:v>
                </c:pt>
                <c:pt idx="478">
                  <c:v>42062</c:v>
                </c:pt>
                <c:pt idx="479">
                  <c:v>42065</c:v>
                </c:pt>
                <c:pt idx="480">
                  <c:v>42066</c:v>
                </c:pt>
                <c:pt idx="481">
                  <c:v>42067</c:v>
                </c:pt>
                <c:pt idx="482">
                  <c:v>42068</c:v>
                </c:pt>
                <c:pt idx="483">
                  <c:v>42069</c:v>
                </c:pt>
                <c:pt idx="484">
                  <c:v>42072</c:v>
                </c:pt>
                <c:pt idx="485">
                  <c:v>42073</c:v>
                </c:pt>
                <c:pt idx="486">
                  <c:v>42075</c:v>
                </c:pt>
                <c:pt idx="487">
                  <c:v>42076</c:v>
                </c:pt>
                <c:pt idx="488">
                  <c:v>42079</c:v>
                </c:pt>
                <c:pt idx="489">
                  <c:v>42080</c:v>
                </c:pt>
                <c:pt idx="490">
                  <c:v>42081</c:v>
                </c:pt>
                <c:pt idx="491">
                  <c:v>42082</c:v>
                </c:pt>
                <c:pt idx="492">
                  <c:v>42083</c:v>
                </c:pt>
                <c:pt idx="493">
                  <c:v>42086</c:v>
                </c:pt>
                <c:pt idx="494">
                  <c:v>42087</c:v>
                </c:pt>
                <c:pt idx="495">
                  <c:v>42088</c:v>
                </c:pt>
                <c:pt idx="496">
                  <c:v>42089</c:v>
                </c:pt>
                <c:pt idx="497">
                  <c:v>42090</c:v>
                </c:pt>
                <c:pt idx="498">
                  <c:v>42093</c:v>
                </c:pt>
                <c:pt idx="499">
                  <c:v>42094</c:v>
                </c:pt>
                <c:pt idx="500">
                  <c:v>42095</c:v>
                </c:pt>
                <c:pt idx="501">
                  <c:v>42096</c:v>
                </c:pt>
                <c:pt idx="502">
                  <c:v>42101</c:v>
                </c:pt>
                <c:pt idx="503">
                  <c:v>42103</c:v>
                </c:pt>
                <c:pt idx="504">
                  <c:v>42104</c:v>
                </c:pt>
                <c:pt idx="505">
                  <c:v>42107</c:v>
                </c:pt>
                <c:pt idx="506">
                  <c:v>42108</c:v>
                </c:pt>
                <c:pt idx="507">
                  <c:v>42109</c:v>
                </c:pt>
                <c:pt idx="508">
                  <c:v>42110</c:v>
                </c:pt>
                <c:pt idx="509">
                  <c:v>42111</c:v>
                </c:pt>
                <c:pt idx="510">
                  <c:v>42114</c:v>
                </c:pt>
                <c:pt idx="511">
                  <c:v>42115</c:v>
                </c:pt>
                <c:pt idx="512">
                  <c:v>42117</c:v>
                </c:pt>
                <c:pt idx="513">
                  <c:v>42118</c:v>
                </c:pt>
                <c:pt idx="514">
                  <c:v>42121</c:v>
                </c:pt>
                <c:pt idx="515">
                  <c:v>42122</c:v>
                </c:pt>
                <c:pt idx="516">
                  <c:v>42123</c:v>
                </c:pt>
                <c:pt idx="517">
                  <c:v>42124</c:v>
                </c:pt>
                <c:pt idx="518">
                  <c:v>42129</c:v>
                </c:pt>
                <c:pt idx="519">
                  <c:v>42131</c:v>
                </c:pt>
                <c:pt idx="520">
                  <c:v>42132</c:v>
                </c:pt>
                <c:pt idx="521">
                  <c:v>42135</c:v>
                </c:pt>
                <c:pt idx="522">
                  <c:v>42136</c:v>
                </c:pt>
                <c:pt idx="523">
                  <c:v>42137</c:v>
                </c:pt>
                <c:pt idx="524">
                  <c:v>42139</c:v>
                </c:pt>
                <c:pt idx="525">
                  <c:v>42142</c:v>
                </c:pt>
                <c:pt idx="526">
                  <c:v>42143</c:v>
                </c:pt>
                <c:pt idx="527">
                  <c:v>42144</c:v>
                </c:pt>
                <c:pt idx="528">
                  <c:v>42145</c:v>
                </c:pt>
                <c:pt idx="529">
                  <c:v>42146</c:v>
                </c:pt>
                <c:pt idx="530">
                  <c:v>42150</c:v>
                </c:pt>
                <c:pt idx="531">
                  <c:v>42151</c:v>
                </c:pt>
                <c:pt idx="532">
                  <c:v>42152</c:v>
                </c:pt>
                <c:pt idx="533">
                  <c:v>42153</c:v>
                </c:pt>
                <c:pt idx="534">
                  <c:v>42156</c:v>
                </c:pt>
                <c:pt idx="535">
                  <c:v>42157</c:v>
                </c:pt>
                <c:pt idx="536">
                  <c:v>42160</c:v>
                </c:pt>
                <c:pt idx="537">
                  <c:v>42163</c:v>
                </c:pt>
                <c:pt idx="538">
                  <c:v>42164</c:v>
                </c:pt>
                <c:pt idx="539">
                  <c:v>42165</c:v>
                </c:pt>
                <c:pt idx="540">
                  <c:v>42166</c:v>
                </c:pt>
                <c:pt idx="541">
                  <c:v>42167</c:v>
                </c:pt>
                <c:pt idx="542">
                  <c:v>42170</c:v>
                </c:pt>
                <c:pt idx="543">
                  <c:v>42171</c:v>
                </c:pt>
                <c:pt idx="544">
                  <c:v>42173</c:v>
                </c:pt>
                <c:pt idx="545">
                  <c:v>42174</c:v>
                </c:pt>
                <c:pt idx="546">
                  <c:v>42177</c:v>
                </c:pt>
                <c:pt idx="547">
                  <c:v>42178</c:v>
                </c:pt>
                <c:pt idx="548">
                  <c:v>42179</c:v>
                </c:pt>
                <c:pt idx="549">
                  <c:v>42180</c:v>
                </c:pt>
                <c:pt idx="550">
                  <c:v>42181</c:v>
                </c:pt>
                <c:pt idx="551">
                  <c:v>42184</c:v>
                </c:pt>
                <c:pt idx="552">
                  <c:v>42185</c:v>
                </c:pt>
                <c:pt idx="553">
                  <c:v>42187</c:v>
                </c:pt>
                <c:pt idx="554">
                  <c:v>42188</c:v>
                </c:pt>
                <c:pt idx="555">
                  <c:v>42191</c:v>
                </c:pt>
                <c:pt idx="556">
                  <c:v>42192</c:v>
                </c:pt>
                <c:pt idx="557">
                  <c:v>42193</c:v>
                </c:pt>
                <c:pt idx="558">
                  <c:v>42194</c:v>
                </c:pt>
                <c:pt idx="559">
                  <c:v>42195</c:v>
                </c:pt>
                <c:pt idx="560">
                  <c:v>42198</c:v>
                </c:pt>
                <c:pt idx="561">
                  <c:v>42199</c:v>
                </c:pt>
                <c:pt idx="562">
                  <c:v>42201</c:v>
                </c:pt>
                <c:pt idx="563">
                  <c:v>42202</c:v>
                </c:pt>
                <c:pt idx="564">
                  <c:v>42205</c:v>
                </c:pt>
                <c:pt idx="565">
                  <c:v>42206</c:v>
                </c:pt>
                <c:pt idx="566">
                  <c:v>42207</c:v>
                </c:pt>
                <c:pt idx="567">
                  <c:v>42208</c:v>
                </c:pt>
                <c:pt idx="568">
                  <c:v>42209</c:v>
                </c:pt>
                <c:pt idx="569">
                  <c:v>42212</c:v>
                </c:pt>
                <c:pt idx="570">
                  <c:v>42213</c:v>
                </c:pt>
                <c:pt idx="571">
                  <c:v>42214</c:v>
                </c:pt>
                <c:pt idx="572">
                  <c:v>42215</c:v>
                </c:pt>
                <c:pt idx="573">
                  <c:v>42216</c:v>
                </c:pt>
                <c:pt idx="574">
                  <c:v>42219</c:v>
                </c:pt>
                <c:pt idx="575">
                  <c:v>42220</c:v>
                </c:pt>
                <c:pt idx="576">
                  <c:v>42221</c:v>
                </c:pt>
                <c:pt idx="577">
                  <c:v>42222</c:v>
                </c:pt>
                <c:pt idx="578">
                  <c:v>42223</c:v>
                </c:pt>
                <c:pt idx="579">
                  <c:v>42226</c:v>
                </c:pt>
                <c:pt idx="580">
                  <c:v>42227</c:v>
                </c:pt>
                <c:pt idx="581">
                  <c:v>42229</c:v>
                </c:pt>
                <c:pt idx="582">
                  <c:v>42230</c:v>
                </c:pt>
                <c:pt idx="583">
                  <c:v>42233</c:v>
                </c:pt>
                <c:pt idx="584">
                  <c:v>42234</c:v>
                </c:pt>
                <c:pt idx="585">
                  <c:v>42235</c:v>
                </c:pt>
                <c:pt idx="586">
                  <c:v>42236</c:v>
                </c:pt>
                <c:pt idx="587">
                  <c:v>42237</c:v>
                </c:pt>
                <c:pt idx="588">
                  <c:v>42240</c:v>
                </c:pt>
                <c:pt idx="589">
                  <c:v>42241</c:v>
                </c:pt>
                <c:pt idx="590">
                  <c:v>42243</c:v>
                </c:pt>
                <c:pt idx="591">
                  <c:v>42244</c:v>
                </c:pt>
                <c:pt idx="592">
                  <c:v>42248</c:v>
                </c:pt>
                <c:pt idx="593">
                  <c:v>42249</c:v>
                </c:pt>
                <c:pt idx="594">
                  <c:v>42250</c:v>
                </c:pt>
                <c:pt idx="595">
                  <c:v>42251</c:v>
                </c:pt>
                <c:pt idx="596">
                  <c:v>42254</c:v>
                </c:pt>
                <c:pt idx="597">
                  <c:v>42255</c:v>
                </c:pt>
                <c:pt idx="598">
                  <c:v>42257</c:v>
                </c:pt>
                <c:pt idx="599">
                  <c:v>42258</c:v>
                </c:pt>
                <c:pt idx="600">
                  <c:v>42261</c:v>
                </c:pt>
                <c:pt idx="601">
                  <c:v>42262</c:v>
                </c:pt>
                <c:pt idx="602">
                  <c:v>42263</c:v>
                </c:pt>
                <c:pt idx="603">
                  <c:v>42264</c:v>
                </c:pt>
                <c:pt idx="604">
                  <c:v>42265</c:v>
                </c:pt>
                <c:pt idx="605">
                  <c:v>42268</c:v>
                </c:pt>
                <c:pt idx="606">
                  <c:v>42269</c:v>
                </c:pt>
                <c:pt idx="607">
                  <c:v>42270</c:v>
                </c:pt>
                <c:pt idx="608">
                  <c:v>42271</c:v>
                </c:pt>
                <c:pt idx="609">
                  <c:v>42272</c:v>
                </c:pt>
                <c:pt idx="610">
                  <c:v>42275</c:v>
                </c:pt>
                <c:pt idx="611">
                  <c:v>42276</c:v>
                </c:pt>
                <c:pt idx="612">
                  <c:v>42277</c:v>
                </c:pt>
                <c:pt idx="613">
                  <c:v>42278</c:v>
                </c:pt>
                <c:pt idx="614">
                  <c:v>42279</c:v>
                </c:pt>
                <c:pt idx="615">
                  <c:v>42282</c:v>
                </c:pt>
                <c:pt idx="616">
                  <c:v>42283</c:v>
                </c:pt>
                <c:pt idx="617">
                  <c:v>42285</c:v>
                </c:pt>
                <c:pt idx="618">
                  <c:v>42286</c:v>
                </c:pt>
                <c:pt idx="619">
                  <c:v>42289</c:v>
                </c:pt>
                <c:pt idx="620">
                  <c:v>42290</c:v>
                </c:pt>
                <c:pt idx="621">
                  <c:v>42291</c:v>
                </c:pt>
                <c:pt idx="622">
                  <c:v>42292</c:v>
                </c:pt>
                <c:pt idx="623">
                  <c:v>42293</c:v>
                </c:pt>
                <c:pt idx="624">
                  <c:v>42296</c:v>
                </c:pt>
                <c:pt idx="625">
                  <c:v>42297</c:v>
                </c:pt>
                <c:pt idx="626">
                  <c:v>42299</c:v>
                </c:pt>
                <c:pt idx="627">
                  <c:v>42300</c:v>
                </c:pt>
                <c:pt idx="628">
                  <c:v>42303</c:v>
                </c:pt>
                <c:pt idx="629">
                  <c:v>42304</c:v>
                </c:pt>
                <c:pt idx="630">
                  <c:v>42305</c:v>
                </c:pt>
                <c:pt idx="631">
                  <c:v>42306</c:v>
                </c:pt>
                <c:pt idx="632">
                  <c:v>42307</c:v>
                </c:pt>
                <c:pt idx="633">
                  <c:v>42310</c:v>
                </c:pt>
                <c:pt idx="634">
                  <c:v>42311</c:v>
                </c:pt>
                <c:pt idx="635">
                  <c:v>42313</c:v>
                </c:pt>
                <c:pt idx="636">
                  <c:v>42314</c:v>
                </c:pt>
                <c:pt idx="637">
                  <c:v>42317</c:v>
                </c:pt>
                <c:pt idx="638">
                  <c:v>42318</c:v>
                </c:pt>
                <c:pt idx="639">
                  <c:v>42319</c:v>
                </c:pt>
                <c:pt idx="640">
                  <c:v>42320</c:v>
                </c:pt>
                <c:pt idx="641">
                  <c:v>42321</c:v>
                </c:pt>
                <c:pt idx="642">
                  <c:v>42324</c:v>
                </c:pt>
                <c:pt idx="643">
                  <c:v>42325</c:v>
                </c:pt>
                <c:pt idx="644">
                  <c:v>42326</c:v>
                </c:pt>
                <c:pt idx="645">
                  <c:v>42327</c:v>
                </c:pt>
                <c:pt idx="646">
                  <c:v>42328</c:v>
                </c:pt>
                <c:pt idx="647">
                  <c:v>42331</c:v>
                </c:pt>
                <c:pt idx="648">
                  <c:v>42332</c:v>
                </c:pt>
                <c:pt idx="649">
                  <c:v>42333</c:v>
                </c:pt>
                <c:pt idx="650">
                  <c:v>42334</c:v>
                </c:pt>
                <c:pt idx="651">
                  <c:v>42335</c:v>
                </c:pt>
                <c:pt idx="652">
                  <c:v>42338</c:v>
                </c:pt>
                <c:pt idx="653">
                  <c:v>42339</c:v>
                </c:pt>
                <c:pt idx="654">
                  <c:v>42341</c:v>
                </c:pt>
                <c:pt idx="655">
                  <c:v>42342</c:v>
                </c:pt>
                <c:pt idx="656">
                  <c:v>42345</c:v>
                </c:pt>
                <c:pt idx="657">
                  <c:v>42346</c:v>
                </c:pt>
                <c:pt idx="658">
                  <c:v>42347</c:v>
                </c:pt>
                <c:pt idx="659">
                  <c:v>42348</c:v>
                </c:pt>
                <c:pt idx="660">
                  <c:v>42349</c:v>
                </c:pt>
                <c:pt idx="661">
                  <c:v>42352</c:v>
                </c:pt>
                <c:pt idx="662">
                  <c:v>42353</c:v>
                </c:pt>
                <c:pt idx="663">
                  <c:v>42355</c:v>
                </c:pt>
                <c:pt idx="664">
                  <c:v>42380</c:v>
                </c:pt>
                <c:pt idx="665">
                  <c:v>42381</c:v>
                </c:pt>
                <c:pt idx="666">
                  <c:v>42382</c:v>
                </c:pt>
                <c:pt idx="667">
                  <c:v>42383</c:v>
                </c:pt>
                <c:pt idx="668">
                  <c:v>42384</c:v>
                </c:pt>
                <c:pt idx="669">
                  <c:v>42387</c:v>
                </c:pt>
                <c:pt idx="670">
                  <c:v>42388</c:v>
                </c:pt>
                <c:pt idx="671">
                  <c:v>42390</c:v>
                </c:pt>
                <c:pt idx="672">
                  <c:v>42391</c:v>
                </c:pt>
                <c:pt idx="673">
                  <c:v>42394</c:v>
                </c:pt>
                <c:pt idx="674">
                  <c:v>42395</c:v>
                </c:pt>
                <c:pt idx="675">
                  <c:v>42396</c:v>
                </c:pt>
                <c:pt idx="676">
                  <c:v>42397</c:v>
                </c:pt>
                <c:pt idx="677">
                  <c:v>42398</c:v>
                </c:pt>
                <c:pt idx="678">
                  <c:v>42401</c:v>
                </c:pt>
                <c:pt idx="679">
                  <c:v>42402</c:v>
                </c:pt>
                <c:pt idx="680">
                  <c:v>42403</c:v>
                </c:pt>
                <c:pt idx="681">
                  <c:v>42404</c:v>
                </c:pt>
                <c:pt idx="682">
                  <c:v>42405</c:v>
                </c:pt>
                <c:pt idx="683">
                  <c:v>42408</c:v>
                </c:pt>
                <c:pt idx="684">
                  <c:v>42409</c:v>
                </c:pt>
                <c:pt idx="685">
                  <c:v>42410</c:v>
                </c:pt>
                <c:pt idx="686">
                  <c:v>42411</c:v>
                </c:pt>
                <c:pt idx="687">
                  <c:v>42412</c:v>
                </c:pt>
                <c:pt idx="688">
                  <c:v>42415</c:v>
                </c:pt>
                <c:pt idx="689">
                  <c:v>42416</c:v>
                </c:pt>
                <c:pt idx="690">
                  <c:v>42418</c:v>
                </c:pt>
                <c:pt idx="691">
                  <c:v>42419</c:v>
                </c:pt>
                <c:pt idx="692">
                  <c:v>42422</c:v>
                </c:pt>
                <c:pt idx="693">
                  <c:v>42423</c:v>
                </c:pt>
                <c:pt idx="694">
                  <c:v>42424</c:v>
                </c:pt>
                <c:pt idx="695">
                  <c:v>42425</c:v>
                </c:pt>
                <c:pt idx="696">
                  <c:v>42426</c:v>
                </c:pt>
                <c:pt idx="697">
                  <c:v>42429</c:v>
                </c:pt>
                <c:pt idx="698">
                  <c:v>42430</c:v>
                </c:pt>
                <c:pt idx="699">
                  <c:v>42431</c:v>
                </c:pt>
                <c:pt idx="700">
                  <c:v>42432</c:v>
                </c:pt>
                <c:pt idx="701">
                  <c:v>42433</c:v>
                </c:pt>
                <c:pt idx="702">
                  <c:v>42436</c:v>
                </c:pt>
                <c:pt idx="703">
                  <c:v>42437</c:v>
                </c:pt>
                <c:pt idx="704">
                  <c:v>42438</c:v>
                </c:pt>
                <c:pt idx="705">
                  <c:v>42439</c:v>
                </c:pt>
                <c:pt idx="706">
                  <c:v>42440</c:v>
                </c:pt>
                <c:pt idx="707">
                  <c:v>42443</c:v>
                </c:pt>
                <c:pt idx="708">
                  <c:v>42444</c:v>
                </c:pt>
                <c:pt idx="709">
                  <c:v>42446</c:v>
                </c:pt>
                <c:pt idx="710">
                  <c:v>42447</c:v>
                </c:pt>
                <c:pt idx="711">
                  <c:v>42450</c:v>
                </c:pt>
                <c:pt idx="712">
                  <c:v>42451</c:v>
                </c:pt>
                <c:pt idx="713">
                  <c:v>42452</c:v>
                </c:pt>
                <c:pt idx="714">
                  <c:v>42453</c:v>
                </c:pt>
                <c:pt idx="715">
                  <c:v>42458</c:v>
                </c:pt>
                <c:pt idx="716">
                  <c:v>42459</c:v>
                </c:pt>
                <c:pt idx="717">
                  <c:v>42460</c:v>
                </c:pt>
                <c:pt idx="718">
                  <c:v>42461</c:v>
                </c:pt>
                <c:pt idx="719">
                  <c:v>42464</c:v>
                </c:pt>
                <c:pt idx="720">
                  <c:v>42465</c:v>
                </c:pt>
                <c:pt idx="721">
                  <c:v>42466</c:v>
                </c:pt>
                <c:pt idx="722">
                  <c:v>42467</c:v>
                </c:pt>
                <c:pt idx="723">
                  <c:v>42468</c:v>
                </c:pt>
                <c:pt idx="724">
                  <c:v>42471</c:v>
                </c:pt>
                <c:pt idx="725">
                  <c:v>42472</c:v>
                </c:pt>
                <c:pt idx="726">
                  <c:v>42474</c:v>
                </c:pt>
                <c:pt idx="727">
                  <c:v>42475</c:v>
                </c:pt>
                <c:pt idx="728">
                  <c:v>42478</c:v>
                </c:pt>
                <c:pt idx="729">
                  <c:v>42479</c:v>
                </c:pt>
                <c:pt idx="730">
                  <c:v>42480</c:v>
                </c:pt>
                <c:pt idx="731">
                  <c:v>42481</c:v>
                </c:pt>
                <c:pt idx="732">
                  <c:v>42482</c:v>
                </c:pt>
                <c:pt idx="733">
                  <c:v>42485</c:v>
                </c:pt>
                <c:pt idx="734">
                  <c:v>42486</c:v>
                </c:pt>
                <c:pt idx="735">
                  <c:v>42487</c:v>
                </c:pt>
                <c:pt idx="736">
                  <c:v>42488</c:v>
                </c:pt>
                <c:pt idx="737">
                  <c:v>42489</c:v>
                </c:pt>
                <c:pt idx="738">
                  <c:v>42493</c:v>
                </c:pt>
                <c:pt idx="739">
                  <c:v>42494</c:v>
                </c:pt>
                <c:pt idx="740">
                  <c:v>42496</c:v>
                </c:pt>
                <c:pt idx="741">
                  <c:v>42499</c:v>
                </c:pt>
                <c:pt idx="742">
                  <c:v>42500</c:v>
                </c:pt>
                <c:pt idx="743">
                  <c:v>42502</c:v>
                </c:pt>
                <c:pt idx="744">
                  <c:v>42503</c:v>
                </c:pt>
                <c:pt idx="745">
                  <c:v>42507</c:v>
                </c:pt>
                <c:pt idx="746">
                  <c:v>42508</c:v>
                </c:pt>
                <c:pt idx="747">
                  <c:v>42509</c:v>
                </c:pt>
                <c:pt idx="748">
                  <c:v>42510</c:v>
                </c:pt>
                <c:pt idx="749">
                  <c:v>42513</c:v>
                </c:pt>
                <c:pt idx="750">
                  <c:v>42514</c:v>
                </c:pt>
                <c:pt idx="751">
                  <c:v>42517</c:v>
                </c:pt>
                <c:pt idx="752">
                  <c:v>42521</c:v>
                </c:pt>
                <c:pt idx="753">
                  <c:v>42522</c:v>
                </c:pt>
                <c:pt idx="754">
                  <c:v>42523</c:v>
                </c:pt>
                <c:pt idx="755">
                  <c:v>42524</c:v>
                </c:pt>
                <c:pt idx="756">
                  <c:v>42527</c:v>
                </c:pt>
                <c:pt idx="757">
                  <c:v>42528</c:v>
                </c:pt>
                <c:pt idx="758">
                  <c:v>42530</c:v>
                </c:pt>
                <c:pt idx="759">
                  <c:v>42531</c:v>
                </c:pt>
                <c:pt idx="760">
                  <c:v>42534</c:v>
                </c:pt>
                <c:pt idx="761">
                  <c:v>42535</c:v>
                </c:pt>
                <c:pt idx="762">
                  <c:v>42536</c:v>
                </c:pt>
                <c:pt idx="763">
                  <c:v>42537</c:v>
                </c:pt>
                <c:pt idx="764">
                  <c:v>42538</c:v>
                </c:pt>
                <c:pt idx="765">
                  <c:v>42541</c:v>
                </c:pt>
                <c:pt idx="766">
                  <c:v>42542</c:v>
                </c:pt>
                <c:pt idx="767">
                  <c:v>42543</c:v>
                </c:pt>
                <c:pt idx="768">
                  <c:v>42544</c:v>
                </c:pt>
                <c:pt idx="769">
                  <c:v>42545</c:v>
                </c:pt>
                <c:pt idx="770">
                  <c:v>42548</c:v>
                </c:pt>
                <c:pt idx="771">
                  <c:v>42549</c:v>
                </c:pt>
                <c:pt idx="772">
                  <c:v>42550</c:v>
                </c:pt>
                <c:pt idx="773">
                  <c:v>42551</c:v>
                </c:pt>
                <c:pt idx="774">
                  <c:v>42552</c:v>
                </c:pt>
                <c:pt idx="775">
                  <c:v>42555</c:v>
                </c:pt>
                <c:pt idx="776">
                  <c:v>42556</c:v>
                </c:pt>
                <c:pt idx="777">
                  <c:v>42558</c:v>
                </c:pt>
                <c:pt idx="778">
                  <c:v>42559</c:v>
                </c:pt>
                <c:pt idx="779">
                  <c:v>42562</c:v>
                </c:pt>
                <c:pt idx="780">
                  <c:v>42563</c:v>
                </c:pt>
                <c:pt idx="781">
                  <c:v>42564</c:v>
                </c:pt>
                <c:pt idx="782">
                  <c:v>42565</c:v>
                </c:pt>
                <c:pt idx="783">
                  <c:v>42566</c:v>
                </c:pt>
                <c:pt idx="784">
                  <c:v>42569</c:v>
                </c:pt>
                <c:pt idx="785">
                  <c:v>42570</c:v>
                </c:pt>
                <c:pt idx="786">
                  <c:v>42571</c:v>
                </c:pt>
                <c:pt idx="787">
                  <c:v>42572</c:v>
                </c:pt>
                <c:pt idx="788">
                  <c:v>42573</c:v>
                </c:pt>
                <c:pt idx="789">
                  <c:v>42576</c:v>
                </c:pt>
                <c:pt idx="790">
                  <c:v>42577</c:v>
                </c:pt>
                <c:pt idx="791">
                  <c:v>42578</c:v>
                </c:pt>
                <c:pt idx="792">
                  <c:v>42579</c:v>
                </c:pt>
                <c:pt idx="793">
                  <c:v>42580</c:v>
                </c:pt>
                <c:pt idx="794">
                  <c:v>42583</c:v>
                </c:pt>
                <c:pt idx="795">
                  <c:v>42584</c:v>
                </c:pt>
                <c:pt idx="796">
                  <c:v>42586</c:v>
                </c:pt>
                <c:pt idx="797">
                  <c:v>42587</c:v>
                </c:pt>
                <c:pt idx="798">
                  <c:v>42590</c:v>
                </c:pt>
                <c:pt idx="799">
                  <c:v>42591</c:v>
                </c:pt>
                <c:pt idx="800">
                  <c:v>42592</c:v>
                </c:pt>
                <c:pt idx="801">
                  <c:v>42593</c:v>
                </c:pt>
                <c:pt idx="802">
                  <c:v>42594</c:v>
                </c:pt>
                <c:pt idx="803">
                  <c:v>42598</c:v>
                </c:pt>
                <c:pt idx="804">
                  <c:v>42599</c:v>
                </c:pt>
                <c:pt idx="805">
                  <c:v>42600</c:v>
                </c:pt>
                <c:pt idx="806">
                  <c:v>42601</c:v>
                </c:pt>
                <c:pt idx="807">
                  <c:v>42606</c:v>
                </c:pt>
                <c:pt idx="808">
                  <c:v>42608</c:v>
                </c:pt>
                <c:pt idx="809">
                  <c:v>42615</c:v>
                </c:pt>
                <c:pt idx="810">
                  <c:v>42618</c:v>
                </c:pt>
                <c:pt idx="811">
                  <c:v>42619</c:v>
                </c:pt>
                <c:pt idx="812">
                  <c:v>42620</c:v>
                </c:pt>
                <c:pt idx="813">
                  <c:v>42621</c:v>
                </c:pt>
                <c:pt idx="814">
                  <c:v>42622</c:v>
                </c:pt>
                <c:pt idx="815">
                  <c:v>42625</c:v>
                </c:pt>
                <c:pt idx="816">
                  <c:v>42626</c:v>
                </c:pt>
                <c:pt idx="817">
                  <c:v>42628</c:v>
                </c:pt>
                <c:pt idx="818">
                  <c:v>42629</c:v>
                </c:pt>
                <c:pt idx="819">
                  <c:v>42632</c:v>
                </c:pt>
                <c:pt idx="820">
                  <c:v>42633</c:v>
                </c:pt>
                <c:pt idx="821">
                  <c:v>42634</c:v>
                </c:pt>
                <c:pt idx="822">
                  <c:v>42635</c:v>
                </c:pt>
                <c:pt idx="823">
                  <c:v>42636</c:v>
                </c:pt>
                <c:pt idx="824">
                  <c:v>42639</c:v>
                </c:pt>
                <c:pt idx="825">
                  <c:v>42640</c:v>
                </c:pt>
                <c:pt idx="826">
                  <c:v>42641</c:v>
                </c:pt>
                <c:pt idx="827">
                  <c:v>42642</c:v>
                </c:pt>
                <c:pt idx="828">
                  <c:v>42643</c:v>
                </c:pt>
                <c:pt idx="829">
                  <c:v>42647</c:v>
                </c:pt>
                <c:pt idx="830">
                  <c:v>42648</c:v>
                </c:pt>
                <c:pt idx="831">
                  <c:v>42649</c:v>
                </c:pt>
                <c:pt idx="832">
                  <c:v>42650</c:v>
                </c:pt>
                <c:pt idx="833">
                  <c:v>42653</c:v>
                </c:pt>
                <c:pt idx="834">
                  <c:v>42654</c:v>
                </c:pt>
                <c:pt idx="835">
                  <c:v>42656</c:v>
                </c:pt>
                <c:pt idx="836">
                  <c:v>42657</c:v>
                </c:pt>
                <c:pt idx="837">
                  <c:v>42660</c:v>
                </c:pt>
                <c:pt idx="838">
                  <c:v>42661</c:v>
                </c:pt>
                <c:pt idx="839">
                  <c:v>42662</c:v>
                </c:pt>
                <c:pt idx="840">
                  <c:v>42663</c:v>
                </c:pt>
                <c:pt idx="841">
                  <c:v>42664</c:v>
                </c:pt>
                <c:pt idx="842">
                  <c:v>42667</c:v>
                </c:pt>
                <c:pt idx="843">
                  <c:v>42668</c:v>
                </c:pt>
                <c:pt idx="844">
                  <c:v>42670</c:v>
                </c:pt>
                <c:pt idx="845">
                  <c:v>42671</c:v>
                </c:pt>
                <c:pt idx="846">
                  <c:v>42674</c:v>
                </c:pt>
                <c:pt idx="847">
                  <c:v>42676</c:v>
                </c:pt>
                <c:pt idx="848">
                  <c:v>42677</c:v>
                </c:pt>
                <c:pt idx="849">
                  <c:v>42678</c:v>
                </c:pt>
                <c:pt idx="850">
                  <c:v>42681</c:v>
                </c:pt>
                <c:pt idx="851">
                  <c:v>42682</c:v>
                </c:pt>
                <c:pt idx="852">
                  <c:v>42684</c:v>
                </c:pt>
                <c:pt idx="853">
                  <c:v>42685</c:v>
                </c:pt>
                <c:pt idx="854">
                  <c:v>42688</c:v>
                </c:pt>
                <c:pt idx="855">
                  <c:v>42689</c:v>
                </c:pt>
                <c:pt idx="856">
                  <c:v>42690</c:v>
                </c:pt>
                <c:pt idx="857">
                  <c:v>42691</c:v>
                </c:pt>
                <c:pt idx="858">
                  <c:v>42692</c:v>
                </c:pt>
                <c:pt idx="859">
                  <c:v>42695</c:v>
                </c:pt>
                <c:pt idx="860">
                  <c:v>42696</c:v>
                </c:pt>
                <c:pt idx="861">
                  <c:v>42697</c:v>
                </c:pt>
                <c:pt idx="862">
                  <c:v>42698</c:v>
                </c:pt>
                <c:pt idx="863">
                  <c:v>42699</c:v>
                </c:pt>
                <c:pt idx="864">
                  <c:v>42702</c:v>
                </c:pt>
                <c:pt idx="865">
                  <c:v>42703</c:v>
                </c:pt>
                <c:pt idx="866">
                  <c:v>42704</c:v>
                </c:pt>
                <c:pt idx="867">
                  <c:v>42705</c:v>
                </c:pt>
                <c:pt idx="868">
                  <c:v>42706</c:v>
                </c:pt>
                <c:pt idx="869">
                  <c:v>42709</c:v>
                </c:pt>
                <c:pt idx="870">
                  <c:v>42710</c:v>
                </c:pt>
                <c:pt idx="871">
                  <c:v>42712</c:v>
                </c:pt>
                <c:pt idx="872">
                  <c:v>42713</c:v>
                </c:pt>
                <c:pt idx="873">
                  <c:v>42716</c:v>
                </c:pt>
                <c:pt idx="874">
                  <c:v>42717</c:v>
                </c:pt>
                <c:pt idx="875">
                  <c:v>42719</c:v>
                </c:pt>
                <c:pt idx="876">
                  <c:v>42720</c:v>
                </c:pt>
                <c:pt idx="877">
                  <c:v>42744</c:v>
                </c:pt>
                <c:pt idx="878">
                  <c:v>42745</c:v>
                </c:pt>
                <c:pt idx="879">
                  <c:v>42746</c:v>
                </c:pt>
                <c:pt idx="880">
                  <c:v>42747</c:v>
                </c:pt>
                <c:pt idx="881">
                  <c:v>42748</c:v>
                </c:pt>
                <c:pt idx="882">
                  <c:v>42751</c:v>
                </c:pt>
                <c:pt idx="883">
                  <c:v>42752</c:v>
                </c:pt>
                <c:pt idx="884">
                  <c:v>42754</c:v>
                </c:pt>
                <c:pt idx="885">
                  <c:v>42755</c:v>
                </c:pt>
                <c:pt idx="886">
                  <c:v>42758</c:v>
                </c:pt>
                <c:pt idx="887">
                  <c:v>42759</c:v>
                </c:pt>
                <c:pt idx="888">
                  <c:v>42760</c:v>
                </c:pt>
                <c:pt idx="889">
                  <c:v>42761</c:v>
                </c:pt>
                <c:pt idx="890">
                  <c:v>42762</c:v>
                </c:pt>
                <c:pt idx="891">
                  <c:v>42765</c:v>
                </c:pt>
                <c:pt idx="892">
                  <c:v>42766</c:v>
                </c:pt>
                <c:pt idx="893">
                  <c:v>42768</c:v>
                </c:pt>
                <c:pt idx="894">
                  <c:v>42769</c:v>
                </c:pt>
                <c:pt idx="895">
                  <c:v>42772</c:v>
                </c:pt>
                <c:pt idx="896">
                  <c:v>42773</c:v>
                </c:pt>
                <c:pt idx="897">
                  <c:v>42774</c:v>
                </c:pt>
                <c:pt idx="898">
                  <c:v>42775</c:v>
                </c:pt>
                <c:pt idx="899">
                  <c:v>42776</c:v>
                </c:pt>
                <c:pt idx="900">
                  <c:v>42779</c:v>
                </c:pt>
                <c:pt idx="901">
                  <c:v>42780</c:v>
                </c:pt>
                <c:pt idx="902">
                  <c:v>42782</c:v>
                </c:pt>
                <c:pt idx="903">
                  <c:v>42783</c:v>
                </c:pt>
                <c:pt idx="904">
                  <c:v>42786</c:v>
                </c:pt>
                <c:pt idx="905">
                  <c:v>42787</c:v>
                </c:pt>
                <c:pt idx="906">
                  <c:v>42788</c:v>
                </c:pt>
                <c:pt idx="907">
                  <c:v>42789</c:v>
                </c:pt>
                <c:pt idx="908">
                  <c:v>42790</c:v>
                </c:pt>
                <c:pt idx="909">
                  <c:v>42793</c:v>
                </c:pt>
                <c:pt idx="910">
                  <c:v>42794</c:v>
                </c:pt>
                <c:pt idx="911">
                  <c:v>42796</c:v>
                </c:pt>
                <c:pt idx="912">
                  <c:v>42797</c:v>
                </c:pt>
                <c:pt idx="913">
                  <c:v>42800</c:v>
                </c:pt>
                <c:pt idx="914">
                  <c:v>42801</c:v>
                </c:pt>
                <c:pt idx="915">
                  <c:v>42802</c:v>
                </c:pt>
                <c:pt idx="916">
                  <c:v>42803</c:v>
                </c:pt>
                <c:pt idx="917">
                  <c:v>42804</c:v>
                </c:pt>
                <c:pt idx="918">
                  <c:v>42807</c:v>
                </c:pt>
                <c:pt idx="919">
                  <c:v>42808</c:v>
                </c:pt>
                <c:pt idx="920">
                  <c:v>42810</c:v>
                </c:pt>
                <c:pt idx="921">
                  <c:v>42811</c:v>
                </c:pt>
                <c:pt idx="922">
                  <c:v>42814</c:v>
                </c:pt>
                <c:pt idx="923">
                  <c:v>42815</c:v>
                </c:pt>
                <c:pt idx="924">
                  <c:v>42816</c:v>
                </c:pt>
                <c:pt idx="925">
                  <c:v>42817</c:v>
                </c:pt>
                <c:pt idx="926">
                  <c:v>42818</c:v>
                </c:pt>
                <c:pt idx="927">
                  <c:v>42821</c:v>
                </c:pt>
                <c:pt idx="928">
                  <c:v>42822</c:v>
                </c:pt>
                <c:pt idx="929">
                  <c:v>42823</c:v>
                </c:pt>
                <c:pt idx="930">
                  <c:v>42824</c:v>
                </c:pt>
                <c:pt idx="931">
                  <c:v>42825</c:v>
                </c:pt>
                <c:pt idx="932">
                  <c:v>42828</c:v>
                </c:pt>
                <c:pt idx="933">
                  <c:v>42829</c:v>
                </c:pt>
                <c:pt idx="934">
                  <c:v>42830</c:v>
                </c:pt>
                <c:pt idx="935">
                  <c:v>42831</c:v>
                </c:pt>
                <c:pt idx="936">
                  <c:v>42832</c:v>
                </c:pt>
                <c:pt idx="937">
                  <c:v>42835</c:v>
                </c:pt>
                <c:pt idx="938">
                  <c:v>42836</c:v>
                </c:pt>
                <c:pt idx="939">
                  <c:v>42837</c:v>
                </c:pt>
                <c:pt idx="940">
                  <c:v>42838</c:v>
                </c:pt>
                <c:pt idx="941">
                  <c:v>42843</c:v>
                </c:pt>
                <c:pt idx="942">
                  <c:v>42844</c:v>
                </c:pt>
                <c:pt idx="943">
                  <c:v>42845</c:v>
                </c:pt>
                <c:pt idx="944">
                  <c:v>42846</c:v>
                </c:pt>
                <c:pt idx="945">
                  <c:v>42849</c:v>
                </c:pt>
                <c:pt idx="946">
                  <c:v>42850</c:v>
                </c:pt>
                <c:pt idx="947">
                  <c:v>42851</c:v>
                </c:pt>
                <c:pt idx="948">
                  <c:v>42852</c:v>
                </c:pt>
                <c:pt idx="949">
                  <c:v>42853</c:v>
                </c:pt>
                <c:pt idx="950">
                  <c:v>42857</c:v>
                </c:pt>
                <c:pt idx="951">
                  <c:v>42858</c:v>
                </c:pt>
                <c:pt idx="952">
                  <c:v>42859</c:v>
                </c:pt>
                <c:pt idx="953">
                  <c:v>42860</c:v>
                </c:pt>
                <c:pt idx="954">
                  <c:v>42863</c:v>
                </c:pt>
                <c:pt idx="955">
                  <c:v>42864</c:v>
                </c:pt>
                <c:pt idx="956">
                  <c:v>42865</c:v>
                </c:pt>
                <c:pt idx="957">
                  <c:v>42866</c:v>
                </c:pt>
                <c:pt idx="958">
                  <c:v>42867</c:v>
                </c:pt>
                <c:pt idx="959">
                  <c:v>42870</c:v>
                </c:pt>
                <c:pt idx="960">
                  <c:v>42871</c:v>
                </c:pt>
                <c:pt idx="961">
                  <c:v>42872</c:v>
                </c:pt>
                <c:pt idx="962">
                  <c:v>42873</c:v>
                </c:pt>
                <c:pt idx="963">
                  <c:v>42874</c:v>
                </c:pt>
                <c:pt idx="964">
                  <c:v>42877</c:v>
                </c:pt>
                <c:pt idx="965">
                  <c:v>42878</c:v>
                </c:pt>
                <c:pt idx="966">
                  <c:v>42879</c:v>
                </c:pt>
                <c:pt idx="967">
                  <c:v>42885</c:v>
                </c:pt>
                <c:pt idx="968">
                  <c:v>42886</c:v>
                </c:pt>
                <c:pt idx="969">
                  <c:v>42887</c:v>
                </c:pt>
                <c:pt idx="970">
                  <c:v>42888</c:v>
                </c:pt>
                <c:pt idx="971">
                  <c:v>42892</c:v>
                </c:pt>
                <c:pt idx="972">
                  <c:v>42893</c:v>
                </c:pt>
                <c:pt idx="973">
                  <c:v>42894</c:v>
                </c:pt>
                <c:pt idx="974">
                  <c:v>42895</c:v>
                </c:pt>
                <c:pt idx="975">
                  <c:v>42898</c:v>
                </c:pt>
                <c:pt idx="976">
                  <c:v>42899</c:v>
                </c:pt>
                <c:pt idx="977">
                  <c:v>42900</c:v>
                </c:pt>
                <c:pt idx="978">
                  <c:v>42905</c:v>
                </c:pt>
                <c:pt idx="979">
                  <c:v>42906</c:v>
                </c:pt>
                <c:pt idx="980">
                  <c:v>42907</c:v>
                </c:pt>
                <c:pt idx="981">
                  <c:v>42908</c:v>
                </c:pt>
                <c:pt idx="982">
                  <c:v>42909</c:v>
                </c:pt>
                <c:pt idx="983">
                  <c:v>42912</c:v>
                </c:pt>
                <c:pt idx="984">
                  <c:v>42913</c:v>
                </c:pt>
                <c:pt idx="985">
                  <c:v>42914</c:v>
                </c:pt>
                <c:pt idx="986" formatCode="dd\.mm\.yyyy">
                  <c:v>42915</c:v>
                </c:pt>
                <c:pt idx="987" formatCode="dd\.mm\.yyyy">
                  <c:v>42916</c:v>
                </c:pt>
                <c:pt idx="988" formatCode="dd\.mm\.yyyy">
                  <c:v>42919</c:v>
                </c:pt>
                <c:pt idx="989" formatCode="dd\.mm\.yyyy">
                  <c:v>42920</c:v>
                </c:pt>
                <c:pt idx="990" formatCode="dd\.mm\.yyyy">
                  <c:v>42921</c:v>
                </c:pt>
                <c:pt idx="991" formatCode="dd\.mm\.yyyy">
                  <c:v>42922</c:v>
                </c:pt>
                <c:pt idx="992" formatCode="dd\.mm\.yyyy">
                  <c:v>42923</c:v>
                </c:pt>
                <c:pt idx="993" formatCode="dd\.mm\.yyyy">
                  <c:v>42926</c:v>
                </c:pt>
                <c:pt idx="994" formatCode="dd\.mm\.yyyy">
                  <c:v>42927</c:v>
                </c:pt>
                <c:pt idx="995" formatCode="dd\.mm\.yyyy">
                  <c:v>42928</c:v>
                </c:pt>
                <c:pt idx="996" formatCode="dd\.mm\.yyyy">
                  <c:v>42929</c:v>
                </c:pt>
                <c:pt idx="997" formatCode="dd\.mm\.yyyy">
                  <c:v>42930</c:v>
                </c:pt>
                <c:pt idx="998" formatCode="dd\.mm\.yyyy">
                  <c:v>42933</c:v>
                </c:pt>
                <c:pt idx="999" formatCode="dd\.mm\.yyyy">
                  <c:v>42934</c:v>
                </c:pt>
                <c:pt idx="1000" formatCode="dd\.mm\.yyyy">
                  <c:v>42935</c:v>
                </c:pt>
                <c:pt idx="1001" formatCode="dd\.mm\.yyyy">
                  <c:v>42936</c:v>
                </c:pt>
                <c:pt idx="1002" formatCode="dd\.mm\.yyyy">
                  <c:v>42937</c:v>
                </c:pt>
                <c:pt idx="1003" formatCode="dd\.mm\.yyyy">
                  <c:v>42940</c:v>
                </c:pt>
                <c:pt idx="1004" formatCode="dd\.mm\.yyyy">
                  <c:v>42941</c:v>
                </c:pt>
                <c:pt idx="1005" formatCode="dd\.mm\.yyyy">
                  <c:v>42942</c:v>
                </c:pt>
                <c:pt idx="1006" formatCode="dd\.mm\.yyyy">
                  <c:v>42943</c:v>
                </c:pt>
                <c:pt idx="1007" formatCode="dd\.mm\.yyyy">
                  <c:v>42944</c:v>
                </c:pt>
                <c:pt idx="1008" formatCode="dd\.mm\.yyyy">
                  <c:v>42947</c:v>
                </c:pt>
                <c:pt idx="1009" formatCode="dd\.mm\.yyyy">
                  <c:v>42948</c:v>
                </c:pt>
                <c:pt idx="1010" formatCode="dd\.mm\.yyyy">
                  <c:v>42949</c:v>
                </c:pt>
                <c:pt idx="1011" formatCode="dd\.mm\.yyyy">
                  <c:v>42950</c:v>
                </c:pt>
                <c:pt idx="1012" formatCode="dd\.mm\.yyyy">
                  <c:v>42951</c:v>
                </c:pt>
                <c:pt idx="1013" formatCode="dd\.mm\.yyyy">
                  <c:v>42954</c:v>
                </c:pt>
                <c:pt idx="1014" formatCode="dd\.mm\.yyyy">
                  <c:v>42955</c:v>
                </c:pt>
                <c:pt idx="1015" formatCode="dd\.mm\.yyyy">
                  <c:v>42956</c:v>
                </c:pt>
                <c:pt idx="1016" formatCode="dd\.mm\.yyyy">
                  <c:v>42957</c:v>
                </c:pt>
                <c:pt idx="1017" formatCode="dd\.mm\.yyyy">
                  <c:v>42958</c:v>
                </c:pt>
                <c:pt idx="1018" formatCode="dd\.mm\.yyyy">
                  <c:v>42961</c:v>
                </c:pt>
                <c:pt idx="1019" formatCode="dd\.mm\.yyyy">
                  <c:v>42963</c:v>
                </c:pt>
                <c:pt idx="1020" formatCode="dd\.mm\.yyyy">
                  <c:v>42964</c:v>
                </c:pt>
                <c:pt idx="1021" formatCode="dd\.mm\.yyyy">
                  <c:v>42965</c:v>
                </c:pt>
                <c:pt idx="1022" formatCode="dd\.mm\.yyyy">
                  <c:v>42968</c:v>
                </c:pt>
                <c:pt idx="1023" formatCode="dd\.mm\.yyyy">
                  <c:v>42969</c:v>
                </c:pt>
                <c:pt idx="1024" formatCode="dd\.mm\.yyyy">
                  <c:v>42970</c:v>
                </c:pt>
                <c:pt idx="1025" formatCode="dd\.mm\.yyyy">
                  <c:v>42971</c:v>
                </c:pt>
                <c:pt idx="1026" formatCode="dd\.mm\.yyyy">
                  <c:v>42972</c:v>
                </c:pt>
                <c:pt idx="1027" formatCode="dd\.mm\.yyyy">
                  <c:v>42976</c:v>
                </c:pt>
                <c:pt idx="1028" formatCode="dd\.mm\.yyyy">
                  <c:v>42977</c:v>
                </c:pt>
                <c:pt idx="1029" formatCode="dd\.mm\.yyyy">
                  <c:v>42978</c:v>
                </c:pt>
                <c:pt idx="1030" formatCode="dd\.mm\.yyyy">
                  <c:v>42979</c:v>
                </c:pt>
                <c:pt idx="1031" formatCode="dd\.mm\.yyyy">
                  <c:v>42982</c:v>
                </c:pt>
                <c:pt idx="1032" formatCode="dd\.mm\.yyyy">
                  <c:v>42983</c:v>
                </c:pt>
                <c:pt idx="1033" formatCode="dd\.mm\.yyyy">
                  <c:v>42984</c:v>
                </c:pt>
                <c:pt idx="1034" formatCode="dd\.mm\.yyyy">
                  <c:v>42986</c:v>
                </c:pt>
                <c:pt idx="1035" formatCode="dd\.mm\.yyyy">
                  <c:v>42989</c:v>
                </c:pt>
                <c:pt idx="1036" formatCode="dd\.mm\.yyyy">
                  <c:v>42990</c:v>
                </c:pt>
                <c:pt idx="1037" formatCode="dd\.mm\.yyyy">
                  <c:v>42991</c:v>
                </c:pt>
                <c:pt idx="1038" formatCode="dd\.mm\.yyyy">
                  <c:v>42992</c:v>
                </c:pt>
                <c:pt idx="1039" formatCode="dd\.mm\.yyyy">
                  <c:v>42993</c:v>
                </c:pt>
                <c:pt idx="1040" formatCode="dd\.mm\.yyyy">
                  <c:v>42996</c:v>
                </c:pt>
                <c:pt idx="1041" formatCode="dd\.mm\.yyyy">
                  <c:v>42997</c:v>
                </c:pt>
                <c:pt idx="1042" formatCode="dd\.mm\.yyyy">
                  <c:v>42998</c:v>
                </c:pt>
                <c:pt idx="1043" formatCode="dd\.mm\.yyyy">
                  <c:v>42999</c:v>
                </c:pt>
                <c:pt idx="1044" formatCode="dd\.mm\.yyyy">
                  <c:v>43000</c:v>
                </c:pt>
                <c:pt idx="1045" formatCode="dd\.mm\.yyyy">
                  <c:v>43003</c:v>
                </c:pt>
                <c:pt idx="1046" formatCode="dd\.mm\.yyyy">
                  <c:v>43004</c:v>
                </c:pt>
                <c:pt idx="1047" formatCode="dd\.mm\.yyyy">
                  <c:v>43005</c:v>
                </c:pt>
                <c:pt idx="1048" formatCode="dd\.mm\.yyyy">
                  <c:v>43006</c:v>
                </c:pt>
                <c:pt idx="1049" formatCode="dd\.mm\.yyyy">
                  <c:v>43007</c:v>
                </c:pt>
                <c:pt idx="1050" formatCode="dd\.mm\.yyyy">
                  <c:v>43010</c:v>
                </c:pt>
                <c:pt idx="1051" formatCode="dd\.mm\.yyyy">
                  <c:v>43012</c:v>
                </c:pt>
                <c:pt idx="1052" formatCode="dd\.mm\.yyyy">
                  <c:v>43013</c:v>
                </c:pt>
                <c:pt idx="1053" formatCode="dd\.mm\.yyyy">
                  <c:v>43014</c:v>
                </c:pt>
                <c:pt idx="1054" formatCode="dd\.mm\.yyyy">
                  <c:v>43017</c:v>
                </c:pt>
                <c:pt idx="1055" formatCode="dd\.mm\.yyyy">
                  <c:v>43018</c:v>
                </c:pt>
                <c:pt idx="1056" formatCode="dd\.mm\.yyyy">
                  <c:v>43019</c:v>
                </c:pt>
                <c:pt idx="1057" formatCode="dd\.mm\.yyyy">
                  <c:v>43020</c:v>
                </c:pt>
                <c:pt idx="1058" formatCode="dd\.mm\.yyyy">
                  <c:v>43021</c:v>
                </c:pt>
                <c:pt idx="1059" formatCode="dd\.mm\.yyyy">
                  <c:v>43024</c:v>
                </c:pt>
                <c:pt idx="1060" formatCode="dd\.mm\.yyyy">
                  <c:v>43025</c:v>
                </c:pt>
                <c:pt idx="1061" formatCode="dd\.mm\.yyyy">
                  <c:v>43026</c:v>
                </c:pt>
                <c:pt idx="1062" formatCode="dd\.mm\.yyyy">
                  <c:v>43027</c:v>
                </c:pt>
                <c:pt idx="1063" formatCode="dd\.mm\.yyyy">
                  <c:v>43028</c:v>
                </c:pt>
                <c:pt idx="1064" formatCode="dd\.mm\.yyyy">
                  <c:v>43031</c:v>
                </c:pt>
                <c:pt idx="1065" formatCode="dd\.mm\.yyyy">
                  <c:v>43032</c:v>
                </c:pt>
                <c:pt idx="1066" formatCode="dd\.mm\.yyyy">
                  <c:v>43033</c:v>
                </c:pt>
                <c:pt idx="1067" formatCode="dd\.mm\.yyyy">
                  <c:v>43034</c:v>
                </c:pt>
                <c:pt idx="1068" formatCode="dd\.mm\.yyyy">
                  <c:v>43035</c:v>
                </c:pt>
                <c:pt idx="1069" formatCode="dd\.mm\.yyyy">
                  <c:v>43038</c:v>
                </c:pt>
                <c:pt idx="1070" formatCode="dd\.mm\.yyyy">
                  <c:v>43039</c:v>
                </c:pt>
                <c:pt idx="1071" formatCode="dd\.mm\.yyyy">
                  <c:v>43040</c:v>
                </c:pt>
                <c:pt idx="1072" formatCode="dd\.mm\.yyyy">
                  <c:v>43041</c:v>
                </c:pt>
                <c:pt idx="1073" formatCode="dd\.mm\.yyyy">
                  <c:v>43045</c:v>
                </c:pt>
                <c:pt idx="1074" formatCode="dd\.mm\.yyyy">
                  <c:v>43046</c:v>
                </c:pt>
                <c:pt idx="1075" formatCode="dd\.mm\.yyyy">
                  <c:v>43047</c:v>
                </c:pt>
                <c:pt idx="1076" formatCode="dd\.mm\.yyyy">
                  <c:v>43048</c:v>
                </c:pt>
                <c:pt idx="1077" formatCode="dd\.mm\.yyyy">
                  <c:v>43049</c:v>
                </c:pt>
                <c:pt idx="1078" formatCode="dd\.mm\.yyyy">
                  <c:v>43052</c:v>
                </c:pt>
                <c:pt idx="1079" formatCode="dd\.mm\.yyyy">
                  <c:v>43053</c:v>
                </c:pt>
                <c:pt idx="1080" formatCode="dd\.mm\.yyyy">
                  <c:v>43055</c:v>
                </c:pt>
                <c:pt idx="1081" formatCode="dd\.mm\.yyyy">
                  <c:v>43056</c:v>
                </c:pt>
                <c:pt idx="1082" formatCode="dd\.mm\.yyyy">
                  <c:v>43059</c:v>
                </c:pt>
                <c:pt idx="1083" formatCode="dd\.mm\.yyyy">
                  <c:v>43060</c:v>
                </c:pt>
                <c:pt idx="1084" formatCode="dd\.mm\.yyyy">
                  <c:v>43061</c:v>
                </c:pt>
                <c:pt idx="1085" formatCode="dd\.mm\.yyyy">
                  <c:v>43062</c:v>
                </c:pt>
                <c:pt idx="1086" formatCode="dd\.mm\.yyyy">
                  <c:v>43063</c:v>
                </c:pt>
                <c:pt idx="1087" formatCode="dd\.mm\.yyyy">
                  <c:v>43066</c:v>
                </c:pt>
                <c:pt idx="1088" formatCode="dd\.mm\.yyyy">
                  <c:v>43067</c:v>
                </c:pt>
                <c:pt idx="1089" formatCode="dd\.mm\.yyyy">
                  <c:v>43068</c:v>
                </c:pt>
                <c:pt idx="1090" formatCode="dd\.mm\.yyyy">
                  <c:v>43069</c:v>
                </c:pt>
                <c:pt idx="1091" formatCode="dd\.mm\.yyyy">
                  <c:v>43070</c:v>
                </c:pt>
                <c:pt idx="1092" formatCode="dd\.mm\.yyyy">
                  <c:v>43073</c:v>
                </c:pt>
                <c:pt idx="1093" formatCode="dd\.mm\.yyyy">
                  <c:v>43074</c:v>
                </c:pt>
                <c:pt idx="1094" formatCode="dd\.mm\.yyyy">
                  <c:v>43075</c:v>
                </c:pt>
                <c:pt idx="1095" formatCode="dd\.mm\.yyyy">
                  <c:v>43076</c:v>
                </c:pt>
                <c:pt idx="1096" formatCode="dd\.mm\.yyyy">
                  <c:v>43077</c:v>
                </c:pt>
                <c:pt idx="1097" formatCode="dd\.mm\.yyyy">
                  <c:v>43080</c:v>
                </c:pt>
                <c:pt idx="1098" formatCode="dd\.mm\.yyyy">
                  <c:v>43081</c:v>
                </c:pt>
                <c:pt idx="1099" formatCode="dd\.mm\.yyyy">
                  <c:v>43082</c:v>
                </c:pt>
                <c:pt idx="1100" formatCode="dd\.mm\.yyyy">
                  <c:v>43083</c:v>
                </c:pt>
                <c:pt idx="1101" formatCode="dd\.mm\.yyyy">
                  <c:v>43084</c:v>
                </c:pt>
                <c:pt idx="1102" formatCode="dd\.mm\.yyyy">
                  <c:v>43087</c:v>
                </c:pt>
                <c:pt idx="1103" formatCode="dd\.mm\.yyyy">
                  <c:v>43108</c:v>
                </c:pt>
                <c:pt idx="1104" formatCode="dd\.mm\.yyyy">
                  <c:v>43109</c:v>
                </c:pt>
                <c:pt idx="1105" formatCode="dd\.mm\.yyyy">
                  <c:v>43111</c:v>
                </c:pt>
                <c:pt idx="1106" formatCode="dd\.mm\.yyyy">
                  <c:v>43112</c:v>
                </c:pt>
                <c:pt idx="1107" formatCode="dd\.mm\.yyyy">
                  <c:v>43115</c:v>
                </c:pt>
                <c:pt idx="1108" formatCode="dd\.mm\.yyyy">
                  <c:v>43116</c:v>
                </c:pt>
                <c:pt idx="1109" formatCode="dd\.mm\.yyyy">
                  <c:v>43117</c:v>
                </c:pt>
                <c:pt idx="1110" formatCode="dd\.mm\.yyyy">
                  <c:v>43118</c:v>
                </c:pt>
                <c:pt idx="1111" formatCode="dd\.mm\.yyyy">
                  <c:v>43119</c:v>
                </c:pt>
                <c:pt idx="1112" formatCode="dd\.mm\.yyyy">
                  <c:v>43122</c:v>
                </c:pt>
                <c:pt idx="1113" formatCode="dd\.mm\.yyyy">
                  <c:v>43123</c:v>
                </c:pt>
                <c:pt idx="1114" formatCode="dd\.mm\.yyyy">
                  <c:v>43125</c:v>
                </c:pt>
                <c:pt idx="1115" formatCode="dd\.mm\.yyyy">
                  <c:v>43126</c:v>
                </c:pt>
                <c:pt idx="1116" formatCode="dd\.mm\.yyyy">
                  <c:v>43129</c:v>
                </c:pt>
                <c:pt idx="1117" formatCode="dd\.mm\.yyyy">
                  <c:v>43130</c:v>
                </c:pt>
                <c:pt idx="1118" formatCode="dd\.mm\.yyyy">
                  <c:v>43131</c:v>
                </c:pt>
                <c:pt idx="1119" formatCode="dd\.mm\.yyyy">
                  <c:v>43132</c:v>
                </c:pt>
                <c:pt idx="1120" formatCode="dd\.mm\.yyyy">
                  <c:v>43133</c:v>
                </c:pt>
                <c:pt idx="1121" formatCode="dd\.mm\.yyyy">
                  <c:v>43136</c:v>
                </c:pt>
                <c:pt idx="1122" formatCode="dd\.mm\.yyyy">
                  <c:v>43137</c:v>
                </c:pt>
                <c:pt idx="1123" formatCode="dd\.mm\.yyyy">
                  <c:v>43138</c:v>
                </c:pt>
                <c:pt idx="1124" formatCode="dd\.mm\.yyyy">
                  <c:v>43139</c:v>
                </c:pt>
                <c:pt idx="1125" formatCode="dd\.mm\.yyyy">
                  <c:v>43140</c:v>
                </c:pt>
                <c:pt idx="1126" formatCode="dd\.mm\.yyyy">
                  <c:v>43143</c:v>
                </c:pt>
                <c:pt idx="1127" formatCode="dd\.mm\.yyyy">
                  <c:v>43144</c:v>
                </c:pt>
                <c:pt idx="1128" formatCode="dd\.mm\.yyyy">
                  <c:v>43145</c:v>
                </c:pt>
                <c:pt idx="1129" formatCode="dd\.mm\.yyyy">
                  <c:v>43146</c:v>
                </c:pt>
                <c:pt idx="1130" formatCode="dd\.mm\.yyyy">
                  <c:v>43147</c:v>
                </c:pt>
                <c:pt idx="1131" formatCode="dd\.mm\.yyyy">
                  <c:v>43150</c:v>
                </c:pt>
                <c:pt idx="1132" formatCode="dd\.mm\.yyyy">
                  <c:v>43151</c:v>
                </c:pt>
                <c:pt idx="1133" formatCode="dd\.mm\.yyyy">
                  <c:v>43152</c:v>
                </c:pt>
                <c:pt idx="1134" formatCode="dd\.mm\.yyyy">
                  <c:v>43153</c:v>
                </c:pt>
                <c:pt idx="1135" formatCode="dd\.mm\.yyyy">
                  <c:v>43154</c:v>
                </c:pt>
                <c:pt idx="1136" formatCode="dd\.mm\.yyyy">
                  <c:v>43157</c:v>
                </c:pt>
                <c:pt idx="1137" formatCode="dd\.mm\.yyyy">
                  <c:v>43158</c:v>
                </c:pt>
                <c:pt idx="1138" formatCode="dd\.mm\.yyyy">
                  <c:v>43159</c:v>
                </c:pt>
                <c:pt idx="1139" formatCode="dd\.mm\.yyyy">
                  <c:v>43160</c:v>
                </c:pt>
                <c:pt idx="1140" formatCode="dd\.mm\.yyyy">
                  <c:v>43161</c:v>
                </c:pt>
                <c:pt idx="1141" formatCode="dd\.mm\.yyyy">
                  <c:v>43164</c:v>
                </c:pt>
                <c:pt idx="1142" formatCode="dd\.mm\.yyyy">
                  <c:v>43165</c:v>
                </c:pt>
                <c:pt idx="1143" formatCode="dd\.mm\.yyyy">
                  <c:v>43166</c:v>
                </c:pt>
                <c:pt idx="1144" formatCode="dd\.mm\.yyyy">
                  <c:v>43167</c:v>
                </c:pt>
                <c:pt idx="1145" formatCode="dd\.mm\.yyyy">
                  <c:v>43168</c:v>
                </c:pt>
                <c:pt idx="1146" formatCode="dd\.mm\.yyyy">
                  <c:v>43171</c:v>
                </c:pt>
                <c:pt idx="1147" formatCode="dd\.mm\.yyyy">
                  <c:v>43172</c:v>
                </c:pt>
                <c:pt idx="1148" formatCode="dd\.mm\.yyyy">
                  <c:v>43173</c:v>
                </c:pt>
                <c:pt idx="1149" formatCode="dd\.mm\.yyyy">
                  <c:v>43174</c:v>
                </c:pt>
                <c:pt idx="1150" formatCode="dd\.mm\.yyyy">
                  <c:v>43175</c:v>
                </c:pt>
                <c:pt idx="1151" formatCode="dd\.mm\.yyyy">
                  <c:v>43178</c:v>
                </c:pt>
                <c:pt idx="1152" formatCode="dd\.mm\.yyyy">
                  <c:v>43179</c:v>
                </c:pt>
                <c:pt idx="1153" formatCode="dd\.mm\.yyyy">
                  <c:v>43180</c:v>
                </c:pt>
                <c:pt idx="1154" formatCode="dd\.mm\.yyyy">
                  <c:v>43181</c:v>
                </c:pt>
                <c:pt idx="1155" formatCode="dd\.mm\.yyyy">
                  <c:v>43182</c:v>
                </c:pt>
                <c:pt idx="1156" formatCode="dd\.mm\.yyyy">
                  <c:v>43185</c:v>
                </c:pt>
                <c:pt idx="1157" formatCode="dd\.mm\.yyyy">
                  <c:v>43186</c:v>
                </c:pt>
                <c:pt idx="1158" formatCode="dd\.mm\.yyyy">
                  <c:v>43187</c:v>
                </c:pt>
                <c:pt idx="1159" formatCode="dd\.mm\.yyyy">
                  <c:v>43193</c:v>
                </c:pt>
                <c:pt idx="1160" formatCode="dd\.mm\.yyyy">
                  <c:v>43194</c:v>
                </c:pt>
                <c:pt idx="1161" formatCode="dd\.mm\.yyyy">
                  <c:v>43195</c:v>
                </c:pt>
                <c:pt idx="1162" formatCode="dd\.mm\.yyyy">
                  <c:v>43196</c:v>
                </c:pt>
                <c:pt idx="1163" formatCode="dd\.mm\.yyyy">
                  <c:v>43199</c:v>
                </c:pt>
                <c:pt idx="1164" formatCode="dd\.mm\.yyyy">
                  <c:v>43200</c:v>
                </c:pt>
                <c:pt idx="1165" formatCode="dd\.mm\.yyyy">
                  <c:v>43201</c:v>
                </c:pt>
                <c:pt idx="1166" formatCode="dd\.mm\.yyyy">
                  <c:v>43202</c:v>
                </c:pt>
                <c:pt idx="1167" formatCode="dd\.mm\.yyyy">
                  <c:v>43203</c:v>
                </c:pt>
                <c:pt idx="1168" formatCode="dd\.mm\.yyyy">
                  <c:v>43206</c:v>
                </c:pt>
                <c:pt idx="1169" formatCode="dd\.mm\.yyyy">
                  <c:v>43207</c:v>
                </c:pt>
                <c:pt idx="1170" formatCode="dd\.mm\.yyyy">
                  <c:v>43208</c:v>
                </c:pt>
                <c:pt idx="1171" formatCode="dd\.mm\.yyyy">
                  <c:v>43209</c:v>
                </c:pt>
                <c:pt idx="1172" formatCode="dd\.mm\.yyyy">
                  <c:v>43210</c:v>
                </c:pt>
                <c:pt idx="1173" formatCode="dd\.mm\.yyyy">
                  <c:v>43213</c:v>
                </c:pt>
                <c:pt idx="1174" formatCode="dd\.mm\.yyyy">
                  <c:v>43214</c:v>
                </c:pt>
                <c:pt idx="1175" formatCode="dd\.mm\.yyyy">
                  <c:v>43215</c:v>
                </c:pt>
                <c:pt idx="1176" formatCode="dd\.mm\.yyyy">
                  <c:v>43216</c:v>
                </c:pt>
                <c:pt idx="1177" formatCode="dd\.mm\.yyyy">
                  <c:v>43217</c:v>
                </c:pt>
                <c:pt idx="1178" formatCode="dd\.mm\.yyyy">
                  <c:v>43220</c:v>
                </c:pt>
                <c:pt idx="1179" formatCode="dd\.mm\.yyyy">
                  <c:v>43222</c:v>
                </c:pt>
                <c:pt idx="1180" formatCode="dd\.mm\.yyyy">
                  <c:v>43223</c:v>
                </c:pt>
                <c:pt idx="1181" formatCode="dd\.mm\.yyyy">
                  <c:v>43224</c:v>
                </c:pt>
                <c:pt idx="1182" formatCode="dd\.mm\.yyyy">
                  <c:v>43228</c:v>
                </c:pt>
                <c:pt idx="1183" formatCode="dd\.mm\.yyyy">
                  <c:v>43229</c:v>
                </c:pt>
                <c:pt idx="1184" formatCode="dd\.mm\.yyyy">
                  <c:v>43234</c:v>
                </c:pt>
                <c:pt idx="1185" formatCode="dd\.mm\.yyyy">
                  <c:v>43235</c:v>
                </c:pt>
                <c:pt idx="1186" formatCode="dd\.mm\.yyyy">
                  <c:v>43237</c:v>
                </c:pt>
                <c:pt idx="1187" formatCode="dd\.mm\.yyyy">
                  <c:v>43238</c:v>
                </c:pt>
                <c:pt idx="1188" formatCode="dd\.mm\.yyyy">
                  <c:v>43242</c:v>
                </c:pt>
                <c:pt idx="1189" formatCode="dd\.mm\.yyyy">
                  <c:v>43243</c:v>
                </c:pt>
                <c:pt idx="1190" formatCode="dd\.mm\.yyyy">
                  <c:v>43244</c:v>
                </c:pt>
                <c:pt idx="1191" formatCode="dd\.mm\.yyyy">
                  <c:v>43245</c:v>
                </c:pt>
                <c:pt idx="1192" formatCode="dd\.mm\.yyyy">
                  <c:v>43249</c:v>
                </c:pt>
                <c:pt idx="1193" formatCode="dd\.mm\.yyyy">
                  <c:v>43250</c:v>
                </c:pt>
                <c:pt idx="1194" formatCode="dd\.mm\.yyyy">
                  <c:v>43251</c:v>
                </c:pt>
                <c:pt idx="1195" formatCode="dd\.mm\.yyyy">
                  <c:v>43252</c:v>
                </c:pt>
                <c:pt idx="1196" formatCode="dd\.mm\.yyyy">
                  <c:v>43255</c:v>
                </c:pt>
                <c:pt idx="1197" formatCode="dd\.mm\.yyyy">
                  <c:v>43256</c:v>
                </c:pt>
                <c:pt idx="1198" formatCode="dd\.mm\.yyyy">
                  <c:v>43257</c:v>
                </c:pt>
                <c:pt idx="1199" formatCode="dd\.mm\.yyyy">
                  <c:v>43258</c:v>
                </c:pt>
                <c:pt idx="1200" formatCode="dd\.mm\.yyyy">
                  <c:v>43259</c:v>
                </c:pt>
                <c:pt idx="1201" formatCode="dd\.mm\.yyyy">
                  <c:v>43262</c:v>
                </c:pt>
                <c:pt idx="1202" formatCode="dd\.mm\.yyyy">
                  <c:v>43263</c:v>
                </c:pt>
                <c:pt idx="1203" formatCode="dd\.mm\.yyyy">
                  <c:v>43264</c:v>
                </c:pt>
                <c:pt idx="1204" formatCode="dd\.mm\.yyyy">
                  <c:v>43265</c:v>
                </c:pt>
                <c:pt idx="1205" formatCode="dd\.mm\.yyyy">
                  <c:v>43266</c:v>
                </c:pt>
                <c:pt idx="1206" formatCode="dd\.mm\.yyyy">
                  <c:v>43269</c:v>
                </c:pt>
                <c:pt idx="1207" formatCode="dd\.mm\.yyyy">
                  <c:v>43270</c:v>
                </c:pt>
                <c:pt idx="1208" formatCode="dd\.mm\.yyyy">
                  <c:v>43271</c:v>
                </c:pt>
                <c:pt idx="1209" formatCode="dd\.mm\.yyyy">
                  <c:v>43272</c:v>
                </c:pt>
                <c:pt idx="1210" formatCode="dd\.mm\.yyyy">
                  <c:v>43273</c:v>
                </c:pt>
                <c:pt idx="1211" formatCode="dd\.mm\.yyyy">
                  <c:v>43276</c:v>
                </c:pt>
                <c:pt idx="1212" formatCode="dd\.mm\.yyyy">
                  <c:v>43277</c:v>
                </c:pt>
                <c:pt idx="1213" formatCode="dd\.mm\.yyyy">
                  <c:v>43278</c:v>
                </c:pt>
                <c:pt idx="1214" formatCode="dd\.mm\.yyyy">
                  <c:v>43279</c:v>
                </c:pt>
                <c:pt idx="1215" formatCode="dd\.mm\.yyyy">
                  <c:v>43280</c:v>
                </c:pt>
                <c:pt idx="1216" formatCode="dd\.mm\.yyyy">
                  <c:v>43283</c:v>
                </c:pt>
                <c:pt idx="1217" formatCode="dd\.mm\.yyyy">
                  <c:v>43284</c:v>
                </c:pt>
                <c:pt idx="1218" formatCode="dd\.mm\.yyyy">
                  <c:v>43285</c:v>
                </c:pt>
                <c:pt idx="1219" formatCode="dd\.mm\.yyyy">
                  <c:v>43286</c:v>
                </c:pt>
                <c:pt idx="1220" formatCode="dd\.mm\.yyyy">
                  <c:v>43287</c:v>
                </c:pt>
                <c:pt idx="1221" formatCode="dd\.mm\.yyyy">
                  <c:v>43290</c:v>
                </c:pt>
                <c:pt idx="1222" formatCode="dd\.mm\.yyyy">
                  <c:v>43291</c:v>
                </c:pt>
                <c:pt idx="1223" formatCode="dd\.mm\.yyyy">
                  <c:v>43293</c:v>
                </c:pt>
                <c:pt idx="1224" formatCode="dd\.mm\.yyyy">
                  <c:v>43294</c:v>
                </c:pt>
                <c:pt idx="1225" formatCode="dd\.mm\.yyyy">
                  <c:v>43297</c:v>
                </c:pt>
                <c:pt idx="1226" formatCode="dd\.mm\.yyyy">
                  <c:v>43298</c:v>
                </c:pt>
                <c:pt idx="1227" formatCode="dd\.mm\.yyyy">
                  <c:v>43299</c:v>
                </c:pt>
                <c:pt idx="1228" formatCode="dd\.mm\.yyyy">
                  <c:v>43300</c:v>
                </c:pt>
                <c:pt idx="1229" formatCode="dd\.mm\.yyyy">
                  <c:v>43301</c:v>
                </c:pt>
                <c:pt idx="1230" formatCode="dd\.mm\.yyyy">
                  <c:v>43304</c:v>
                </c:pt>
                <c:pt idx="1231" formatCode="dd\.mm\.yyyy">
                  <c:v>43305</c:v>
                </c:pt>
                <c:pt idx="1232" formatCode="dd\.mm\.yyyy">
                  <c:v>43306</c:v>
                </c:pt>
                <c:pt idx="1233" formatCode="dd\.mm\.yyyy">
                  <c:v>43307</c:v>
                </c:pt>
                <c:pt idx="1234" formatCode="dd\.mm\.yyyy">
                  <c:v>43308</c:v>
                </c:pt>
                <c:pt idx="1235" formatCode="dd\.mm\.yyyy">
                  <c:v>43311</c:v>
                </c:pt>
                <c:pt idx="1236" formatCode="dd\.mm\.yyyy">
                  <c:v>43312</c:v>
                </c:pt>
                <c:pt idx="1237" formatCode="dd\.mm\.yyyy">
                  <c:v>43313</c:v>
                </c:pt>
                <c:pt idx="1238" formatCode="dd\.mm\.yyyy">
                  <c:v>43314</c:v>
                </c:pt>
                <c:pt idx="1239" formatCode="dd\.mm\.yyyy">
                  <c:v>43315</c:v>
                </c:pt>
                <c:pt idx="1240" formatCode="dd\.mm\.yyyy">
                  <c:v>43318</c:v>
                </c:pt>
                <c:pt idx="1241" formatCode="dd\.mm\.yyyy">
                  <c:v>43319</c:v>
                </c:pt>
                <c:pt idx="1242" formatCode="dd\.mm\.yyyy">
                  <c:v>43320</c:v>
                </c:pt>
                <c:pt idx="1243" formatCode="dd\.mm\.yyyy">
                  <c:v>43321</c:v>
                </c:pt>
                <c:pt idx="1244" formatCode="dd\.mm\.yyyy">
                  <c:v>43322</c:v>
                </c:pt>
                <c:pt idx="1245" formatCode="dd\.mm\.yyyy">
                  <c:v>43325</c:v>
                </c:pt>
                <c:pt idx="1246" formatCode="dd\.mm\.yyyy">
                  <c:v>43326</c:v>
                </c:pt>
                <c:pt idx="1247" formatCode="dd\.mm\.yyyy">
                  <c:v>43328</c:v>
                </c:pt>
                <c:pt idx="1248" formatCode="dd\.mm\.yyyy">
                  <c:v>43329</c:v>
                </c:pt>
                <c:pt idx="1249" formatCode="dd\.mm\.yyyy">
                  <c:v>43332</c:v>
                </c:pt>
                <c:pt idx="1250" formatCode="dd\.mm\.yyyy">
                  <c:v>43333</c:v>
                </c:pt>
                <c:pt idx="1251" formatCode="dd\.mm\.yyyy">
                  <c:v>43334</c:v>
                </c:pt>
                <c:pt idx="1252" formatCode="dd\.mm\.yyyy">
                  <c:v>43335</c:v>
                </c:pt>
                <c:pt idx="1253" formatCode="dd\.mm\.yyyy">
                  <c:v>43336</c:v>
                </c:pt>
                <c:pt idx="1254" formatCode="dd\.mm\.yyyy">
                  <c:v>43340</c:v>
                </c:pt>
                <c:pt idx="1255" formatCode="dd\.mm\.yyyy">
                  <c:v>43341</c:v>
                </c:pt>
                <c:pt idx="1256" formatCode="dd\.mm\.yyyy">
                  <c:v>43342</c:v>
                </c:pt>
                <c:pt idx="1257" formatCode="dd\.mm\.yyyy">
                  <c:v>43343</c:v>
                </c:pt>
                <c:pt idx="1258" formatCode="dd\.mm\.yyyy">
                  <c:v>43346</c:v>
                </c:pt>
                <c:pt idx="1259" formatCode="dd\.mm\.yyyy">
                  <c:v>43347</c:v>
                </c:pt>
                <c:pt idx="1260" formatCode="dd\.mm\.yyyy">
                  <c:v>43348</c:v>
                </c:pt>
                <c:pt idx="1261" formatCode="dd\.mm\.yyyy">
                  <c:v>43350</c:v>
                </c:pt>
                <c:pt idx="1262" formatCode="dd\.mm\.yyyy">
                  <c:v>43353</c:v>
                </c:pt>
                <c:pt idx="1263" formatCode="dd\.mm\.yyyy">
                  <c:v>43354</c:v>
                </c:pt>
                <c:pt idx="1264" formatCode="dd\.mm\.yyyy">
                  <c:v>43355</c:v>
                </c:pt>
                <c:pt idx="1265" formatCode="dd\.mm\.yyyy">
                  <c:v>43356</c:v>
                </c:pt>
                <c:pt idx="1266" formatCode="dd\.mm\.yyyy">
                  <c:v>43357</c:v>
                </c:pt>
                <c:pt idx="1267" formatCode="dd\.mm\.yyyy">
                  <c:v>43360</c:v>
                </c:pt>
                <c:pt idx="1268" formatCode="dd\.mm\.yyyy">
                  <c:v>43361</c:v>
                </c:pt>
                <c:pt idx="1269" formatCode="dd\.mm\.yyyy">
                  <c:v>43363</c:v>
                </c:pt>
                <c:pt idx="1270" formatCode="dd\.mm\.yyyy">
                  <c:v>43367</c:v>
                </c:pt>
                <c:pt idx="1271" formatCode="dd\.mm\.yyyy">
                  <c:v>43368</c:v>
                </c:pt>
                <c:pt idx="1272" formatCode="dd\.mm\.yyyy">
                  <c:v>43369</c:v>
                </c:pt>
                <c:pt idx="1273" formatCode="dd\.mm\.yyyy">
                  <c:v>43370</c:v>
                </c:pt>
                <c:pt idx="1274" formatCode="dd\.mm\.yyyy">
                  <c:v>43371</c:v>
                </c:pt>
                <c:pt idx="1275" formatCode="dd\.mm\.yyyy">
                  <c:v>43374</c:v>
                </c:pt>
                <c:pt idx="1276" formatCode="dd\.mm\.yyyy">
                  <c:v>43375</c:v>
                </c:pt>
                <c:pt idx="1277" formatCode="dd\.mm\.yyyy">
                  <c:v>43376</c:v>
                </c:pt>
                <c:pt idx="1278" formatCode="dd\.mm\.yyyy">
                  <c:v>43377</c:v>
                </c:pt>
                <c:pt idx="1279" formatCode="dd\.mm\.yyyy">
                  <c:v>43378</c:v>
                </c:pt>
                <c:pt idx="1280" formatCode="dd\.mm\.yyyy">
                  <c:v>43381</c:v>
                </c:pt>
                <c:pt idx="1281" formatCode="dd\.mm\.yyyy">
                  <c:v>43382</c:v>
                </c:pt>
                <c:pt idx="1282" formatCode="dd\.mm\.yyyy">
                  <c:v>43383</c:v>
                </c:pt>
                <c:pt idx="1283" formatCode="dd\.mm\.yyyy">
                  <c:v>43384</c:v>
                </c:pt>
                <c:pt idx="1284" formatCode="dd\.mm\.yyyy">
                  <c:v>43385</c:v>
                </c:pt>
                <c:pt idx="1285" formatCode="dd\.mm\.yyyy">
                  <c:v>43388</c:v>
                </c:pt>
                <c:pt idx="1286" formatCode="dd\.mm\.yyyy">
                  <c:v>43389</c:v>
                </c:pt>
                <c:pt idx="1287" formatCode="dd\.mm\.yyyy">
                  <c:v>43390</c:v>
                </c:pt>
                <c:pt idx="1288" formatCode="dd\.mm\.yyyy">
                  <c:v>43391</c:v>
                </c:pt>
                <c:pt idx="1289" formatCode="dd\.mm\.yyyy">
                  <c:v>43392</c:v>
                </c:pt>
                <c:pt idx="1290" formatCode="dd\.mm\.yyyy">
                  <c:v>43395</c:v>
                </c:pt>
                <c:pt idx="1291" formatCode="dd\.mm\.yyyy">
                  <c:v>43396</c:v>
                </c:pt>
                <c:pt idx="1292" formatCode="dd\.mm\.yyyy">
                  <c:v>43397</c:v>
                </c:pt>
                <c:pt idx="1293" formatCode="dd\.mm\.yyyy">
                  <c:v>43398</c:v>
                </c:pt>
                <c:pt idx="1294" formatCode="dd\.mm\.yyyy">
                  <c:v>43399</c:v>
                </c:pt>
                <c:pt idx="1295" formatCode="dd\.mm\.yyyy">
                  <c:v>43402</c:v>
                </c:pt>
                <c:pt idx="1296" formatCode="dd\.mm\.yyyy">
                  <c:v>43403</c:v>
                </c:pt>
                <c:pt idx="1297" formatCode="dd\.mm\.yyyy">
                  <c:v>43404</c:v>
                </c:pt>
                <c:pt idx="1298" formatCode="dd\.mm\.yyyy">
                  <c:v>43405</c:v>
                </c:pt>
                <c:pt idx="1299" formatCode="dd\.mm\.yyyy">
                  <c:v>43406</c:v>
                </c:pt>
                <c:pt idx="1300" formatCode="dd\.mm\.yyyy">
                  <c:v>43409</c:v>
                </c:pt>
                <c:pt idx="1301" formatCode="dd\.mm\.yyyy">
                  <c:v>43410</c:v>
                </c:pt>
                <c:pt idx="1302" formatCode="dd\.mm\.yyyy">
                  <c:v>43411</c:v>
                </c:pt>
                <c:pt idx="1303" formatCode="dd\.mm\.yyyy">
                  <c:v>43412</c:v>
                </c:pt>
                <c:pt idx="1304" formatCode="dd\.mm\.yyyy">
                  <c:v>43413</c:v>
                </c:pt>
                <c:pt idx="1305" formatCode="dd\.mm\.yyyy">
                  <c:v>43416</c:v>
                </c:pt>
                <c:pt idx="1306" formatCode="dd\.mm\.yyyy">
                  <c:v>43417</c:v>
                </c:pt>
                <c:pt idx="1307" formatCode="dd\.mm\.yyyy">
                  <c:v>43418</c:v>
                </c:pt>
                <c:pt idx="1308" formatCode="dd\.mm\.yyyy">
                  <c:v>43419</c:v>
                </c:pt>
                <c:pt idx="1309" formatCode="dd\.mm\.yyyy">
                  <c:v>43423</c:v>
                </c:pt>
                <c:pt idx="1310" formatCode="dd\.mm\.yyyy">
                  <c:v>43424</c:v>
                </c:pt>
                <c:pt idx="1311" formatCode="dd\.mm\.yyyy">
                  <c:v>43425</c:v>
                </c:pt>
                <c:pt idx="1312" formatCode="dd\.mm\.yyyy">
                  <c:v>43426</c:v>
                </c:pt>
                <c:pt idx="1313" formatCode="dd\.mm\.yyyy">
                  <c:v>43430</c:v>
                </c:pt>
                <c:pt idx="1314" formatCode="dd\.mm\.yyyy">
                  <c:v>43431</c:v>
                </c:pt>
                <c:pt idx="1315" formatCode="dd\.mm\.yyyy">
                  <c:v>43432</c:v>
                </c:pt>
                <c:pt idx="1316" formatCode="dd\.mm\.yyyy">
                  <c:v>43433</c:v>
                </c:pt>
                <c:pt idx="1317" formatCode="dd\.mm\.yyyy">
                  <c:v>43437</c:v>
                </c:pt>
                <c:pt idx="1318" formatCode="dd\.mm\.yyyy">
                  <c:v>43438</c:v>
                </c:pt>
                <c:pt idx="1319" formatCode="dd\.mm\.yyyy">
                  <c:v>43439</c:v>
                </c:pt>
                <c:pt idx="1320" formatCode="dd\.mm\.yyyy">
                  <c:v>43440</c:v>
                </c:pt>
                <c:pt idx="1321" formatCode="dd\.mm\.yyyy">
                  <c:v>43444</c:v>
                </c:pt>
                <c:pt idx="1322" formatCode="dd\.mm\.yyyy">
                  <c:v>43445</c:v>
                </c:pt>
                <c:pt idx="1323" formatCode="dd\.mm\.yyyy">
                  <c:v>43446</c:v>
                </c:pt>
                <c:pt idx="1324" formatCode="dd\.mm\.yyyy">
                  <c:v>43447</c:v>
                </c:pt>
                <c:pt idx="1325" formatCode="dd\.mm\.yyyy">
                  <c:v>43451</c:v>
                </c:pt>
                <c:pt idx="1326" formatCode="dd\.mm\.yyyy">
                  <c:v>43472</c:v>
                </c:pt>
                <c:pt idx="1327" formatCode="dd\.mm\.yyyy">
                  <c:v>43473</c:v>
                </c:pt>
                <c:pt idx="1328" formatCode="dd\.mm\.yyyy">
                  <c:v>43475</c:v>
                </c:pt>
                <c:pt idx="1329" formatCode="dd\.mm\.yyyy">
                  <c:v>43479</c:v>
                </c:pt>
                <c:pt idx="1330" formatCode="dd\.mm\.yyyy">
                  <c:v>43480</c:v>
                </c:pt>
                <c:pt idx="1331" formatCode="dd\.mm\.yyyy">
                  <c:v>43481</c:v>
                </c:pt>
                <c:pt idx="1332" formatCode="dd\.mm\.yyyy">
                  <c:v>43482</c:v>
                </c:pt>
                <c:pt idx="1333" formatCode="dd\.mm\.yyyy">
                  <c:v>43486</c:v>
                </c:pt>
                <c:pt idx="1334" formatCode="dd\.mm\.yyyy">
                  <c:v>43487</c:v>
                </c:pt>
                <c:pt idx="1335" formatCode="dd\.mm\.yyyy">
                  <c:v>43489</c:v>
                </c:pt>
                <c:pt idx="1336" formatCode="dd\.mm\.yyyy">
                  <c:v>43493</c:v>
                </c:pt>
                <c:pt idx="1337" formatCode="dd\.mm\.yyyy">
                  <c:v>43494</c:v>
                </c:pt>
                <c:pt idx="1338" formatCode="dd\.mm\.yyyy">
                  <c:v>43495</c:v>
                </c:pt>
                <c:pt idx="1339" formatCode="dd\.mm\.yyyy">
                  <c:v>43496</c:v>
                </c:pt>
                <c:pt idx="1340" formatCode="dd\.mm\.yyyy">
                  <c:v>43497</c:v>
                </c:pt>
                <c:pt idx="1341" formatCode="dd\.mm\.yyyy">
                  <c:v>43500</c:v>
                </c:pt>
                <c:pt idx="1342" formatCode="dd\.mm\.yyyy">
                  <c:v>43501</c:v>
                </c:pt>
                <c:pt idx="1343" formatCode="dd\.mm\.yyyy">
                  <c:v>43503</c:v>
                </c:pt>
                <c:pt idx="1344" formatCode="dd\.mm\.yyyy">
                  <c:v>43504</c:v>
                </c:pt>
                <c:pt idx="1345" formatCode="dd\.mm\.yyyy">
                  <c:v>43507</c:v>
                </c:pt>
                <c:pt idx="1346" formatCode="dd\.mm\.yyyy">
                  <c:v>43508</c:v>
                </c:pt>
                <c:pt idx="1347" formatCode="dd\.mm\.yyyy">
                  <c:v>43509</c:v>
                </c:pt>
                <c:pt idx="1348" formatCode="dd\.mm\.yyyy">
                  <c:v>43510</c:v>
                </c:pt>
                <c:pt idx="1349" formatCode="dd\.mm\.yyyy">
                  <c:v>43511</c:v>
                </c:pt>
                <c:pt idx="1350" formatCode="dd\.mm\.yyyy">
                  <c:v>43514</c:v>
                </c:pt>
                <c:pt idx="1351" formatCode="dd\.mm\.yyyy">
                  <c:v>43515</c:v>
                </c:pt>
                <c:pt idx="1352" formatCode="dd\.mm\.yyyy">
                  <c:v>43517</c:v>
                </c:pt>
                <c:pt idx="1353" formatCode="dd\.mm\.yyyy">
                  <c:v>43518</c:v>
                </c:pt>
                <c:pt idx="1354" formatCode="dd\.mm\.yyyy">
                  <c:v>43521</c:v>
                </c:pt>
                <c:pt idx="1355" formatCode="dd\.mm\.yyyy">
                  <c:v>43522</c:v>
                </c:pt>
                <c:pt idx="1356" formatCode="dd\.mm\.yyyy">
                  <c:v>43523</c:v>
                </c:pt>
                <c:pt idx="1357" formatCode="dd\.mm\.yyyy">
                  <c:v>43524</c:v>
                </c:pt>
                <c:pt idx="1358" formatCode="dd\.mm\.yyyy">
                  <c:v>43525</c:v>
                </c:pt>
                <c:pt idx="1359" formatCode="dd\.mm\.yyyy">
                  <c:v>43528</c:v>
                </c:pt>
                <c:pt idx="1360" formatCode="dd\.mm\.yyyy">
                  <c:v>43529</c:v>
                </c:pt>
                <c:pt idx="1361" formatCode="dd\.mm\.yyyy">
                  <c:v>43531</c:v>
                </c:pt>
                <c:pt idx="1362" formatCode="dd\.mm\.yyyy">
                  <c:v>43532</c:v>
                </c:pt>
                <c:pt idx="1363" formatCode="dd\.mm\.yyyy">
                  <c:v>43535</c:v>
                </c:pt>
                <c:pt idx="1364" formatCode="dd\.mm\.yyyy">
                  <c:v>43536</c:v>
                </c:pt>
                <c:pt idx="1365" formatCode="dd\.mm\.yyyy">
                  <c:v>43537</c:v>
                </c:pt>
                <c:pt idx="1366" formatCode="dd\.mm\.yyyy">
                  <c:v>43538</c:v>
                </c:pt>
                <c:pt idx="1367" formatCode="dd\.mm\.yyyy">
                  <c:v>43539</c:v>
                </c:pt>
                <c:pt idx="1368" formatCode="dd\.mm\.yyyy">
                  <c:v>43542</c:v>
                </c:pt>
                <c:pt idx="1369" formatCode="dd\.mm\.yyyy">
                  <c:v>43543</c:v>
                </c:pt>
                <c:pt idx="1370" formatCode="dd\.mm\.yyyy">
                  <c:v>43545</c:v>
                </c:pt>
                <c:pt idx="1371" formatCode="dd\.mm\.yyyy">
                  <c:v>43546</c:v>
                </c:pt>
                <c:pt idx="1372" formatCode="dd\.mm\.yyyy">
                  <c:v>43549</c:v>
                </c:pt>
                <c:pt idx="1373" formatCode="dd\.mm\.yyyy">
                  <c:v>43550</c:v>
                </c:pt>
                <c:pt idx="1374" formatCode="dd\.mm\.yyyy">
                  <c:v>43551</c:v>
                </c:pt>
                <c:pt idx="1375" formatCode="dd\.mm\.yyyy">
                  <c:v>43552</c:v>
                </c:pt>
                <c:pt idx="1376" formatCode="dd\.mm\.yyyy">
                  <c:v>43553</c:v>
                </c:pt>
                <c:pt idx="1377" formatCode="dd\.mm\.yyyy">
                  <c:v>43556</c:v>
                </c:pt>
                <c:pt idx="1378" formatCode="dd\.mm\.yyyy">
                  <c:v>43557</c:v>
                </c:pt>
                <c:pt idx="1379" formatCode="dd\.mm\.yyyy">
                  <c:v>43559</c:v>
                </c:pt>
                <c:pt idx="1380" formatCode="dd\.mm\.yyyy">
                  <c:v>43560</c:v>
                </c:pt>
                <c:pt idx="1381" formatCode="dd\.mm\.yyyy">
                  <c:v>43563</c:v>
                </c:pt>
                <c:pt idx="1382" formatCode="dd\.mm\.yyyy">
                  <c:v>43564</c:v>
                </c:pt>
                <c:pt idx="1383" formatCode="dd\.mm\.yyyy">
                  <c:v>43565</c:v>
                </c:pt>
                <c:pt idx="1384" formatCode="dd\.mm\.yyyy">
                  <c:v>43566</c:v>
                </c:pt>
                <c:pt idx="1385" formatCode="dd\.mm\.yyyy">
                  <c:v>43567</c:v>
                </c:pt>
                <c:pt idx="1386" formatCode="dd\.mm\.yyyy">
                  <c:v>43570</c:v>
                </c:pt>
                <c:pt idx="1387" formatCode="dd\.mm\.yyyy">
                  <c:v>43571</c:v>
                </c:pt>
                <c:pt idx="1388" formatCode="dd\.mm\.yyyy">
                  <c:v>43573</c:v>
                </c:pt>
                <c:pt idx="1389" formatCode="dd\.mm\.yyyy">
                  <c:v>43578</c:v>
                </c:pt>
                <c:pt idx="1390" formatCode="dd\.mm\.yyyy">
                  <c:v>43579</c:v>
                </c:pt>
                <c:pt idx="1391" formatCode="dd\.mm\.yyyy">
                  <c:v>43580</c:v>
                </c:pt>
                <c:pt idx="1392" formatCode="dd\.mm\.yyyy">
                  <c:v>43581</c:v>
                </c:pt>
                <c:pt idx="1393" formatCode="dd\.mm\.yyyy">
                  <c:v>43584</c:v>
                </c:pt>
                <c:pt idx="1394" formatCode="dd\.mm\.yyyy">
                  <c:v>43585</c:v>
                </c:pt>
                <c:pt idx="1395" formatCode="dd\.mm\.yyyy">
                  <c:v>43587</c:v>
                </c:pt>
                <c:pt idx="1396" formatCode="dd\.mm\.yyyy">
                  <c:v>43588</c:v>
                </c:pt>
                <c:pt idx="1397" formatCode="dd\.mm\.yyyy">
                  <c:v>43592</c:v>
                </c:pt>
                <c:pt idx="1398" formatCode="dd\.mm\.yyyy">
                  <c:v>43593</c:v>
                </c:pt>
                <c:pt idx="1399" formatCode="dd\.mm\.yyyy">
                  <c:v>43594</c:v>
                </c:pt>
                <c:pt idx="1400" formatCode="dd\.mm\.yyyy">
                  <c:v>43595</c:v>
                </c:pt>
                <c:pt idx="1401" formatCode="dd\.mm\.yyyy">
                  <c:v>43598</c:v>
                </c:pt>
                <c:pt idx="1402" formatCode="dd\.mm\.yyyy">
                  <c:v>43599</c:v>
                </c:pt>
                <c:pt idx="1403" formatCode="dd\.mm\.yyyy">
                  <c:v>43601</c:v>
                </c:pt>
                <c:pt idx="1404" formatCode="dd\.mm\.yyyy">
                  <c:v>43602</c:v>
                </c:pt>
                <c:pt idx="1405" formatCode="dd\.mm\.yyyy">
                  <c:v>43605</c:v>
                </c:pt>
                <c:pt idx="1406" formatCode="dd\.mm\.yyyy">
                  <c:v>43606</c:v>
                </c:pt>
                <c:pt idx="1407" formatCode="dd\.mm\.yyyy">
                  <c:v>43607</c:v>
                </c:pt>
                <c:pt idx="1408" formatCode="dd\.mm\.yyyy">
                  <c:v>43608</c:v>
                </c:pt>
                <c:pt idx="1409" formatCode="dd\.mm\.yyyy">
                  <c:v>43609</c:v>
                </c:pt>
                <c:pt idx="1410" formatCode="dd\.mm\.yyyy">
                  <c:v>43613</c:v>
                </c:pt>
                <c:pt idx="1411" formatCode="dd\.mm\.yyyy">
                  <c:v>43619</c:v>
                </c:pt>
                <c:pt idx="1412" formatCode="dd\.mm\.yyyy">
                  <c:v>43620</c:v>
                </c:pt>
                <c:pt idx="1413" formatCode="dd\.mm\.yyyy">
                  <c:v>43621</c:v>
                </c:pt>
                <c:pt idx="1414" formatCode="dd\.mm\.yyyy">
                  <c:v>43622</c:v>
                </c:pt>
                <c:pt idx="1415" formatCode="dd\.mm\.yyyy">
                  <c:v>43623</c:v>
                </c:pt>
                <c:pt idx="1416" formatCode="dd\.mm\.yyyy">
                  <c:v>43627</c:v>
                </c:pt>
                <c:pt idx="1417" formatCode="dd\.mm\.yyyy">
                  <c:v>43629</c:v>
                </c:pt>
                <c:pt idx="1418" formatCode="dd\.mm\.yyyy">
                  <c:v>43630</c:v>
                </c:pt>
                <c:pt idx="1419" formatCode="dd\.mm\.yyyy">
                  <c:v>43633</c:v>
                </c:pt>
                <c:pt idx="1420" formatCode="dd\.mm\.yyyy">
                  <c:v>43634</c:v>
                </c:pt>
                <c:pt idx="1421" formatCode="dd\.mm\.yyyy">
                  <c:v>43635</c:v>
                </c:pt>
                <c:pt idx="1422" formatCode="dd\.mm\.yyyy">
                  <c:v>43636</c:v>
                </c:pt>
                <c:pt idx="1423" formatCode="dd\.mm\.yyyy">
                  <c:v>43637</c:v>
                </c:pt>
                <c:pt idx="1424" formatCode="dd\.mm\.yyyy">
                  <c:v>43640</c:v>
                </c:pt>
                <c:pt idx="1425" formatCode="dd\.mm\.yyyy">
                  <c:v>43643</c:v>
                </c:pt>
                <c:pt idx="1426" formatCode="dd\.mm\.yyyy">
                  <c:v>43644</c:v>
                </c:pt>
                <c:pt idx="1427" formatCode="dd\.mm\.yyyy">
                  <c:v>43647</c:v>
                </c:pt>
                <c:pt idx="1428" formatCode="dd\.mm\.yyyy">
                  <c:v>43648</c:v>
                </c:pt>
                <c:pt idx="1429" formatCode="dd\.mm\.yyyy">
                  <c:v>43649</c:v>
                </c:pt>
                <c:pt idx="1430" formatCode="dd\.mm\.yyyy">
                  <c:v>43650</c:v>
                </c:pt>
                <c:pt idx="1431" formatCode="dd\.mm\.yyyy">
                  <c:v>43651</c:v>
                </c:pt>
                <c:pt idx="1432" formatCode="dd\.mm\.yyyy">
                  <c:v>43654</c:v>
                </c:pt>
                <c:pt idx="1433" formatCode="dd\.mm\.yyyy">
                  <c:v>43655</c:v>
                </c:pt>
                <c:pt idx="1434" formatCode="dd\.mm\.yyyy">
                  <c:v>43657</c:v>
                </c:pt>
                <c:pt idx="1435" formatCode="dd\.mm\.yyyy">
                  <c:v>43658</c:v>
                </c:pt>
                <c:pt idx="1436" formatCode="dd\.mm\.yyyy">
                  <c:v>43661</c:v>
                </c:pt>
                <c:pt idx="1437" formatCode="dd\.mm\.yyyy">
                  <c:v>43662</c:v>
                </c:pt>
                <c:pt idx="1438" formatCode="dd\.mm\.yyyy">
                  <c:v>43663</c:v>
                </c:pt>
                <c:pt idx="1439" formatCode="dd\.mm\.yyyy">
                  <c:v>43664</c:v>
                </c:pt>
                <c:pt idx="1440" formatCode="dd\.mm\.yyyy">
                  <c:v>43665</c:v>
                </c:pt>
                <c:pt idx="1441" formatCode="dd\.mm\.yyyy">
                  <c:v>43668</c:v>
                </c:pt>
                <c:pt idx="1442" formatCode="dd\.mm\.yyyy">
                  <c:v>43669</c:v>
                </c:pt>
                <c:pt idx="1443" formatCode="dd\.mm\.yyyy">
                  <c:v>43671</c:v>
                </c:pt>
                <c:pt idx="1444" formatCode="dd\.mm\.yyyy">
                  <c:v>43672</c:v>
                </c:pt>
                <c:pt idx="1445" formatCode="dd\.mm\.yyyy">
                  <c:v>43675</c:v>
                </c:pt>
                <c:pt idx="1446" formatCode="dd\.mm\.yyyy">
                  <c:v>43676</c:v>
                </c:pt>
                <c:pt idx="1447" formatCode="dd\.mm\.yyyy">
                  <c:v>43677</c:v>
                </c:pt>
                <c:pt idx="1448" formatCode="dd\.mm\.yyyy">
                  <c:v>43678</c:v>
                </c:pt>
                <c:pt idx="1449" formatCode="dd\.mm\.yyyy">
                  <c:v>43679</c:v>
                </c:pt>
                <c:pt idx="1450" formatCode="dd\.mm\.yyyy">
                  <c:v>43682</c:v>
                </c:pt>
                <c:pt idx="1451" formatCode="dd\.mm\.yyyy">
                  <c:v>43683</c:v>
                </c:pt>
                <c:pt idx="1452" formatCode="dd\.mm\.yyyy">
                  <c:v>43685</c:v>
                </c:pt>
                <c:pt idx="1453" formatCode="dd\.mm\.yyyy">
                  <c:v>43686</c:v>
                </c:pt>
                <c:pt idx="1454" formatCode="dd\.mm\.yyyy">
                  <c:v>43689</c:v>
                </c:pt>
                <c:pt idx="1455" formatCode="dd\.mm\.yyyy">
                  <c:v>43690</c:v>
                </c:pt>
                <c:pt idx="1456" formatCode="dd\.mm\.yyyy">
                  <c:v>43691</c:v>
                </c:pt>
                <c:pt idx="1457" formatCode="dd\.mm\.yyyy">
                  <c:v>43692</c:v>
                </c:pt>
                <c:pt idx="1458" formatCode="dd\.mm\.yyyy">
                  <c:v>43693</c:v>
                </c:pt>
                <c:pt idx="1459" formatCode="dd\.mm\.yyyy">
                  <c:v>43696</c:v>
                </c:pt>
                <c:pt idx="1460" formatCode="dd\.mm\.yyyy">
                  <c:v>43697</c:v>
                </c:pt>
                <c:pt idx="1461" formatCode="dd\.mm\.yyyy">
                  <c:v>43699</c:v>
                </c:pt>
                <c:pt idx="1462" formatCode="dd\.mm\.yyyy">
                  <c:v>43700</c:v>
                </c:pt>
                <c:pt idx="1463" formatCode="dd\.mm\.yyyy">
                  <c:v>43704</c:v>
                </c:pt>
                <c:pt idx="1464" formatCode="dd\.mm\.yyyy">
                  <c:v>43705</c:v>
                </c:pt>
                <c:pt idx="1465" formatCode="dd\.mm\.yyyy">
                  <c:v>43706</c:v>
                </c:pt>
                <c:pt idx="1466" formatCode="dd\.mm\.yyyy">
                  <c:v>43707</c:v>
                </c:pt>
                <c:pt idx="1467" formatCode="dd\.mm\.yyyy">
                  <c:v>43710</c:v>
                </c:pt>
                <c:pt idx="1468" formatCode="dd\.mm\.yyyy">
                  <c:v>43711</c:v>
                </c:pt>
                <c:pt idx="1469" formatCode="dd\.mm\.yyyy">
                  <c:v>43714</c:v>
                </c:pt>
                <c:pt idx="1470" formatCode="dd\.mm\.yyyy">
                  <c:v>43717</c:v>
                </c:pt>
                <c:pt idx="1471" formatCode="dd\.mm\.yyyy">
                  <c:v>43718</c:v>
                </c:pt>
                <c:pt idx="1472" formatCode="dd\.mm\.yyyy">
                  <c:v>43719</c:v>
                </c:pt>
                <c:pt idx="1473" formatCode="dd\.mm\.yyyy">
                  <c:v>43720</c:v>
                </c:pt>
                <c:pt idx="1474" formatCode="dd\.mm\.yyyy">
                  <c:v>43721</c:v>
                </c:pt>
                <c:pt idx="1475" formatCode="dd\.mm\.yyyy">
                  <c:v>43724</c:v>
                </c:pt>
                <c:pt idx="1476" formatCode="dd\.mm\.yyyy">
                  <c:v>43725</c:v>
                </c:pt>
                <c:pt idx="1477" formatCode="dd\.mm\.yyyy">
                  <c:v>43727</c:v>
                </c:pt>
                <c:pt idx="1478" formatCode="dd\.mm\.yyyy">
                  <c:v>43728</c:v>
                </c:pt>
                <c:pt idx="1479" formatCode="dd\.mm\.yyyy">
                  <c:v>43731</c:v>
                </c:pt>
                <c:pt idx="1480" formatCode="dd\.mm\.yyyy">
                  <c:v>43732</c:v>
                </c:pt>
                <c:pt idx="1481" formatCode="dd\.mm\.yyyy">
                  <c:v>43733</c:v>
                </c:pt>
                <c:pt idx="1482" formatCode="dd\.mm\.yyyy">
                  <c:v>43734</c:v>
                </c:pt>
                <c:pt idx="1483" formatCode="dd\.mm\.yyyy">
                  <c:v>43735</c:v>
                </c:pt>
                <c:pt idx="1484" formatCode="dd\.mm\.yyyy">
                  <c:v>43738</c:v>
                </c:pt>
                <c:pt idx="1485" formatCode="dd\.mm\.yyyy">
                  <c:v>43739</c:v>
                </c:pt>
                <c:pt idx="1486" formatCode="dd\.mm\.yyyy">
                  <c:v>43741</c:v>
                </c:pt>
                <c:pt idx="1487" formatCode="dd\.mm\.yyyy">
                  <c:v>43742</c:v>
                </c:pt>
                <c:pt idx="1488" formatCode="dd\.mm\.yyyy">
                  <c:v>43745</c:v>
                </c:pt>
                <c:pt idx="1489" formatCode="dd\.mm\.yyyy">
                  <c:v>43746</c:v>
                </c:pt>
                <c:pt idx="1490" formatCode="dd\.mm\.yyyy">
                  <c:v>43747</c:v>
                </c:pt>
                <c:pt idx="1491" formatCode="dd\.mm\.yyyy">
                  <c:v>43748</c:v>
                </c:pt>
                <c:pt idx="1492" formatCode="dd\.mm\.yyyy">
                  <c:v>43749</c:v>
                </c:pt>
                <c:pt idx="1493" formatCode="dd\.mm\.yyyy">
                  <c:v>43752</c:v>
                </c:pt>
                <c:pt idx="1494" formatCode="dd\.mm\.yyyy">
                  <c:v>43753</c:v>
                </c:pt>
                <c:pt idx="1495" formatCode="dd\.mm\.yyyy">
                  <c:v>43755</c:v>
                </c:pt>
                <c:pt idx="1496" formatCode="dd\.mm\.yyyy">
                  <c:v>43756</c:v>
                </c:pt>
                <c:pt idx="1497" formatCode="dd\.mm\.yyyy">
                  <c:v>43759</c:v>
                </c:pt>
                <c:pt idx="1498" formatCode="dd\.mm\.yyyy">
                  <c:v>43760</c:v>
                </c:pt>
                <c:pt idx="1499" formatCode="dd\.mm\.yyyy">
                  <c:v>43761</c:v>
                </c:pt>
                <c:pt idx="1500" formatCode="dd\.mm\.yyyy">
                  <c:v>43762</c:v>
                </c:pt>
                <c:pt idx="1501" formatCode="dd\.mm\.yyyy">
                  <c:v>43763</c:v>
                </c:pt>
                <c:pt idx="1502" formatCode="dd\.mm\.yyyy">
                  <c:v>43766</c:v>
                </c:pt>
                <c:pt idx="1503" formatCode="dd\.mm\.yyyy">
                  <c:v>43767</c:v>
                </c:pt>
                <c:pt idx="1504" formatCode="dd\.mm\.yyyy">
                  <c:v>43769</c:v>
                </c:pt>
                <c:pt idx="1505" formatCode="dd\.mm\.yyyy">
                  <c:v>43770</c:v>
                </c:pt>
                <c:pt idx="1506" formatCode="dd\.mm\.yyyy">
                  <c:v>43773</c:v>
                </c:pt>
                <c:pt idx="1507" formatCode="dd\.mm\.yyyy">
                  <c:v>43774</c:v>
                </c:pt>
                <c:pt idx="1508" formatCode="dd\.mm\.yyyy">
                  <c:v>43775</c:v>
                </c:pt>
                <c:pt idx="1509" formatCode="dd\.mm\.yyyy">
                  <c:v>43776</c:v>
                </c:pt>
                <c:pt idx="1510" formatCode="dd\.mm\.yyyy">
                  <c:v>43777</c:v>
                </c:pt>
                <c:pt idx="1511" formatCode="dd\.mm\.yyyy">
                  <c:v>43780</c:v>
                </c:pt>
                <c:pt idx="1512" formatCode="dd\.mm\.yyyy">
                  <c:v>43781</c:v>
                </c:pt>
                <c:pt idx="1513" formatCode="dd\.mm\.yyyy">
                  <c:v>43783</c:v>
                </c:pt>
                <c:pt idx="1514" formatCode="dd\.mm\.yyyy">
                  <c:v>43784</c:v>
                </c:pt>
                <c:pt idx="1515" formatCode="dd\.mm\.yyyy">
                  <c:v>43787</c:v>
                </c:pt>
                <c:pt idx="1516" formatCode="dd\.mm\.yyyy">
                  <c:v>43788</c:v>
                </c:pt>
                <c:pt idx="1517" formatCode="dd\.mm\.yyyy">
                  <c:v>43789</c:v>
                </c:pt>
                <c:pt idx="1518" formatCode="dd\.mm\.yyyy">
                  <c:v>43790</c:v>
                </c:pt>
                <c:pt idx="1519" formatCode="dd\.mm\.yyyy">
                  <c:v>43791</c:v>
                </c:pt>
                <c:pt idx="1520" formatCode="dd\.mm\.yyyy">
                  <c:v>43794</c:v>
                </c:pt>
                <c:pt idx="1521" formatCode="dd\.mm\.yyyy">
                  <c:v>43795</c:v>
                </c:pt>
                <c:pt idx="1522" formatCode="dd\.mm\.yyyy">
                  <c:v>43797</c:v>
                </c:pt>
                <c:pt idx="1523" formatCode="dd\.mm\.yyyy">
                  <c:v>43798</c:v>
                </c:pt>
                <c:pt idx="1524" formatCode="dd\.mm\.yyyy">
                  <c:v>43801</c:v>
                </c:pt>
                <c:pt idx="1525" formatCode="dd\.mm\.yyyy">
                  <c:v>43802</c:v>
                </c:pt>
                <c:pt idx="1526" formatCode="dd\.mm\.yyyy">
                  <c:v>43803</c:v>
                </c:pt>
                <c:pt idx="1527" formatCode="dd\.mm\.yyyy">
                  <c:v>43804</c:v>
                </c:pt>
                <c:pt idx="1528" formatCode="dd\.mm\.yyyy">
                  <c:v>43805</c:v>
                </c:pt>
                <c:pt idx="1529" formatCode="dd\.mm\.yyyy">
                  <c:v>43808</c:v>
                </c:pt>
                <c:pt idx="1530" formatCode="dd\.mm\.yyyy">
                  <c:v>43809</c:v>
                </c:pt>
                <c:pt idx="1531" formatCode="dd\.mm\.yyyy">
                  <c:v>43811</c:v>
                </c:pt>
                <c:pt idx="1532" formatCode="dd\.mm\.yyyy">
                  <c:v>43812</c:v>
                </c:pt>
                <c:pt idx="1533" formatCode="dd\.mm\.yyyy">
                  <c:v>43815</c:v>
                </c:pt>
                <c:pt idx="1534" formatCode="dd\.mm\.yyyy">
                  <c:v>43837</c:v>
                </c:pt>
                <c:pt idx="1535" formatCode="dd\.mm\.yyyy">
                  <c:v>43839</c:v>
                </c:pt>
                <c:pt idx="1536" formatCode="dd\.mm\.yyyy">
                  <c:v>43840</c:v>
                </c:pt>
                <c:pt idx="1537" formatCode="dd\.mm\.yyyy">
                  <c:v>43843</c:v>
                </c:pt>
                <c:pt idx="1538" formatCode="dd\.mm\.yyyy">
                  <c:v>43844</c:v>
                </c:pt>
                <c:pt idx="1539" formatCode="dd\.mm\.yyyy">
                  <c:v>43845</c:v>
                </c:pt>
                <c:pt idx="1540" formatCode="dd\.mm\.yyyy">
                  <c:v>43846</c:v>
                </c:pt>
                <c:pt idx="1541" formatCode="dd\.mm\.yyyy">
                  <c:v>43847</c:v>
                </c:pt>
                <c:pt idx="1542" formatCode="dd\.mm\.yyyy">
                  <c:v>43850</c:v>
                </c:pt>
                <c:pt idx="1543" formatCode="dd\.mm\.yyyy">
                  <c:v>43851</c:v>
                </c:pt>
                <c:pt idx="1544" formatCode="dd\.mm\.yyyy">
                  <c:v>43853</c:v>
                </c:pt>
                <c:pt idx="1545" formatCode="dd\.mm\.yyyy">
                  <c:v>43854</c:v>
                </c:pt>
                <c:pt idx="1546" formatCode="dd\.mm\.yyyy">
                  <c:v>43857</c:v>
                </c:pt>
                <c:pt idx="1547" formatCode="dd\.mm\.yyyy">
                  <c:v>43858</c:v>
                </c:pt>
                <c:pt idx="1548" formatCode="dd\.mm\.yyyy">
                  <c:v>43859</c:v>
                </c:pt>
                <c:pt idx="1549" formatCode="dd\.mm\.yyyy">
                  <c:v>43860</c:v>
                </c:pt>
                <c:pt idx="1550" formatCode="dd\.mm\.yyyy">
                  <c:v>43861</c:v>
                </c:pt>
                <c:pt idx="1551" formatCode="dd\.mm\.yyyy">
                  <c:v>43864</c:v>
                </c:pt>
                <c:pt idx="1552" formatCode="dd\.mm\.yyyy">
                  <c:v>43865</c:v>
                </c:pt>
                <c:pt idx="1553" formatCode="dd\.mm\.yyyy">
                  <c:v>43867</c:v>
                </c:pt>
                <c:pt idx="1554" formatCode="dd\.mm\.yyyy">
                  <c:v>43868</c:v>
                </c:pt>
                <c:pt idx="1555" formatCode="dd\.mm\.yyyy">
                  <c:v>43871</c:v>
                </c:pt>
                <c:pt idx="1556" formatCode="dd\.mm\.yyyy">
                  <c:v>43872</c:v>
                </c:pt>
                <c:pt idx="1557" formatCode="dd\.mm\.yyyy">
                  <c:v>43873</c:v>
                </c:pt>
                <c:pt idx="1558" formatCode="dd\.mm\.yyyy">
                  <c:v>43874</c:v>
                </c:pt>
                <c:pt idx="1559" formatCode="dd\.mm\.yyyy">
                  <c:v>43875</c:v>
                </c:pt>
                <c:pt idx="1560" formatCode="dd\.mm\.yyyy">
                  <c:v>43878</c:v>
                </c:pt>
                <c:pt idx="1561" formatCode="dd\.mm\.yyyy">
                  <c:v>43879</c:v>
                </c:pt>
                <c:pt idx="1562" formatCode="dd\.mm\.yyyy">
                  <c:v>43881</c:v>
                </c:pt>
                <c:pt idx="1563" formatCode="dd\.mm\.yyyy">
                  <c:v>43882</c:v>
                </c:pt>
                <c:pt idx="1564" formatCode="dd\.mm\.yyyy">
                  <c:v>43885</c:v>
                </c:pt>
                <c:pt idx="1565" formatCode="dd\.mm\.yyyy">
                  <c:v>43886</c:v>
                </c:pt>
                <c:pt idx="1566" formatCode="dd\.mm\.yyyy">
                  <c:v>43887</c:v>
                </c:pt>
                <c:pt idx="1567" formatCode="dd\.mm\.yyyy">
                  <c:v>43888</c:v>
                </c:pt>
                <c:pt idx="1568" formatCode="dd\.mm\.yyyy">
                  <c:v>43889</c:v>
                </c:pt>
                <c:pt idx="1569" formatCode="dd\.mm\.yyyy">
                  <c:v>43892</c:v>
                </c:pt>
                <c:pt idx="1570" formatCode="dd\.mm\.yyyy">
                  <c:v>43893</c:v>
                </c:pt>
                <c:pt idx="1571" formatCode="dd\.mm\.yyyy">
                  <c:v>43894</c:v>
                </c:pt>
                <c:pt idx="1572" formatCode="dd\.mm\.yyyy">
                  <c:v>43895</c:v>
                </c:pt>
                <c:pt idx="1573" formatCode="dd\.mm\.yyyy">
                  <c:v>43896</c:v>
                </c:pt>
                <c:pt idx="1574" formatCode="dd\.mm\.yyyy">
                  <c:v>43899</c:v>
                </c:pt>
                <c:pt idx="1575" formatCode="dd\.mm\.yyyy">
                  <c:v>43900</c:v>
                </c:pt>
                <c:pt idx="1576" formatCode="dd\.mm\.yyyy">
                  <c:v>43901</c:v>
                </c:pt>
                <c:pt idx="1577" formatCode="dd\.mm\.yyyy">
                  <c:v>43902</c:v>
                </c:pt>
                <c:pt idx="1578" formatCode="dd\.mm\.yyyy">
                  <c:v>43903</c:v>
                </c:pt>
                <c:pt idx="1579" formatCode="dd\.mm\.yyyy">
                  <c:v>43906</c:v>
                </c:pt>
                <c:pt idx="1580" formatCode="dd\.mm\.yyyy">
                  <c:v>43908</c:v>
                </c:pt>
                <c:pt idx="1581" formatCode="dd\.mm\.yyyy">
                  <c:v>43909</c:v>
                </c:pt>
                <c:pt idx="1582" formatCode="dd\.mm\.yyyy">
                  <c:v>43910</c:v>
                </c:pt>
                <c:pt idx="1583" formatCode="dd\.mm\.yyyy">
                  <c:v>43913</c:v>
                </c:pt>
                <c:pt idx="1584" formatCode="dd\.mm\.yyyy">
                  <c:v>43914</c:v>
                </c:pt>
                <c:pt idx="1585" formatCode="dd\.mm\.yyyy">
                  <c:v>43915</c:v>
                </c:pt>
                <c:pt idx="1586" formatCode="dd\.mm\.yyyy">
                  <c:v>43916</c:v>
                </c:pt>
                <c:pt idx="1587" formatCode="dd\.mm\.yyyy">
                  <c:v>43917</c:v>
                </c:pt>
                <c:pt idx="1588" formatCode="dd\.mm\.yyyy">
                  <c:v>43920</c:v>
                </c:pt>
                <c:pt idx="1589" formatCode="dd\.mm\.yyyy">
                  <c:v>43921</c:v>
                </c:pt>
                <c:pt idx="1590" formatCode="dd\.mm\.yyyy">
                  <c:v>43922</c:v>
                </c:pt>
                <c:pt idx="1591" formatCode="dd\.mm\.yyyy">
                  <c:v>43923</c:v>
                </c:pt>
                <c:pt idx="1592" formatCode="dd\.mm\.yyyy">
                  <c:v>43924</c:v>
                </c:pt>
                <c:pt idx="1593" formatCode="dd\.mm\.yyyy">
                  <c:v>43927</c:v>
                </c:pt>
                <c:pt idx="1594" formatCode="dd\.mm\.yyyy">
                  <c:v>43928</c:v>
                </c:pt>
                <c:pt idx="1595" formatCode="dd\.mm\.yyyy">
                  <c:v>43929</c:v>
                </c:pt>
                <c:pt idx="1596" formatCode="dd\.mm\.yyyy">
                  <c:v>43930</c:v>
                </c:pt>
                <c:pt idx="1597" formatCode="dd\.mm\.yyyy">
                  <c:v>43935</c:v>
                </c:pt>
                <c:pt idx="1598" formatCode="dd\.mm\.yyyy">
                  <c:v>43936</c:v>
                </c:pt>
                <c:pt idx="1599" formatCode="dd\.mm\.yyyy">
                  <c:v>43937</c:v>
                </c:pt>
                <c:pt idx="1600" formatCode="dd\.mm\.yyyy">
                  <c:v>43938</c:v>
                </c:pt>
                <c:pt idx="1601" formatCode="dd\.mm\.yyyy">
                  <c:v>43941</c:v>
                </c:pt>
                <c:pt idx="1602" formatCode="dd\.mm\.yyyy">
                  <c:v>43942</c:v>
                </c:pt>
                <c:pt idx="1603" formatCode="dd\.mm\.yyyy">
                  <c:v>43943</c:v>
                </c:pt>
                <c:pt idx="1604" formatCode="dd\.mm\.yyyy">
                  <c:v>43944</c:v>
                </c:pt>
                <c:pt idx="1605" formatCode="dd\.mm\.yyyy">
                  <c:v>43945</c:v>
                </c:pt>
                <c:pt idx="1606" formatCode="dd\.mm\.yyyy">
                  <c:v>43948</c:v>
                </c:pt>
                <c:pt idx="1607" formatCode="dd\.mm\.yyyy">
                  <c:v>43949</c:v>
                </c:pt>
                <c:pt idx="1608" formatCode="dd\.mm\.yyyy">
                  <c:v>43950</c:v>
                </c:pt>
                <c:pt idx="1609" formatCode="dd\.mm\.yyyy">
                  <c:v>43951</c:v>
                </c:pt>
                <c:pt idx="1610" formatCode="dd\.mm\.yyyy">
                  <c:v>43956</c:v>
                </c:pt>
                <c:pt idx="1611" formatCode="dd\.mm\.yyyy">
                  <c:v>43957</c:v>
                </c:pt>
                <c:pt idx="1612" formatCode="dd\.mm\.yyyy">
                  <c:v>43958</c:v>
                </c:pt>
                <c:pt idx="1613" formatCode="dd\.mm\.yyyy">
                  <c:v>43959</c:v>
                </c:pt>
                <c:pt idx="1614" formatCode="dd\.mm\.yyyy">
                  <c:v>43962</c:v>
                </c:pt>
                <c:pt idx="1615" formatCode="dd\.mm\.yyyy">
                  <c:v>43963</c:v>
                </c:pt>
                <c:pt idx="1616" formatCode="dd\.mm\.yyyy">
                  <c:v>43964</c:v>
                </c:pt>
                <c:pt idx="1617" formatCode="dd\.mm\.yyyy">
                  <c:v>43965</c:v>
                </c:pt>
                <c:pt idx="1618" formatCode="dd\.mm\.yyyy">
                  <c:v>43966</c:v>
                </c:pt>
                <c:pt idx="1619" formatCode="dd\.mm\.yyyy">
                  <c:v>43969</c:v>
                </c:pt>
                <c:pt idx="1620" formatCode="dd\.mm\.yyyy">
                  <c:v>43970</c:v>
                </c:pt>
                <c:pt idx="1621" formatCode="dd\.mm\.yyyy">
                  <c:v>43971</c:v>
                </c:pt>
                <c:pt idx="1622" formatCode="dd\.mm\.yyyy">
                  <c:v>43977</c:v>
                </c:pt>
                <c:pt idx="1623" formatCode="dd\.mm\.yyyy">
                  <c:v>43978</c:v>
                </c:pt>
                <c:pt idx="1624" formatCode="dd\.mm\.yyyy">
                  <c:v>43979</c:v>
                </c:pt>
                <c:pt idx="1625" formatCode="dd\.mm\.yyyy">
                  <c:v>43980</c:v>
                </c:pt>
                <c:pt idx="1626" formatCode="dd\.mm\.yyyy">
                  <c:v>43984</c:v>
                </c:pt>
                <c:pt idx="1627" formatCode="dd\.mm\.yyyy">
                  <c:v>43985</c:v>
                </c:pt>
                <c:pt idx="1628" formatCode="dd\.mm\.yyyy">
                  <c:v>43986</c:v>
                </c:pt>
                <c:pt idx="1629" formatCode="dd\.mm\.yyyy">
                  <c:v>43987</c:v>
                </c:pt>
                <c:pt idx="1630" formatCode="dd\.mm\.yyyy">
                  <c:v>43990</c:v>
                </c:pt>
                <c:pt idx="1631" formatCode="dd\.mm\.yyyy">
                  <c:v>43991</c:v>
                </c:pt>
                <c:pt idx="1632" formatCode="dd\.mm\.yyyy">
                  <c:v>43992</c:v>
                </c:pt>
                <c:pt idx="1633" formatCode="dd\.mm\.yyyy">
                  <c:v>43993</c:v>
                </c:pt>
                <c:pt idx="1634" formatCode="dd\.mm\.yyyy">
                  <c:v>43994</c:v>
                </c:pt>
                <c:pt idx="1635" formatCode="dd\.mm\.yyyy">
                  <c:v>43997</c:v>
                </c:pt>
                <c:pt idx="1636" formatCode="dd\.mm\.yyyy">
                  <c:v>43998</c:v>
                </c:pt>
                <c:pt idx="1637" formatCode="dd\.mm\.yyyy">
                  <c:v>43999</c:v>
                </c:pt>
                <c:pt idx="1638" formatCode="dd\.mm\.yyyy">
                  <c:v>44000</c:v>
                </c:pt>
                <c:pt idx="1639" formatCode="dd\.mm\.yyyy">
                  <c:v>44001</c:v>
                </c:pt>
                <c:pt idx="1640" formatCode="dd\.mm\.yyyy">
                  <c:v>44004</c:v>
                </c:pt>
                <c:pt idx="1641" formatCode="dd\.mm\.yyyy">
                  <c:v>44005</c:v>
                </c:pt>
                <c:pt idx="1642" formatCode="dd\.mm\.yyyy">
                  <c:v>44006</c:v>
                </c:pt>
                <c:pt idx="1643" formatCode="dd\.mm\.yyyy">
                  <c:v>44007</c:v>
                </c:pt>
                <c:pt idx="1644" formatCode="dd\.mm\.yyyy">
                  <c:v>44008</c:v>
                </c:pt>
                <c:pt idx="1645" formatCode="dd\.mm\.yyyy">
                  <c:v>44011</c:v>
                </c:pt>
                <c:pt idx="1646" formatCode="dd\.mm\.yyyy">
                  <c:v>44012</c:v>
                </c:pt>
              </c:numCache>
            </c:numRef>
          </c:cat>
          <c:val>
            <c:numRef>
              <c:f>'Auctioning charts'!$D$2:$D$1648</c:f>
              <c:numCache>
                <c:formatCode>General</c:formatCode>
                <c:ptCount val="1647"/>
                <c:pt idx="0">
                  <c:v>14</c:v>
                </c:pt>
                <c:pt idx="1">
                  <c:v>14</c:v>
                </c:pt>
                <c:pt idx="2">
                  <c:v>13</c:v>
                </c:pt>
                <c:pt idx="3">
                  <c:v>13</c:v>
                </c:pt>
                <c:pt idx="4">
                  <c:v>13</c:v>
                </c:pt>
                <c:pt idx="5">
                  <c:v>16</c:v>
                </c:pt>
                <c:pt idx="6">
                  <c:v>15</c:v>
                </c:pt>
                <c:pt idx="7">
                  <c:v>14</c:v>
                </c:pt>
                <c:pt idx="8">
                  <c:v>15</c:v>
                </c:pt>
                <c:pt idx="9">
                  <c:v>17</c:v>
                </c:pt>
                <c:pt idx="10">
                  <c:v>15</c:v>
                </c:pt>
                <c:pt idx="11">
                  <c:v>17</c:v>
                </c:pt>
                <c:pt idx="12">
                  <c:v>16</c:v>
                </c:pt>
                <c:pt idx="13">
                  <c:v>18</c:v>
                </c:pt>
                <c:pt idx="14">
                  <c:v>16</c:v>
                </c:pt>
                <c:pt idx="15">
                  <c:v>14</c:v>
                </c:pt>
                <c:pt idx="16">
                  <c:v>13</c:v>
                </c:pt>
                <c:pt idx="17">
                  <c:v>15</c:v>
                </c:pt>
                <c:pt idx="18">
                  <c:v>14</c:v>
                </c:pt>
                <c:pt idx="19">
                  <c:v>17</c:v>
                </c:pt>
                <c:pt idx="20">
                  <c:v>18</c:v>
                </c:pt>
                <c:pt idx="21">
                  <c:v>13</c:v>
                </c:pt>
                <c:pt idx="22">
                  <c:v>18</c:v>
                </c:pt>
                <c:pt idx="23">
                  <c:v>14</c:v>
                </c:pt>
                <c:pt idx="24">
                  <c:v>17</c:v>
                </c:pt>
                <c:pt idx="25">
                  <c:v>18</c:v>
                </c:pt>
                <c:pt idx="26">
                  <c:v>16</c:v>
                </c:pt>
                <c:pt idx="27">
                  <c:v>17</c:v>
                </c:pt>
                <c:pt idx="28">
                  <c:v>18</c:v>
                </c:pt>
                <c:pt idx="29">
                  <c:v>21</c:v>
                </c:pt>
                <c:pt idx="30">
                  <c:v>19</c:v>
                </c:pt>
                <c:pt idx="31">
                  <c:v>20</c:v>
                </c:pt>
                <c:pt idx="32">
                  <c:v>16</c:v>
                </c:pt>
                <c:pt idx="33">
                  <c:v>18</c:v>
                </c:pt>
                <c:pt idx="34">
                  <c:v>18</c:v>
                </c:pt>
                <c:pt idx="35">
                  <c:v>20</c:v>
                </c:pt>
                <c:pt idx="36">
                  <c:v>16</c:v>
                </c:pt>
                <c:pt idx="37">
                  <c:v>21</c:v>
                </c:pt>
                <c:pt idx="38">
                  <c:v>17</c:v>
                </c:pt>
                <c:pt idx="39">
                  <c:v>19</c:v>
                </c:pt>
                <c:pt idx="40">
                  <c:v>19</c:v>
                </c:pt>
                <c:pt idx="41">
                  <c:v>20</c:v>
                </c:pt>
                <c:pt idx="42">
                  <c:v>16</c:v>
                </c:pt>
                <c:pt idx="43">
                  <c:v>20</c:v>
                </c:pt>
                <c:pt idx="44">
                  <c:v>19</c:v>
                </c:pt>
                <c:pt idx="45">
                  <c:v>17</c:v>
                </c:pt>
                <c:pt idx="46">
                  <c:v>15</c:v>
                </c:pt>
                <c:pt idx="47">
                  <c:v>18</c:v>
                </c:pt>
                <c:pt idx="48">
                  <c:v>12</c:v>
                </c:pt>
                <c:pt idx="49">
                  <c:v>16</c:v>
                </c:pt>
                <c:pt idx="50">
                  <c:v>18</c:v>
                </c:pt>
                <c:pt idx="51">
                  <c:v>19</c:v>
                </c:pt>
                <c:pt idx="52">
                  <c:v>21</c:v>
                </c:pt>
                <c:pt idx="53">
                  <c:v>18</c:v>
                </c:pt>
                <c:pt idx="54">
                  <c:v>18</c:v>
                </c:pt>
                <c:pt idx="55">
                  <c:v>14</c:v>
                </c:pt>
                <c:pt idx="56">
                  <c:v>17</c:v>
                </c:pt>
                <c:pt idx="57">
                  <c:v>20</c:v>
                </c:pt>
                <c:pt idx="58">
                  <c:v>20</c:v>
                </c:pt>
                <c:pt idx="59">
                  <c:v>16</c:v>
                </c:pt>
                <c:pt idx="60">
                  <c:v>15</c:v>
                </c:pt>
                <c:pt idx="61">
                  <c:v>14</c:v>
                </c:pt>
                <c:pt idx="62">
                  <c:v>17</c:v>
                </c:pt>
                <c:pt idx="63">
                  <c:v>19</c:v>
                </c:pt>
                <c:pt idx="64">
                  <c:v>16</c:v>
                </c:pt>
                <c:pt idx="65">
                  <c:v>18</c:v>
                </c:pt>
                <c:pt idx="66">
                  <c:v>18</c:v>
                </c:pt>
                <c:pt idx="67">
                  <c:v>18</c:v>
                </c:pt>
                <c:pt idx="68">
                  <c:v>17</c:v>
                </c:pt>
                <c:pt idx="69">
                  <c:v>21</c:v>
                </c:pt>
                <c:pt idx="70">
                  <c:v>21</c:v>
                </c:pt>
                <c:pt idx="71">
                  <c:v>14</c:v>
                </c:pt>
                <c:pt idx="72">
                  <c:v>17</c:v>
                </c:pt>
                <c:pt idx="73">
                  <c:v>15</c:v>
                </c:pt>
                <c:pt idx="74">
                  <c:v>14</c:v>
                </c:pt>
                <c:pt idx="75">
                  <c:v>17</c:v>
                </c:pt>
                <c:pt idx="76">
                  <c:v>18</c:v>
                </c:pt>
                <c:pt idx="77">
                  <c:v>17</c:v>
                </c:pt>
                <c:pt idx="78">
                  <c:v>18</c:v>
                </c:pt>
                <c:pt idx="79">
                  <c:v>20</c:v>
                </c:pt>
                <c:pt idx="80">
                  <c:v>16</c:v>
                </c:pt>
                <c:pt idx="81">
                  <c:v>19</c:v>
                </c:pt>
                <c:pt idx="82">
                  <c:v>20</c:v>
                </c:pt>
                <c:pt idx="83">
                  <c:v>19</c:v>
                </c:pt>
                <c:pt idx="84">
                  <c:v>20</c:v>
                </c:pt>
                <c:pt idx="85">
                  <c:v>13</c:v>
                </c:pt>
                <c:pt idx="86">
                  <c:v>16</c:v>
                </c:pt>
                <c:pt idx="87">
                  <c:v>21</c:v>
                </c:pt>
                <c:pt idx="88">
                  <c:v>21</c:v>
                </c:pt>
                <c:pt idx="89">
                  <c:v>16</c:v>
                </c:pt>
                <c:pt idx="90">
                  <c:v>18</c:v>
                </c:pt>
                <c:pt idx="91">
                  <c:v>19</c:v>
                </c:pt>
                <c:pt idx="92">
                  <c:v>19</c:v>
                </c:pt>
                <c:pt idx="93">
                  <c:v>21</c:v>
                </c:pt>
                <c:pt idx="94">
                  <c:v>18</c:v>
                </c:pt>
                <c:pt idx="95">
                  <c:v>15</c:v>
                </c:pt>
                <c:pt idx="96">
                  <c:v>17</c:v>
                </c:pt>
                <c:pt idx="97">
                  <c:v>16</c:v>
                </c:pt>
                <c:pt idx="98">
                  <c:v>14</c:v>
                </c:pt>
                <c:pt idx="99">
                  <c:v>17</c:v>
                </c:pt>
                <c:pt idx="100">
                  <c:v>17</c:v>
                </c:pt>
                <c:pt idx="101">
                  <c:v>17</c:v>
                </c:pt>
                <c:pt idx="102">
                  <c:v>18</c:v>
                </c:pt>
                <c:pt idx="103">
                  <c:v>18</c:v>
                </c:pt>
                <c:pt idx="104">
                  <c:v>16</c:v>
                </c:pt>
                <c:pt idx="105">
                  <c:v>17</c:v>
                </c:pt>
                <c:pt idx="106">
                  <c:v>17</c:v>
                </c:pt>
                <c:pt idx="107">
                  <c:v>14</c:v>
                </c:pt>
                <c:pt idx="108">
                  <c:v>16</c:v>
                </c:pt>
                <c:pt idx="109">
                  <c:v>16</c:v>
                </c:pt>
                <c:pt idx="110">
                  <c:v>17</c:v>
                </c:pt>
                <c:pt idx="111">
                  <c:v>20</c:v>
                </c:pt>
                <c:pt idx="112">
                  <c:v>19</c:v>
                </c:pt>
                <c:pt idx="113">
                  <c:v>17</c:v>
                </c:pt>
                <c:pt idx="114">
                  <c:v>19</c:v>
                </c:pt>
                <c:pt idx="115">
                  <c:v>19</c:v>
                </c:pt>
                <c:pt idx="116">
                  <c:v>16</c:v>
                </c:pt>
                <c:pt idx="117">
                  <c:v>20</c:v>
                </c:pt>
                <c:pt idx="118">
                  <c:v>20</c:v>
                </c:pt>
                <c:pt idx="119">
                  <c:v>16</c:v>
                </c:pt>
                <c:pt idx="120">
                  <c:v>17</c:v>
                </c:pt>
                <c:pt idx="121">
                  <c:v>17</c:v>
                </c:pt>
                <c:pt idx="122">
                  <c:v>17</c:v>
                </c:pt>
                <c:pt idx="123">
                  <c:v>16</c:v>
                </c:pt>
                <c:pt idx="124">
                  <c:v>17</c:v>
                </c:pt>
                <c:pt idx="125">
                  <c:v>13</c:v>
                </c:pt>
                <c:pt idx="126">
                  <c:v>18</c:v>
                </c:pt>
                <c:pt idx="127">
                  <c:v>19</c:v>
                </c:pt>
                <c:pt idx="128">
                  <c:v>19</c:v>
                </c:pt>
                <c:pt idx="129">
                  <c:v>17</c:v>
                </c:pt>
                <c:pt idx="130">
                  <c:v>17</c:v>
                </c:pt>
                <c:pt idx="131">
                  <c:v>19</c:v>
                </c:pt>
                <c:pt idx="132">
                  <c:v>16</c:v>
                </c:pt>
                <c:pt idx="133">
                  <c:v>18</c:v>
                </c:pt>
                <c:pt idx="134">
                  <c:v>12</c:v>
                </c:pt>
                <c:pt idx="135">
                  <c:v>18</c:v>
                </c:pt>
                <c:pt idx="136">
                  <c:v>13</c:v>
                </c:pt>
                <c:pt idx="137">
                  <c:v>15</c:v>
                </c:pt>
                <c:pt idx="138">
                  <c:v>16</c:v>
                </c:pt>
                <c:pt idx="139">
                  <c:v>15</c:v>
                </c:pt>
                <c:pt idx="140">
                  <c:v>16</c:v>
                </c:pt>
                <c:pt idx="141">
                  <c:v>15</c:v>
                </c:pt>
                <c:pt idx="142">
                  <c:v>19</c:v>
                </c:pt>
                <c:pt idx="143">
                  <c:v>13</c:v>
                </c:pt>
                <c:pt idx="144">
                  <c:v>18</c:v>
                </c:pt>
                <c:pt idx="145">
                  <c:v>20</c:v>
                </c:pt>
                <c:pt idx="146">
                  <c:v>21</c:v>
                </c:pt>
                <c:pt idx="147">
                  <c:v>15</c:v>
                </c:pt>
                <c:pt idx="148">
                  <c:v>20</c:v>
                </c:pt>
                <c:pt idx="149">
                  <c:v>18</c:v>
                </c:pt>
                <c:pt idx="150">
                  <c:v>15</c:v>
                </c:pt>
                <c:pt idx="151">
                  <c:v>21</c:v>
                </c:pt>
                <c:pt idx="152">
                  <c:v>21</c:v>
                </c:pt>
                <c:pt idx="153">
                  <c:v>17</c:v>
                </c:pt>
                <c:pt idx="154">
                  <c:v>18</c:v>
                </c:pt>
                <c:pt idx="155">
                  <c:v>19</c:v>
                </c:pt>
                <c:pt idx="156">
                  <c:v>20</c:v>
                </c:pt>
                <c:pt idx="157">
                  <c:v>23</c:v>
                </c:pt>
                <c:pt idx="158">
                  <c:v>18</c:v>
                </c:pt>
                <c:pt idx="159">
                  <c:v>19</c:v>
                </c:pt>
                <c:pt idx="160">
                  <c:v>21</c:v>
                </c:pt>
                <c:pt idx="161">
                  <c:v>14</c:v>
                </c:pt>
                <c:pt idx="162">
                  <c:v>22</c:v>
                </c:pt>
                <c:pt idx="163">
                  <c:v>20</c:v>
                </c:pt>
                <c:pt idx="164">
                  <c:v>19</c:v>
                </c:pt>
                <c:pt idx="165">
                  <c:v>19</c:v>
                </c:pt>
                <c:pt idx="166">
                  <c:v>22</c:v>
                </c:pt>
                <c:pt idx="167">
                  <c:v>17</c:v>
                </c:pt>
                <c:pt idx="168">
                  <c:v>21</c:v>
                </c:pt>
                <c:pt idx="169">
                  <c:v>18</c:v>
                </c:pt>
                <c:pt idx="170">
                  <c:v>20</c:v>
                </c:pt>
                <c:pt idx="171">
                  <c:v>14</c:v>
                </c:pt>
                <c:pt idx="172">
                  <c:v>23</c:v>
                </c:pt>
                <c:pt idx="173">
                  <c:v>22</c:v>
                </c:pt>
                <c:pt idx="174">
                  <c:v>20</c:v>
                </c:pt>
                <c:pt idx="175">
                  <c:v>19</c:v>
                </c:pt>
                <c:pt idx="176">
                  <c:v>22</c:v>
                </c:pt>
                <c:pt idx="177">
                  <c:v>21</c:v>
                </c:pt>
                <c:pt idx="178">
                  <c:v>18</c:v>
                </c:pt>
                <c:pt idx="179">
                  <c:v>21</c:v>
                </c:pt>
                <c:pt idx="180">
                  <c:v>17</c:v>
                </c:pt>
                <c:pt idx="181">
                  <c:v>24</c:v>
                </c:pt>
                <c:pt idx="182">
                  <c:v>17</c:v>
                </c:pt>
                <c:pt idx="183">
                  <c:v>19</c:v>
                </c:pt>
                <c:pt idx="184">
                  <c:v>19</c:v>
                </c:pt>
                <c:pt idx="185">
                  <c:v>17</c:v>
                </c:pt>
                <c:pt idx="186">
                  <c:v>17</c:v>
                </c:pt>
                <c:pt idx="187">
                  <c:v>20</c:v>
                </c:pt>
                <c:pt idx="188">
                  <c:v>22</c:v>
                </c:pt>
                <c:pt idx="189">
                  <c:v>14</c:v>
                </c:pt>
                <c:pt idx="190">
                  <c:v>20</c:v>
                </c:pt>
                <c:pt idx="191">
                  <c:v>19</c:v>
                </c:pt>
                <c:pt idx="192">
                  <c:v>21</c:v>
                </c:pt>
                <c:pt idx="193">
                  <c:v>15</c:v>
                </c:pt>
                <c:pt idx="194">
                  <c:v>21</c:v>
                </c:pt>
                <c:pt idx="195">
                  <c:v>20</c:v>
                </c:pt>
                <c:pt idx="196">
                  <c:v>20</c:v>
                </c:pt>
                <c:pt idx="197">
                  <c:v>17</c:v>
                </c:pt>
                <c:pt idx="198">
                  <c:v>19</c:v>
                </c:pt>
                <c:pt idx="199">
                  <c:v>23</c:v>
                </c:pt>
                <c:pt idx="200">
                  <c:v>20</c:v>
                </c:pt>
                <c:pt idx="201">
                  <c:v>17</c:v>
                </c:pt>
                <c:pt idx="202">
                  <c:v>18</c:v>
                </c:pt>
                <c:pt idx="203">
                  <c:v>21</c:v>
                </c:pt>
                <c:pt idx="204">
                  <c:v>20</c:v>
                </c:pt>
                <c:pt idx="205">
                  <c:v>20</c:v>
                </c:pt>
                <c:pt idx="206">
                  <c:v>19</c:v>
                </c:pt>
                <c:pt idx="207">
                  <c:v>17</c:v>
                </c:pt>
                <c:pt idx="208">
                  <c:v>21</c:v>
                </c:pt>
                <c:pt idx="209">
                  <c:v>21</c:v>
                </c:pt>
                <c:pt idx="210">
                  <c:v>24</c:v>
                </c:pt>
                <c:pt idx="211">
                  <c:v>19</c:v>
                </c:pt>
                <c:pt idx="212">
                  <c:v>16</c:v>
                </c:pt>
                <c:pt idx="213">
                  <c:v>21</c:v>
                </c:pt>
                <c:pt idx="214">
                  <c:v>25</c:v>
                </c:pt>
                <c:pt idx="215">
                  <c:v>18</c:v>
                </c:pt>
                <c:pt idx="216">
                  <c:v>25</c:v>
                </c:pt>
                <c:pt idx="217">
                  <c:v>25</c:v>
                </c:pt>
                <c:pt idx="218">
                  <c:v>25</c:v>
                </c:pt>
                <c:pt idx="219">
                  <c:v>22</c:v>
                </c:pt>
                <c:pt idx="220">
                  <c:v>24</c:v>
                </c:pt>
                <c:pt idx="221">
                  <c:v>19</c:v>
                </c:pt>
                <c:pt idx="222">
                  <c:v>22</c:v>
                </c:pt>
                <c:pt idx="223">
                  <c:v>18</c:v>
                </c:pt>
                <c:pt idx="224">
                  <c:v>22</c:v>
                </c:pt>
                <c:pt idx="225">
                  <c:v>20</c:v>
                </c:pt>
                <c:pt idx="226">
                  <c:v>26</c:v>
                </c:pt>
                <c:pt idx="227">
                  <c:v>25</c:v>
                </c:pt>
                <c:pt idx="228">
                  <c:v>20</c:v>
                </c:pt>
                <c:pt idx="229">
                  <c:v>15</c:v>
                </c:pt>
                <c:pt idx="230">
                  <c:v>17</c:v>
                </c:pt>
                <c:pt idx="231">
                  <c:v>21</c:v>
                </c:pt>
                <c:pt idx="232">
                  <c:v>18</c:v>
                </c:pt>
                <c:pt idx="233">
                  <c:v>21</c:v>
                </c:pt>
                <c:pt idx="234">
                  <c:v>23</c:v>
                </c:pt>
                <c:pt idx="235">
                  <c:v>23</c:v>
                </c:pt>
                <c:pt idx="236">
                  <c:v>23</c:v>
                </c:pt>
                <c:pt idx="237">
                  <c:v>21</c:v>
                </c:pt>
                <c:pt idx="238">
                  <c:v>22</c:v>
                </c:pt>
                <c:pt idx="239">
                  <c:v>22</c:v>
                </c:pt>
                <c:pt idx="240">
                  <c:v>23</c:v>
                </c:pt>
                <c:pt idx="241">
                  <c:v>17</c:v>
                </c:pt>
                <c:pt idx="242">
                  <c:v>21</c:v>
                </c:pt>
                <c:pt idx="243">
                  <c:v>16</c:v>
                </c:pt>
                <c:pt idx="244">
                  <c:v>17</c:v>
                </c:pt>
                <c:pt idx="245">
                  <c:v>16</c:v>
                </c:pt>
                <c:pt idx="246">
                  <c:v>18</c:v>
                </c:pt>
                <c:pt idx="247">
                  <c:v>20</c:v>
                </c:pt>
                <c:pt idx="248">
                  <c:v>20</c:v>
                </c:pt>
                <c:pt idx="249">
                  <c:v>21</c:v>
                </c:pt>
                <c:pt idx="250">
                  <c:v>18</c:v>
                </c:pt>
                <c:pt idx="251">
                  <c:v>17</c:v>
                </c:pt>
                <c:pt idx="252">
                  <c:v>22</c:v>
                </c:pt>
                <c:pt idx="253">
                  <c:v>22</c:v>
                </c:pt>
                <c:pt idx="254">
                  <c:v>21</c:v>
                </c:pt>
                <c:pt idx="255">
                  <c:v>20</c:v>
                </c:pt>
                <c:pt idx="256">
                  <c:v>21</c:v>
                </c:pt>
                <c:pt idx="257">
                  <c:v>21</c:v>
                </c:pt>
                <c:pt idx="258">
                  <c:v>19</c:v>
                </c:pt>
                <c:pt idx="259">
                  <c:v>18</c:v>
                </c:pt>
                <c:pt idx="260">
                  <c:v>16</c:v>
                </c:pt>
                <c:pt idx="261">
                  <c:v>25</c:v>
                </c:pt>
                <c:pt idx="262">
                  <c:v>22</c:v>
                </c:pt>
                <c:pt idx="263">
                  <c:v>16</c:v>
                </c:pt>
                <c:pt idx="264">
                  <c:v>20</c:v>
                </c:pt>
                <c:pt idx="265">
                  <c:v>10</c:v>
                </c:pt>
                <c:pt idx="266">
                  <c:v>17</c:v>
                </c:pt>
                <c:pt idx="267">
                  <c:v>21</c:v>
                </c:pt>
                <c:pt idx="268">
                  <c:v>21</c:v>
                </c:pt>
                <c:pt idx="269">
                  <c:v>18</c:v>
                </c:pt>
                <c:pt idx="270">
                  <c:v>15</c:v>
                </c:pt>
                <c:pt idx="271">
                  <c:v>20</c:v>
                </c:pt>
                <c:pt idx="272">
                  <c:v>16</c:v>
                </c:pt>
                <c:pt idx="273">
                  <c:v>17</c:v>
                </c:pt>
                <c:pt idx="274">
                  <c:v>17</c:v>
                </c:pt>
                <c:pt idx="275">
                  <c:v>21</c:v>
                </c:pt>
                <c:pt idx="276">
                  <c:v>23</c:v>
                </c:pt>
                <c:pt idx="277">
                  <c:v>19</c:v>
                </c:pt>
                <c:pt idx="278">
                  <c:v>19</c:v>
                </c:pt>
                <c:pt idx="279">
                  <c:v>16</c:v>
                </c:pt>
                <c:pt idx="280">
                  <c:v>16</c:v>
                </c:pt>
                <c:pt idx="281">
                  <c:v>13</c:v>
                </c:pt>
                <c:pt idx="282">
                  <c:v>13</c:v>
                </c:pt>
                <c:pt idx="283">
                  <c:v>19</c:v>
                </c:pt>
                <c:pt idx="284">
                  <c:v>15</c:v>
                </c:pt>
                <c:pt idx="285">
                  <c:v>16</c:v>
                </c:pt>
                <c:pt idx="286">
                  <c:v>19</c:v>
                </c:pt>
                <c:pt idx="287">
                  <c:v>23</c:v>
                </c:pt>
                <c:pt idx="288">
                  <c:v>14</c:v>
                </c:pt>
                <c:pt idx="289">
                  <c:v>18</c:v>
                </c:pt>
                <c:pt idx="290">
                  <c:v>17</c:v>
                </c:pt>
                <c:pt idx="291">
                  <c:v>17</c:v>
                </c:pt>
                <c:pt idx="292">
                  <c:v>18</c:v>
                </c:pt>
                <c:pt idx="293">
                  <c:v>17</c:v>
                </c:pt>
                <c:pt idx="294">
                  <c:v>18</c:v>
                </c:pt>
                <c:pt idx="295">
                  <c:v>13</c:v>
                </c:pt>
                <c:pt idx="296">
                  <c:v>17</c:v>
                </c:pt>
                <c:pt idx="297">
                  <c:v>16</c:v>
                </c:pt>
                <c:pt idx="298">
                  <c:v>15</c:v>
                </c:pt>
                <c:pt idx="299">
                  <c:v>16</c:v>
                </c:pt>
                <c:pt idx="300">
                  <c:v>14</c:v>
                </c:pt>
                <c:pt idx="301">
                  <c:v>15</c:v>
                </c:pt>
                <c:pt idx="302">
                  <c:v>18</c:v>
                </c:pt>
                <c:pt idx="303">
                  <c:v>15</c:v>
                </c:pt>
                <c:pt idx="304">
                  <c:v>19</c:v>
                </c:pt>
                <c:pt idx="305">
                  <c:v>18</c:v>
                </c:pt>
                <c:pt idx="306">
                  <c:v>18</c:v>
                </c:pt>
                <c:pt idx="307">
                  <c:v>20</c:v>
                </c:pt>
                <c:pt idx="308">
                  <c:v>20</c:v>
                </c:pt>
                <c:pt idx="309">
                  <c:v>17</c:v>
                </c:pt>
                <c:pt idx="310">
                  <c:v>16</c:v>
                </c:pt>
                <c:pt idx="311">
                  <c:v>16</c:v>
                </c:pt>
                <c:pt idx="312">
                  <c:v>12</c:v>
                </c:pt>
                <c:pt idx="313">
                  <c:v>17</c:v>
                </c:pt>
                <c:pt idx="314">
                  <c:v>17</c:v>
                </c:pt>
                <c:pt idx="315">
                  <c:v>14</c:v>
                </c:pt>
                <c:pt idx="316">
                  <c:v>18</c:v>
                </c:pt>
                <c:pt idx="317">
                  <c:v>18</c:v>
                </c:pt>
                <c:pt idx="318">
                  <c:v>22</c:v>
                </c:pt>
                <c:pt idx="319">
                  <c:v>20</c:v>
                </c:pt>
                <c:pt idx="320">
                  <c:v>16</c:v>
                </c:pt>
                <c:pt idx="321">
                  <c:v>18</c:v>
                </c:pt>
                <c:pt idx="322">
                  <c:v>16</c:v>
                </c:pt>
                <c:pt idx="323">
                  <c:v>19</c:v>
                </c:pt>
                <c:pt idx="324">
                  <c:v>21</c:v>
                </c:pt>
                <c:pt idx="325">
                  <c:v>15</c:v>
                </c:pt>
                <c:pt idx="326">
                  <c:v>13</c:v>
                </c:pt>
                <c:pt idx="327">
                  <c:v>18</c:v>
                </c:pt>
                <c:pt idx="328">
                  <c:v>14</c:v>
                </c:pt>
                <c:pt idx="329">
                  <c:v>11</c:v>
                </c:pt>
                <c:pt idx="330">
                  <c:v>14</c:v>
                </c:pt>
                <c:pt idx="331">
                  <c:v>18</c:v>
                </c:pt>
                <c:pt idx="332">
                  <c:v>18</c:v>
                </c:pt>
                <c:pt idx="333">
                  <c:v>19</c:v>
                </c:pt>
                <c:pt idx="334">
                  <c:v>17</c:v>
                </c:pt>
                <c:pt idx="335">
                  <c:v>14</c:v>
                </c:pt>
                <c:pt idx="336">
                  <c:v>15</c:v>
                </c:pt>
                <c:pt idx="337">
                  <c:v>15</c:v>
                </c:pt>
                <c:pt idx="338">
                  <c:v>16</c:v>
                </c:pt>
                <c:pt idx="339">
                  <c:v>15</c:v>
                </c:pt>
                <c:pt idx="340">
                  <c:v>12</c:v>
                </c:pt>
                <c:pt idx="341">
                  <c:v>12</c:v>
                </c:pt>
                <c:pt idx="342">
                  <c:v>13</c:v>
                </c:pt>
                <c:pt idx="343">
                  <c:v>15</c:v>
                </c:pt>
                <c:pt idx="344">
                  <c:v>14</c:v>
                </c:pt>
                <c:pt idx="345">
                  <c:v>13</c:v>
                </c:pt>
                <c:pt idx="346">
                  <c:v>12</c:v>
                </c:pt>
                <c:pt idx="347">
                  <c:v>16</c:v>
                </c:pt>
                <c:pt idx="348">
                  <c:v>14</c:v>
                </c:pt>
                <c:pt idx="349">
                  <c:v>15</c:v>
                </c:pt>
                <c:pt idx="350">
                  <c:v>15</c:v>
                </c:pt>
                <c:pt idx="351">
                  <c:v>19</c:v>
                </c:pt>
                <c:pt idx="352">
                  <c:v>11</c:v>
                </c:pt>
                <c:pt idx="353">
                  <c:v>16</c:v>
                </c:pt>
                <c:pt idx="354">
                  <c:v>15</c:v>
                </c:pt>
                <c:pt idx="355">
                  <c:v>13</c:v>
                </c:pt>
                <c:pt idx="356">
                  <c:v>16</c:v>
                </c:pt>
                <c:pt idx="357">
                  <c:v>13</c:v>
                </c:pt>
                <c:pt idx="358">
                  <c:v>14</c:v>
                </c:pt>
                <c:pt idx="359">
                  <c:v>11</c:v>
                </c:pt>
                <c:pt idx="360">
                  <c:v>15</c:v>
                </c:pt>
                <c:pt idx="361">
                  <c:v>12</c:v>
                </c:pt>
                <c:pt idx="362">
                  <c:v>15</c:v>
                </c:pt>
                <c:pt idx="363">
                  <c:v>11</c:v>
                </c:pt>
                <c:pt idx="364">
                  <c:v>14</c:v>
                </c:pt>
                <c:pt idx="365">
                  <c:v>14</c:v>
                </c:pt>
                <c:pt idx="366">
                  <c:v>11</c:v>
                </c:pt>
                <c:pt idx="367">
                  <c:v>14</c:v>
                </c:pt>
                <c:pt idx="368">
                  <c:v>11</c:v>
                </c:pt>
                <c:pt idx="369">
                  <c:v>15</c:v>
                </c:pt>
                <c:pt idx="370">
                  <c:v>11</c:v>
                </c:pt>
                <c:pt idx="371">
                  <c:v>9</c:v>
                </c:pt>
                <c:pt idx="372">
                  <c:v>11</c:v>
                </c:pt>
                <c:pt idx="373">
                  <c:v>13</c:v>
                </c:pt>
                <c:pt idx="374">
                  <c:v>11</c:v>
                </c:pt>
                <c:pt idx="375">
                  <c:v>12</c:v>
                </c:pt>
                <c:pt idx="376">
                  <c:v>12</c:v>
                </c:pt>
                <c:pt idx="377">
                  <c:v>14</c:v>
                </c:pt>
                <c:pt idx="378">
                  <c:v>15</c:v>
                </c:pt>
                <c:pt idx="379">
                  <c:v>11</c:v>
                </c:pt>
                <c:pt idx="380">
                  <c:v>13</c:v>
                </c:pt>
                <c:pt idx="381">
                  <c:v>15</c:v>
                </c:pt>
                <c:pt idx="382">
                  <c:v>15</c:v>
                </c:pt>
                <c:pt idx="383">
                  <c:v>15</c:v>
                </c:pt>
                <c:pt idx="384">
                  <c:v>17</c:v>
                </c:pt>
                <c:pt idx="385">
                  <c:v>17</c:v>
                </c:pt>
                <c:pt idx="386">
                  <c:v>18</c:v>
                </c:pt>
                <c:pt idx="387">
                  <c:v>15</c:v>
                </c:pt>
                <c:pt idx="388">
                  <c:v>17</c:v>
                </c:pt>
                <c:pt idx="389">
                  <c:v>18</c:v>
                </c:pt>
                <c:pt idx="390">
                  <c:v>16</c:v>
                </c:pt>
                <c:pt idx="391">
                  <c:v>15</c:v>
                </c:pt>
                <c:pt idx="392">
                  <c:v>19</c:v>
                </c:pt>
                <c:pt idx="393">
                  <c:v>17</c:v>
                </c:pt>
                <c:pt idx="394">
                  <c:v>16</c:v>
                </c:pt>
                <c:pt idx="395">
                  <c:v>12</c:v>
                </c:pt>
                <c:pt idx="396">
                  <c:v>19</c:v>
                </c:pt>
                <c:pt idx="397">
                  <c:v>17</c:v>
                </c:pt>
                <c:pt idx="398">
                  <c:v>16</c:v>
                </c:pt>
                <c:pt idx="399">
                  <c:v>12</c:v>
                </c:pt>
                <c:pt idx="400">
                  <c:v>17</c:v>
                </c:pt>
                <c:pt idx="401">
                  <c:v>16</c:v>
                </c:pt>
                <c:pt idx="402">
                  <c:v>14</c:v>
                </c:pt>
                <c:pt idx="403">
                  <c:v>15</c:v>
                </c:pt>
                <c:pt idx="404">
                  <c:v>16</c:v>
                </c:pt>
                <c:pt idx="405">
                  <c:v>16</c:v>
                </c:pt>
                <c:pt idx="406">
                  <c:v>16</c:v>
                </c:pt>
                <c:pt idx="407">
                  <c:v>13</c:v>
                </c:pt>
                <c:pt idx="408">
                  <c:v>17</c:v>
                </c:pt>
                <c:pt idx="409">
                  <c:v>14</c:v>
                </c:pt>
                <c:pt idx="410">
                  <c:v>13</c:v>
                </c:pt>
                <c:pt idx="411">
                  <c:v>15</c:v>
                </c:pt>
                <c:pt idx="412">
                  <c:v>14</c:v>
                </c:pt>
                <c:pt idx="413">
                  <c:v>16</c:v>
                </c:pt>
                <c:pt idx="414">
                  <c:v>17</c:v>
                </c:pt>
                <c:pt idx="415">
                  <c:v>16</c:v>
                </c:pt>
                <c:pt idx="416">
                  <c:v>15</c:v>
                </c:pt>
                <c:pt idx="417">
                  <c:v>16</c:v>
                </c:pt>
                <c:pt idx="418">
                  <c:v>14</c:v>
                </c:pt>
                <c:pt idx="419">
                  <c:v>16</c:v>
                </c:pt>
                <c:pt idx="420">
                  <c:v>13</c:v>
                </c:pt>
                <c:pt idx="421">
                  <c:v>17</c:v>
                </c:pt>
                <c:pt idx="422">
                  <c:v>18</c:v>
                </c:pt>
                <c:pt idx="423">
                  <c:v>17</c:v>
                </c:pt>
                <c:pt idx="424">
                  <c:v>16</c:v>
                </c:pt>
                <c:pt idx="425">
                  <c:v>13</c:v>
                </c:pt>
                <c:pt idx="426">
                  <c:v>13</c:v>
                </c:pt>
                <c:pt idx="427">
                  <c:v>14</c:v>
                </c:pt>
                <c:pt idx="428">
                  <c:v>15</c:v>
                </c:pt>
                <c:pt idx="429">
                  <c:v>16</c:v>
                </c:pt>
                <c:pt idx="430">
                  <c:v>19</c:v>
                </c:pt>
                <c:pt idx="431">
                  <c:v>14</c:v>
                </c:pt>
                <c:pt idx="432">
                  <c:v>11</c:v>
                </c:pt>
                <c:pt idx="433">
                  <c:v>12</c:v>
                </c:pt>
                <c:pt idx="434">
                  <c:v>14</c:v>
                </c:pt>
                <c:pt idx="435">
                  <c:v>13</c:v>
                </c:pt>
                <c:pt idx="436">
                  <c:v>16</c:v>
                </c:pt>
                <c:pt idx="437">
                  <c:v>13</c:v>
                </c:pt>
                <c:pt idx="438">
                  <c:v>16</c:v>
                </c:pt>
                <c:pt idx="439">
                  <c:v>19</c:v>
                </c:pt>
                <c:pt idx="440">
                  <c:v>16</c:v>
                </c:pt>
                <c:pt idx="441">
                  <c:v>9</c:v>
                </c:pt>
                <c:pt idx="442">
                  <c:v>15</c:v>
                </c:pt>
                <c:pt idx="443">
                  <c:v>15</c:v>
                </c:pt>
                <c:pt idx="444">
                  <c:v>14</c:v>
                </c:pt>
                <c:pt idx="445">
                  <c:v>18</c:v>
                </c:pt>
                <c:pt idx="446">
                  <c:v>17</c:v>
                </c:pt>
                <c:pt idx="447">
                  <c:v>13</c:v>
                </c:pt>
                <c:pt idx="448">
                  <c:v>17</c:v>
                </c:pt>
                <c:pt idx="449">
                  <c:v>17</c:v>
                </c:pt>
                <c:pt idx="450">
                  <c:v>18</c:v>
                </c:pt>
                <c:pt idx="451">
                  <c:v>22</c:v>
                </c:pt>
                <c:pt idx="452">
                  <c:v>20</c:v>
                </c:pt>
                <c:pt idx="453">
                  <c:v>15</c:v>
                </c:pt>
                <c:pt idx="454">
                  <c:v>15</c:v>
                </c:pt>
                <c:pt idx="455">
                  <c:v>16</c:v>
                </c:pt>
                <c:pt idx="456">
                  <c:v>21</c:v>
                </c:pt>
                <c:pt idx="457">
                  <c:v>21</c:v>
                </c:pt>
                <c:pt idx="458">
                  <c:v>17</c:v>
                </c:pt>
                <c:pt idx="459">
                  <c:v>22</c:v>
                </c:pt>
                <c:pt idx="460">
                  <c:v>22</c:v>
                </c:pt>
                <c:pt idx="461">
                  <c:v>17</c:v>
                </c:pt>
                <c:pt idx="462">
                  <c:v>20</c:v>
                </c:pt>
                <c:pt idx="463">
                  <c:v>16</c:v>
                </c:pt>
                <c:pt idx="464">
                  <c:v>18</c:v>
                </c:pt>
                <c:pt idx="465">
                  <c:v>19</c:v>
                </c:pt>
                <c:pt idx="466">
                  <c:v>20</c:v>
                </c:pt>
                <c:pt idx="467">
                  <c:v>20</c:v>
                </c:pt>
                <c:pt idx="468">
                  <c:v>18</c:v>
                </c:pt>
                <c:pt idx="469">
                  <c:v>20</c:v>
                </c:pt>
                <c:pt idx="470">
                  <c:v>20</c:v>
                </c:pt>
                <c:pt idx="471">
                  <c:v>16</c:v>
                </c:pt>
                <c:pt idx="472">
                  <c:v>14</c:v>
                </c:pt>
                <c:pt idx="473">
                  <c:v>15</c:v>
                </c:pt>
                <c:pt idx="474">
                  <c:v>16</c:v>
                </c:pt>
                <c:pt idx="475">
                  <c:v>15</c:v>
                </c:pt>
                <c:pt idx="476">
                  <c:v>17</c:v>
                </c:pt>
                <c:pt idx="477">
                  <c:v>18</c:v>
                </c:pt>
                <c:pt idx="478">
                  <c:v>18</c:v>
                </c:pt>
                <c:pt idx="479">
                  <c:v>20</c:v>
                </c:pt>
                <c:pt idx="480">
                  <c:v>21</c:v>
                </c:pt>
                <c:pt idx="481">
                  <c:v>16</c:v>
                </c:pt>
                <c:pt idx="482">
                  <c:v>21</c:v>
                </c:pt>
                <c:pt idx="483">
                  <c:v>19</c:v>
                </c:pt>
                <c:pt idx="484">
                  <c:v>21</c:v>
                </c:pt>
                <c:pt idx="485">
                  <c:v>20</c:v>
                </c:pt>
                <c:pt idx="486">
                  <c:v>17</c:v>
                </c:pt>
                <c:pt idx="487">
                  <c:v>18</c:v>
                </c:pt>
                <c:pt idx="488">
                  <c:v>17</c:v>
                </c:pt>
                <c:pt idx="489">
                  <c:v>20</c:v>
                </c:pt>
                <c:pt idx="490">
                  <c:v>17</c:v>
                </c:pt>
                <c:pt idx="491">
                  <c:v>21</c:v>
                </c:pt>
                <c:pt idx="492">
                  <c:v>19</c:v>
                </c:pt>
                <c:pt idx="493">
                  <c:v>19</c:v>
                </c:pt>
                <c:pt idx="494">
                  <c:v>19</c:v>
                </c:pt>
                <c:pt idx="495">
                  <c:v>12</c:v>
                </c:pt>
                <c:pt idx="496">
                  <c:v>20</c:v>
                </c:pt>
                <c:pt idx="497">
                  <c:v>18</c:v>
                </c:pt>
                <c:pt idx="498">
                  <c:v>21</c:v>
                </c:pt>
                <c:pt idx="499">
                  <c:v>19</c:v>
                </c:pt>
                <c:pt idx="500">
                  <c:v>11</c:v>
                </c:pt>
                <c:pt idx="501">
                  <c:v>17</c:v>
                </c:pt>
                <c:pt idx="502">
                  <c:v>18</c:v>
                </c:pt>
                <c:pt idx="503">
                  <c:v>20</c:v>
                </c:pt>
                <c:pt idx="504">
                  <c:v>18</c:v>
                </c:pt>
                <c:pt idx="505">
                  <c:v>18</c:v>
                </c:pt>
                <c:pt idx="506">
                  <c:v>22</c:v>
                </c:pt>
                <c:pt idx="507">
                  <c:v>14</c:v>
                </c:pt>
                <c:pt idx="508">
                  <c:v>22</c:v>
                </c:pt>
                <c:pt idx="509">
                  <c:v>16</c:v>
                </c:pt>
                <c:pt idx="510">
                  <c:v>16</c:v>
                </c:pt>
                <c:pt idx="511">
                  <c:v>24</c:v>
                </c:pt>
                <c:pt idx="512">
                  <c:v>23</c:v>
                </c:pt>
                <c:pt idx="513">
                  <c:v>18</c:v>
                </c:pt>
                <c:pt idx="514">
                  <c:v>18</c:v>
                </c:pt>
                <c:pt idx="515">
                  <c:v>19</c:v>
                </c:pt>
                <c:pt idx="516">
                  <c:v>14</c:v>
                </c:pt>
                <c:pt idx="517">
                  <c:v>17</c:v>
                </c:pt>
                <c:pt idx="518">
                  <c:v>18</c:v>
                </c:pt>
                <c:pt idx="519">
                  <c:v>17</c:v>
                </c:pt>
                <c:pt idx="520">
                  <c:v>17</c:v>
                </c:pt>
                <c:pt idx="521">
                  <c:v>17</c:v>
                </c:pt>
                <c:pt idx="522">
                  <c:v>15</c:v>
                </c:pt>
                <c:pt idx="523">
                  <c:v>12</c:v>
                </c:pt>
                <c:pt idx="524">
                  <c:v>14</c:v>
                </c:pt>
                <c:pt idx="525">
                  <c:v>19</c:v>
                </c:pt>
                <c:pt idx="526">
                  <c:v>17</c:v>
                </c:pt>
                <c:pt idx="527">
                  <c:v>18</c:v>
                </c:pt>
                <c:pt idx="528">
                  <c:v>21</c:v>
                </c:pt>
                <c:pt idx="529">
                  <c:v>20</c:v>
                </c:pt>
                <c:pt idx="530">
                  <c:v>19</c:v>
                </c:pt>
                <c:pt idx="531">
                  <c:v>12</c:v>
                </c:pt>
                <c:pt idx="532">
                  <c:v>17</c:v>
                </c:pt>
                <c:pt idx="533">
                  <c:v>16</c:v>
                </c:pt>
                <c:pt idx="534">
                  <c:v>16</c:v>
                </c:pt>
                <c:pt idx="535">
                  <c:v>17</c:v>
                </c:pt>
                <c:pt idx="536">
                  <c:v>17</c:v>
                </c:pt>
                <c:pt idx="537">
                  <c:v>16</c:v>
                </c:pt>
                <c:pt idx="538">
                  <c:v>17</c:v>
                </c:pt>
                <c:pt idx="539">
                  <c:v>15</c:v>
                </c:pt>
                <c:pt idx="540">
                  <c:v>16</c:v>
                </c:pt>
                <c:pt idx="541">
                  <c:v>14</c:v>
                </c:pt>
                <c:pt idx="542">
                  <c:v>16</c:v>
                </c:pt>
                <c:pt idx="543">
                  <c:v>21</c:v>
                </c:pt>
                <c:pt idx="544">
                  <c:v>16</c:v>
                </c:pt>
                <c:pt idx="545">
                  <c:v>15</c:v>
                </c:pt>
                <c:pt idx="546">
                  <c:v>15</c:v>
                </c:pt>
                <c:pt idx="547">
                  <c:v>21</c:v>
                </c:pt>
                <c:pt idx="548">
                  <c:v>18</c:v>
                </c:pt>
                <c:pt idx="549">
                  <c:v>13</c:v>
                </c:pt>
                <c:pt idx="550">
                  <c:v>12</c:v>
                </c:pt>
                <c:pt idx="551">
                  <c:v>18</c:v>
                </c:pt>
                <c:pt idx="552">
                  <c:v>16</c:v>
                </c:pt>
                <c:pt idx="553">
                  <c:v>19</c:v>
                </c:pt>
                <c:pt idx="554">
                  <c:v>16</c:v>
                </c:pt>
                <c:pt idx="555">
                  <c:v>17</c:v>
                </c:pt>
                <c:pt idx="556">
                  <c:v>18</c:v>
                </c:pt>
                <c:pt idx="557">
                  <c:v>15</c:v>
                </c:pt>
                <c:pt idx="558">
                  <c:v>15</c:v>
                </c:pt>
                <c:pt idx="559">
                  <c:v>15</c:v>
                </c:pt>
                <c:pt idx="560">
                  <c:v>17</c:v>
                </c:pt>
                <c:pt idx="561">
                  <c:v>15</c:v>
                </c:pt>
                <c:pt idx="562">
                  <c:v>15</c:v>
                </c:pt>
                <c:pt idx="563">
                  <c:v>12</c:v>
                </c:pt>
                <c:pt idx="564">
                  <c:v>17</c:v>
                </c:pt>
                <c:pt idx="565">
                  <c:v>15</c:v>
                </c:pt>
                <c:pt idx="566">
                  <c:v>11</c:v>
                </c:pt>
                <c:pt idx="567">
                  <c:v>17</c:v>
                </c:pt>
                <c:pt idx="568">
                  <c:v>14</c:v>
                </c:pt>
                <c:pt idx="569">
                  <c:v>17</c:v>
                </c:pt>
                <c:pt idx="570">
                  <c:v>17</c:v>
                </c:pt>
                <c:pt idx="571">
                  <c:v>15</c:v>
                </c:pt>
                <c:pt idx="572">
                  <c:v>17</c:v>
                </c:pt>
                <c:pt idx="573">
                  <c:v>14</c:v>
                </c:pt>
                <c:pt idx="574">
                  <c:v>13</c:v>
                </c:pt>
                <c:pt idx="575">
                  <c:v>13</c:v>
                </c:pt>
                <c:pt idx="576">
                  <c:v>14</c:v>
                </c:pt>
                <c:pt idx="577">
                  <c:v>18</c:v>
                </c:pt>
                <c:pt idx="578">
                  <c:v>12</c:v>
                </c:pt>
                <c:pt idx="579">
                  <c:v>19</c:v>
                </c:pt>
                <c:pt idx="580">
                  <c:v>14</c:v>
                </c:pt>
                <c:pt idx="581">
                  <c:v>11</c:v>
                </c:pt>
                <c:pt idx="582">
                  <c:v>12</c:v>
                </c:pt>
                <c:pt idx="583">
                  <c:v>14</c:v>
                </c:pt>
                <c:pt idx="584">
                  <c:v>14</c:v>
                </c:pt>
                <c:pt idx="585">
                  <c:v>11</c:v>
                </c:pt>
                <c:pt idx="586">
                  <c:v>15</c:v>
                </c:pt>
                <c:pt idx="587">
                  <c:v>13</c:v>
                </c:pt>
                <c:pt idx="588">
                  <c:v>18</c:v>
                </c:pt>
                <c:pt idx="589">
                  <c:v>18</c:v>
                </c:pt>
                <c:pt idx="590">
                  <c:v>18</c:v>
                </c:pt>
                <c:pt idx="591">
                  <c:v>15</c:v>
                </c:pt>
                <c:pt idx="592">
                  <c:v>17</c:v>
                </c:pt>
                <c:pt idx="593">
                  <c:v>14</c:v>
                </c:pt>
                <c:pt idx="594">
                  <c:v>16</c:v>
                </c:pt>
                <c:pt idx="595">
                  <c:v>15</c:v>
                </c:pt>
                <c:pt idx="596">
                  <c:v>21</c:v>
                </c:pt>
                <c:pt idx="597">
                  <c:v>20</c:v>
                </c:pt>
                <c:pt idx="598">
                  <c:v>17</c:v>
                </c:pt>
                <c:pt idx="599">
                  <c:v>16</c:v>
                </c:pt>
                <c:pt idx="600">
                  <c:v>19</c:v>
                </c:pt>
                <c:pt idx="601">
                  <c:v>18</c:v>
                </c:pt>
                <c:pt idx="602">
                  <c:v>18</c:v>
                </c:pt>
                <c:pt idx="603">
                  <c:v>19</c:v>
                </c:pt>
                <c:pt idx="604">
                  <c:v>17</c:v>
                </c:pt>
                <c:pt idx="605">
                  <c:v>22</c:v>
                </c:pt>
                <c:pt idx="606">
                  <c:v>19</c:v>
                </c:pt>
                <c:pt idx="607">
                  <c:v>14</c:v>
                </c:pt>
                <c:pt idx="608">
                  <c:v>18</c:v>
                </c:pt>
                <c:pt idx="609">
                  <c:v>19</c:v>
                </c:pt>
                <c:pt idx="610">
                  <c:v>21</c:v>
                </c:pt>
                <c:pt idx="611">
                  <c:v>21</c:v>
                </c:pt>
                <c:pt idx="612">
                  <c:v>16</c:v>
                </c:pt>
                <c:pt idx="613">
                  <c:v>22</c:v>
                </c:pt>
                <c:pt idx="614">
                  <c:v>18</c:v>
                </c:pt>
                <c:pt idx="615">
                  <c:v>20</c:v>
                </c:pt>
                <c:pt idx="616">
                  <c:v>16</c:v>
                </c:pt>
                <c:pt idx="617">
                  <c:v>23</c:v>
                </c:pt>
                <c:pt idx="618">
                  <c:v>22</c:v>
                </c:pt>
                <c:pt idx="619">
                  <c:v>16</c:v>
                </c:pt>
                <c:pt idx="620">
                  <c:v>22</c:v>
                </c:pt>
                <c:pt idx="621">
                  <c:v>17</c:v>
                </c:pt>
                <c:pt idx="622">
                  <c:v>17</c:v>
                </c:pt>
                <c:pt idx="623">
                  <c:v>18</c:v>
                </c:pt>
                <c:pt idx="624">
                  <c:v>21</c:v>
                </c:pt>
                <c:pt idx="625">
                  <c:v>20</c:v>
                </c:pt>
                <c:pt idx="626">
                  <c:v>20</c:v>
                </c:pt>
                <c:pt idx="627">
                  <c:v>22</c:v>
                </c:pt>
                <c:pt idx="628">
                  <c:v>18</c:v>
                </c:pt>
                <c:pt idx="629">
                  <c:v>21</c:v>
                </c:pt>
                <c:pt idx="630">
                  <c:v>15</c:v>
                </c:pt>
                <c:pt idx="631">
                  <c:v>20</c:v>
                </c:pt>
                <c:pt idx="632">
                  <c:v>18</c:v>
                </c:pt>
                <c:pt idx="633">
                  <c:v>23</c:v>
                </c:pt>
                <c:pt idx="634">
                  <c:v>25</c:v>
                </c:pt>
                <c:pt idx="635">
                  <c:v>22</c:v>
                </c:pt>
                <c:pt idx="636">
                  <c:v>19</c:v>
                </c:pt>
                <c:pt idx="637">
                  <c:v>19</c:v>
                </c:pt>
                <c:pt idx="638">
                  <c:v>21</c:v>
                </c:pt>
                <c:pt idx="639">
                  <c:v>15</c:v>
                </c:pt>
                <c:pt idx="640">
                  <c:v>21</c:v>
                </c:pt>
                <c:pt idx="641">
                  <c:v>20</c:v>
                </c:pt>
                <c:pt idx="642">
                  <c:v>18</c:v>
                </c:pt>
                <c:pt idx="643">
                  <c:v>21</c:v>
                </c:pt>
                <c:pt idx="644">
                  <c:v>14</c:v>
                </c:pt>
                <c:pt idx="645">
                  <c:v>22</c:v>
                </c:pt>
                <c:pt idx="646">
                  <c:v>17</c:v>
                </c:pt>
                <c:pt idx="647">
                  <c:v>17</c:v>
                </c:pt>
                <c:pt idx="648">
                  <c:v>20</c:v>
                </c:pt>
                <c:pt idx="649">
                  <c:v>13</c:v>
                </c:pt>
                <c:pt idx="650">
                  <c:v>17</c:v>
                </c:pt>
                <c:pt idx="651">
                  <c:v>18</c:v>
                </c:pt>
                <c:pt idx="652">
                  <c:v>14</c:v>
                </c:pt>
                <c:pt idx="653">
                  <c:v>15</c:v>
                </c:pt>
                <c:pt idx="654">
                  <c:v>19</c:v>
                </c:pt>
                <c:pt idx="655">
                  <c:v>18</c:v>
                </c:pt>
                <c:pt idx="656">
                  <c:v>19</c:v>
                </c:pt>
                <c:pt idx="657">
                  <c:v>19</c:v>
                </c:pt>
                <c:pt idx="658">
                  <c:v>16</c:v>
                </c:pt>
                <c:pt idx="659">
                  <c:v>21</c:v>
                </c:pt>
                <c:pt idx="660">
                  <c:v>18</c:v>
                </c:pt>
                <c:pt idx="661">
                  <c:v>19</c:v>
                </c:pt>
                <c:pt idx="662">
                  <c:v>21</c:v>
                </c:pt>
                <c:pt idx="663">
                  <c:v>18</c:v>
                </c:pt>
                <c:pt idx="664">
                  <c:v>20</c:v>
                </c:pt>
                <c:pt idx="665">
                  <c:v>23</c:v>
                </c:pt>
                <c:pt idx="666">
                  <c:v>16</c:v>
                </c:pt>
                <c:pt idx="667">
                  <c:v>20</c:v>
                </c:pt>
                <c:pt idx="668">
                  <c:v>23</c:v>
                </c:pt>
                <c:pt idx="669">
                  <c:v>18</c:v>
                </c:pt>
                <c:pt idx="670">
                  <c:v>21</c:v>
                </c:pt>
                <c:pt idx="671">
                  <c:v>19</c:v>
                </c:pt>
                <c:pt idx="672">
                  <c:v>21</c:v>
                </c:pt>
                <c:pt idx="673">
                  <c:v>24</c:v>
                </c:pt>
                <c:pt idx="674">
                  <c:v>24</c:v>
                </c:pt>
                <c:pt idx="675">
                  <c:v>15</c:v>
                </c:pt>
                <c:pt idx="676">
                  <c:v>25</c:v>
                </c:pt>
                <c:pt idx="677">
                  <c:v>20</c:v>
                </c:pt>
                <c:pt idx="678">
                  <c:v>25</c:v>
                </c:pt>
                <c:pt idx="679">
                  <c:v>26</c:v>
                </c:pt>
                <c:pt idx="680">
                  <c:v>26</c:v>
                </c:pt>
                <c:pt idx="681">
                  <c:v>25</c:v>
                </c:pt>
                <c:pt idx="682">
                  <c:v>22</c:v>
                </c:pt>
                <c:pt idx="683">
                  <c:v>23</c:v>
                </c:pt>
                <c:pt idx="684">
                  <c:v>22</c:v>
                </c:pt>
                <c:pt idx="685">
                  <c:v>18</c:v>
                </c:pt>
                <c:pt idx="686">
                  <c:v>24</c:v>
                </c:pt>
                <c:pt idx="687">
                  <c:v>23</c:v>
                </c:pt>
                <c:pt idx="688">
                  <c:v>23</c:v>
                </c:pt>
                <c:pt idx="689">
                  <c:v>22</c:v>
                </c:pt>
                <c:pt idx="690">
                  <c:v>18</c:v>
                </c:pt>
                <c:pt idx="691">
                  <c:v>20</c:v>
                </c:pt>
                <c:pt idx="692">
                  <c:v>22</c:v>
                </c:pt>
                <c:pt idx="693">
                  <c:v>19</c:v>
                </c:pt>
                <c:pt idx="694">
                  <c:v>16</c:v>
                </c:pt>
                <c:pt idx="695">
                  <c:v>23</c:v>
                </c:pt>
                <c:pt idx="696">
                  <c:v>22</c:v>
                </c:pt>
                <c:pt idx="697">
                  <c:v>20</c:v>
                </c:pt>
                <c:pt idx="698">
                  <c:v>23</c:v>
                </c:pt>
                <c:pt idx="699">
                  <c:v>18</c:v>
                </c:pt>
                <c:pt idx="700">
                  <c:v>22</c:v>
                </c:pt>
                <c:pt idx="701">
                  <c:v>24</c:v>
                </c:pt>
                <c:pt idx="702">
                  <c:v>24</c:v>
                </c:pt>
                <c:pt idx="703">
                  <c:v>25</c:v>
                </c:pt>
                <c:pt idx="704">
                  <c:v>18</c:v>
                </c:pt>
                <c:pt idx="705">
                  <c:v>25</c:v>
                </c:pt>
                <c:pt idx="706">
                  <c:v>23</c:v>
                </c:pt>
                <c:pt idx="707">
                  <c:v>22</c:v>
                </c:pt>
                <c:pt idx="708">
                  <c:v>21</c:v>
                </c:pt>
                <c:pt idx="709">
                  <c:v>20</c:v>
                </c:pt>
                <c:pt idx="710">
                  <c:v>18</c:v>
                </c:pt>
                <c:pt idx="711">
                  <c:v>20</c:v>
                </c:pt>
                <c:pt idx="712">
                  <c:v>23</c:v>
                </c:pt>
                <c:pt idx="713">
                  <c:v>15</c:v>
                </c:pt>
                <c:pt idx="714">
                  <c:v>17</c:v>
                </c:pt>
                <c:pt idx="715">
                  <c:v>17</c:v>
                </c:pt>
                <c:pt idx="716">
                  <c:v>15</c:v>
                </c:pt>
                <c:pt idx="717">
                  <c:v>18</c:v>
                </c:pt>
                <c:pt idx="718">
                  <c:v>19</c:v>
                </c:pt>
                <c:pt idx="719">
                  <c:v>18</c:v>
                </c:pt>
                <c:pt idx="720">
                  <c:v>22</c:v>
                </c:pt>
                <c:pt idx="721">
                  <c:v>11</c:v>
                </c:pt>
                <c:pt idx="722">
                  <c:v>20</c:v>
                </c:pt>
                <c:pt idx="723">
                  <c:v>18</c:v>
                </c:pt>
                <c:pt idx="724">
                  <c:v>18</c:v>
                </c:pt>
                <c:pt idx="725">
                  <c:v>20</c:v>
                </c:pt>
                <c:pt idx="726">
                  <c:v>22</c:v>
                </c:pt>
                <c:pt idx="727">
                  <c:v>19</c:v>
                </c:pt>
                <c:pt idx="728">
                  <c:v>21</c:v>
                </c:pt>
                <c:pt idx="729">
                  <c:v>21</c:v>
                </c:pt>
                <c:pt idx="730">
                  <c:v>14</c:v>
                </c:pt>
                <c:pt idx="731">
                  <c:v>20</c:v>
                </c:pt>
                <c:pt idx="732">
                  <c:v>15</c:v>
                </c:pt>
                <c:pt idx="733">
                  <c:v>17</c:v>
                </c:pt>
                <c:pt idx="734">
                  <c:v>17</c:v>
                </c:pt>
                <c:pt idx="735">
                  <c:v>15</c:v>
                </c:pt>
                <c:pt idx="736">
                  <c:v>13</c:v>
                </c:pt>
                <c:pt idx="737">
                  <c:v>15</c:v>
                </c:pt>
                <c:pt idx="738">
                  <c:v>14</c:v>
                </c:pt>
                <c:pt idx="739">
                  <c:v>14</c:v>
                </c:pt>
                <c:pt idx="740">
                  <c:v>17</c:v>
                </c:pt>
                <c:pt idx="741">
                  <c:v>18</c:v>
                </c:pt>
                <c:pt idx="742">
                  <c:v>18</c:v>
                </c:pt>
                <c:pt idx="743">
                  <c:v>20</c:v>
                </c:pt>
                <c:pt idx="744">
                  <c:v>16</c:v>
                </c:pt>
                <c:pt idx="745">
                  <c:v>13</c:v>
                </c:pt>
                <c:pt idx="746">
                  <c:v>12</c:v>
                </c:pt>
                <c:pt idx="747">
                  <c:v>17</c:v>
                </c:pt>
                <c:pt idx="748">
                  <c:v>16</c:v>
                </c:pt>
                <c:pt idx="749">
                  <c:v>16</c:v>
                </c:pt>
                <c:pt idx="750">
                  <c:v>17</c:v>
                </c:pt>
                <c:pt idx="751">
                  <c:v>14</c:v>
                </c:pt>
                <c:pt idx="752">
                  <c:v>18</c:v>
                </c:pt>
                <c:pt idx="753">
                  <c:v>16</c:v>
                </c:pt>
                <c:pt idx="754">
                  <c:v>18</c:v>
                </c:pt>
                <c:pt idx="755">
                  <c:v>19</c:v>
                </c:pt>
                <c:pt idx="756">
                  <c:v>21</c:v>
                </c:pt>
                <c:pt idx="757">
                  <c:v>20</c:v>
                </c:pt>
                <c:pt idx="758">
                  <c:v>18</c:v>
                </c:pt>
                <c:pt idx="759">
                  <c:v>19</c:v>
                </c:pt>
                <c:pt idx="760">
                  <c:v>17</c:v>
                </c:pt>
                <c:pt idx="761">
                  <c:v>21</c:v>
                </c:pt>
                <c:pt idx="762">
                  <c:v>16</c:v>
                </c:pt>
                <c:pt idx="763">
                  <c:v>21</c:v>
                </c:pt>
                <c:pt idx="764">
                  <c:v>16</c:v>
                </c:pt>
                <c:pt idx="765">
                  <c:v>16</c:v>
                </c:pt>
                <c:pt idx="766">
                  <c:v>20</c:v>
                </c:pt>
                <c:pt idx="767">
                  <c:v>19</c:v>
                </c:pt>
                <c:pt idx="768">
                  <c:v>18</c:v>
                </c:pt>
                <c:pt idx="769">
                  <c:v>18</c:v>
                </c:pt>
                <c:pt idx="770">
                  <c:v>21</c:v>
                </c:pt>
                <c:pt idx="771">
                  <c:v>21</c:v>
                </c:pt>
                <c:pt idx="772">
                  <c:v>14</c:v>
                </c:pt>
                <c:pt idx="773">
                  <c:v>18</c:v>
                </c:pt>
                <c:pt idx="774">
                  <c:v>20</c:v>
                </c:pt>
                <c:pt idx="775">
                  <c:v>18</c:v>
                </c:pt>
                <c:pt idx="776">
                  <c:v>21</c:v>
                </c:pt>
                <c:pt idx="777">
                  <c:v>17</c:v>
                </c:pt>
                <c:pt idx="778">
                  <c:v>11</c:v>
                </c:pt>
                <c:pt idx="779">
                  <c:v>17</c:v>
                </c:pt>
                <c:pt idx="780">
                  <c:v>21</c:v>
                </c:pt>
                <c:pt idx="781">
                  <c:v>15</c:v>
                </c:pt>
                <c:pt idx="782">
                  <c:v>19</c:v>
                </c:pt>
                <c:pt idx="783">
                  <c:v>19</c:v>
                </c:pt>
                <c:pt idx="784">
                  <c:v>20</c:v>
                </c:pt>
                <c:pt idx="785">
                  <c:v>16</c:v>
                </c:pt>
                <c:pt idx="786">
                  <c:v>17</c:v>
                </c:pt>
                <c:pt idx="787">
                  <c:v>20</c:v>
                </c:pt>
                <c:pt idx="788">
                  <c:v>16</c:v>
                </c:pt>
                <c:pt idx="789">
                  <c:v>15</c:v>
                </c:pt>
                <c:pt idx="790">
                  <c:v>19</c:v>
                </c:pt>
                <c:pt idx="791">
                  <c:v>13</c:v>
                </c:pt>
                <c:pt idx="792">
                  <c:v>16</c:v>
                </c:pt>
                <c:pt idx="793">
                  <c:v>14</c:v>
                </c:pt>
                <c:pt idx="794">
                  <c:v>13</c:v>
                </c:pt>
                <c:pt idx="795">
                  <c:v>17</c:v>
                </c:pt>
                <c:pt idx="796">
                  <c:v>18</c:v>
                </c:pt>
                <c:pt idx="797">
                  <c:v>17</c:v>
                </c:pt>
                <c:pt idx="798">
                  <c:v>17</c:v>
                </c:pt>
                <c:pt idx="799">
                  <c:v>17</c:v>
                </c:pt>
                <c:pt idx="800">
                  <c:v>12</c:v>
                </c:pt>
                <c:pt idx="801">
                  <c:v>16</c:v>
                </c:pt>
                <c:pt idx="802">
                  <c:v>15</c:v>
                </c:pt>
                <c:pt idx="803">
                  <c:v>15</c:v>
                </c:pt>
                <c:pt idx="804">
                  <c:v>17</c:v>
                </c:pt>
                <c:pt idx="805">
                  <c:v>20</c:v>
                </c:pt>
                <c:pt idx="806">
                  <c:v>16</c:v>
                </c:pt>
                <c:pt idx="807">
                  <c:v>14</c:v>
                </c:pt>
                <c:pt idx="808">
                  <c:v>15</c:v>
                </c:pt>
                <c:pt idx="809">
                  <c:v>15</c:v>
                </c:pt>
                <c:pt idx="810">
                  <c:v>18</c:v>
                </c:pt>
                <c:pt idx="811">
                  <c:v>21</c:v>
                </c:pt>
                <c:pt idx="812">
                  <c:v>15</c:v>
                </c:pt>
                <c:pt idx="813">
                  <c:v>21</c:v>
                </c:pt>
                <c:pt idx="814">
                  <c:v>18</c:v>
                </c:pt>
                <c:pt idx="815">
                  <c:v>20</c:v>
                </c:pt>
                <c:pt idx="816">
                  <c:v>17</c:v>
                </c:pt>
                <c:pt idx="817">
                  <c:v>18</c:v>
                </c:pt>
                <c:pt idx="818">
                  <c:v>21</c:v>
                </c:pt>
                <c:pt idx="819">
                  <c:v>15</c:v>
                </c:pt>
                <c:pt idx="820">
                  <c:v>20</c:v>
                </c:pt>
                <c:pt idx="821">
                  <c:v>15</c:v>
                </c:pt>
                <c:pt idx="822">
                  <c:v>20</c:v>
                </c:pt>
                <c:pt idx="823">
                  <c:v>20</c:v>
                </c:pt>
                <c:pt idx="824">
                  <c:v>19</c:v>
                </c:pt>
                <c:pt idx="825">
                  <c:v>19</c:v>
                </c:pt>
                <c:pt idx="826">
                  <c:v>11</c:v>
                </c:pt>
                <c:pt idx="827">
                  <c:v>13</c:v>
                </c:pt>
                <c:pt idx="828">
                  <c:v>14</c:v>
                </c:pt>
                <c:pt idx="829">
                  <c:v>18</c:v>
                </c:pt>
                <c:pt idx="830">
                  <c:v>15</c:v>
                </c:pt>
                <c:pt idx="831">
                  <c:v>20</c:v>
                </c:pt>
                <c:pt idx="832">
                  <c:v>18</c:v>
                </c:pt>
                <c:pt idx="833">
                  <c:v>18</c:v>
                </c:pt>
                <c:pt idx="834">
                  <c:v>18</c:v>
                </c:pt>
                <c:pt idx="835">
                  <c:v>18</c:v>
                </c:pt>
                <c:pt idx="836">
                  <c:v>17</c:v>
                </c:pt>
                <c:pt idx="837">
                  <c:v>18</c:v>
                </c:pt>
                <c:pt idx="838">
                  <c:v>19</c:v>
                </c:pt>
                <c:pt idx="839">
                  <c:v>15</c:v>
                </c:pt>
                <c:pt idx="840">
                  <c:v>19</c:v>
                </c:pt>
                <c:pt idx="841">
                  <c:v>20</c:v>
                </c:pt>
                <c:pt idx="842">
                  <c:v>21</c:v>
                </c:pt>
                <c:pt idx="843">
                  <c:v>16</c:v>
                </c:pt>
                <c:pt idx="844">
                  <c:v>17</c:v>
                </c:pt>
                <c:pt idx="845">
                  <c:v>17</c:v>
                </c:pt>
                <c:pt idx="846">
                  <c:v>15</c:v>
                </c:pt>
                <c:pt idx="847">
                  <c:v>14</c:v>
                </c:pt>
                <c:pt idx="848">
                  <c:v>17</c:v>
                </c:pt>
                <c:pt idx="849">
                  <c:v>19</c:v>
                </c:pt>
                <c:pt idx="850">
                  <c:v>16</c:v>
                </c:pt>
                <c:pt idx="851">
                  <c:v>14</c:v>
                </c:pt>
                <c:pt idx="852">
                  <c:v>18</c:v>
                </c:pt>
                <c:pt idx="853">
                  <c:v>17</c:v>
                </c:pt>
                <c:pt idx="854">
                  <c:v>20</c:v>
                </c:pt>
                <c:pt idx="855">
                  <c:v>17</c:v>
                </c:pt>
                <c:pt idx="856">
                  <c:v>15</c:v>
                </c:pt>
                <c:pt idx="857">
                  <c:v>20</c:v>
                </c:pt>
                <c:pt idx="858">
                  <c:v>17</c:v>
                </c:pt>
                <c:pt idx="859">
                  <c:v>17</c:v>
                </c:pt>
                <c:pt idx="860">
                  <c:v>20</c:v>
                </c:pt>
                <c:pt idx="861">
                  <c:v>10</c:v>
                </c:pt>
                <c:pt idx="862">
                  <c:v>17</c:v>
                </c:pt>
                <c:pt idx="863">
                  <c:v>16</c:v>
                </c:pt>
                <c:pt idx="864">
                  <c:v>16</c:v>
                </c:pt>
                <c:pt idx="865">
                  <c:v>16</c:v>
                </c:pt>
                <c:pt idx="866">
                  <c:v>13</c:v>
                </c:pt>
                <c:pt idx="867">
                  <c:v>20</c:v>
                </c:pt>
                <c:pt idx="868">
                  <c:v>16</c:v>
                </c:pt>
                <c:pt idx="869">
                  <c:v>16</c:v>
                </c:pt>
                <c:pt idx="870">
                  <c:v>18</c:v>
                </c:pt>
                <c:pt idx="871">
                  <c:v>17</c:v>
                </c:pt>
                <c:pt idx="872">
                  <c:v>17</c:v>
                </c:pt>
                <c:pt idx="873">
                  <c:v>17</c:v>
                </c:pt>
                <c:pt idx="874">
                  <c:v>18</c:v>
                </c:pt>
                <c:pt idx="875">
                  <c:v>17</c:v>
                </c:pt>
                <c:pt idx="876">
                  <c:v>16</c:v>
                </c:pt>
                <c:pt idx="877" formatCode="#0">
                  <c:v>16</c:v>
                </c:pt>
                <c:pt idx="878" formatCode="#0">
                  <c:v>20</c:v>
                </c:pt>
                <c:pt idx="879">
                  <c:v>17</c:v>
                </c:pt>
                <c:pt idx="880" formatCode="#0">
                  <c:v>19</c:v>
                </c:pt>
                <c:pt idx="881" formatCode="#0">
                  <c:v>21</c:v>
                </c:pt>
                <c:pt idx="882" formatCode="#0">
                  <c:v>19</c:v>
                </c:pt>
                <c:pt idx="883" formatCode="#0">
                  <c:v>21</c:v>
                </c:pt>
                <c:pt idx="884" formatCode="#0">
                  <c:v>20</c:v>
                </c:pt>
                <c:pt idx="885" formatCode="#0">
                  <c:v>20</c:v>
                </c:pt>
                <c:pt idx="886" formatCode="#0">
                  <c:v>21</c:v>
                </c:pt>
                <c:pt idx="887" formatCode="#0">
                  <c:v>23</c:v>
                </c:pt>
                <c:pt idx="888">
                  <c:v>14</c:v>
                </c:pt>
                <c:pt idx="889" formatCode="#0">
                  <c:v>21</c:v>
                </c:pt>
                <c:pt idx="890" formatCode="#0">
                  <c:v>21</c:v>
                </c:pt>
                <c:pt idx="891" formatCode="#0">
                  <c:v>18</c:v>
                </c:pt>
                <c:pt idx="892" formatCode="#0">
                  <c:v>19</c:v>
                </c:pt>
                <c:pt idx="893" formatCode="#0">
                  <c:v>19</c:v>
                </c:pt>
                <c:pt idx="894" formatCode="#0">
                  <c:v>21</c:v>
                </c:pt>
                <c:pt idx="895" formatCode="#0">
                  <c:v>23</c:v>
                </c:pt>
                <c:pt idx="896" formatCode="#0">
                  <c:v>20</c:v>
                </c:pt>
                <c:pt idx="897">
                  <c:v>15</c:v>
                </c:pt>
                <c:pt idx="898" formatCode="#0">
                  <c:v>19</c:v>
                </c:pt>
                <c:pt idx="899" formatCode="#0">
                  <c:v>21</c:v>
                </c:pt>
                <c:pt idx="900" formatCode="#0">
                  <c:v>18</c:v>
                </c:pt>
                <c:pt idx="901" formatCode="#0">
                  <c:v>22</c:v>
                </c:pt>
                <c:pt idx="902" formatCode="#0">
                  <c:v>20</c:v>
                </c:pt>
                <c:pt idx="903" formatCode="#0">
                  <c:v>20</c:v>
                </c:pt>
                <c:pt idx="904" formatCode="#0">
                  <c:v>20</c:v>
                </c:pt>
                <c:pt idx="905" formatCode="#0">
                  <c:v>23</c:v>
                </c:pt>
                <c:pt idx="906">
                  <c:v>14</c:v>
                </c:pt>
                <c:pt idx="907" formatCode="#0">
                  <c:v>22</c:v>
                </c:pt>
                <c:pt idx="908" formatCode="#0">
                  <c:v>18</c:v>
                </c:pt>
                <c:pt idx="909" formatCode="#0">
                  <c:v>15</c:v>
                </c:pt>
                <c:pt idx="910" formatCode="#0">
                  <c:v>17</c:v>
                </c:pt>
                <c:pt idx="911" formatCode="#0">
                  <c:v>21</c:v>
                </c:pt>
                <c:pt idx="912" formatCode="#0">
                  <c:v>20</c:v>
                </c:pt>
                <c:pt idx="913" formatCode="#0">
                  <c:v>24</c:v>
                </c:pt>
                <c:pt idx="914" formatCode="#0">
                  <c:v>20</c:v>
                </c:pt>
                <c:pt idx="915">
                  <c:v>16</c:v>
                </c:pt>
                <c:pt idx="916" formatCode="#0">
                  <c:v>24</c:v>
                </c:pt>
                <c:pt idx="917" formatCode="#0">
                  <c:v>22</c:v>
                </c:pt>
                <c:pt idx="918" formatCode="#0">
                  <c:v>22</c:v>
                </c:pt>
                <c:pt idx="919" formatCode="#0">
                  <c:v>20</c:v>
                </c:pt>
                <c:pt idx="920" formatCode="#0">
                  <c:v>22</c:v>
                </c:pt>
                <c:pt idx="921" formatCode="#0">
                  <c:v>23</c:v>
                </c:pt>
                <c:pt idx="922" formatCode="#0">
                  <c:v>22</c:v>
                </c:pt>
                <c:pt idx="923" formatCode="#0">
                  <c:v>24</c:v>
                </c:pt>
                <c:pt idx="924">
                  <c:v>17</c:v>
                </c:pt>
                <c:pt idx="925" formatCode="#0">
                  <c:v>19</c:v>
                </c:pt>
                <c:pt idx="926" formatCode="#0">
                  <c:v>21</c:v>
                </c:pt>
                <c:pt idx="927" formatCode="#0">
                  <c:v>18</c:v>
                </c:pt>
                <c:pt idx="928" formatCode="#0">
                  <c:v>19</c:v>
                </c:pt>
                <c:pt idx="929" formatCode="#0">
                  <c:v>21</c:v>
                </c:pt>
                <c:pt idx="930" formatCode="#0">
                  <c:v>19</c:v>
                </c:pt>
                <c:pt idx="931" formatCode="#0">
                  <c:v>17</c:v>
                </c:pt>
                <c:pt idx="932" formatCode="#0">
                  <c:v>21</c:v>
                </c:pt>
                <c:pt idx="933" formatCode="#0">
                  <c:v>22</c:v>
                </c:pt>
                <c:pt idx="934">
                  <c:v>18</c:v>
                </c:pt>
                <c:pt idx="935" formatCode="#0">
                  <c:v>20</c:v>
                </c:pt>
                <c:pt idx="936" formatCode="#0">
                  <c:v>19</c:v>
                </c:pt>
                <c:pt idx="937" formatCode="#0">
                  <c:v>25</c:v>
                </c:pt>
                <c:pt idx="938" formatCode="#0">
                  <c:v>21</c:v>
                </c:pt>
                <c:pt idx="939" formatCode="#0">
                  <c:v>20</c:v>
                </c:pt>
                <c:pt idx="940" formatCode="#0">
                  <c:v>20</c:v>
                </c:pt>
                <c:pt idx="941" formatCode="#0">
                  <c:v>23</c:v>
                </c:pt>
                <c:pt idx="942">
                  <c:v>16</c:v>
                </c:pt>
                <c:pt idx="943" formatCode="#0">
                  <c:v>21</c:v>
                </c:pt>
                <c:pt idx="944" formatCode="#0">
                  <c:v>22</c:v>
                </c:pt>
                <c:pt idx="945" formatCode="#0">
                  <c:v>20</c:v>
                </c:pt>
                <c:pt idx="946" formatCode="#0">
                  <c:v>24</c:v>
                </c:pt>
                <c:pt idx="947" formatCode="#0">
                  <c:v>16</c:v>
                </c:pt>
                <c:pt idx="948" formatCode="#0">
                  <c:v>22</c:v>
                </c:pt>
                <c:pt idx="949" formatCode="#0">
                  <c:v>19</c:v>
                </c:pt>
                <c:pt idx="950" formatCode="#0">
                  <c:v>18</c:v>
                </c:pt>
                <c:pt idx="951">
                  <c:v>14</c:v>
                </c:pt>
                <c:pt idx="952" formatCode="#0">
                  <c:v>22</c:v>
                </c:pt>
                <c:pt idx="953" formatCode="#0">
                  <c:v>20</c:v>
                </c:pt>
                <c:pt idx="954" formatCode="#0">
                  <c:v>22</c:v>
                </c:pt>
                <c:pt idx="955" formatCode="#0">
                  <c:v>18</c:v>
                </c:pt>
                <c:pt idx="956" formatCode="#0">
                  <c:v>17</c:v>
                </c:pt>
                <c:pt idx="957" formatCode="#0">
                  <c:v>20</c:v>
                </c:pt>
                <c:pt idx="958" formatCode="#0">
                  <c:v>17</c:v>
                </c:pt>
                <c:pt idx="959" formatCode="#0">
                  <c:v>20</c:v>
                </c:pt>
                <c:pt idx="960" formatCode="#0">
                  <c:v>21</c:v>
                </c:pt>
                <c:pt idx="961">
                  <c:v>16</c:v>
                </c:pt>
                <c:pt idx="962" formatCode="#0">
                  <c:v>22</c:v>
                </c:pt>
                <c:pt idx="963" formatCode="#0">
                  <c:v>20</c:v>
                </c:pt>
                <c:pt idx="964" formatCode="#0">
                  <c:v>21</c:v>
                </c:pt>
                <c:pt idx="965" formatCode="#0">
                  <c:v>20</c:v>
                </c:pt>
                <c:pt idx="966" formatCode="#0">
                  <c:v>21</c:v>
                </c:pt>
                <c:pt idx="967" formatCode="#0">
                  <c:v>20</c:v>
                </c:pt>
                <c:pt idx="968">
                  <c:v>17</c:v>
                </c:pt>
                <c:pt idx="969" formatCode="#0">
                  <c:v>22</c:v>
                </c:pt>
                <c:pt idx="970" formatCode="#0">
                  <c:v>20</c:v>
                </c:pt>
                <c:pt idx="971" formatCode="#0">
                  <c:v>24</c:v>
                </c:pt>
                <c:pt idx="972" formatCode="#0">
                  <c:v>20</c:v>
                </c:pt>
                <c:pt idx="973" formatCode="#0">
                  <c:v>23</c:v>
                </c:pt>
                <c:pt idx="974" formatCode="#0">
                  <c:v>18</c:v>
                </c:pt>
                <c:pt idx="975" formatCode="#0">
                  <c:v>23</c:v>
                </c:pt>
                <c:pt idx="976" formatCode="#0">
                  <c:v>26</c:v>
                </c:pt>
                <c:pt idx="977">
                  <c:v>17</c:v>
                </c:pt>
                <c:pt idx="978" formatCode="#0">
                  <c:v>23</c:v>
                </c:pt>
                <c:pt idx="979" formatCode="#0">
                  <c:v>22</c:v>
                </c:pt>
                <c:pt idx="980" formatCode="#0">
                  <c:v>22</c:v>
                </c:pt>
                <c:pt idx="981" formatCode="#0">
                  <c:v>22</c:v>
                </c:pt>
                <c:pt idx="982" formatCode="#0">
                  <c:v>23</c:v>
                </c:pt>
                <c:pt idx="983" formatCode="#0">
                  <c:v>27</c:v>
                </c:pt>
                <c:pt idx="984" formatCode="#0">
                  <c:v>24</c:v>
                </c:pt>
                <c:pt idx="985">
                  <c:v>15</c:v>
                </c:pt>
                <c:pt idx="986">
                  <c:v>24</c:v>
                </c:pt>
                <c:pt idx="987">
                  <c:v>21</c:v>
                </c:pt>
                <c:pt idx="988">
                  <c:v>21</c:v>
                </c:pt>
                <c:pt idx="989">
                  <c:v>21</c:v>
                </c:pt>
                <c:pt idx="990">
                  <c:v>19</c:v>
                </c:pt>
                <c:pt idx="991">
                  <c:v>19</c:v>
                </c:pt>
                <c:pt idx="992">
                  <c:v>17</c:v>
                </c:pt>
                <c:pt idx="993">
                  <c:v>20</c:v>
                </c:pt>
                <c:pt idx="994">
                  <c:v>19</c:v>
                </c:pt>
                <c:pt idx="995">
                  <c:v>13</c:v>
                </c:pt>
                <c:pt idx="996">
                  <c:v>17</c:v>
                </c:pt>
                <c:pt idx="997">
                  <c:v>15</c:v>
                </c:pt>
                <c:pt idx="998">
                  <c:v>20</c:v>
                </c:pt>
                <c:pt idx="999">
                  <c:v>21</c:v>
                </c:pt>
                <c:pt idx="1000">
                  <c:v>19</c:v>
                </c:pt>
                <c:pt idx="1001">
                  <c:v>20</c:v>
                </c:pt>
                <c:pt idx="1002">
                  <c:v>19</c:v>
                </c:pt>
                <c:pt idx="1003">
                  <c:v>19</c:v>
                </c:pt>
                <c:pt idx="1004">
                  <c:v>25</c:v>
                </c:pt>
                <c:pt idx="1005">
                  <c:v>12</c:v>
                </c:pt>
                <c:pt idx="1006">
                  <c:v>20</c:v>
                </c:pt>
                <c:pt idx="1007">
                  <c:v>24</c:v>
                </c:pt>
                <c:pt idx="1008">
                  <c:v>22</c:v>
                </c:pt>
                <c:pt idx="1009">
                  <c:v>21</c:v>
                </c:pt>
                <c:pt idx="1010">
                  <c:v>21</c:v>
                </c:pt>
                <c:pt idx="1011">
                  <c:v>21</c:v>
                </c:pt>
                <c:pt idx="1012">
                  <c:v>19</c:v>
                </c:pt>
                <c:pt idx="1013">
                  <c:v>24</c:v>
                </c:pt>
                <c:pt idx="1014">
                  <c:v>25</c:v>
                </c:pt>
                <c:pt idx="1015">
                  <c:v>15</c:v>
                </c:pt>
                <c:pt idx="1016">
                  <c:v>24</c:v>
                </c:pt>
                <c:pt idx="1017">
                  <c:v>22</c:v>
                </c:pt>
                <c:pt idx="1018">
                  <c:v>20</c:v>
                </c:pt>
                <c:pt idx="1019">
                  <c:v>20</c:v>
                </c:pt>
                <c:pt idx="1020">
                  <c:v>18</c:v>
                </c:pt>
                <c:pt idx="1021">
                  <c:v>14</c:v>
                </c:pt>
                <c:pt idx="1022">
                  <c:v>14</c:v>
                </c:pt>
                <c:pt idx="1023">
                  <c:v>17</c:v>
                </c:pt>
                <c:pt idx="1024">
                  <c:v>10</c:v>
                </c:pt>
                <c:pt idx="1025">
                  <c:v>15</c:v>
                </c:pt>
                <c:pt idx="1026">
                  <c:v>15</c:v>
                </c:pt>
                <c:pt idx="1027">
                  <c:v>23</c:v>
                </c:pt>
                <c:pt idx="1028">
                  <c:v>21</c:v>
                </c:pt>
                <c:pt idx="1029">
                  <c:v>23</c:v>
                </c:pt>
                <c:pt idx="1030">
                  <c:v>23</c:v>
                </c:pt>
                <c:pt idx="1031">
                  <c:v>21</c:v>
                </c:pt>
                <c:pt idx="1032">
                  <c:v>23</c:v>
                </c:pt>
                <c:pt idx="1033">
                  <c:v>13</c:v>
                </c:pt>
                <c:pt idx="1034">
                  <c:v>19</c:v>
                </c:pt>
                <c:pt idx="1035">
                  <c:v>25</c:v>
                </c:pt>
                <c:pt idx="1036">
                  <c:v>24</c:v>
                </c:pt>
                <c:pt idx="1037">
                  <c:v>24</c:v>
                </c:pt>
                <c:pt idx="1038">
                  <c:v>22</c:v>
                </c:pt>
                <c:pt idx="1039">
                  <c:v>23</c:v>
                </c:pt>
                <c:pt idx="1040">
                  <c:v>25</c:v>
                </c:pt>
                <c:pt idx="1041">
                  <c:v>25</c:v>
                </c:pt>
                <c:pt idx="1042">
                  <c:v>13</c:v>
                </c:pt>
                <c:pt idx="1043">
                  <c:v>23</c:v>
                </c:pt>
                <c:pt idx="1044">
                  <c:v>23</c:v>
                </c:pt>
                <c:pt idx="1045">
                  <c:v>21</c:v>
                </c:pt>
                <c:pt idx="1046">
                  <c:v>24</c:v>
                </c:pt>
                <c:pt idx="1047">
                  <c:v>26</c:v>
                </c:pt>
                <c:pt idx="1048">
                  <c:v>22</c:v>
                </c:pt>
                <c:pt idx="1049">
                  <c:v>20</c:v>
                </c:pt>
                <c:pt idx="1050">
                  <c:v>20</c:v>
                </c:pt>
                <c:pt idx="1051">
                  <c:v>14</c:v>
                </c:pt>
                <c:pt idx="1052">
                  <c:v>24</c:v>
                </c:pt>
                <c:pt idx="1053">
                  <c:v>20</c:v>
                </c:pt>
                <c:pt idx="1054">
                  <c:v>24</c:v>
                </c:pt>
                <c:pt idx="1055">
                  <c:v>22</c:v>
                </c:pt>
                <c:pt idx="1056">
                  <c:v>23</c:v>
                </c:pt>
                <c:pt idx="1057">
                  <c:v>22</c:v>
                </c:pt>
                <c:pt idx="1058">
                  <c:v>20</c:v>
                </c:pt>
                <c:pt idx="1059">
                  <c:v>22</c:v>
                </c:pt>
                <c:pt idx="1060">
                  <c:v>23</c:v>
                </c:pt>
                <c:pt idx="1061">
                  <c:v>16</c:v>
                </c:pt>
                <c:pt idx="1062">
                  <c:v>25</c:v>
                </c:pt>
                <c:pt idx="1063">
                  <c:v>22</c:v>
                </c:pt>
                <c:pt idx="1064">
                  <c:v>23</c:v>
                </c:pt>
                <c:pt idx="1065">
                  <c:v>21</c:v>
                </c:pt>
                <c:pt idx="1066">
                  <c:v>21</c:v>
                </c:pt>
                <c:pt idx="1067">
                  <c:v>21</c:v>
                </c:pt>
                <c:pt idx="1068">
                  <c:v>21</c:v>
                </c:pt>
                <c:pt idx="1069">
                  <c:v>19</c:v>
                </c:pt>
                <c:pt idx="1070">
                  <c:v>20</c:v>
                </c:pt>
                <c:pt idx="1071">
                  <c:v>11</c:v>
                </c:pt>
                <c:pt idx="1072">
                  <c:v>21</c:v>
                </c:pt>
                <c:pt idx="1073">
                  <c:v>22</c:v>
                </c:pt>
                <c:pt idx="1074">
                  <c:v>18</c:v>
                </c:pt>
                <c:pt idx="1075">
                  <c:v>21</c:v>
                </c:pt>
                <c:pt idx="1076">
                  <c:v>17</c:v>
                </c:pt>
                <c:pt idx="1077">
                  <c:v>19</c:v>
                </c:pt>
                <c:pt idx="1078">
                  <c:v>22</c:v>
                </c:pt>
                <c:pt idx="1079">
                  <c:v>26</c:v>
                </c:pt>
                <c:pt idx="1080">
                  <c:v>21</c:v>
                </c:pt>
                <c:pt idx="1081">
                  <c:v>21</c:v>
                </c:pt>
                <c:pt idx="1082">
                  <c:v>23</c:v>
                </c:pt>
                <c:pt idx="1083">
                  <c:v>21</c:v>
                </c:pt>
                <c:pt idx="1084">
                  <c:v>19</c:v>
                </c:pt>
                <c:pt idx="1085">
                  <c:v>23</c:v>
                </c:pt>
                <c:pt idx="1086">
                  <c:v>20</c:v>
                </c:pt>
                <c:pt idx="1087">
                  <c:v>19</c:v>
                </c:pt>
                <c:pt idx="1088">
                  <c:v>22</c:v>
                </c:pt>
                <c:pt idx="1089">
                  <c:v>14</c:v>
                </c:pt>
                <c:pt idx="1090">
                  <c:v>22</c:v>
                </c:pt>
                <c:pt idx="1091">
                  <c:v>19</c:v>
                </c:pt>
                <c:pt idx="1092">
                  <c:v>19</c:v>
                </c:pt>
                <c:pt idx="1093">
                  <c:v>22</c:v>
                </c:pt>
                <c:pt idx="1094">
                  <c:v>19</c:v>
                </c:pt>
                <c:pt idx="1095">
                  <c:v>25</c:v>
                </c:pt>
                <c:pt idx="1096">
                  <c:v>16</c:v>
                </c:pt>
                <c:pt idx="1097">
                  <c:v>23</c:v>
                </c:pt>
                <c:pt idx="1098">
                  <c:v>18</c:v>
                </c:pt>
                <c:pt idx="1099">
                  <c:v>10</c:v>
                </c:pt>
                <c:pt idx="1100">
                  <c:v>19</c:v>
                </c:pt>
                <c:pt idx="1101">
                  <c:v>18</c:v>
                </c:pt>
                <c:pt idx="1102">
                  <c:v>9</c:v>
                </c:pt>
                <c:pt idx="1103">
                  <c:v>19</c:v>
                </c:pt>
                <c:pt idx="1104">
                  <c:v>21</c:v>
                </c:pt>
                <c:pt idx="1105">
                  <c:v>22</c:v>
                </c:pt>
                <c:pt idx="1106">
                  <c:v>22</c:v>
                </c:pt>
                <c:pt idx="1107">
                  <c:v>19</c:v>
                </c:pt>
                <c:pt idx="1108">
                  <c:v>21</c:v>
                </c:pt>
                <c:pt idx="1109">
                  <c:v>20</c:v>
                </c:pt>
                <c:pt idx="1110">
                  <c:v>23</c:v>
                </c:pt>
                <c:pt idx="1111">
                  <c:v>21</c:v>
                </c:pt>
                <c:pt idx="1112">
                  <c:v>21</c:v>
                </c:pt>
                <c:pt idx="1113">
                  <c:v>21</c:v>
                </c:pt>
                <c:pt idx="1114">
                  <c:v>23</c:v>
                </c:pt>
                <c:pt idx="1115">
                  <c:v>21</c:v>
                </c:pt>
                <c:pt idx="1116">
                  <c:v>23</c:v>
                </c:pt>
                <c:pt idx="1117">
                  <c:v>23</c:v>
                </c:pt>
                <c:pt idx="1118">
                  <c:v>20</c:v>
                </c:pt>
                <c:pt idx="1119">
                  <c:v>22</c:v>
                </c:pt>
                <c:pt idx="1120">
                  <c:v>20</c:v>
                </c:pt>
                <c:pt idx="1121">
                  <c:v>27</c:v>
                </c:pt>
                <c:pt idx="1122">
                  <c:v>21</c:v>
                </c:pt>
                <c:pt idx="1123">
                  <c:v>12</c:v>
                </c:pt>
                <c:pt idx="1124">
                  <c:v>26</c:v>
                </c:pt>
                <c:pt idx="1125">
                  <c:v>23</c:v>
                </c:pt>
                <c:pt idx="1126">
                  <c:v>25</c:v>
                </c:pt>
                <c:pt idx="1127">
                  <c:v>24</c:v>
                </c:pt>
                <c:pt idx="1128">
                  <c:v>23</c:v>
                </c:pt>
                <c:pt idx="1129">
                  <c:v>25</c:v>
                </c:pt>
                <c:pt idx="1130">
                  <c:v>19</c:v>
                </c:pt>
                <c:pt idx="1131">
                  <c:v>21</c:v>
                </c:pt>
                <c:pt idx="1132">
                  <c:v>24</c:v>
                </c:pt>
                <c:pt idx="1133">
                  <c:v>13</c:v>
                </c:pt>
                <c:pt idx="1134">
                  <c:v>24</c:v>
                </c:pt>
                <c:pt idx="1135">
                  <c:v>23</c:v>
                </c:pt>
                <c:pt idx="1136">
                  <c:v>22</c:v>
                </c:pt>
                <c:pt idx="1137">
                  <c:v>24</c:v>
                </c:pt>
                <c:pt idx="1138">
                  <c:v>22</c:v>
                </c:pt>
                <c:pt idx="1139">
                  <c:v>25</c:v>
                </c:pt>
                <c:pt idx="1140">
                  <c:v>24</c:v>
                </c:pt>
                <c:pt idx="1141">
                  <c:v>30</c:v>
                </c:pt>
                <c:pt idx="1142">
                  <c:v>28</c:v>
                </c:pt>
                <c:pt idx="1143">
                  <c:v>12</c:v>
                </c:pt>
                <c:pt idx="1144">
                  <c:v>28</c:v>
                </c:pt>
                <c:pt idx="1145">
                  <c:v>25</c:v>
                </c:pt>
                <c:pt idx="1146">
                  <c:v>26</c:v>
                </c:pt>
                <c:pt idx="1147">
                  <c:v>29</c:v>
                </c:pt>
                <c:pt idx="1148">
                  <c:v>23</c:v>
                </c:pt>
                <c:pt idx="1149">
                  <c:v>26</c:v>
                </c:pt>
                <c:pt idx="1150">
                  <c:v>20</c:v>
                </c:pt>
                <c:pt idx="1151">
                  <c:v>28</c:v>
                </c:pt>
                <c:pt idx="1152">
                  <c:v>32</c:v>
                </c:pt>
                <c:pt idx="1153">
                  <c:v>13</c:v>
                </c:pt>
                <c:pt idx="1154">
                  <c:v>30</c:v>
                </c:pt>
                <c:pt idx="1155">
                  <c:v>25</c:v>
                </c:pt>
                <c:pt idx="1156">
                  <c:v>27</c:v>
                </c:pt>
                <c:pt idx="1157">
                  <c:v>26</c:v>
                </c:pt>
                <c:pt idx="1158">
                  <c:v>24</c:v>
                </c:pt>
                <c:pt idx="1159">
                  <c:v>21</c:v>
                </c:pt>
                <c:pt idx="1160">
                  <c:v>14</c:v>
                </c:pt>
                <c:pt idx="1161">
                  <c:v>25</c:v>
                </c:pt>
                <c:pt idx="1162">
                  <c:v>24</c:v>
                </c:pt>
                <c:pt idx="1163">
                  <c:v>23</c:v>
                </c:pt>
                <c:pt idx="1164">
                  <c:v>25</c:v>
                </c:pt>
                <c:pt idx="1165">
                  <c:v>25</c:v>
                </c:pt>
                <c:pt idx="1166">
                  <c:v>24</c:v>
                </c:pt>
                <c:pt idx="1167">
                  <c:v>26</c:v>
                </c:pt>
                <c:pt idx="1168">
                  <c:v>31</c:v>
                </c:pt>
                <c:pt idx="1169">
                  <c:v>29</c:v>
                </c:pt>
                <c:pt idx="1170">
                  <c:v>12</c:v>
                </c:pt>
                <c:pt idx="1171">
                  <c:v>28</c:v>
                </c:pt>
                <c:pt idx="1172">
                  <c:v>23</c:v>
                </c:pt>
                <c:pt idx="1173">
                  <c:v>30</c:v>
                </c:pt>
                <c:pt idx="1174">
                  <c:v>30</c:v>
                </c:pt>
                <c:pt idx="1175">
                  <c:v>28</c:v>
                </c:pt>
                <c:pt idx="1176">
                  <c:v>24</c:v>
                </c:pt>
                <c:pt idx="1177">
                  <c:v>26</c:v>
                </c:pt>
                <c:pt idx="1178">
                  <c:v>22</c:v>
                </c:pt>
                <c:pt idx="1179">
                  <c:v>13</c:v>
                </c:pt>
                <c:pt idx="1180">
                  <c:v>25</c:v>
                </c:pt>
                <c:pt idx="1181">
                  <c:v>29</c:v>
                </c:pt>
                <c:pt idx="1182">
                  <c:v>29</c:v>
                </c:pt>
                <c:pt idx="1183">
                  <c:v>21</c:v>
                </c:pt>
                <c:pt idx="1184">
                  <c:v>26</c:v>
                </c:pt>
                <c:pt idx="1185">
                  <c:v>24</c:v>
                </c:pt>
                <c:pt idx="1186">
                  <c:v>30</c:v>
                </c:pt>
                <c:pt idx="1187">
                  <c:v>27</c:v>
                </c:pt>
                <c:pt idx="1188">
                  <c:v>30</c:v>
                </c:pt>
                <c:pt idx="1189">
                  <c:v>26</c:v>
                </c:pt>
                <c:pt idx="1190">
                  <c:v>27</c:v>
                </c:pt>
                <c:pt idx="1191">
                  <c:v>23</c:v>
                </c:pt>
                <c:pt idx="1192">
                  <c:v>26</c:v>
                </c:pt>
                <c:pt idx="1193">
                  <c:v>13</c:v>
                </c:pt>
                <c:pt idx="1194">
                  <c:v>24</c:v>
                </c:pt>
                <c:pt idx="1195">
                  <c:v>25</c:v>
                </c:pt>
                <c:pt idx="1196">
                  <c:v>25</c:v>
                </c:pt>
                <c:pt idx="1197">
                  <c:v>28</c:v>
                </c:pt>
                <c:pt idx="1198">
                  <c:v>25</c:v>
                </c:pt>
                <c:pt idx="1199">
                  <c:v>26</c:v>
                </c:pt>
                <c:pt idx="1200">
                  <c:v>21</c:v>
                </c:pt>
                <c:pt idx="1201">
                  <c:v>26</c:v>
                </c:pt>
                <c:pt idx="1202">
                  <c:v>24</c:v>
                </c:pt>
                <c:pt idx="1203">
                  <c:v>16</c:v>
                </c:pt>
                <c:pt idx="1204">
                  <c:v>26</c:v>
                </c:pt>
                <c:pt idx="1205">
                  <c:v>26</c:v>
                </c:pt>
                <c:pt idx="1206">
                  <c:v>25</c:v>
                </c:pt>
                <c:pt idx="1207">
                  <c:v>28</c:v>
                </c:pt>
                <c:pt idx="1208">
                  <c:v>26</c:v>
                </c:pt>
                <c:pt idx="1209">
                  <c:v>26</c:v>
                </c:pt>
                <c:pt idx="1210">
                  <c:v>24</c:v>
                </c:pt>
                <c:pt idx="1211">
                  <c:v>25</c:v>
                </c:pt>
                <c:pt idx="1212">
                  <c:v>30</c:v>
                </c:pt>
                <c:pt idx="1213">
                  <c:v>12</c:v>
                </c:pt>
                <c:pt idx="1214">
                  <c:v>23</c:v>
                </c:pt>
                <c:pt idx="1215">
                  <c:v>22</c:v>
                </c:pt>
                <c:pt idx="1216" formatCode="#0">
                  <c:v>24</c:v>
                </c:pt>
                <c:pt idx="1217" formatCode="#0">
                  <c:v>27</c:v>
                </c:pt>
                <c:pt idx="1218" formatCode="#0">
                  <c:v>25</c:v>
                </c:pt>
                <c:pt idx="1219" formatCode="#0">
                  <c:v>30</c:v>
                </c:pt>
                <c:pt idx="1220">
                  <c:v>22</c:v>
                </c:pt>
                <c:pt idx="1221" formatCode="#0">
                  <c:v>24</c:v>
                </c:pt>
                <c:pt idx="1222" formatCode="#0">
                  <c:v>23</c:v>
                </c:pt>
                <c:pt idx="1223" formatCode="#0">
                  <c:v>24</c:v>
                </c:pt>
                <c:pt idx="1224">
                  <c:v>24</c:v>
                </c:pt>
                <c:pt idx="1225" formatCode="#0">
                  <c:v>27</c:v>
                </c:pt>
                <c:pt idx="1226" formatCode="#0">
                  <c:v>27</c:v>
                </c:pt>
                <c:pt idx="1227" formatCode="#0">
                  <c:v>25</c:v>
                </c:pt>
                <c:pt idx="1228" formatCode="#0">
                  <c:v>28</c:v>
                </c:pt>
                <c:pt idx="1229">
                  <c:v>24</c:v>
                </c:pt>
                <c:pt idx="1230" formatCode="#0">
                  <c:v>28</c:v>
                </c:pt>
                <c:pt idx="1231" formatCode="#0">
                  <c:v>25</c:v>
                </c:pt>
                <c:pt idx="1232">
                  <c:v>11</c:v>
                </c:pt>
                <c:pt idx="1233" formatCode="#0">
                  <c:v>29</c:v>
                </c:pt>
                <c:pt idx="1234">
                  <c:v>24</c:v>
                </c:pt>
                <c:pt idx="1235" formatCode="#0">
                  <c:v>27</c:v>
                </c:pt>
                <c:pt idx="1236" formatCode="#0">
                  <c:v>29</c:v>
                </c:pt>
                <c:pt idx="1237" formatCode="#0">
                  <c:v>26</c:v>
                </c:pt>
                <c:pt idx="1238" formatCode="#0">
                  <c:v>24</c:v>
                </c:pt>
                <c:pt idx="1239">
                  <c:v>23</c:v>
                </c:pt>
                <c:pt idx="1240" formatCode="#0">
                  <c:v>27</c:v>
                </c:pt>
                <c:pt idx="1241" formatCode="#0">
                  <c:v>23</c:v>
                </c:pt>
                <c:pt idx="1242">
                  <c:v>15</c:v>
                </c:pt>
                <c:pt idx="1243" formatCode="#0">
                  <c:v>29</c:v>
                </c:pt>
                <c:pt idx="1244">
                  <c:v>26</c:v>
                </c:pt>
                <c:pt idx="1245" formatCode="#0">
                  <c:v>23</c:v>
                </c:pt>
                <c:pt idx="1246" formatCode="#0">
                  <c:v>25</c:v>
                </c:pt>
                <c:pt idx="1247" formatCode="#0">
                  <c:v>25</c:v>
                </c:pt>
                <c:pt idx="1248">
                  <c:v>24</c:v>
                </c:pt>
                <c:pt idx="1249" formatCode="#0">
                  <c:v>23</c:v>
                </c:pt>
                <c:pt idx="1250" formatCode="#0">
                  <c:v>25</c:v>
                </c:pt>
                <c:pt idx="1251">
                  <c:v>12</c:v>
                </c:pt>
                <c:pt idx="1252" formatCode="#0">
                  <c:v>23</c:v>
                </c:pt>
                <c:pt idx="1253" formatCode="#0">
                  <c:v>20</c:v>
                </c:pt>
                <c:pt idx="1254" formatCode="#0">
                  <c:v>23</c:v>
                </c:pt>
                <c:pt idx="1255" formatCode="#0">
                  <c:v>26</c:v>
                </c:pt>
                <c:pt idx="1256" formatCode="#0">
                  <c:v>24</c:v>
                </c:pt>
                <c:pt idx="1257">
                  <c:v>26</c:v>
                </c:pt>
                <c:pt idx="1258" formatCode="#0">
                  <c:v>25</c:v>
                </c:pt>
                <c:pt idx="1259" formatCode="#0">
                  <c:v>29</c:v>
                </c:pt>
                <c:pt idx="1260">
                  <c:v>14</c:v>
                </c:pt>
                <c:pt idx="1261">
                  <c:v>28</c:v>
                </c:pt>
                <c:pt idx="1262" formatCode="#0">
                  <c:v>25</c:v>
                </c:pt>
                <c:pt idx="1263" formatCode="#0">
                  <c:v>27</c:v>
                </c:pt>
                <c:pt idx="1264" formatCode="#0">
                  <c:v>29</c:v>
                </c:pt>
                <c:pt idx="1265" formatCode="#0">
                  <c:v>30</c:v>
                </c:pt>
                <c:pt idx="1266">
                  <c:v>27</c:v>
                </c:pt>
                <c:pt idx="1267" formatCode="#0">
                  <c:v>27</c:v>
                </c:pt>
                <c:pt idx="1268" formatCode="#0">
                  <c:v>25</c:v>
                </c:pt>
                <c:pt idx="1269" formatCode="#0">
                  <c:v>27</c:v>
                </c:pt>
                <c:pt idx="1270" formatCode="#0">
                  <c:v>25</c:v>
                </c:pt>
                <c:pt idx="1271" formatCode="#0">
                  <c:v>25</c:v>
                </c:pt>
                <c:pt idx="1272" formatCode="#0">
                  <c:v>21</c:v>
                </c:pt>
                <c:pt idx="1273" formatCode="#0">
                  <c:v>22</c:v>
                </c:pt>
                <c:pt idx="1274">
                  <c:v>23</c:v>
                </c:pt>
                <c:pt idx="1275" formatCode="#0">
                  <c:v>23</c:v>
                </c:pt>
                <c:pt idx="1276" formatCode="#0">
                  <c:v>24</c:v>
                </c:pt>
                <c:pt idx="1277">
                  <c:v>12</c:v>
                </c:pt>
                <c:pt idx="1278" formatCode="#0">
                  <c:v>29</c:v>
                </c:pt>
                <c:pt idx="1279">
                  <c:v>26</c:v>
                </c:pt>
                <c:pt idx="1280" formatCode="#0">
                  <c:v>22</c:v>
                </c:pt>
                <c:pt idx="1281" formatCode="#0">
                  <c:v>24</c:v>
                </c:pt>
                <c:pt idx="1282" formatCode="#0">
                  <c:v>23</c:v>
                </c:pt>
                <c:pt idx="1283" formatCode="#0">
                  <c:v>30</c:v>
                </c:pt>
                <c:pt idx="1284">
                  <c:v>27</c:v>
                </c:pt>
                <c:pt idx="1285" formatCode="#0">
                  <c:v>25</c:v>
                </c:pt>
                <c:pt idx="1286" formatCode="#0">
                  <c:v>23</c:v>
                </c:pt>
                <c:pt idx="1287">
                  <c:v>14</c:v>
                </c:pt>
                <c:pt idx="1288" formatCode="#0">
                  <c:v>30</c:v>
                </c:pt>
                <c:pt idx="1289">
                  <c:v>24</c:v>
                </c:pt>
                <c:pt idx="1290" formatCode="#0">
                  <c:v>26</c:v>
                </c:pt>
                <c:pt idx="1291" formatCode="#0">
                  <c:v>31</c:v>
                </c:pt>
                <c:pt idx="1292" formatCode="#0">
                  <c:v>28</c:v>
                </c:pt>
                <c:pt idx="1293" formatCode="#0">
                  <c:v>26</c:v>
                </c:pt>
                <c:pt idx="1294">
                  <c:v>24</c:v>
                </c:pt>
                <c:pt idx="1295" formatCode="#0">
                  <c:v>27</c:v>
                </c:pt>
                <c:pt idx="1296" formatCode="#0">
                  <c:v>28</c:v>
                </c:pt>
                <c:pt idx="1297">
                  <c:v>11</c:v>
                </c:pt>
                <c:pt idx="1298" formatCode="#0">
                  <c:v>22</c:v>
                </c:pt>
                <c:pt idx="1299">
                  <c:v>24</c:v>
                </c:pt>
                <c:pt idx="1300" formatCode="#0">
                  <c:v>26</c:v>
                </c:pt>
                <c:pt idx="1301" formatCode="#0">
                  <c:v>29</c:v>
                </c:pt>
                <c:pt idx="1302" formatCode="#0">
                  <c:v>30</c:v>
                </c:pt>
                <c:pt idx="1303" formatCode="#0">
                  <c:v>27</c:v>
                </c:pt>
                <c:pt idx="1304">
                  <c:v>24</c:v>
                </c:pt>
                <c:pt idx="1305" formatCode="#0">
                  <c:v>26</c:v>
                </c:pt>
                <c:pt idx="1306" formatCode="#0">
                  <c:v>24</c:v>
                </c:pt>
                <c:pt idx="1307">
                  <c:v>13</c:v>
                </c:pt>
                <c:pt idx="1308" formatCode="#0">
                  <c:v>28</c:v>
                </c:pt>
                <c:pt idx="1309" formatCode="#0">
                  <c:v>25</c:v>
                </c:pt>
                <c:pt idx="1310" formatCode="#0">
                  <c:v>24</c:v>
                </c:pt>
                <c:pt idx="1311" formatCode="#0">
                  <c:v>28</c:v>
                </c:pt>
                <c:pt idx="1312" formatCode="#0">
                  <c:v>26</c:v>
                </c:pt>
                <c:pt idx="1313" formatCode="#0">
                  <c:v>28</c:v>
                </c:pt>
                <c:pt idx="1314" formatCode="#0">
                  <c:v>27</c:v>
                </c:pt>
                <c:pt idx="1315">
                  <c:v>10</c:v>
                </c:pt>
                <c:pt idx="1316" formatCode="#0">
                  <c:v>24</c:v>
                </c:pt>
                <c:pt idx="1317" formatCode="#0">
                  <c:v>26</c:v>
                </c:pt>
                <c:pt idx="1318" formatCode="#0">
                  <c:v>32</c:v>
                </c:pt>
                <c:pt idx="1319" formatCode="#0">
                  <c:v>27</c:v>
                </c:pt>
                <c:pt idx="1320" formatCode="#0">
                  <c:v>28</c:v>
                </c:pt>
                <c:pt idx="1321" formatCode="#0">
                  <c:v>29</c:v>
                </c:pt>
                <c:pt idx="1322" formatCode="#0">
                  <c:v>29</c:v>
                </c:pt>
                <c:pt idx="1323">
                  <c:v>15</c:v>
                </c:pt>
                <c:pt idx="1324" formatCode="#0">
                  <c:v>27</c:v>
                </c:pt>
                <c:pt idx="1325" formatCode="#0">
                  <c:v>26</c:v>
                </c:pt>
                <c:pt idx="1326" formatCode="#0">
                  <c:v>27</c:v>
                </c:pt>
                <c:pt idx="1327" formatCode="#0">
                  <c:v>32</c:v>
                </c:pt>
                <c:pt idx="1328" formatCode="#0">
                  <c:v>32</c:v>
                </c:pt>
                <c:pt idx="1329" formatCode="#0">
                  <c:v>30</c:v>
                </c:pt>
                <c:pt idx="1330" formatCode="#0">
                  <c:v>31</c:v>
                </c:pt>
                <c:pt idx="1331" formatCode="#0">
                  <c:v>29</c:v>
                </c:pt>
                <c:pt idx="1332" formatCode="#0">
                  <c:v>32</c:v>
                </c:pt>
                <c:pt idx="1333" formatCode="#0">
                  <c:v>30</c:v>
                </c:pt>
                <c:pt idx="1334" formatCode="#0">
                  <c:v>28</c:v>
                </c:pt>
                <c:pt idx="1335" formatCode="#0">
                  <c:v>30</c:v>
                </c:pt>
                <c:pt idx="1336" formatCode="#0">
                  <c:v>29</c:v>
                </c:pt>
                <c:pt idx="1337" formatCode="#0">
                  <c:v>30</c:v>
                </c:pt>
                <c:pt idx="1338" formatCode="#0">
                  <c:v>28</c:v>
                </c:pt>
                <c:pt idx="1339" formatCode="#0">
                  <c:v>29</c:v>
                </c:pt>
                <c:pt idx="1340">
                  <c:v>30</c:v>
                </c:pt>
                <c:pt idx="1341" formatCode="#0">
                  <c:v>27</c:v>
                </c:pt>
                <c:pt idx="1342" formatCode="#0">
                  <c:v>25</c:v>
                </c:pt>
                <c:pt idx="1343" formatCode="#0">
                  <c:v>26</c:v>
                </c:pt>
                <c:pt idx="1344">
                  <c:v>26</c:v>
                </c:pt>
                <c:pt idx="1345" formatCode="#0">
                  <c:v>28</c:v>
                </c:pt>
                <c:pt idx="1346" formatCode="#0">
                  <c:v>29</c:v>
                </c:pt>
                <c:pt idx="1347" formatCode="#0">
                  <c:v>27</c:v>
                </c:pt>
                <c:pt idx="1348" formatCode="#0">
                  <c:v>28</c:v>
                </c:pt>
                <c:pt idx="1349">
                  <c:v>27</c:v>
                </c:pt>
                <c:pt idx="1350" formatCode="#0">
                  <c:v>26</c:v>
                </c:pt>
                <c:pt idx="1351" formatCode="#0">
                  <c:v>28</c:v>
                </c:pt>
                <c:pt idx="1352" formatCode="#0">
                  <c:v>29</c:v>
                </c:pt>
                <c:pt idx="1353">
                  <c:v>26</c:v>
                </c:pt>
                <c:pt idx="1354" formatCode="#0">
                  <c:v>27</c:v>
                </c:pt>
                <c:pt idx="1355" formatCode="#0">
                  <c:v>27</c:v>
                </c:pt>
                <c:pt idx="1356" formatCode="#0">
                  <c:v>21</c:v>
                </c:pt>
                <c:pt idx="1357" formatCode="#0">
                  <c:v>26</c:v>
                </c:pt>
                <c:pt idx="1358">
                  <c:v>21</c:v>
                </c:pt>
                <c:pt idx="1359" formatCode="#0">
                  <c:v>19</c:v>
                </c:pt>
                <c:pt idx="1360" formatCode="#0">
                  <c:v>23</c:v>
                </c:pt>
                <c:pt idx="1361" formatCode="#0">
                  <c:v>25</c:v>
                </c:pt>
                <c:pt idx="1362">
                  <c:v>24</c:v>
                </c:pt>
                <c:pt idx="1363" formatCode="#0">
                  <c:v>19</c:v>
                </c:pt>
                <c:pt idx="1364" formatCode="#0">
                  <c:v>26</c:v>
                </c:pt>
                <c:pt idx="1365" formatCode="#0">
                  <c:v>25</c:v>
                </c:pt>
                <c:pt idx="1366" formatCode="#0">
                  <c:v>22</c:v>
                </c:pt>
                <c:pt idx="1367">
                  <c:v>23</c:v>
                </c:pt>
                <c:pt idx="1368" formatCode="#0">
                  <c:v>23</c:v>
                </c:pt>
                <c:pt idx="1369" formatCode="#0">
                  <c:v>25</c:v>
                </c:pt>
                <c:pt idx="1370" formatCode="#0">
                  <c:v>27</c:v>
                </c:pt>
                <c:pt idx="1371">
                  <c:v>25</c:v>
                </c:pt>
                <c:pt idx="1372" formatCode="#0">
                  <c:v>24</c:v>
                </c:pt>
                <c:pt idx="1373" formatCode="#0">
                  <c:v>26</c:v>
                </c:pt>
                <c:pt idx="1374" formatCode="#0">
                  <c:v>21</c:v>
                </c:pt>
                <c:pt idx="1375" formatCode="#0">
                  <c:v>23</c:v>
                </c:pt>
                <c:pt idx="1376">
                  <c:v>23</c:v>
                </c:pt>
                <c:pt idx="1377" formatCode="#0">
                  <c:v>21</c:v>
                </c:pt>
                <c:pt idx="1378" formatCode="#0">
                  <c:v>30</c:v>
                </c:pt>
                <c:pt idx="1379" formatCode="#0">
                  <c:v>23</c:v>
                </c:pt>
                <c:pt idx="1380">
                  <c:v>19</c:v>
                </c:pt>
                <c:pt idx="1381" formatCode="#0">
                  <c:v>24</c:v>
                </c:pt>
                <c:pt idx="1382" formatCode="#0">
                  <c:v>25</c:v>
                </c:pt>
                <c:pt idx="1383" formatCode="#0">
                  <c:v>19</c:v>
                </c:pt>
                <c:pt idx="1384" formatCode="#0">
                  <c:v>22</c:v>
                </c:pt>
                <c:pt idx="1385">
                  <c:v>19</c:v>
                </c:pt>
                <c:pt idx="1386" formatCode="#0">
                  <c:v>23</c:v>
                </c:pt>
                <c:pt idx="1387" formatCode="#0">
                  <c:v>22</c:v>
                </c:pt>
                <c:pt idx="1388" formatCode="#0">
                  <c:v>19</c:v>
                </c:pt>
                <c:pt idx="1389" formatCode="#0">
                  <c:v>20</c:v>
                </c:pt>
                <c:pt idx="1390" formatCode="#0">
                  <c:v>17</c:v>
                </c:pt>
                <c:pt idx="1391" formatCode="#0">
                  <c:v>24</c:v>
                </c:pt>
                <c:pt idx="1392">
                  <c:v>20</c:v>
                </c:pt>
                <c:pt idx="1393" formatCode="#0">
                  <c:v>18</c:v>
                </c:pt>
                <c:pt idx="1394" formatCode="#0">
                  <c:v>22</c:v>
                </c:pt>
                <c:pt idx="1395" formatCode="#0">
                  <c:v>21</c:v>
                </c:pt>
                <c:pt idx="1396">
                  <c:v>24</c:v>
                </c:pt>
                <c:pt idx="1397" formatCode="#0">
                  <c:v>21</c:v>
                </c:pt>
                <c:pt idx="1398" formatCode="#0">
                  <c:v>25</c:v>
                </c:pt>
                <c:pt idx="1399" formatCode="#0">
                  <c:v>25</c:v>
                </c:pt>
                <c:pt idx="1400">
                  <c:v>24</c:v>
                </c:pt>
                <c:pt idx="1401" formatCode="#0">
                  <c:v>23</c:v>
                </c:pt>
                <c:pt idx="1402" formatCode="#0">
                  <c:v>29</c:v>
                </c:pt>
                <c:pt idx="1403" formatCode="#0">
                  <c:v>25</c:v>
                </c:pt>
                <c:pt idx="1404">
                  <c:v>24</c:v>
                </c:pt>
                <c:pt idx="1405" formatCode="#0">
                  <c:v>29</c:v>
                </c:pt>
                <c:pt idx="1406" formatCode="#0">
                  <c:v>28</c:v>
                </c:pt>
                <c:pt idx="1407" formatCode="#0">
                  <c:v>24</c:v>
                </c:pt>
                <c:pt idx="1408" formatCode="#0">
                  <c:v>26</c:v>
                </c:pt>
                <c:pt idx="1409">
                  <c:v>26</c:v>
                </c:pt>
                <c:pt idx="1410" formatCode="#0">
                  <c:v>24</c:v>
                </c:pt>
                <c:pt idx="1411" formatCode="#0">
                  <c:v>29</c:v>
                </c:pt>
                <c:pt idx="1412" formatCode="#0">
                  <c:v>28</c:v>
                </c:pt>
                <c:pt idx="1413" formatCode="#0">
                  <c:v>25</c:v>
                </c:pt>
                <c:pt idx="1414" formatCode="#0">
                  <c:v>26</c:v>
                </c:pt>
                <c:pt idx="1415" formatCode="#0">
                  <c:v>22</c:v>
                </c:pt>
                <c:pt idx="1416" formatCode="#0">
                  <c:v>28</c:v>
                </c:pt>
                <c:pt idx="1417" formatCode="#0">
                  <c:v>25</c:v>
                </c:pt>
                <c:pt idx="1418" formatCode="#0">
                  <c:v>25</c:v>
                </c:pt>
                <c:pt idx="1419" formatCode="#0">
                  <c:v>25</c:v>
                </c:pt>
                <c:pt idx="1420" formatCode="#0">
                  <c:v>25</c:v>
                </c:pt>
                <c:pt idx="1421" formatCode="#0">
                  <c:v>25</c:v>
                </c:pt>
                <c:pt idx="1422" formatCode="#0">
                  <c:v>21</c:v>
                </c:pt>
                <c:pt idx="1423">
                  <c:v>21</c:v>
                </c:pt>
                <c:pt idx="1424" formatCode="#0">
                  <c:v>19</c:v>
                </c:pt>
                <c:pt idx="1425" formatCode="#0">
                  <c:v>19</c:v>
                </c:pt>
                <c:pt idx="1426">
                  <c:v>15</c:v>
                </c:pt>
                <c:pt idx="1427">
                  <c:v>21</c:v>
                </c:pt>
                <c:pt idx="1428">
                  <c:v>26</c:v>
                </c:pt>
                <c:pt idx="1429">
                  <c:v>22</c:v>
                </c:pt>
                <c:pt idx="1430">
                  <c:v>25</c:v>
                </c:pt>
                <c:pt idx="1431">
                  <c:v>23</c:v>
                </c:pt>
                <c:pt idx="1432">
                  <c:v>24</c:v>
                </c:pt>
                <c:pt idx="1433">
                  <c:v>27</c:v>
                </c:pt>
                <c:pt idx="1434">
                  <c:v>27</c:v>
                </c:pt>
                <c:pt idx="1435">
                  <c:v>25</c:v>
                </c:pt>
                <c:pt idx="1436">
                  <c:v>25</c:v>
                </c:pt>
                <c:pt idx="1437">
                  <c:v>25</c:v>
                </c:pt>
                <c:pt idx="1438">
                  <c:v>27</c:v>
                </c:pt>
                <c:pt idx="1439">
                  <c:v>25</c:v>
                </c:pt>
                <c:pt idx="1440">
                  <c:v>25</c:v>
                </c:pt>
                <c:pt idx="1441">
                  <c:v>20</c:v>
                </c:pt>
                <c:pt idx="1442">
                  <c:v>28</c:v>
                </c:pt>
                <c:pt idx="1443">
                  <c:v>24</c:v>
                </c:pt>
                <c:pt idx="1444">
                  <c:v>23</c:v>
                </c:pt>
                <c:pt idx="1445">
                  <c:v>27</c:v>
                </c:pt>
                <c:pt idx="1446">
                  <c:v>25</c:v>
                </c:pt>
                <c:pt idx="1447">
                  <c:v>23</c:v>
                </c:pt>
                <c:pt idx="1448">
                  <c:v>29</c:v>
                </c:pt>
                <c:pt idx="1449">
                  <c:v>24</c:v>
                </c:pt>
                <c:pt idx="1450">
                  <c:v>22</c:v>
                </c:pt>
                <c:pt idx="1451">
                  <c:v>27</c:v>
                </c:pt>
                <c:pt idx="1452">
                  <c:v>24</c:v>
                </c:pt>
                <c:pt idx="1453">
                  <c:v>22</c:v>
                </c:pt>
                <c:pt idx="1454">
                  <c:v>22</c:v>
                </c:pt>
                <c:pt idx="1455">
                  <c:v>28</c:v>
                </c:pt>
                <c:pt idx="1456">
                  <c:v>23</c:v>
                </c:pt>
                <c:pt idx="1457">
                  <c:v>20</c:v>
                </c:pt>
                <c:pt idx="1458">
                  <c:v>24</c:v>
                </c:pt>
                <c:pt idx="1459">
                  <c:v>27</c:v>
                </c:pt>
                <c:pt idx="1460">
                  <c:v>23</c:v>
                </c:pt>
                <c:pt idx="1461">
                  <c:v>27</c:v>
                </c:pt>
                <c:pt idx="1462">
                  <c:v>22</c:v>
                </c:pt>
                <c:pt idx="1463">
                  <c:v>24</c:v>
                </c:pt>
                <c:pt idx="1464">
                  <c:v>23</c:v>
                </c:pt>
                <c:pt idx="1465">
                  <c:v>24</c:v>
                </c:pt>
                <c:pt idx="1466">
                  <c:v>23</c:v>
                </c:pt>
                <c:pt idx="1467">
                  <c:v>22</c:v>
                </c:pt>
                <c:pt idx="1468">
                  <c:v>24</c:v>
                </c:pt>
                <c:pt idx="1469">
                  <c:v>25</c:v>
                </c:pt>
                <c:pt idx="1470">
                  <c:v>23</c:v>
                </c:pt>
                <c:pt idx="1471">
                  <c:v>26</c:v>
                </c:pt>
                <c:pt idx="1472">
                  <c:v>18</c:v>
                </c:pt>
                <c:pt idx="1473">
                  <c:v>22</c:v>
                </c:pt>
                <c:pt idx="1474">
                  <c:v>22</c:v>
                </c:pt>
                <c:pt idx="1475">
                  <c:v>23</c:v>
                </c:pt>
                <c:pt idx="1476">
                  <c:v>27</c:v>
                </c:pt>
                <c:pt idx="1477">
                  <c:v>27</c:v>
                </c:pt>
                <c:pt idx="1478">
                  <c:v>19</c:v>
                </c:pt>
                <c:pt idx="1479">
                  <c:v>19</c:v>
                </c:pt>
                <c:pt idx="1480">
                  <c:v>23</c:v>
                </c:pt>
                <c:pt idx="1481">
                  <c:v>25</c:v>
                </c:pt>
                <c:pt idx="1482">
                  <c:v>20</c:v>
                </c:pt>
                <c:pt idx="1483">
                  <c:v>22</c:v>
                </c:pt>
                <c:pt idx="1484">
                  <c:v>20</c:v>
                </c:pt>
                <c:pt idx="1485">
                  <c:v>26</c:v>
                </c:pt>
                <c:pt idx="1486">
                  <c:v>21</c:v>
                </c:pt>
                <c:pt idx="1487">
                  <c:v>19</c:v>
                </c:pt>
                <c:pt idx="1488">
                  <c:v>24</c:v>
                </c:pt>
                <c:pt idx="1489">
                  <c:v>25</c:v>
                </c:pt>
                <c:pt idx="1490">
                  <c:v>23</c:v>
                </c:pt>
                <c:pt idx="1491">
                  <c:v>28</c:v>
                </c:pt>
                <c:pt idx="1492">
                  <c:v>22</c:v>
                </c:pt>
                <c:pt idx="1493">
                  <c:v>25</c:v>
                </c:pt>
                <c:pt idx="1494">
                  <c:v>22</c:v>
                </c:pt>
                <c:pt idx="1495">
                  <c:v>23</c:v>
                </c:pt>
                <c:pt idx="1496">
                  <c:v>18</c:v>
                </c:pt>
                <c:pt idx="1497">
                  <c:v>21</c:v>
                </c:pt>
                <c:pt idx="1498">
                  <c:v>23</c:v>
                </c:pt>
                <c:pt idx="1499">
                  <c:v>23</c:v>
                </c:pt>
                <c:pt idx="1500">
                  <c:v>23</c:v>
                </c:pt>
                <c:pt idx="1501">
                  <c:v>18</c:v>
                </c:pt>
                <c:pt idx="1502">
                  <c:v>23</c:v>
                </c:pt>
                <c:pt idx="1503">
                  <c:v>24</c:v>
                </c:pt>
                <c:pt idx="1504">
                  <c:v>18</c:v>
                </c:pt>
                <c:pt idx="1505">
                  <c:v>13</c:v>
                </c:pt>
                <c:pt idx="1506">
                  <c:v>22</c:v>
                </c:pt>
                <c:pt idx="1507">
                  <c:v>22</c:v>
                </c:pt>
                <c:pt idx="1508">
                  <c:v>25</c:v>
                </c:pt>
                <c:pt idx="1509">
                  <c:v>23</c:v>
                </c:pt>
                <c:pt idx="1510">
                  <c:v>21</c:v>
                </c:pt>
                <c:pt idx="1511">
                  <c:v>22</c:v>
                </c:pt>
                <c:pt idx="1512">
                  <c:v>21</c:v>
                </c:pt>
                <c:pt idx="1513">
                  <c:v>24</c:v>
                </c:pt>
                <c:pt idx="1514">
                  <c:v>22</c:v>
                </c:pt>
                <c:pt idx="1515">
                  <c:v>26</c:v>
                </c:pt>
                <c:pt idx="1516">
                  <c:v>22</c:v>
                </c:pt>
                <c:pt idx="1517">
                  <c:v>21</c:v>
                </c:pt>
                <c:pt idx="1518">
                  <c:v>23</c:v>
                </c:pt>
                <c:pt idx="1519">
                  <c:v>20</c:v>
                </c:pt>
                <c:pt idx="1520">
                  <c:v>21</c:v>
                </c:pt>
                <c:pt idx="1521">
                  <c:v>18</c:v>
                </c:pt>
                <c:pt idx="1522">
                  <c:v>18</c:v>
                </c:pt>
                <c:pt idx="1523">
                  <c:v>20</c:v>
                </c:pt>
                <c:pt idx="1524">
                  <c:v>24</c:v>
                </c:pt>
                <c:pt idx="1525">
                  <c:v>24</c:v>
                </c:pt>
                <c:pt idx="1526">
                  <c:v>20</c:v>
                </c:pt>
                <c:pt idx="1527">
                  <c:v>21</c:v>
                </c:pt>
                <c:pt idx="1528">
                  <c:v>20</c:v>
                </c:pt>
                <c:pt idx="1529">
                  <c:v>17</c:v>
                </c:pt>
                <c:pt idx="1530">
                  <c:v>24</c:v>
                </c:pt>
                <c:pt idx="1531">
                  <c:v>22</c:v>
                </c:pt>
                <c:pt idx="1532">
                  <c:v>19</c:v>
                </c:pt>
                <c:pt idx="1533">
                  <c:v>20</c:v>
                </c:pt>
                <c:pt idx="1534">
                  <c:v>24</c:v>
                </c:pt>
                <c:pt idx="1535">
                  <c:v>28</c:v>
                </c:pt>
                <c:pt idx="1536">
                  <c:v>27</c:v>
                </c:pt>
                <c:pt idx="1537">
                  <c:v>27</c:v>
                </c:pt>
                <c:pt idx="1538">
                  <c:v>26</c:v>
                </c:pt>
                <c:pt idx="1539">
                  <c:v>26</c:v>
                </c:pt>
                <c:pt idx="1540">
                  <c:v>29</c:v>
                </c:pt>
                <c:pt idx="1541">
                  <c:v>23</c:v>
                </c:pt>
                <c:pt idx="1542">
                  <c:v>24</c:v>
                </c:pt>
                <c:pt idx="1543">
                  <c:v>25</c:v>
                </c:pt>
                <c:pt idx="1544">
                  <c:v>29</c:v>
                </c:pt>
                <c:pt idx="1545">
                  <c:v>21</c:v>
                </c:pt>
                <c:pt idx="1546">
                  <c:v>29</c:v>
                </c:pt>
                <c:pt idx="1547">
                  <c:v>27</c:v>
                </c:pt>
                <c:pt idx="1548">
                  <c:v>25</c:v>
                </c:pt>
                <c:pt idx="1549">
                  <c:v>28</c:v>
                </c:pt>
                <c:pt idx="1550">
                  <c:v>27</c:v>
                </c:pt>
                <c:pt idx="1551">
                  <c:v>27</c:v>
                </c:pt>
                <c:pt idx="1552">
                  <c:v>28</c:v>
                </c:pt>
                <c:pt idx="1553">
                  <c:v>31</c:v>
                </c:pt>
                <c:pt idx="1554">
                  <c:v>28</c:v>
                </c:pt>
                <c:pt idx="1555">
                  <c:v>27</c:v>
                </c:pt>
                <c:pt idx="1556">
                  <c:v>24</c:v>
                </c:pt>
                <c:pt idx="1557">
                  <c:v>20</c:v>
                </c:pt>
                <c:pt idx="1558">
                  <c:v>25</c:v>
                </c:pt>
                <c:pt idx="1559">
                  <c:v>22</c:v>
                </c:pt>
                <c:pt idx="1560">
                  <c:v>27</c:v>
                </c:pt>
                <c:pt idx="1561">
                  <c:v>24</c:v>
                </c:pt>
                <c:pt idx="1562">
                  <c:v>24</c:v>
                </c:pt>
                <c:pt idx="1563">
                  <c:v>22</c:v>
                </c:pt>
                <c:pt idx="1564">
                  <c:v>23</c:v>
                </c:pt>
                <c:pt idx="1565">
                  <c:v>26</c:v>
                </c:pt>
                <c:pt idx="1566">
                  <c:v>27</c:v>
                </c:pt>
                <c:pt idx="1567">
                  <c:v>27</c:v>
                </c:pt>
                <c:pt idx="1568">
                  <c:v>27</c:v>
                </c:pt>
                <c:pt idx="1569">
                  <c:v>20</c:v>
                </c:pt>
                <c:pt idx="1570">
                  <c:v>24</c:v>
                </c:pt>
                <c:pt idx="1571">
                  <c:v>19</c:v>
                </c:pt>
                <c:pt idx="1572">
                  <c:v>24</c:v>
                </c:pt>
                <c:pt idx="1573">
                  <c:v>26</c:v>
                </c:pt>
                <c:pt idx="1574">
                  <c:v>28</c:v>
                </c:pt>
                <c:pt idx="1575">
                  <c:v>23</c:v>
                </c:pt>
                <c:pt idx="1576">
                  <c:v>26</c:v>
                </c:pt>
                <c:pt idx="1577">
                  <c:v>27</c:v>
                </c:pt>
                <c:pt idx="1578">
                  <c:v>18</c:v>
                </c:pt>
                <c:pt idx="1579">
                  <c:v>18</c:v>
                </c:pt>
                <c:pt idx="1580">
                  <c:v>17</c:v>
                </c:pt>
                <c:pt idx="1581">
                  <c:v>18</c:v>
                </c:pt>
                <c:pt idx="1582">
                  <c:v>20</c:v>
                </c:pt>
                <c:pt idx="1583">
                  <c:v>21</c:v>
                </c:pt>
                <c:pt idx="1584">
                  <c:v>22</c:v>
                </c:pt>
                <c:pt idx="1585">
                  <c:v>19</c:v>
                </c:pt>
                <c:pt idx="1586">
                  <c:v>20</c:v>
                </c:pt>
                <c:pt idx="1587">
                  <c:v>18</c:v>
                </c:pt>
                <c:pt idx="1588">
                  <c:v>22</c:v>
                </c:pt>
                <c:pt idx="1589">
                  <c:v>20</c:v>
                </c:pt>
                <c:pt idx="1590">
                  <c:v>16</c:v>
                </c:pt>
                <c:pt idx="1591">
                  <c:v>23</c:v>
                </c:pt>
                <c:pt idx="1592">
                  <c:v>22</c:v>
                </c:pt>
                <c:pt idx="1593">
                  <c:v>20</c:v>
                </c:pt>
                <c:pt idx="1594">
                  <c:v>23</c:v>
                </c:pt>
                <c:pt idx="1595">
                  <c:v>19</c:v>
                </c:pt>
                <c:pt idx="1596">
                  <c:v>21</c:v>
                </c:pt>
                <c:pt idx="1597">
                  <c:v>23</c:v>
                </c:pt>
                <c:pt idx="1598">
                  <c:v>16</c:v>
                </c:pt>
                <c:pt idx="1599">
                  <c:v>25</c:v>
                </c:pt>
                <c:pt idx="1600">
                  <c:v>20</c:v>
                </c:pt>
                <c:pt idx="1601">
                  <c:v>22</c:v>
                </c:pt>
                <c:pt idx="1602">
                  <c:v>22</c:v>
                </c:pt>
                <c:pt idx="1603">
                  <c:v>21</c:v>
                </c:pt>
                <c:pt idx="1604">
                  <c:v>23</c:v>
                </c:pt>
                <c:pt idx="1605">
                  <c:v>20</c:v>
                </c:pt>
                <c:pt idx="1606">
                  <c:v>22</c:v>
                </c:pt>
                <c:pt idx="1607">
                  <c:v>20</c:v>
                </c:pt>
                <c:pt idx="1608">
                  <c:v>16</c:v>
                </c:pt>
                <c:pt idx="1609">
                  <c:v>20</c:v>
                </c:pt>
                <c:pt idx="1610">
                  <c:v>21</c:v>
                </c:pt>
                <c:pt idx="1611">
                  <c:v>19</c:v>
                </c:pt>
                <c:pt idx="1612">
                  <c:v>21</c:v>
                </c:pt>
                <c:pt idx="1613">
                  <c:v>20</c:v>
                </c:pt>
                <c:pt idx="1614">
                  <c:v>21</c:v>
                </c:pt>
                <c:pt idx="1615">
                  <c:v>23</c:v>
                </c:pt>
                <c:pt idx="1616">
                  <c:v>16</c:v>
                </c:pt>
                <c:pt idx="1617">
                  <c:v>25</c:v>
                </c:pt>
                <c:pt idx="1618">
                  <c:v>23</c:v>
                </c:pt>
                <c:pt idx="1619">
                  <c:v>23</c:v>
                </c:pt>
                <c:pt idx="1620">
                  <c:v>24</c:v>
                </c:pt>
                <c:pt idx="1621">
                  <c:v>23</c:v>
                </c:pt>
                <c:pt idx="1622">
                  <c:v>21</c:v>
                </c:pt>
                <c:pt idx="1623">
                  <c:v>14</c:v>
                </c:pt>
                <c:pt idx="1624">
                  <c:v>22</c:v>
                </c:pt>
                <c:pt idx="1625">
                  <c:v>19</c:v>
                </c:pt>
                <c:pt idx="1626">
                  <c:v>22</c:v>
                </c:pt>
                <c:pt idx="1627">
                  <c:v>21</c:v>
                </c:pt>
                <c:pt idx="1628">
                  <c:v>21</c:v>
                </c:pt>
                <c:pt idx="1629">
                  <c:v>21</c:v>
                </c:pt>
                <c:pt idx="1630">
                  <c:v>19</c:v>
                </c:pt>
                <c:pt idx="1631">
                  <c:v>21</c:v>
                </c:pt>
                <c:pt idx="1632">
                  <c:v>17</c:v>
                </c:pt>
                <c:pt idx="1633">
                  <c:v>18</c:v>
                </c:pt>
                <c:pt idx="1634">
                  <c:v>20</c:v>
                </c:pt>
                <c:pt idx="1635">
                  <c:v>22</c:v>
                </c:pt>
                <c:pt idx="1636">
                  <c:v>21</c:v>
                </c:pt>
                <c:pt idx="1637">
                  <c:v>19</c:v>
                </c:pt>
                <c:pt idx="1638">
                  <c:v>20</c:v>
                </c:pt>
                <c:pt idx="1639">
                  <c:v>17</c:v>
                </c:pt>
                <c:pt idx="1640">
                  <c:v>21</c:v>
                </c:pt>
                <c:pt idx="1641">
                  <c:v>19</c:v>
                </c:pt>
                <c:pt idx="1642">
                  <c:v>18</c:v>
                </c:pt>
                <c:pt idx="1643">
                  <c:v>24</c:v>
                </c:pt>
                <c:pt idx="1644">
                  <c:v>15</c:v>
                </c:pt>
                <c:pt idx="1645">
                  <c:v>21</c:v>
                </c:pt>
                <c:pt idx="1646">
                  <c:v>22</c:v>
                </c:pt>
              </c:numCache>
            </c:numRef>
          </c:val>
          <c:smooth val="0"/>
          <c:extLst xmlns:c16r2="http://schemas.microsoft.com/office/drawing/2015/06/chart">
            <c:ext xmlns:c16="http://schemas.microsoft.com/office/drawing/2014/chart" uri="{C3380CC4-5D6E-409C-BE32-E72D297353CC}">
              <c16:uniqueId val="{00000000-C130-45D1-8A26-45253418348D}"/>
            </c:ext>
          </c:extLst>
        </c:ser>
        <c:dLbls>
          <c:showLegendKey val="0"/>
          <c:showVal val="0"/>
          <c:showCatName val="0"/>
          <c:showSerName val="0"/>
          <c:showPercent val="0"/>
          <c:showBubbleSize val="0"/>
        </c:dLbls>
        <c:marker val="1"/>
        <c:smooth val="0"/>
        <c:axId val="100726656"/>
        <c:axId val="100798464"/>
      </c:lineChart>
      <c:dateAx>
        <c:axId val="100726656"/>
        <c:scaling>
          <c:orientation val="minMax"/>
          <c:max val="44013"/>
          <c:min val="41275"/>
        </c:scaling>
        <c:delete val="0"/>
        <c:axPos val="b"/>
        <c:majorGridlines>
          <c:spPr>
            <a:ln w="19050">
              <a:solidFill>
                <a:schemeClr val="tx1"/>
              </a:solidFill>
            </a:ln>
          </c:spPr>
        </c:majorGridlines>
        <c:minorGridlines>
          <c:spPr>
            <a:ln w="6350">
              <a:solidFill>
                <a:schemeClr val="bg1">
                  <a:lumMod val="50000"/>
                  <a:alpha val="50000"/>
                </a:schemeClr>
              </a:solidFill>
              <a:prstDash val="dash"/>
            </a:ln>
          </c:spPr>
        </c:minorGridlines>
        <c:numFmt formatCode="dd/mm/yy;@" sourceLinked="0"/>
        <c:majorTickMark val="out"/>
        <c:minorTickMark val="cross"/>
        <c:tickLblPos val="nextTo"/>
        <c:spPr>
          <a:ln>
            <a:solidFill>
              <a:schemeClr val="bg1">
                <a:lumMod val="65000"/>
                <a:alpha val="50000"/>
              </a:schemeClr>
            </a:solidFill>
          </a:ln>
        </c:spPr>
        <c:txPr>
          <a:bodyPr rot="-5400000" vert="horz"/>
          <a:lstStyle/>
          <a:p>
            <a:pPr>
              <a:defRPr sz="700" b="0" i="0" u="none" strike="noStrike" baseline="0">
                <a:solidFill>
                  <a:srgbClr val="000000"/>
                </a:solidFill>
                <a:latin typeface="Calibri"/>
                <a:ea typeface="Calibri"/>
                <a:cs typeface="Calibri"/>
              </a:defRPr>
            </a:pPr>
            <a:endParaRPr lang="en-US"/>
          </a:p>
        </c:txPr>
        <c:crossAx val="100798464"/>
        <c:crosses val="autoZero"/>
        <c:auto val="1"/>
        <c:lblOffset val="100"/>
        <c:baseTimeUnit val="days"/>
        <c:majorUnit val="1"/>
        <c:majorTimeUnit val="years"/>
        <c:minorUnit val="1"/>
        <c:minorTimeUnit val="months"/>
      </c:dateAx>
      <c:valAx>
        <c:axId val="100798464"/>
        <c:scaling>
          <c:orientation val="minMax"/>
          <c:max val="35"/>
          <c:min val="0"/>
        </c:scaling>
        <c:delete val="0"/>
        <c:axPos val="l"/>
        <c:majorGridlines>
          <c:spPr>
            <a:ln>
              <a:solidFill>
                <a:schemeClr val="bg1">
                  <a:lumMod val="65000"/>
                  <a:alpha val="50000"/>
                </a:schemeClr>
              </a:solidFill>
            </a:ln>
          </c:spPr>
        </c:majorGridlines>
        <c:title>
          <c:tx>
            <c:rich>
              <a:bodyPr/>
              <a:lstStyle/>
              <a:p>
                <a:pPr>
                  <a:defRPr sz="700" b="1" i="0" u="none" strike="noStrike" baseline="0">
                    <a:solidFill>
                      <a:srgbClr val="008000"/>
                    </a:solidFill>
                    <a:latin typeface="Calibri"/>
                    <a:ea typeface="Calibri"/>
                    <a:cs typeface="Calibri"/>
                  </a:defRPr>
                </a:pPr>
                <a:r>
                  <a:rPr lang="en-GB" sz="700" baseline="0">
                    <a:solidFill>
                      <a:schemeClr val="tx2"/>
                    </a:solidFill>
                  </a:rPr>
                  <a:t>Num</a:t>
                </a:r>
                <a:r>
                  <a:rPr lang="mt-MT" sz="700" baseline="0">
                    <a:solidFill>
                      <a:schemeClr val="tx2"/>
                    </a:solidFill>
                  </a:rPr>
                  <a:t>fu ta' offerenti</a:t>
                </a:r>
                <a:endParaRPr lang="en-GB" sz="700" baseline="0">
                  <a:solidFill>
                    <a:schemeClr val="tx2"/>
                  </a:solidFill>
                </a:endParaRPr>
              </a:p>
            </c:rich>
          </c:tx>
          <c:layout>
            <c:manualLayout>
              <c:xMode val="edge"/>
              <c:yMode val="edge"/>
              <c:x val="4.0062662324277529E-3"/>
              <c:y val="0.32285630380118568"/>
            </c:manualLayout>
          </c:layout>
          <c:overlay val="0"/>
        </c:title>
        <c:numFmt formatCode="#,##0.00" sourceLinked="0"/>
        <c:majorTickMark val="out"/>
        <c:minorTickMark val="none"/>
        <c:tickLblPos val="nextTo"/>
        <c:txPr>
          <a:bodyPr rot="0" vert="horz"/>
          <a:lstStyle/>
          <a:p>
            <a:pPr>
              <a:defRPr sz="700" b="0" i="0" u="none" strike="noStrike" baseline="0">
                <a:solidFill>
                  <a:srgbClr val="000000"/>
                </a:solidFill>
                <a:latin typeface="Calibri"/>
                <a:ea typeface="Calibri"/>
                <a:cs typeface="Calibri"/>
              </a:defRPr>
            </a:pPr>
            <a:endParaRPr lang="en-US"/>
          </a:p>
        </c:txPr>
        <c:crossAx val="100726656"/>
        <c:crosses val="autoZero"/>
        <c:crossBetween val="midCat"/>
        <c:majorUnit val="5"/>
        <c:minorUnit val="0.5"/>
      </c:valAx>
      <c:spPr>
        <a:ln>
          <a:solidFill>
            <a:schemeClr val="tx1"/>
          </a:solidFill>
        </a:ln>
      </c:spPr>
    </c:plotArea>
    <c:legend>
      <c:legendPos val="r"/>
      <c:legendEntry>
        <c:idx val="0"/>
        <c:txPr>
          <a:bodyPr/>
          <a:lstStyle/>
          <a:p>
            <a:pPr>
              <a:defRPr sz="700" b="0" i="0" u="none" strike="noStrike" baseline="0">
                <a:solidFill>
                  <a:srgbClr val="000000"/>
                </a:solidFill>
                <a:latin typeface="Calibri"/>
                <a:ea typeface="Calibri"/>
                <a:cs typeface="Calibri"/>
              </a:defRPr>
            </a:pPr>
            <a:endParaRPr lang="en-US"/>
          </a:p>
        </c:txPr>
      </c:legendEntry>
      <c:layout>
        <c:manualLayout>
          <c:xMode val="edge"/>
          <c:yMode val="edge"/>
          <c:x val="0.38825612766990514"/>
          <c:y val="3.7037057430758219E-2"/>
          <c:w val="0.20683623971087384"/>
          <c:h val="0.13580272745627076"/>
        </c:manualLayout>
      </c:layout>
      <c:overlay val="0"/>
      <c:spPr>
        <a:solidFill>
          <a:schemeClr val="bg1"/>
        </a:solidFill>
        <a:ln>
          <a:solidFill>
            <a:schemeClr val="accent1"/>
          </a:solidFill>
        </a:ln>
      </c:spPr>
      <c:txPr>
        <a:bodyPr/>
        <a:lstStyle/>
        <a:p>
          <a:pPr>
            <a:defRPr sz="120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lumMod val="85000"/>
          </a:schemeClr>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5DBD9-5BB7-4BA5-9ADE-B7D345B9A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11</Pages>
  <Words>11809</Words>
  <Characters>77234</Characters>
  <Application>Microsoft Office Word</Application>
  <DocSecurity>0</DocSecurity>
  <Lines>3089</Lines>
  <Paragraphs>2070</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Manager/>
  <Company/>
  <LinksUpToDate>false</LinksUpToDate>
  <CharactersWithSpaces>86973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33</cp:revision>
  <cp:lastPrinted>2018-11-08T09:30:00Z</cp:lastPrinted>
  <dcterms:created xsi:type="dcterms:W3CDTF">2020-11-09T10:08:00Z</dcterms:created>
  <dcterms:modified xsi:type="dcterms:W3CDTF">2020-11-13T12:15:00Z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7.0, Build 20190717</vt:lpwstr>
  </property>
  <property fmtid="{D5CDD505-2E9C-101B-9397-08002B2CF9AE}" pid="7" name="_DocHome">
    <vt:i4>-1319363200</vt:i4>
  </property>
  <property fmtid="{D5CDD505-2E9C-101B-9397-08002B2CF9AE}" pid="8" name="Created using">
    <vt:lpwstr>LW 6.0.1, Build 20180503</vt:lpwstr>
  </property>
  <property fmtid="{D5CDD505-2E9C-101B-9397-08002B2CF9AE}" pid="9" name="CPTemplateID">
    <vt:lpwstr>CP-006</vt:lpwstr>
  </property>
  <property fmtid="{D5CDD505-2E9C-101B-9397-08002B2CF9AE}" pid="10" name="TitusGUID">
    <vt:lpwstr>5cf759e1-5ddc-4581-ad6d-8fdc99e4c60a</vt:lpwstr>
  </property>
  <property name="OP_sanitized" fmtid="{D5CDD505-2E9C-101B-9397-08002B2CF9AE}" pid="11">
    <vt:lpwstr>True</vt:lpwstr>
  </property>
</Properties>
</file>