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Pagedecouverture"/>
        <w:rPr>
          <w:noProof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44" type="#_x0000_t75" alt="47CB9802-B9DC-4814-BE5D-BA0CC92DDE22" style="width:450.75pt;height:351.75pt">
            <v:imagedata r:id="rId9" o:title=""/>
          </v:shape>
        </w:pict>
      </w:r>
    </w:p>
    <w:p>
      <w:pPr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7" w:h="16839"/>
          <w:pgMar w:top="1134" w:right="1417" w:bottom="1134" w:left="1417" w:header="709" w:footer="709" w:gutter="0"/>
          <w:pgNumType w:start="0"/>
          <w:cols w:space="720"/>
          <w:docGrid w:linePitch="360"/>
        </w:sectPr>
      </w:pPr>
    </w:p>
    <w:p>
      <w:pPr>
        <w:pStyle w:val="Exposdesmotifstitre"/>
        <w:rPr>
          <w:noProof/>
        </w:rPr>
      </w:pPr>
      <w:bookmarkStart w:id="0" w:name="_GoBack"/>
      <w:bookmarkEnd w:id="0"/>
      <w:r>
        <w:rPr>
          <w:noProof/>
        </w:rPr>
        <w:lastRenderedPageBreak/>
        <w:t>MEMORANDUM TA’ SPJEGAZZJONI</w:t>
      </w:r>
    </w:p>
    <w:p>
      <w:pPr>
        <w:rPr>
          <w:noProof/>
        </w:rPr>
      </w:pPr>
      <w:r>
        <w:rPr>
          <w:noProof/>
        </w:rPr>
        <w:t>Ir-Regolament tal-Kunsill (UE, EURATOM) Nru 1311/2013 tat-2 ta’ Diċembru 2013 li jistabbilixxi l-qafas finanzjarju pluriennali għas-snin 2014-2020</w:t>
      </w:r>
      <w:r>
        <w:rPr>
          <w:rStyle w:val="FootnoteReference"/>
          <w:noProof/>
        </w:rPr>
        <w:footnoteReference w:id="1"/>
      </w:r>
      <w:r>
        <w:rPr>
          <w:noProof/>
        </w:rPr>
        <w:t xml:space="preserve"> jippermetti l-mobilizzazzjoni tal-Istrument tal-Flessibilità sabiex ikun possibbli l-finanzjament ta’ nefqa identifikata b’mod ċar li ma setgħetx tiġi ffinanzjata fil-limiti massimi disponibbli għal intestatura waħda jew aktar tal-qafas finanzjarju pluriennali.</w:t>
      </w:r>
    </w:p>
    <w:p>
      <w:pPr>
        <w:rPr>
          <w:noProof/>
        </w:rPr>
      </w:pPr>
      <w:r>
        <w:rPr>
          <w:noProof/>
        </w:rPr>
        <w:t>F’konformità mal-Artikolu 11 tar-Regolament tal-Kunsill Nru 1311/2013 u l-punt 12 tal-Ftehim Interistituzzjonali tat-2 ta’ Diċembru 2013 bejn il-Parlament Ewropew, il-Kunsill u l-Kummissjoni dwar id-dixxiplina baġitarja, dwar il-kooperazzjoni f’materji ta’ baġit u dwar ġestjoni finanzjarja tajba</w:t>
      </w:r>
      <w:r>
        <w:rPr>
          <w:rStyle w:val="FootnoteReference"/>
          <w:noProof/>
        </w:rPr>
        <w:footnoteReference w:id="2"/>
      </w:r>
      <w:r>
        <w:rPr>
          <w:noProof/>
        </w:rPr>
        <w:t xml:space="preserve">, wara li ġew eżaminati l-possibilitajiet kollha għar-riallokazzjoni tal-approprjazzjonijiet u ġie eżawrit kull marġini mhux allokat taħt in-nefqa </w:t>
      </w:r>
      <w:r>
        <w:rPr>
          <w:i/>
          <w:noProof/>
        </w:rPr>
        <w:t>Sigurtà u Ċittadinanza</w:t>
      </w:r>
      <w:r>
        <w:rPr>
          <w:noProof/>
        </w:rPr>
        <w:t xml:space="preserve"> (intestatura 3), il-Kummissjoni qed tipproponi li fl-2020 jiġi mmobilizzat l-Istrument tal-Flessibilità. L-ammont annwali disponibbli huwa ta’ EUR 600 miljun (prezzijiet tal-2011) li jikkorispondi għal EUR 717 miljun f’prezzijiet attwali. Barra minn hekk, EUR 202 miljun huma disponibbli fil-porzjon tal-2019. </w:t>
      </w:r>
    </w:p>
    <w:p>
      <w:pPr>
        <w:rPr>
          <w:noProof/>
        </w:rPr>
      </w:pPr>
      <w:r>
        <w:rPr>
          <w:noProof/>
        </w:rPr>
        <w:t>Din il-mobilizzazzjoni tikkonċerna ammont ta’ EUR 778,1 miljun aktar mil-limitu massimu tal-intestatura 3 tal-qafas finanzjarju pluriennali, u hija maħsuba biex tiffinanzja appoġġ għal miżuri għall-immaniġġjar ta’ kriżijiet tal-migrazzjoni, tar-refuġjati u tas-sigurtà.</w:t>
      </w:r>
    </w:p>
    <w:p>
      <w:pPr>
        <w:rPr>
          <w:noProof/>
        </w:rPr>
      </w:pPr>
      <w:r>
        <w:rPr>
          <w:noProof/>
        </w:rPr>
        <w:t>L-approprjazzjonijiet ta’ pagamenti li jikkorrispondu għall-mobilizzazzjoni proposta tal-Istrument ta’ Flessibilità ġew ikkalkulati fuq il-bażi tar-regoli applikabbli għal prefinanzjament, l-approvazzjoni ta’ prefinanzjament u l-pagamenti finali għad-diversi tipi ta’ miżuri li se jiġu ffinanzjati, u huma ppreżentati fit-tabella ta’ hawn taħt:</w:t>
      </w:r>
    </w:p>
    <w:p>
      <w:pPr>
        <w:ind w:left="5040" w:firstLine="720"/>
        <w:jc w:val="left"/>
        <w:rPr>
          <w:noProof/>
        </w:rPr>
      </w:pPr>
      <w:r>
        <w:rPr>
          <w:i/>
          <w:noProof/>
          <w:sz w:val="16"/>
        </w:rPr>
        <w:t>(f’miljuni ta’ EUR, skont il-prezzijiet ta’ bħalissa)</w:t>
      </w:r>
    </w:p>
    <w:tbl>
      <w:tblPr>
        <w:tblW w:w="71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5604"/>
      </w:tblGrid>
      <w:tr>
        <w:trPr>
          <w:jc w:val="center"/>
        </w:trPr>
        <w:tc>
          <w:tcPr>
            <w:tcW w:w="1560" w:type="dxa"/>
            <w:shd w:val="clear" w:color="auto" w:fill="D9D9D9"/>
          </w:tcPr>
          <w:p>
            <w:pPr>
              <w:spacing w:before="30" w:after="30"/>
              <w:jc w:val="center"/>
              <w:rPr>
                <w:b/>
                <w:noProof/>
                <w:sz w:val="16"/>
                <w:szCs w:val="16"/>
              </w:rPr>
            </w:pPr>
            <w:r>
              <w:rPr>
                <w:b/>
                <w:noProof/>
                <w:sz w:val="16"/>
              </w:rPr>
              <w:t>Sena</w:t>
            </w:r>
          </w:p>
        </w:tc>
        <w:tc>
          <w:tcPr>
            <w:tcW w:w="5604" w:type="dxa"/>
            <w:shd w:val="clear" w:color="auto" w:fill="D9D9D9"/>
          </w:tcPr>
          <w:p>
            <w:pPr>
              <w:spacing w:before="30" w:after="30"/>
              <w:jc w:val="center"/>
              <w:rPr>
                <w:b/>
                <w:noProof/>
                <w:sz w:val="16"/>
                <w:szCs w:val="16"/>
              </w:rPr>
            </w:pPr>
            <w:r>
              <w:rPr>
                <w:b/>
                <w:noProof/>
                <w:sz w:val="16"/>
              </w:rPr>
              <w:t>L-approprjazzjonijiet ta’ pagament relatati mal-mobilizzazzjoni tal-istrument ta’ flessibbiltà fl-2020</w:t>
            </w:r>
          </w:p>
        </w:tc>
      </w:tr>
      <w:tr>
        <w:trPr>
          <w:jc w:val="center"/>
        </w:trPr>
        <w:tc>
          <w:tcPr>
            <w:tcW w:w="1560" w:type="dxa"/>
            <w:shd w:val="clear" w:color="auto" w:fill="auto"/>
          </w:tcPr>
          <w:p>
            <w:pPr>
              <w:spacing w:before="30" w:after="30"/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</w:rPr>
              <w:t>2020</w:t>
            </w:r>
          </w:p>
        </w:tc>
        <w:tc>
          <w:tcPr>
            <w:tcW w:w="5604" w:type="dxa"/>
            <w:shd w:val="clear" w:color="auto" w:fill="auto"/>
          </w:tcPr>
          <w:p>
            <w:pPr>
              <w:spacing w:before="30" w:after="30"/>
              <w:jc w:val="right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</w:rPr>
              <w:t>407,4</w:t>
            </w:r>
          </w:p>
        </w:tc>
      </w:tr>
      <w:tr>
        <w:trPr>
          <w:jc w:val="center"/>
        </w:trPr>
        <w:tc>
          <w:tcPr>
            <w:tcW w:w="1560" w:type="dxa"/>
            <w:shd w:val="clear" w:color="auto" w:fill="auto"/>
          </w:tcPr>
          <w:p>
            <w:pPr>
              <w:spacing w:before="30" w:after="30"/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</w:rPr>
              <w:t>2021</w:t>
            </w:r>
          </w:p>
        </w:tc>
        <w:tc>
          <w:tcPr>
            <w:tcW w:w="5604" w:type="dxa"/>
            <w:shd w:val="clear" w:color="auto" w:fill="auto"/>
          </w:tcPr>
          <w:p>
            <w:pPr>
              <w:spacing w:before="30" w:after="30"/>
              <w:jc w:val="right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</w:rPr>
              <w:t>312,2</w:t>
            </w:r>
          </w:p>
        </w:tc>
      </w:tr>
      <w:tr>
        <w:trPr>
          <w:jc w:val="center"/>
        </w:trPr>
        <w:tc>
          <w:tcPr>
            <w:tcW w:w="1560" w:type="dxa"/>
            <w:shd w:val="clear" w:color="auto" w:fill="auto"/>
          </w:tcPr>
          <w:p>
            <w:pPr>
              <w:spacing w:before="30" w:after="30"/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</w:rPr>
              <w:t>2022</w:t>
            </w:r>
          </w:p>
        </w:tc>
        <w:tc>
          <w:tcPr>
            <w:tcW w:w="5604" w:type="dxa"/>
            <w:shd w:val="clear" w:color="auto" w:fill="auto"/>
          </w:tcPr>
          <w:p>
            <w:pPr>
              <w:spacing w:before="30" w:after="30"/>
              <w:jc w:val="right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</w:rPr>
              <w:t>42,4</w:t>
            </w:r>
          </w:p>
        </w:tc>
      </w:tr>
      <w:tr>
        <w:trPr>
          <w:jc w:val="center"/>
        </w:trPr>
        <w:tc>
          <w:tcPr>
            <w:tcW w:w="1560" w:type="dxa"/>
            <w:shd w:val="clear" w:color="auto" w:fill="auto"/>
          </w:tcPr>
          <w:p>
            <w:pPr>
              <w:spacing w:before="30" w:after="30"/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</w:rPr>
              <w:t>2023</w:t>
            </w:r>
          </w:p>
        </w:tc>
        <w:tc>
          <w:tcPr>
            <w:tcW w:w="5604" w:type="dxa"/>
            <w:shd w:val="clear" w:color="auto" w:fill="auto"/>
          </w:tcPr>
          <w:p>
            <w:pPr>
              <w:spacing w:before="30" w:after="30"/>
              <w:jc w:val="right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</w:rPr>
              <w:t>16,1</w:t>
            </w:r>
          </w:p>
        </w:tc>
      </w:tr>
      <w:tr>
        <w:trPr>
          <w:jc w:val="center"/>
        </w:trPr>
        <w:tc>
          <w:tcPr>
            <w:tcW w:w="1560" w:type="dxa"/>
            <w:shd w:val="clear" w:color="auto" w:fill="D9D9D9"/>
          </w:tcPr>
          <w:p>
            <w:pPr>
              <w:spacing w:before="30" w:after="30"/>
              <w:jc w:val="right"/>
              <w:rPr>
                <w:b/>
                <w:noProof/>
                <w:sz w:val="16"/>
                <w:szCs w:val="16"/>
              </w:rPr>
            </w:pPr>
            <w:r>
              <w:rPr>
                <w:b/>
                <w:noProof/>
                <w:sz w:val="16"/>
              </w:rPr>
              <w:t>Totali</w:t>
            </w:r>
          </w:p>
        </w:tc>
        <w:tc>
          <w:tcPr>
            <w:tcW w:w="5604" w:type="dxa"/>
            <w:shd w:val="clear" w:color="auto" w:fill="D9D9D9"/>
          </w:tcPr>
          <w:p>
            <w:pPr>
              <w:spacing w:before="30" w:after="30"/>
              <w:jc w:val="right"/>
              <w:rPr>
                <w:b/>
                <w:noProof/>
                <w:sz w:val="16"/>
                <w:szCs w:val="16"/>
              </w:rPr>
            </w:pPr>
            <w:r>
              <w:rPr>
                <w:b/>
                <w:noProof/>
                <w:sz w:val="16"/>
              </w:rPr>
              <w:t>778,1</w:t>
            </w:r>
          </w:p>
        </w:tc>
      </w:tr>
    </w:tbl>
    <w:p>
      <w:pPr>
        <w:rPr>
          <w:noProof/>
        </w:rPr>
        <w:sectPr>
          <w:footerReference w:type="default" r:id="rId16"/>
          <w:footerReference w:type="first" r:id="rId17"/>
          <w:footnotePr>
            <w:numRestart w:val="eachSect"/>
          </w:footnotePr>
          <w:pgSz w:w="11907" w:h="16839"/>
          <w:pgMar w:top="1134" w:right="1417" w:bottom="1134" w:left="1417" w:header="709" w:footer="709" w:gutter="0"/>
          <w:cols w:space="708"/>
          <w:docGrid w:linePitch="360"/>
        </w:sectPr>
      </w:pPr>
    </w:p>
    <w:p>
      <w:pPr>
        <w:pStyle w:val="Statut"/>
        <w:rPr>
          <w:noProof/>
        </w:rPr>
      </w:pPr>
      <w:r>
        <w:rPr>
          <w:noProof/>
        </w:rPr>
        <w:t>Proposta għal</w:t>
      </w:r>
    </w:p>
    <w:p>
      <w:pPr>
        <w:pStyle w:val="Typedudocument"/>
        <w:rPr>
          <w:noProof/>
        </w:rPr>
      </w:pPr>
      <w:r>
        <w:rPr>
          <w:noProof/>
        </w:rPr>
        <w:t>DEĊIŻJONI TAL-PARLAMENT EWROPEW U TAL-KUNSILL</w:t>
      </w:r>
    </w:p>
    <w:p>
      <w:pPr>
        <w:pStyle w:val="Titreobjet"/>
        <w:rPr>
          <w:noProof/>
        </w:rPr>
      </w:pPr>
      <w:r>
        <w:rPr>
          <w:noProof/>
        </w:rPr>
        <w:t>dwar il-mobilizzazzjoni tal-Istrument ta’ Flessibiilità għall-finanzjament ta’ miżuri baġitarji immedjati biex jiġu indirizzati it-theddidiet kontinwi tal-migrazzjoni, tad-dħul tar-rifuġjati u tas-sigurtà</w:t>
      </w:r>
    </w:p>
    <w:p>
      <w:pPr>
        <w:pStyle w:val="Institutionquiagit"/>
        <w:rPr>
          <w:noProof/>
        </w:rPr>
      </w:pPr>
      <w:r>
        <w:rPr>
          <w:noProof/>
        </w:rPr>
        <w:t>IL-PARLAMENT EWROPEW U L-KUNSILL TAL-UNJONI EWROPEA,</w:t>
      </w:r>
    </w:p>
    <w:p>
      <w:pPr>
        <w:rPr>
          <w:noProof/>
        </w:rPr>
      </w:pPr>
      <w:r>
        <w:rPr>
          <w:noProof/>
        </w:rPr>
        <w:t>Wara li kkunsidraw it-Trattat dwar il-Funzjonament tal-Unjoni Ewropea,</w:t>
      </w:r>
    </w:p>
    <w:p>
      <w:pPr>
        <w:rPr>
          <w:noProof/>
        </w:rPr>
      </w:pPr>
      <w:r>
        <w:rPr>
          <w:noProof/>
        </w:rPr>
        <w:t>Wara li kkunsidraw il-Ftehim Interistituzzjonali tat-2 ta’ Diċembru 2013 bejn il-Parlament Ewropew, il-Kunsill u l-Kummissjoni dwar id-dixxiplina baġitarja, dwar il-kooperazzjoni f’materji ta’ baġit u dwar il-ġestjoni finanzjarja tajba</w:t>
      </w:r>
      <w:r>
        <w:rPr>
          <w:rStyle w:val="FootnoteReference"/>
          <w:noProof/>
        </w:rPr>
        <w:footnoteReference w:id="3"/>
      </w:r>
      <w:r>
        <w:rPr>
          <w:noProof/>
        </w:rPr>
        <w:t>, u b’mod partikolari l-punt 12 tiegħu,</w:t>
      </w:r>
    </w:p>
    <w:p>
      <w:pPr>
        <w:rPr>
          <w:noProof/>
        </w:rPr>
      </w:pPr>
      <w:r>
        <w:rPr>
          <w:noProof/>
        </w:rPr>
        <w:t>Wara li kkunsidraw il-proposta mill-Kummissjoni Ewropea,</w:t>
      </w:r>
    </w:p>
    <w:p>
      <w:pPr>
        <w:rPr>
          <w:noProof/>
        </w:rPr>
      </w:pPr>
      <w:r>
        <w:rPr>
          <w:noProof/>
        </w:rPr>
        <w:t xml:space="preserve">Billi, </w:t>
      </w:r>
    </w:p>
    <w:p>
      <w:pPr>
        <w:pStyle w:val="Point0number"/>
        <w:numPr>
          <w:ilvl w:val="0"/>
          <w:numId w:val="6"/>
        </w:numPr>
        <w:spacing w:before="0" w:after="0"/>
        <w:rPr>
          <w:noProof/>
        </w:rPr>
      </w:pPr>
      <w:r>
        <w:rPr>
          <w:noProof/>
        </w:rPr>
        <w:t>L-Istrument ta' Flessibilità huwa maħsub biex jippermetti l-finanzjament ta' nefqa identifikata b'mod ċar li ma setgħetx tiġi ffinanzjata fil-limiti disponibbli għal intestatura waħda jew aktar.</w:t>
      </w:r>
    </w:p>
    <w:p>
      <w:pPr>
        <w:pStyle w:val="Point0number"/>
        <w:numPr>
          <w:ilvl w:val="0"/>
          <w:numId w:val="6"/>
        </w:numPr>
        <w:rPr>
          <w:noProof/>
        </w:rPr>
      </w:pPr>
      <w:r>
        <w:rPr>
          <w:noProof/>
        </w:rPr>
        <w:t>Il-limitu massimu tal-ammont annwali disponibbli għall-Istrument ta’ Flessibilità jlaħħaq il-EUR 600 000 000 (prezzijiet tal-2011), kif stipulat fl-Artikolu 11 tar-Regolament tal-Kunsill (UE, Euratom) Nru 1311/2013</w:t>
      </w:r>
      <w:r>
        <w:rPr>
          <w:rStyle w:val="FootnoteReference"/>
          <w:noProof/>
        </w:rPr>
        <w:footnoteReference w:id="4"/>
      </w:r>
      <w:r>
        <w:rPr>
          <w:noProof/>
        </w:rPr>
        <w:t xml:space="preserve">, żdied, kull fejn applikabbli mill-ammonti skaduti li saru disponibbli skont it-tieni subparagrafu tal-paragrafu 1 ta’ dak l-Artikolu. </w:t>
      </w:r>
    </w:p>
    <w:p>
      <w:pPr>
        <w:pStyle w:val="Point0number"/>
        <w:numPr>
          <w:ilvl w:val="0"/>
          <w:numId w:val="6"/>
        </w:numPr>
        <w:spacing w:before="0" w:after="0"/>
        <w:rPr>
          <w:noProof/>
        </w:rPr>
      </w:pPr>
      <w:r>
        <w:rPr>
          <w:noProof/>
        </w:rPr>
        <w:t>Sabiex jiġu iindirizzati it-theddidiet kontinwi tal-migrazzjoni, tad-dħul tar-rifuġjati u tas-sigurtà, huwa meħtieġ li jiġu mmobilizzati ammonti addizzjonali sinifikanti għall-finanzjament ta’ tali miżuri bħala kwistjoni ta’ urġenza.</w:t>
      </w:r>
    </w:p>
    <w:p>
      <w:pPr>
        <w:pStyle w:val="Point0number"/>
        <w:rPr>
          <w:noProof/>
        </w:rPr>
      </w:pPr>
      <w:r>
        <w:rPr>
          <w:noProof/>
        </w:rPr>
        <w:t>Wara li eżaminaw il-possibilitajiet kollha għar-riallokazzjoni tal-approprjazzjonijiet taħt il-limitu massimu tan-nefqa għall-intestatura 3 (</w:t>
      </w:r>
      <w:r>
        <w:rPr>
          <w:i/>
          <w:noProof/>
        </w:rPr>
        <w:t>Sigurtà u ċittadinanza</w:t>
      </w:r>
      <w:r>
        <w:rPr>
          <w:noProof/>
        </w:rPr>
        <w:t>), huwa meħtieġ li jiġi mmobilizzat l-Istrument ta’ Flessibilità biex jissupplimenta l-finanzjament disponibbli fil-baġit ġenerali tal-Unjoni għas-sena finanzjarja 2020, aktar mil-limitu massimu tal-intestatura 3 b’ammont ta’ EUR 778 074 489 biex jiġu ffinanzjati miżuri fil-qasam tal-migrazzjoni, tar-rifuġjati u tas-sigurtà.</w:t>
      </w:r>
    </w:p>
    <w:p>
      <w:pPr>
        <w:pStyle w:val="Point0number"/>
        <w:rPr>
          <w:noProof/>
        </w:rPr>
      </w:pPr>
      <w:r>
        <w:rPr>
          <w:noProof/>
        </w:rPr>
        <w:t>Abbażi tal-profil tal-pagament mistenni, l-approprjazzjonijiet ta' pagament li jikkorrispondu għall-mobilizzazzjoni tal-Istrument ta' Flessibilità jenħtieġ li jiġu mqassma matul diversi snin finanzjarji.</w:t>
      </w:r>
    </w:p>
    <w:p>
      <w:pPr>
        <w:pStyle w:val="Point0number"/>
        <w:rPr>
          <w:noProof/>
        </w:rPr>
      </w:pPr>
      <w:r>
        <w:rPr>
          <w:noProof/>
        </w:rPr>
        <w:t>Sabiex ikun permess l-użu malajr tal-fondi, jenħtieġ li din id-Deċiżjoni tapplika mill-bidu tas-sena finanzjarja 2020.</w:t>
      </w:r>
    </w:p>
    <w:p>
      <w:pPr>
        <w:pStyle w:val="Formuledadoption"/>
        <w:rPr>
          <w:noProof/>
        </w:rPr>
      </w:pPr>
      <w:r>
        <w:rPr>
          <w:noProof/>
        </w:rPr>
        <w:t>ADOTTAW DIN ID-DEĊIŻJONI:</w:t>
      </w:r>
    </w:p>
    <w:p>
      <w:pPr>
        <w:pStyle w:val="Titrearticle"/>
        <w:rPr>
          <w:noProof/>
        </w:rPr>
      </w:pPr>
      <w:r>
        <w:rPr>
          <w:noProof/>
        </w:rPr>
        <w:t>Artikolu 1</w:t>
      </w:r>
    </w:p>
    <w:p>
      <w:pPr>
        <w:pStyle w:val="Point0number"/>
        <w:numPr>
          <w:ilvl w:val="0"/>
          <w:numId w:val="5"/>
        </w:numPr>
        <w:spacing w:before="0" w:after="0"/>
        <w:rPr>
          <w:noProof/>
        </w:rPr>
      </w:pPr>
      <w:r>
        <w:rPr>
          <w:noProof/>
        </w:rPr>
        <w:t>Għall-baġit ġenerali tal-Unjoni għas-sena finanzjarja 2020, l-Istrument ta' Flessibilità għandu jintuża biex jipprovdi s-somma ta' EUR 778 074 489 f’approprjazzjonijiet ta’ impenn fl-intestatura 3 (</w:t>
      </w:r>
      <w:r>
        <w:rPr>
          <w:i/>
          <w:noProof/>
        </w:rPr>
        <w:t>Sigurtà u Ċittadinanza</w:t>
      </w:r>
      <w:r>
        <w:rPr>
          <w:noProof/>
        </w:rPr>
        <w:t>).</w:t>
      </w:r>
    </w:p>
    <w:p>
      <w:pPr>
        <w:rPr>
          <w:noProof/>
        </w:rPr>
      </w:pPr>
      <w:r>
        <w:rPr>
          <w:noProof/>
        </w:rPr>
        <w:t>L-ammont imsemmi fl-ewwel subparagrafu għandu jintuża biex jiffinanzja miżuri biex jiġu indirizzati l-isfidi kontinwi tal-migrazzjoni, id-dħul ta’ refuġjati u t-theddid għas-sigurtà.</w:t>
      </w:r>
    </w:p>
    <w:p>
      <w:pPr>
        <w:pStyle w:val="Point0number"/>
        <w:numPr>
          <w:ilvl w:val="0"/>
          <w:numId w:val="5"/>
        </w:numPr>
        <w:spacing w:before="0" w:after="0"/>
        <w:rPr>
          <w:noProof/>
        </w:rPr>
      </w:pPr>
      <w:r>
        <w:rPr>
          <w:noProof/>
        </w:rPr>
        <w:t>Abbażi tal-profil tal-pagament mistenni, l-approprjazzjonijiet ta’ pagament li jikkorrispondu għall-mobilizzazzjoni tal-Istrument ta’ Flessibilità għandhom ikunu stmati kif ġej:</w:t>
      </w:r>
    </w:p>
    <w:p>
      <w:pPr>
        <w:pStyle w:val="Point0letter"/>
        <w:tabs>
          <w:tab w:val="clear" w:pos="850"/>
          <w:tab w:val="num" w:pos="426"/>
        </w:tabs>
        <w:ind w:left="426" w:hanging="424"/>
        <w:rPr>
          <w:noProof/>
        </w:rPr>
      </w:pPr>
      <w:r>
        <w:rPr>
          <w:noProof/>
        </w:rPr>
        <w:t>EUR 407 402 108 fl-2020;</w:t>
      </w:r>
    </w:p>
    <w:p>
      <w:pPr>
        <w:pStyle w:val="Point0letter"/>
        <w:tabs>
          <w:tab w:val="clear" w:pos="850"/>
          <w:tab w:val="num" w:pos="426"/>
        </w:tabs>
        <w:ind w:left="426" w:hanging="424"/>
        <w:rPr>
          <w:noProof/>
        </w:rPr>
      </w:pPr>
      <w:r>
        <w:rPr>
          <w:noProof/>
        </w:rPr>
        <w:t>EUR 312 205 134 fl-2021;</w:t>
      </w:r>
    </w:p>
    <w:p>
      <w:pPr>
        <w:pStyle w:val="Point0letter"/>
        <w:tabs>
          <w:tab w:val="clear" w:pos="850"/>
          <w:tab w:val="num" w:pos="426"/>
        </w:tabs>
        <w:ind w:left="426" w:hanging="424"/>
        <w:rPr>
          <w:noProof/>
        </w:rPr>
      </w:pPr>
      <w:r>
        <w:rPr>
          <w:noProof/>
        </w:rPr>
        <w:t>EUR 42 336 587 fl-2022;</w:t>
      </w:r>
    </w:p>
    <w:p>
      <w:pPr>
        <w:pStyle w:val="Point0letter"/>
        <w:tabs>
          <w:tab w:val="clear" w:pos="850"/>
          <w:tab w:val="num" w:pos="426"/>
        </w:tabs>
        <w:ind w:left="426" w:hanging="424"/>
        <w:rPr>
          <w:noProof/>
        </w:rPr>
      </w:pPr>
      <w:r>
        <w:rPr>
          <w:noProof/>
        </w:rPr>
        <w:t>EUR 16 130 660 fl-2023;</w:t>
      </w:r>
    </w:p>
    <w:p>
      <w:pPr>
        <w:rPr>
          <w:noProof/>
        </w:rPr>
      </w:pPr>
      <w:r>
        <w:rPr>
          <w:noProof/>
        </w:rPr>
        <w:t>L-ammonti speċifiċi ta' approprjazzjonijiet ta' pagament għal kull sena finanzjarja għandhom jiġu awtorizzati f'konformità mal-proċedura baġitarja annwali.</w:t>
      </w:r>
    </w:p>
    <w:p>
      <w:pPr>
        <w:pStyle w:val="Titrearticle"/>
        <w:rPr>
          <w:noProof/>
        </w:rPr>
      </w:pPr>
      <w:r>
        <w:rPr>
          <w:noProof/>
        </w:rPr>
        <w:t>Artikolu 2</w:t>
      </w:r>
    </w:p>
    <w:p>
      <w:pPr>
        <w:rPr>
          <w:i/>
          <w:noProof/>
        </w:rPr>
      </w:pPr>
      <w:r>
        <w:rPr>
          <w:noProof/>
        </w:rPr>
        <w:t>Din id-Deċiżjoni għandha tidħol fis-seħħ fil-jum tal-pubblikazzjoni tagħha f’</w:t>
      </w:r>
      <w:r>
        <w:rPr>
          <w:i/>
          <w:noProof/>
        </w:rPr>
        <w:t>Il-Ġurnal Uffiċjali tal-Unjoni Ewropea</w:t>
      </w:r>
      <w:r>
        <w:rPr>
          <w:noProof/>
        </w:rPr>
        <w:t>.</w:t>
      </w:r>
    </w:p>
    <w:p>
      <w:pPr>
        <w:rPr>
          <w:noProof/>
        </w:rPr>
      </w:pPr>
      <w:r>
        <w:rPr>
          <w:noProof/>
        </w:rPr>
        <w:t>Għandu japplika mill-1 ta' Jannar 2020.</w:t>
      </w:r>
    </w:p>
    <w:p>
      <w:pPr>
        <w:rPr>
          <w:i/>
          <w:noProof/>
        </w:rPr>
      </w:pPr>
    </w:p>
    <w:p>
      <w:pPr>
        <w:pStyle w:val="Fait"/>
        <w:rPr>
          <w:noProof/>
        </w:rPr>
      </w:pPr>
      <w:r>
        <w:t>Magħmul fi Brussell,</w:t>
      </w:r>
    </w:p>
    <w:p>
      <w:pPr>
        <w:pStyle w:val="Institutionquisigne"/>
        <w:rPr>
          <w:noProof/>
        </w:rPr>
      </w:pPr>
      <w:r>
        <w:rPr>
          <w:noProof/>
        </w:rPr>
        <w:t>Għall-Parlament Ewropew</w:t>
      </w:r>
      <w:r>
        <w:rPr>
          <w:noProof/>
        </w:rPr>
        <w:tab/>
        <w:t>Għall-Kunsill</w:t>
      </w:r>
    </w:p>
    <w:p>
      <w:pPr>
        <w:pStyle w:val="Personnequisigne"/>
        <w:rPr>
          <w:noProof/>
        </w:rPr>
      </w:pPr>
      <w:r>
        <w:rPr>
          <w:noProof/>
        </w:rPr>
        <w:t>Il-President</w:t>
      </w:r>
      <w:r>
        <w:rPr>
          <w:noProof/>
        </w:rPr>
        <w:tab/>
        <w:t>Il-President</w:t>
      </w:r>
    </w:p>
    <w:sectPr>
      <w:pgSz w:w="11907" w:h="16839"/>
      <w:pgMar w:top="1134" w:right="1417" w:bottom="1134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spacing w:before="0" w:after="0"/>
      </w:pPr>
      <w:r>
        <w:separator/>
      </w:r>
    </w:p>
  </w:endnote>
  <w:endnote w:type="continuationSeparator" w:id="0">
    <w:p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rPr>
        <w:rFonts w:ascii="Arial" w:hAnsi="Arial" w:cs="Arial"/>
        <w:b/>
        <w:sz w:val="48"/>
      </w:rPr>
    </w:pPr>
    <w:r>
      <w:rPr>
        <w:rFonts w:ascii="Arial" w:hAnsi="Arial" w:cs="Arial"/>
        <w:b/>
        <w:sz w:val="48"/>
      </w:rPr>
      <w:t>MT</w:t>
    </w:r>
    <w:r>
      <w:rPr>
        <w:rFonts w:ascii="Arial" w:hAnsi="Arial" w:cs="Arial"/>
        <w:b/>
        <w:sz w:val="48"/>
      </w:rPr>
      <w:tab/>
    </w:r>
    <w:r>
      <w:rPr>
        <w:rFonts w:ascii="Arial" w:hAnsi="Arial" w:cs="Arial"/>
        <w:b/>
        <w:sz w:val="48"/>
      </w:rPr>
      <w:tab/>
    </w:r>
    <w:r>
      <w:tab/>
    </w:r>
    <w:r>
      <w:rPr>
        <w:rFonts w:ascii="Arial" w:hAnsi="Arial" w:cs="Arial"/>
        <w:b/>
        <w:sz w:val="48"/>
      </w:rPr>
      <w:t>MT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rPr>
        <w:rFonts w:ascii="Arial" w:hAnsi="Arial" w:cs="Arial"/>
        <w:b/>
        <w:sz w:val="48"/>
      </w:rPr>
    </w:pPr>
    <w:r>
      <w:rPr>
        <w:rFonts w:ascii="Arial" w:hAnsi="Arial" w:cs="Arial"/>
        <w:b/>
        <w:sz w:val="48"/>
      </w:rPr>
      <w:t>MT</w:t>
    </w:r>
    <w:r>
      <w:rPr>
        <w:rFonts w:ascii="Arial" w:hAnsi="Arial" w:cs="Arial"/>
        <w:b/>
        <w:sz w:val="48"/>
      </w:rPr>
      <w:tab/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3</w:t>
    </w:r>
    <w:r>
      <w:fldChar w:fldCharType="end"/>
    </w:r>
    <w:r>
      <w:tab/>
    </w:r>
    <w:r>
      <w:tab/>
    </w:r>
    <w:r>
      <w:rPr>
        <w:rFonts w:ascii="Arial" w:hAnsi="Arial" w:cs="Arial"/>
        <w:b/>
        <w:sz w:val="48"/>
      </w:rPr>
      <w:t>MT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pPr>
        <w:spacing w:before="0" w:after="0"/>
      </w:pPr>
      <w:r>
        <w:separator/>
      </w:r>
    </w:p>
  </w:footnote>
  <w:footnote w:type="continuationSeparator" w:id="0">
    <w:p>
      <w:pPr>
        <w:spacing w:before="0" w:after="0"/>
      </w:pPr>
      <w:r>
        <w:continuationSeparator/>
      </w:r>
    </w:p>
  </w:footnote>
  <w:footnote w:id="1">
    <w:p>
      <w:pPr>
        <w:pStyle w:val="FootnoteText"/>
        <w:rPr>
          <w:lang w:val="pl-PL"/>
        </w:rPr>
      </w:pPr>
      <w:r>
        <w:rPr>
          <w:rStyle w:val="FootnoteReference"/>
        </w:rPr>
        <w:footnoteRef/>
      </w:r>
      <w:r>
        <w:tab/>
        <w:t>ĠU L 347, 20.12.2013, p. 884.</w:t>
      </w:r>
    </w:p>
  </w:footnote>
  <w:footnote w:id="2">
    <w:p>
      <w:pPr>
        <w:pStyle w:val="FootnoteText"/>
        <w:rPr>
          <w:lang w:val="pl-PL"/>
        </w:rPr>
      </w:pPr>
      <w:r>
        <w:rPr>
          <w:rStyle w:val="FootnoteReference"/>
        </w:rPr>
        <w:footnoteRef/>
      </w:r>
      <w:r>
        <w:tab/>
        <w:t>ĠU C 373, 20.12.2013, p. 1.</w:t>
      </w:r>
    </w:p>
  </w:footnote>
  <w:footnote w:id="3">
    <w:p>
      <w:pPr>
        <w:pStyle w:val="FootnoteText"/>
        <w:rPr>
          <w:lang w:val="pl-PL"/>
        </w:rPr>
      </w:pPr>
      <w:r>
        <w:rPr>
          <w:rStyle w:val="FootnoteReference"/>
        </w:rPr>
        <w:footnoteRef/>
      </w:r>
      <w:r>
        <w:tab/>
        <w:t>ĠU C 373, 20.12.2013, p. 1.</w:t>
      </w:r>
    </w:p>
  </w:footnote>
  <w:footnote w:id="4">
    <w:p>
      <w:pPr>
        <w:pStyle w:val="FootnoteText"/>
        <w:rPr>
          <w:lang w:val="pl-PL"/>
        </w:rPr>
      </w:pPr>
      <w:r>
        <w:rPr>
          <w:rStyle w:val="FootnoteReference"/>
        </w:rPr>
        <w:footnoteRef/>
      </w:r>
      <w:r>
        <w:rPr>
          <w:lang w:val="pl-PL"/>
        </w:rPr>
        <w:tab/>
        <w:t>Ir-Regolament tal-Kunsill (UE, Euratom) Nru 1311/2013 tat-2 ta' Diċembru 2013 li jistabbilixxi l-qafas finanzjarju pluriennali għas-snin 2014-2020 (ĠU L 347, 20.12.2013, p. 884).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D"/>
    <w:multiLevelType w:val="singleLevel"/>
    <w:tmpl w:val="6F5A3E1E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>
    <w:nsid w:val="FFFFFF7E"/>
    <w:multiLevelType w:val="singleLevel"/>
    <w:tmpl w:val="CB2AA32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2">
    <w:nsid w:val="FFFFFF7F"/>
    <w:multiLevelType w:val="singleLevel"/>
    <w:tmpl w:val="7A8E05A8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3">
    <w:nsid w:val="FFFFFF81"/>
    <w:multiLevelType w:val="singleLevel"/>
    <w:tmpl w:val="334694D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>
    <w:nsid w:val="FFFFFF82"/>
    <w:multiLevelType w:val="singleLevel"/>
    <w:tmpl w:val="0C0C6E7E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5">
    <w:nsid w:val="FFFFFF83"/>
    <w:multiLevelType w:val="singleLevel"/>
    <w:tmpl w:val="6880952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6">
    <w:nsid w:val="FFFFFF88"/>
    <w:multiLevelType w:val="singleLevel"/>
    <w:tmpl w:val="9956170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FFFFFF89"/>
    <w:multiLevelType w:val="singleLevel"/>
    <w:tmpl w:val="6A8ABE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1B3C78B8"/>
    <w:multiLevelType w:val="multilevel"/>
    <w:tmpl w:val="2ED4F4D0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9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2CB72C6E"/>
    <w:multiLevelType w:val="singleLevel"/>
    <w:tmpl w:val="10ACD464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11">
    <w:nsid w:val="2CE9221F"/>
    <w:multiLevelType w:val="singleLevel"/>
    <w:tmpl w:val="9B4AFB48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12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3">
    <w:nsid w:val="42FC0772"/>
    <w:multiLevelType w:val="singleLevel"/>
    <w:tmpl w:val="4128FCF8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14">
    <w:nsid w:val="4552127F"/>
    <w:multiLevelType w:val="singleLevel"/>
    <w:tmpl w:val="057A5296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15">
    <w:nsid w:val="556E1D63"/>
    <w:multiLevelType w:val="singleLevel"/>
    <w:tmpl w:val="493AAFF0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16">
    <w:nsid w:val="5B395AAA"/>
    <w:multiLevelType w:val="singleLevel"/>
    <w:tmpl w:val="96D02E8A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17">
    <w:nsid w:val="5C056EE5"/>
    <w:multiLevelType w:val="singleLevel"/>
    <w:tmpl w:val="3378D27C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18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19">
    <w:nsid w:val="64A12FA4"/>
    <w:multiLevelType w:val="multilevel"/>
    <w:tmpl w:val="428ECF3E"/>
    <w:name w:val="Heading"/>
    <w:lvl w:ilvl="0">
      <w:start w:val="1"/>
      <w:numFmt w:val="decimal"/>
      <w:lvlRestart w:val="0"/>
      <w:pStyle w:val="Heading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>
    <w:nsid w:val="67B856F6"/>
    <w:multiLevelType w:val="singleLevel"/>
    <w:tmpl w:val="0AB28E9C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21">
    <w:nsid w:val="7CBE4812"/>
    <w:multiLevelType w:val="singleLevel"/>
    <w:tmpl w:val="23C821E4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>
    <w:abstractNumId w:val="7"/>
  </w:num>
  <w:num w:numId="2">
    <w:abstractNumId w:val="5"/>
  </w:num>
  <w:num w:numId="3">
    <w:abstractNumId w:val="4"/>
  </w:num>
  <w:num w:numId="4">
    <w:abstractNumId w:val="3"/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2"/>
  </w:num>
  <w:num w:numId="9">
    <w:abstractNumId w:val="1"/>
  </w:num>
  <w:num w:numId="10">
    <w:abstractNumId w:val="0"/>
  </w:num>
  <w:num w:numId="11">
    <w:abstractNumId w:val="18"/>
  </w:num>
  <w:num w:numId="12">
    <w:abstractNumId w:val="12"/>
  </w:num>
  <w:num w:numId="13">
    <w:abstractNumId w:val="20"/>
  </w:num>
  <w:num w:numId="14">
    <w:abstractNumId w:val="11"/>
  </w:num>
  <w:num w:numId="15">
    <w:abstractNumId w:val="13"/>
  </w:num>
  <w:num w:numId="16">
    <w:abstractNumId w:val="9"/>
  </w:num>
  <w:num w:numId="17">
    <w:abstractNumId w:val="19"/>
  </w:num>
  <w:num w:numId="18">
    <w:abstractNumId w:val="8"/>
  </w:num>
  <w:num w:numId="19">
    <w:abstractNumId w:val="14"/>
  </w:num>
  <w:num w:numId="20">
    <w:abstractNumId w:val="16"/>
  </w:num>
  <w:num w:numId="21">
    <w:abstractNumId w:val="17"/>
  </w:num>
  <w:num w:numId="22">
    <w:abstractNumId w:val="10"/>
  </w:num>
  <w:num w:numId="23">
    <w:abstractNumId w:val="15"/>
  </w:num>
  <w:num w:numId="24">
    <w:abstractNumId w:val="21"/>
  </w:num>
  <w:num w:numId="25">
    <w:abstractNumId w:val="18"/>
  </w:num>
  <w:num w:numId="26">
    <w:abstractNumId w:val="12"/>
  </w:num>
  <w:num w:numId="27">
    <w:abstractNumId w:val="20"/>
  </w:num>
  <w:num w:numId="28">
    <w:abstractNumId w:val="11"/>
  </w:num>
  <w:num w:numId="29">
    <w:abstractNumId w:val="13"/>
  </w:num>
  <w:num w:numId="30">
    <w:abstractNumId w:val="9"/>
  </w:num>
  <w:num w:numId="31">
    <w:abstractNumId w:val="19"/>
  </w:num>
  <w:num w:numId="32">
    <w:abstractNumId w:val="8"/>
  </w:num>
  <w:num w:numId="33">
    <w:abstractNumId w:val="14"/>
  </w:num>
  <w:num w:numId="34">
    <w:abstractNumId w:val="16"/>
  </w:num>
  <w:num w:numId="35">
    <w:abstractNumId w:val="17"/>
  </w:num>
  <w:num w:numId="36">
    <w:abstractNumId w:val="10"/>
  </w:num>
  <w:num w:numId="37">
    <w:abstractNumId w:val="15"/>
  </w:num>
  <w:num w:numId="38">
    <w:abstractNumId w:val="21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90"/>
  <w:hideSpellingErrors/>
  <w:hideGrammaticalErrors/>
  <w:attachedTemplate r:id="rId1"/>
  <w:revisionView w:markup="0"/>
  <w:defaultTabStop w:val="720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DQCDateTime" w:val="2019-07-01 09:21:21"/>
    <w:docVar w:name="DQCResult_Distribution" w:val="0;0"/>
    <w:docVar w:name="DQCResult_DocumentContent" w:val="0;0"/>
    <w:docVar w:name="DQCResult_DocumentSize" w:val="0;0"/>
    <w:docVar w:name="DQCResult_DocumentVersions" w:val="0;0"/>
    <w:docVar w:name="DQCResult_InvalidFootnotes" w:val="0;0"/>
    <w:docVar w:name="DQCResult_LinkedStyles" w:val="0;0"/>
    <w:docVar w:name="DQCResult_ModifiedMargins" w:val="0;5"/>
    <w:docVar w:name="DQCResult_ModifiedMarkers" w:val="0;0"/>
    <w:docVar w:name="DQCResult_ModifiedNumbering" w:val="0;0"/>
    <w:docVar w:name="DQCResult_Objects" w:val="0;0"/>
    <w:docVar w:name="DQCResult_Sections" w:val="0;0"/>
    <w:docVar w:name="DQCResult_StructureCheck" w:val="0;0"/>
    <w:docVar w:name="DQCResult_SuperfluousWhitespace" w:val="0;1"/>
    <w:docVar w:name="DQCResult_UnknownFonts" w:val="0;0"/>
    <w:docVar w:name="DQCResult_UnknownStyles" w:val="0;0"/>
    <w:docVar w:name="DQCStatus" w:val="Green"/>
    <w:docVar w:name="DQCVersion" w:val="3"/>
    <w:docVar w:name="DQCWithWarnings" w:val="0"/>
    <w:docVar w:name="LW_CORRIGENDUM" w:val="&lt;UNUSED&gt;"/>
    <w:docVar w:name="LW_COVERPAGE_EXISTS" w:val="True"/>
    <w:docVar w:name="LW_COVERPAGE_GUID" w:val="47CB9802-B9DC-4814-BE5D-BA0CC92DDE22"/>
    <w:docVar w:name="LW_COVERPAGE_TYPE" w:val="1"/>
    <w:docVar w:name="LW_CROSSREFERENCE" w:val="&lt;UNUSED&gt;"/>
    <w:docVar w:name="LW_DocType" w:val="COM"/>
    <w:docVar w:name="LW_EMISSION" w:val="5.6.2019"/>
    <w:docVar w:name="LW_EMISSION_ISODATE" w:val="2019-06-05"/>
    <w:docVar w:name="LW_EMISSION_LOCATION" w:val="BRX"/>
    <w:docVar w:name="LW_EMISSION_PREFIX" w:val="Brussell, "/>
    <w:docVar w:name="LW_EMISSION_SUFFIX" w:val="&lt;EMPTY&gt;"/>
    <w:docVar w:name="LW_ID_DOCMODEL" w:val="SJ-026"/>
    <w:docVar w:name="LW_ID_DOCSIGNATURE" w:val="SJ-026"/>
    <w:docVar w:name="LW_ID_DOCSTRUCTURE" w:val="COM/PL/ORG"/>
    <w:docVar w:name="LW_ID_DOCTYPE" w:val="SJ-026"/>
    <w:docVar w:name="LW_ID_EXP.MOTIFS.NEW" w:val="EM_PL_"/>
    <w:docVar w:name="LW_ID_STATUT" w:val="SJ-026"/>
    <w:docVar w:name="LW_INTERETEEE.CP" w:val="&lt;UNUSED&gt;"/>
    <w:docVar w:name="LW_LANGUE" w:val="MT"/>
    <w:docVar w:name="LW_LEVEL_OF_SENSITIVITY" w:val="Standard treatment"/>
    <w:docVar w:name="LW_NOM.INST" w:val="IL-KUMMISSJONI EWROPEA"/>
    <w:docVar w:name="LW_NOM.INST_JOINTDOC" w:val="&lt;EMPTY&gt;"/>
    <w:docVar w:name="LW_PART_NBR" w:val="1"/>
    <w:docVar w:name="LW_PART_NBR_TOTAL" w:val="1"/>
    <w:docVar w:name="LW_REF.II.NEW.CP" w:val="&lt;UNUSED&gt;"/>
    <w:docVar w:name="LW_REF.II.NEW.CP_NUMBER" w:val="&lt;UNUSED&gt;"/>
    <w:docVar w:name="LW_REF.II.NEW.CP_YEAR" w:val="2019"/>
    <w:docVar w:name="LW_REF.INST.NEW" w:val="COM"/>
    <w:docVar w:name="LW_REF.INST.NEW_ADOPTED" w:val="final"/>
    <w:docVar w:name="LW_REF.INST.NEW_TEXT" w:val="(2019) 251"/>
    <w:docVar w:name="LW_REF.INTERNE" w:val="&lt;UNUSED&gt;"/>
    <w:docVar w:name="LW_SENSITIVITY" w:val="&lt;?xml version=&quot;1.0&quot; encoding=&quot;utf-8&quot;?&gt;_x000d__x000a_&lt;SensitivityLevel xmlns:xsi=&quot;http://www.w3.org/2001/XMLSchema-instance&quot; xmlns:xsd=&quot;http://www.w3.org/2001/XMLSchema&quot; id=&quot;standard&quot;&gt;_x000d__x000a_  &lt;nicename EN=&quot;Standard treatment&quot; FR=&quot;Traitement standard&quot; /&gt;_x000d__x000a_  &lt;documentProperty&gt;Standard treatment&lt;/documentProperty&gt;_x000d__x000a_  &lt;marking xsi:nil=&quot;true&quot; /&gt;_x000d__x000a_  &lt;limited xsi:nil=&quot;true&quot; /&gt;_x000d__x000a_  &lt;detached xsi:nil=&quot;true&quot; /&gt;_x000d__x000a_  &lt;declassify xsi:nil=&quot;true&quot; /&gt;_x000d__x000a_  &lt;headerTexts xsi:nil=&quot;true&quot; /&gt;_x000d__x000a_  &lt;footerTexts xsi:nil=&quot;true&quot; /&gt;_x000d__x000a_  &lt;footnote xsi:nil=&quot;true&quot; /&gt;_x000d__x000a_  &lt;isRestricted&gt;false&lt;/isRestricted&gt;_x000d__x000a_&lt;/SensitivityLevel&gt;"/>
    <w:docVar w:name="LW_STATUT.CP" w:val="Proposta g\u295?al"/>
    <w:docVar w:name="LW_SUPERTITRE" w:val="&lt;UNUSED&gt;"/>
    <w:docVar w:name="LW_TITRE.OBJ.CP" w:val="dwar il-mobilizzazzjoni tal-Istrument ta\u8217? Flessibiilità g\u295?all-finanzjament ta\u8217? mi\u380?uri ba\u289?itarji immedjati biex ji\u289?u indirizzati it-theddidiet kontinwi tal-migrazzjoni, tad-d\u295?ul tar-rifu\u289?jati u tas-sigurtà"/>
    <w:docVar w:name="LW_TYPE.DOC.CP" w:val="DE\u266?I\u379?JONI TAL-PARLAMENT EWROPEW U TAL-KUNSILL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before="120" w:after="120" w:line="240" w:lineRule="auto"/>
      <w:jc w:val="both"/>
    </w:pPr>
    <w:rPr>
      <w:rFonts w:ascii="Times New Roman" w:hAnsi="Times New Roman" w:cs="Times New Roman"/>
      <w:sz w:val="24"/>
      <w:lang w:val="mt-MT"/>
    </w:rPr>
  </w:style>
  <w:style w:type="paragraph" w:styleId="Heading1">
    <w:name w:val="heading 1"/>
    <w:basedOn w:val="Normal"/>
    <w:next w:val="Text1"/>
    <w:link w:val="Heading1Char"/>
    <w:uiPriority w:val="9"/>
    <w:qFormat/>
    <w:pPr>
      <w:keepNext/>
      <w:numPr>
        <w:numId w:val="31"/>
      </w:numPr>
      <w:spacing w:before="360"/>
      <w:outlineLvl w:val="0"/>
    </w:pPr>
    <w:rPr>
      <w:rFonts w:eastAsiaTheme="majorEastAsia"/>
      <w:b/>
      <w:bCs/>
      <w:smallCaps/>
      <w:szCs w:val="28"/>
    </w:rPr>
  </w:style>
  <w:style w:type="paragraph" w:styleId="Heading2">
    <w:name w:val="heading 2"/>
    <w:basedOn w:val="Normal"/>
    <w:next w:val="Text1"/>
    <w:link w:val="Heading2Char"/>
    <w:uiPriority w:val="9"/>
    <w:semiHidden/>
    <w:unhideWhenUsed/>
    <w:qFormat/>
    <w:pPr>
      <w:keepNext/>
      <w:numPr>
        <w:ilvl w:val="1"/>
        <w:numId w:val="31"/>
      </w:numPr>
      <w:outlineLvl w:val="1"/>
    </w:pPr>
    <w:rPr>
      <w:rFonts w:eastAsiaTheme="majorEastAsia"/>
      <w:b/>
      <w:bCs/>
      <w:szCs w:val="26"/>
    </w:rPr>
  </w:style>
  <w:style w:type="paragraph" w:styleId="Heading3">
    <w:name w:val="heading 3"/>
    <w:basedOn w:val="Normal"/>
    <w:next w:val="Text1"/>
    <w:link w:val="Heading3Char"/>
    <w:uiPriority w:val="9"/>
    <w:semiHidden/>
    <w:unhideWhenUsed/>
    <w:qFormat/>
    <w:pPr>
      <w:keepNext/>
      <w:numPr>
        <w:ilvl w:val="2"/>
        <w:numId w:val="31"/>
      </w:numPr>
      <w:outlineLvl w:val="2"/>
    </w:pPr>
    <w:rPr>
      <w:rFonts w:eastAsiaTheme="majorEastAsia"/>
      <w:bCs/>
      <w:i/>
    </w:rPr>
  </w:style>
  <w:style w:type="paragraph" w:styleId="Heading4">
    <w:name w:val="heading 4"/>
    <w:basedOn w:val="Normal"/>
    <w:next w:val="Text1"/>
    <w:link w:val="Heading4Char"/>
    <w:uiPriority w:val="9"/>
    <w:semiHidden/>
    <w:unhideWhenUsed/>
    <w:qFormat/>
    <w:pPr>
      <w:keepNext/>
      <w:numPr>
        <w:ilvl w:val="3"/>
        <w:numId w:val="31"/>
      </w:numPr>
      <w:outlineLvl w:val="3"/>
    </w:pPr>
    <w:rPr>
      <w:rFonts w:eastAsiaTheme="majorEastAsia"/>
      <w:bCs/>
      <w:iCs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Bullet">
    <w:name w:val="List Bullet"/>
    <w:basedOn w:val="Normal"/>
    <w:uiPriority w:val="99"/>
    <w:semiHidden/>
    <w:unhideWhenUsed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pPr>
      <w:numPr>
        <w:numId w:val="4"/>
      </w:numPr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  <w:lang w:val="mt-MT"/>
    </w:rPr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before="0" w:after="200"/>
    </w:pPr>
    <w:rPr>
      <w:b/>
      <w:bCs/>
      <w:color w:val="4F81BD" w:themeColor="accent1"/>
      <w:sz w:val="18"/>
      <w:szCs w:val="18"/>
    </w:rPr>
  </w:style>
  <w:style w:type="paragraph" w:styleId="TableofFigures">
    <w:name w:val="table of figures"/>
    <w:basedOn w:val="Normal"/>
    <w:next w:val="Normal"/>
    <w:uiPriority w:val="99"/>
    <w:semiHidden/>
    <w:unhideWhenUsed/>
    <w:pPr>
      <w:spacing w:after="0"/>
    </w:pPr>
  </w:style>
  <w:style w:type="paragraph" w:styleId="ListNumber">
    <w:name w:val="List Number"/>
    <w:basedOn w:val="Normal"/>
    <w:uiPriority w:val="99"/>
    <w:semiHidden/>
    <w:unhideWhenUsed/>
    <w:pPr>
      <w:numPr>
        <w:numId w:val="7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pPr>
      <w:numPr>
        <w:numId w:val="8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pPr>
      <w:numPr>
        <w:numId w:val="9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pPr>
      <w:numPr>
        <w:numId w:val="10"/>
      </w:numPr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Times New Roman" w:hAnsi="Times New Roman" w:cs="Times New Roman"/>
      <w:sz w:val="20"/>
      <w:szCs w:val="20"/>
      <w:lang w:val="mt-M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rFonts w:ascii="Times New Roman" w:hAnsi="Times New Roman" w:cs="Times New Roman"/>
      <w:b/>
      <w:bCs/>
      <w:sz w:val="20"/>
      <w:szCs w:val="20"/>
      <w:lang w:val="mt-MT"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35"/>
        <w:tab w:val="right" w:pos="9071"/>
      </w:tabs>
      <w:spacing w:before="0"/>
    </w:pPr>
  </w:style>
  <w:style w:type="character" w:customStyle="1" w:styleId="HeaderChar">
    <w:name w:val="Header Char"/>
    <w:basedOn w:val="DefaultParagraphFont"/>
    <w:link w:val="Header"/>
    <w:uiPriority w:val="99"/>
    <w:rPr>
      <w:rFonts w:ascii="Times New Roman" w:hAnsi="Times New Roman" w:cs="Times New Roman"/>
      <w:sz w:val="24"/>
      <w:lang w:val="mt-MT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35"/>
        <w:tab w:val="right" w:pos="9071"/>
        <w:tab w:val="right" w:pos="9921"/>
      </w:tabs>
      <w:spacing w:before="360" w:after="0"/>
      <w:ind w:left="-850" w:right="-850"/>
      <w:jc w:val="left"/>
    </w:pPr>
  </w:style>
  <w:style w:type="character" w:customStyle="1" w:styleId="FooterChar">
    <w:name w:val="Footer Char"/>
    <w:basedOn w:val="DefaultParagraphFont"/>
    <w:link w:val="Footer"/>
    <w:uiPriority w:val="99"/>
    <w:rPr>
      <w:rFonts w:ascii="Times New Roman" w:hAnsi="Times New Roman" w:cs="Times New Roman"/>
      <w:sz w:val="24"/>
      <w:lang w:val="mt-M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before="0" w:after="0"/>
      <w:ind w:left="720" w:hanging="72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rFonts w:ascii="Times New Roman" w:hAnsi="Times New Roman" w:cs="Times New Roman"/>
      <w:sz w:val="20"/>
      <w:szCs w:val="20"/>
      <w:shd w:val="clear" w:color="auto" w:fill="auto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="Times New Roman" w:eastAsiaTheme="majorEastAsia" w:hAnsi="Times New Roman" w:cs="Times New Roman"/>
      <w:b/>
      <w:bCs/>
      <w:smallCaps/>
      <w:sz w:val="24"/>
      <w:szCs w:val="28"/>
      <w:shd w:val="clear" w:color="auto" w:fill="auto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="Times New Roman" w:eastAsiaTheme="majorEastAsia" w:hAnsi="Times New Roman" w:cs="Times New Roman"/>
      <w:b/>
      <w:bCs/>
      <w:sz w:val="24"/>
      <w:szCs w:val="26"/>
      <w:shd w:val="clear" w:color="auto" w:fill="auto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="Times New Roman" w:eastAsiaTheme="majorEastAsia" w:hAnsi="Times New Roman" w:cs="Times New Roman"/>
      <w:bCs/>
      <w:i/>
      <w:sz w:val="24"/>
      <w:shd w:val="clear" w:color="auto" w:fill="auto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="Times New Roman" w:eastAsiaTheme="majorEastAsia" w:hAnsi="Times New Roman" w:cs="Times New Roman"/>
      <w:bCs/>
      <w:iCs/>
      <w:sz w:val="24"/>
      <w:shd w:val="clear" w:color="auto" w:fill="auto"/>
      <w:lang w:val="en-GB"/>
    </w:rPr>
  </w:style>
  <w:style w:type="paragraph" w:styleId="TOCHeading">
    <w:name w:val="TOC Heading"/>
    <w:basedOn w:val="Normal"/>
    <w:next w:val="Normal"/>
    <w:uiPriority w:val="39"/>
    <w:semiHidden/>
    <w:unhideWhenUsed/>
    <w:qFormat/>
    <w:pPr>
      <w:spacing w:after="240"/>
      <w:jc w:val="center"/>
    </w:pPr>
    <w:rPr>
      <w:b/>
      <w:sz w:val="28"/>
    </w:rPr>
  </w:style>
  <w:style w:type="paragraph" w:styleId="TOC1">
    <w:name w:val="toc 1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2">
    <w:name w:val="toc 2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3">
    <w:name w:val="toc 3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4">
    <w:name w:val="toc 4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5">
    <w:name w:val="toc 5"/>
    <w:basedOn w:val="Normal"/>
    <w:next w:val="Normal"/>
    <w:uiPriority w:val="39"/>
    <w:semiHidden/>
    <w:unhideWhenUsed/>
    <w:pPr>
      <w:tabs>
        <w:tab w:val="right" w:leader="dot" w:pos="9071"/>
      </w:tabs>
      <w:spacing w:before="300"/>
      <w:jc w:val="left"/>
    </w:pPr>
  </w:style>
  <w:style w:type="paragraph" w:styleId="TOC6">
    <w:name w:val="toc 6"/>
    <w:basedOn w:val="Normal"/>
    <w:next w:val="Normal"/>
    <w:uiPriority w:val="39"/>
    <w:semiHidden/>
    <w:unhideWhenUsed/>
    <w:pPr>
      <w:tabs>
        <w:tab w:val="right" w:leader="dot" w:pos="9071"/>
      </w:tabs>
      <w:spacing w:before="240"/>
      <w:jc w:val="left"/>
    </w:pPr>
  </w:style>
  <w:style w:type="paragraph" w:styleId="TOC7">
    <w:name w:val="toc 7"/>
    <w:basedOn w:val="Normal"/>
    <w:next w:val="Normal"/>
    <w:uiPriority w:val="39"/>
    <w:semiHidden/>
    <w:unhideWhenUsed/>
    <w:pPr>
      <w:tabs>
        <w:tab w:val="right" w:leader="dot" w:pos="9071"/>
      </w:tabs>
      <w:spacing w:before="180"/>
      <w:jc w:val="left"/>
    </w:pPr>
  </w:style>
  <w:style w:type="paragraph" w:styleId="TOC8">
    <w:name w:val="toc 8"/>
    <w:basedOn w:val="Normal"/>
    <w:next w:val="Normal"/>
    <w:uiPriority w:val="39"/>
    <w:semiHidden/>
    <w:unhideWhenUsed/>
    <w:pPr>
      <w:tabs>
        <w:tab w:val="right" w:leader="dot" w:pos="9071"/>
      </w:tabs>
      <w:jc w:val="left"/>
    </w:pPr>
  </w:style>
  <w:style w:type="paragraph" w:styleId="TOC9">
    <w:name w:val="toc 9"/>
    <w:basedOn w:val="Normal"/>
    <w:next w:val="Normal"/>
    <w:uiPriority w:val="39"/>
    <w:semiHidden/>
    <w:unhideWhenUsed/>
    <w:pPr>
      <w:tabs>
        <w:tab w:val="right" w:leader="dot" w:pos="9071"/>
      </w:tabs>
    </w:pPr>
  </w:style>
  <w:style w:type="paragraph" w:customStyle="1" w:styleId="HeaderLandscape">
    <w:name w:val="HeaderLandscape"/>
    <w:basedOn w:val="Normal"/>
    <w:pPr>
      <w:tabs>
        <w:tab w:val="center" w:pos="7285"/>
        <w:tab w:val="right" w:pos="14003"/>
      </w:tabs>
      <w:spacing w:before="0"/>
    </w:pPr>
  </w:style>
  <w:style w:type="paragraph" w:customStyle="1" w:styleId="FooterLandscape">
    <w:name w:val="FooterLandscape"/>
    <w:basedOn w:val="Normal"/>
    <w:pPr>
      <w:tabs>
        <w:tab w:val="center" w:pos="7285"/>
        <w:tab w:val="center" w:pos="10913"/>
        <w:tab w:val="right" w:pos="15137"/>
      </w:tabs>
      <w:spacing w:before="360" w:after="0"/>
      <w:ind w:left="-567" w:right="-567"/>
      <w:jc w:val="left"/>
    </w:pPr>
  </w:style>
  <w:style w:type="character" w:styleId="FootnoteReference">
    <w:name w:val="footnote reference"/>
    <w:basedOn w:val="DefaultParagraphFont"/>
    <w:uiPriority w:val="99"/>
    <w:semiHidden/>
    <w:unhideWhenUsed/>
    <w:rPr>
      <w:shd w:val="clear" w:color="auto" w:fill="auto"/>
      <w:vertAlign w:val="superscript"/>
    </w:rPr>
  </w:style>
  <w:style w:type="paragraph" w:customStyle="1" w:styleId="HeaderSensitivity">
    <w:name w:val="Header Sensitivity"/>
    <w:basedOn w:val="Normal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0"/>
      <w:ind w:left="113" w:right="113"/>
      <w:jc w:val="center"/>
    </w:pPr>
    <w:rPr>
      <w:b/>
      <w:sz w:val="32"/>
    </w:rPr>
  </w:style>
  <w:style w:type="paragraph" w:customStyle="1" w:styleId="FooterSensitivity">
    <w:name w:val="Footer Sensitivity"/>
    <w:basedOn w:val="Normal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 w:after="0"/>
      <w:ind w:left="113" w:right="113"/>
      <w:jc w:val="center"/>
    </w:pPr>
    <w:rPr>
      <w:b/>
      <w:sz w:val="32"/>
    </w:rPr>
  </w:style>
  <w:style w:type="paragraph" w:customStyle="1" w:styleId="Text1">
    <w:name w:val="Text 1"/>
    <w:basedOn w:val="Normal"/>
    <w:pPr>
      <w:ind w:left="850"/>
    </w:pPr>
  </w:style>
  <w:style w:type="paragraph" w:customStyle="1" w:styleId="Text2">
    <w:name w:val="Text 2"/>
    <w:basedOn w:val="Normal"/>
    <w:pPr>
      <w:ind w:left="1417"/>
    </w:pPr>
  </w:style>
  <w:style w:type="paragraph" w:customStyle="1" w:styleId="Text3">
    <w:name w:val="Text 3"/>
    <w:basedOn w:val="Normal"/>
    <w:pPr>
      <w:ind w:left="1984"/>
    </w:pPr>
  </w:style>
  <w:style w:type="paragraph" w:customStyle="1" w:styleId="Text4">
    <w:name w:val="Text 4"/>
    <w:basedOn w:val="Normal"/>
    <w:pPr>
      <w:ind w:left="2551"/>
    </w:pPr>
  </w:style>
  <w:style w:type="paragraph" w:customStyle="1" w:styleId="NormalCentered">
    <w:name w:val="Normal Centered"/>
    <w:basedOn w:val="Normal"/>
    <w:pPr>
      <w:jc w:val="center"/>
    </w:pPr>
  </w:style>
  <w:style w:type="paragraph" w:customStyle="1" w:styleId="NormalLeft">
    <w:name w:val="Normal Left"/>
    <w:basedOn w:val="Normal"/>
    <w:pPr>
      <w:jc w:val="left"/>
    </w:pPr>
  </w:style>
  <w:style w:type="paragraph" w:customStyle="1" w:styleId="NormalRight">
    <w:name w:val="Normal Right"/>
    <w:basedOn w:val="Normal"/>
    <w:pPr>
      <w:jc w:val="right"/>
    </w:pPr>
  </w:style>
  <w:style w:type="paragraph" w:customStyle="1" w:styleId="QuotedText">
    <w:name w:val="Quoted Text"/>
    <w:basedOn w:val="Normal"/>
    <w:pPr>
      <w:ind w:left="1417"/>
    </w:pPr>
  </w:style>
  <w:style w:type="paragraph" w:customStyle="1" w:styleId="Point0">
    <w:name w:val="Point 0"/>
    <w:basedOn w:val="Normal"/>
    <w:pPr>
      <w:ind w:left="850" w:hanging="850"/>
    </w:pPr>
  </w:style>
  <w:style w:type="paragraph" w:customStyle="1" w:styleId="Point1">
    <w:name w:val="Point 1"/>
    <w:basedOn w:val="Normal"/>
    <w:pPr>
      <w:ind w:left="1417" w:hanging="567"/>
    </w:pPr>
  </w:style>
  <w:style w:type="paragraph" w:customStyle="1" w:styleId="Point2">
    <w:name w:val="Point 2"/>
    <w:basedOn w:val="Normal"/>
    <w:pPr>
      <w:ind w:left="1984" w:hanging="567"/>
    </w:pPr>
  </w:style>
  <w:style w:type="paragraph" w:customStyle="1" w:styleId="Point3">
    <w:name w:val="Point 3"/>
    <w:basedOn w:val="Normal"/>
    <w:pPr>
      <w:ind w:left="2551" w:hanging="567"/>
    </w:pPr>
  </w:style>
  <w:style w:type="paragraph" w:customStyle="1" w:styleId="Point4">
    <w:name w:val="Point 4"/>
    <w:basedOn w:val="Normal"/>
    <w:pPr>
      <w:ind w:left="3118" w:hanging="567"/>
    </w:pPr>
  </w:style>
  <w:style w:type="paragraph" w:customStyle="1" w:styleId="Tiret0">
    <w:name w:val="Tiret 0"/>
    <w:basedOn w:val="Point0"/>
    <w:pPr>
      <w:numPr>
        <w:numId w:val="25"/>
      </w:numPr>
    </w:pPr>
  </w:style>
  <w:style w:type="paragraph" w:customStyle="1" w:styleId="Tiret1">
    <w:name w:val="Tiret 1"/>
    <w:basedOn w:val="Point1"/>
    <w:pPr>
      <w:numPr>
        <w:numId w:val="26"/>
      </w:numPr>
    </w:pPr>
  </w:style>
  <w:style w:type="paragraph" w:customStyle="1" w:styleId="Tiret2">
    <w:name w:val="Tiret 2"/>
    <w:basedOn w:val="Point2"/>
    <w:pPr>
      <w:numPr>
        <w:numId w:val="27"/>
      </w:numPr>
    </w:pPr>
  </w:style>
  <w:style w:type="paragraph" w:customStyle="1" w:styleId="Tiret3">
    <w:name w:val="Tiret 3"/>
    <w:basedOn w:val="Point3"/>
    <w:pPr>
      <w:numPr>
        <w:numId w:val="28"/>
      </w:numPr>
    </w:pPr>
  </w:style>
  <w:style w:type="paragraph" w:customStyle="1" w:styleId="Tiret4">
    <w:name w:val="Tiret 4"/>
    <w:basedOn w:val="Point4"/>
    <w:pPr>
      <w:numPr>
        <w:numId w:val="29"/>
      </w:numPr>
    </w:pPr>
  </w:style>
  <w:style w:type="paragraph" w:customStyle="1" w:styleId="PointDouble0">
    <w:name w:val="PointDouble 0"/>
    <w:basedOn w:val="Normal"/>
    <w:pPr>
      <w:tabs>
        <w:tab w:val="left" w:pos="850"/>
      </w:tabs>
      <w:ind w:left="1417" w:hanging="1417"/>
    </w:pPr>
  </w:style>
  <w:style w:type="paragraph" w:customStyle="1" w:styleId="PointDouble1">
    <w:name w:val="PointDouble 1"/>
    <w:basedOn w:val="Normal"/>
    <w:pPr>
      <w:tabs>
        <w:tab w:val="left" w:pos="1417"/>
      </w:tabs>
      <w:ind w:left="1984" w:hanging="1134"/>
    </w:pPr>
  </w:style>
  <w:style w:type="paragraph" w:customStyle="1" w:styleId="PointDouble2">
    <w:name w:val="PointDouble 2"/>
    <w:basedOn w:val="Normal"/>
    <w:pPr>
      <w:tabs>
        <w:tab w:val="left" w:pos="1984"/>
      </w:tabs>
      <w:ind w:left="2551" w:hanging="1134"/>
    </w:pPr>
  </w:style>
  <w:style w:type="paragraph" w:customStyle="1" w:styleId="PointDouble3">
    <w:name w:val="PointDouble 3"/>
    <w:basedOn w:val="Normal"/>
    <w:pPr>
      <w:tabs>
        <w:tab w:val="left" w:pos="2551"/>
      </w:tabs>
      <w:ind w:left="3118" w:hanging="1134"/>
    </w:pPr>
  </w:style>
  <w:style w:type="paragraph" w:customStyle="1" w:styleId="PointDouble4">
    <w:name w:val="PointDouble 4"/>
    <w:basedOn w:val="Normal"/>
    <w:pPr>
      <w:tabs>
        <w:tab w:val="left" w:pos="3118"/>
      </w:tabs>
      <w:ind w:left="3685" w:hanging="1134"/>
    </w:pPr>
  </w:style>
  <w:style w:type="paragraph" w:customStyle="1" w:styleId="PointTriple0">
    <w:name w:val="PointTriple 0"/>
    <w:basedOn w:val="Normal"/>
    <w:pPr>
      <w:tabs>
        <w:tab w:val="left" w:pos="850"/>
        <w:tab w:val="left" w:pos="1417"/>
      </w:tabs>
      <w:ind w:left="1984" w:hanging="1984"/>
    </w:pPr>
  </w:style>
  <w:style w:type="paragraph" w:customStyle="1" w:styleId="PointTriple1">
    <w:name w:val="PointTriple 1"/>
    <w:basedOn w:val="Normal"/>
    <w:pPr>
      <w:tabs>
        <w:tab w:val="left" w:pos="1417"/>
        <w:tab w:val="left" w:pos="1984"/>
      </w:tabs>
      <w:ind w:left="2551" w:hanging="1701"/>
    </w:pPr>
  </w:style>
  <w:style w:type="paragraph" w:customStyle="1" w:styleId="PointTriple2">
    <w:name w:val="PointTriple 2"/>
    <w:basedOn w:val="Normal"/>
    <w:pPr>
      <w:tabs>
        <w:tab w:val="left" w:pos="1984"/>
        <w:tab w:val="left" w:pos="2551"/>
      </w:tabs>
      <w:ind w:left="3118" w:hanging="1701"/>
    </w:pPr>
  </w:style>
  <w:style w:type="paragraph" w:customStyle="1" w:styleId="PointTriple3">
    <w:name w:val="PointTriple 3"/>
    <w:basedOn w:val="Normal"/>
    <w:pPr>
      <w:tabs>
        <w:tab w:val="left" w:pos="2551"/>
        <w:tab w:val="left" w:pos="3118"/>
      </w:tabs>
      <w:ind w:left="3685" w:hanging="1701"/>
    </w:pPr>
  </w:style>
  <w:style w:type="paragraph" w:customStyle="1" w:styleId="PointTriple4">
    <w:name w:val="PointTriple 4"/>
    <w:basedOn w:val="Normal"/>
    <w:pPr>
      <w:tabs>
        <w:tab w:val="left" w:pos="3118"/>
        <w:tab w:val="left" w:pos="3685"/>
      </w:tabs>
      <w:ind w:left="4252" w:hanging="1701"/>
    </w:pPr>
  </w:style>
  <w:style w:type="paragraph" w:customStyle="1" w:styleId="NumPar1">
    <w:name w:val="NumPar 1"/>
    <w:basedOn w:val="Normal"/>
    <w:next w:val="Text1"/>
    <w:pPr>
      <w:numPr>
        <w:numId w:val="30"/>
      </w:numPr>
    </w:pPr>
  </w:style>
  <w:style w:type="paragraph" w:customStyle="1" w:styleId="NumPar2">
    <w:name w:val="NumPar 2"/>
    <w:basedOn w:val="Normal"/>
    <w:next w:val="Text1"/>
    <w:pPr>
      <w:numPr>
        <w:ilvl w:val="1"/>
        <w:numId w:val="30"/>
      </w:numPr>
    </w:pPr>
  </w:style>
  <w:style w:type="paragraph" w:customStyle="1" w:styleId="NumPar3">
    <w:name w:val="NumPar 3"/>
    <w:basedOn w:val="Normal"/>
    <w:next w:val="Text1"/>
    <w:pPr>
      <w:numPr>
        <w:ilvl w:val="2"/>
        <w:numId w:val="30"/>
      </w:numPr>
    </w:pPr>
  </w:style>
  <w:style w:type="paragraph" w:customStyle="1" w:styleId="NumPar4">
    <w:name w:val="NumPar 4"/>
    <w:basedOn w:val="Normal"/>
    <w:next w:val="Text1"/>
    <w:pPr>
      <w:numPr>
        <w:ilvl w:val="3"/>
        <w:numId w:val="30"/>
      </w:numPr>
    </w:pPr>
  </w:style>
  <w:style w:type="paragraph" w:customStyle="1" w:styleId="ManualNumPar1">
    <w:name w:val="Manual NumPar 1"/>
    <w:basedOn w:val="Normal"/>
    <w:next w:val="Text1"/>
    <w:pPr>
      <w:ind w:left="850" w:hanging="850"/>
    </w:pPr>
  </w:style>
  <w:style w:type="paragraph" w:customStyle="1" w:styleId="ManualNumPar2">
    <w:name w:val="Manual NumPar 2"/>
    <w:basedOn w:val="Normal"/>
    <w:next w:val="Text1"/>
    <w:pPr>
      <w:ind w:left="850" w:hanging="850"/>
    </w:pPr>
  </w:style>
  <w:style w:type="paragraph" w:customStyle="1" w:styleId="ManualNumPar3">
    <w:name w:val="Manual NumPar 3"/>
    <w:basedOn w:val="Normal"/>
    <w:next w:val="Text1"/>
    <w:pPr>
      <w:ind w:left="850" w:hanging="850"/>
    </w:pPr>
  </w:style>
  <w:style w:type="paragraph" w:customStyle="1" w:styleId="ManualNumPar4">
    <w:name w:val="Manual NumPar 4"/>
    <w:basedOn w:val="Normal"/>
    <w:next w:val="Text1"/>
    <w:pPr>
      <w:ind w:left="850" w:hanging="850"/>
    </w:pPr>
  </w:style>
  <w:style w:type="paragraph" w:customStyle="1" w:styleId="QuotedNumPar">
    <w:name w:val="Quoted NumPar"/>
    <w:basedOn w:val="Normal"/>
    <w:pPr>
      <w:ind w:left="1417" w:hanging="567"/>
    </w:pPr>
  </w:style>
  <w:style w:type="paragraph" w:customStyle="1" w:styleId="ManualHeading1">
    <w:name w:val="Manual Heading 1"/>
    <w:basedOn w:val="Normal"/>
    <w:next w:val="Text1"/>
    <w:pPr>
      <w:keepNext/>
      <w:tabs>
        <w:tab w:val="left" w:pos="850"/>
      </w:tabs>
      <w:spacing w:before="360"/>
      <w:ind w:left="850" w:hanging="850"/>
      <w:outlineLvl w:val="0"/>
    </w:pPr>
    <w:rPr>
      <w:b/>
      <w:smallCaps/>
    </w:rPr>
  </w:style>
  <w:style w:type="paragraph" w:customStyle="1" w:styleId="ManualHeading2">
    <w:name w:val="Manual Heading 2"/>
    <w:basedOn w:val="Normal"/>
    <w:next w:val="Text1"/>
    <w:pPr>
      <w:keepNext/>
      <w:tabs>
        <w:tab w:val="left" w:pos="850"/>
      </w:tabs>
      <w:ind w:left="850" w:hanging="850"/>
      <w:outlineLvl w:val="1"/>
    </w:pPr>
    <w:rPr>
      <w:b/>
    </w:rPr>
  </w:style>
  <w:style w:type="paragraph" w:customStyle="1" w:styleId="ManualHeading3">
    <w:name w:val="Manual Heading 3"/>
    <w:basedOn w:val="Normal"/>
    <w:next w:val="Text1"/>
    <w:pPr>
      <w:keepNext/>
      <w:tabs>
        <w:tab w:val="left" w:pos="850"/>
      </w:tabs>
      <w:ind w:left="850" w:hanging="850"/>
      <w:outlineLvl w:val="2"/>
    </w:pPr>
    <w:rPr>
      <w:i/>
    </w:rPr>
  </w:style>
  <w:style w:type="paragraph" w:customStyle="1" w:styleId="ManualHeading4">
    <w:name w:val="Manual Heading 4"/>
    <w:basedOn w:val="Normal"/>
    <w:next w:val="Text1"/>
    <w:pPr>
      <w:keepNext/>
      <w:tabs>
        <w:tab w:val="left" w:pos="850"/>
      </w:tabs>
      <w:ind w:left="850" w:hanging="850"/>
      <w:outlineLvl w:val="3"/>
    </w:pPr>
  </w:style>
  <w:style w:type="paragraph" w:customStyle="1" w:styleId="ChapterTitle">
    <w:name w:val="ChapterTitle"/>
    <w:basedOn w:val="Normal"/>
    <w:next w:val="Normal"/>
    <w:pPr>
      <w:keepNext/>
      <w:spacing w:after="360"/>
      <w:jc w:val="center"/>
    </w:pPr>
    <w:rPr>
      <w:b/>
      <w:sz w:val="32"/>
    </w:rPr>
  </w:style>
  <w:style w:type="paragraph" w:customStyle="1" w:styleId="PartTitle">
    <w:name w:val="PartTitle"/>
    <w:basedOn w:val="Normal"/>
    <w:next w:val="ChapterTitle"/>
    <w:pPr>
      <w:keepNext/>
      <w:pageBreakBefore/>
      <w:spacing w:after="360"/>
      <w:jc w:val="center"/>
    </w:pPr>
    <w:rPr>
      <w:b/>
      <w:sz w:val="36"/>
    </w:rPr>
  </w:style>
  <w:style w:type="paragraph" w:customStyle="1" w:styleId="SectionTitle">
    <w:name w:val="SectionTitle"/>
    <w:basedOn w:val="Normal"/>
    <w:next w:val="Heading1"/>
    <w:pPr>
      <w:keepNext/>
      <w:spacing w:after="360"/>
      <w:jc w:val="center"/>
    </w:pPr>
    <w:rPr>
      <w:b/>
      <w:smallCaps/>
      <w:sz w:val="28"/>
    </w:rPr>
  </w:style>
  <w:style w:type="paragraph" w:customStyle="1" w:styleId="TableTitle">
    <w:name w:val="Table Title"/>
    <w:basedOn w:val="Normal"/>
    <w:next w:val="Normal"/>
    <w:pPr>
      <w:jc w:val="center"/>
    </w:pPr>
    <w:rPr>
      <w:b/>
    </w:rPr>
  </w:style>
  <w:style w:type="character" w:customStyle="1" w:styleId="Marker">
    <w:name w:val="Marker"/>
    <w:basedOn w:val="DefaultParagraphFont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Pr>
      <w:color w:val="008000"/>
      <w:shd w:val="clear" w:color="auto" w:fill="auto"/>
    </w:rPr>
  </w:style>
  <w:style w:type="character" w:customStyle="1" w:styleId="Marker2">
    <w:name w:val="Marker2"/>
    <w:basedOn w:val="DefaultParagraphFont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pPr>
      <w:numPr>
        <w:numId w:val="32"/>
      </w:numPr>
    </w:pPr>
  </w:style>
  <w:style w:type="paragraph" w:customStyle="1" w:styleId="Point1number">
    <w:name w:val="Point 1 (number)"/>
    <w:basedOn w:val="Normal"/>
    <w:pPr>
      <w:numPr>
        <w:ilvl w:val="2"/>
        <w:numId w:val="32"/>
      </w:numPr>
    </w:pPr>
  </w:style>
  <w:style w:type="paragraph" w:customStyle="1" w:styleId="Point2number">
    <w:name w:val="Point 2 (number)"/>
    <w:basedOn w:val="Normal"/>
    <w:pPr>
      <w:numPr>
        <w:ilvl w:val="4"/>
        <w:numId w:val="32"/>
      </w:numPr>
    </w:pPr>
  </w:style>
  <w:style w:type="paragraph" w:customStyle="1" w:styleId="Point3number">
    <w:name w:val="Point 3 (number)"/>
    <w:basedOn w:val="Normal"/>
    <w:pPr>
      <w:numPr>
        <w:ilvl w:val="6"/>
        <w:numId w:val="32"/>
      </w:numPr>
    </w:pPr>
  </w:style>
  <w:style w:type="paragraph" w:customStyle="1" w:styleId="Point0letter">
    <w:name w:val="Point 0 (letter)"/>
    <w:basedOn w:val="Normal"/>
    <w:pPr>
      <w:numPr>
        <w:ilvl w:val="1"/>
        <w:numId w:val="32"/>
      </w:numPr>
    </w:pPr>
  </w:style>
  <w:style w:type="paragraph" w:customStyle="1" w:styleId="Point1letter">
    <w:name w:val="Point 1 (letter)"/>
    <w:basedOn w:val="Normal"/>
    <w:pPr>
      <w:numPr>
        <w:ilvl w:val="3"/>
        <w:numId w:val="32"/>
      </w:numPr>
    </w:pPr>
  </w:style>
  <w:style w:type="paragraph" w:customStyle="1" w:styleId="Point2letter">
    <w:name w:val="Point 2 (letter)"/>
    <w:basedOn w:val="Normal"/>
    <w:pPr>
      <w:numPr>
        <w:ilvl w:val="5"/>
        <w:numId w:val="32"/>
      </w:numPr>
    </w:pPr>
  </w:style>
  <w:style w:type="paragraph" w:customStyle="1" w:styleId="Point3letter">
    <w:name w:val="Point 3 (letter)"/>
    <w:basedOn w:val="Normal"/>
    <w:pPr>
      <w:numPr>
        <w:ilvl w:val="7"/>
        <w:numId w:val="32"/>
      </w:numPr>
    </w:pPr>
  </w:style>
  <w:style w:type="paragraph" w:customStyle="1" w:styleId="Point4letter">
    <w:name w:val="Point 4 (letter)"/>
    <w:basedOn w:val="Normal"/>
    <w:pPr>
      <w:numPr>
        <w:ilvl w:val="8"/>
        <w:numId w:val="32"/>
      </w:numPr>
    </w:pPr>
  </w:style>
  <w:style w:type="paragraph" w:customStyle="1" w:styleId="Bullet0">
    <w:name w:val="Bullet 0"/>
    <w:basedOn w:val="Normal"/>
    <w:pPr>
      <w:numPr>
        <w:numId w:val="33"/>
      </w:numPr>
    </w:pPr>
  </w:style>
  <w:style w:type="paragraph" w:customStyle="1" w:styleId="Bullet1">
    <w:name w:val="Bullet 1"/>
    <w:basedOn w:val="Normal"/>
    <w:pPr>
      <w:numPr>
        <w:numId w:val="34"/>
      </w:numPr>
    </w:pPr>
  </w:style>
  <w:style w:type="paragraph" w:customStyle="1" w:styleId="Bullet2">
    <w:name w:val="Bullet 2"/>
    <w:basedOn w:val="Normal"/>
    <w:pPr>
      <w:numPr>
        <w:numId w:val="35"/>
      </w:numPr>
    </w:pPr>
  </w:style>
  <w:style w:type="paragraph" w:customStyle="1" w:styleId="Bullet3">
    <w:name w:val="Bullet 3"/>
    <w:basedOn w:val="Normal"/>
    <w:pPr>
      <w:numPr>
        <w:numId w:val="36"/>
      </w:numPr>
    </w:pPr>
  </w:style>
  <w:style w:type="paragraph" w:customStyle="1" w:styleId="Bullet4">
    <w:name w:val="Bullet 4"/>
    <w:basedOn w:val="Normal"/>
    <w:pPr>
      <w:numPr>
        <w:numId w:val="37"/>
      </w:numPr>
    </w:pPr>
  </w:style>
  <w:style w:type="paragraph" w:customStyle="1" w:styleId="Langue">
    <w:name w:val="Langue"/>
    <w:basedOn w:val="Normal"/>
    <w:next w:val="Rfrenceinterne"/>
    <w:pPr>
      <w:framePr w:wrap="around" w:vAnchor="page" w:hAnchor="text" w:xAlign="center" w:y="14741"/>
      <w:spacing w:before="0" w:after="600"/>
      <w:jc w:val="center"/>
    </w:pPr>
    <w:rPr>
      <w:b/>
      <w:caps/>
    </w:rPr>
  </w:style>
  <w:style w:type="paragraph" w:customStyle="1" w:styleId="Nomdelinstitution">
    <w:name w:val="Nom de l'institution"/>
    <w:basedOn w:val="Normal"/>
    <w:next w:val="Emission"/>
    <w:pPr>
      <w:spacing w:before="0" w:after="0"/>
      <w:jc w:val="left"/>
    </w:pPr>
    <w:rPr>
      <w:rFonts w:ascii="Arial" w:hAnsi="Arial" w:cs="Arial"/>
    </w:rPr>
  </w:style>
  <w:style w:type="paragraph" w:customStyle="1" w:styleId="Emission">
    <w:name w:val="Emission"/>
    <w:basedOn w:val="Normal"/>
    <w:next w:val="Rfrenceinstitutionnelle"/>
    <w:pPr>
      <w:spacing w:before="0" w:after="0"/>
      <w:ind w:left="5103"/>
      <w:jc w:val="left"/>
    </w:pPr>
  </w:style>
  <w:style w:type="paragraph" w:customStyle="1" w:styleId="Rfrenceinstitutionnelle">
    <w:name w:val="Référence institutionnelle"/>
    <w:basedOn w:val="Normal"/>
    <w:next w:val="Confidentialit"/>
    <w:pPr>
      <w:spacing w:before="0" w:after="240"/>
      <w:ind w:left="5103"/>
      <w:jc w:val="left"/>
    </w:pPr>
  </w:style>
  <w:style w:type="paragraph" w:customStyle="1" w:styleId="Pagedecouverture">
    <w:name w:val="Page de couverture"/>
    <w:basedOn w:val="Normal"/>
    <w:next w:val="Normal"/>
    <w:pPr>
      <w:spacing w:before="0" w:after="0"/>
    </w:pPr>
  </w:style>
  <w:style w:type="paragraph" w:customStyle="1" w:styleId="Declassification">
    <w:name w:val="Declassification"/>
    <w:basedOn w:val="Normal"/>
    <w:next w:val="Normal"/>
    <w:pPr>
      <w:spacing w:before="0" w:after="0"/>
    </w:pPr>
  </w:style>
  <w:style w:type="paragraph" w:customStyle="1" w:styleId="Disclaimer">
    <w:name w:val="Disclaimer"/>
    <w:basedOn w:val="Normal"/>
    <w:pPr>
      <w:framePr w:w="8220" w:wrap="notBeside" w:hAnchor="margin" w:xAlign="center" w:y="10401"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</w:pPr>
  </w:style>
  <w:style w:type="paragraph" w:customStyle="1" w:styleId="Annexetitreexpos">
    <w:name w:val="Annexe titre (exposé)"/>
    <w:basedOn w:val="Normal"/>
    <w:next w:val="Normal"/>
    <w:pPr>
      <w:jc w:val="center"/>
    </w:pPr>
    <w:rPr>
      <w:b/>
      <w:u w:val="single"/>
    </w:rPr>
  </w:style>
  <w:style w:type="paragraph" w:customStyle="1" w:styleId="Annexetitre">
    <w:name w:val="Annexe titre"/>
    <w:basedOn w:val="Normal"/>
    <w:next w:val="Normal"/>
    <w:pPr>
      <w:jc w:val="center"/>
    </w:pPr>
    <w:rPr>
      <w:b/>
      <w:u w:val="single"/>
    </w:rPr>
  </w:style>
  <w:style w:type="paragraph" w:customStyle="1" w:styleId="Annexetitrefichefinancire">
    <w:name w:val="Annexe titre (fiche financière)"/>
    <w:basedOn w:val="Normal"/>
    <w:next w:val="Normal"/>
    <w:pPr>
      <w:jc w:val="center"/>
    </w:pPr>
    <w:rPr>
      <w:b/>
      <w:u w:val="single"/>
    </w:rPr>
  </w:style>
  <w:style w:type="paragraph" w:customStyle="1" w:styleId="Applicationdirecte">
    <w:name w:val="Application directe"/>
    <w:basedOn w:val="Normal"/>
    <w:next w:val="Fait"/>
    <w:pPr>
      <w:spacing w:before="480"/>
    </w:pPr>
  </w:style>
  <w:style w:type="paragraph" w:customStyle="1" w:styleId="Avertissementtitre">
    <w:name w:val="Avertissement titre"/>
    <w:basedOn w:val="Normal"/>
    <w:next w:val="Normal"/>
    <w:pPr>
      <w:keepNext/>
      <w:spacing w:before="480"/>
    </w:pPr>
    <w:rPr>
      <w:u w:val="single"/>
    </w:rPr>
  </w:style>
  <w:style w:type="paragraph" w:customStyle="1" w:styleId="Confidence">
    <w:name w:val="Confidence"/>
    <w:basedOn w:val="Normal"/>
    <w:next w:val="Normal"/>
    <w:pPr>
      <w:spacing w:before="360"/>
      <w:jc w:val="center"/>
    </w:pPr>
  </w:style>
  <w:style w:type="paragraph" w:customStyle="1" w:styleId="Confidentialit">
    <w:name w:val="Confidentialité"/>
    <w:basedOn w:val="Normal"/>
    <w:next w:val="TypedudocumentPagedecouverture"/>
    <w:pPr>
      <w:spacing w:before="240" w:after="240"/>
      <w:ind w:left="5103"/>
      <w:jc w:val="left"/>
    </w:pPr>
    <w:rPr>
      <w:i/>
      <w:sz w:val="32"/>
    </w:rPr>
  </w:style>
  <w:style w:type="paragraph" w:customStyle="1" w:styleId="Considrant">
    <w:name w:val="Considérant"/>
    <w:basedOn w:val="Normal"/>
    <w:pPr>
      <w:numPr>
        <w:numId w:val="38"/>
      </w:numPr>
    </w:pPr>
  </w:style>
  <w:style w:type="paragraph" w:customStyle="1" w:styleId="Corrigendum">
    <w:name w:val="Corrigendum"/>
    <w:basedOn w:val="Normal"/>
    <w:next w:val="Normal"/>
    <w:pPr>
      <w:spacing w:before="0" w:after="240"/>
      <w:jc w:val="left"/>
    </w:pPr>
  </w:style>
  <w:style w:type="paragraph" w:customStyle="1" w:styleId="Datedadoption">
    <w:name w:val="Date d'adoption"/>
    <w:basedOn w:val="Normal"/>
    <w:next w:val="Titreobjet"/>
    <w:pPr>
      <w:spacing w:before="360" w:after="0"/>
      <w:jc w:val="center"/>
    </w:pPr>
    <w:rPr>
      <w:b/>
    </w:rPr>
  </w:style>
  <w:style w:type="paragraph" w:customStyle="1" w:styleId="Exposdesmotifstitre">
    <w:name w:val="Exposé des motifs titre"/>
    <w:basedOn w:val="Normal"/>
    <w:next w:val="Normal"/>
    <w:pPr>
      <w:jc w:val="center"/>
    </w:pPr>
    <w:rPr>
      <w:b/>
      <w:u w:val="single"/>
    </w:rPr>
  </w:style>
  <w:style w:type="paragraph" w:customStyle="1" w:styleId="Fait">
    <w:name w:val="Fait à"/>
    <w:basedOn w:val="Normal"/>
    <w:next w:val="Institutionquisigne"/>
    <w:pPr>
      <w:keepNext/>
      <w:spacing w:after="0"/>
    </w:pPr>
  </w:style>
  <w:style w:type="paragraph" w:customStyle="1" w:styleId="Formuledadoption">
    <w:name w:val="Formule d'adoption"/>
    <w:basedOn w:val="Normal"/>
    <w:next w:val="Titrearticle"/>
    <w:pPr>
      <w:keepNext/>
    </w:pPr>
  </w:style>
  <w:style w:type="paragraph" w:customStyle="1" w:styleId="Institutionquiagit">
    <w:name w:val="Institution qui agit"/>
    <w:basedOn w:val="Normal"/>
    <w:next w:val="Normal"/>
    <w:pPr>
      <w:keepNext/>
      <w:spacing w:before="600"/>
    </w:pPr>
  </w:style>
  <w:style w:type="paragraph" w:customStyle="1" w:styleId="Institutionquisigne">
    <w:name w:val="Institution qui signe"/>
    <w:basedOn w:val="Normal"/>
    <w:next w:val="Personnequisigne"/>
    <w:pPr>
      <w:keepNext/>
      <w:tabs>
        <w:tab w:val="left" w:pos="4252"/>
      </w:tabs>
      <w:spacing w:before="720" w:after="0"/>
    </w:pPr>
    <w:rPr>
      <w:i/>
    </w:rPr>
  </w:style>
  <w:style w:type="paragraph" w:customStyle="1" w:styleId="ManualConsidrant">
    <w:name w:val="Manual Considérant"/>
    <w:basedOn w:val="Normal"/>
    <w:pPr>
      <w:ind w:left="709" w:hanging="709"/>
    </w:pPr>
  </w:style>
  <w:style w:type="paragraph" w:customStyle="1" w:styleId="Personnequisigne">
    <w:name w:val="Personne qui signe"/>
    <w:basedOn w:val="Normal"/>
    <w:next w:val="Institutionquisigne"/>
    <w:pPr>
      <w:tabs>
        <w:tab w:val="left" w:pos="4252"/>
      </w:tabs>
      <w:spacing w:before="0" w:after="0"/>
      <w:jc w:val="left"/>
    </w:pPr>
    <w:rPr>
      <w:i/>
    </w:rPr>
  </w:style>
  <w:style w:type="paragraph" w:customStyle="1" w:styleId="Rfrenceinterinstitutionnelle">
    <w:name w:val="Référence interinstitutionnelle"/>
    <w:basedOn w:val="Normal"/>
    <w:next w:val="Statut"/>
    <w:pPr>
      <w:spacing w:before="0" w:after="0"/>
      <w:ind w:left="5103"/>
      <w:jc w:val="left"/>
    </w:pPr>
  </w:style>
  <w:style w:type="paragraph" w:customStyle="1" w:styleId="Rfrenceinterne">
    <w:name w:val="Référence interne"/>
    <w:basedOn w:val="Normal"/>
    <w:next w:val="Rfrenceinterinstitutionnelle"/>
    <w:pPr>
      <w:spacing w:before="0" w:after="0"/>
      <w:ind w:left="5103"/>
      <w:jc w:val="left"/>
    </w:pPr>
  </w:style>
  <w:style w:type="paragraph" w:customStyle="1" w:styleId="Statut">
    <w:name w:val="Statut"/>
    <w:basedOn w:val="Normal"/>
    <w:next w:val="Typedudocument"/>
    <w:pPr>
      <w:spacing w:before="360" w:after="0"/>
      <w:jc w:val="center"/>
    </w:pPr>
  </w:style>
  <w:style w:type="paragraph" w:customStyle="1" w:styleId="Titrearticle">
    <w:name w:val="Titre article"/>
    <w:basedOn w:val="Normal"/>
    <w:next w:val="Normal"/>
    <w:pPr>
      <w:keepNext/>
      <w:spacing w:before="360"/>
      <w:jc w:val="center"/>
    </w:pPr>
    <w:rPr>
      <w:i/>
    </w:rPr>
  </w:style>
  <w:style w:type="paragraph" w:customStyle="1" w:styleId="Titreobjet">
    <w:name w:val="Titre objet"/>
    <w:basedOn w:val="Normal"/>
    <w:next w:val="IntrtEEE"/>
    <w:pPr>
      <w:spacing w:before="360" w:after="360"/>
      <w:jc w:val="center"/>
    </w:pPr>
    <w:rPr>
      <w:b/>
    </w:rPr>
  </w:style>
  <w:style w:type="paragraph" w:customStyle="1" w:styleId="Typedudocument">
    <w:name w:val="Type du document"/>
    <w:basedOn w:val="Normal"/>
    <w:next w:val="Titreobjet"/>
    <w:pPr>
      <w:spacing w:before="360" w:after="0"/>
      <w:jc w:val="center"/>
    </w:pPr>
    <w:rPr>
      <w:b/>
    </w:rPr>
  </w:style>
  <w:style w:type="character" w:customStyle="1" w:styleId="Added">
    <w:name w:val="Added"/>
    <w:basedOn w:val="DefaultParagraphFont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pPr>
      <w:keepLines/>
      <w:spacing w:line="360" w:lineRule="auto"/>
      <w:ind w:left="3402"/>
      <w:jc w:val="left"/>
    </w:pPr>
  </w:style>
  <w:style w:type="paragraph" w:customStyle="1" w:styleId="Objetexterne">
    <w:name w:val="Objet externe"/>
    <w:basedOn w:val="Normal"/>
    <w:next w:val="Normal"/>
    <w:rPr>
      <w:i/>
      <w:caps/>
    </w:rPr>
  </w:style>
  <w:style w:type="paragraph" w:customStyle="1" w:styleId="Supertitre">
    <w:name w:val="Supertitre"/>
    <w:basedOn w:val="Normal"/>
    <w:next w:val="Normal"/>
    <w:pPr>
      <w:spacing w:before="0" w:after="600"/>
      <w:jc w:val="center"/>
    </w:pPr>
    <w:rPr>
      <w:b/>
    </w:rPr>
  </w:style>
  <w:style w:type="paragraph" w:customStyle="1" w:styleId="Languesfaisantfoi">
    <w:name w:val="Langues faisant foi"/>
    <w:basedOn w:val="Normal"/>
    <w:next w:val="Normal"/>
    <w:pPr>
      <w:spacing w:before="360" w:after="0"/>
      <w:jc w:val="center"/>
    </w:pPr>
  </w:style>
  <w:style w:type="paragraph" w:customStyle="1" w:styleId="Rfrencecroise">
    <w:name w:val="Référence croisée"/>
    <w:basedOn w:val="Normal"/>
    <w:pPr>
      <w:spacing w:before="0" w:after="0"/>
      <w:jc w:val="center"/>
    </w:pPr>
  </w:style>
  <w:style w:type="paragraph" w:customStyle="1" w:styleId="Fichefinanciretitre">
    <w:name w:val="Fiche financière titre"/>
    <w:basedOn w:val="Normal"/>
    <w:next w:val="Normal"/>
    <w:pPr>
      <w:jc w:val="center"/>
    </w:pPr>
    <w:rPr>
      <w:b/>
      <w:u w:val="single"/>
    </w:rPr>
  </w:style>
  <w:style w:type="paragraph" w:customStyle="1" w:styleId="DatedadoptionPagedecouverture">
    <w:name w:val="Date d'adoption (Page de couverture)"/>
    <w:basedOn w:val="Datedadoption"/>
    <w:next w:val="TitreobjetPagedecouverture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</w:style>
  <w:style w:type="paragraph" w:customStyle="1" w:styleId="StatutPagedecouverture">
    <w:name w:val="Statut (Page de couverture)"/>
    <w:basedOn w:val="Statut"/>
    <w:next w:val="TypedudocumentPagedecouverture"/>
  </w:style>
  <w:style w:type="paragraph" w:customStyle="1" w:styleId="TitreobjetPagedecouverture">
    <w:name w:val="Titre objet (Page de couverture)"/>
    <w:basedOn w:val="Titreobjet"/>
    <w:next w:val="IntrtEEEPagedecouverture"/>
  </w:style>
  <w:style w:type="paragraph" w:customStyle="1" w:styleId="TypedudocumentPagedecouverture">
    <w:name w:val="Type du document (Page de couverture)"/>
    <w:basedOn w:val="Typedudocument"/>
    <w:next w:val="TitreobjetPagedecouverture"/>
  </w:style>
  <w:style w:type="paragraph" w:customStyle="1" w:styleId="Volume">
    <w:name w:val="Volume"/>
    <w:basedOn w:val="Normal"/>
    <w:next w:val="Confidentialit"/>
    <w:pPr>
      <w:spacing w:before="0" w:after="240"/>
      <w:ind w:left="5103"/>
      <w:jc w:val="left"/>
    </w:pPr>
  </w:style>
  <w:style w:type="paragraph" w:customStyle="1" w:styleId="IntrtEEE">
    <w:name w:val="Intérêt EEE"/>
    <w:basedOn w:val="Languesfaisantfoi"/>
    <w:next w:val="Normal"/>
    <w:pPr>
      <w:spacing w:after="240"/>
    </w:pPr>
  </w:style>
  <w:style w:type="paragraph" w:customStyle="1" w:styleId="Accompagnant">
    <w:name w:val="Accompagnant"/>
    <w:basedOn w:val="Normal"/>
    <w:next w:val="Typeacteprincipal"/>
    <w:pPr>
      <w:spacing w:before="0" w:after="240"/>
      <w:jc w:val="center"/>
    </w:pPr>
    <w:rPr>
      <w:b/>
      <w:i/>
    </w:rPr>
  </w:style>
  <w:style w:type="paragraph" w:customStyle="1" w:styleId="Typeacteprincipal">
    <w:name w:val="Type acte principal"/>
    <w:basedOn w:val="Normal"/>
    <w:next w:val="Objetacteprincipal"/>
    <w:pPr>
      <w:spacing w:before="0" w:after="240"/>
      <w:jc w:val="center"/>
    </w:pPr>
    <w:rPr>
      <w:b/>
    </w:rPr>
  </w:style>
  <w:style w:type="paragraph" w:customStyle="1" w:styleId="Objetacteprincipal">
    <w:name w:val="Objet acte principal"/>
    <w:basedOn w:val="Normal"/>
    <w:next w:val="Titrearticle"/>
    <w:pPr>
      <w:spacing w:before="0" w:after="360"/>
      <w:jc w:val="center"/>
    </w:pPr>
    <w:rPr>
      <w:b/>
    </w:rPr>
  </w:style>
  <w:style w:type="paragraph" w:customStyle="1" w:styleId="IntrtEEEPagedecouverture">
    <w:name w:val="Intérêt EEE (Page de couverture)"/>
    <w:basedOn w:val="IntrtEEE"/>
    <w:next w:val="Rfrencecroise"/>
  </w:style>
  <w:style w:type="paragraph" w:customStyle="1" w:styleId="AccompagnantPagedecouverture">
    <w:name w:val="Accompagnant (Page de couverture)"/>
    <w:basedOn w:val="Accompagnant"/>
    <w:next w:val="TypeacteprincipalPagedecouverture"/>
  </w:style>
  <w:style w:type="paragraph" w:customStyle="1" w:styleId="TypeacteprincipalPagedecouverture">
    <w:name w:val="Type acte principal (Page de couverture)"/>
    <w:basedOn w:val="Typeacteprincipal"/>
    <w:next w:val="ObjetacteprincipalPagedecouverture"/>
  </w:style>
  <w:style w:type="paragraph" w:customStyle="1" w:styleId="ObjetacteprincipalPagedecouverture">
    <w:name w:val="Objet acte principal (Page de couverture)"/>
    <w:basedOn w:val="Objetacteprincipal"/>
    <w:next w:val="Rfrencecroise"/>
  </w:style>
  <w:style w:type="paragraph" w:customStyle="1" w:styleId="LanguesfaisantfoiPagedecouverture">
    <w:name w:val="Langues faisant foi (Page de couverture)"/>
    <w:basedOn w:val="Normal"/>
    <w:next w:val="Normal"/>
    <w:pPr>
      <w:spacing w:before="360" w:after="0"/>
      <w:jc w:val="center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before="120" w:after="120" w:line="240" w:lineRule="auto"/>
      <w:jc w:val="both"/>
    </w:pPr>
    <w:rPr>
      <w:rFonts w:ascii="Times New Roman" w:hAnsi="Times New Roman" w:cs="Times New Roman"/>
      <w:sz w:val="24"/>
      <w:lang w:val="mt-MT"/>
    </w:rPr>
  </w:style>
  <w:style w:type="paragraph" w:styleId="Heading1">
    <w:name w:val="heading 1"/>
    <w:basedOn w:val="Normal"/>
    <w:next w:val="Text1"/>
    <w:link w:val="Heading1Char"/>
    <w:uiPriority w:val="9"/>
    <w:qFormat/>
    <w:pPr>
      <w:keepNext/>
      <w:numPr>
        <w:numId w:val="31"/>
      </w:numPr>
      <w:spacing w:before="360"/>
      <w:outlineLvl w:val="0"/>
    </w:pPr>
    <w:rPr>
      <w:rFonts w:eastAsiaTheme="majorEastAsia"/>
      <w:b/>
      <w:bCs/>
      <w:smallCaps/>
      <w:szCs w:val="28"/>
    </w:rPr>
  </w:style>
  <w:style w:type="paragraph" w:styleId="Heading2">
    <w:name w:val="heading 2"/>
    <w:basedOn w:val="Normal"/>
    <w:next w:val="Text1"/>
    <w:link w:val="Heading2Char"/>
    <w:uiPriority w:val="9"/>
    <w:semiHidden/>
    <w:unhideWhenUsed/>
    <w:qFormat/>
    <w:pPr>
      <w:keepNext/>
      <w:numPr>
        <w:ilvl w:val="1"/>
        <w:numId w:val="31"/>
      </w:numPr>
      <w:outlineLvl w:val="1"/>
    </w:pPr>
    <w:rPr>
      <w:rFonts w:eastAsiaTheme="majorEastAsia"/>
      <w:b/>
      <w:bCs/>
      <w:szCs w:val="26"/>
    </w:rPr>
  </w:style>
  <w:style w:type="paragraph" w:styleId="Heading3">
    <w:name w:val="heading 3"/>
    <w:basedOn w:val="Normal"/>
    <w:next w:val="Text1"/>
    <w:link w:val="Heading3Char"/>
    <w:uiPriority w:val="9"/>
    <w:semiHidden/>
    <w:unhideWhenUsed/>
    <w:qFormat/>
    <w:pPr>
      <w:keepNext/>
      <w:numPr>
        <w:ilvl w:val="2"/>
        <w:numId w:val="31"/>
      </w:numPr>
      <w:outlineLvl w:val="2"/>
    </w:pPr>
    <w:rPr>
      <w:rFonts w:eastAsiaTheme="majorEastAsia"/>
      <w:bCs/>
      <w:i/>
    </w:rPr>
  </w:style>
  <w:style w:type="paragraph" w:styleId="Heading4">
    <w:name w:val="heading 4"/>
    <w:basedOn w:val="Normal"/>
    <w:next w:val="Text1"/>
    <w:link w:val="Heading4Char"/>
    <w:uiPriority w:val="9"/>
    <w:semiHidden/>
    <w:unhideWhenUsed/>
    <w:qFormat/>
    <w:pPr>
      <w:keepNext/>
      <w:numPr>
        <w:ilvl w:val="3"/>
        <w:numId w:val="31"/>
      </w:numPr>
      <w:outlineLvl w:val="3"/>
    </w:pPr>
    <w:rPr>
      <w:rFonts w:eastAsiaTheme="majorEastAsia"/>
      <w:bCs/>
      <w:iCs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Bullet">
    <w:name w:val="List Bullet"/>
    <w:basedOn w:val="Normal"/>
    <w:uiPriority w:val="99"/>
    <w:semiHidden/>
    <w:unhideWhenUsed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pPr>
      <w:numPr>
        <w:numId w:val="4"/>
      </w:numPr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  <w:lang w:val="mt-MT"/>
    </w:rPr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before="0" w:after="200"/>
    </w:pPr>
    <w:rPr>
      <w:b/>
      <w:bCs/>
      <w:color w:val="4F81BD" w:themeColor="accent1"/>
      <w:sz w:val="18"/>
      <w:szCs w:val="18"/>
    </w:rPr>
  </w:style>
  <w:style w:type="paragraph" w:styleId="TableofFigures">
    <w:name w:val="table of figures"/>
    <w:basedOn w:val="Normal"/>
    <w:next w:val="Normal"/>
    <w:uiPriority w:val="99"/>
    <w:semiHidden/>
    <w:unhideWhenUsed/>
    <w:pPr>
      <w:spacing w:after="0"/>
    </w:pPr>
  </w:style>
  <w:style w:type="paragraph" w:styleId="ListNumber">
    <w:name w:val="List Number"/>
    <w:basedOn w:val="Normal"/>
    <w:uiPriority w:val="99"/>
    <w:semiHidden/>
    <w:unhideWhenUsed/>
    <w:pPr>
      <w:numPr>
        <w:numId w:val="7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pPr>
      <w:numPr>
        <w:numId w:val="8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pPr>
      <w:numPr>
        <w:numId w:val="9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pPr>
      <w:numPr>
        <w:numId w:val="10"/>
      </w:numPr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Times New Roman" w:hAnsi="Times New Roman" w:cs="Times New Roman"/>
      <w:sz w:val="20"/>
      <w:szCs w:val="20"/>
      <w:lang w:val="mt-M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rFonts w:ascii="Times New Roman" w:hAnsi="Times New Roman" w:cs="Times New Roman"/>
      <w:b/>
      <w:bCs/>
      <w:sz w:val="20"/>
      <w:szCs w:val="20"/>
      <w:lang w:val="mt-MT"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35"/>
        <w:tab w:val="right" w:pos="9071"/>
      </w:tabs>
      <w:spacing w:before="0"/>
    </w:pPr>
  </w:style>
  <w:style w:type="character" w:customStyle="1" w:styleId="HeaderChar">
    <w:name w:val="Header Char"/>
    <w:basedOn w:val="DefaultParagraphFont"/>
    <w:link w:val="Header"/>
    <w:uiPriority w:val="99"/>
    <w:rPr>
      <w:rFonts w:ascii="Times New Roman" w:hAnsi="Times New Roman" w:cs="Times New Roman"/>
      <w:sz w:val="24"/>
      <w:lang w:val="mt-MT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35"/>
        <w:tab w:val="right" w:pos="9071"/>
        <w:tab w:val="right" w:pos="9921"/>
      </w:tabs>
      <w:spacing w:before="360" w:after="0"/>
      <w:ind w:left="-850" w:right="-850"/>
      <w:jc w:val="left"/>
    </w:pPr>
  </w:style>
  <w:style w:type="character" w:customStyle="1" w:styleId="FooterChar">
    <w:name w:val="Footer Char"/>
    <w:basedOn w:val="DefaultParagraphFont"/>
    <w:link w:val="Footer"/>
    <w:uiPriority w:val="99"/>
    <w:rPr>
      <w:rFonts w:ascii="Times New Roman" w:hAnsi="Times New Roman" w:cs="Times New Roman"/>
      <w:sz w:val="24"/>
      <w:lang w:val="mt-M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before="0" w:after="0"/>
      <w:ind w:left="720" w:hanging="72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rFonts w:ascii="Times New Roman" w:hAnsi="Times New Roman" w:cs="Times New Roman"/>
      <w:sz w:val="20"/>
      <w:szCs w:val="20"/>
      <w:shd w:val="clear" w:color="auto" w:fill="auto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="Times New Roman" w:eastAsiaTheme="majorEastAsia" w:hAnsi="Times New Roman" w:cs="Times New Roman"/>
      <w:b/>
      <w:bCs/>
      <w:smallCaps/>
      <w:sz w:val="24"/>
      <w:szCs w:val="28"/>
      <w:shd w:val="clear" w:color="auto" w:fill="auto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="Times New Roman" w:eastAsiaTheme="majorEastAsia" w:hAnsi="Times New Roman" w:cs="Times New Roman"/>
      <w:b/>
      <w:bCs/>
      <w:sz w:val="24"/>
      <w:szCs w:val="26"/>
      <w:shd w:val="clear" w:color="auto" w:fill="auto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="Times New Roman" w:eastAsiaTheme="majorEastAsia" w:hAnsi="Times New Roman" w:cs="Times New Roman"/>
      <w:bCs/>
      <w:i/>
      <w:sz w:val="24"/>
      <w:shd w:val="clear" w:color="auto" w:fill="auto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="Times New Roman" w:eastAsiaTheme="majorEastAsia" w:hAnsi="Times New Roman" w:cs="Times New Roman"/>
      <w:bCs/>
      <w:iCs/>
      <w:sz w:val="24"/>
      <w:shd w:val="clear" w:color="auto" w:fill="auto"/>
      <w:lang w:val="en-GB"/>
    </w:rPr>
  </w:style>
  <w:style w:type="paragraph" w:styleId="TOCHeading">
    <w:name w:val="TOC Heading"/>
    <w:basedOn w:val="Normal"/>
    <w:next w:val="Normal"/>
    <w:uiPriority w:val="39"/>
    <w:semiHidden/>
    <w:unhideWhenUsed/>
    <w:qFormat/>
    <w:pPr>
      <w:spacing w:after="240"/>
      <w:jc w:val="center"/>
    </w:pPr>
    <w:rPr>
      <w:b/>
      <w:sz w:val="28"/>
    </w:rPr>
  </w:style>
  <w:style w:type="paragraph" w:styleId="TOC1">
    <w:name w:val="toc 1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2">
    <w:name w:val="toc 2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3">
    <w:name w:val="toc 3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4">
    <w:name w:val="toc 4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5">
    <w:name w:val="toc 5"/>
    <w:basedOn w:val="Normal"/>
    <w:next w:val="Normal"/>
    <w:uiPriority w:val="39"/>
    <w:semiHidden/>
    <w:unhideWhenUsed/>
    <w:pPr>
      <w:tabs>
        <w:tab w:val="right" w:leader="dot" w:pos="9071"/>
      </w:tabs>
      <w:spacing w:before="300"/>
      <w:jc w:val="left"/>
    </w:pPr>
  </w:style>
  <w:style w:type="paragraph" w:styleId="TOC6">
    <w:name w:val="toc 6"/>
    <w:basedOn w:val="Normal"/>
    <w:next w:val="Normal"/>
    <w:uiPriority w:val="39"/>
    <w:semiHidden/>
    <w:unhideWhenUsed/>
    <w:pPr>
      <w:tabs>
        <w:tab w:val="right" w:leader="dot" w:pos="9071"/>
      </w:tabs>
      <w:spacing w:before="240"/>
      <w:jc w:val="left"/>
    </w:pPr>
  </w:style>
  <w:style w:type="paragraph" w:styleId="TOC7">
    <w:name w:val="toc 7"/>
    <w:basedOn w:val="Normal"/>
    <w:next w:val="Normal"/>
    <w:uiPriority w:val="39"/>
    <w:semiHidden/>
    <w:unhideWhenUsed/>
    <w:pPr>
      <w:tabs>
        <w:tab w:val="right" w:leader="dot" w:pos="9071"/>
      </w:tabs>
      <w:spacing w:before="180"/>
      <w:jc w:val="left"/>
    </w:pPr>
  </w:style>
  <w:style w:type="paragraph" w:styleId="TOC8">
    <w:name w:val="toc 8"/>
    <w:basedOn w:val="Normal"/>
    <w:next w:val="Normal"/>
    <w:uiPriority w:val="39"/>
    <w:semiHidden/>
    <w:unhideWhenUsed/>
    <w:pPr>
      <w:tabs>
        <w:tab w:val="right" w:leader="dot" w:pos="9071"/>
      </w:tabs>
      <w:jc w:val="left"/>
    </w:pPr>
  </w:style>
  <w:style w:type="paragraph" w:styleId="TOC9">
    <w:name w:val="toc 9"/>
    <w:basedOn w:val="Normal"/>
    <w:next w:val="Normal"/>
    <w:uiPriority w:val="39"/>
    <w:semiHidden/>
    <w:unhideWhenUsed/>
    <w:pPr>
      <w:tabs>
        <w:tab w:val="right" w:leader="dot" w:pos="9071"/>
      </w:tabs>
    </w:pPr>
  </w:style>
  <w:style w:type="paragraph" w:customStyle="1" w:styleId="HeaderLandscape">
    <w:name w:val="HeaderLandscape"/>
    <w:basedOn w:val="Normal"/>
    <w:pPr>
      <w:tabs>
        <w:tab w:val="center" w:pos="7285"/>
        <w:tab w:val="right" w:pos="14003"/>
      </w:tabs>
      <w:spacing w:before="0"/>
    </w:pPr>
  </w:style>
  <w:style w:type="paragraph" w:customStyle="1" w:styleId="FooterLandscape">
    <w:name w:val="FooterLandscape"/>
    <w:basedOn w:val="Normal"/>
    <w:pPr>
      <w:tabs>
        <w:tab w:val="center" w:pos="7285"/>
        <w:tab w:val="center" w:pos="10913"/>
        <w:tab w:val="right" w:pos="15137"/>
      </w:tabs>
      <w:spacing w:before="360" w:after="0"/>
      <w:ind w:left="-567" w:right="-567"/>
      <w:jc w:val="left"/>
    </w:pPr>
  </w:style>
  <w:style w:type="character" w:styleId="FootnoteReference">
    <w:name w:val="footnote reference"/>
    <w:basedOn w:val="DefaultParagraphFont"/>
    <w:uiPriority w:val="99"/>
    <w:semiHidden/>
    <w:unhideWhenUsed/>
    <w:rPr>
      <w:shd w:val="clear" w:color="auto" w:fill="auto"/>
      <w:vertAlign w:val="superscript"/>
    </w:rPr>
  </w:style>
  <w:style w:type="paragraph" w:customStyle="1" w:styleId="HeaderSensitivity">
    <w:name w:val="Header Sensitivity"/>
    <w:basedOn w:val="Normal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0"/>
      <w:ind w:left="113" w:right="113"/>
      <w:jc w:val="center"/>
    </w:pPr>
    <w:rPr>
      <w:b/>
      <w:sz w:val="32"/>
    </w:rPr>
  </w:style>
  <w:style w:type="paragraph" w:customStyle="1" w:styleId="FooterSensitivity">
    <w:name w:val="Footer Sensitivity"/>
    <w:basedOn w:val="Normal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 w:after="0"/>
      <w:ind w:left="113" w:right="113"/>
      <w:jc w:val="center"/>
    </w:pPr>
    <w:rPr>
      <w:b/>
      <w:sz w:val="32"/>
    </w:rPr>
  </w:style>
  <w:style w:type="paragraph" w:customStyle="1" w:styleId="Text1">
    <w:name w:val="Text 1"/>
    <w:basedOn w:val="Normal"/>
    <w:pPr>
      <w:ind w:left="850"/>
    </w:pPr>
  </w:style>
  <w:style w:type="paragraph" w:customStyle="1" w:styleId="Text2">
    <w:name w:val="Text 2"/>
    <w:basedOn w:val="Normal"/>
    <w:pPr>
      <w:ind w:left="1417"/>
    </w:pPr>
  </w:style>
  <w:style w:type="paragraph" w:customStyle="1" w:styleId="Text3">
    <w:name w:val="Text 3"/>
    <w:basedOn w:val="Normal"/>
    <w:pPr>
      <w:ind w:left="1984"/>
    </w:pPr>
  </w:style>
  <w:style w:type="paragraph" w:customStyle="1" w:styleId="Text4">
    <w:name w:val="Text 4"/>
    <w:basedOn w:val="Normal"/>
    <w:pPr>
      <w:ind w:left="2551"/>
    </w:pPr>
  </w:style>
  <w:style w:type="paragraph" w:customStyle="1" w:styleId="NormalCentered">
    <w:name w:val="Normal Centered"/>
    <w:basedOn w:val="Normal"/>
    <w:pPr>
      <w:jc w:val="center"/>
    </w:pPr>
  </w:style>
  <w:style w:type="paragraph" w:customStyle="1" w:styleId="NormalLeft">
    <w:name w:val="Normal Left"/>
    <w:basedOn w:val="Normal"/>
    <w:pPr>
      <w:jc w:val="left"/>
    </w:pPr>
  </w:style>
  <w:style w:type="paragraph" w:customStyle="1" w:styleId="NormalRight">
    <w:name w:val="Normal Right"/>
    <w:basedOn w:val="Normal"/>
    <w:pPr>
      <w:jc w:val="right"/>
    </w:pPr>
  </w:style>
  <w:style w:type="paragraph" w:customStyle="1" w:styleId="QuotedText">
    <w:name w:val="Quoted Text"/>
    <w:basedOn w:val="Normal"/>
    <w:pPr>
      <w:ind w:left="1417"/>
    </w:pPr>
  </w:style>
  <w:style w:type="paragraph" w:customStyle="1" w:styleId="Point0">
    <w:name w:val="Point 0"/>
    <w:basedOn w:val="Normal"/>
    <w:pPr>
      <w:ind w:left="850" w:hanging="850"/>
    </w:pPr>
  </w:style>
  <w:style w:type="paragraph" w:customStyle="1" w:styleId="Point1">
    <w:name w:val="Point 1"/>
    <w:basedOn w:val="Normal"/>
    <w:pPr>
      <w:ind w:left="1417" w:hanging="567"/>
    </w:pPr>
  </w:style>
  <w:style w:type="paragraph" w:customStyle="1" w:styleId="Point2">
    <w:name w:val="Point 2"/>
    <w:basedOn w:val="Normal"/>
    <w:pPr>
      <w:ind w:left="1984" w:hanging="567"/>
    </w:pPr>
  </w:style>
  <w:style w:type="paragraph" w:customStyle="1" w:styleId="Point3">
    <w:name w:val="Point 3"/>
    <w:basedOn w:val="Normal"/>
    <w:pPr>
      <w:ind w:left="2551" w:hanging="567"/>
    </w:pPr>
  </w:style>
  <w:style w:type="paragraph" w:customStyle="1" w:styleId="Point4">
    <w:name w:val="Point 4"/>
    <w:basedOn w:val="Normal"/>
    <w:pPr>
      <w:ind w:left="3118" w:hanging="567"/>
    </w:pPr>
  </w:style>
  <w:style w:type="paragraph" w:customStyle="1" w:styleId="Tiret0">
    <w:name w:val="Tiret 0"/>
    <w:basedOn w:val="Point0"/>
    <w:pPr>
      <w:numPr>
        <w:numId w:val="25"/>
      </w:numPr>
    </w:pPr>
  </w:style>
  <w:style w:type="paragraph" w:customStyle="1" w:styleId="Tiret1">
    <w:name w:val="Tiret 1"/>
    <w:basedOn w:val="Point1"/>
    <w:pPr>
      <w:numPr>
        <w:numId w:val="26"/>
      </w:numPr>
    </w:pPr>
  </w:style>
  <w:style w:type="paragraph" w:customStyle="1" w:styleId="Tiret2">
    <w:name w:val="Tiret 2"/>
    <w:basedOn w:val="Point2"/>
    <w:pPr>
      <w:numPr>
        <w:numId w:val="27"/>
      </w:numPr>
    </w:pPr>
  </w:style>
  <w:style w:type="paragraph" w:customStyle="1" w:styleId="Tiret3">
    <w:name w:val="Tiret 3"/>
    <w:basedOn w:val="Point3"/>
    <w:pPr>
      <w:numPr>
        <w:numId w:val="28"/>
      </w:numPr>
    </w:pPr>
  </w:style>
  <w:style w:type="paragraph" w:customStyle="1" w:styleId="Tiret4">
    <w:name w:val="Tiret 4"/>
    <w:basedOn w:val="Point4"/>
    <w:pPr>
      <w:numPr>
        <w:numId w:val="29"/>
      </w:numPr>
    </w:pPr>
  </w:style>
  <w:style w:type="paragraph" w:customStyle="1" w:styleId="PointDouble0">
    <w:name w:val="PointDouble 0"/>
    <w:basedOn w:val="Normal"/>
    <w:pPr>
      <w:tabs>
        <w:tab w:val="left" w:pos="850"/>
      </w:tabs>
      <w:ind w:left="1417" w:hanging="1417"/>
    </w:pPr>
  </w:style>
  <w:style w:type="paragraph" w:customStyle="1" w:styleId="PointDouble1">
    <w:name w:val="PointDouble 1"/>
    <w:basedOn w:val="Normal"/>
    <w:pPr>
      <w:tabs>
        <w:tab w:val="left" w:pos="1417"/>
      </w:tabs>
      <w:ind w:left="1984" w:hanging="1134"/>
    </w:pPr>
  </w:style>
  <w:style w:type="paragraph" w:customStyle="1" w:styleId="PointDouble2">
    <w:name w:val="PointDouble 2"/>
    <w:basedOn w:val="Normal"/>
    <w:pPr>
      <w:tabs>
        <w:tab w:val="left" w:pos="1984"/>
      </w:tabs>
      <w:ind w:left="2551" w:hanging="1134"/>
    </w:pPr>
  </w:style>
  <w:style w:type="paragraph" w:customStyle="1" w:styleId="PointDouble3">
    <w:name w:val="PointDouble 3"/>
    <w:basedOn w:val="Normal"/>
    <w:pPr>
      <w:tabs>
        <w:tab w:val="left" w:pos="2551"/>
      </w:tabs>
      <w:ind w:left="3118" w:hanging="1134"/>
    </w:pPr>
  </w:style>
  <w:style w:type="paragraph" w:customStyle="1" w:styleId="PointDouble4">
    <w:name w:val="PointDouble 4"/>
    <w:basedOn w:val="Normal"/>
    <w:pPr>
      <w:tabs>
        <w:tab w:val="left" w:pos="3118"/>
      </w:tabs>
      <w:ind w:left="3685" w:hanging="1134"/>
    </w:pPr>
  </w:style>
  <w:style w:type="paragraph" w:customStyle="1" w:styleId="PointTriple0">
    <w:name w:val="PointTriple 0"/>
    <w:basedOn w:val="Normal"/>
    <w:pPr>
      <w:tabs>
        <w:tab w:val="left" w:pos="850"/>
        <w:tab w:val="left" w:pos="1417"/>
      </w:tabs>
      <w:ind w:left="1984" w:hanging="1984"/>
    </w:pPr>
  </w:style>
  <w:style w:type="paragraph" w:customStyle="1" w:styleId="PointTriple1">
    <w:name w:val="PointTriple 1"/>
    <w:basedOn w:val="Normal"/>
    <w:pPr>
      <w:tabs>
        <w:tab w:val="left" w:pos="1417"/>
        <w:tab w:val="left" w:pos="1984"/>
      </w:tabs>
      <w:ind w:left="2551" w:hanging="1701"/>
    </w:pPr>
  </w:style>
  <w:style w:type="paragraph" w:customStyle="1" w:styleId="PointTriple2">
    <w:name w:val="PointTriple 2"/>
    <w:basedOn w:val="Normal"/>
    <w:pPr>
      <w:tabs>
        <w:tab w:val="left" w:pos="1984"/>
        <w:tab w:val="left" w:pos="2551"/>
      </w:tabs>
      <w:ind w:left="3118" w:hanging="1701"/>
    </w:pPr>
  </w:style>
  <w:style w:type="paragraph" w:customStyle="1" w:styleId="PointTriple3">
    <w:name w:val="PointTriple 3"/>
    <w:basedOn w:val="Normal"/>
    <w:pPr>
      <w:tabs>
        <w:tab w:val="left" w:pos="2551"/>
        <w:tab w:val="left" w:pos="3118"/>
      </w:tabs>
      <w:ind w:left="3685" w:hanging="1701"/>
    </w:pPr>
  </w:style>
  <w:style w:type="paragraph" w:customStyle="1" w:styleId="PointTriple4">
    <w:name w:val="PointTriple 4"/>
    <w:basedOn w:val="Normal"/>
    <w:pPr>
      <w:tabs>
        <w:tab w:val="left" w:pos="3118"/>
        <w:tab w:val="left" w:pos="3685"/>
      </w:tabs>
      <w:ind w:left="4252" w:hanging="1701"/>
    </w:pPr>
  </w:style>
  <w:style w:type="paragraph" w:customStyle="1" w:styleId="NumPar1">
    <w:name w:val="NumPar 1"/>
    <w:basedOn w:val="Normal"/>
    <w:next w:val="Text1"/>
    <w:pPr>
      <w:numPr>
        <w:numId w:val="30"/>
      </w:numPr>
    </w:pPr>
  </w:style>
  <w:style w:type="paragraph" w:customStyle="1" w:styleId="NumPar2">
    <w:name w:val="NumPar 2"/>
    <w:basedOn w:val="Normal"/>
    <w:next w:val="Text1"/>
    <w:pPr>
      <w:numPr>
        <w:ilvl w:val="1"/>
        <w:numId w:val="30"/>
      </w:numPr>
    </w:pPr>
  </w:style>
  <w:style w:type="paragraph" w:customStyle="1" w:styleId="NumPar3">
    <w:name w:val="NumPar 3"/>
    <w:basedOn w:val="Normal"/>
    <w:next w:val="Text1"/>
    <w:pPr>
      <w:numPr>
        <w:ilvl w:val="2"/>
        <w:numId w:val="30"/>
      </w:numPr>
    </w:pPr>
  </w:style>
  <w:style w:type="paragraph" w:customStyle="1" w:styleId="NumPar4">
    <w:name w:val="NumPar 4"/>
    <w:basedOn w:val="Normal"/>
    <w:next w:val="Text1"/>
    <w:pPr>
      <w:numPr>
        <w:ilvl w:val="3"/>
        <w:numId w:val="30"/>
      </w:numPr>
    </w:pPr>
  </w:style>
  <w:style w:type="paragraph" w:customStyle="1" w:styleId="ManualNumPar1">
    <w:name w:val="Manual NumPar 1"/>
    <w:basedOn w:val="Normal"/>
    <w:next w:val="Text1"/>
    <w:pPr>
      <w:ind w:left="850" w:hanging="850"/>
    </w:pPr>
  </w:style>
  <w:style w:type="paragraph" w:customStyle="1" w:styleId="ManualNumPar2">
    <w:name w:val="Manual NumPar 2"/>
    <w:basedOn w:val="Normal"/>
    <w:next w:val="Text1"/>
    <w:pPr>
      <w:ind w:left="850" w:hanging="850"/>
    </w:pPr>
  </w:style>
  <w:style w:type="paragraph" w:customStyle="1" w:styleId="ManualNumPar3">
    <w:name w:val="Manual NumPar 3"/>
    <w:basedOn w:val="Normal"/>
    <w:next w:val="Text1"/>
    <w:pPr>
      <w:ind w:left="850" w:hanging="850"/>
    </w:pPr>
  </w:style>
  <w:style w:type="paragraph" w:customStyle="1" w:styleId="ManualNumPar4">
    <w:name w:val="Manual NumPar 4"/>
    <w:basedOn w:val="Normal"/>
    <w:next w:val="Text1"/>
    <w:pPr>
      <w:ind w:left="850" w:hanging="850"/>
    </w:pPr>
  </w:style>
  <w:style w:type="paragraph" w:customStyle="1" w:styleId="QuotedNumPar">
    <w:name w:val="Quoted NumPar"/>
    <w:basedOn w:val="Normal"/>
    <w:pPr>
      <w:ind w:left="1417" w:hanging="567"/>
    </w:pPr>
  </w:style>
  <w:style w:type="paragraph" w:customStyle="1" w:styleId="ManualHeading1">
    <w:name w:val="Manual Heading 1"/>
    <w:basedOn w:val="Normal"/>
    <w:next w:val="Text1"/>
    <w:pPr>
      <w:keepNext/>
      <w:tabs>
        <w:tab w:val="left" w:pos="850"/>
      </w:tabs>
      <w:spacing w:before="360"/>
      <w:ind w:left="850" w:hanging="850"/>
      <w:outlineLvl w:val="0"/>
    </w:pPr>
    <w:rPr>
      <w:b/>
      <w:smallCaps/>
    </w:rPr>
  </w:style>
  <w:style w:type="paragraph" w:customStyle="1" w:styleId="ManualHeading2">
    <w:name w:val="Manual Heading 2"/>
    <w:basedOn w:val="Normal"/>
    <w:next w:val="Text1"/>
    <w:pPr>
      <w:keepNext/>
      <w:tabs>
        <w:tab w:val="left" w:pos="850"/>
      </w:tabs>
      <w:ind w:left="850" w:hanging="850"/>
      <w:outlineLvl w:val="1"/>
    </w:pPr>
    <w:rPr>
      <w:b/>
    </w:rPr>
  </w:style>
  <w:style w:type="paragraph" w:customStyle="1" w:styleId="ManualHeading3">
    <w:name w:val="Manual Heading 3"/>
    <w:basedOn w:val="Normal"/>
    <w:next w:val="Text1"/>
    <w:pPr>
      <w:keepNext/>
      <w:tabs>
        <w:tab w:val="left" w:pos="850"/>
      </w:tabs>
      <w:ind w:left="850" w:hanging="850"/>
      <w:outlineLvl w:val="2"/>
    </w:pPr>
    <w:rPr>
      <w:i/>
    </w:rPr>
  </w:style>
  <w:style w:type="paragraph" w:customStyle="1" w:styleId="ManualHeading4">
    <w:name w:val="Manual Heading 4"/>
    <w:basedOn w:val="Normal"/>
    <w:next w:val="Text1"/>
    <w:pPr>
      <w:keepNext/>
      <w:tabs>
        <w:tab w:val="left" w:pos="850"/>
      </w:tabs>
      <w:ind w:left="850" w:hanging="850"/>
      <w:outlineLvl w:val="3"/>
    </w:pPr>
  </w:style>
  <w:style w:type="paragraph" w:customStyle="1" w:styleId="ChapterTitle">
    <w:name w:val="ChapterTitle"/>
    <w:basedOn w:val="Normal"/>
    <w:next w:val="Normal"/>
    <w:pPr>
      <w:keepNext/>
      <w:spacing w:after="360"/>
      <w:jc w:val="center"/>
    </w:pPr>
    <w:rPr>
      <w:b/>
      <w:sz w:val="32"/>
    </w:rPr>
  </w:style>
  <w:style w:type="paragraph" w:customStyle="1" w:styleId="PartTitle">
    <w:name w:val="PartTitle"/>
    <w:basedOn w:val="Normal"/>
    <w:next w:val="ChapterTitle"/>
    <w:pPr>
      <w:keepNext/>
      <w:pageBreakBefore/>
      <w:spacing w:after="360"/>
      <w:jc w:val="center"/>
    </w:pPr>
    <w:rPr>
      <w:b/>
      <w:sz w:val="36"/>
    </w:rPr>
  </w:style>
  <w:style w:type="paragraph" w:customStyle="1" w:styleId="SectionTitle">
    <w:name w:val="SectionTitle"/>
    <w:basedOn w:val="Normal"/>
    <w:next w:val="Heading1"/>
    <w:pPr>
      <w:keepNext/>
      <w:spacing w:after="360"/>
      <w:jc w:val="center"/>
    </w:pPr>
    <w:rPr>
      <w:b/>
      <w:smallCaps/>
      <w:sz w:val="28"/>
    </w:rPr>
  </w:style>
  <w:style w:type="paragraph" w:customStyle="1" w:styleId="TableTitle">
    <w:name w:val="Table Title"/>
    <w:basedOn w:val="Normal"/>
    <w:next w:val="Normal"/>
    <w:pPr>
      <w:jc w:val="center"/>
    </w:pPr>
    <w:rPr>
      <w:b/>
    </w:rPr>
  </w:style>
  <w:style w:type="character" w:customStyle="1" w:styleId="Marker">
    <w:name w:val="Marker"/>
    <w:basedOn w:val="DefaultParagraphFont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Pr>
      <w:color w:val="008000"/>
      <w:shd w:val="clear" w:color="auto" w:fill="auto"/>
    </w:rPr>
  </w:style>
  <w:style w:type="character" w:customStyle="1" w:styleId="Marker2">
    <w:name w:val="Marker2"/>
    <w:basedOn w:val="DefaultParagraphFont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pPr>
      <w:numPr>
        <w:numId w:val="32"/>
      </w:numPr>
    </w:pPr>
  </w:style>
  <w:style w:type="paragraph" w:customStyle="1" w:styleId="Point1number">
    <w:name w:val="Point 1 (number)"/>
    <w:basedOn w:val="Normal"/>
    <w:pPr>
      <w:numPr>
        <w:ilvl w:val="2"/>
        <w:numId w:val="32"/>
      </w:numPr>
    </w:pPr>
  </w:style>
  <w:style w:type="paragraph" w:customStyle="1" w:styleId="Point2number">
    <w:name w:val="Point 2 (number)"/>
    <w:basedOn w:val="Normal"/>
    <w:pPr>
      <w:numPr>
        <w:ilvl w:val="4"/>
        <w:numId w:val="32"/>
      </w:numPr>
    </w:pPr>
  </w:style>
  <w:style w:type="paragraph" w:customStyle="1" w:styleId="Point3number">
    <w:name w:val="Point 3 (number)"/>
    <w:basedOn w:val="Normal"/>
    <w:pPr>
      <w:numPr>
        <w:ilvl w:val="6"/>
        <w:numId w:val="32"/>
      </w:numPr>
    </w:pPr>
  </w:style>
  <w:style w:type="paragraph" w:customStyle="1" w:styleId="Point0letter">
    <w:name w:val="Point 0 (letter)"/>
    <w:basedOn w:val="Normal"/>
    <w:pPr>
      <w:numPr>
        <w:ilvl w:val="1"/>
        <w:numId w:val="32"/>
      </w:numPr>
    </w:pPr>
  </w:style>
  <w:style w:type="paragraph" w:customStyle="1" w:styleId="Point1letter">
    <w:name w:val="Point 1 (letter)"/>
    <w:basedOn w:val="Normal"/>
    <w:pPr>
      <w:numPr>
        <w:ilvl w:val="3"/>
        <w:numId w:val="32"/>
      </w:numPr>
    </w:pPr>
  </w:style>
  <w:style w:type="paragraph" w:customStyle="1" w:styleId="Point2letter">
    <w:name w:val="Point 2 (letter)"/>
    <w:basedOn w:val="Normal"/>
    <w:pPr>
      <w:numPr>
        <w:ilvl w:val="5"/>
        <w:numId w:val="32"/>
      </w:numPr>
    </w:pPr>
  </w:style>
  <w:style w:type="paragraph" w:customStyle="1" w:styleId="Point3letter">
    <w:name w:val="Point 3 (letter)"/>
    <w:basedOn w:val="Normal"/>
    <w:pPr>
      <w:numPr>
        <w:ilvl w:val="7"/>
        <w:numId w:val="32"/>
      </w:numPr>
    </w:pPr>
  </w:style>
  <w:style w:type="paragraph" w:customStyle="1" w:styleId="Point4letter">
    <w:name w:val="Point 4 (letter)"/>
    <w:basedOn w:val="Normal"/>
    <w:pPr>
      <w:numPr>
        <w:ilvl w:val="8"/>
        <w:numId w:val="32"/>
      </w:numPr>
    </w:pPr>
  </w:style>
  <w:style w:type="paragraph" w:customStyle="1" w:styleId="Bullet0">
    <w:name w:val="Bullet 0"/>
    <w:basedOn w:val="Normal"/>
    <w:pPr>
      <w:numPr>
        <w:numId w:val="33"/>
      </w:numPr>
    </w:pPr>
  </w:style>
  <w:style w:type="paragraph" w:customStyle="1" w:styleId="Bullet1">
    <w:name w:val="Bullet 1"/>
    <w:basedOn w:val="Normal"/>
    <w:pPr>
      <w:numPr>
        <w:numId w:val="34"/>
      </w:numPr>
    </w:pPr>
  </w:style>
  <w:style w:type="paragraph" w:customStyle="1" w:styleId="Bullet2">
    <w:name w:val="Bullet 2"/>
    <w:basedOn w:val="Normal"/>
    <w:pPr>
      <w:numPr>
        <w:numId w:val="35"/>
      </w:numPr>
    </w:pPr>
  </w:style>
  <w:style w:type="paragraph" w:customStyle="1" w:styleId="Bullet3">
    <w:name w:val="Bullet 3"/>
    <w:basedOn w:val="Normal"/>
    <w:pPr>
      <w:numPr>
        <w:numId w:val="36"/>
      </w:numPr>
    </w:pPr>
  </w:style>
  <w:style w:type="paragraph" w:customStyle="1" w:styleId="Bullet4">
    <w:name w:val="Bullet 4"/>
    <w:basedOn w:val="Normal"/>
    <w:pPr>
      <w:numPr>
        <w:numId w:val="37"/>
      </w:numPr>
    </w:pPr>
  </w:style>
  <w:style w:type="paragraph" w:customStyle="1" w:styleId="Langue">
    <w:name w:val="Langue"/>
    <w:basedOn w:val="Normal"/>
    <w:next w:val="Rfrenceinterne"/>
    <w:pPr>
      <w:framePr w:wrap="around" w:vAnchor="page" w:hAnchor="text" w:xAlign="center" w:y="14741"/>
      <w:spacing w:before="0" w:after="600"/>
      <w:jc w:val="center"/>
    </w:pPr>
    <w:rPr>
      <w:b/>
      <w:caps/>
    </w:rPr>
  </w:style>
  <w:style w:type="paragraph" w:customStyle="1" w:styleId="Nomdelinstitution">
    <w:name w:val="Nom de l'institution"/>
    <w:basedOn w:val="Normal"/>
    <w:next w:val="Emission"/>
    <w:pPr>
      <w:spacing w:before="0" w:after="0"/>
      <w:jc w:val="left"/>
    </w:pPr>
    <w:rPr>
      <w:rFonts w:ascii="Arial" w:hAnsi="Arial" w:cs="Arial"/>
    </w:rPr>
  </w:style>
  <w:style w:type="paragraph" w:customStyle="1" w:styleId="Emission">
    <w:name w:val="Emission"/>
    <w:basedOn w:val="Normal"/>
    <w:next w:val="Rfrenceinstitutionnelle"/>
    <w:pPr>
      <w:spacing w:before="0" w:after="0"/>
      <w:ind w:left="5103"/>
      <w:jc w:val="left"/>
    </w:pPr>
  </w:style>
  <w:style w:type="paragraph" w:customStyle="1" w:styleId="Rfrenceinstitutionnelle">
    <w:name w:val="Référence institutionnelle"/>
    <w:basedOn w:val="Normal"/>
    <w:next w:val="Confidentialit"/>
    <w:pPr>
      <w:spacing w:before="0" w:after="240"/>
      <w:ind w:left="5103"/>
      <w:jc w:val="left"/>
    </w:pPr>
  </w:style>
  <w:style w:type="paragraph" w:customStyle="1" w:styleId="Pagedecouverture">
    <w:name w:val="Page de couverture"/>
    <w:basedOn w:val="Normal"/>
    <w:next w:val="Normal"/>
    <w:pPr>
      <w:spacing w:before="0" w:after="0"/>
    </w:pPr>
  </w:style>
  <w:style w:type="paragraph" w:customStyle="1" w:styleId="Declassification">
    <w:name w:val="Declassification"/>
    <w:basedOn w:val="Normal"/>
    <w:next w:val="Normal"/>
    <w:pPr>
      <w:spacing w:before="0" w:after="0"/>
    </w:pPr>
  </w:style>
  <w:style w:type="paragraph" w:customStyle="1" w:styleId="Disclaimer">
    <w:name w:val="Disclaimer"/>
    <w:basedOn w:val="Normal"/>
    <w:pPr>
      <w:framePr w:w="8220" w:wrap="notBeside" w:hAnchor="margin" w:xAlign="center" w:y="10401"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</w:pPr>
  </w:style>
  <w:style w:type="paragraph" w:customStyle="1" w:styleId="Annexetitreexpos">
    <w:name w:val="Annexe titre (exposé)"/>
    <w:basedOn w:val="Normal"/>
    <w:next w:val="Normal"/>
    <w:pPr>
      <w:jc w:val="center"/>
    </w:pPr>
    <w:rPr>
      <w:b/>
      <w:u w:val="single"/>
    </w:rPr>
  </w:style>
  <w:style w:type="paragraph" w:customStyle="1" w:styleId="Annexetitre">
    <w:name w:val="Annexe titre"/>
    <w:basedOn w:val="Normal"/>
    <w:next w:val="Normal"/>
    <w:pPr>
      <w:jc w:val="center"/>
    </w:pPr>
    <w:rPr>
      <w:b/>
      <w:u w:val="single"/>
    </w:rPr>
  </w:style>
  <w:style w:type="paragraph" w:customStyle="1" w:styleId="Annexetitrefichefinancire">
    <w:name w:val="Annexe titre (fiche financière)"/>
    <w:basedOn w:val="Normal"/>
    <w:next w:val="Normal"/>
    <w:pPr>
      <w:jc w:val="center"/>
    </w:pPr>
    <w:rPr>
      <w:b/>
      <w:u w:val="single"/>
    </w:rPr>
  </w:style>
  <w:style w:type="paragraph" w:customStyle="1" w:styleId="Applicationdirecte">
    <w:name w:val="Application directe"/>
    <w:basedOn w:val="Normal"/>
    <w:next w:val="Fait"/>
    <w:pPr>
      <w:spacing w:before="480"/>
    </w:pPr>
  </w:style>
  <w:style w:type="paragraph" w:customStyle="1" w:styleId="Avertissementtitre">
    <w:name w:val="Avertissement titre"/>
    <w:basedOn w:val="Normal"/>
    <w:next w:val="Normal"/>
    <w:pPr>
      <w:keepNext/>
      <w:spacing w:before="480"/>
    </w:pPr>
    <w:rPr>
      <w:u w:val="single"/>
    </w:rPr>
  </w:style>
  <w:style w:type="paragraph" w:customStyle="1" w:styleId="Confidence">
    <w:name w:val="Confidence"/>
    <w:basedOn w:val="Normal"/>
    <w:next w:val="Normal"/>
    <w:pPr>
      <w:spacing w:before="360"/>
      <w:jc w:val="center"/>
    </w:pPr>
  </w:style>
  <w:style w:type="paragraph" w:customStyle="1" w:styleId="Confidentialit">
    <w:name w:val="Confidentialité"/>
    <w:basedOn w:val="Normal"/>
    <w:next w:val="TypedudocumentPagedecouverture"/>
    <w:pPr>
      <w:spacing w:before="240" w:after="240"/>
      <w:ind w:left="5103"/>
      <w:jc w:val="left"/>
    </w:pPr>
    <w:rPr>
      <w:i/>
      <w:sz w:val="32"/>
    </w:rPr>
  </w:style>
  <w:style w:type="paragraph" w:customStyle="1" w:styleId="Considrant">
    <w:name w:val="Considérant"/>
    <w:basedOn w:val="Normal"/>
    <w:pPr>
      <w:numPr>
        <w:numId w:val="38"/>
      </w:numPr>
    </w:pPr>
  </w:style>
  <w:style w:type="paragraph" w:customStyle="1" w:styleId="Corrigendum">
    <w:name w:val="Corrigendum"/>
    <w:basedOn w:val="Normal"/>
    <w:next w:val="Normal"/>
    <w:pPr>
      <w:spacing w:before="0" w:after="240"/>
      <w:jc w:val="left"/>
    </w:pPr>
  </w:style>
  <w:style w:type="paragraph" w:customStyle="1" w:styleId="Datedadoption">
    <w:name w:val="Date d'adoption"/>
    <w:basedOn w:val="Normal"/>
    <w:next w:val="Titreobjet"/>
    <w:pPr>
      <w:spacing w:before="360" w:after="0"/>
      <w:jc w:val="center"/>
    </w:pPr>
    <w:rPr>
      <w:b/>
    </w:rPr>
  </w:style>
  <w:style w:type="paragraph" w:customStyle="1" w:styleId="Exposdesmotifstitre">
    <w:name w:val="Exposé des motifs titre"/>
    <w:basedOn w:val="Normal"/>
    <w:next w:val="Normal"/>
    <w:pPr>
      <w:jc w:val="center"/>
    </w:pPr>
    <w:rPr>
      <w:b/>
      <w:u w:val="single"/>
    </w:rPr>
  </w:style>
  <w:style w:type="paragraph" w:customStyle="1" w:styleId="Fait">
    <w:name w:val="Fait à"/>
    <w:basedOn w:val="Normal"/>
    <w:next w:val="Institutionquisigne"/>
    <w:pPr>
      <w:keepNext/>
      <w:spacing w:after="0"/>
    </w:pPr>
  </w:style>
  <w:style w:type="paragraph" w:customStyle="1" w:styleId="Formuledadoption">
    <w:name w:val="Formule d'adoption"/>
    <w:basedOn w:val="Normal"/>
    <w:next w:val="Titrearticle"/>
    <w:pPr>
      <w:keepNext/>
    </w:pPr>
  </w:style>
  <w:style w:type="paragraph" w:customStyle="1" w:styleId="Institutionquiagit">
    <w:name w:val="Institution qui agit"/>
    <w:basedOn w:val="Normal"/>
    <w:next w:val="Normal"/>
    <w:pPr>
      <w:keepNext/>
      <w:spacing w:before="600"/>
    </w:pPr>
  </w:style>
  <w:style w:type="paragraph" w:customStyle="1" w:styleId="Institutionquisigne">
    <w:name w:val="Institution qui signe"/>
    <w:basedOn w:val="Normal"/>
    <w:next w:val="Personnequisigne"/>
    <w:pPr>
      <w:keepNext/>
      <w:tabs>
        <w:tab w:val="left" w:pos="4252"/>
      </w:tabs>
      <w:spacing w:before="720" w:after="0"/>
    </w:pPr>
    <w:rPr>
      <w:i/>
    </w:rPr>
  </w:style>
  <w:style w:type="paragraph" w:customStyle="1" w:styleId="ManualConsidrant">
    <w:name w:val="Manual Considérant"/>
    <w:basedOn w:val="Normal"/>
    <w:pPr>
      <w:ind w:left="709" w:hanging="709"/>
    </w:pPr>
  </w:style>
  <w:style w:type="paragraph" w:customStyle="1" w:styleId="Personnequisigne">
    <w:name w:val="Personne qui signe"/>
    <w:basedOn w:val="Normal"/>
    <w:next w:val="Institutionquisigne"/>
    <w:pPr>
      <w:tabs>
        <w:tab w:val="left" w:pos="4252"/>
      </w:tabs>
      <w:spacing w:before="0" w:after="0"/>
      <w:jc w:val="left"/>
    </w:pPr>
    <w:rPr>
      <w:i/>
    </w:rPr>
  </w:style>
  <w:style w:type="paragraph" w:customStyle="1" w:styleId="Rfrenceinterinstitutionnelle">
    <w:name w:val="Référence interinstitutionnelle"/>
    <w:basedOn w:val="Normal"/>
    <w:next w:val="Statut"/>
    <w:pPr>
      <w:spacing w:before="0" w:after="0"/>
      <w:ind w:left="5103"/>
      <w:jc w:val="left"/>
    </w:pPr>
  </w:style>
  <w:style w:type="paragraph" w:customStyle="1" w:styleId="Rfrenceinterne">
    <w:name w:val="Référence interne"/>
    <w:basedOn w:val="Normal"/>
    <w:next w:val="Rfrenceinterinstitutionnelle"/>
    <w:pPr>
      <w:spacing w:before="0" w:after="0"/>
      <w:ind w:left="5103"/>
      <w:jc w:val="left"/>
    </w:pPr>
  </w:style>
  <w:style w:type="paragraph" w:customStyle="1" w:styleId="Statut">
    <w:name w:val="Statut"/>
    <w:basedOn w:val="Normal"/>
    <w:next w:val="Typedudocument"/>
    <w:pPr>
      <w:spacing w:before="360" w:after="0"/>
      <w:jc w:val="center"/>
    </w:pPr>
  </w:style>
  <w:style w:type="paragraph" w:customStyle="1" w:styleId="Titrearticle">
    <w:name w:val="Titre article"/>
    <w:basedOn w:val="Normal"/>
    <w:next w:val="Normal"/>
    <w:pPr>
      <w:keepNext/>
      <w:spacing w:before="360"/>
      <w:jc w:val="center"/>
    </w:pPr>
    <w:rPr>
      <w:i/>
    </w:rPr>
  </w:style>
  <w:style w:type="paragraph" w:customStyle="1" w:styleId="Titreobjet">
    <w:name w:val="Titre objet"/>
    <w:basedOn w:val="Normal"/>
    <w:next w:val="IntrtEEE"/>
    <w:pPr>
      <w:spacing w:before="360" w:after="360"/>
      <w:jc w:val="center"/>
    </w:pPr>
    <w:rPr>
      <w:b/>
    </w:rPr>
  </w:style>
  <w:style w:type="paragraph" w:customStyle="1" w:styleId="Typedudocument">
    <w:name w:val="Type du document"/>
    <w:basedOn w:val="Normal"/>
    <w:next w:val="Titreobjet"/>
    <w:pPr>
      <w:spacing w:before="360" w:after="0"/>
      <w:jc w:val="center"/>
    </w:pPr>
    <w:rPr>
      <w:b/>
    </w:rPr>
  </w:style>
  <w:style w:type="character" w:customStyle="1" w:styleId="Added">
    <w:name w:val="Added"/>
    <w:basedOn w:val="DefaultParagraphFont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pPr>
      <w:keepLines/>
      <w:spacing w:line="360" w:lineRule="auto"/>
      <w:ind w:left="3402"/>
      <w:jc w:val="left"/>
    </w:pPr>
  </w:style>
  <w:style w:type="paragraph" w:customStyle="1" w:styleId="Objetexterne">
    <w:name w:val="Objet externe"/>
    <w:basedOn w:val="Normal"/>
    <w:next w:val="Normal"/>
    <w:rPr>
      <w:i/>
      <w:caps/>
    </w:rPr>
  </w:style>
  <w:style w:type="paragraph" w:customStyle="1" w:styleId="Supertitre">
    <w:name w:val="Supertitre"/>
    <w:basedOn w:val="Normal"/>
    <w:next w:val="Normal"/>
    <w:pPr>
      <w:spacing w:before="0" w:after="600"/>
      <w:jc w:val="center"/>
    </w:pPr>
    <w:rPr>
      <w:b/>
    </w:rPr>
  </w:style>
  <w:style w:type="paragraph" w:customStyle="1" w:styleId="Languesfaisantfoi">
    <w:name w:val="Langues faisant foi"/>
    <w:basedOn w:val="Normal"/>
    <w:next w:val="Normal"/>
    <w:pPr>
      <w:spacing w:before="360" w:after="0"/>
      <w:jc w:val="center"/>
    </w:pPr>
  </w:style>
  <w:style w:type="paragraph" w:customStyle="1" w:styleId="Rfrencecroise">
    <w:name w:val="Référence croisée"/>
    <w:basedOn w:val="Normal"/>
    <w:pPr>
      <w:spacing w:before="0" w:after="0"/>
      <w:jc w:val="center"/>
    </w:pPr>
  </w:style>
  <w:style w:type="paragraph" w:customStyle="1" w:styleId="Fichefinanciretitre">
    <w:name w:val="Fiche financière titre"/>
    <w:basedOn w:val="Normal"/>
    <w:next w:val="Normal"/>
    <w:pPr>
      <w:jc w:val="center"/>
    </w:pPr>
    <w:rPr>
      <w:b/>
      <w:u w:val="single"/>
    </w:rPr>
  </w:style>
  <w:style w:type="paragraph" w:customStyle="1" w:styleId="DatedadoptionPagedecouverture">
    <w:name w:val="Date d'adoption (Page de couverture)"/>
    <w:basedOn w:val="Datedadoption"/>
    <w:next w:val="TitreobjetPagedecouverture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</w:style>
  <w:style w:type="paragraph" w:customStyle="1" w:styleId="StatutPagedecouverture">
    <w:name w:val="Statut (Page de couverture)"/>
    <w:basedOn w:val="Statut"/>
    <w:next w:val="TypedudocumentPagedecouverture"/>
  </w:style>
  <w:style w:type="paragraph" w:customStyle="1" w:styleId="TitreobjetPagedecouverture">
    <w:name w:val="Titre objet (Page de couverture)"/>
    <w:basedOn w:val="Titreobjet"/>
    <w:next w:val="IntrtEEEPagedecouverture"/>
  </w:style>
  <w:style w:type="paragraph" w:customStyle="1" w:styleId="TypedudocumentPagedecouverture">
    <w:name w:val="Type du document (Page de couverture)"/>
    <w:basedOn w:val="Typedudocument"/>
    <w:next w:val="TitreobjetPagedecouverture"/>
  </w:style>
  <w:style w:type="paragraph" w:customStyle="1" w:styleId="Volume">
    <w:name w:val="Volume"/>
    <w:basedOn w:val="Normal"/>
    <w:next w:val="Confidentialit"/>
    <w:pPr>
      <w:spacing w:before="0" w:after="240"/>
      <w:ind w:left="5103"/>
      <w:jc w:val="left"/>
    </w:pPr>
  </w:style>
  <w:style w:type="paragraph" w:customStyle="1" w:styleId="IntrtEEE">
    <w:name w:val="Intérêt EEE"/>
    <w:basedOn w:val="Languesfaisantfoi"/>
    <w:next w:val="Normal"/>
    <w:pPr>
      <w:spacing w:after="240"/>
    </w:pPr>
  </w:style>
  <w:style w:type="paragraph" w:customStyle="1" w:styleId="Accompagnant">
    <w:name w:val="Accompagnant"/>
    <w:basedOn w:val="Normal"/>
    <w:next w:val="Typeacteprincipal"/>
    <w:pPr>
      <w:spacing w:before="0" w:after="240"/>
      <w:jc w:val="center"/>
    </w:pPr>
    <w:rPr>
      <w:b/>
      <w:i/>
    </w:rPr>
  </w:style>
  <w:style w:type="paragraph" w:customStyle="1" w:styleId="Typeacteprincipal">
    <w:name w:val="Type acte principal"/>
    <w:basedOn w:val="Normal"/>
    <w:next w:val="Objetacteprincipal"/>
    <w:pPr>
      <w:spacing w:before="0" w:after="240"/>
      <w:jc w:val="center"/>
    </w:pPr>
    <w:rPr>
      <w:b/>
    </w:rPr>
  </w:style>
  <w:style w:type="paragraph" w:customStyle="1" w:styleId="Objetacteprincipal">
    <w:name w:val="Objet acte principal"/>
    <w:basedOn w:val="Normal"/>
    <w:next w:val="Titrearticle"/>
    <w:pPr>
      <w:spacing w:before="0" w:after="360"/>
      <w:jc w:val="center"/>
    </w:pPr>
    <w:rPr>
      <w:b/>
    </w:rPr>
  </w:style>
  <w:style w:type="paragraph" w:customStyle="1" w:styleId="IntrtEEEPagedecouverture">
    <w:name w:val="Intérêt EEE (Page de couverture)"/>
    <w:basedOn w:val="IntrtEEE"/>
    <w:next w:val="Rfrencecroise"/>
  </w:style>
  <w:style w:type="paragraph" w:customStyle="1" w:styleId="AccompagnantPagedecouverture">
    <w:name w:val="Accompagnant (Page de couverture)"/>
    <w:basedOn w:val="Accompagnant"/>
    <w:next w:val="TypeacteprincipalPagedecouverture"/>
  </w:style>
  <w:style w:type="paragraph" w:customStyle="1" w:styleId="TypeacteprincipalPagedecouverture">
    <w:name w:val="Type acte principal (Page de couverture)"/>
    <w:basedOn w:val="Typeacteprincipal"/>
    <w:next w:val="ObjetacteprincipalPagedecouverture"/>
  </w:style>
  <w:style w:type="paragraph" w:customStyle="1" w:styleId="ObjetacteprincipalPagedecouverture">
    <w:name w:val="Objet acte principal (Page de couverture)"/>
    <w:basedOn w:val="Objetacteprincipal"/>
    <w:next w:val="Rfrencecroise"/>
  </w:style>
  <w:style w:type="paragraph" w:customStyle="1" w:styleId="LanguesfaisantfoiPagedecouverture">
    <w:name w:val="Langues faisant foi (Page de couverture)"/>
    <w:basedOn w:val="Normal"/>
    <w:next w:val="Normal"/>
    <w:pPr>
      <w:spacing w:before="360" w:after="0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footer" Target="footer5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header" Target="header3.xml"/></Relationships>
</file>

<file path=word/_rels/settings.xml.rels><?xml version='1.0' encoding='UTF-8' standalone='yes'?>
<Relationships xmlns="http://schemas.openxmlformats.org/package/2006/relationships"><Relationship Id="rId1" Type="http://schemas.openxmlformats.org/officeDocument/2006/relationships/attachedTemplate" Target="file:///C:\Users\Public\Documents\Templates\COM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1AE86043-AD9C-455A-B6D3-DE159F7016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COM.dotm</Template>
  <TotalTime>3</TotalTime>
  <Pages>4</Pages>
  <Words>652</Words>
  <Characters>4859</Characters>
  <Application>Microsoft Office Word</Application>
  <DocSecurity>0</DocSecurity>
  <Lines>97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5457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19</cp:revision>
  <dcterms:created xsi:type="dcterms:W3CDTF">2019-06-24T12:04:00Z</dcterms:created>
  <dcterms:modified xsi:type="dcterms:W3CDTF">2019-07-01T07:21:00Z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ategory">
    <vt:lpwstr>COM/PL/ORG</vt:lpwstr>
  </property>
  <property fmtid="{D5CDD505-2E9C-101B-9397-08002B2CF9AE}" pid="3" name="Version">
    <vt:lpwstr>6.0.1.0</vt:lpwstr>
  </property>
  <property fmtid="{D5CDD505-2E9C-101B-9397-08002B2CF9AE}" pid="4" name="Last edited using">
    <vt:lpwstr>LW 6.0.1, Build 20180503</vt:lpwstr>
  </property>
  <property fmtid="{D5CDD505-2E9C-101B-9397-08002B2CF9AE}" pid="5" name="Created using">
    <vt:lpwstr>LW 6.0, Build 20171009</vt:lpwstr>
  </property>
  <property fmtid="{D5CDD505-2E9C-101B-9397-08002B2CF9AE}" pid="6" name="Part">
    <vt:lpwstr>1</vt:lpwstr>
  </property>
  <property fmtid="{D5CDD505-2E9C-101B-9397-08002B2CF9AE}" pid="7" name="Total parts">
    <vt:lpwstr>1</vt:lpwstr>
  </property>
  <property fmtid="{D5CDD505-2E9C-101B-9397-08002B2CF9AE}" pid="8" name="Level of sensitivity">
    <vt:lpwstr>Standard treatment</vt:lpwstr>
  </property>
  <property fmtid="{D5CDD505-2E9C-101B-9397-08002B2CF9AE}" pid="9" name="LWTemplateID">
    <vt:lpwstr>SJ-026</vt:lpwstr>
  </property>
  <property fmtid="{D5CDD505-2E9C-101B-9397-08002B2CF9AE}" pid="10" name="DQCStatus">
    <vt:lpwstr>Green (DQC version 03)</vt:lpwstr>
  </property>
  <property name="OP_sanitized" fmtid="{D5CDD505-2E9C-101B-9397-08002B2CF9AE}" pid="11">
    <vt:lpwstr>True</vt:lpwstr>
  </property>
</Properties>
</file>