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E0763F0F-C567-4CFD-8E40-AA1A1A4F3BE1" style="width:450.75pt;height:293.25pt">
            <v:imagedata r:id="rId9" o:title=""/>
          </v:shape>
        </w:pict>
      </w:r>
    </w:p>
    <w:bookmarkEnd w:id="0"/>
    <w:p>
      <w:pPr>
        <w:rPr>
          <w:rFonts w:ascii="Times New Roman" w:hAnsi="Times New Roman" w:cs="Times New Roman"/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ListParagraph"/>
        <w:numPr>
          <w:ilvl w:val="0"/>
          <w:numId w:val="2"/>
        </w:numPr>
        <w:spacing w:before="240" w:after="240"/>
        <w:ind w:left="1077"/>
        <w:contextualSpacing w:val="0"/>
        <w:jc w:val="both"/>
        <w:rPr>
          <w:rFonts w:ascii="Times New Roman" w:hAnsi="Times New Roman" w:cs="Times New Roman"/>
          <w:b/>
          <w:noProof/>
          <w:sz w:val="24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24"/>
        </w:rPr>
        <w:lastRenderedPageBreak/>
        <w:t xml:space="preserve">INTRODUZZJONI </w:t>
      </w:r>
    </w:p>
    <w:p>
      <w:pPr>
        <w:pStyle w:val="ListParagraph"/>
        <w:numPr>
          <w:ilvl w:val="0"/>
          <w:numId w:val="1"/>
        </w:numPr>
        <w:spacing w:before="240" w:after="240"/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It-titjib tal-mobilità militari huwa inizjattiva ewlenija tal-UE li tnediet fl-10 ta’ Novembru 2017</w:t>
      </w:r>
      <w:r>
        <w:rPr>
          <w:rStyle w:val="FootnoteReference"/>
          <w:rFonts w:ascii="Times New Roman" w:hAnsi="Times New Roman"/>
          <w:noProof/>
        </w:rPr>
        <w:footnoteReference w:id="1"/>
      </w:r>
      <w:r>
        <w:rPr>
          <w:rFonts w:ascii="Times New Roman" w:hAnsi="Times New Roman"/>
          <w:noProof/>
        </w:rPr>
        <w:t>. Dan se jikkontribwixxi għall-istabbiliment ta’ Unjoni Ewropea għad-Difiża, kif appella li għandu jsir il-President Juncker fl-Indirizz tal-Istat tal-Unjoni fl-2017</w:t>
      </w:r>
      <w:r>
        <w:rPr>
          <w:rStyle w:val="FootnoteReference"/>
          <w:rFonts w:ascii="Times New Roman" w:hAnsi="Times New Roman"/>
          <w:noProof/>
        </w:rPr>
        <w:footnoteReference w:id="2"/>
      </w:r>
      <w:r>
        <w:rPr>
          <w:rFonts w:ascii="Times New Roman" w:hAnsi="Times New Roman"/>
          <w:noProof/>
        </w:rPr>
        <w:t>. Barra minn hekk, jikkontribwixxi għat-twettiq tal-livell ta’ ambizzjoni fis-sigurtà u d-difiża kif miftiehem mill-Kunsill fl-14 ta’ Novembru 2016</w:t>
      </w:r>
      <w:r>
        <w:rPr>
          <w:rStyle w:val="FootnoteReference"/>
          <w:rFonts w:ascii="Times New Roman" w:hAnsi="Times New Roman"/>
          <w:noProof/>
        </w:rPr>
        <w:footnoteReference w:id="3"/>
      </w:r>
      <w:r>
        <w:rPr>
          <w:rFonts w:ascii="Times New Roman" w:hAnsi="Times New Roman"/>
          <w:noProof/>
        </w:rPr>
        <w:t>, wara l-preżentazzjoni tal-Istrateġija Globali tal-UE għall-Politika Estera u ta’ Sigurtà</w:t>
      </w:r>
      <w:r>
        <w:rPr>
          <w:rStyle w:val="FootnoteReference"/>
          <w:rFonts w:ascii="Times New Roman" w:hAnsi="Times New Roman"/>
          <w:noProof/>
        </w:rPr>
        <w:footnoteReference w:id="4"/>
      </w:r>
      <w:r>
        <w:rPr>
          <w:rFonts w:ascii="Times New Roman" w:hAnsi="Times New Roman"/>
          <w:noProof/>
        </w:rPr>
        <w:t>. Il-mobilità militari qed tiġi implimentata f’koerenza mal-Kooperazzjoni Strutturata Permanenti, inkluż fil-livell tal-proġett, kif ukoll l-implimentazzjoni tal-miżuri konkreti meħuda mill-Istati Membri tal-UE fil-25 ta’ Ġunju 2018</w:t>
      </w:r>
      <w:r>
        <w:rPr>
          <w:rStyle w:val="FootnoteReference"/>
          <w:rFonts w:ascii="Times New Roman" w:hAnsi="Times New Roman"/>
          <w:noProof/>
        </w:rPr>
        <w:footnoteReference w:id="5"/>
      </w:r>
      <w:r>
        <w:rPr>
          <w:rFonts w:ascii="Times New Roman" w:hAnsi="Times New Roman"/>
          <w:noProof/>
        </w:rPr>
        <w:t>. Barra minn hekk, hija prijorità ewlenija għall-kooperazzjoni UE-NATO fil-qafas tal-implimentazzjoni tad-Dikjarazzjonijiet Konġunti</w:t>
      </w:r>
      <w:r>
        <w:rPr>
          <w:rStyle w:val="FootnoteReference"/>
          <w:rFonts w:ascii="Times New Roman" w:hAnsi="Times New Roman"/>
          <w:noProof/>
        </w:rPr>
        <w:footnoteReference w:id="6"/>
      </w:r>
      <w:r>
        <w:rPr>
          <w:rFonts w:ascii="Times New Roman" w:hAnsi="Times New Roman"/>
          <w:noProof/>
        </w:rPr>
        <w:t xml:space="preserve"> u d-Djalogu Strutturat stabbilit dwar il-mobilità militari fil-livell ta’ bejn il-persunal.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 xml:space="preserve"> Din l-inizjattiva tisfrutta s-sinerġiji ċivili-militari biex ittejjeb il-mobilità tal-persunal, il-materjal u t-tagħmir militari għal attivitajiet ta’ rutina u għal matul il-kriżijiet u l-kunflitti, fl-UE u lil hinn minnha, bil-modi kollha tat-trasport u fid-direzzjonijiet strateġiċi kollha. Dan se jippermetti lill-Istati Membri tal-UE jaġixxu b’mod aktar mgħaġġel u aktar effettiv fil-kuntest tal-Politika ta’ Sigurtà u ta’ Difiża Komuni, u tal-attivitajiet nazzjonali u multinazzjonali. 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Fit-28 ta’ Marzu 2018, ir-Rappreżentant Għoli tal-Unjoni għall-Affarijiet Barranin u l-Politika ta’ Sigurtà u l-Kummissjoni ppreżentaw il-Pjan ta’ Azzjoni dwar il-Mobbiltà Militari (Pjan ta’ Azzjoni)</w:t>
      </w:r>
      <w:r>
        <w:rPr>
          <w:rStyle w:val="FootnoteReference"/>
          <w:rFonts w:ascii="Times New Roman" w:hAnsi="Times New Roman"/>
          <w:noProof/>
        </w:rPr>
        <w:footnoteReference w:id="7"/>
      </w:r>
      <w:r>
        <w:rPr>
          <w:rFonts w:ascii="Times New Roman" w:hAnsi="Times New Roman"/>
          <w:noProof/>
        </w:rPr>
        <w:t>. F’Ġunju 2018, il-Kunsill laqa’ l-Pjan ta’ Azzjoni u appella għall-implimentazzjoni rapida tiegħu f’kooperazzjoni mill-qrib bejn il-partijiet ikkonċernati rilevanti kollha</w:t>
      </w:r>
      <w:r>
        <w:rPr>
          <w:rStyle w:val="FootnoteReference"/>
          <w:rFonts w:ascii="Times New Roman" w:hAnsi="Times New Roman"/>
          <w:noProof/>
        </w:rPr>
        <w:footnoteReference w:id="8"/>
      </w:r>
      <w:r>
        <w:rPr>
          <w:rFonts w:ascii="Times New Roman" w:hAnsi="Times New Roman"/>
          <w:noProof/>
        </w:rPr>
        <w:t>. Barra minn hekk, fid-19 ta’ Novembru 2018 il-Kunsill laqa’ l-progress u pprovda gwida ulterjuri rigward il-passi li jmiss</w:t>
      </w:r>
      <w:r>
        <w:rPr>
          <w:rStyle w:val="FootnoteReference"/>
          <w:rFonts w:ascii="Times New Roman" w:hAnsi="Times New Roman"/>
          <w:noProof/>
        </w:rPr>
        <w:footnoteReference w:id="9"/>
      </w:r>
      <w:r>
        <w:rPr>
          <w:rFonts w:ascii="Times New Roman" w:hAnsi="Times New Roman"/>
          <w:noProof/>
        </w:rPr>
        <w:t>. Minbarra, u b’komplementarjetà ma’, dan ir-Rapport ta’ Progress, fit-13 ta’ Mejju 2019 il-Bord ta’ Tmexxija tal-Aġenzija Ewropea għad-Difiża laqa’ l-ewwel rapport annwali tal-Aġenzija dwar il-mobilità militari.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 xml:space="preserve">Il-Pjan ta’ Azzjoni jiddeskrivi passi u skedi ta’ żmien konkreti, u jiffoka fuq il-valur miżjud tal-Unjoni biex jgħin u jiffaċilita l-isforzi tal-Istati Membri tal-UE biex itejbu l-mobilità militari. B’mod partikolari, l-Unjoni tista’ tikkontribwixxi billi tidentifika sinerġiji ċivili-militari u tixpruna l-politiki u l-istrumenti eżistenti fi tliet oqsma ewlenin – l-infrastruttura tat-trasport, kwistjonijiet regolatorji u proċedurali, u temi oħra trażversali. Permezz ta’ kooperazzjoni mill-qrib u kontinwa bejn is-servizzi tal-Kummissjoni, is-Servizz Ewropew għall-Azzjoni Esterna inkluż l-Persunal Militari tal-UE, l-Aġenzija Ewropea għad-Difiża u l-involviment sħiħ tal-Istati Membri tal-UE f’approċċ globali minn kull livell tal-gvern, b'rispett għass-sovranità nazzjonali u t-teħid tad-deċiżjonijiet, sar progress kbir fl-implimentazzjoni tal-Pjan ta’ Azzjoni. 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Il-Pjan ta’ Azzjoni jesiġi l-ewwel Rapport ta’ Progress sas-sajf tal-2019</w:t>
      </w:r>
      <w:r>
        <w:rPr>
          <w:rStyle w:val="FootnoteReference"/>
          <w:rFonts w:ascii="Times New Roman" w:hAnsi="Times New Roman"/>
          <w:noProof/>
        </w:rPr>
        <w:footnoteReference w:id="10"/>
      </w:r>
      <w:r>
        <w:rPr>
          <w:rFonts w:ascii="Times New Roman" w:hAnsi="Times New Roman"/>
          <w:noProof/>
        </w:rPr>
        <w:t xml:space="preserve">. Dan ir-Rapport jiddeskrivi l-progress sostanzjali u tanġibbli miksub s’issa u t-triq ’il quddiem. </w:t>
      </w:r>
    </w:p>
    <w:p>
      <w:pPr>
        <w:pStyle w:val="ListParagraph"/>
        <w:ind w:left="714"/>
        <w:contextualSpacing w:val="0"/>
        <w:jc w:val="both"/>
        <w:rPr>
          <w:rFonts w:ascii="Times New Roman" w:hAnsi="Times New Roman" w:cs="Times New Roman"/>
          <w:noProof/>
        </w:rPr>
      </w:pPr>
    </w:p>
    <w:p>
      <w:pPr>
        <w:pStyle w:val="ListParagraph"/>
        <w:numPr>
          <w:ilvl w:val="0"/>
          <w:numId w:val="2"/>
        </w:numPr>
        <w:spacing w:before="240" w:after="240"/>
        <w:ind w:left="1077"/>
        <w:contextualSpacing w:val="0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REKWIŻITI MILITARI GĦALL-MOBILITÀ MILITARI FL-UE U LIL HINN MINNHA</w:t>
      </w:r>
    </w:p>
    <w:p>
      <w:pPr>
        <w:pStyle w:val="ListParagraph"/>
        <w:numPr>
          <w:ilvl w:val="0"/>
          <w:numId w:val="3"/>
        </w:numPr>
        <w:spacing w:before="240" w:after="240"/>
        <w:ind w:left="1434" w:hanging="357"/>
        <w:contextualSpacing w:val="0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Definizzjoni tar-Rekwiżiti Militari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Il-punt tat-tluq tal-implimentazzjoni tal-Pjan ta’ Azzjoni kienet id-definizzjoni tar-Rekwiżiti Militari għall-Mobilità Militari fl-UE u lil hinn minnha (Rekwiżiti Militari).</w:t>
      </w:r>
      <w:r>
        <w:rPr>
          <w:noProof/>
        </w:rPr>
        <w:t xml:space="preserve"> </w:t>
      </w:r>
      <w:r>
        <w:rPr>
          <w:rFonts w:ascii="Times New Roman" w:hAnsi="Times New Roman"/>
          <w:noProof/>
        </w:rPr>
        <w:t>Ir-Rekwiżiti Militari ġew żviluppati mill-Persunal Militari tal-UE, f’kooperazzjoni mill-qrib mal-Istati Membri tal-UE, is-servizzi tal-Kummissjoni u l-aġenziji u l-korpi rilevanti tal-Unjoni, inkluża l-Aġenzija Ewropea għad-Difiża, u f’konsultazzjoni man-NATO kif xieraq, u partijiet ikkonċernati rilevanti oħra. Barra minn hekk, b'approċċ li jinvolvi kull livell tal-gvern, l-awtoritajiet nazzjonali kompetenti rilevanti, lil hinn mill-Ministeri tad-Difiża ġew mistiedna mill-Kunsill biex jipparteċipaw f’dan il-proċess.</w:t>
      </w:r>
    </w:p>
    <w:p>
      <w:pPr>
        <w:pStyle w:val="ListParagraph"/>
        <w:jc w:val="both"/>
        <w:rPr>
          <w:rFonts w:ascii="Times New Roman" w:hAnsi="Times New Roman" w:cs="Times New Roman"/>
          <w:noProof/>
        </w:rPr>
      </w:pP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Ir-Rekwiżiti Militari ġew miftiehma mill-Kumitat Militari tal-UE u sussegwentement ġew approvati mill-Kunsill: il-parti ġenerali ta’ livell għoli fil-25 ta’ Ġunju 2018 u l-annessi fid-19 ta’ Novembru 2018. Ir-Rekwiżiti Militari mbagħad ġew ikkonsolidati fit-28 ta’ Novembru 2018</w:t>
      </w:r>
      <w:r>
        <w:rPr>
          <w:rStyle w:val="FootnoteReference"/>
          <w:rFonts w:ascii="Times New Roman" w:hAnsi="Times New Roman"/>
          <w:noProof/>
        </w:rPr>
        <w:footnoteReference w:id="11"/>
      </w:r>
      <w:r>
        <w:rPr>
          <w:rFonts w:ascii="Times New Roman" w:hAnsi="Times New Roman"/>
          <w:noProof/>
        </w:rPr>
        <w:t xml:space="preserve">. 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Ir-Rekwiżiti Militari għandhom l-għan li jtejbu l-moviment tal-forzi militari (persunal, materjal u assi) fl-UE u lil hinn minnha. Huma faċilitatur strateġiku u operattiv għall-azzjoni militari, billi jappoġġjaw l-awtonomija strateġika tal-UE u jiffaċilitaw l-iskjerament, l-iskjerament mill-ġdid u s-sostenn tal-forzi tal-Istati Membri tal-UE biex jintlaħqu l-partijiet rilevanti tal-Livell ta’ Ambizzjoni tal-UE kif ukoll ir-rekwiżiti nazzjonali tal-Istati Membri tal-UE.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Ir-Rekwiżiti Militari jipprovdu l-prinċipji meħtieġa u l-aspetti ewlenin tal-moviment militari, u jqisu b’mod komprensiv il-fatturi kollha li jikkundizzjonaw il-moviment militari. Dawn jinkludu diversi oqsma ewlenin: appoġġ għall-ippjanar u t-twassil, l-infrastruttura tat-trasport, aspetti legali u regolatorji, aċċess għar-riżorsi tat-trasport u appoġġ, koordinazzjoni u skambju ta’ informazzjoni, konsiderazzjonijiet ta’ sigurtà, taħriġ, u ambjentali. Parti essenzjali mid-dokument hija d-definizzjoni tal-ambitu ġeografiku tal-infrastruttura tat-trasport kollha madwar l-Unjoni li l-Istati Membri tal-UE identifikaw bħala meħtieġa għall-moviment militari. Barra minn hekk, il-parametri tal-infrastruttura ġenerika tan-NATO, kif trażmessi mis-Segretarju Ġenerali tan-NATO f’Mejju 2018, huma riflessi fir-Rekwiżiti Militari, li jikkontribwixxu biex tiġi żgurata l-koerenza bejn is-settijiet rispettivi ta’ rekwiżiti militari li huma l-bażi tax-xogħol taż-żewġ organizzazzjonijiet f’dan il-qasam.</w:t>
      </w:r>
    </w:p>
    <w:p>
      <w:pPr>
        <w:pStyle w:val="ListParagraph"/>
        <w:keepNext/>
        <w:numPr>
          <w:ilvl w:val="0"/>
          <w:numId w:val="3"/>
        </w:numPr>
        <w:spacing w:before="240" w:after="240"/>
        <w:ind w:left="1434" w:hanging="357"/>
        <w:contextualSpacing w:val="0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Aġġornament Parzjali tar-Rekwiżiti Militari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L-approvazzjoni tar-Rekwiżiti Militari wasslet għat-tlestija tal-Analiżi tad-Diskrepanzi bejn ir-rekwiżiti tal-infrastruttura militari u tat-trasport ċivili</w:t>
      </w:r>
      <w:r>
        <w:rPr>
          <w:rStyle w:val="FootnoteReference"/>
          <w:rFonts w:ascii="Times New Roman" w:hAnsi="Times New Roman"/>
          <w:noProof/>
        </w:rPr>
        <w:footnoteReference w:id="12"/>
      </w:r>
      <w:r>
        <w:rPr>
          <w:rFonts w:ascii="Times New Roman" w:hAnsi="Times New Roman"/>
          <w:noProof/>
        </w:rPr>
        <w:t xml:space="preserve"> (ara l-punti 17-21). Wara l-preżentazzjoni tal-Analiżi tad-Diskrepanzi lill-Kumitat Politiku u ta’ Sigurtà, fit-8 ta’ Mejju 2019 il-Kumitat Politiku u ta’ Sigurtà stieden lis-Servizz Ewropew għall-Azzjoni Esterna/Persunal Militari tal-UE biex jipprovdu aġġornament tal-parametri tal-infrastruttura tat-trasport u d-</w:t>
      </w:r>
      <w:r>
        <w:rPr>
          <w:rFonts w:ascii="Times New Roman" w:hAnsi="Times New Roman"/>
          <w:i/>
          <w:noProof/>
        </w:rPr>
        <w:t>data</w:t>
      </w:r>
      <w:r>
        <w:rPr>
          <w:rFonts w:ascii="Times New Roman" w:hAnsi="Times New Roman"/>
          <w:noProof/>
        </w:rPr>
        <w:t xml:space="preserve"> ġeografika tar-Rekwiżiti Militari, filwaqt li titqies l-Analiżi tad-Diskrepanzi. Il-Persunal Militari tal-UE ħejja l-abbozzi tal-aġġornamenti f’kooperazzjoni mill-qrib mal-Istati Membri tal-UE, is-servizzi tal-Kummissjoni u l-Aġenzija Ewropea għad-Difiża, u f’koordinazzjoni man-NATO kif xieraq fil-livell ta’ bejn il-persunal, fid-dawl tal-approvazzjoni mill-Kunsill tar-Rekwiżiti Militari aġġornati sas-sajf 2019. Wara impenn mal-persunal tan-NATO fi ħdan id-Djalogu Strutturat, in-NATO ttrażmettiet il-parametri aġġornati tal-infrastruttura ġenerika tagħha lill-UE fit-22 ta’ Marzu 2019.</w:t>
      </w:r>
    </w:p>
    <w:p>
      <w:pPr>
        <w:pStyle w:val="ListParagraph"/>
        <w:contextualSpacing w:val="0"/>
        <w:jc w:val="both"/>
        <w:rPr>
          <w:rFonts w:ascii="Times New Roman" w:hAnsi="Times New Roman" w:cs="Times New Roman"/>
          <w:noProof/>
        </w:rPr>
      </w:pPr>
    </w:p>
    <w:p>
      <w:pPr>
        <w:pStyle w:val="ListParagraph"/>
        <w:numPr>
          <w:ilvl w:val="0"/>
          <w:numId w:val="2"/>
        </w:numPr>
        <w:spacing w:before="240" w:after="240"/>
        <w:ind w:left="1077"/>
        <w:contextualSpacing w:val="0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INFRASTRUTTURA TAT-TRASPORT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Qed jiġu indirizzati l-ostakli għall-infrastruttura sabiex tinkiseb mobilità aħjar tal-forzi fl-UE u lil hinn minnha. F’dan il-kuntest, iż-żieda fis-sinerġiji bejn il-ħtiġijiet tad-difiża u n-netwerk tat-trasport trans-Ewropew hija pilastru ewlieni tal-Pjan ta’ Azzjoni.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Inkiseb progress sostanzjali f’dan il-qasam mill-adozzjoni tal-Pjan ta’ Azzjoni, u l-azzjonijiet previsti sa issa tlestew kollha.</w:t>
      </w:r>
    </w:p>
    <w:p>
      <w:pPr>
        <w:pStyle w:val="ListParagraph"/>
        <w:numPr>
          <w:ilvl w:val="0"/>
          <w:numId w:val="13"/>
        </w:numPr>
        <w:spacing w:before="240" w:after="240"/>
        <w:contextualSpacing w:val="0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Finanzjament ta’ infrastruttura tat-trasport ta’ użu doppju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Fit-2 ta’ Mejju 2018, il-Kummissjoni pproponiet pakkett ta’ mobilità militari ta’ EUR 6.5 biljun bħala parti mill-Faċilità Nikkollegaw l-Ewropa 2021-2027 biex tiffinanzja proġetti ċivili-militari ta’ użu doppju. Dispożizzjonijiet speċifiċi relatati mal-</w:t>
      </w:r>
      <w:bookmarkStart w:id="2" w:name="_Hlk9540985"/>
      <w:r>
        <w:rPr>
          <w:rFonts w:ascii="Times New Roman" w:hAnsi="Times New Roman"/>
          <w:noProof/>
        </w:rPr>
        <w:t>finanzjament tal-infrastruttura tat-trasport ta’ użu doppju</w:t>
      </w:r>
      <w:bookmarkEnd w:id="2"/>
      <w:r>
        <w:rPr>
          <w:rFonts w:ascii="Times New Roman" w:hAnsi="Times New Roman"/>
          <w:noProof/>
        </w:rPr>
        <w:t xml:space="preserve"> ddaħħlu fir-Regolament propost</w:t>
      </w:r>
      <w:r>
        <w:rPr>
          <w:rStyle w:val="FootnoteReference"/>
          <w:rFonts w:ascii="Times New Roman" w:hAnsi="Times New Roman"/>
          <w:noProof/>
        </w:rPr>
        <w:footnoteReference w:id="13"/>
      </w:r>
      <w:r>
        <w:rPr>
          <w:rFonts w:ascii="Times New Roman" w:hAnsi="Times New Roman"/>
          <w:noProof/>
        </w:rPr>
        <w:t>. Fis-7 ta’ Marzu 2019, il-koleġiżlaturi laħqu ftehim komuni dwar it-test propost tar-Regolament tal-Faċilità Nikkollegaw l-Ewropa 2021-2027 bid-dispożizzjonijiet meħtieġa għall-finanzjament ta’ proġett b’użu doppju stabbiliti</w:t>
      </w:r>
      <w:r>
        <w:rPr>
          <w:rStyle w:val="FootnoteReference"/>
          <w:rFonts w:ascii="Times New Roman" w:hAnsi="Times New Roman"/>
          <w:noProof/>
        </w:rPr>
        <w:footnoteReference w:id="14"/>
      </w:r>
      <w:r>
        <w:rPr>
          <w:rFonts w:ascii="Times New Roman" w:hAnsi="Times New Roman"/>
          <w:noProof/>
        </w:rPr>
        <w:t>, u minn dakinhar it-test propost tar-Regolament ġie approvat mill-Kunsill u l-Parlament Ewropew. L-allokazzjonijiet finanzjarji għall-Faċilità Nikkollegaw l-Ewropa 2021-2027 se jiġu ffinalizzati bħala parti min-negozjati tal-Qafas Finanzjarju Pluriennali 2021-2027.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Kif propost, il-Faċilità Nikkollegaw l-Ewropa se tikkontribwixxi wkoll għall-iffinanzjar ta’ proġetti ta’ infrastruttura tat-trasport sabiex tissodisfa aħjar ir-rekwiżiti militari. Għalhekk din il-kontribuzzjoni tal-UE għandha tippermetti lill-Istati Membri jiżviluppaw taqsimiet tal-infrastruttura li jservu kemm l-għanijiet tad-difiża kif ukoll tat-trasport ċivili.</w:t>
      </w:r>
    </w:p>
    <w:p>
      <w:pPr>
        <w:keepNext/>
        <w:ind w:firstLine="357"/>
        <w:jc w:val="both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/>
          <w:i/>
          <w:noProof/>
          <w:u w:val="single"/>
        </w:rPr>
        <w:t>Rekwiżiti militari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 xml:space="preserve">L-approvazzjoni tar-Rekwiżiti Militari mill-Kunsill ipprovdiet il-punt tat-tluq għall-ħidma fuq aspetti tal-infrastruttura tat-trasport tal-mobbiltà militari (ara l-punti 6 sa 9 hawn fuq). </w:t>
      </w:r>
    </w:p>
    <w:p>
      <w:pPr>
        <w:ind w:firstLine="357"/>
        <w:jc w:val="both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/>
          <w:i/>
          <w:noProof/>
          <w:u w:val="single"/>
        </w:rPr>
        <w:t>Analiżi tad-Diskrepanzi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L-azzjoni li kien imiss lejn il-finanzjament ta’ proġett ta’ użu doppju kienet l-identifikazzjoni tad-diskrepanzi bejn il-ħtiġijiet militari u dawk ċivili. L-Analiżi tad-Diskrepanzi hija paragun tal-istandards tal-infrastruttura militari u l-ambitu ġeografiku tan-netwerk militari tar-Rekwiżiti Militari minn naħa, u l-ħtiġijiet tekniċi attwali u l-kamp ta’ applikazzjoni ġeografiku tal-infrastruttura tan-netwerk tat-trasport trans-Ewropew min-naħa l-oħra, inklużi miżuri prattiċi ta’ mitigazzjoni identifikati f’oqsma fejn jeżistu diskrepanzi.</w:t>
      </w:r>
    </w:p>
    <w:p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Calibri" w:eastAsia="Times New Roman" w:hAnsi="Calibri" w:cs="Calibri"/>
          <w:noProof/>
        </w:rPr>
      </w:pPr>
      <w:r>
        <w:rPr>
          <w:rFonts w:ascii="Times New Roman" w:hAnsi="Times New Roman"/>
          <w:noProof/>
        </w:rPr>
        <w:t>L-Analiżi tad-Diskrepanzi ġiet trażmessa lill-Kunsill fit-3 ta’ Mejju 2019 fil-forma ta’ Dokument ta’ Ħidma tal-Persunal Konġunt</w:t>
      </w:r>
      <w:r>
        <w:rPr>
          <w:rStyle w:val="FootnoteReference"/>
          <w:rFonts w:ascii="Times New Roman" w:hAnsi="Times New Roman"/>
          <w:noProof/>
        </w:rPr>
        <w:footnoteReference w:id="15"/>
      </w:r>
      <w:r>
        <w:rPr>
          <w:rFonts w:ascii="Times New Roman" w:hAnsi="Times New Roman"/>
          <w:noProof/>
        </w:rPr>
        <w:t>.</w:t>
      </w:r>
    </w:p>
    <w:p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Calibri" w:eastAsia="Times New Roman" w:hAnsi="Calibri" w:cs="Calibri"/>
          <w:noProof/>
        </w:rPr>
      </w:pPr>
      <w:r>
        <w:rPr>
          <w:rFonts w:ascii="Times New Roman" w:hAnsi="Times New Roman"/>
          <w:noProof/>
        </w:rPr>
        <w:t>B’mod ġenerali, il-valutazzjoni hija pożittiva: fir-rigward tar-rekwiżiti tal-infrastruttura, parti kbira mill-istandards militari fil-prinċipju jitqiesu bħala kompatibbli mar-rekwiżiti tan-netwerk tat-trasport trans-Ewropew; u rigward id-</w:t>
      </w:r>
      <w:r>
        <w:rPr>
          <w:rFonts w:ascii="Times New Roman" w:hAnsi="Times New Roman"/>
          <w:i/>
          <w:noProof/>
        </w:rPr>
        <w:t>data</w:t>
      </w:r>
      <w:r>
        <w:rPr>
          <w:rFonts w:ascii="Times New Roman" w:hAnsi="Times New Roman"/>
          <w:noProof/>
        </w:rPr>
        <w:t xml:space="preserve"> ġeografika (in-netwerk militari), 94 % tal-infrastruttura identifikata bħala rilevanti għal skopijiet militari tikkoinċidi mal-ambitu ġeografiku tan-netwerk tat-trasport trans-Ewropew. Barra minn hekk, ġew identifikati miżuri prattiċi ta’ mitigazzjoni f’dawk il-każijiet fejn id-diskrepanzi bejn ir-rekwiżiti militari u dawk tan-netwerk tat-trasport trans-Ewropew huma sostanzjali. 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Ir-riżultati tal-Analiżi tad-Diskrepanzi għandhom żewġ implikazzjonijiet importanti. L-ewwel nett, l-identifikazzjoni tal-koinċidenza bejn in-netwerk tal-mobilità militari u l-ambitu ġeografiku tan-netwerk tat-trasport trans-Ewropew se tiddefinixxi l-kopertura ġeografika għall-proġetti ta’ użu doppju tal-Faċilità Nikkollegaw l-Ewropa mill-pakkett tal-mobilità militari minħabba li huma biss proġetti li huma parti kemm min-netwerk ġeografiku tal-mobilità militari u n-netwerk tat-trasport trans-Ewropew li se jkunu eliġibbli. Il-koinċidenza ta’ 94 % bejn l-infrastruttura tat-trasport identifikata mill-Istati Membri tal-UE bħala rilevanti għall-mobbiltà militari u n-netwerk tat-trasport trans-Ewropew turi li jeżistu sinerġiji bejn trasport ċivili u militari.</w:t>
      </w:r>
    </w:p>
    <w:p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Calibri" w:eastAsia="Times New Roman" w:hAnsi="Calibri" w:cs="Calibri"/>
          <w:noProof/>
        </w:rPr>
      </w:pPr>
      <w:r>
        <w:rPr>
          <w:rFonts w:ascii="Times New Roman" w:hAnsi="Times New Roman"/>
          <w:noProof/>
        </w:rPr>
        <w:t>It-tieni nett, kif intqal qabel, fid-dawl tar-riżultati tal-Analiżi tad-Diskrepanzi, il-Kumitat Politiku u ta’ Sigurtà stieden lis-Servizz Ewropew għall-Azzjoni Esterna/Persunal Militari tal-UE biex jaġġornaw ir-Rekwiżiti Militari bil-ħsieb li jiġu approvati mill-Kunsill sas-sajf 2019. L-aġġornament huwa mistenni li jnaqqas aktar id-diskrepanza bejn ir-rekwiżiti tal-infrastruttura tat-trasport militari u ċivili kif ukoll id-diskrepanza eventwali bejn ir-rekwiżiti militari u dawk ta’ użu doppju (ara hawn taħt). Ladarba r-Rekwiżiti Militari jiġu aġġornati, l-Analiżi tad-Diskrepanzi tiġi riveduta wkoll.</w:t>
      </w:r>
    </w:p>
    <w:p>
      <w:pPr>
        <w:ind w:firstLine="357"/>
        <w:jc w:val="both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/>
          <w:i/>
          <w:noProof/>
          <w:u w:val="single"/>
        </w:rPr>
        <w:t>Rekwiżiti ta’ użu doppju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Ir-Regolament propost tal-Faċilità Nikkollegaw l-Ewropa 2021-2027 jistipula li l-Kummissjoni se tadotta att ta’ implimentazzjoni li jispeċifika, fejn meħtieġ, b’mod partikolari r-rekwiżiti tal-infrastruttura applikabbli għal ċerti kategoriji ta’ azzjonijiet ta’ infrastruttura ta’ użu doppju. Il-Kummissjoni se tinvolvi lis-Servizz Ewropew għall-Azzjoni Esterna, l-Istati Membri tal-UE u l-partijiet ikkonċernati rilevanti fil-proċess. Il-konsultazzjoni tal-partijiet ikkonċernati bdiet f’nofs April 2019.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L-Analiżi tad-Diskrepanzi stabbiliet il-pedament għad-definizzjoni tar-rekwiżiti ta’ użu doppju, u huma mistennija li jitħejjew sal-aħħar tal-2019 biex ikunu lesti għall-adozzjoni sa meta jiġi adottat ir-Regolament dwar il-Faċilità Nikkollegaw l-Ewropa 2021-2027.</w:t>
      </w:r>
    </w:p>
    <w:p>
      <w:pPr>
        <w:ind w:firstLine="357"/>
        <w:jc w:val="both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/>
          <w:i/>
          <w:noProof/>
          <w:u w:val="single"/>
        </w:rPr>
        <w:t>Pjanijiet ta’ proġetti ta’ użu doppju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Ladarba l-Istati Membri tal-UE jidentifikaw l-aġġornamenti neċessarji tal-infrastruttura eżistenti u l-possibbiltajiet ta’ proġetti ta’ infrastruttura ġdida, u wara li jiġu ddefiniti r-rekwiżiti ta’ użu doppju, il-Kummissjoni u s-Servizz Ewropew għall-Azzjoni Esterna se jaħdmu mal-Istati Membri tal-UE u l-partijiet ikkonċernati rilevanti kollha fuq pjanijiet indikattivi ta’ proġetti ta’ użu doppju. Dan se jiġi implimentat sal-2020.</w:t>
      </w:r>
    </w:p>
    <w:p>
      <w:pPr>
        <w:pStyle w:val="ListParagraph"/>
        <w:numPr>
          <w:ilvl w:val="0"/>
          <w:numId w:val="13"/>
        </w:numPr>
        <w:spacing w:before="240" w:after="240"/>
        <w:ind w:left="1434" w:hanging="357"/>
        <w:contextualSpacing w:val="0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Reviżjoni tar-Regolament dwar in-netwerk tat-trasport trans-Ewropew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Il-Kummissjoni antiċipat ir-rieżami tar-Regolament dwar in-Netwerk tat-Trasport trans-Ewropew</w:t>
      </w:r>
      <w:r>
        <w:rPr>
          <w:rStyle w:val="FootnoteReference"/>
          <w:rFonts w:ascii="Times New Roman" w:hAnsi="Times New Roman"/>
          <w:noProof/>
        </w:rPr>
        <w:footnoteReference w:id="16"/>
      </w:r>
      <w:r>
        <w:rPr>
          <w:rFonts w:ascii="Times New Roman" w:hAnsi="Times New Roman"/>
          <w:noProof/>
        </w:rPr>
        <w:t>, li għandha titlesta fl-ewwel semestru tal-2020. Il-Kummissjoni se tinkludi ċerti rekwiżiti militari u/jew ta’ użu doppju fil-proċess ta’ reviżjoni.</w:t>
      </w:r>
    </w:p>
    <w:p>
      <w:pPr>
        <w:pStyle w:val="ListParagraph"/>
        <w:numPr>
          <w:ilvl w:val="0"/>
          <w:numId w:val="13"/>
        </w:numPr>
        <w:spacing w:before="240" w:after="240"/>
        <w:ind w:left="1434" w:hanging="357"/>
        <w:contextualSpacing w:val="0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Is-sistema tal-informazzjoni tat-TENtec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TENtec hija s-Sistema ta’ Informazzjoni tal-Kummissjoni biex tikkoordina u tappoġġja l-politika tan-netwerk tat-trasport trans-Ewropew.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Diġà tat prova tal-utilità tagħha għall-iskopijiet tal-mobilità militari peress li ppermettiet il-konverżjoni tad-</w:t>
      </w:r>
      <w:r>
        <w:rPr>
          <w:rFonts w:ascii="Times New Roman" w:hAnsi="Times New Roman"/>
          <w:i/>
          <w:noProof/>
        </w:rPr>
        <w:t>data</w:t>
      </w:r>
      <w:r>
        <w:rPr>
          <w:rFonts w:ascii="Times New Roman" w:hAnsi="Times New Roman"/>
          <w:noProof/>
        </w:rPr>
        <w:t xml:space="preserve"> ġeografika identifikata fir-Rekwiżiti Militari f’format viżiv u li jinħoloq </w:t>
      </w:r>
      <w:r>
        <w:rPr>
          <w:rFonts w:ascii="Times New Roman" w:hAnsi="Times New Roman"/>
          <w:i/>
          <w:noProof/>
        </w:rPr>
        <w:t>Viewer</w:t>
      </w:r>
      <w:r>
        <w:rPr>
          <w:rFonts w:ascii="Times New Roman" w:hAnsi="Times New Roman"/>
          <w:noProof/>
        </w:rPr>
        <w:t xml:space="preserve"> Interattiv tal-Mapep tal-Mobilità tat-TENtec</w:t>
      </w:r>
      <w:r>
        <w:rPr>
          <w:rStyle w:val="FootnoteReference"/>
          <w:rFonts w:ascii="Times New Roman" w:hAnsi="Times New Roman"/>
          <w:noProof/>
        </w:rPr>
        <w:footnoteReference w:id="17"/>
      </w:r>
      <w:r>
        <w:rPr>
          <w:rFonts w:ascii="Times New Roman" w:hAnsi="Times New Roman"/>
          <w:noProof/>
        </w:rPr>
        <w:t>. Il-</w:t>
      </w:r>
      <w:r>
        <w:rPr>
          <w:rFonts w:ascii="Times New Roman" w:hAnsi="Times New Roman"/>
          <w:i/>
          <w:noProof/>
        </w:rPr>
        <w:t>viewer</w:t>
      </w:r>
      <w:r>
        <w:rPr>
          <w:rFonts w:ascii="Times New Roman" w:hAnsi="Times New Roman"/>
          <w:noProof/>
        </w:rPr>
        <w:t xml:space="preserve"> jipprovdi mod viżiv biex jiġi analizzat in-netwerk tal-Mobilità Militari, biex jitwettqu diversi kalkoli fir-rigward tat-tul tan-netwerk tal-Mobilità Militari u l-koinċidenza tiegħu man-netwerk tat-trasport trans-Ewropew, kif ukoll biex jiġu ffaċilitati l-konnessjonijiet transfruntiera.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Barra minn hekk, it-TENtec qed jiġi mtejjeb fuq bażi kontinwa: pereżempju, aġġornament tat-TENtec tal-parametri tekniċi, li se jinkludi kunsiderazzjonijiet bażiċi ta’ mobilità militari, huwa mistenni sas-sajf 2019.</w:t>
      </w:r>
    </w:p>
    <w:p>
      <w:pPr>
        <w:pStyle w:val="ListParagraph"/>
        <w:ind w:left="714"/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Fl-aħħar nett, il-Pjan ta’ Azzjoni jirreferi għal konnessjoni possibbli ta’ bażijiet tad-</w:t>
      </w:r>
      <w:r>
        <w:rPr>
          <w:rFonts w:ascii="Times New Roman" w:hAnsi="Times New Roman"/>
          <w:i/>
          <w:noProof/>
        </w:rPr>
        <w:t>data</w:t>
      </w:r>
      <w:r>
        <w:rPr>
          <w:rFonts w:ascii="Times New Roman" w:hAnsi="Times New Roman"/>
          <w:noProof/>
        </w:rPr>
        <w:t xml:space="preserve"> militari u ċivili. Il-konsultazzjonijiet mal-partijiet rilevanti fir-rigward tal-fattibbiltà ta’ tali azzjoni se jibdew fl-2020.</w:t>
      </w:r>
    </w:p>
    <w:p>
      <w:pPr>
        <w:pStyle w:val="ListParagraph"/>
        <w:ind w:left="714"/>
        <w:contextualSpacing w:val="0"/>
        <w:jc w:val="both"/>
        <w:rPr>
          <w:rFonts w:ascii="Times New Roman" w:hAnsi="Times New Roman" w:cs="Times New Roman"/>
          <w:noProof/>
        </w:rPr>
      </w:pPr>
    </w:p>
    <w:p>
      <w:pPr>
        <w:pStyle w:val="ListParagraph"/>
        <w:numPr>
          <w:ilvl w:val="0"/>
          <w:numId w:val="2"/>
        </w:numPr>
        <w:spacing w:before="240" w:after="240"/>
        <w:ind w:left="1077"/>
        <w:contextualSpacing w:val="0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TRASPORT TA’ OĠĠETTI PERIKOLUŻI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It-trasport ta’ oġġetti perikolużi fil-qasam militari huwa qasam ieħor fejn l-azzjoni tal-UE tista’ tipprovdi valur miżjud. L-Aġenzija Ewropea għad-Difiża, f’kooperazzjoni mill-qrib mas-servizzi tal-Kummissjoni, kkonkludiet stħarriġ li jindirizza r-regoli eżistenti applikabbli għat-trasport ta’ oġġetti perikolużi fis-settur militari.. F’April 2019, is-sejbiet ġew ippreżentati lill-Aġenzija Ewropea għad-Difiża u lill-Istati Membri tal-UE li pparteċipaw u se jiġu kkunsidrati aktar fil-fond.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L-istħarriġ jimmarka l-oqfsa leġiżlattivi nazzjonali b’enfasi fuq l-ostakli u r-restrizzjonijiet għall-moviment ta’ oġġetti perikolużi. Il-proċeduri nazzjonali dwar it-trasport ta’ oġġetti perikolużi fis-settur militari iddaħħlu f'inventarju, u ġie stabbilit kwestjonarju li ntbagħat lill-Istati Membri tal-UE fit-8 ta’ Ottubru 2018.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Barra minn hekk, fil-qafas tad-Djalogu Strutturat UE-NATO dwar il-Mobilità Militari, l-UE u n-NATO analizzaw sinerġiji possibbli fl-azzjonijiet rispettivi tagħhom relatati mat-trasport ta’ oġġetti perikolużi. F’dan ir-rigward, ir-rilaxx tal-Ftehim rilevanti dwar l-Istandardizzazzjoni tan-NATO kif ukoll dokumenti oħra ta’ referenza lill-UE se jiffaċilita l-allinjament tal-isforzi tagħhom kemm fit-trasport ta’ oġġetti perikolużi u oqsma oħra marbuta mal-mobilità militari.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Is-servizzi tal-Kummissjoni qed janalizzaw diversi għażliet, li jistgħu jtejbu t-trasport ta’ oġġetti perikolużi u b’hekk itejbu l-mobilità militari. Ir-riżultati ta’ din l-analiżi se jiġu kkunsidrati fl-iżvilupp ulterjuri tal-programmi u l-inizjattivi rilevanti tal-UE, inkluż fil-kuntest tal-Aġenzija Ewropea għad-Difiża. Barra minn hekk, l-eżitu tal-istħarriġ tal-Aġenzija Ewropea għad-Difiża, li huwa mistenni sas-sajf 2019, se jgħin biex tiġi vvalutata l-fattibbiltà u l-ħtieġa għal aktar azzjonijiet fil-livell tal-UE f’konformità mal-Pjan ta’ Azzjoni.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L-azzjonijiet relatati mat-trasport ta’ oġġetti perikolużi huma żviluppati f’kooperazzjoni mill-qrib bejn l-Aġenzija Ewropea għad-Difiża, is-servizzi tal-Kummissjoni u s-Servizz Ewropew għall-Azzjoni Esterna/il-Persunal Militari tal-UE. Il-Kumitat għat-Trasport ta’ Oġġetti Perikolużi li jikkonsisti minn esperti ċivili</w:t>
      </w:r>
      <w:r>
        <w:rPr>
          <w:rStyle w:val="FootnoteReference"/>
          <w:rFonts w:ascii="Times New Roman" w:hAnsi="Times New Roman"/>
          <w:noProof/>
        </w:rPr>
        <w:footnoteReference w:id="18"/>
      </w:r>
      <w:r>
        <w:rPr>
          <w:rFonts w:ascii="Times New Roman" w:hAnsi="Times New Roman"/>
          <w:noProof/>
        </w:rPr>
        <w:t xml:space="preserve"> huwa mgħarraf regolarment.</w:t>
      </w:r>
    </w:p>
    <w:p>
      <w:pPr>
        <w:pStyle w:val="ListParagraph"/>
        <w:ind w:left="714"/>
        <w:contextualSpacing w:val="0"/>
        <w:jc w:val="both"/>
        <w:rPr>
          <w:rFonts w:ascii="Times New Roman" w:hAnsi="Times New Roman" w:cs="Times New Roman"/>
          <w:noProof/>
        </w:rPr>
      </w:pPr>
    </w:p>
    <w:p>
      <w:pPr>
        <w:pStyle w:val="ListParagraph"/>
        <w:numPr>
          <w:ilvl w:val="0"/>
          <w:numId w:val="2"/>
        </w:numPr>
        <w:spacing w:before="240" w:after="240"/>
        <w:ind w:left="1077"/>
        <w:contextualSpacing w:val="0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ID-DWANA U T-TAXXA FUQ IL-VALUR MIŻJUD</w:t>
      </w:r>
    </w:p>
    <w:p>
      <w:pPr>
        <w:pStyle w:val="ListParagraph"/>
        <w:numPr>
          <w:ilvl w:val="0"/>
          <w:numId w:val="11"/>
        </w:numPr>
        <w:spacing w:before="240" w:after="240"/>
        <w:contextualSpacing w:val="0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Dwana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 xml:space="preserve">Il-Pjan ta’ Azzjoni identifika wkoll azzjonijiet speċifiċi sabiex itejjeb l-effiċjenza u jissimplifika l-formalitajiet doganali għal movimenti militari transfruntiera filwaqt li jiżgura sinerġiji man-NATO. Il-leġiżlazzjoni doganali attwali fl-UE, li ilha fis-seħħ minn Mejju 2016, tipprevedi l-possibbiltà li tintuża l-Formola 302, li hija forma doganali speċifika stabbilita min-NATO, bħala dikjarazzjoni doganali għal proċeduri ta’ tranżitu biss. Din il-leġiżlazzjoni tista’ tiġi emendata biex il-Formola 302 tiġi estiża għal ċerti proċeduri doganali oħra għajr it-tranżitu, bħall-importazzjoni u l-esportazzjoni (din tal-aħħar issir fuq bażi temporanja). 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B’mod parallel, il-ħolqien ta’ Formola 302 tal-UE jissimplifika l-movimenti militari transfruntiera barra l-umbrella tan-NATO. Din il-formola tista’ tintuża wkoll minn Stati Membri tal-UE li mhumiex tan-NATO. Bl-allinjament tal-Formola 302 tan-NATO u l-Formola 302 tal-UE sa fejn huwa possibbli – bil-għan li jintużaw forom identiċi, il-proċessi doganali relatati jiġu ssimplifikati fl-UE kollha, li jiżgura wkoll trattament uniformi tal-movimenti militari mid-dwana fl-Istati Membri kollha tal-UE.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 xml:space="preserve">L-Istati Membri tal-UE wrew appoġġ wiesa’ fil-livell tekniku għall-abbozzi ta’ emendi legali meħtieġa għas-simplifikazzjoni tal-formalitajiet doganali relatati mal-movimenti militari transfruntiera, kif ukoll għall-introduzzjoni ta’ Formola 302 tal-UE. L-iżvilupp ta’ mudell għal Formola 302 tal-UE ġie ffaċilitat mill-Aġenzija Ewropea għad-Difiża fil-qafas tal-programm </w:t>
      </w:r>
      <w:r>
        <w:rPr>
          <w:rFonts w:ascii="Times New Roman" w:hAnsi="Times New Roman"/>
          <w:i/>
          <w:noProof/>
        </w:rPr>
        <w:t>ad-hoc</w:t>
      </w:r>
      <w:r>
        <w:rPr>
          <w:rFonts w:ascii="Times New Roman" w:hAnsi="Times New Roman"/>
          <w:noProof/>
        </w:rPr>
        <w:t xml:space="preserve"> tagħha dwar id-dwana, u kien kondiviż man-NATO mill-Aġenzija Ewropea għad-Difiża. L-allinjament sħiħ tal-Formola 302 bejn in-NATO u l-UE jiddependi fuq il-valutazzjoni tan-NATO tal-Formola 302 riveduta. Il-bażi ġuridika għall-użu tal-Formola 302 tal-UE se tinħoloq billi jiġi inkluż il-mudell għal din il-formola fil-leġiżlazzjoni doganali tal-UE.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Il-bidliet legali jirrikjedu serje ta’ emendi għal żewġ Regolamenti tal-Kummissjoni: l-Att Delegat</w:t>
      </w:r>
      <w:r>
        <w:rPr>
          <w:rStyle w:val="FootnoteReference"/>
          <w:rFonts w:ascii="Times New Roman" w:hAnsi="Times New Roman"/>
          <w:noProof/>
        </w:rPr>
        <w:footnoteReference w:id="19"/>
      </w:r>
      <w:r>
        <w:rPr>
          <w:rFonts w:ascii="Times New Roman" w:hAnsi="Times New Roman"/>
          <w:noProof/>
        </w:rPr>
        <w:t xml:space="preserve"> u l-Att ta’ Implimentazzjoni</w:t>
      </w:r>
      <w:r>
        <w:rPr>
          <w:rStyle w:val="FootnoteReference"/>
          <w:rFonts w:ascii="Times New Roman" w:hAnsi="Times New Roman"/>
          <w:noProof/>
        </w:rPr>
        <w:footnoteReference w:id="20"/>
      </w:r>
      <w:r>
        <w:rPr>
          <w:rFonts w:ascii="Times New Roman" w:hAnsi="Times New Roman"/>
          <w:noProof/>
        </w:rPr>
        <w:t xml:space="preserve"> tal-Kodiċi Doganali tal-Unjoni</w:t>
      </w:r>
      <w:r>
        <w:rPr>
          <w:rStyle w:val="FootnoteReference"/>
          <w:rFonts w:ascii="Times New Roman" w:hAnsi="Times New Roman"/>
          <w:noProof/>
        </w:rPr>
        <w:footnoteReference w:id="21"/>
      </w:r>
      <w:r>
        <w:rPr>
          <w:rFonts w:ascii="Times New Roman" w:hAnsi="Times New Roman"/>
          <w:noProof/>
        </w:rPr>
        <w:t>. L-abbozzi ta’ emendi għall-Att Delegat</w:t>
      </w:r>
      <w:r>
        <w:rPr>
          <w:rStyle w:val="FootnoteReference"/>
          <w:rFonts w:ascii="Times New Roman" w:hAnsi="Times New Roman"/>
          <w:noProof/>
        </w:rPr>
        <w:footnoteReference w:id="22"/>
      </w:r>
      <w:r>
        <w:rPr>
          <w:rFonts w:ascii="Times New Roman" w:hAnsi="Times New Roman"/>
          <w:noProof/>
        </w:rPr>
        <w:t xml:space="preserve"> għandhom jiġu adottati mill-Kummissjoni fil-ħarifa 2019, u l-abbozz ta’ emenda għall-Att ta’ Implimentazzjoni</w:t>
      </w:r>
      <w:r>
        <w:rPr>
          <w:rStyle w:val="FootnoteReference"/>
          <w:rFonts w:ascii="Times New Roman" w:hAnsi="Times New Roman"/>
          <w:noProof/>
        </w:rPr>
        <w:footnoteReference w:id="23"/>
      </w:r>
      <w:r>
        <w:rPr>
          <w:rFonts w:ascii="Times New Roman" w:hAnsi="Times New Roman"/>
          <w:noProof/>
        </w:rPr>
        <w:t xml:space="preserve"> għandu jiġi adottat mill-Kummissjoni fil-bidu tal-2020 mill-aktar fis possibbli.</w:t>
      </w:r>
    </w:p>
    <w:p>
      <w:pPr>
        <w:pStyle w:val="ListParagraph"/>
        <w:numPr>
          <w:ilvl w:val="0"/>
          <w:numId w:val="11"/>
        </w:numPr>
        <w:spacing w:before="240" w:after="240"/>
        <w:contextualSpacing w:val="0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Taxxa fuq il-Valur Miżjud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Riżultat ieħor importanti miksub mill-Kummissjoni huwa l-adozzjoni tal-proposta tagħha għal emendi tat-taxxa fuq il-valur miżjud u t-trattament tad-dazju tas-sisa tal-isforz ta’ difiża fil-qafas tal-Unjoni</w:t>
      </w:r>
      <w:r>
        <w:rPr>
          <w:noProof/>
          <w:vertAlign w:val="superscript"/>
        </w:rPr>
        <w:footnoteReference w:id="24"/>
      </w:r>
      <w:r>
        <w:rPr>
          <w:rFonts w:ascii="Times New Roman" w:hAnsi="Times New Roman"/>
          <w:noProof/>
        </w:rPr>
        <w:t xml:space="preserve"> fl-24 ta’ April 2019. Peress li l-provvisti lill-forzi armati li jipparteċipaw fi sforz ta’ difiża tan-NATO waqt li jkunu barra minn pajjiżhom jistgħu diġà jibbenefikaw minn eżenzjonijiet bħal dawn, il-proposta għandha l-għan li tiżgura trattament ugwali tal-isforzi ta’ difiża taħt il-qafas tan-NATO u l-UE billi teżenta l-provvisti lil forzi armati mit-taxxa fuq il-valur miżjud u dazji meta dawn il-forzi jiġu skjerati barra l-Istat Membru tagħhom stess u jieħdu sehem fi sforz ta’ difiża taħt il-Politika ta’ Sigurtà u ta’ Difiża Komuni. Billi tallinja t-trattament fiskali indirett taż-żewġ sforzi ta’ difiża, l-inizjattiva tirrikonoxxi l-importanza dejjem tikber tal-Politika ta’ Sigurtà u ta’ Difiża Komuni u l-mobilità militari.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Il-proposta ġiet ippreżentata lill-Grupp ta’ Ħidma tal-Kunsill dwar Mistoqsijiet tat-Taxxa fis-16 ta’ Mejju 2019. Id-diskussjonijiet se jkomplu taħt il-Presidenza Finlandiża tal-UE. Il-Kummissjoni tilqa’ l-adozzjoni tal-proposta mill-Kunsill malajr kemm jista’ jkun.</w:t>
      </w:r>
    </w:p>
    <w:p>
      <w:pPr>
        <w:pStyle w:val="ListParagraph"/>
        <w:contextualSpacing w:val="0"/>
        <w:jc w:val="both"/>
        <w:rPr>
          <w:rFonts w:ascii="Times New Roman" w:hAnsi="Times New Roman" w:cs="Times New Roman"/>
          <w:noProof/>
        </w:rPr>
      </w:pPr>
    </w:p>
    <w:p>
      <w:pPr>
        <w:pStyle w:val="ListParagraph"/>
        <w:numPr>
          <w:ilvl w:val="0"/>
          <w:numId w:val="2"/>
        </w:numPr>
        <w:spacing w:before="240" w:after="240"/>
        <w:ind w:left="1077"/>
        <w:contextualSpacing w:val="0"/>
        <w:jc w:val="both"/>
        <w:rPr>
          <w:rFonts w:ascii="Times New Roman" w:hAnsi="Times New Roman" w:cs="Times New Roman"/>
          <w:b/>
          <w:caps/>
          <w:noProof/>
        </w:rPr>
      </w:pPr>
      <w:r>
        <w:rPr>
          <w:rFonts w:ascii="Times New Roman" w:hAnsi="Times New Roman"/>
          <w:b/>
          <w:caps/>
          <w:noProof/>
        </w:rPr>
        <w:t>Il-permess tal-moviment transfruntier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L-attivitajiet f’dan il-qasam ġew żviluppati aktar fi ħdan l-Aġenzija Ewropea għad-Difiża, b’mod partikolari fil-qafas tal-Programm dwar “L-Ottimizzazzjoni tal-Proċeduri tal-Permess għall-Moviment Transfruntier fl-Ewropa”, iċ-Ċentru tat-Trasport Multimodali tal-UE u l-Arranġament Tekniku dwar l-Approvazzjoni Diplomatika għat-trasport bl-ajru. 23 Stat Membru tal-UE ssieħbu fl-Arranġament tal-Programm tal-Aġenzija Ewropea għad-Difiża dwar “L-Ottimizzazzjoni tal-Proċeduri tal-Permess għall-Moviment Transfruntier fl-Ewropa”, iffirmat fil-marġini tal-Bord ta' Tmexxija tal-Aġenzija Ewropea għad-Difiża tal-14 ta’ Mejju 2019. Billi jarmonizza u jissimplifika l-proċeduri transfruntiera b’enfasi fuq il-movimenti fuq l-art u dawk tal-ajru, flimkien ma’ proċeduri ta’ approvazzjoni diplomatika, dan il-programm se jtejjeb u jiffaċilita l-moviment militari tal-kapaċitajiet tal-Istati Membri tal-UE għal operazzjonijiet, eżerċizzji, u attivitajiet ta’ kuljum.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Hu u jikkomplementa dawn l-attivitajiet, il-proġett taċ-Ċentru tat-Trasport Multimodali tal-UE, stabbilit fl-2013, ikkontribwixxa biex jiġi stabbilit netwerk ġeografiku li jiffaċilita l-moviment tat-truppi. 14-il Stat Membru tal-UE issa qed jipparteċipaw fil-proġett. Bħalissa, Arranġament Tekniku dwar il-Qsim tal-Fruntieri u l-moviment tat-Trasport fuq l-Art qed jistenna li jiġi ffirmat fi ħdan il-proġett taċ-Ċentru tat-Trasport Multimodali tal-UE. Fir-rigward tal--Arranġament Tekniku dwar l-Awtorizzazzjonijiet Diplomatiċi, huwa jipprevedi approvazzjoni minn qabel għall-awtorizzazzjoni diplomatika għat-trasport bl-ajru. Wara l-bidu tiegħu fl-2012, 20 Stat Membru tal-UE issa ffirmaw l-arranġament. Ir-riżultati kemm tal-proġett dwar iċ-Ċentru tat-Trasport Multimodali tal-UE kif ukoll dwar l-awtorizzazzjonijiet Diplomatiċi se jkomplu jikkontribwixxu għall-attivitajiet li qed jiġu implimentati fil-kuntest tal-programm tal-Permess għall-Moviment Transfruntier.</w:t>
      </w:r>
    </w:p>
    <w:p>
      <w:pPr>
        <w:pStyle w:val="ListParagraph"/>
        <w:spacing w:after="60"/>
        <w:ind w:left="1080"/>
        <w:jc w:val="both"/>
        <w:rPr>
          <w:rFonts w:ascii="Calibri" w:eastAsia="Times New Roman" w:hAnsi="Calibri" w:cs="Calibri"/>
          <w:noProof/>
        </w:rPr>
      </w:pPr>
    </w:p>
    <w:p>
      <w:pPr>
        <w:pStyle w:val="ListParagraph"/>
        <w:numPr>
          <w:ilvl w:val="0"/>
          <w:numId w:val="2"/>
        </w:numPr>
        <w:spacing w:before="240" w:after="240"/>
        <w:ind w:left="1077"/>
        <w:contextualSpacing w:val="0"/>
        <w:jc w:val="both"/>
        <w:rPr>
          <w:rFonts w:ascii="Times New Roman" w:hAnsi="Times New Roman" w:cs="Times New Roman"/>
          <w:b/>
          <w:caps/>
          <w:noProof/>
        </w:rPr>
      </w:pPr>
      <w:r>
        <w:rPr>
          <w:rFonts w:ascii="Times New Roman" w:hAnsi="Times New Roman"/>
          <w:b/>
          <w:caps/>
          <w:noProof/>
        </w:rPr>
        <w:t>Kwistjonijiet oħra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Il-Pjan ta’ Azzjoni rrefera wkoll għal ċerti aspetti legali bħall-impatt possibbli tal-Ftehim dwar l-Istatus tal-Forzi tal-UE fuq il-mobilità militari. Il-Ftehim dwar l-Istatus tal-Forzi tal-UE ġie ffirmat fl-2003 u daħal fis-seħħ fl-1 ta’ April 2019</w:t>
      </w:r>
      <w:r>
        <w:rPr>
          <w:rStyle w:val="FootnoteReference"/>
          <w:rFonts w:ascii="Times New Roman" w:hAnsi="Times New Roman"/>
          <w:noProof/>
        </w:rPr>
        <w:footnoteReference w:id="25"/>
      </w:r>
      <w:r>
        <w:rPr>
          <w:rFonts w:ascii="Times New Roman" w:hAnsi="Times New Roman"/>
          <w:noProof/>
        </w:rPr>
        <w:t xml:space="preserve">, wara t-tlestija tal-proċess ta’ ratifika tiegħu mill-Irlanda. Il-Ftehim ikopri l-istatus tal-persunal militari u dak ċivili ssekondat lill-istituzzjonijiet tal-UE kif ukoll tal-kwartieri ġenerali u l-forzi li jistgħu jitqiegħdu għad-dispożizzjoni tal-UE fil-kuntest tat-tħejjija u l-eżekuzzjoni tal-kompiti msemmija fl-Artikolu 42 tat-TUE, inklużi l-eżerċizzji. 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L-Aġenzija Ewropea għad-Difiża wettqet stħarriġ biex tfassal oqfsa leġiżlattivi nazzjonali b’enfasi fuq il-limitazzjonijiet u r-restrizzjonijiet fuq il-moviment u l-interpretazzjoni nazzjonali ta’ strumenti u proċeduri internazzjonali. Ir-riżultati ta’ dan l-istħarriġ se jinfurmaw aktar xogħol tas-servizzi tal-Kummissjoni u tal-Aġenzija Ewropea għad-Difiża.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Barra minn hekk, il-Pjan ta’ Azzjoni rrikonoxxa l-importanza li tiġi riflessa r-rilevanza tal-mobilità militari fil-kuntest ta’ kwistjonijiet trażversali oħra bħall-ġlieda kontra t-theddid ibridu. Matul l-implimentazzjoni tat-22 Azzjoni ta’ Qafas Konġunt dwar il-Ġlieda kontra t-Theddid Ibridu</w:t>
      </w:r>
      <w:r>
        <w:rPr>
          <w:rStyle w:val="FootnoteReference"/>
          <w:rFonts w:ascii="Times New Roman" w:hAnsi="Times New Roman"/>
          <w:noProof/>
        </w:rPr>
        <w:footnoteReference w:id="26"/>
      </w:r>
      <w:r>
        <w:rPr>
          <w:rFonts w:ascii="Times New Roman" w:hAnsi="Times New Roman"/>
          <w:noProof/>
        </w:rPr>
        <w:t>, żewġ azzjonijiet tqiesu rilevanti għall-mobilità militari: Azzjoni 3 – Komunikazzjonijiet Strateġiċi, u Azzjoni 7 – Protezzjoni ta’ infrastruttura kritika għat-trasport. L-implimentazzjoni taż-żewġ azzjonijiet għadha għaddejja u referenza diretta għall-mobilità militari tista’ tiġi stabbilita f’reviżjoni futura possibbli tal-Qafas Konġunt bl-iskop li telabora fuq it-theddid potenzjali f’dawn iż-żewġ oqsma.</w:t>
      </w:r>
    </w:p>
    <w:p>
      <w:pPr>
        <w:ind w:left="360"/>
        <w:jc w:val="both"/>
        <w:rPr>
          <w:rFonts w:ascii="Times New Roman" w:eastAsia="Times New Roman" w:hAnsi="Times New Roman" w:cs="Times New Roman"/>
          <w:noProof/>
        </w:rPr>
      </w:pPr>
    </w:p>
    <w:p>
      <w:pPr>
        <w:pStyle w:val="ListParagraph"/>
        <w:numPr>
          <w:ilvl w:val="0"/>
          <w:numId w:val="2"/>
        </w:numPr>
        <w:spacing w:before="240" w:after="240"/>
        <w:ind w:left="1077"/>
        <w:contextualSpacing w:val="0"/>
        <w:jc w:val="both"/>
        <w:rPr>
          <w:rFonts w:ascii="Times New Roman" w:hAnsi="Times New Roman" w:cs="Times New Roman"/>
          <w:b/>
          <w:caps/>
          <w:noProof/>
        </w:rPr>
      </w:pPr>
      <w:r>
        <w:rPr>
          <w:rFonts w:ascii="Times New Roman" w:hAnsi="Times New Roman"/>
          <w:b/>
          <w:caps/>
          <w:noProof/>
        </w:rPr>
        <w:t>Konklużjonijiet u t-triq ’il quddiem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Mit-tnedija tal-Pjan ta’ Azzjoni, sar progress sostanzjali u tanġibbli fl-oqsma kollha, u d-dokumenti ewlenin, jiġifieri r-Rekwiżiti Militari, l-Analiżi tad-Diskrepanzi u l-proposta għal emendi tat-taxxa fuq il-valur miżjud, ġew imwassla. Barra minn hekk, l-iffirmar minn 23 Stat Membru tal-UE tal-Arranġament tal-Programm tal-Aġenzija Ewropea għad-Difiża dwar proċeduri ta’ Permess għall-Moviment Transfruntier fl-Ewropa huwa kisba tanġibbli. Sar progress sostanzjali wkoll f’oqsma bħat-trasport ta’ oġġetti perikolużi u d-dwana.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Dan il-progress ma kienx ikun possibbli mingħajr l-involviment tal-gvernijiet kollha tal-Istati Membri tal-UE, b'rispett għas-sovranità nazzjonali u t-teħid tad-deċiżjonijiet tagħhom, kif ukoll kooperazzjoni mill-qrib u kontinwa bejn is-servizzi tal-Kummissjoni, is-Servizz Ewropew għall-Azzjoni Esterna inkluż il-Persunal Militari tal-UE u l-Aġenzija Ewropea għad-Difiża. Id-Djalogu Strutturat UE-NATO se jkompli jtejjeb il-kooperazzjoni dwar il-mobilità militari. Il-Kummissjoni u r-Rappreżentant Għoli jilqgħu dan l-approċċ u huma impenjati li jkomplu jaħdmu bl-istess mod u bl-istess pass.</w:t>
      </w:r>
    </w:p>
    <w:p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Ir-Rapport ta’ Progress li jmiss se jiġi ppreżentat sa tmiem is-sajf tal-2020.</w:t>
      </w: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442B3" w16cid:durableId="20918E7A"/>
  <w16cid:commentId w16cid:paraId="2A10465E" w16cid:durableId="20918E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766074699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  <w:rPr>
            <w:rFonts w:ascii="Times New Roman" w:hAnsi="Times New Roman" w:cs="Times New Roman"/>
            <w:noProof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GB"/>
        </w:rPr>
        <w:t>Il-</w:t>
      </w:r>
      <w:r>
        <w:rPr>
          <w:rFonts w:ascii="Times New Roman" w:hAnsi="Times New Roman"/>
        </w:rPr>
        <w:t>Komunikazzjoni Konġunta lill-Parlament Ewropew u lill-Kunsill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</w:rPr>
        <w:t>dwar It-Titjib tal-Mobbiltà Militari</w:t>
      </w:r>
    </w:p>
    <w:p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fl-Unjoni Ewropea {JOIN(2017) 41 final}.</w:t>
      </w:r>
    </w:p>
  </w:footnote>
  <w:footnote w:id="2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Id-Diskors dwar l-Istat tal-Unjoni 2017 tal-President Jean-Claude Juncker, it-13 ta’ Settembru 2017, http://europa.eu/rapid/press-release_SPEECH-17-3165_mt.htm</w:t>
      </w:r>
    </w:p>
  </w:footnote>
  <w:footnote w:id="3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Il-Konklużjonijiet tal-Kunsill dwar l-implimentazzjoni tal-Istrateġija Globali tal-UE fil-qasam tas-Sigurtà u d-Difiża, l-14 ta’ Novembru 2016, https://www.consilium.europa.eu/media/22459/eugs-conclusions-st14149en16.pdf</w:t>
      </w:r>
    </w:p>
  </w:footnote>
  <w:footnote w:id="4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Viżjoni Kondiviża, Azzjoni Komuni: Ewropa Aktar b’Saħħitha, Strateġija Globali għall-Politika Estera u ta’ Sigurtà tal-Unjoni Ewropea, Ġunju 2016,  http://eeas.europa.eu/archives/docs/top_stories/pdf/eugs_review_web.pdf</w:t>
      </w:r>
    </w:p>
  </w:footnote>
  <w:footnote w:id="5">
    <w:p>
      <w:pPr>
        <w:pStyle w:val="FootnoteText"/>
      </w:pPr>
      <w:r>
        <w:rPr>
          <w:rStyle w:val="FootnoteReference"/>
          <w:rFonts w:ascii="Times New Roman" w:hAnsi="Times New Roman"/>
        </w:rPr>
        <w:footnoteRef/>
      </w:r>
      <w:r>
        <w:t xml:space="preserve"> </w:t>
      </w:r>
      <w:r>
        <w:rPr>
          <w:rFonts w:ascii="Times New Roman" w:hAnsi="Times New Roman"/>
        </w:rPr>
        <w:t>Il-Konklużjonijiet tal-Kunsill dwar is-Sigurtà u d-Difiża fil-kuntest tal-Istrateġija Globali tal-UE, il-25 ta’ Ġunju 2018, paragrafu 18,  http://data.consilium.europa.eu/doc/document/ST-10246-2018-INIT/mt/pdf</w:t>
      </w:r>
    </w:p>
  </w:footnote>
  <w:footnote w:id="6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Id-Dikjarazzjoni Konġunta dwar il-Kooperazzjoni UE-NATO mill-President tal-Kunsill Ewropew, il-President tal-Kummissjoni Ewropea u s-Segretarju Ġenerali tal-Organizzazzjoni tat-Trattat tal-Atlantiku tat-Tramuntana, </w:t>
      </w:r>
      <w:r>
        <w:rPr>
          <w:rStyle w:val="FootnoteReference"/>
          <w:rFonts w:ascii="Times New Roman" w:hAnsi="Times New Roman"/>
          <w:vertAlign w:val="baseline"/>
        </w:rPr>
        <w:t>https://www.nato.int/cps/en/natohq/official_texts_133163.htm</w:t>
      </w:r>
      <w:r>
        <w:rPr>
          <w:rFonts w:ascii="Times New Roman" w:hAnsi="Times New Roman"/>
        </w:rPr>
        <w:t>.</w:t>
      </w:r>
    </w:p>
  </w:footnote>
  <w:footnote w:id="7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Il-Komunikazzjoni Konġunta lill-Parlament Ewropew u lill-Kunsill dwar il-Pjan ta’ Azzjoni dwar il-Mobbiltà Militari</w:t>
      </w:r>
    </w:p>
    <w:p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{JOIN(2018)05 final}, p. 10.</w:t>
      </w:r>
    </w:p>
  </w:footnote>
  <w:footnote w:id="8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Laqgħa tal-Kunsill Ewropew (it-28 ta’ Ġunju 2018) - Konklużjonijiet, it-28 ta’ Ġunju 2018,</w:t>
      </w:r>
    </w:p>
    <w:p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https://www.consilium.europa.eu/media/35936/28-euco-final-conclusions-en.pdf</w:t>
      </w:r>
    </w:p>
  </w:footnote>
  <w:footnote w:id="9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Il-Konklużjonijiet tal-Kunsill dwar is-Sigurtà u d-Difiża fil-kuntest tal-Istrateġija Globali tal-UE (13978/18), id-19 ta’ Novembru 2018, http://data.consilium.europa.eu/doc/document/ST-13978-2018-INIT/mt/pdf</w:t>
      </w:r>
    </w:p>
  </w:footnote>
  <w:footnote w:id="10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Il-Komunikazzjoni Konġunta lill-Parlament Ewropew u lill-Kunsill dwar il-Pjan ta’ Azzjoni dwar il-Mobbiltà Militari {JOIN(2018)05 final}, p. 10.</w:t>
      </w:r>
    </w:p>
  </w:footnote>
  <w:footnote w:id="11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Rekwiżiti Militari għall-Mobilità Militari fl-UE u lil hinn minnha (ST 14770/18),  it-28 ta’ Novembru 2018.</w:t>
      </w:r>
    </w:p>
  </w:footnote>
  <w:footnote w:id="12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Dokument ta’ Ħidma tal-Persunal Konġunt, Rekwiżiti militari u netwerk tat-trasport trans-Ewropew: analiżi tad-diskrepanzi, {SWD(2019) 175 final}</w:t>
      </w:r>
    </w:p>
  </w:footnote>
  <w:footnote w:id="13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Il-Proposta għal Regolament tal-Parlament Ewropew u tal-Kunsill li jistabbilixxi l-Faċilità Nikkollegaw l-Ewropa u li jħassar ir-Regolamenti (UE) Nru 1316/2013 u (UE) Nru 283/2014, is-6 ta’ Ġunju 2018.</w:t>
      </w:r>
    </w:p>
  </w:footnote>
  <w:footnote w:id="14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Il-Proposta għal Regolament tal-Parlament Ewropew u tal-Kunsill li jistabbilixxi l-Faċilità Nikkollegaw l-Ewropa u li jħassar ir-Regolamenti (UE) Nru 1316/2013 u (UE) Nru 283/2014 - Rapport ta’ progress, il-Kunsill tal-Unjoni Ewropea, 2018/0228, 2018/0228(COD), it-13 ta’ Marzu 2019, https://www.consilium.europa.eu/media/38507/st07207-re01-en19.pdf</w:t>
      </w:r>
    </w:p>
  </w:footnote>
  <w:footnote w:id="15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Ara n-nota 11 ta’qiegħ il-paġna ta’ hawn fuq.</w:t>
      </w:r>
    </w:p>
  </w:footnote>
  <w:footnote w:id="16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Ir-Regolament (UE) Nru 1315/2013 tal-Parlament Ewropew u tal-Kunsill tal-11 ta’ Diċembru 2013 dwar linji gwida tal-Unjoni għall-iżvilupp tan-netwerk trans-Ewropew tat-trasport u li jħassar id-Deċiżjoni Nru 661/2010/UE (ĠU L 348, 20.12.2013, p. 1).</w:t>
      </w:r>
    </w:p>
  </w:footnote>
  <w:footnote w:id="17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L-aċċess għall-</w:t>
      </w:r>
      <w:r>
        <w:rPr>
          <w:rFonts w:ascii="Times New Roman" w:hAnsi="Times New Roman"/>
          <w:i/>
        </w:rPr>
        <w:t>viewer</w:t>
      </w:r>
      <w:r>
        <w:rPr>
          <w:rFonts w:ascii="Times New Roman" w:hAnsi="Times New Roman"/>
        </w:rPr>
        <w:t xml:space="preserve"> interattiv huwa pprovdut fuq il-bażi tal-ħtieġa tat-tagħrif billi tikkuntattja  </w:t>
      </w:r>
      <w:hyperlink r:id="rId1">
        <w:r>
          <w:rPr>
            <w:rStyle w:val="Hyperlink"/>
            <w:rFonts w:ascii="Times New Roman" w:hAnsi="Times New Roman"/>
          </w:rPr>
          <w:t>move-tentec@ec.europa.eu</w:t>
        </w:r>
      </w:hyperlink>
    </w:p>
  </w:footnote>
  <w:footnote w:id="18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Id-Direttiva 2008/68/KE tal-Parlament Ewropew u tal-Kunsill tal-24 ta’ Settembru 2008 dwar it-trasport intern ta’ oġġetti perikolużi (ĠU L 260, 30.9.2008, p. 13).</w:t>
      </w:r>
    </w:p>
  </w:footnote>
  <w:footnote w:id="19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Ir-Regolament Delegat tal-Kummissjoni (UE) 2015/2446 tat-28 ta’ Lulju 2015 li jissupplimenta r-Regolament (UE) Nru 952/2013 tal-Parlament Ewropew u tal-Kunsill fir-rigward ta’ regoli dettaljati li jikkonċernaw uħud mid-dispożizzjonijiet tal-Kodiċi Doganali tal-Unjoni (ĠU L 343, 29.12.2015, p. 1).</w:t>
      </w:r>
    </w:p>
  </w:footnote>
  <w:footnote w:id="20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>Ir-Regolament ta'  Implimentazzjoni tal-Kummissjoni (UE) 2015/2447 tal-24 ta’ Novembru 2015 li jistabbilixxi regoli dettaljati għall-implimentazzjoni ta' ċerti dispożizzjonijiet tar-Regolament (UE) Nru 952/2013 tal-Parlament Ewropew u tal-Kunsill li jistabbilixxi l-Kodiċi Doganali tal-Unjoni (ĠU L 343, 29.12.2015, p. 558).</w:t>
      </w:r>
    </w:p>
  </w:footnote>
  <w:footnote w:id="21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Ir-Regolament (UE) Nru 952/2013 tal-Parlament Ewropew u tal-Kunsill tad-9 ta’ Ottubru 2013 li jistabbilixxi l-Kodiċi Doganali tal-Unjoni (riformulazzjoni) (ĠU L 269, 10.10.2013, p. 1).</w:t>
      </w:r>
    </w:p>
  </w:footnote>
  <w:footnote w:id="22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Ara n-nota 18 ta’qiegħ il-paġna ta’ hawn fuq.</w:t>
      </w:r>
    </w:p>
  </w:footnote>
  <w:footnote w:id="23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Ara n-nota 19 ta’qiegħ il-paġna ta’ hawn fuq.</w:t>
      </w:r>
    </w:p>
  </w:footnote>
  <w:footnote w:id="24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COM(2019)192/F1 – Proposta għal Direttiva tal-Kunsill li temenda d-Direttiva 2006/112/KE dwar is-sistema komuni ta’ taxxa fuq il-valur miżjud u d-Direttiva 2008/118/KE dwar l-arranġamenti ġenerali għad-dazju tas-sisa fir-rigward ta’ sforz ta’ difiża fi ħdan il-qafas tal-Unjoni.</w:t>
      </w:r>
    </w:p>
  </w:footnote>
  <w:footnote w:id="25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Il-Ftehim bejn l-Istati Membri tal-Unjoni Ewropea dwar l-istatus tal-persunal militari u ċivili ssekondat lill-istituzzjonijiet tal-Unjoni Ewropea, tal-kwartieri ġenerali u l-forzi li jistgħu jitqiegħdu għad-dispożizzjoni tal-Unjoni Ewropea fil-kuntest tat-tħejjija u l-eżekuzzjoni tal-kompiti msemmija fl-Artikolu 17(2) tat-Trattat dwar l-Unjoni Ewropea, inklużi l-eżerċizzji, u tal-persunal militari u ċivili tal-Istati Membri li qegħdin għad-dispożizzjoni tal-Unjoni Ewropea biex taġixxi f'dan il-kuntest (UE SOFA) (ĠU C 321, 31.12.2003 p. 6)</w:t>
      </w:r>
    </w:p>
  </w:footnote>
  <w:footnote w:id="26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Il-Komunikazzjoni Konġunta lill-Parlament Ewropew u lill-Kunsill dwar Qafas Konġunt biex jiġi miġġieled it-theddid ibridu – reazzjoni tal-Unjoni Ewropea {JOIN/2016/018 final}.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rPr>
        <w:b/>
        <w:sz w:val="3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93A"/>
    <w:multiLevelType w:val="hybridMultilevel"/>
    <w:tmpl w:val="962A33B2"/>
    <w:lvl w:ilvl="0" w:tplc="9CE2F2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C47A3906">
      <w:start w:val="1"/>
      <w:numFmt w:val="decimal"/>
      <w:lvlText w:val="%2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2A47AB"/>
    <w:multiLevelType w:val="hybridMultilevel"/>
    <w:tmpl w:val="E6A4A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5339C"/>
    <w:multiLevelType w:val="hybridMultilevel"/>
    <w:tmpl w:val="EAA44FA0"/>
    <w:lvl w:ilvl="0" w:tplc="722A3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F095E"/>
    <w:multiLevelType w:val="hybridMultilevel"/>
    <w:tmpl w:val="7442A454"/>
    <w:lvl w:ilvl="0" w:tplc="9CE2F2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891981"/>
    <w:multiLevelType w:val="hybridMultilevel"/>
    <w:tmpl w:val="58449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60B0E"/>
    <w:multiLevelType w:val="hybridMultilevel"/>
    <w:tmpl w:val="9104CB38"/>
    <w:lvl w:ilvl="0" w:tplc="5F20B0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35EC9"/>
    <w:multiLevelType w:val="hybridMultilevel"/>
    <w:tmpl w:val="F92EF4AA"/>
    <w:lvl w:ilvl="0" w:tplc="E1F4DD5E">
      <w:start w:val="6"/>
      <w:numFmt w:val="decimal"/>
      <w:lvlText w:val="%1"/>
      <w:lvlJc w:val="left"/>
      <w:pPr>
        <w:ind w:left="1715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36FAE6">
      <w:start w:val="1"/>
      <w:numFmt w:val="lowerLetter"/>
      <w:lvlText w:val="%2"/>
      <w:lvlJc w:val="left"/>
      <w:pPr>
        <w:ind w:left="9121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DCD762">
      <w:start w:val="1"/>
      <w:numFmt w:val="lowerRoman"/>
      <w:lvlText w:val="%3"/>
      <w:lvlJc w:val="left"/>
      <w:pPr>
        <w:ind w:left="9841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086104">
      <w:start w:val="1"/>
      <w:numFmt w:val="decimal"/>
      <w:lvlText w:val="%4"/>
      <w:lvlJc w:val="left"/>
      <w:pPr>
        <w:ind w:left="10561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BAA4D2">
      <w:start w:val="1"/>
      <w:numFmt w:val="lowerLetter"/>
      <w:lvlText w:val="%5"/>
      <w:lvlJc w:val="left"/>
      <w:pPr>
        <w:ind w:left="11281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1AFB02">
      <w:start w:val="1"/>
      <w:numFmt w:val="lowerRoman"/>
      <w:lvlText w:val="%6"/>
      <w:lvlJc w:val="left"/>
      <w:pPr>
        <w:ind w:left="12001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0E0A00">
      <w:start w:val="1"/>
      <w:numFmt w:val="decimal"/>
      <w:lvlText w:val="%7"/>
      <w:lvlJc w:val="left"/>
      <w:pPr>
        <w:ind w:left="12721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14233C">
      <w:start w:val="1"/>
      <w:numFmt w:val="lowerLetter"/>
      <w:lvlText w:val="%8"/>
      <w:lvlJc w:val="left"/>
      <w:pPr>
        <w:ind w:left="13441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2ECD72">
      <w:start w:val="1"/>
      <w:numFmt w:val="lowerRoman"/>
      <w:lvlText w:val="%9"/>
      <w:lvlJc w:val="left"/>
      <w:pPr>
        <w:ind w:left="14161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C771DB"/>
    <w:multiLevelType w:val="hybridMultilevel"/>
    <w:tmpl w:val="39D8A760"/>
    <w:lvl w:ilvl="0" w:tplc="A4467AFE">
      <w:start w:val="5"/>
      <w:numFmt w:val="decimal"/>
      <w:lvlText w:val="%1"/>
      <w:lvlJc w:val="left"/>
      <w:pPr>
        <w:ind w:left="2101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FC2FCA">
      <w:start w:val="1"/>
      <w:numFmt w:val="lowerLetter"/>
      <w:lvlText w:val="%2"/>
      <w:lvlJc w:val="left"/>
      <w:pPr>
        <w:ind w:left="8704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B221CC">
      <w:start w:val="1"/>
      <w:numFmt w:val="lowerRoman"/>
      <w:lvlText w:val="%3"/>
      <w:lvlJc w:val="left"/>
      <w:pPr>
        <w:ind w:left="9424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B4D574">
      <w:start w:val="1"/>
      <w:numFmt w:val="decimal"/>
      <w:lvlText w:val="%4"/>
      <w:lvlJc w:val="left"/>
      <w:pPr>
        <w:ind w:left="10144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901028">
      <w:start w:val="1"/>
      <w:numFmt w:val="lowerLetter"/>
      <w:lvlText w:val="%5"/>
      <w:lvlJc w:val="left"/>
      <w:pPr>
        <w:ind w:left="10864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1C5B58">
      <w:start w:val="1"/>
      <w:numFmt w:val="lowerRoman"/>
      <w:lvlText w:val="%6"/>
      <w:lvlJc w:val="left"/>
      <w:pPr>
        <w:ind w:left="11584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EA9F12">
      <w:start w:val="1"/>
      <w:numFmt w:val="decimal"/>
      <w:lvlText w:val="%7"/>
      <w:lvlJc w:val="left"/>
      <w:pPr>
        <w:ind w:left="12304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AE569E">
      <w:start w:val="1"/>
      <w:numFmt w:val="lowerLetter"/>
      <w:lvlText w:val="%8"/>
      <w:lvlJc w:val="left"/>
      <w:pPr>
        <w:ind w:left="13024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744FE4">
      <w:start w:val="1"/>
      <w:numFmt w:val="lowerRoman"/>
      <w:lvlText w:val="%9"/>
      <w:lvlJc w:val="left"/>
      <w:pPr>
        <w:ind w:left="13744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EF01DCF"/>
    <w:multiLevelType w:val="hybridMultilevel"/>
    <w:tmpl w:val="0B5C1D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9500D"/>
    <w:multiLevelType w:val="hybridMultilevel"/>
    <w:tmpl w:val="7442A454"/>
    <w:lvl w:ilvl="0" w:tplc="9CE2F2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DF4052"/>
    <w:multiLevelType w:val="hybridMultilevel"/>
    <w:tmpl w:val="F880E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D41C5"/>
    <w:multiLevelType w:val="hybridMultilevel"/>
    <w:tmpl w:val="7442A454"/>
    <w:lvl w:ilvl="0" w:tplc="9CE2F2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96E3360"/>
    <w:multiLevelType w:val="hybridMultilevel"/>
    <w:tmpl w:val="7442A454"/>
    <w:lvl w:ilvl="0" w:tplc="9CE2F2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1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E0763F0F-C567-4CFD-8E40-AA1A1A4F3BE1"/>
    <w:docVar w:name="LW_COVERPAGE_TYPE" w:val="1"/>
    <w:docVar w:name="LW_CROSSREFERENCE" w:val="&lt;UNUSED&gt;"/>
    <w:docVar w:name="LW_DocType" w:val="NORMAL"/>
    <w:docVar w:name="LW_EMISSION" w:val="3.6.2019"/>
    <w:docVar w:name="LW_EMISSION_ISODATE" w:val="2019-06-03"/>
    <w:docVar w:name="LW_EMISSION_LOCATION" w:val="BRX"/>
    <w:docVar w:name="LW_EMISSION_PREFIX" w:val="Brussell, "/>
    <w:docVar w:name="LW_EMISSION_SUFFIX" w:val=" "/>
    <w:docVar w:name="LW_ID_DOCTYPE_NONLW" w:val="CP-018"/>
    <w:docVar w:name="LW_LANGUE" w:val="MT"/>
    <w:docVar w:name="LW_LEVEL_OF_SENSITIVITY" w:val="Standard treatment"/>
    <w:docVar w:name="LW_NOM.INST" w:val="IL-KUMMISSJONI EWROPEA"/>
    <w:docVar w:name="LW_NOM.INST_JOINTDOC" w:val="IR-RAPPRE\u379?ENTANT G\u294?OLI TAL-_x000b_UNJONI G\u294?ALL-_x000b_AFFARIJIET BARRANIN U L-_x000b_POLITIKA TA' SIGURTÀ"/>
    <w:docVar w:name="LW_PART_NBR" w:val="1"/>
    <w:docVar w:name="LW_PART_NBR_TOTAL" w:val="1"/>
    <w:docVar w:name="LW_REF.INST.NEW" w:val="JOIN"/>
    <w:docVar w:name="LW_REF.INST.NEW_ADOPTED" w:val="final"/>
    <w:docVar w:name="LW_REF.INST.NEW_TEXT" w:val="(2019) 11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ITRE.OBJ.CP" w:val="dwar l-implimentazzjoni tal-Pjan ta' Azzjoni dwar il-Mobilità Militari"/>
    <w:docVar w:name="LW_TYPE.DOC.CP" w:val="RAPPORT KON\u288?UNT LILL-PARLAMENT EWROPEW U LILL-KUNSIL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 Narrow" w:eastAsia="Arial Narrow" w:hAnsi="Arial Narrow" w:cs="Arial Narrow"/>
      <w:sz w:val="24"/>
      <w:szCs w:val="24"/>
      <w:lang w:val="mt-MT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Text1">
    <w:name w:val="Text 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482"/>
    </w:pPr>
    <w:rPr>
      <w:rFonts w:ascii="Calibri" w:eastAsia="Calibri" w:hAnsi="Calibri" w:cs="Calibri"/>
      <w:color w:val="00000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 Narrow" w:eastAsia="Arial Narrow" w:hAnsi="Arial Narrow" w:cs="Arial Narrow"/>
      <w:sz w:val="24"/>
      <w:szCs w:val="24"/>
      <w:lang w:val="mt-MT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Text1">
    <w:name w:val="Text 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482"/>
    </w:pPr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03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8405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6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file:///\\net1.cec.eu.int\MOVE\B\1\700%20Military%20Mobility\Progress%20Report%202019\move-tentec@ec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B96359C-57FB-4161-A239-D0CB7105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3837</TotalTime>
  <Pages>10</Pages>
  <Words>2919</Words>
  <Characters>22044</Characters>
  <Application>Microsoft Office Word</Application>
  <DocSecurity>0</DocSecurity>
  <Lines>310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19</cp:revision>
  <cp:lastPrinted>2019-05-24T11:40:00Z</cp:lastPrinted>
  <dcterms:created xsi:type="dcterms:W3CDTF">2019-05-27T07:35:00Z</dcterms:created>
  <dcterms:modified xsi:type="dcterms:W3CDTF">2019-07-03T06:34:00Z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using">
    <vt:lpwstr>LW 6.0.1, Build 20180503</vt:lpwstr>
  </property>
  <property fmtid="{D5CDD505-2E9C-101B-9397-08002B2CF9AE}" pid="3" name="Last edited using">
    <vt:lpwstr>LW 6.0.1, Build 20180503</vt:lpwstr>
  </property>
  <property fmtid="{D5CDD505-2E9C-101B-9397-08002B2CF9AE}" pid="4" name="Level of sensitivity">
    <vt:lpwstr>Standard treatment</vt:lpwstr>
  </property>
  <property fmtid="{D5CDD505-2E9C-101B-9397-08002B2CF9AE}" pid="5" name="Part">
    <vt:lpwstr>1</vt:lpwstr>
  </property>
  <property fmtid="{D5CDD505-2E9C-101B-9397-08002B2CF9AE}" pid="6" name="Total parts">
    <vt:lpwstr>1</vt:lpwstr>
  </property>
  <property fmtid="{D5CDD505-2E9C-101B-9397-08002B2CF9AE}" pid="7" name="DocStatus">
    <vt:lpwstr>Green</vt:lpwstr>
  </property>
  <property name="OP_sanitized" fmtid="{D5CDD505-2E9C-101B-9397-08002B2CF9AE}" pid="8">
    <vt:lpwstr>True</vt:lpwstr>
  </property>
</Properties>
</file>