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bookmarkStart w:id="0" w:name="LW_BM_COVERPAGE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alt="067C0683-BD47-4932-A1C4-FB596548E054" style="width:450.8pt;height:361.95pt">
            <v:imagedata r:id="rId9" o:title=""/>
          </v:shape>
        </w:pict>
      </w:r>
    </w:p>
    <w:bookmarkEnd w:id="0"/>
    <w:p>
      <w:pPr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</w:rPr>
      </w:pPr>
      <w:bookmarkStart w:id="1" w:name="_GoBack"/>
      <w:bookmarkEnd w:id="1"/>
      <w:r>
        <w:rPr>
          <w:rStyle w:val="IntenseReference"/>
          <w:rFonts w:ascii="Times New Roman" w:hAnsi="Times New Roman"/>
          <w:noProof/>
          <w:color w:val="00000A"/>
        </w:rPr>
        <w:lastRenderedPageBreak/>
        <w:t>Introduzzjoni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Skont l-Artikolu 23a tar-Regolament (KE) 1760/2000</w:t>
      </w:r>
      <w:r>
        <w:rPr>
          <w:rStyle w:val="FootnoteReference"/>
          <w:rFonts w:ascii="Times New Roman" w:hAnsi="Times New Roman" w:cs="Times New Roman"/>
          <w:noProof/>
        </w:rPr>
        <w:footnoteReference w:id="1"/>
      </w:r>
      <w:r>
        <w:rPr>
          <w:rFonts w:ascii="Times New Roman" w:hAnsi="Times New Roman"/>
          <w:noProof/>
        </w:rPr>
        <w:t>, il-Kummissjoni għandha tippreżenta lill-Parlament Ewropew u lill-Kunsill rapport li jittratta l-implimentazzjoni u l-impatt tad-dispożizzjonijiet dwar it-tikkettar volontarju taċ-ċanga, inkluża l-possibbiltà tar-rieżami tagħhom.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Ir-Regolament (KE) Nru 1760/2000 ġie adottat wara l-kriżi tal-Enċefalopatija Sponġiformi Bovina (BSE), sabiex titjieb it-trasparenza u tissaħħaħ il-fiduċja tal-konsumaturi fiċ-ċanga.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Ir-Regolament ippreveda regoli stretti dwar l-approvazzjoni u l-użu ta’ informazzjoni volontarja, iġġustifikati minn telf serju tal-fiduċja tal-konsumaturi u disturbi serji sussegwenti fis-suq.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Ir-Regolament (UE) Nru. 653/2014</w:t>
      </w:r>
      <w:r>
        <w:rPr>
          <w:rStyle w:val="FootnoteReference"/>
          <w:rFonts w:ascii="Times New Roman" w:hAnsi="Times New Roman" w:cs="Times New Roman"/>
          <w:noProof/>
        </w:rPr>
        <w:footnoteReference w:id="2"/>
      </w:r>
      <w:r>
        <w:rPr>
          <w:rFonts w:ascii="Times New Roman" w:hAnsi="Times New Roman"/>
          <w:noProof/>
        </w:rPr>
        <w:t xml:space="preserve"> emenda r-Regolament (KE) 1760/2000 u ssimplifika b’mod sinifikanti d-dispożizzjonijiet dwar it-tikkettar volontarju taċ-ċanga, bl-għan ewlieni li jitnaqqas il-piż amministrattiv għall-operaturi u għall-awtoritajiet kompetenti, kif ukoll li jitnaqqsu l-ispejjeż imġarrba mill-operaturi sabiex jipprovdu tali informazzjoni volontarja.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Ir-regoli emendati ma jipprevedux aktar ir-rekwiżit għall-awtorizzazzjoni tat-tikkettar volontarju taċ-ċanga. Tali informazzjoni volontarja trid tkun konformi mal-leġiżlazzjoni orizzontali dwar it-tikkettar u, b’mod partikolari, mar-Regolament (UE) Nru 1169/2011</w:t>
      </w:r>
      <w:r>
        <w:rPr>
          <w:rStyle w:val="FootnoteReference"/>
          <w:rFonts w:ascii="Times New Roman" w:hAnsi="Times New Roman" w:cs="Times New Roman"/>
          <w:noProof/>
        </w:rPr>
        <w:footnoteReference w:id="3"/>
      </w:r>
      <w:r>
        <w:rPr>
          <w:rFonts w:ascii="Times New Roman" w:hAnsi="Times New Roman"/>
          <w:noProof/>
        </w:rPr>
        <w:t xml:space="preserve"> dwar l-għoti ta’ informazzjoni dwar l-ikel lill-konsumaturi.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Skont l-Artikolu 23a tar-Regolament (KE) Nru. 1760/2000, l-objettivi ta’ dan ir-rapport huma:</w:t>
      </w:r>
    </w:p>
    <w:p>
      <w:pPr>
        <w:pStyle w:val="Style2"/>
        <w:rPr>
          <w:noProof/>
        </w:rPr>
      </w:pPr>
      <w:r>
        <w:rPr>
          <w:noProof/>
        </w:rPr>
        <w:t>li jiġu vvalutati l-implimentazzjoni u l-impatt tal-leġiżlazzjoni attwali tal-UE dwar it-tikkettar volontarju taċ-ċanga tul il-katina tal-provvista, b’mod partikolari billi jitqiesu l-fehmiet espressi mill-awtoritajiet kompetenti, mill-produtturi, mill-proċessuri u mill-konsumaturi;</w:t>
      </w:r>
    </w:p>
    <w:p>
      <w:pPr>
        <w:pStyle w:val="Style2"/>
        <w:numPr>
          <w:ilvl w:val="0"/>
          <w:numId w:val="0"/>
        </w:numPr>
        <w:ind w:left="720"/>
        <w:rPr>
          <w:noProof/>
        </w:rPr>
      </w:pPr>
    </w:p>
    <w:p>
      <w:pPr>
        <w:pStyle w:val="Style2"/>
        <w:tabs>
          <w:tab w:val="clear" w:pos="0"/>
          <w:tab w:val="num" w:pos="360"/>
        </w:tabs>
        <w:ind w:left="360" w:firstLine="0"/>
        <w:rPr>
          <w:noProof/>
        </w:rPr>
      </w:pPr>
      <w:r>
        <w:rPr>
          <w:noProof/>
        </w:rPr>
        <w:t>li tiġi esplorata l-possibbiltà tar-rieżami tad-dispożizzjonijiet dwar it-tikkettar volontarju taċ-ċanga.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</w:rPr>
      </w:pPr>
      <w:r>
        <w:rPr>
          <w:rStyle w:val="IntenseReference"/>
          <w:rFonts w:ascii="Times New Roman" w:hAnsi="Times New Roman"/>
          <w:noProof/>
          <w:color w:val="00000A"/>
        </w:rPr>
        <w:t>SFOND U QAFAS ĠURIDIKU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Ir-Regolament tal-Kunsill (KE) Nru 1760/2000 ġie adottat fil-kuntest ta’ telf tal-fiduċja tal-konsumaturi wara l-BSE; huwa ħassar u ssostitwixxa r-Regolament tal-Kunsill (KE) Nru 820/97</w:t>
      </w:r>
      <w:r>
        <w:rPr>
          <w:rStyle w:val="FootnoteReference"/>
          <w:rFonts w:ascii="Times New Roman" w:hAnsi="Times New Roman" w:cs="Times New Roman"/>
          <w:noProof/>
        </w:rPr>
        <w:footnoteReference w:id="4"/>
      </w:r>
      <w:r>
        <w:rPr>
          <w:rFonts w:ascii="Times New Roman" w:hAnsi="Times New Roman"/>
          <w:noProof/>
        </w:rPr>
        <w:t xml:space="preserve">, li ġie adottat b’reazzjoni għal disturbi serji fis-suq ikkawżati mill-kriżi tal-BSE. Ir-Regolament (KE) Nru 820/97 introduċa l-prinċipju tat-traċċabbiltà individwali tal-annimali u t-tikkettar tal-oriġini taċ-ċanga. 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Ir-Regolament (KE) Nru 1760/2000 stabbilixxa l-elementi li ġejjin: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huwa saħħaħ is-sistema ta’ identifikazzjoni u reġistrazzjoni għall-annimali bovini, l-Artikoli 1 sa 10;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huwa introduċa sistema obbligatorja ta’ tikkettar taċ-ċanga li taħtha l-operaturi li jikkummerċjalizzaw iċ-ċanga għandhom jindikaw, fuq it-tikketta, l-informazzjoni dwar l-oriġini, b’mod partikolari dik dwar fejn ikunu twieldu l-annimali li minnhom tkun ġejja ċ-ċanga, kif ukoll fejn ikunu ġew imsemmna u maqtula, l-Artikoli 11 sa 15;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huwa introduċa sistema volontarja ta’ tikkettar li tippermetti lill-operaturi jipprovdu informazzjoni addizzjonali lill-konsumaturi, l-Artikoli 16 sa 18.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Id-dispożizzjonijiet imsemmija fit-tielet punt (is-sistema volontarja ta’ tikkettar) ġew emendati fl-2014 permezz tar-Regolament (UE) Nru 653/2014, li essenzjalment ineħħi r-rekwiżit għall-awtorizzazzjonijiet, mill-awtoritajiet kompetenti, ta’ informazzjoni volontarja dwar it-tikkettar u l-obbligu ta’ kontrolli fuq l-operaturi mwettqa minn korp indipendenti rikonoxxut mill-awtorità kompetenti.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 xml:space="preserve"> It-tikkettar volontarju taċ-ċanga ġeneralment ikopri r-razza u l-kategorija tal-annimali, ir-reġjun tal-produzzjoni, l-għalf u s-sistemi tal-produzzjoni.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Ir-Regolament (UE) Nru 653/2014 emenda r-Regolament (KE) Nru. 1760/2000 kif ġej:</w:t>
      </w:r>
    </w:p>
    <w:p>
      <w:pPr>
        <w:pStyle w:val="Style2"/>
        <w:numPr>
          <w:ilvl w:val="0"/>
          <w:numId w:val="8"/>
        </w:numPr>
        <w:rPr>
          <w:noProof/>
        </w:rPr>
      </w:pPr>
      <w:r>
        <w:rPr>
          <w:noProof/>
        </w:rPr>
        <w:t>Artikolu 15a li għadu kif ġie introdott jesiġi b’mod partikolari li l-informazzjoni tkun oġġettiva, verifikabbli mill-awtoritajiet kompetenti u li tinftiehem mill-konsumaturi;</w:t>
      </w:r>
    </w:p>
    <w:p>
      <w:pPr>
        <w:pStyle w:val="Style2"/>
        <w:numPr>
          <w:ilvl w:val="0"/>
          <w:numId w:val="8"/>
        </w:numPr>
        <w:rPr>
          <w:noProof/>
        </w:rPr>
      </w:pPr>
      <w:r>
        <w:rPr>
          <w:noProof/>
        </w:rPr>
        <w:t>Barra minn hekk, l-Artikolu 15a jagħti s-setgħa lill-Kummissjoni li tadotta atti delegati dwar id-definizzjonijiet u r-rekwiżiti applikabbli għat-termini u l-kategoriji li jistgħu jitpoġġew fuq it-tikketti ta’ prodotti taċ-ċanga u tal-vitella friski u ffriżati ppakkjati minn qabel.</w:t>
      </w:r>
    </w:p>
    <w:p>
      <w:pPr>
        <w:pStyle w:val="ListParagraph"/>
        <w:numPr>
          <w:ilvl w:val="0"/>
          <w:numId w:val="8"/>
        </w:numPr>
        <w:jc w:val="both"/>
        <w:rPr>
          <w:rFonts w:ascii="Times New Roman" w:eastAsiaTheme="minorHAns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L-Artikolu 22, kif emendat, jistabbilixxi, fost l-oħrajn, li jekk operatur jew organizzazzjoni jkunu ttikkettjaw iċ-ċanga mingħajr ma jikkonformaw mal-obbligi stipulati għat-tikkettar obbligatorju jew volontarju, l-Istati Membri għandhom, kif xieraq, u f’konformità mal-prinċipju ta’ proporzjonalità, jirrikjedu t-tneħħija taċ-ċanga mis-suq.</w:t>
      </w:r>
      <w:r>
        <w:rPr>
          <w:noProof/>
        </w:rPr>
        <w:t xml:space="preserve"> </w:t>
      </w:r>
      <w:r>
        <w:rPr>
          <w:rFonts w:ascii="Times New Roman" w:hAnsi="Times New Roman"/>
          <w:noProof/>
        </w:rPr>
        <w:t>L-Istati Membri jistgħu jawtorizzaw li din iċ-ċanga titqiegħed fis-suq wara li tiġi tikkettata kif suppost skont ir-rekwiżiti tal-Unjoni, dejjem jekk il-laħam ikun jikkonforma mar-regoli veterinarji u iġjeniċi rileavnti.</w:t>
      </w:r>
    </w:p>
    <w:p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Style w:val="IntenseReference"/>
          <w:rFonts w:ascii="Times New Roman" w:hAnsi="Times New Roman"/>
          <w:noProof/>
          <w:color w:val="00000A"/>
        </w:rPr>
        <w:t>sistema volontarja ta’ tikkettar qabel id-dħul fis-seħħ tar-Regolament (UE) Nru 653/2014</w:t>
      </w:r>
    </w:p>
    <w:p>
      <w:pPr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/>
          <w:bCs/>
          <w:noProof/>
        </w:rPr>
        <w:t>Qabel id-dħul fis-seħħ tar-Regolament (UE) Nru 653/2014, ir-regoli ġenerali għall-awtorizzazzjoni u l-kontroll ta’ informazzjoni volontarja dwar iċ-ċanga kienu pprovduti fl-Artikoli 16 u 17 (issa mħassra) tar-Regolament (KE) Nru 1760/2000.</w:t>
      </w:r>
    </w:p>
    <w:p>
      <w:pPr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/>
          <w:bCs/>
          <w:noProof/>
        </w:rPr>
        <w:t>Fil-qosor: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/>
          <w:bCs/>
          <w:noProof/>
        </w:rPr>
        <w:t>l-operatur kien meħtieġ jibgħat l-ispeċifikazzjoni għall-approvazzjoni lill-awtorità kompetenti tal-Istat Membru li fih saru l-produzzjoni jew il-bejgħ taċ-ċanga;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/>
          <w:bCs/>
          <w:noProof/>
        </w:rPr>
        <w:t>l-ispeċifikazzjoni kellha tiddeskrivi l-informazzjoni li għandha tiġi inkluża fuq it-tikketta;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/>
          <w:bCs/>
          <w:noProof/>
        </w:rPr>
        <w:t>l-operatur kellu jistabbilixxi sistema speċifika ta’ kontroll li għandha tiġi applikata fl-istadji kollha tal-produzzjoni, inklużi kontrolli mwettqa minn korp indipendenti rikonoxxut mill-awtorità kompetenti u maħtur mill-operatur; dawn il-korpi indipendenti kellhom jikkonformaw mal-kriterji stabbiliti fl-istandard Ewropew EN/45100;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/>
          <w:bCs/>
          <w:noProof/>
        </w:rPr>
        <w:t>l-operaturi li jużaw is-sistema ta’ tikkettar kellhom iħallsu l-ispiża tal-kontrolli minn korp indipendenti;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/>
          <w:bCs/>
          <w:noProof/>
        </w:rPr>
        <w:t>l-awtorità kompetenti kellha teżamina l-ispeċifikazzjonijiet u l-miżuri meħuda sabiex tiżgura l-preċiżjoni tal-informazzjoni pprovduta fuq it-tikketta;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/>
          <w:bCs/>
          <w:noProof/>
        </w:rPr>
        <w:t>jekk il-produzzjoni u/jew il-bejgħ taċ-ċanga jkunu saru f’żewġ Stati Membri jew aktar, l-awtoritajiet kompetenti tal-Istati Membri kkonċernati kellhom jeżaminaw u japprovaw l-ispeċifikazzjonijiet relatati mal-operazzjonijiet fit-territorji rispettivi tagħhom.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/>
          <w:bCs/>
          <w:noProof/>
        </w:rPr>
        <w:t>kwalunkwe speċifikazzjoni approvata minn Stat Membru kellha tiġi kkomunikata lill-Istati Membri l-oħrajn permezz tal-Kumitat għall-Organizzazzjoni Komuni tas-Swieq Agrikoli;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/>
          <w:bCs/>
          <w:noProof/>
        </w:rPr>
        <w:t>f’każ li l-produzzjoni taċ-ċanga tkun saret f’pajjiż terz, l-operaturi jkunu tħallew jipprovdu informazzjoni volontarja dwar it-tikkettar taċ-ċanga skont ir-Regolament (KE) Nru 1760/2000 man-notifika minn qabel lill-Kummissjoni mill-pajjiż terz ikkonċernat li jkun fiha l-elementi li ġejjin:</w:t>
      </w:r>
    </w:p>
    <w:p>
      <w:pPr>
        <w:pStyle w:val="ListParagraph"/>
        <w:numPr>
          <w:ilvl w:val="2"/>
          <w:numId w:val="4"/>
        </w:numPr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/>
          <w:bCs/>
          <w:noProof/>
        </w:rPr>
        <w:t>l-awtorità kompetenti maħtura sabiex tagħti l-approvazzjoni;</w:t>
      </w:r>
    </w:p>
    <w:p>
      <w:pPr>
        <w:pStyle w:val="ListParagraph"/>
        <w:numPr>
          <w:ilvl w:val="2"/>
          <w:numId w:val="4"/>
        </w:numPr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/>
          <w:bCs/>
          <w:noProof/>
        </w:rPr>
        <w:t>il-proċeduri u l-kriterji segwiti mill-awtorità kompetenti meta kienet qed teżamina l-ispeċifikazzjoni,</w:t>
      </w:r>
    </w:p>
    <w:p>
      <w:pPr>
        <w:pStyle w:val="ListParagraph"/>
        <w:numPr>
          <w:ilvl w:val="2"/>
          <w:numId w:val="4"/>
        </w:numPr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>
        <w:rPr>
          <w:rFonts w:ascii="Times New Roman" w:hAnsi="Times New Roman"/>
          <w:bCs/>
          <w:noProof/>
        </w:rPr>
        <w:t>il-lista ta’ operaturi u organizzazzjonijiet li jistgħu jużaw l-ispeċifikazzjonijiet approvati.</w:t>
      </w:r>
    </w:p>
    <w:p>
      <w:pPr>
        <w:pStyle w:val="ListParagraph"/>
        <w:numPr>
          <w:ilvl w:val="0"/>
          <w:numId w:val="4"/>
        </w:numPr>
        <w:spacing w:after="0" w:line="100" w:lineRule="atLeast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bCs/>
          <w:noProof/>
        </w:rPr>
        <w:t>il-Kummissjoni kellha teżamina n-notifiki li rċeviet minn pajjiżi terzi sabiex tevalwa l-e</w:t>
      </w:r>
      <w:r>
        <w:rPr>
          <w:rFonts w:ascii="Times New Roman" w:hAnsi="Times New Roman"/>
          <w:noProof/>
        </w:rPr>
        <w:t>kwivalenza tal-proċeduri u l-kriterji applikati mill-pajjiż terz għall-istandards stabbiliti fir-Regolament (KE) Nru 1760/2000;</w:t>
      </w:r>
    </w:p>
    <w:p>
      <w:pPr>
        <w:pStyle w:val="ListParagraph"/>
        <w:spacing w:after="0" w:line="100" w:lineRule="atLeast"/>
        <w:jc w:val="both"/>
        <w:rPr>
          <w:rFonts w:ascii="Times New Roman" w:hAnsi="Times New Roman" w:cs="Times New Roman"/>
          <w:noProof/>
        </w:rPr>
      </w:pPr>
    </w:p>
    <w:p>
      <w:pPr>
        <w:pStyle w:val="ListParagraph"/>
        <w:numPr>
          <w:ilvl w:val="0"/>
          <w:numId w:val="4"/>
        </w:numPr>
        <w:spacing w:after="0" w:line="100" w:lineRule="atLeast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bCs/>
          <w:noProof/>
        </w:rPr>
        <w:t>in-notifiki li waslu minn pajjiżi terzi kellhom jiġu trażmessi lill-Istati Membri.</w:t>
      </w:r>
    </w:p>
    <w:p>
      <w:pPr>
        <w:rPr>
          <w:rFonts w:ascii="Times New Roman" w:hAnsi="Times New Roman" w:cs="Times New Roman"/>
          <w:noProof/>
        </w:rPr>
      </w:pPr>
    </w:p>
    <w:p>
      <w:pPr>
        <w:pStyle w:val="ListParagraph"/>
        <w:keepNext/>
        <w:numPr>
          <w:ilvl w:val="1"/>
          <w:numId w:val="1"/>
        </w:numPr>
        <w:ind w:left="1077" w:hanging="357"/>
        <w:rPr>
          <w:rFonts w:ascii="Times New Roman" w:hAnsi="Times New Roman" w:cs="Times New Roman"/>
          <w:noProof/>
          <w:sz w:val="24"/>
          <w:szCs w:val="24"/>
        </w:rPr>
      </w:pPr>
      <w:r>
        <w:rPr>
          <w:rStyle w:val="IntenseReference"/>
          <w:rFonts w:ascii="Times New Roman" w:hAnsi="Times New Roman"/>
          <w:noProof/>
          <w:color w:val="00000A"/>
        </w:rPr>
        <w:t>Tikkettar volontarju wara d-dħul fis-seħħ tar-Regolament (UE) Nru 653/2014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 xml:space="preserve">L-Artikolu 15a tar-Regolament (UE) Nru 653/2014 jistabbilixxi: </w:t>
      </w:r>
    </w:p>
    <w:p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>
        <w:rPr>
          <w:rFonts w:ascii="Times New Roman" w:hAnsi="Times New Roman"/>
          <w:noProof/>
        </w:rPr>
        <w:t>“</w:t>
      </w:r>
      <w:r>
        <w:rPr>
          <w:rFonts w:ascii="Times New Roman" w:hAnsi="Times New Roman"/>
          <w:i/>
          <w:noProof/>
        </w:rPr>
        <w:t xml:space="preserve">L-informazzjoni dwar l-ikel għajr dik speċifikata fl-Artikoli 13, 14 u 15 li tiżdied mat-tikketti b’mod volontarju mill-operaturi jew mill-organizzazzjonijiet li jikkumerċjalizzaw il-laħam taċ-ċanga, għandha tkun oġġettiva, verifikabbli mill-awtoritajiet rilevanti u tinftiehem mill-konsumaturi. 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i/>
          <w:noProof/>
        </w:rPr>
        <w:t>Dik l-informazzjoni għandha tikkonforma mal-leġiżlazzjoni orizzontali dwar it-tikkettar u, b’mod partikolari, mar-Regolament (UE) Nru 1169/2011 tal-Parlament Ewropew u tal-Kunsill…”</w:t>
      </w:r>
      <w:r>
        <w:rPr>
          <w:rFonts w:ascii="Times New Roman" w:hAnsi="Times New Roman"/>
          <w:noProof/>
        </w:rPr>
        <w:t>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B’din id-dispożizzjoni, ir-regoli dwar it-tikkettar volontarju taċ-ċanga ġew armonizzati ma’ tipi oħrajn ta’ laħam u oġġetti tal-ikel b’mod ġenerali skont l-informazzjoni orizzontali dwar l-ikel għar-Regolament tal-konsumaturi</w:t>
      </w:r>
      <w:r>
        <w:rPr>
          <w:rFonts w:ascii="Times New Roman" w:hAnsi="Times New Roman"/>
          <w:noProof/>
          <w:vertAlign w:val="superscript"/>
        </w:rPr>
        <w:t>3</w:t>
      </w:r>
      <w:r>
        <w:rPr>
          <w:rFonts w:ascii="Times New Roman" w:hAnsi="Times New Roman"/>
          <w:noProof/>
        </w:rPr>
        <w:t xml:space="preserve">; l-operaturi issa jistgħu jipprovdu informazzjoni volontarja fuq it-tikketti taħt ir-responsabbiltà tagħhom stess, mingħajr il-ħtieġa ta’ approvazzjoni minn qabel mill-awtoritajiet kompetenti u mingħajr kontrolli minn partijiet terzi. </w:t>
      </w:r>
    </w:p>
    <w:p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Il-Kapitolu V tar-Regolament (UE) Nru 1169/2011 jipprovdi regoli ġenerali dwar l-informazzjoni volontarja dwar l-ikel. B’mod partikolari, l-Artikolu 36(2) tar-Regolament jistabbilixxi li l-informazzjoni pprovduta fuq bażi volontarja għandha tissodisfa r-rekwiżiti li ġejjin:</w:t>
      </w:r>
    </w:p>
    <w:p>
      <w:pPr>
        <w:pStyle w:val="CM1"/>
        <w:spacing w:before="200" w:after="200"/>
        <w:ind w:left="720"/>
        <w:rPr>
          <w:noProof/>
        </w:rPr>
      </w:pPr>
      <w:r>
        <w:rPr>
          <w:noProof/>
        </w:rPr>
        <w:t>(a) hija ma għandhiex tiżgwida lill-konsumatur kif imsemmi fl-Artikolu 7 tar-Regolament (</w:t>
      </w:r>
      <w:r>
        <w:rPr>
          <w:i/>
          <w:noProof/>
        </w:rPr>
        <w:t>“prattiki ta’ informazzjoni ġusta”</w:t>
      </w:r>
      <w:r>
        <w:rPr>
          <w:noProof/>
        </w:rPr>
        <w:t>), b’mod partikolari:</w:t>
      </w:r>
    </w:p>
    <w:p>
      <w:pPr>
        <w:pStyle w:val="CM1"/>
        <w:numPr>
          <w:ilvl w:val="1"/>
          <w:numId w:val="6"/>
        </w:numPr>
        <w:spacing w:before="200"/>
        <w:jc w:val="both"/>
        <w:rPr>
          <w:noProof/>
        </w:rPr>
      </w:pPr>
      <w:r>
        <w:rPr>
          <w:noProof/>
        </w:rPr>
        <w:t>fir-rigward tal-karatteristiċi tal-ikel u, b’mod partikolari, fir-rigward tan-natura, l-identità, il-proprjetajiet, il-kompożizzjoni, il-kwantità, id-durabbiltà, il-pajjiż ta’ oriġini jew il-post ta’ provenjenza tiegħu, il-metodu tal-manifattura jew tal-produzzjoni;</w:t>
      </w:r>
    </w:p>
    <w:p>
      <w:pPr>
        <w:pStyle w:val="CM1"/>
        <w:numPr>
          <w:ilvl w:val="1"/>
          <w:numId w:val="6"/>
        </w:numPr>
        <w:spacing w:before="200" w:after="200"/>
        <w:jc w:val="both"/>
        <w:rPr>
          <w:noProof/>
        </w:rPr>
      </w:pPr>
      <w:r>
        <w:rPr>
          <w:noProof/>
        </w:rPr>
        <w:t xml:space="preserve">billi tattribwixxi għall-ikel l-effetti jew il-karatteristiċi li ma għandux; </w:t>
      </w:r>
    </w:p>
    <w:p>
      <w:pPr>
        <w:pStyle w:val="CM1"/>
        <w:numPr>
          <w:ilvl w:val="1"/>
          <w:numId w:val="6"/>
        </w:numPr>
        <w:spacing w:before="200" w:after="200"/>
        <w:rPr>
          <w:noProof/>
        </w:rPr>
      </w:pPr>
      <w:r>
        <w:rPr>
          <w:noProof/>
        </w:rPr>
        <w:t>billi tissuġġerixxi li l-ikel għandu karatteristiċi speċjali meta fil-fatt l-ikel kollu simili jkollu tali karatteristiċi, b’mod partikolari billi tenfasizza speċifikament il-preżenza jew l-assenza ta’ ċerti ingredjenti u/jew nutrijenti;</w:t>
      </w:r>
    </w:p>
    <w:p>
      <w:pPr>
        <w:pStyle w:val="CM1"/>
        <w:numPr>
          <w:ilvl w:val="1"/>
          <w:numId w:val="6"/>
        </w:numPr>
        <w:spacing w:before="200" w:after="200"/>
        <w:jc w:val="both"/>
        <w:rPr>
          <w:noProof/>
        </w:rPr>
      </w:pPr>
      <w:r>
        <w:rPr>
          <w:noProof/>
        </w:rPr>
        <w:t>billi tissuġġerixxi, permezz tal-apparenza, id-deskrizzjoni jew ir-rappreżentazzjoni permezz ta’ stampi, il-preżenza ta’ ikel jew ingredjent partikolari, filwaqt li, fir-realtà, komponent preżenti b’mod naturali jkun ġie sostitwit b’komponent differenti.</w:t>
      </w:r>
    </w:p>
    <w:p>
      <w:pPr>
        <w:pStyle w:val="CM1"/>
        <w:spacing w:before="200" w:after="200"/>
        <w:ind w:left="360" w:firstLine="360"/>
        <w:rPr>
          <w:noProof/>
        </w:rPr>
      </w:pPr>
      <w:r>
        <w:rPr>
          <w:noProof/>
        </w:rPr>
        <w:t xml:space="preserve">(b) hija ma għandhiex tkun ambigwa u ma għandhiex toħloq konfużjoni għall-konsumaturi; u </w:t>
      </w:r>
    </w:p>
    <w:p>
      <w:pPr>
        <w:pStyle w:val="CM1"/>
        <w:spacing w:before="200" w:after="200"/>
        <w:ind w:left="720"/>
        <w:rPr>
          <w:noProof/>
        </w:rPr>
      </w:pPr>
      <w:r>
        <w:rPr>
          <w:noProof/>
        </w:rPr>
        <w:t>(ċ) hija għandha, fejn xieraq, tkun ibbażata fuq id-</w:t>
      </w:r>
      <w:r>
        <w:rPr>
          <w:i/>
          <w:noProof/>
        </w:rPr>
        <w:t>data</w:t>
      </w:r>
      <w:r>
        <w:rPr>
          <w:noProof/>
        </w:rPr>
        <w:t xml:space="preserve"> xjentifika rilevanti.</w:t>
      </w:r>
    </w:p>
    <w:p>
      <w:pPr>
        <w:pStyle w:val="CM1"/>
        <w:spacing w:before="200" w:after="200" w:line="276" w:lineRule="auto"/>
        <w:jc w:val="both"/>
        <w:rPr>
          <w:rFonts w:eastAsiaTheme="minorHAnsi"/>
          <w:noProof/>
          <w:color w:val="auto"/>
        </w:rPr>
      </w:pPr>
      <w:r>
        <w:rPr>
          <w:noProof/>
        </w:rPr>
        <w:t xml:space="preserve">Ir-referenza għall-Artikolu 7 tar-Regolament (UE) Nru 1169/2011 hija partikolarment importanti. Billi tiddikjara li l-informazzjoni pprovduta ma għandhiex tiżgwida b’rabta ma’, fost l-oħrajn, il-karatteristiċi tal-ikel, il-post ta’ provenjenza u l-metodu ta’ manifattura u produzzjoni, hija </w:t>
      </w:r>
      <w:r>
        <w:rPr>
          <w:i/>
          <w:noProof/>
        </w:rPr>
        <w:t>de facto</w:t>
      </w:r>
      <w:r>
        <w:rPr>
          <w:noProof/>
        </w:rPr>
        <w:t xml:space="preserve"> qed tkopri l-informazzjoni kollha pprovduta preċedentement bħala tikkettar volontarju skont ir-Regolament (KE) Nru 1760/2000. F’dan is-sens, il-prattiki ta’ informazzjoni ġusta huma garantiti mir-referenza għall-Artikolu 7.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</w:rPr>
      </w:pPr>
      <w:r>
        <w:rPr>
          <w:rStyle w:val="IntenseReference"/>
          <w:rFonts w:ascii="Times New Roman" w:hAnsi="Times New Roman"/>
          <w:noProof/>
          <w:color w:val="00000A"/>
        </w:rPr>
        <w:t>METODOLOĠIJA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 xml:space="preserve">Ir-rapport preżenti huwa bbażat fuq l-informazzjoni li ġejja: 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 xml:space="preserve">analiżi tar-rapporti u l-evalwazzjonijiet preċedenti mwettqa fuq it-tikkettar volontarju taċ-ċanga; 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konsultazzjoni tal-Istati Membri permezz ta’ kwestjonarju speċifiku u kuntatti bilaterali;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 xml:space="preserve">konsultazzjoni tal-partijiet ikkonċernati permezz ta’ kwestjonarju speċifiku u kuntatti bilaterali. </w:t>
      </w:r>
    </w:p>
    <w:p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noProof/>
          <w:sz w:val="24"/>
          <w:szCs w:val="24"/>
        </w:rPr>
      </w:pPr>
      <w:r>
        <w:rPr>
          <w:rStyle w:val="IntenseReference"/>
          <w:rFonts w:ascii="Times New Roman" w:hAnsi="Times New Roman"/>
          <w:noProof/>
          <w:color w:val="00000A"/>
        </w:rPr>
        <w:t>Rapporti u evalwazzjonijiet preċedenti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Ir-riżultati tal-istudji u r-rapporti li ġejjin intużaw sabiex tiġi evalwata l-implimentazzjoni tas-sistema volontarja ta’ tikkettar taċ-ċanga:</w:t>
      </w:r>
    </w:p>
    <w:p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Rapport mill-Kummissjoni lill-Kunsill u lill-Parlament Ewropew dwar l-implimentazzjoni tat-Titolu II tar-Regolament (KE) Nru 1760/2000</w:t>
      </w:r>
      <w:r>
        <w:rPr>
          <w:rStyle w:val="FootnoteReference"/>
          <w:rFonts w:ascii="Times New Roman" w:hAnsi="Times New Roman" w:cs="Times New Roman"/>
          <w:noProof/>
        </w:rPr>
        <w:footnoteReference w:id="5"/>
      </w:r>
      <w:r>
        <w:rPr>
          <w:rFonts w:ascii="Times New Roman" w:hAnsi="Times New Roman"/>
          <w:noProof/>
        </w:rPr>
        <w:t>.</w:t>
      </w:r>
    </w:p>
    <w:p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Opinjoni dwar l-agrikoltura tal-Grupp ta’ Livell Għoli ta’ Partijiet Ikkonċernati Indipendenti dwar il-Piżijiet Amministrattivi</w:t>
      </w:r>
      <w:r>
        <w:rPr>
          <w:rStyle w:val="FootnoteReference"/>
          <w:rFonts w:ascii="Times New Roman" w:hAnsi="Times New Roman" w:cs="Times New Roman"/>
          <w:noProof/>
        </w:rPr>
        <w:footnoteReference w:id="6"/>
      </w:r>
      <w:r>
        <w:rPr>
          <w:rFonts w:ascii="Times New Roman" w:hAnsi="Times New Roman"/>
          <w:noProof/>
        </w:rPr>
        <w:t xml:space="preserve"> </w:t>
      </w:r>
    </w:p>
    <w:p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Studju ta’ evalwazzjoni għall-Kummissjoni “Evalwazzjoni tar-regoli tal-UE dwar it-tikkettar taċ-ċanga”</w:t>
      </w:r>
      <w:r>
        <w:rPr>
          <w:rFonts w:ascii="Times New Roman" w:hAnsi="Times New Roman" w:cs="Times New Roman"/>
          <w:noProof/>
          <w:vertAlign w:val="superscript"/>
        </w:rPr>
        <w:footnoteReference w:id="7"/>
      </w:r>
    </w:p>
    <w:p>
      <w:pPr>
        <w:pStyle w:val="ListParagraph"/>
        <w:numPr>
          <w:ilvl w:val="1"/>
          <w:numId w:val="1"/>
        </w:numPr>
        <w:rPr>
          <w:rStyle w:val="IntenseReference"/>
          <w:rFonts w:ascii="Times New Roman" w:hAnsi="Times New Roman" w:cs="Times New Roman"/>
          <w:b w:val="0"/>
          <w:bCs w:val="0"/>
          <w:smallCaps w:val="0"/>
          <w:noProof/>
          <w:sz w:val="24"/>
          <w:szCs w:val="24"/>
        </w:rPr>
      </w:pPr>
      <w:r>
        <w:rPr>
          <w:rStyle w:val="IntenseReference"/>
          <w:rFonts w:ascii="Times New Roman" w:hAnsi="Times New Roman"/>
          <w:noProof/>
          <w:color w:val="00000A"/>
        </w:rPr>
        <w:t>Konsultazzjoni mal-Istati Membri</w:t>
      </w:r>
    </w:p>
    <w:p>
      <w:pPr>
        <w:pStyle w:val="ListParagraph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Sabiex tiġi integrata, aġġornata u kkumplimentata l-analiżi mwettqa fil-qafas ta’ evalwazzjonijiet preċedenti, inġabret informazzjoni permezz ta’ kwestjonarji speċifiċi indirizzati lill-awtoritajiet kompetenti tat-28 Stat Membru kollha.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Il-kwestjonarju ġie ppreżentat fil-laqgħa tal-Kumitat għall-Organizzazzjoni Komuni tas-Swieq Agrikoli tad-19 ta’ Lulju 2018 u tqassam lill-Istati Membri.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L-għan tal-kwestjonarju kien li jiġbor informazzjoni, opinjonijiet u valutazzjonijiet mill-awtoritajiet kompetenti responsabbli mill-implimentazzjoni tas-sistema.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B’mod partikolari, l-Istati Membri ntalbu: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jgħidu jekk kellhomx sistema nazzjonali ta’ notifiki u kontroll fuq it-tikkettar volontarju taċ-ċanga wara d-dħul fis-seħħ tar-Regolament (UE) Nru 653/2014;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jipprovdu stima tas-sehem mis-suq tal-laħam ta’ annimali bovini ttikkettat b’mod volontarju qabel u wara d-dħul fis-seħħ tar-Regolament (UE) Nru 653/2014;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jgħidu liema kienu l-elementi ewlenin ta’ informazzjoni pprovduti taħt is-sistema ta’ tikkettar volontarju;</w:t>
      </w:r>
    </w:p>
    <w:p>
      <w:pPr>
        <w:pStyle w:val="Style2"/>
        <w:rPr>
          <w:noProof/>
        </w:rPr>
      </w:pPr>
      <w:r>
        <w:rPr>
          <w:noProof/>
        </w:rPr>
        <w:t>l-għadd ta’ kontrolli mwettqa u r-rati tan-nuqqas ta’ konformità qabel (2013-2014) u wara (mill-2015 ’il quddiem) id-dħul fis-seħħ tar-Regolament (UE) Nru 653/2014;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it-tipi ta’ nuqqasijiet ta’ konformità misjuba fir-rigward tat-tikkettar volontarju taċ-ċanga;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id-diffikultajiet li nstabu fl-implimentazzjoni tat-tikkettar volontarju taċ-ċanga wara d-dħul fis-seħħ tar-Regolament (UE) Nru. 653/2014;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jivvalutaw l-effetti ewlenin (pożittivi jew negattivi) tas-simplifikazzjoni introdotta mir-Regolament (UE) Nru 653/2014;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jivvalutaw (fuq skala minn 1 sa 5) is-sistema ta’ tikkettar volontarju taċ-ċanga qabel u wara d-dħul fis-seħħ tar-Regolament (UE) Nru 653/2014 fir-rigward tal-aspetti li ġejjin: l-effettività tas-sistema, l-affidabbiltà tas-sistema, il-kumplessità għall-awtoritajiet kompetenti, il-kumplessità għall-produtturi, il-piż amministrattiv għall-awtoritajiet kompetenti sabiex jimplimentaw u jħaddmu s-sistema, l-ispejjeż amministrattivi għall-produtturi, il-kapaċità li jinfurmaw b’mod korrett lill-konsumaturi.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Minn 28 Stat Membru, 12 wieġbu fid-dettall għall-kwestjonarju (BE-DK-DE-ES-FR-IT-AT-PT-SI-FI-SE-UK). 5 Stati Membri wieġbu li ma kinux qegħdin japplikaw tikkettar volontarju taċ-ċanga qabel l-2014 (BG-HR-LV-LT-PL).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11-il Stat Membru ma weġbux jew inkella bagħtu kwestjonarju parzjalment komplut (CZ-EE-IE-EL-CY-LU-HU-MT-NL-RO-SK).</w:t>
      </w:r>
    </w:p>
    <w:p>
      <w:pPr>
        <w:jc w:val="both"/>
        <w:rPr>
          <w:rStyle w:val="IntenseReference"/>
          <w:rFonts w:ascii="Times New Roman" w:hAnsi="Times New Roman" w:cs="Times New Roman"/>
          <w:noProof/>
          <w:color w:val="00000A"/>
          <w:sz w:val="24"/>
          <w:szCs w:val="24"/>
        </w:rPr>
      </w:pPr>
      <w:r>
        <w:rPr>
          <w:rFonts w:ascii="Times New Roman" w:hAnsi="Times New Roman"/>
          <w:noProof/>
        </w:rPr>
        <w:t>Saret diskussjoni mal-Istati Membri dwar l-eżiti ewlenin tal-kwestjonarju waqt il-laqgħa tal-Kumitat għall-Organizzazzjoni Komuni tas-Swieq Agrikoli fit-8 ta’ Novembru 2018.</w:t>
      </w:r>
    </w:p>
    <w:p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noProof/>
          <w:sz w:val="24"/>
          <w:szCs w:val="24"/>
        </w:rPr>
      </w:pPr>
      <w:r>
        <w:rPr>
          <w:rStyle w:val="IntenseReference"/>
          <w:rFonts w:ascii="Times New Roman" w:hAnsi="Times New Roman"/>
          <w:noProof/>
          <w:color w:val="00000A"/>
        </w:rPr>
        <w:t>Konsultazzjoni mal-partijiet ikkonċernati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B’mod simili għall-konsultazzjoni tal-Istati Membri, il-kwestjonarju indirizzat lill-partijiet ikkonċernati kellu l-għan li jiġbor informazzjoni, opinjonijiet u valutazzjonijiet fir-rigward tal-aspetti li ġejjin: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jekk ir-regoli preċedenti dwar it-tikkettar volontarju taċ-ċanga (jiġifieri l-approvazzjoni mill-Istati Membri, il-kontrolli minn partijiet terzi, in-notifiki, eċċ.) kinux meqjusa utli fil-passat sabiex jiġi sostnut is-suq wara l-kriżi tal-BSE u sabiex il-konsumaturi jiġu infurmati b’mod korrett;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jekk ikunx hemm raġunijiet siewja sabiex issir distinzjoni bejn iċ-ċanga u tipi oħrajn ta’ laħam u ikel fir-rigward ta’ informazzjoni volontarja għall-konsumaturi;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kif kienu perċepiti r-regoli preċedenti dwar it-tikkettar volontarju taċ-ċanga u l-effetti ewlenin (pożittivi jew negattivi) tar-regoli ġodda introdotti mir-Regolament (UE) Nru 653/2014;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jekk il-konsumaturi kinux konxji tar-regoli differenti applikati għat-tikkettar volontarju taċ-ċanga qabel ir-Regolament (UE) Nru 653/2014 meta mqabbel ma’ ikel ieħor;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kwalunkwe diffikultà li jiltaqgħu magħha l-partijiet ikkonċernati (fl-istadju rilevanti tas-suq) sabiex jadattaw għar-regoli ġodda introdotti mir-Regolament (UE) Nru 653/2014 u jekk ir-regoli ġodda dwar it-tikkettar volontarju taċ-ċanga kellhomx impatt (pożittiv jew negattiv) fuq l-istrateġiji ta’ kummerċjalizzazzjoni tal-partijiet ikkonċernati;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li jivvalutaw (fuq skala minn 1 sa 5) is-sistema ta’ tikkettar volontarju taċ-ċanga qabel u wara d-dħul fis-seħħ tar-Regolament (UE) Nru 653/2014 fir-rigward tal-aspetti li ġejjin: l-effettività tas-sistema, l-affidabbiltà tas-sistema, il-kumplessità għall-awtoritajiet kompetenti, il-kumplessità għall-produtturi, il-piż amministrattiv għall-awtoritajiet kompetenti sabiex jimplimentaw u jħaddmu s-sistema, l-ispejjeż amministrattivi għall-produtturi, il-kapaċità li jinfurmaw b’mod korrett lill-konsumaturi.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 xml:space="preserve">Sal-aħħar ta’ Novembru 2018 waslu seba’ tweġibiet mingħand l-assoċjazzjonijiet li ġejjin: it-trade unions Ewropej tal-bhejjem u tal-kummerċ tal-laħam (UECVB), il-Federación Empresarial de Carnes e Industrias Cárnicas (FECIC), l-Assoċjazzjoni Brittanika tal-Proċessuri tal-Laħam (‘British Meat Processor Association’ - BMPA), CULTURE VIANDE, EUROCOMMERCE (3 tweġibiet mibgħuta minn organizzazzjonijiet assoċjati differenti). </w:t>
      </w:r>
    </w:p>
    <w:p>
      <w:pPr>
        <w:pStyle w:val="ListParagraph"/>
        <w:keepNext/>
        <w:numPr>
          <w:ilvl w:val="0"/>
          <w:numId w:val="1"/>
        </w:numPr>
        <w:ind w:left="714" w:hanging="357"/>
        <w:rPr>
          <w:rFonts w:ascii="Times New Roman" w:hAnsi="Times New Roman" w:cs="Times New Roman"/>
          <w:noProof/>
        </w:rPr>
      </w:pPr>
      <w:r>
        <w:rPr>
          <w:rStyle w:val="IntenseReference"/>
          <w:rFonts w:ascii="Times New Roman" w:hAnsi="Times New Roman"/>
          <w:noProof/>
          <w:color w:val="00000A"/>
        </w:rPr>
        <w:t>RIŻULTATI TAL-ANALIŻI U TAL-KONSULTAZZJONI</w:t>
      </w:r>
    </w:p>
    <w:p>
      <w:pPr>
        <w:pStyle w:val="ListParagraph"/>
        <w:keepNext/>
        <w:numPr>
          <w:ilvl w:val="1"/>
          <w:numId w:val="1"/>
        </w:numPr>
        <w:ind w:left="1077" w:hanging="357"/>
        <w:rPr>
          <w:rFonts w:ascii="Times New Roman" w:hAnsi="Times New Roman" w:cs="Times New Roman"/>
          <w:noProof/>
          <w:sz w:val="24"/>
          <w:szCs w:val="24"/>
        </w:rPr>
      </w:pPr>
      <w:r>
        <w:rPr>
          <w:rStyle w:val="IntenseReference"/>
          <w:rFonts w:ascii="Times New Roman" w:hAnsi="Times New Roman"/>
          <w:noProof/>
          <w:color w:val="00000A"/>
        </w:rPr>
        <w:t>Analiżi tar-rapporti u l-evalwazzjonijiet preċedenti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u w:val="single"/>
        </w:rPr>
        <w:t>L-ewwel valutazzjoni</w:t>
      </w:r>
      <w:r>
        <w:rPr>
          <w:rFonts w:ascii="Times New Roman" w:hAnsi="Times New Roman"/>
          <w:noProof/>
        </w:rPr>
        <w:t xml:space="preserve"> tar-regoli dwar it-tikkettar volontarju taċ-ċanga twettqet fl-2004 mill-Kummissjoni Ewropea fir-“Rapport tagħha dwar l-implimentazzjoni tat-Titolu II tar-Regolament (KE) Nru 1760/2000”.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F’dan ir-rapport, il-Kummissjoni nnotat li:</w:t>
      </w:r>
    </w:p>
    <w:p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is-sistema ta’ tikkettar volontarju ntużat primarjament mill-operaturi fir-relazzjonijiet bejn in-negozji;</w:t>
      </w:r>
    </w:p>
    <w:p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kien hemm fis-seħħ ftehimiet kuntrattwali bejn imsieħba kummerċjali sabiex jiżguraw it-trażmissjoni ta’ informazzjoni speċifika dwar il-prodott;</w:t>
      </w:r>
    </w:p>
    <w:p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ir-rwol tal-iskemi ta’ tikkettar volontarju kien perċepit mill-awtoritajiet kompetenti b’mod differenti, li jwassal għal kriterji differenti għall-awtorizzazzjoni tal-ispeċifikazzjonijiet;</w:t>
      </w:r>
    </w:p>
    <w:p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dawn l-approċċi differenti wasslu għall-fatt li l-każijiet ta’ rikonoxximent reċiproku tal-ispeċifikazzjonijiet approvati kienu rari, li ħoloq ir-riskju ta’ tfixkil tal-kummerċ fl-UE kif ukoll ta’ distorsjoni tal-kompetizzjoni bejn l-operaturi li ma kinux soġġetti għall-istess restrizzjonijiet fil-kisba ta’ approvazzjoni tal-ispeċifikazzjonijiet tagħhom.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u w:val="single"/>
        </w:rPr>
        <w:t>It-tieni valutazzjoni</w:t>
      </w:r>
      <w:r>
        <w:rPr>
          <w:rFonts w:ascii="Times New Roman" w:hAnsi="Times New Roman"/>
          <w:noProof/>
        </w:rPr>
        <w:t xml:space="preserve"> twettqet mill-Grupp ta’ Livell Għoli ta’ Partijiet Ikkonċernati Indipendenti dwar Piżijiet Amministrattivi (“HLG”), imwaqqaf fl-2007 sabiex jagħti pariri lill-Kummissjoni dwar l-implimentazzjoni tal-Programm ta’ Azzjoni għat-Tnaqqis tal-Piżijiet Amministrattivi fl-Unjoni Ewropea. 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Fl-opinjoni tiegħu dwar l-Agrikoltura/is-sussidji Agrikoli tal-5 ta’ Marzu 2009, l-HLG identifika l-proċedura għall-approvazzjoni tal-ispeċifikazzjonijiet tat-tikkettar volontarju taċ-ċanga u s-sistema ta’ kontroll stipulata fir-Regolament (KE) Nru 1760/2000 bħala sors ta’ piż amministrattiv kemm għall-operaturi kif ukoll għall-amministrazzjonijiet.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Għalhekk, l-HLG irrakkomanda lill-Kummissjoni sabiex telimina r-rekwiżiti ta’ notifika fir-rigward tal-użu ta’ indikazzjonijiet ta’ tikkettar addizzjonali minbarra dawk obbligatorji għaċ-ċanga.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 xml:space="preserve">Skont ir-rapport tal-HLG, dan jippermetti tnaqqis ta’ 15 % fil-piż amministrattiv (EUR 21 miljun, minn total ta’ EUR 139 miljun għat-tikkettar taċ-ċanga) fir-rigward tal-identifikazzjoni ta’ annimali bovini, mingħajr ma tiġi kompromessa t-traċċabbiltà garantita mill-elementi tat-tikkettar obbligatorju. 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u w:val="single"/>
        </w:rPr>
        <w:t>It-tielet evalwazzjoni dettaljata</w:t>
      </w:r>
      <w:r>
        <w:rPr>
          <w:rFonts w:ascii="Times New Roman" w:hAnsi="Times New Roman"/>
          <w:noProof/>
        </w:rPr>
        <w:t xml:space="preserve"> “Evalwazzjoni tar-regoli tal-UE dwar it-tikkettar taċ-ċanga” twettqet għall-Kummissjoni fl-2014, ftit xhur wara l-adozzjoni tar-Regolament (UE) Nru 653/2014.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Fir-rigward tas-sistema ta’ tikkettar volontarju, l-eżiti ewlenin kienu: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il-volum taċ-ċanga soġġetta għal skemi volontarji kien jirrappreżenta medja ta’ 23 % taċ-ċanga kollha mibjugħa fis-swieq nazzjonali tas-sitt Stati Membri fl-istudju tal-każ (DE, FR, IT, ES, UK, IE).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il-partijiet ikkonċernati kellhom fehmiet diverġenti dwar il-konsegwenzi tal-implimentazzjoni tar-Regolament (UE) Nru 653/2014 li jissimplifika r-regoli dwar it-tikkettar volontarju: xi wħud apprezzaw il-proċedura ssimplifikata; oħrajn raw ir-riskju li s-sistema kollha tiddeterjora u t-telf ta’ fiduċja tal-konsumaturi.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il-konsumaturi ġeneralment setgħu jifhmu l-indikazzjonijiet ipprovduti f’konformità mar-regoli volontarji. Madankollu, xi konsumaturi li ġew intervistati ilmentaw li t-tikketti pprovduti f’konformità mar-regoli volontarji spiss irriżultaw f’tikketti ffollati. Dan wassal għall-paradoss fejn it-tikketti fuq iċ-ċanga fl-istess ħin jipprovdu wisq informazzjoni mingħajr spjegazzjoni suffiċjenti, u dan jagħmilha diffiċli li jinftiehmu.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</w:rPr>
        <w:t>b’mod ġenerali, l-indikazzjonijiet volontarji ma kinux jidhru bħala fatturi li għandhom influwenza kbira fuq l-imġiba tax-xiri deskritta mill-konsumaturi nfushom.</w:t>
      </w:r>
      <w:r>
        <w:rPr>
          <w:rStyle w:val="FootnoteReference"/>
          <w:rFonts w:ascii="Times New Roman" w:hAnsi="Times New Roman" w:cs="Times New Roman"/>
          <w:noProof/>
        </w:rPr>
        <w:footnoteReference w:id="8"/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il-biċċa l-kbira tal-partijiet ikkonċernati enfasizzaw li r-Regolament (UE) Nru 653/2014 ġab ir-regoli dwar it-tikkettar volontarju għaċ-ċanga konformi mar-regoli ġenerali dwar it-tikkettar tal-ikel.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 xml:space="preserve">f’xi każijiet, it-tikketti volontarji ntużaw biss fil-bejgħ </w:t>
      </w:r>
      <w:r>
        <w:rPr>
          <w:rFonts w:ascii="Times New Roman" w:hAnsi="Times New Roman"/>
          <w:i/>
          <w:noProof/>
        </w:rPr>
        <w:t>minn negozju għal negozju</w:t>
      </w:r>
      <w:r>
        <w:rPr>
          <w:rFonts w:ascii="Times New Roman" w:hAnsi="Times New Roman"/>
          <w:noProof/>
        </w:rPr>
        <w:t xml:space="preserve">. 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xi bejjiegħa bl-imnut beżgħu li s-simplifikazzjoni tat-tikkettar volontarju tal-2014 twassal għal proliferazzjoni ta’ tikketti b’livelli baxxi ta’ garanzija li l-informazzjoni pprovduta fuq it-tikketta volontarja hija oġġettiva, verifikabbli u komprensiva għall-konsumaturi, li tista’ tagħmel ħsara lill-immaġini tas-settur. Oħrajn qiesu li dan huwa żvilupp pożittiv: is-simplifikazzjoni tal-proċeduri tippermetti li l-operaturi ekonomiċi jiżviluppaw pretensjonijiet volontarji ġodda, billi jirrispondu għad-domanda tal-konsumaturi.</w:t>
      </w:r>
    </w:p>
    <w:p>
      <w:pPr>
        <w:pStyle w:val="ListParagraph"/>
        <w:keepNext/>
        <w:numPr>
          <w:ilvl w:val="1"/>
          <w:numId w:val="1"/>
        </w:numPr>
        <w:ind w:left="1077" w:hanging="357"/>
        <w:rPr>
          <w:rFonts w:ascii="Times New Roman" w:hAnsi="Times New Roman" w:cs="Times New Roman"/>
          <w:noProof/>
          <w:sz w:val="24"/>
          <w:szCs w:val="24"/>
        </w:rPr>
      </w:pPr>
      <w:r>
        <w:rPr>
          <w:rStyle w:val="IntenseReference"/>
          <w:rFonts w:ascii="Times New Roman" w:hAnsi="Times New Roman"/>
          <w:noProof/>
          <w:color w:val="00000A"/>
        </w:rPr>
        <w:t>Eżitu tal-Konsultazzjoni mal-Istati Membri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 xml:space="preserve">Fil-konsultazzjoni tal-2018, it-12-il Stat Membru li wieġbu kompletament għall-kwestjonarju kienu jirrappreżentaw aktar minn 72 % tal-produzzjoni tal-laħam ta’ annimali bovini fl-UE. B’hekk, ir-riżultati jistgħu jitqiesu bħala sinifikanti u rappreżentattivi tas-sitwazzjoni tal-UE. 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 xml:space="preserve">Żewġ Stati Membri (PT u SI) żammew is-sistema nazzjonali tagħhom ta’ approvazzjoni mill-awtorità kompetenti u l-kontroll ta’ partijiet terzi għat-tikkettar volontarju taċ-ċanga wara d-dħul fis-seħħ tar-Regolament (UE) Nru 653/2014. 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Stat Membru wieħed (IT) issimplifika s-sistema: l-informazzjoni li tista’ tinkiseb minn reġistru uffiċjali u dokumenti tista’ titqiegħed direttament fuq it-tikketta mill-operaturi, filwaqt li l-użu ta’ aktar informazzjoni għandu jiġi kkomunikat lill-awtorità kompetenti iżda mingħajr ma tkun meħtieġa approvazzjoni formali.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 xml:space="preserve">Stat Membru wieħed (FR) irrapporta li, minkejja s-simplifikazzjoni, ħafna operaturi komplew jużaw l-ispeċifikazzjonijiet approvati qabel l-2014 b’kontrolli minn korp indipendenti. Operaturi oħrajn qalbu għal skemi ta’ kwalità u tikkettar nazzjonali jew Ewropej oħrajn jew implimentaw skemi privati ta’ ċertifikazzjoni sabiex jittikkettjaw il-prodotti tagħhom. L-ispeċifikazzjonijiet ġodda ma għadhomx jiġu kkontrollati u approvati </w:t>
      </w:r>
      <w:r>
        <w:rPr>
          <w:rFonts w:ascii="Times New Roman" w:hAnsi="Times New Roman"/>
          <w:i/>
          <w:noProof/>
        </w:rPr>
        <w:t>a priori</w:t>
      </w:r>
      <w:r>
        <w:rPr>
          <w:rFonts w:ascii="Times New Roman" w:hAnsi="Times New Roman"/>
          <w:noProof/>
        </w:rPr>
        <w:t>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Fl-Istati Membri l-oħrajn kollha li wieġbu għall-kwestjonarju, is-sistema ta’ notifiki tħassret kompletament, kif stabbilit skont id-dispożizzjonijiet ġodda dwar it-tikkettar volontarju taċ-ċanga.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Kienu ftit ħafna l-Istati Membri</w:t>
      </w:r>
      <w:r>
        <w:rPr>
          <w:rStyle w:val="FootnoteReference"/>
          <w:rFonts w:ascii="Times New Roman" w:hAnsi="Times New Roman" w:cs="Times New Roman"/>
          <w:noProof/>
        </w:rPr>
        <w:footnoteReference w:id="9"/>
      </w:r>
      <w:r>
        <w:rPr>
          <w:rFonts w:ascii="Times New Roman" w:hAnsi="Times New Roman"/>
          <w:noProof/>
        </w:rPr>
        <w:t xml:space="preserve"> li setgħu jipprovdu informazzjoni dwar is-sehem mis-suq tal-laħam ta’ annimali bovini ttikkettat b’informazzjoni volontarja qabel u wara d-dħul fis-seħħ tar-Regolament (UE) Nru 653/2014.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Skont l-istudju ta’ evalwazzjoni, il-medja ponderata taċ-ċanga mibjugħa skont l-iskemi ta’ tikkettjar volontarju għas-sitt Stati Membri studjati (DE, FR, IT, ES, UK, IE) mill-2014 ammontat għal 23 % tat-total ta’ ċanga kkummerċjalizzata.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Huwa interessanti li l-Istati Membri b’sehem għoli ta’ laħam ikkummerċjalizzat skont skemi ta’ tikkettar volontarju ma rrapportaw l-ebda bidla sinifikanti fil-kwestjonarju. L-Awstrija qed tistma tnaqqis ta’ 5 % fl-użu ta’ informazzjoni volontarja (minn 80-90 % għal 75-85 % tal-laħam ikkummerċjalizzat qabel u wara l-2014, rispettivament). Fl-Iżvezja, dan is-sehem żdied minn 90 % għal 95 %, filwaqt li d-Danimarka ma rrapportat l-ebda bidla sinifikanti.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L-informazzjoni ewlenija pprovduta taħt is-sistema ta’ tikkettar volontarju kienet ir-razza u l-kategorija tal-annimali, flimkien mar-reġjun tal-produzzjoni u s-sistemi ta’ għalf u produzzjoni.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L-ebda Stat Membru ma rrapporta diffikultà fit-tranżizzjoni mir-regoli preċedenti dwar it-tikkettar volontarju taċ-ċanga għar-regoli ssimplifikati ġodda.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Is-simplifikazzjoni tqieset bħala l-effett pożittiv ewlieni mill-Istati Membri li wieġbu għall-kwestjonarju, b’10 Stati Membri minn 12 jirrikonoxxu li s-sistema l-ġdida ssimplifikat ir-regoli billi evitat il-passi amministrattivi kollha meħtieġa skont ir-regoli preċedenti qabel ma tinkiseb l-approvazzjoni tal-ispeċifikazzjoni. Dan ikkawża tnaqqis notevoli tal-piż amministrattiv għall-awtoritajiet kompetenti.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L-armonizzazzjoni ma’ tipi oħrajn ta’ laħam (laħam tal-majjal, tat-tjur, tan-nagħaġ u tal-mogħoż) ġiet rikonoxxuta wkoll bħala effett pożittiv minħabba li r-raġunijiet għal regoli aktar stretti dwar it-tikkettar taċ-ċanga (il-kriżi tal-BSE) ma għadhomx rilevanti.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Fl-aħħar nett, l-Istati Membri enfasizzaw li regoli ssimplifikati jippermettu lill-operaturi jirreaġixxu malajr għad-domandi tas-suq jekk issir meħtieġa informazzjoni ġdida fuq it-tikketti.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Bħala konsegwenza negattiva possibbli tas-sistema l-ġdida, ġie identifikat riskju akbar ta’ nuqqasijiet ta’ konformità minn tliet Stati Membri (ES, AT, UK), minħabba l-abolizzjoni tal-kontrolli minn korp indipendenti.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Madankollu, dan mhuwiex ikkonfermat mid-</w:t>
      </w:r>
      <w:r>
        <w:rPr>
          <w:rFonts w:ascii="Times New Roman" w:hAnsi="Times New Roman"/>
          <w:i/>
          <w:noProof/>
        </w:rPr>
        <w:t>data</w:t>
      </w:r>
      <w:r>
        <w:rPr>
          <w:rFonts w:ascii="Times New Roman" w:hAnsi="Times New Roman"/>
          <w:noProof/>
        </w:rPr>
        <w:t xml:space="preserve"> pprovduta dwar il-kontrolli u r-rati ta’ nuqqas ta’ konformità misjuba fuq it-tikkettar volontarju taċ-ċanga qabel u wara d-dħul fis-seħħ tar-Regolament (UE) Nru 653/2014. Ħafna Stati Membri ma setgħux jipprovdu </w:t>
      </w:r>
      <w:r>
        <w:rPr>
          <w:rFonts w:ascii="Times New Roman" w:hAnsi="Times New Roman"/>
          <w:i/>
          <w:noProof/>
        </w:rPr>
        <w:t>data</w:t>
      </w:r>
      <w:r>
        <w:rPr>
          <w:rFonts w:ascii="Times New Roman" w:hAnsi="Times New Roman"/>
          <w:noProof/>
        </w:rPr>
        <w:t xml:space="preserve"> speċifika dwar il-kontrolli fuq it-tikkettar volontarju, minħabba li d-</w:t>
      </w:r>
      <w:r>
        <w:rPr>
          <w:rFonts w:ascii="Times New Roman" w:hAnsi="Times New Roman"/>
          <w:i/>
          <w:noProof/>
        </w:rPr>
        <w:t>data</w:t>
      </w:r>
      <w:r>
        <w:rPr>
          <w:rFonts w:ascii="Times New Roman" w:hAnsi="Times New Roman"/>
          <w:noProof/>
        </w:rPr>
        <w:t xml:space="preserve"> tinġabar b’mod aggregat flimkien ma’ dawk dwar it-tikkettar obbligatorju. Erba’ Stati Membri (FR-IT-AT-PL) setgħu jipprovdu </w:t>
      </w:r>
      <w:r>
        <w:rPr>
          <w:rFonts w:ascii="Times New Roman" w:hAnsi="Times New Roman"/>
          <w:i/>
          <w:noProof/>
        </w:rPr>
        <w:t>data</w:t>
      </w:r>
      <w:r>
        <w:rPr>
          <w:rFonts w:ascii="Times New Roman" w:hAnsi="Times New Roman"/>
          <w:noProof/>
        </w:rPr>
        <w:t xml:space="preserve"> diżaggregata dettaljata.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Fl-ewwel tliet snin tal-applikazzjoni tar-regoli l-ġodda (2015-2017), il-perċentwal medju ta’ nuqqasijiet ta’ konformità rrapportati minn dawn l-erba’ Stati Membri indika li r-rata ta’ nuqqas ta’ konformità ma varjatx b’mod sinifikanti u li s-sistema ssimplifikata l-ġdida mhijiex aktar riskjuża minn dik preċedenti.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L-analiżi tal-valutazzjoni ppreżentata mill-Istati Membri dwar ir-regoli preċedenti u ġodda tat-tikkettar volontarju taċ-ċanga – bl-użu ta’ sistema ta’ punti li tvarja minn 1 (l-aktar valur baxx) sa 5 (l-ogħla valur) – uriet li, b’mod ġenerali, l-Istati Membri kkunsidraw b’mod pożittiv is-simplifikazzjoni introdotta fl-2014.</w:t>
      </w:r>
    </w:p>
    <w:p>
      <w:pPr>
        <w:keepNext/>
        <w:jc w:val="both"/>
        <w:rPr>
          <w:rFonts w:ascii="Times New Roman" w:hAnsi="Times New Roman" w:cs="Times New Roman"/>
          <w:noProof/>
          <w:sz w:val="24"/>
          <w:szCs w:val="24"/>
          <w:u w:val="single"/>
        </w:rPr>
      </w:pPr>
      <w:r>
        <w:rPr>
          <w:rFonts w:ascii="Times New Roman" w:hAnsi="Times New Roman"/>
          <w:noProof/>
        </w:rPr>
        <w:t xml:space="preserve">B’mod partikolari, l-Istati Membri ntalbu jipprovdu valutazzjoni dwar l-aspetti li ġejjin: 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  <w:u w:val="single"/>
        </w:rPr>
      </w:pPr>
      <w:r>
        <w:rPr>
          <w:rFonts w:ascii="Times New Roman" w:hAnsi="Times New Roman"/>
          <w:noProof/>
          <w:u w:val="single"/>
        </w:rPr>
        <w:t>l-effettività tas-sistema</w:t>
      </w:r>
      <w:r>
        <w:rPr>
          <w:rFonts w:ascii="Times New Roman" w:hAnsi="Times New Roman"/>
          <w:noProof/>
        </w:rPr>
        <w:t xml:space="preserve"> - punti medji miksuba: 3.7 qabel l-2014 u 3.5 wara l-2014; l-Istati Membri ma pperċepew l-ebda differenza sostanzjali fl-effettività tas-sistema; ir-regoli l-ġodda għadhom effettivi sabiex jiżguraw informazzjoni ċara dwar it-tikkettar lill-konsumaturi.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  <w:u w:val="single"/>
        </w:rPr>
      </w:pPr>
      <w:r>
        <w:rPr>
          <w:rFonts w:ascii="Times New Roman" w:hAnsi="Times New Roman"/>
          <w:noProof/>
          <w:u w:val="single"/>
        </w:rPr>
        <w:t>l-affidabbiltà tas-sistema</w:t>
      </w:r>
      <w:r>
        <w:rPr>
          <w:rFonts w:ascii="Times New Roman" w:hAnsi="Times New Roman"/>
          <w:noProof/>
        </w:rPr>
        <w:t xml:space="preserve"> - punti medji miksuba: 4.0 qabel l-2014 u 3.5 wara l-2014; minkejja tnaqqis żgħir fil-punti medji miksuba, ir-riżultati mill-Istati Membri jindikaw li s-sistema l-ġdida hija kważi affidabbli daqs dik preċedenti. Il-kontrolli mwettqa mill-awtoritajiet kompetenti jiżguraw u jiggarantixxu livell tajjeb ta’ affidabbiltà fis-sistema.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  <w:u w:val="single"/>
        </w:rPr>
      </w:pPr>
      <w:r>
        <w:rPr>
          <w:rFonts w:ascii="Times New Roman" w:hAnsi="Times New Roman"/>
          <w:noProof/>
          <w:u w:val="single"/>
        </w:rPr>
        <w:t>il-kumplessità għall-awtoritajiet kompetenti</w:t>
      </w:r>
      <w:r>
        <w:rPr>
          <w:rFonts w:ascii="Times New Roman" w:hAnsi="Times New Roman"/>
          <w:noProof/>
        </w:rPr>
        <w:t xml:space="preserve"> - punti medji miksuba: 4.2 qabel l-2014 (kumplessa u oneruża) u 2.3 wara l-2014; f’dan il-każ, id-differenza fil-valutazzjoni qabel u wara l-introduzzjoni tar-regoli l-ġodda kienet importanti. L-Istati Membri kienu jemmnu li s-sistema preċedenti kienet pjuttost kumplessa sabiex tiġi ġestita min-naħa tal-amministrazzjonijiet, filwaqt li r-regoli l-ġodda naqqsu l-kumplessità tas-sistema.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  <w:u w:val="single"/>
        </w:rPr>
      </w:pPr>
      <w:r>
        <w:rPr>
          <w:rFonts w:ascii="Times New Roman" w:hAnsi="Times New Roman"/>
          <w:noProof/>
          <w:u w:val="single"/>
        </w:rPr>
        <w:t>il-kumplessità għall-produtturi</w:t>
      </w:r>
      <w:r>
        <w:rPr>
          <w:rFonts w:ascii="Times New Roman" w:hAnsi="Times New Roman"/>
          <w:noProof/>
        </w:rPr>
        <w:t xml:space="preserve"> - punti medji miksuba: 4.3 qabel l-2014 (tieħu ħafna ħin u oneruża) u 2.1 wara l-2014 (inqas kumplessa u oneruża); barra minn hekk, f’dan il-każ kien hemm tnaqqis notevoli fil-punti miksuba. Is-sistema l-ġdida hija perċepita bħala ħafna inqas kumplessa. Il-proċess tal-approvazzjoni tal-ispeċifikazzjoni u l-ġestjoni tas-sistema kollha jieħdu ħafna ħin u huma onerużi għall-operaturi. 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  <w:u w:val="single"/>
        </w:rPr>
      </w:pPr>
      <w:r>
        <w:rPr>
          <w:rFonts w:ascii="Times New Roman" w:hAnsi="Times New Roman"/>
          <w:noProof/>
          <w:u w:val="single"/>
        </w:rPr>
        <w:t>il-piż amministrattiv għall-awtoritajiet kompetenti</w:t>
      </w:r>
      <w:r>
        <w:rPr>
          <w:rFonts w:ascii="Times New Roman" w:hAnsi="Times New Roman"/>
          <w:noProof/>
        </w:rPr>
        <w:t xml:space="preserve"> - punti medji miksuba: 4.1 qabel l-2014 u 2.2 wara l-2014; is-sistema preċedenti tqieset bħala oneruża; is-sistema l-ġdida ppermettiet tnaqqis sensibbli tal-piżijiet għall-awtoritajiet kompetenti.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  <w:u w:val="single"/>
        </w:rPr>
      </w:pPr>
      <w:r>
        <w:rPr>
          <w:rFonts w:ascii="Times New Roman" w:hAnsi="Times New Roman"/>
          <w:noProof/>
          <w:u w:val="single"/>
        </w:rPr>
        <w:t>l-ispejjeż amministrattivi għall-produtturi</w:t>
      </w:r>
      <w:r>
        <w:rPr>
          <w:rFonts w:ascii="Times New Roman" w:hAnsi="Times New Roman"/>
          <w:noProof/>
        </w:rPr>
        <w:t>: - punti medji miksuba: 4.0 qabel l-2014 u 1.9 wara l-2014; it-tnaqqis fl-ispejjeż għall-produtturi wara s-simplifikazzjoni kien perċepit bħala sinifikanti ħafna. Dan huwa relatat mal-abolizzjoni tal-kontrolli.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u w:val="single"/>
        </w:rPr>
        <w:t>il-kapaċità li l-konsumaturi jiġu infurmati b’mod korrett</w:t>
      </w:r>
      <w:r>
        <w:rPr>
          <w:rFonts w:ascii="Times New Roman" w:hAnsi="Times New Roman"/>
          <w:noProof/>
        </w:rPr>
        <w:t xml:space="preserve"> - punti medji miksuba: 4.4 qabel l-2014 u 3.7 wara l-2014; filwaqt li kemm is-sistema preċedenti kif ukoll dik ġdida kisbu valur għoli fuq dan l-aspett, is-sistema preċedenti tqieset bħala kemmxejn aktar informattiva għall-konsumaturi. Billi jevitaw proċeduri kumplessi ta’ awtorizzazzjoni, l-operaturi jistgħu jikkomunikaw b’mod aktar effettiv dwar l-informazzjoni meqjusa bħala importanti għall-konsumaturi.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Mill-konsultazzjoni tal-Istati Membri, jista’ jiġi konkluż li huma qiesu l-implimentazzjoni tas-sistema l-ġdida fil-livell amministrattiv bħala sodisfaċenti.</w:t>
      </w:r>
    </w:p>
    <w:p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noProof/>
          <w:sz w:val="24"/>
          <w:szCs w:val="24"/>
        </w:rPr>
      </w:pPr>
      <w:r>
        <w:rPr>
          <w:rStyle w:val="IntenseReference"/>
          <w:rFonts w:ascii="Times New Roman" w:hAnsi="Times New Roman"/>
          <w:noProof/>
          <w:color w:val="00000A"/>
        </w:rPr>
        <w:t>L-eżitu tal-konsultazzjoni mal-partijiet ikkonċernati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Fl-evalwazzjoni tal-2014</w:t>
      </w:r>
      <w:r>
        <w:rPr>
          <w:rFonts w:ascii="Times New Roman" w:hAnsi="Times New Roman"/>
          <w:noProof/>
          <w:vertAlign w:val="superscript"/>
        </w:rPr>
        <w:t>7</w:t>
      </w:r>
      <w:r>
        <w:rPr>
          <w:rFonts w:ascii="Times New Roman" w:hAnsi="Times New Roman"/>
          <w:noProof/>
        </w:rPr>
        <w:t xml:space="preserve"> dwar ir-regoli tal-UE dwar it-tikkettar taċ-ċanga, la t-tikkettar taċ-ċanga obbligatorju u lanqas dak volontarju ma deher li kellu rwol deċiżiv fl-akkumpanjament tal-irkupru tas-suq taċ-ċanga wara l-kriżi tal-BSE, għalkemm it-tnejn ikkontribwixxew sabiex tissaħħaħ il-fiduċja tal-konsumaturi fiċ-ċanga.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 xml:space="preserve">Il-partijiet ikkonċernati għandhom opinjonijiet differenti dwar l-utilità tas-sistema preċedenti ta’ tikkettar volontarju taċ-ċanga sabiex issostni s-suq wara l-kriżi tal-BSE. 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Filwaqt li l-industrija kkunsidrat li s-sistema għandha ċertu rwol fl-indirizzar tat-telf ta’ fiduċja tal-konsumaturi wara l-kriżi tal-BSE, il-bejjiegħa bl-imnut ħasbuha b’mod differenti.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L-opinjonijiet tal-partijiet ikkonċernati kkonverġew fuq punt wieħed: ma hemmx aktar raġunijiet validi sabiex issir differenza bejn iċ-ċanga u tipi oħrajn ta’ laħam u ikel b’rabta ma’ informazzjoni volontarja li trid tingħata lill-konsumaturi.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Il-partijiet ikkonċernati ddeskrivew ir-regoli preċedenti dwar it-tikkettar volontarju taċ-ċanga bħala onerużi, għaljin u sproporzjonati, b’mod partikolari minħabba l-proċess twil u kumpless ta’ tħejjija, approvazzjoni u kontroll tal-ispeċifikazzjoni rilevanti.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Fil-fehma tal-partijiet ikkonċernati, il-konsumaturi ma kinux konxji li kienu applikabbli regoli differenti għaċ-ċanga meta mqabbla ma’ ikel ieħor b’rabta mat-tikkettar volontarju u, għalhekk, it-tikkettar volontarju ma kienx fattur diskriminatorju ewlieni fl-imġiba tax-xiri tal-konsumaturi.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Fejn jidħlu d-diffikultajiet li jaf kien se jkollhom jaffaċċjaw l-operaturi biex jadattaw għar-regoli tal-2014, il-partijiet ikkonċernati ma rrapurtaw ebda diffikultà. Pjuttost il-kuntrarju: erba’ partijiet ikkonċernati wieġbu li huma ma kellhomx bżonn jadattaw l-istrateġiji ta’ kummerċjalizzazzjoni tagħhom u tlieta wieġbu li huma kellhom impatti pożittivi fuq l-istrateġiji kummerċjali tagħhom.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B’mod partikolari, il-partijiet ikkonċernati li rrapportaw impatt pożittiv kienu tal-fehma li r-regoli l-ġodda ppermettew aktar flessibbiltà fil-katina tal-produzzjoni sabiex jirreaġixxu malajr għall-opportunitajiet u d-domandi tas-suq.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  <w:u w:val="single"/>
        </w:rPr>
      </w:pPr>
      <w:r>
        <w:rPr>
          <w:rFonts w:ascii="Times New Roman" w:hAnsi="Times New Roman"/>
          <w:noProof/>
        </w:rPr>
        <w:t xml:space="preserve">L-analiżi tal-valutazzjoni sottomessa mill-partijiet ikkonċernati wriet b’mod ċar li s-sistema l-ġdida, </w:t>
      </w:r>
      <w:r>
        <w:rPr>
          <w:rFonts w:ascii="Times New Roman" w:hAnsi="Times New Roman"/>
          <w:noProof/>
          <w:u w:val="single"/>
        </w:rPr>
        <w:t>li hija affidabbli daqs</w:t>
      </w:r>
      <w:r>
        <w:rPr>
          <w:rFonts w:ascii="Times New Roman" w:hAnsi="Times New Roman"/>
          <w:noProof/>
        </w:rPr>
        <w:t xml:space="preserve"> dik preċedenti (punti medji miksuba fir-rigward ta’ dan l-aspett: 4.1 qabel l-2014 u 4.0 wara l-2014), ippermettiet li jinkisbu riżultati importanti f’termini ta’: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  <w:u w:val="single"/>
        </w:rPr>
      </w:pPr>
      <w:r>
        <w:rPr>
          <w:rFonts w:ascii="Times New Roman" w:hAnsi="Times New Roman"/>
          <w:noProof/>
          <w:u w:val="single"/>
        </w:rPr>
        <w:t>l-effettività tas-sistema</w:t>
      </w:r>
      <w:r>
        <w:rPr>
          <w:rFonts w:ascii="Times New Roman" w:hAnsi="Times New Roman"/>
          <w:noProof/>
        </w:rPr>
        <w:t xml:space="preserve"> - punti medji miksuba: 2.8 qabel l-2014 u 4.5 wara l-2014: is-sistema issa hija perċepita bħala aktar effettiva.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  <w:u w:val="single"/>
        </w:rPr>
      </w:pPr>
      <w:r>
        <w:rPr>
          <w:rFonts w:ascii="Times New Roman" w:hAnsi="Times New Roman"/>
          <w:noProof/>
          <w:u w:val="single"/>
        </w:rPr>
        <w:t>il-kumplessità u l-piż amministrattiv għall-awtoritajiet kompetenti u l-produtturi</w:t>
      </w:r>
      <w:r>
        <w:rPr>
          <w:rFonts w:ascii="Times New Roman" w:hAnsi="Times New Roman"/>
          <w:noProof/>
        </w:rPr>
        <w:t xml:space="preserve"> - punti medji miksuba: 4.4 qabel l-2014 u 2.4 wara l-2014 fir-rigward tal-kumplessità għall-awtoritajiet kompetenti u 4.3 qabel l-2014 u 2.3 wara l-2014 fir-rigward tal-kumplessità għall-produtturi. Fl-opinjoni tal-partijiet ikkonċernati, ġie rreġistrat tnaqqis notevoli fil-kumplessità għall-awtoritajiet kompetenti u l-produtturi.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  <w:u w:val="single"/>
        </w:rPr>
      </w:pPr>
      <w:r>
        <w:rPr>
          <w:rFonts w:ascii="Times New Roman" w:hAnsi="Times New Roman"/>
          <w:noProof/>
          <w:u w:val="single"/>
        </w:rPr>
        <w:t>il-piż amministrattiv għall-awtoritajiet kompetenti</w:t>
      </w:r>
      <w:r>
        <w:rPr>
          <w:rFonts w:ascii="Times New Roman" w:hAnsi="Times New Roman"/>
          <w:noProof/>
        </w:rPr>
        <w:t xml:space="preserve"> — punti medji miksuba: 4.4 qabel l-2014 u 2.4 wara l-2014. Il-partijiet ikkonċernati kkunsidraw il-piż amministrattiv għall-awtoritajiet kompetenti bħala għoli skont ir-regoli preċedenti, u bħala medju bis-sistema l-ġdida, prinċipalment b’rabta mal-kontrolli.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  <w:u w:val="single"/>
        </w:rPr>
      </w:pPr>
      <w:r>
        <w:rPr>
          <w:rFonts w:ascii="Times New Roman" w:hAnsi="Times New Roman"/>
          <w:noProof/>
          <w:u w:val="single"/>
        </w:rPr>
        <w:t>l-ispejjeż amministrattivi għall-produtturi</w:t>
      </w:r>
      <w:r>
        <w:rPr>
          <w:rFonts w:ascii="Times New Roman" w:hAnsi="Times New Roman"/>
          <w:noProof/>
        </w:rPr>
        <w:t xml:space="preserve"> - punti medji miksuba: 4.1 qabel l-2014 u 2.5 wara l-2014. Is-sistema l-ġdida ppermettiet tnaqqis fl-ispejjeż għall-produtturi. Ta’ min jinnota li l-firxa ta’ dan it-tnaqqis ġiet iġġudikata bħala aktar importanti mill-awtoritajiet kompetenti milli mill-partijiet ikkonċernati.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u w:val="single"/>
        </w:rPr>
        <w:t>il-kapaċità li l-konsumaturi jiġu infurmati b’mod korrett</w:t>
      </w:r>
      <w:r>
        <w:rPr>
          <w:rFonts w:ascii="Times New Roman" w:hAnsi="Times New Roman"/>
          <w:noProof/>
        </w:rPr>
        <w:t xml:space="preserve"> - punti medji miksuba: 3.1 qabel l-2014 u 4.1 wara l-2014. Fl-opinjoni tal-partijiet ikkonċernati, is-sistema l-ġdida tqieset li hija aktar xierqa sabiex tipprovdi informazzjoni korretta lill-konsumaturi.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L-analiżi tat-tweġibiet ipprovduti għall-kwestjonarju mill-partijiet ikkonċernati wriet b’mod ċar li s-simplifikazzjoni introdotta fl-2014 kellha effetti pożittivi fuq is-settur.</w:t>
      </w:r>
    </w:p>
    <w:p>
      <w:pPr>
        <w:rPr>
          <w:noProof/>
        </w:rPr>
      </w:pPr>
      <w:r>
        <w:rPr>
          <w:noProof/>
        </w:rPr>
        <w:br w:type="page"/>
      </w:r>
    </w:p>
    <w:p>
      <w:pPr>
        <w:pStyle w:val="ListParagraph"/>
        <w:numPr>
          <w:ilvl w:val="0"/>
          <w:numId w:val="1"/>
        </w:numPr>
        <w:rPr>
          <w:rStyle w:val="IntenseReference"/>
          <w:rFonts w:ascii="Times New Roman" w:hAnsi="Times New Roman" w:cs="Times New Roman"/>
          <w:noProof/>
          <w:color w:val="00000A"/>
          <w:sz w:val="24"/>
          <w:szCs w:val="24"/>
        </w:rPr>
      </w:pPr>
      <w:r>
        <w:rPr>
          <w:rStyle w:val="IntenseReference"/>
          <w:rFonts w:ascii="Times New Roman" w:hAnsi="Times New Roman"/>
          <w:noProof/>
          <w:color w:val="00000A"/>
        </w:rPr>
        <w:t>KONKLUŻJONIJIET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Is-simplifikazzjoni introdotta mir-Regolament (UE) Nru. 653/2014 tipprevedi allinjament mar-regoli orizzontali stipulati fir-Regolament (UE) Nru 1169/2011 dwar l-informazzjoni dwar l-ikel lill-konsumaturi.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Minbarra t-tikkettar volontarju taċ-ċanga li issa qed isegwi regoli orizzontali fl-Istati Membri kollha, xi speċifiċitajiet nazzjonali nżammu f’erba’ Stati Membri. Il-Portugall u s-Slovenja żammew sistema nazzjonali sħiħa ta’ notifika u kontroll, l-Italja ssimplifikat is-sistema nazzjonali u, fi Franza, ħafna operaturi komplew jużaw l-ispeċifikazzjonijiet approvati qabel l-2014 b’kontrolli minn korp indipendenti.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B’mod ġenerali, l-effetti tas-simplifikazzjoni ġew evalwati b’mod pożittiv mill-Istati Membri u mill-partijiet ikkonċernati. L-awtoritajiet kompetenti u l-operaturi ma sabux diffikultajiet sabiex jintroduċu r-regoli l-ġodda fil-livell amministrattiv u f’dak operattiv.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Ir-regoli l-ġodda tqiesu b’mod pożittiv mill-biċċa l-kbira ta’ dawk li wieġbu, li jippermettu li jinkisbu simplifikazzjoni, armonizzazzjoni ma’ setturi oħrajn, tnaqqis tal-piż amministrattiv u kapaċità mtejba tal-operaturi sabiex jirrispondu għad-domanda tal-konsumaturi, mingħajr ma jikkawżaw problemi fil-livell tal-kummerċ fl-UE jew mingħajr ma jimminaw l-effettività u l-affidabbiltà tas-sistema.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Issemma riskju ta’ nuqqasijiet ta’ konformità aktar frekwenti minn uħud minn dawk li wieġbu iżda mingħajr evidenza ta’ sostenn li tikkonferma dan. L-analiżi tad-</w:t>
      </w:r>
      <w:r>
        <w:rPr>
          <w:rFonts w:ascii="Times New Roman" w:hAnsi="Times New Roman"/>
          <w:i/>
          <w:noProof/>
        </w:rPr>
        <w:t>data</w:t>
      </w:r>
      <w:r>
        <w:rPr>
          <w:rFonts w:ascii="Times New Roman" w:hAnsi="Times New Roman"/>
          <w:noProof/>
        </w:rPr>
        <w:t xml:space="preserve"> disponibbli dwar ir-rati tan-nuqqas ta’ konformità qabel u wara l-introduzzjoni tar-regoli l-ġodda wriet livelli komparabbli ta’ nuqqas ta’ konformità.</w:t>
      </w:r>
    </w:p>
    <w:p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</w:rPr>
        <w:t>Abbażi tal-analiżi mwettqa matul l-evalwazzjonijiet preċedenti u tat-tweġibiet għall-kwestjonarji riċevuti mill-Istati Membri u mill-partijiet ikkonċernati, il-Kummissjoni tqis li s-simplifikazzjoni tat-tikkettar volontarju taċ-ċanga skont ir-Regolament (UE) Nru 653/2014 qed taħdem b’mod sodisfaċenti u ma hemm l-ebda ħtieġa li jiġu riveduti d-dispożizzjonijiet attwali dwar it-tikkettar volontarju taċ-ċanga.</w:t>
      </w:r>
    </w:p>
    <w:sectPr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800" w:bottom="1440" w:left="1800" w:header="720" w:footer="720" w:gutter="0"/>
      <w:cols w:space="720"/>
      <w:docGrid w:linePitch="24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276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MT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CoverPag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CoverPage"/>
    </w:pPr>
    <w:r>
      <w:rPr>
        <w:rFonts w:ascii="Arial" w:hAnsi="Arial"/>
        <w:b/>
        <w:sz w:val="48"/>
      </w:rPr>
      <w:t>MT</w:t>
    </w:r>
    <w:r>
      <w:rPr>
        <w:rFonts w:ascii="Arial" w:hAnsi="Arial"/>
        <w:b/>
        <w:sz w:val="48"/>
      </w:rPr>
      <w:tab/>
    </w:r>
    <w:r>
      <w:rPr>
        <w:rFonts w:ascii="Arial" w:hAnsi="Arial"/>
        <w:b/>
        <w:sz w:val="48"/>
      </w:rPr>
      <w:tab/>
    </w:r>
    <w:r>
      <w:tab/>
    </w:r>
    <w:r>
      <w:rPr>
        <w:rFonts w:ascii="Arial" w:hAnsi="Arial"/>
        <w:b/>
        <w:sz w:val="48"/>
      </w:rPr>
      <w:t>MT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>
    <w:pPr>
      <w:pStyle w:val="FooterCoverPage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Funotenzeichen"/>
          <w:rFonts w:ascii="Times New Roman" w:hAnsi="Times New Roman" w:cs="Times New Roman"/>
          <w:sz w:val="20"/>
          <w:szCs w:val="20"/>
          <w:vertAlign w:val="superscript"/>
        </w:rPr>
        <w:footnoteRef/>
      </w:r>
      <w:r>
        <w:rPr>
          <w:rFonts w:ascii="Times New Roman" w:hAnsi="Times New Roman"/>
          <w:sz w:val="20"/>
          <w:szCs w:val="20"/>
          <w:vertAlign w:val="superscript"/>
        </w:rPr>
        <w:t xml:space="preserve"> </w:t>
      </w:r>
      <w:r>
        <w:rPr>
          <w:rFonts w:ascii="Times New Roman" w:hAnsi="Times New Roman"/>
          <w:sz w:val="20"/>
          <w:szCs w:val="20"/>
        </w:rPr>
        <w:t>Ir-Regolament (KE) Nru 1760/2000 tal-Parlament Ewropew u tal-Kunsill tas-17 ta’ Lulju 2000 li jistabbilixxi sistema għall-identifikazzjoni u r-reġistrazzjoni ta’ bhejjem tal-ifrat u dwar it-tikkettar tal-laħam taċ-ċanga u tal-prodotti tal-laħam taċ-ċanga u li jħassar ir-Regolament tal-Kunsill (KE) Nru 820/97, ĠU L 204, 11.8.2000, p. 1.</w:t>
      </w:r>
    </w:p>
  </w:footnote>
  <w:footnote w:id="2">
    <w:p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Funotenzeichen"/>
          <w:rFonts w:ascii="Times New Roman" w:hAnsi="Times New Roman" w:cs="Times New Roman"/>
          <w:sz w:val="20"/>
          <w:szCs w:val="20"/>
          <w:vertAlign w:val="superscript"/>
        </w:rPr>
        <w:footnoteRef/>
      </w:r>
      <w:r>
        <w:rPr>
          <w:rFonts w:ascii="Times New Roman" w:hAnsi="Times New Roman"/>
          <w:sz w:val="20"/>
          <w:szCs w:val="20"/>
          <w:vertAlign w:val="superscript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Ir-Regolament (UE) Nru 653/2014 tal-Parlament Ewropew u tal-Kunsill tal-15 ta’ Mejju 2014 li jemenda r-Regolament (KE) Nru 1760/2000 dwar l-identifikazzjoni elettronika tal-annimali bovini u t-tikkettar taċ-ċanga, </w:t>
      </w:r>
      <w:r>
        <w:rPr>
          <w:rStyle w:val="Emphasis"/>
          <w:rFonts w:ascii="Times New Roman" w:hAnsi="Times New Roman"/>
          <w:i w:val="0"/>
          <w:sz w:val="20"/>
          <w:szCs w:val="20"/>
        </w:rPr>
        <w:t>ĠU L 189, 27.6.2014, p. 33.</w:t>
      </w:r>
    </w:p>
  </w:footnote>
  <w:footnote w:id="3">
    <w:p>
      <w:pPr>
        <w:jc w:val="both"/>
      </w:pPr>
      <w:r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>
        <w:t xml:space="preserve"> </w:t>
      </w:r>
      <w:r>
        <w:rPr>
          <w:rFonts w:ascii="Times New Roman" w:hAnsi="Times New Roman"/>
          <w:sz w:val="20"/>
          <w:szCs w:val="20"/>
        </w:rPr>
        <w:t>Ir-Regolament (UE) Nru. 1169/2011 tal-Parlament Ewropew u tal-Kunsill tal-25 ta’ Ottubru 2011 dwar l-għoti ta’ informazzjoni dwar l-ikel lill-konsumaturi, li jemenda r-Regolamenti (KE) Nru 1924/2006 u (KE) Nru 1925/2006 tal-Parlament Ewropew u tal-Kunsill u li jħassar id-Direttiva tal-Kummissjoni 87/250/KEE, id-Direttiva tal-Kunsill 90/496/KEE, id-Direttiva tal-Kummissjoni 1999/10/KE, id-Direttiva 2000/13/KE tal-Parlament Ewropew u tal-Kunsill, id-Direttivi tal-Kummissjoni 2002/67/KE u 2008/5/KE u r-Regolament tal-Kummissjoni (KE) Nru 608/2004, ĠU L 304, 22.11.2011, p. 18.</w:t>
      </w:r>
    </w:p>
  </w:footnote>
  <w:footnote w:id="4">
    <w:p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Funotenzeichen"/>
          <w:rFonts w:ascii="Times New Roman" w:hAnsi="Times New Roman" w:cs="Times New Roman"/>
          <w:sz w:val="20"/>
          <w:szCs w:val="20"/>
          <w:vertAlign w:val="superscript"/>
        </w:rPr>
        <w:footnoteRef/>
      </w:r>
      <w:r>
        <w:rPr>
          <w:rFonts w:ascii="Times New Roman" w:hAnsi="Times New Roman"/>
          <w:sz w:val="20"/>
          <w:szCs w:val="20"/>
          <w:vertAlign w:val="superscript"/>
        </w:rPr>
        <w:t xml:space="preserve"> </w:t>
      </w:r>
      <w:r>
        <w:rPr>
          <w:rFonts w:ascii="Times New Roman" w:hAnsi="Times New Roman"/>
          <w:sz w:val="20"/>
          <w:szCs w:val="20"/>
        </w:rPr>
        <w:t>Ir-Regolament tal-Kunsill (KE) Nru 820/97 tal-21 ta’ April 1997 li jistabbilixxi sistema għall-identifikazzjoni u reġistrazzjoni ta’ annimali bovini u dwar it-tikkettar tal-laħam taċ-ċanga u tal-prodotti tal-laħam taċ-ċanga. ĠU L 117, 7.5.1997, p. 1.</w:t>
      </w:r>
    </w:p>
  </w:footnote>
  <w:footnote w:id="5">
    <w:p>
      <w:pPr>
        <w:rPr>
          <w:rFonts w:ascii="Times New Roman" w:hAnsi="Times New Roman" w:cs="Times New Roman"/>
          <w:sz w:val="20"/>
          <w:szCs w:val="20"/>
        </w:rPr>
      </w:pPr>
      <w:r>
        <w:rPr>
          <w:rStyle w:val="Funotenzeichen"/>
          <w:rFonts w:ascii="Times New Roman" w:hAnsi="Times New Roman" w:cs="Times New Roman"/>
          <w:sz w:val="20"/>
          <w:szCs w:val="20"/>
          <w:vertAlign w:val="superscript"/>
        </w:rPr>
        <w:footnoteRef/>
      </w:r>
      <w:r>
        <w:rPr>
          <w:rFonts w:ascii="Times New Roman" w:hAnsi="Times New Roman"/>
          <w:sz w:val="20"/>
          <w:szCs w:val="20"/>
          <w:vertAlign w:val="superscript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COM(2004)316 finali. </w:t>
      </w:r>
    </w:p>
  </w:footnote>
  <w:footnote w:id="6">
    <w:p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Funotenzeichen"/>
          <w:rFonts w:ascii="Times New Roman" w:hAnsi="Times New Roman" w:cs="Times New Roman"/>
          <w:sz w:val="20"/>
          <w:szCs w:val="20"/>
          <w:vertAlign w:val="superscript"/>
        </w:rPr>
        <w:footnoteRef/>
      </w:r>
      <w:r>
        <w:rPr>
          <w:rFonts w:ascii="Times New Roman" w:hAnsi="Times New Roman"/>
          <w:sz w:val="20"/>
          <w:szCs w:val="20"/>
        </w:rPr>
        <w:t xml:space="preserve"> Opinjoni tal-HLG dwar il-qasam ta’ prijorità tal-Agrikoltura / Sussidji agrikoli tal-5 ta’ Marzu 2009, https://ec.europa.eu/info/sites/info/files/action-programme-for-reducing-administrative-burdens-in-the-eu-final-report_dec2012_en.pdf. </w:t>
      </w:r>
    </w:p>
  </w:footnote>
  <w:footnote w:id="7">
    <w:p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Funotenzeichen"/>
          <w:rFonts w:ascii="Times New Roman" w:hAnsi="Times New Roman" w:cs="Times New Roman"/>
          <w:sz w:val="20"/>
          <w:szCs w:val="20"/>
          <w:vertAlign w:val="superscript"/>
        </w:rPr>
        <w:footnoteRef/>
      </w:r>
      <w:r>
        <w:rPr>
          <w:rFonts w:ascii="Times New Roman" w:hAnsi="Times New Roman"/>
          <w:sz w:val="20"/>
          <w:szCs w:val="20"/>
        </w:rPr>
        <w:t xml:space="preserve"> https://ec.europa.eu/agriculture/sites/agriculture/files/evaluation/market-and-income-reports/2015/eu-beef-labelling-rules/fullrep_en.pdf.</w:t>
      </w:r>
      <w:r>
        <w:br w:type="page"/>
      </w:r>
    </w:p>
  </w:footnote>
  <w:footnote w:id="8">
    <w:p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>L-istess konklużjonijiet intlaħqu</w:t>
      </w:r>
      <w:r>
        <w:rPr>
          <w:rFonts w:ascii="Times New Roman" w:hAnsi="Times New Roman"/>
          <w:b/>
        </w:rPr>
        <w:t xml:space="preserve"> fl-Istudju tas-Suq tal-Konsumaturi dwar il-Funzjonament tas-suq tal-laħam għall-konsumaturi fl-Unjoni Ewropea</w:t>
      </w:r>
      <w:r>
        <w:rPr>
          <w:rFonts w:ascii="Times New Roman" w:hAnsi="Times New Roman"/>
        </w:rPr>
        <w:t xml:space="preserve"> (SANCO/2009/B1/010). Dan ir-rapport wera li, b’mod ġenerali, aktar minn nofs il-konsumaturi jħarsu lejn tliet aspetti ewlenin meta jixtru l-laħam: id-data “ikkonsma sa”/id-data ta’ skadenza (68 %), il-prezz għal kull kilogramma (67 %) u l-prezz (67 %). 48 % u 44 % tal-konsumaturi, rispettivament, iħarsu lejn il-pajjiż tal-oriġini u lejn il-produttur meta jixtru l-laħam, elementi pprovduti fit-tikkettar obbligatorju.</w:t>
      </w:r>
      <w:r>
        <w:t xml:space="preserve"> </w:t>
      </w:r>
      <w:r>
        <w:rPr>
          <w:rFonts w:ascii="Times New Roman" w:hAnsi="Times New Roman"/>
        </w:rPr>
        <w:t>https://ec.europa.eu/info/sites/info/files/meat-market-study-final-report_en_0.pdf</w:t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DK, ES, AT, SE.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CoverPag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CoverPag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A0F0C9DE"/>
    <w:name w:val="WWNum2"/>
    <w:lvl w:ilvl="0">
      <w:start w:val="1"/>
      <w:numFmt w:val="decimal"/>
      <w:pStyle w:val="ListBullet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040" w:hanging="1800"/>
      </w:pPr>
    </w:lvl>
  </w:abstractNum>
  <w:abstractNum w:abstractNumId="1">
    <w:nsid w:val="00000003"/>
    <w:multiLevelType w:val="multilevel"/>
    <w:tmpl w:val="6DEEC414"/>
    <w:name w:val="WWNum5"/>
    <w:lvl w:ilvl="0">
      <w:start w:val="1"/>
      <w:numFmt w:val="bullet"/>
      <w:pStyle w:val="Style2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0000004"/>
    <w:multiLevelType w:val="multilevel"/>
    <w:tmpl w:val="00000004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00000005"/>
    <w:multiLevelType w:val="multilevel"/>
    <w:tmpl w:val="00000005"/>
    <w:name w:val="WW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>
    <w:nsid w:val="00000007"/>
    <w:multiLevelType w:val="multilevel"/>
    <w:tmpl w:val="00000007"/>
    <w:name w:val="WWNum10"/>
    <w:lvl w:ilvl="0">
      <w:start w:val="1"/>
      <w:numFmt w:val="bullet"/>
      <w:lvlText w:val=""/>
      <w:lvlJc w:val="left"/>
      <w:pPr>
        <w:tabs>
          <w:tab w:val="num" w:pos="0"/>
        </w:tabs>
        <w:ind w:left="78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4" w:hanging="360"/>
      </w:pPr>
      <w:rPr>
        <w:rFonts w:ascii="Wingdings" w:hAnsi="Wingdings"/>
      </w:rPr>
    </w:lvl>
  </w:abstractNum>
  <w:abstractNum w:abstractNumId="5">
    <w:nsid w:val="00000008"/>
    <w:multiLevelType w:val="multilevel"/>
    <w:tmpl w:val="00000008"/>
    <w:name w:val="WW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>
    <w:nsid w:val="00000009"/>
    <w:multiLevelType w:val="multilevel"/>
    <w:tmpl w:val="17987FE8"/>
    <w:name w:val="WWNum1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>
    <w:nsid w:val="00004147"/>
    <w:multiLevelType w:val="hybridMultilevel"/>
    <w:tmpl w:val="0C4622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hideSpellingErrors/>
  <w:hideGrammaticalErrors/>
  <w:revisionView w:markup="0"/>
  <w:defaultTabStop w:val="720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067C0683-BD47-4932-A1C4-FB596548E054"/>
    <w:docVar w:name="LW_COVERPAGE_TYPE" w:val="1"/>
    <w:docVar w:name="LW_CROSSREFERENCE" w:val="&lt;UNUSED&gt;"/>
    <w:docVar w:name="LW_DocType" w:val="NORMAL"/>
    <w:docVar w:name="LW_EMISSION" w:val="13.12.2019"/>
    <w:docVar w:name="LW_EMISSION_ISODATE" w:val="2019-12-13"/>
    <w:docVar w:name="LW_EMISSION_LOCATION" w:val="BRX"/>
    <w:docVar w:name="LW_EMISSION_PREFIX" w:val="Brussell, "/>
    <w:docVar w:name="LW_EMISSION_SUFFIX" w:val=" "/>
    <w:docVar w:name="LW_ID_DOCTYPE_NONLW" w:val="CP-006"/>
    <w:docVar w:name="LW_LANGUE" w:val="MT"/>
    <w:docVar w:name="LW_LEVEL_OF_SENSITIVITY" w:val="Standard treatment"/>
    <w:docVar w:name="LW_NOM.INST" w:val="IL-KUMMISSJONI EWROPEA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19) 625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li jikkon\u267?erna l-implimentazzjoni tal-Artikolu 45 tar-Regolament (UE) Nru 1306/2013 tal-Parlament Ewropew u tal-Kunsill tas-17 ta\u8217? Di\u267?embru 2013 dwar informazzjoni b\u8217?rabta mal-mi\u380?uri marbuta mal-politika agrikola komuni_x000b__x000b_"/>
    <w:docVar w:name="LW_TYPE.DOC.CP" w:val="RAPPORT TAL-KUMMISSJONI LILL-PARLAMENT EWROPEW U LILL-KUNSILL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t-M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Pr>
      <w:rFonts w:ascii="Times New Roman" w:hAnsi="Times New Roman" w:cs="Times New Roman"/>
      <w:sz w:val="28"/>
    </w:rPr>
  </w:style>
  <w:style w:type="character" w:styleId="IntenseReference">
    <w:name w:val="Intense Reference"/>
    <w:qFormat/>
    <w:rPr>
      <w:b/>
      <w:bCs/>
      <w:smallCaps/>
      <w:color w:val="4F81BD"/>
      <w:spacing w:val="5"/>
    </w:rPr>
  </w:style>
  <w:style w:type="character" w:customStyle="1" w:styleId="FootnoteReference1">
    <w:name w:val="Footnote Reference1"/>
    <w:rPr>
      <w:vertAlign w:val="superscript"/>
    </w:rPr>
  </w:style>
  <w:style w:type="character" w:styleId="Emphasis">
    <w:name w:val="Emphasis"/>
    <w:qFormat/>
    <w:rPr>
      <w:i/>
      <w:iCs/>
    </w:rPr>
  </w:style>
  <w:style w:type="character" w:customStyle="1" w:styleId="Funotenzeichen">
    <w:name w:val="Fußnotenzeichen"/>
  </w:style>
  <w:style w:type="character" w:styleId="FootnoteReference">
    <w:name w:val="footnote reference"/>
    <w:rPr>
      <w:vertAlign w:val="superscript"/>
    </w:rPr>
  </w:style>
  <w:style w:type="paragraph" w:styleId="ListParagraph">
    <w:name w:val="List Paragraph"/>
    <w:basedOn w:val="Normal"/>
    <w:qFormat/>
    <w:pPr>
      <w:suppressAutoHyphens/>
      <w:ind w:left="720"/>
    </w:pPr>
    <w:rPr>
      <w:rFonts w:ascii="Calibri" w:eastAsia="SimSun" w:hAnsi="Calibri" w:cs="font276"/>
      <w:lang w:eastAsia="ar-SA"/>
    </w:rPr>
  </w:style>
  <w:style w:type="paragraph" w:customStyle="1" w:styleId="FootnoteText1">
    <w:name w:val="Footnote Text1"/>
    <w:basedOn w:val="Normal"/>
    <w:pPr>
      <w:suppressAutoHyphens/>
      <w:spacing w:after="0" w:line="100" w:lineRule="atLeast"/>
    </w:pPr>
    <w:rPr>
      <w:rFonts w:ascii="Calibri" w:eastAsia="SimSun" w:hAnsi="Calibri" w:cs="font276"/>
      <w:sz w:val="20"/>
      <w:szCs w:val="20"/>
      <w:lang w:eastAsia="ar-SA"/>
    </w:rPr>
  </w:style>
  <w:style w:type="paragraph" w:customStyle="1" w:styleId="CM1">
    <w:name w:val="CM1"/>
    <w:basedOn w:val="Normal"/>
    <w:pPr>
      <w:suppressAutoHyphens/>
      <w:spacing w:after="0" w:line="100" w:lineRule="atLeast"/>
    </w:pPr>
    <w:rPr>
      <w:rFonts w:ascii="Times New Roman" w:eastAsia="SimSun" w:hAnsi="Times New Roman" w:cs="Times New Roman"/>
      <w:color w:val="00000A"/>
      <w:sz w:val="24"/>
      <w:szCs w:val="24"/>
      <w:lang w:eastAsia="ar-SA"/>
    </w:rPr>
  </w:style>
  <w:style w:type="paragraph" w:styleId="FootnoteText">
    <w:name w:val="footnote text"/>
    <w:basedOn w:val="Normal"/>
    <w:link w:val="FootnoteTextChar"/>
    <w:pPr>
      <w:suppressLineNumbers/>
      <w:suppressAutoHyphens/>
      <w:ind w:left="283" w:hanging="283"/>
    </w:pPr>
    <w:rPr>
      <w:rFonts w:ascii="Calibri" w:eastAsia="SimSun" w:hAnsi="Calibri" w:cs="font276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rPr>
      <w:rFonts w:ascii="Calibri" w:eastAsia="SimSun" w:hAnsi="Calibri" w:cs="font276"/>
      <w:sz w:val="20"/>
      <w:szCs w:val="20"/>
      <w:lang w:eastAsia="ar-SA"/>
    </w:rPr>
  </w:style>
  <w:style w:type="paragraph" w:customStyle="1" w:styleId="Style2">
    <w:name w:val="Style2"/>
    <w:basedOn w:val="ListBullet"/>
    <w:qFormat/>
    <w:pPr>
      <w:numPr>
        <w:numId w:val="2"/>
      </w:numPr>
      <w:suppressAutoHyphens/>
      <w:jc w:val="both"/>
    </w:pPr>
    <w:rPr>
      <w:rFonts w:ascii="Times New Roman" w:eastAsia="SimSun" w:hAnsi="Times New Roman" w:cs="Times New Roman"/>
      <w:sz w:val="24"/>
      <w:szCs w:val="24"/>
      <w:lang w:eastAsia="ar-SA"/>
    </w:r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Revision">
    <w:name w:val="Revision"/>
    <w:hidden/>
    <w:uiPriority w:val="99"/>
    <w:semiHidden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t-M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Pr>
      <w:rFonts w:ascii="Times New Roman" w:hAnsi="Times New Roman" w:cs="Times New Roman"/>
      <w:sz w:val="28"/>
    </w:rPr>
  </w:style>
  <w:style w:type="character" w:styleId="IntenseReference">
    <w:name w:val="Intense Reference"/>
    <w:qFormat/>
    <w:rPr>
      <w:b/>
      <w:bCs/>
      <w:smallCaps/>
      <w:color w:val="4F81BD"/>
      <w:spacing w:val="5"/>
    </w:rPr>
  </w:style>
  <w:style w:type="character" w:customStyle="1" w:styleId="FootnoteReference1">
    <w:name w:val="Footnote Reference1"/>
    <w:rPr>
      <w:vertAlign w:val="superscript"/>
    </w:rPr>
  </w:style>
  <w:style w:type="character" w:styleId="Emphasis">
    <w:name w:val="Emphasis"/>
    <w:qFormat/>
    <w:rPr>
      <w:i/>
      <w:iCs/>
    </w:rPr>
  </w:style>
  <w:style w:type="character" w:customStyle="1" w:styleId="Funotenzeichen">
    <w:name w:val="Fußnotenzeichen"/>
  </w:style>
  <w:style w:type="character" w:styleId="FootnoteReference">
    <w:name w:val="footnote reference"/>
    <w:rPr>
      <w:vertAlign w:val="superscript"/>
    </w:rPr>
  </w:style>
  <w:style w:type="paragraph" w:styleId="ListParagraph">
    <w:name w:val="List Paragraph"/>
    <w:basedOn w:val="Normal"/>
    <w:qFormat/>
    <w:pPr>
      <w:suppressAutoHyphens/>
      <w:ind w:left="720"/>
    </w:pPr>
    <w:rPr>
      <w:rFonts w:ascii="Calibri" w:eastAsia="SimSun" w:hAnsi="Calibri" w:cs="font276"/>
      <w:lang w:eastAsia="ar-SA"/>
    </w:rPr>
  </w:style>
  <w:style w:type="paragraph" w:customStyle="1" w:styleId="FootnoteText1">
    <w:name w:val="Footnote Text1"/>
    <w:basedOn w:val="Normal"/>
    <w:pPr>
      <w:suppressAutoHyphens/>
      <w:spacing w:after="0" w:line="100" w:lineRule="atLeast"/>
    </w:pPr>
    <w:rPr>
      <w:rFonts w:ascii="Calibri" w:eastAsia="SimSun" w:hAnsi="Calibri" w:cs="font276"/>
      <w:sz w:val="20"/>
      <w:szCs w:val="20"/>
      <w:lang w:eastAsia="ar-SA"/>
    </w:rPr>
  </w:style>
  <w:style w:type="paragraph" w:customStyle="1" w:styleId="CM1">
    <w:name w:val="CM1"/>
    <w:basedOn w:val="Normal"/>
    <w:pPr>
      <w:suppressAutoHyphens/>
      <w:spacing w:after="0" w:line="100" w:lineRule="atLeast"/>
    </w:pPr>
    <w:rPr>
      <w:rFonts w:ascii="Times New Roman" w:eastAsia="SimSun" w:hAnsi="Times New Roman" w:cs="Times New Roman"/>
      <w:color w:val="00000A"/>
      <w:sz w:val="24"/>
      <w:szCs w:val="24"/>
      <w:lang w:eastAsia="ar-SA"/>
    </w:rPr>
  </w:style>
  <w:style w:type="paragraph" w:styleId="FootnoteText">
    <w:name w:val="footnote text"/>
    <w:basedOn w:val="Normal"/>
    <w:link w:val="FootnoteTextChar"/>
    <w:pPr>
      <w:suppressLineNumbers/>
      <w:suppressAutoHyphens/>
      <w:ind w:left="283" w:hanging="283"/>
    </w:pPr>
    <w:rPr>
      <w:rFonts w:ascii="Calibri" w:eastAsia="SimSun" w:hAnsi="Calibri" w:cs="font276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rPr>
      <w:rFonts w:ascii="Calibri" w:eastAsia="SimSun" w:hAnsi="Calibri" w:cs="font276"/>
      <w:sz w:val="20"/>
      <w:szCs w:val="20"/>
      <w:lang w:eastAsia="ar-SA"/>
    </w:rPr>
  </w:style>
  <w:style w:type="paragraph" w:customStyle="1" w:styleId="Style2">
    <w:name w:val="Style2"/>
    <w:basedOn w:val="ListBullet"/>
    <w:qFormat/>
    <w:pPr>
      <w:numPr>
        <w:numId w:val="2"/>
      </w:numPr>
      <w:suppressAutoHyphens/>
      <w:jc w:val="both"/>
    </w:pPr>
    <w:rPr>
      <w:rFonts w:ascii="Times New Roman" w:eastAsia="SimSun" w:hAnsi="Times New Roman" w:cs="Times New Roman"/>
      <w:sz w:val="24"/>
      <w:szCs w:val="24"/>
      <w:lang w:eastAsia="ar-SA"/>
    </w:r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Revision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A456173D-00F4-4F03-9458-BBB6CFBC3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16</Pages>
  <Words>3955</Words>
  <Characters>30382</Characters>
  <Application>Microsoft Office Word</Application>
  <DocSecurity>0</DocSecurity>
  <Lines>453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16</cp:revision>
  <cp:lastPrinted>2019-11-08T16:05:00Z</cp:lastPrinted>
  <dcterms:created xsi:type="dcterms:W3CDTF">2019-12-09T14:58:00Z</dcterms:created>
  <dcterms:modified xsi:type="dcterms:W3CDTF">2019-12-12T09:57:00Z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Part">
    <vt:lpwstr>1</vt:lpwstr>
  </property>
  <property fmtid="{D5CDD505-2E9C-101B-9397-08002B2CF9AE}" pid="4" name="Total parts">
    <vt:lpwstr>1</vt:lpwstr>
  </property>
  <property fmtid="{D5CDD505-2E9C-101B-9397-08002B2CF9AE}" pid="5" name="DocStatus">
    <vt:lpwstr>Green</vt:lpwstr>
  </property>
  <property fmtid="{D5CDD505-2E9C-101B-9397-08002B2CF9AE}" pid="6" name="CPTemplateID">
    <vt:lpwstr>CP-006</vt:lpwstr>
  </property>
  <property fmtid="{D5CDD505-2E9C-101B-9397-08002B2CF9AE}" pid="7" name="Last edited using">
    <vt:lpwstr>LW 7.0, Build 20190717</vt:lpwstr>
  </property>
  <property fmtid="{D5CDD505-2E9C-101B-9397-08002B2CF9AE}" pid="8" name="Created using">
    <vt:lpwstr>LW 7.0, Build 20190717</vt:lpwstr>
  </property>
  <property name="OP_sanitized" fmtid="{D5CDD505-2E9C-101B-9397-08002B2CF9AE}" pid="9">
    <vt:lpwstr>True</vt:lpwstr>
  </property>
</Properties>
</file>