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3B45DEB1-509E-45AA-A223-DE854A8D0731" style="width:450.75pt;height:366pt">
            <v:imagedata r:id="rId9" o:title=""/>
          </v:shape>
        </w:pict>
      </w:r>
    </w:p>
    <w:p>
      <w:pPr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</w:p>
    <w:p>
      <w:pPr>
        <w:rPr>
          <w:noProof/>
        </w:rPr>
      </w:pPr>
    </w:p>
    <w:p>
      <w:pPr>
        <w:pStyle w:val="Statut"/>
        <w:rPr>
          <w:noProof/>
        </w:rPr>
      </w:pPr>
      <w:r>
        <w:rPr>
          <w:noProof/>
        </w:rPr>
        <w:t>Rakkomandazzjoni għal</w:t>
      </w:r>
    </w:p>
    <w:p>
      <w:pPr>
        <w:pStyle w:val="Typedudocument"/>
        <w:rPr>
          <w:noProof/>
        </w:rPr>
      </w:pPr>
      <w:r>
        <w:rPr>
          <w:noProof/>
        </w:rPr>
        <w:t>RAKKOMANDAZZJONI TAL-KUNSILL</w:t>
      </w:r>
    </w:p>
    <w:p>
      <w:pPr>
        <w:pStyle w:val="Titreobjet"/>
        <w:rPr>
          <w:noProof/>
        </w:rPr>
      </w:pPr>
      <w:r>
        <w:rPr>
          <w:noProof/>
        </w:rPr>
        <w:t>dwar il-Programm Nazzjonali ta’ Riforma ta’ Ċipru għall-2019 u li tagħti l-opinjoni tal-Kunsill dwar il-Programm ta’ Stabbiltà ta’ Ċipru għall-2019</w:t>
      </w:r>
      <w:r>
        <w:rPr>
          <w:noProof/>
        </w:rPr>
        <w:br/>
      </w:r>
      <w:r>
        <w:rPr>
          <w:noProof/>
        </w:rPr>
        <w:br/>
      </w:r>
    </w:p>
    <w:p>
      <w:pPr>
        <w:pStyle w:val="Institutionquiagit"/>
        <w:rPr>
          <w:noProof/>
        </w:rPr>
      </w:pPr>
      <w:r>
        <w:rPr>
          <w:noProof/>
        </w:rPr>
        <w:t>IL-KUNSILL TAL-UNJONI EWROPEA,</w:t>
      </w:r>
    </w:p>
    <w:p>
      <w:pPr>
        <w:rPr>
          <w:noProof/>
        </w:rPr>
      </w:pPr>
      <w:r>
        <w:rPr>
          <w:noProof/>
        </w:rPr>
        <w:t>Wara li kkunsidra t-Trattat dwar il-Funzjonament tal-Unjoni Ewropea, u b’mod partikolari l-Artikoli 121(2) u 148(4) tiegħu,</w:t>
      </w:r>
    </w:p>
    <w:p>
      <w:pPr>
        <w:rPr>
          <w:noProof/>
        </w:rPr>
      </w:pPr>
      <w:r>
        <w:rPr>
          <w:noProof/>
        </w:rPr>
        <w:t>Wara li kkunsidra r-Regolament tal-Kunsill (KE) Nru 1466/97 tas-7 ta’ Lulju 1997 dwar it-tisħiħ tas-sorveljanza ta’ pożizzjonijiet ta’ budget u s-sorveljanza u l-koordinazzjoni ta’ politika ekonomika</w:t>
      </w:r>
      <w:r>
        <w:rPr>
          <w:rStyle w:val="FootnoteReference"/>
          <w:noProof/>
        </w:rPr>
        <w:footnoteReference w:id="1"/>
      </w:r>
      <w:r>
        <w:rPr>
          <w:noProof/>
        </w:rPr>
        <w:t>, u b’mod partikolari l-Artikolu 5(2) tiegħu,</w:t>
      </w:r>
    </w:p>
    <w:p>
      <w:pPr>
        <w:rPr>
          <w:noProof/>
        </w:rPr>
      </w:pPr>
      <w:r>
        <w:rPr>
          <w:noProof/>
        </w:rPr>
        <w:t>Wara li kkunsidra r-Regolament (UE) Nru 1176/2011 tal-Parlament Ewropew u tal-Kunsill tas-16 ta’ Novembru 2011 dwar il-prevenzjoni u l-korrezzjoni tal-iżbilanċi makroekonomiċi</w:t>
      </w:r>
      <w:r>
        <w:rPr>
          <w:rStyle w:val="FootnoteReference"/>
          <w:noProof/>
        </w:rPr>
        <w:footnoteReference w:id="2"/>
      </w:r>
      <w:r>
        <w:rPr>
          <w:noProof/>
        </w:rPr>
        <w:t xml:space="preserve">, u b’mod partikolari l-Artikolu 6(1) tiegħu, </w:t>
      </w:r>
    </w:p>
    <w:p>
      <w:pPr>
        <w:rPr>
          <w:noProof/>
        </w:rPr>
      </w:pPr>
      <w:r>
        <w:rPr>
          <w:noProof/>
        </w:rPr>
        <w:t>Wara li kkunsidra r-rakkomandazzjoni tal-Kummissjoni Ewropea,</w:t>
      </w:r>
    </w:p>
    <w:p>
      <w:pPr>
        <w:rPr>
          <w:noProof/>
        </w:rPr>
      </w:pPr>
      <w:r>
        <w:rPr>
          <w:noProof/>
        </w:rPr>
        <w:t>Wara li kkunsidra r-riżoluzzjonijiet tal-Parlament Ewropew,</w:t>
      </w:r>
    </w:p>
    <w:p>
      <w:pPr>
        <w:outlineLvl w:val="0"/>
        <w:rPr>
          <w:noProof/>
        </w:rPr>
      </w:pPr>
      <w:r>
        <w:rPr>
          <w:noProof/>
        </w:rPr>
        <w:t>Wara li kkunsidra l-konklużjonijiet tal-Kunsill Ewropew,</w:t>
      </w:r>
    </w:p>
    <w:p>
      <w:pPr>
        <w:rPr>
          <w:noProof/>
        </w:rPr>
      </w:pPr>
      <w:r>
        <w:rPr>
          <w:noProof/>
        </w:rPr>
        <w:t>Wara li kkunsidra l-opinjoni tal-Kumitat tal-Impjiegi,</w:t>
      </w:r>
    </w:p>
    <w:p>
      <w:pPr>
        <w:rPr>
          <w:noProof/>
        </w:rPr>
      </w:pPr>
      <w:r>
        <w:rPr>
          <w:noProof/>
        </w:rPr>
        <w:t>Wara li kkunsidra l-opinjoni tal-Kumitat Ekonomiku u Finanzjarju,</w:t>
      </w:r>
    </w:p>
    <w:p>
      <w:pPr>
        <w:rPr>
          <w:noProof/>
        </w:rPr>
      </w:pPr>
      <w:r>
        <w:rPr>
          <w:noProof/>
        </w:rPr>
        <w:t>Wara li kkunsidra l-opinjoni tal-Kumitat tal-Protezzjoni Soċjali,</w:t>
      </w:r>
    </w:p>
    <w:p>
      <w:pPr>
        <w:rPr>
          <w:noProof/>
        </w:rPr>
      </w:pPr>
      <w:r>
        <w:rPr>
          <w:noProof/>
        </w:rPr>
        <w:t>Wara li kkunsidra l-opinjoni tal-Kumitat tal-Politika Ekonomika,</w:t>
      </w:r>
    </w:p>
    <w:p>
      <w:pPr>
        <w:rPr>
          <w:noProof/>
        </w:rPr>
      </w:pPr>
      <w:r>
        <w:rPr>
          <w:noProof/>
        </w:rPr>
        <w:t>Billi:</w:t>
      </w:r>
    </w:p>
    <w:p>
      <w:pPr>
        <w:pStyle w:val="ManualConsidrant"/>
        <w:rPr>
          <w:noProof/>
        </w:rPr>
      </w:pPr>
      <w:r>
        <w:t>(1)</w:t>
      </w:r>
      <w:r>
        <w:tab/>
      </w:r>
      <w:r>
        <w:rPr>
          <w:noProof/>
        </w:rPr>
        <w:t xml:space="preserve">Fil-21 ta’ Novembru 2018, il-Kummissjoni adottat l-Istħarriġ Annwali dwar it-Tkabbir, li ta bidu għas-Semestru Ewropew għall-koordinazzjoni tal-politika ekonomika tal-2019. Qieset il-Pilastru Ewropew tad-Drittijiet Soċjali, ipproklamat mill-Parlament Ewropew, mill-Kunsill u mill-Kummissjoni fis-17 ta’ Novembru 2017. Il-prijoritajiet tal-Istħarriġ Annwali dwar it-Tkabbir ġew approvati mill-Kunsill Ewropew fil-21 ta’ Marzu 2019. Fil-21 ta’ Novembru 2018, fuq il-bażi tar-Regolament (UE) Nru 1176/2011, il-Kummissjoni adottat ukoll ir-Rapport dwar il-Mekkaniżmu ta’ Twissija, fejn Ċipru kien identifikat bħala wieħed mill-Istati Membri li dwaru kellha titwettaq analiżi fil-fond. Fl-istess data, il-Kummissjoni adottat ukoll rakkomandazzjoni għal rakkomandazzjoni tal-Kunsill dwar il-politika ekonomika taż-żona tal-euro, li ġiet approvata mill-Kunsill Ewropew fil-21 ta’ Marzu 2019. Fid-9 ta’ April 2019, il-Kunsill adotta r-rakkomandazzjoni dwar il-politika ekonomika taż-żona tal-euro (“Rakkomandazzjoni għaż-żona tal-euro”). </w:t>
      </w:r>
    </w:p>
    <w:p>
      <w:pPr>
        <w:pStyle w:val="ManualConsidrant"/>
        <w:rPr>
          <w:noProof/>
        </w:rPr>
      </w:pPr>
      <w:r>
        <w:t>(2)</w:t>
      </w:r>
      <w:r>
        <w:tab/>
      </w:r>
      <w:r>
        <w:rPr>
          <w:noProof/>
        </w:rPr>
        <w:t>Bħala Stat Membru li l-munita tiegħu hija l-euro, u fid-dawl tar-rabtiet mill-qrib bejn l-ekonomiji fl-unjoni ekonomika u monetarja, jenħtieġ li Ċipru jiżgura l-implimentazzjoni sħiħa u f’waqtha tar-Rakkomandazzjoni għaż-żona tal-euro, kif riflessa fir-rakkomandazzjonijiet minn (1) sa (5) ta’ hawn taħt. B’mod partikolari, il-miżuri biex jitnaqqas il-piż amministrattiv jindirizzaw l-ewwel rakkomandazzjoni għaż-żona tal-euro rigward l-ambjent tan-negozju u t-titjib fil-produttività għal riekwilibriju fiż-żona tal-euro, l-iffukar tal-politika ekonomika b’rabta mal-investiment fl-oqsma speċifikati jindirizza t-tieni rakkomandazzjoni għaż-żona tal-euro rigward is-sostenn tal-investiment, il-miżuri tat-taxxa u miżuri għat-titjib tal-ħiliet jindirizzaw it-tielet rakkomandazzjoni għaż-żona tal-euro rigward il-ġlieda kontra l-ippjannar aggressiv tat-taxxa u l-funzjonament tas-suq tax-xogħol, u l-miżuri għat-titjib tal-funzjonament tal-kumpanija tal-immaniġġjar tal-assi jindirizzaw ir-raba’ rakkomandazzjoni taż-żona tal-euro rigward it-tnaqqis ta’ selfiet improduttivi.</w:t>
      </w:r>
    </w:p>
    <w:p>
      <w:pPr>
        <w:pStyle w:val="ManualConsidrant"/>
        <w:rPr>
          <w:noProof/>
        </w:rPr>
      </w:pPr>
      <w:r>
        <w:t>(3)</w:t>
      </w:r>
      <w:r>
        <w:tab/>
      </w:r>
      <w:r>
        <w:rPr>
          <w:noProof/>
        </w:rPr>
        <w:t>Ir-rapport speċifiku għall-pajjiż tal-2019 għal Ċipru</w:t>
      </w:r>
      <w:r>
        <w:rPr>
          <w:rStyle w:val="FootnoteReference"/>
          <w:noProof/>
        </w:rPr>
        <w:footnoteReference w:id="3"/>
      </w:r>
      <w:r>
        <w:rPr>
          <w:noProof/>
        </w:rPr>
        <w:t xml:space="preserve"> ġie ppubblikat fis-27 ta’ Frar 2019. Dan ir-rapport ivvaluta l-progress ta’ Ċipru biex tindirizza r-rakkomandazzjonijiet speċifiċi għall-pajjiż adottati mill-Kunsill fit-13 ta’ Lulju 2018, is-segwitu mogħti għar-rakkomandazzjonijiet adottati fis-snin preċedenti u l-progress ta’ Ċipru lejn il-miri nazzjonali tiegħu tal-Ewropa 2020. Inkluda wkoll analiżi fil-fond skont l-Artikolu 5 tar-Regolament (UE) Nru 1176/2011, u r-riżultati tagħha wkoll ġew ippubblikati fis-27 ta’ Frar 2019</w:t>
      </w:r>
      <w:r>
        <w:rPr>
          <w:rStyle w:val="FootnoteReference"/>
          <w:noProof/>
        </w:rPr>
        <w:footnoteReference w:id="4"/>
      </w:r>
      <w:r>
        <w:rPr>
          <w:noProof/>
        </w:rPr>
        <w:t>. L-analiżi tal-Kummissjoni wasslitha biex tikkonkludi li Ċipru għaddej minn żbilanċi makroekonomiċi eċċessivi. B’mod partikolari, huwa essenzjali li l-Istat Membru jindirizza l-ammonti kbar ta’ dejn privat, pubbliku u estern u ta’ selfiet improduttivi.</w:t>
      </w:r>
    </w:p>
    <w:p>
      <w:pPr>
        <w:pStyle w:val="ManualConsidrant"/>
        <w:rPr>
          <w:noProof/>
        </w:rPr>
      </w:pPr>
      <w:r>
        <w:t>(4)</w:t>
      </w:r>
      <w:r>
        <w:tab/>
      </w:r>
      <w:r>
        <w:rPr>
          <w:noProof/>
        </w:rPr>
        <w:t>Fil-15 ta’ April 2019, Ċipru ppreżenta l-Programm Nazzjonali ta’ Riforma tal-2019, u fit-30 ta’ April 2019 ippreżenta l-Programm ta’ Stabbiltà tal-2019. Sabiex jitqiesu r-rabtiet ta’ bejniethom, iż-żewġ programmi ġew ivvalutati fl-istess ħin.</w:t>
      </w:r>
    </w:p>
    <w:p>
      <w:pPr>
        <w:pStyle w:val="ManualConsidrant"/>
        <w:rPr>
          <w:noProof/>
        </w:rPr>
      </w:pPr>
      <w:r>
        <w:t>(5)</w:t>
      </w:r>
      <w:r>
        <w:tab/>
      </w:r>
      <w:r>
        <w:rPr>
          <w:noProof/>
        </w:rPr>
        <w:t>Ir-rakkomandazzjonijiet speċifiċi rilevanti għall-pajjiż ġew indirizzati fl-ipprogrammar tal-Fondi Strutturali u ta’ Investiment Ewropej (“Fondi SIE”) għall-perjodu 2014-2020. Kif previst fl-Artikolu 23 tar-Regolament (UE) Nru 1303/2013 tal-Parlament Ewropew u tal-Kunsill</w:t>
      </w:r>
      <w:r>
        <w:rPr>
          <w:rStyle w:val="FootnoteReference"/>
          <w:noProof/>
        </w:rPr>
        <w:footnoteReference w:id="5"/>
      </w:r>
      <w:r>
        <w:rPr>
          <w:noProof/>
        </w:rPr>
        <w:t>, il-Kummissjoni tista’ titlob lil Stat Membru jirrieżamina l-Ftehim ta’ Sħubija u l-programmi rilevanti tiegħu u jipproponi emendi għalihom, fejn dan ikun neċessarju għas-sostenn tal-implimentazzjoni tar-rakkomandazzjonijiet rilevanti tal-Kunsill. Il-Kummissjoni pprovdiet iktar dettalji dwar kif tagħmel użu minn dik id-dispożizzjoni fil-linji gwida dwar l-applikazzjoni tal-miżuri li jorbtu l-effettività tal-Fondi SIE ma’ governanza ekonomika tajba</w:t>
      </w:r>
      <w:r>
        <w:rPr>
          <w:rStyle w:val="FootnoteReference"/>
          <w:noProof/>
        </w:rPr>
        <w:footnoteReference w:id="6"/>
      </w:r>
      <w:r>
        <w:rPr>
          <w:noProof/>
        </w:rPr>
        <w:t>.</w:t>
      </w:r>
    </w:p>
    <w:p>
      <w:pPr>
        <w:pStyle w:val="ManualConsidrant"/>
        <w:rPr>
          <w:noProof/>
        </w:rPr>
      </w:pPr>
      <w:r>
        <w:t>(6)</w:t>
      </w:r>
      <w:r>
        <w:tab/>
      </w:r>
      <w:r>
        <w:rPr>
          <w:noProof/>
        </w:rPr>
        <w:t>Attwalment, Ċipru jinsab fil-parti preventiva tal-Patt ta’ Stabbiltà u Tkabbir. Fil-Programm ta’ Stabbiltà tiegħu għall-2019, il-bilanċ tal-gvern ġenerali, li fl-2018 inbidel f’defiċit ta’ 4,8 % tal-PDG u li b’hekk qabeż il-valur referenzjarju ta’ 3 % tal-PDG kif stipulat fit-Trattat, huwa mistenni li jilħaq surplus f’termini nominali ta’ 3,0 % tal-PDG fl-2019 u iktar minn 2,0 % tal-PDG matul il-perjodu tal-programm. Fuq il-bażi tal-bilanċ strutturali kkalkulat mill-ġdid</w:t>
      </w:r>
      <w:r>
        <w:rPr>
          <w:rStyle w:val="FootnoteReference"/>
          <w:noProof/>
        </w:rPr>
        <w:footnoteReference w:id="7"/>
      </w:r>
      <w:r>
        <w:rPr>
          <w:noProof/>
        </w:rPr>
        <w:t xml:space="preserve">, l-objettiv baġitarju ta’ terminu medju, stabbilit f’pożizzjoni baġitarja bbilanċjata f’termini strutturali, huwa ppjanat li jintlaħaq waqt il-perjodu 2019-2022. Wara li żdied għal madwar 102,5 % tal-PDG fl-2018, id-dejn tal-gvern ġenerali bħala proporzjon tal-PDG mistenni li jonqos għal 95,7 % fl-2019 u li jkompli jonqos b’mod konsistenti wara dan, għal 77,5 % sal-2022, skont il-Programm ta’ Stabbiltà tal-2019. Ix-xenarju makroekonomiku li jirfed dawn il-projezzjonijiet baġitarji huwa plawżibbli. Ir-riskji assoċjati mas-suppożizzjonijiet makroekonomiċi u baġitarji ppreżentati fil-Programm ta’ Stabbiltà jxaqilbu ’l isfel, u dan primarjament huwa marbut mal-iżviluppi esterni kif ukoll mal-impatt fiskali potenzjali tas-sentenzi tal-Qorti b’rabta mar-riformi fiskali preċedenti u mal-ħtiġijiet ta’ finanzjament tal-isptarijiet pubbliċi matul l-ewwel snin tas-sistema tal-kura tas-saħħa nazzjonali. Skont it-tbassir tal-Kummissjoni tar-rebbiegħa għall-2019, il-bilanċ tal-gvern ġenerali mistenni jirreġistra surplus ta’ 3,0 % tal-PDG fl-2019 u 2,8 % tal-PDG fl-2020. Fuq il-bażi tat-tbassir tal-Kummissjoni tar-rebbiegħa għall-2019, il-bilanċ strutturali mistenni jilħaq 1,1 % tal-PDG fl-2019 u 0,7 % tal-PDG fl-2020, filwaqt li jibqa’ jissupera l-objettiv baġitarju ta’ terminu medju. Ċipru huwa previst li jkun konformi mar-regola tad-dejn fl-2019 u fl-2020. B’mod ġenerali, il-Kunsill huwa tal-opinjoni li Ċipru x’aktarx ikun konformi mad-dispożizzjonijiet tal-Patt ta’ Stabbiltà u Tkabbir fl-2019 u fl-2020. </w:t>
      </w:r>
    </w:p>
    <w:p>
      <w:pPr>
        <w:pStyle w:val="ManualConsidrant"/>
        <w:rPr>
          <w:noProof/>
        </w:rPr>
      </w:pPr>
      <w:r>
        <w:t>(7)</w:t>
      </w:r>
      <w:r>
        <w:tab/>
      </w:r>
      <w:r>
        <w:rPr>
          <w:noProof/>
        </w:rPr>
        <w:t>Fil-5 ta’ Ġunju 2019 il-Kummissjoni ħarġet rapport ippreparat f’konformità mal-Artikolu 126(3) tat-TFUE, peress li, fuq il-bażi tad-</w:t>
      </w:r>
      <w:r>
        <w:rPr>
          <w:i/>
          <w:noProof/>
        </w:rPr>
        <w:t>data</w:t>
      </w:r>
      <w:r>
        <w:rPr>
          <w:noProof/>
        </w:rPr>
        <w:t xml:space="preserve"> notifikata, fl-2018 id-defiċit nominali kien jaqbeż il-valur referenzjarju ta’ 3 % tal-PDG stipulat fit-Trattat. Ir-rapport ikkonkluda li jenħtieġ ma jittiħdux passi addizzjonali li jwasslu għal deċiżjoni dwar l-eżistenza ta’ defiċit eċċessiv tal-gvern. L-ineffiċjenzi fl-amministrazzjoni pubblika u fil-gvernijiet lokali għadhom sfida minkejja li sar xi progress fis-servizzi elettroniċi tal-gvern. Dan għandu impatt fuq l-ambjent tan-negozju. Proposti leġiżlattivi ewlenin li jindirizzaw il-kwistjoni għadhom pendenti. Dawn jinkludu abbozzi ta’ liġijiet dwar ir-riforma tal-amministrazzjoni pubblika u tal-gvernijiet lokali. Nuqqasijiet fil-qafas ta’ governanza għal entitajiet li jappartjenu għall-istat jistgħu jiffaċilitaw l-akkumulazzjoni ta’ obbligazzjonijiet kontinġenti pubbliċi u jxekklu l-kapaċità tal-investiment f’utilitajiet importanti, bħat-telekomunikazzjoni u l-enerġija. Peress li t-trażżin tal-kont tal-pagi tas-settur pubbliku kien fattur sinifikanti fil-konsolidament fiskali f’Ċipru, dan jiġġustifika kontinwazzjoni. </w:t>
      </w:r>
    </w:p>
    <w:p>
      <w:pPr>
        <w:pStyle w:val="ManualConsidrant"/>
        <w:rPr>
          <w:noProof/>
        </w:rPr>
      </w:pPr>
      <w:r>
        <w:t>(8)</w:t>
      </w:r>
      <w:r>
        <w:tab/>
      </w:r>
      <w:r>
        <w:rPr>
          <w:noProof/>
        </w:rPr>
        <w:t>Il-ġlieda kontra l-ippjanar aggressiv tat-taxxa hija essenzjali biex is-sistemi fiskali jsiru iktar effiċjenti u ġusti, kif ġie rrikonoxxut fir-Rakkomandazzjoni għaż-żona tal-euro għall-2019. L-effetti konsegwenzjali fost l-Istati Membri li jirriżultaw minn strateġiji ta’ ppjanar aggressiv tat-taxxa tal-kontribwenti jirrikjedu azzjoni koordinata ta’ politiki nazzjonali biex jikkomplementaw il-leġiżlazzjoni tal-UE. Ċipru ħa miżuri kontra l-ippjanar aggressiv tat-taxxa, iżda l-livelli għolja ta’ pagamenti ta’ dividendi u mgħax (relattivi għall-PDG) jissuġġerixxu li r-regoli tat-taxxa ta’ Ċipru qed jintużaw minn kumpaniji li jeżerċitaw ippjanar aggressiv tat-taxxa. In-nuqqas ta’ taxxi minn ras il-għajn fuq pagamenti ’l barra mill-pajjiż (jiġifieri minn residenti tal-UE lejn residenti ta’ pajjiżi terzi) ta’ dividendi, imgħax u, f’bosta każijiet, royalties minn kumpaniji bbażati f’Ċipru lejn residenti ta’ pajjiżi terzi jista’ jwassal biex dawk il-pagamenti jevadu t-taxxa kompletament, jekk lanqas fil-ġurisdizzjoni riċeventi ma jkunu soġġetti għat-taxxa. In-nuqqas ta’ tali taxxi, flimkien mar-regoli ta’ residenza tat-taxxa korporattiva, jistgħu jkomplu jiffaċilitaw l-ippjanar aggressiv tat-taxxa. L-iskema tat-Tnaqqis ta’ Mgħax Nozzjonali jenħtieġ li tiġi mmonitorjata mill-qrib għall-prevenzjoni ta’ kull użu ħażin għall-ippjanar aggressiv tat-taxxa. Finalment, l-Iskema għan-Naturalizzazzjoni tal-Investituri f’Ċipru b’eċċezzjoni u l-Iskema ta’ Residenza b’Investiment jagħtu aċċess għal rata tat-taxxa personali baxxa fuq dħul minn assi finanzjarji barranin u ma jirrikjedux li individwu jagħmel żmien twil fil-ġuriżdizzjoni li qed toffri l-iskema. L-OECD tqis li għandhom riskju potenzjalment għoli li jintużaw ħażin għaċ-ċirkomvenzjoni tal-iskambju awtomatiku ta’ informazzjoni dwar kontijiet finanzjarji.</w:t>
      </w:r>
    </w:p>
    <w:p>
      <w:pPr>
        <w:pStyle w:val="ManualConsidrant"/>
        <w:rPr>
          <w:noProof/>
        </w:rPr>
      </w:pPr>
      <w:r>
        <w:t>(9)</w:t>
      </w:r>
      <w:r>
        <w:tab/>
      </w:r>
      <w:r>
        <w:rPr>
          <w:noProof/>
        </w:rPr>
        <w:t>Ġew implimentati miżuri importanti fil-kuntest ta’ strateġija komprensiva għas-selfiet improduttivi. Dawn wasslu għal tnaqqis sinifikanti fis-selfiet improduttivi fis-settur bankarju, primarjament minħabba l-bejgħ u l-istralċ ta’ Cyprus Cooperative Bank u t-trasferiment tal-portafoll tas-selfiet improduttivi tiegħu lejn kumpanija maniġerjali tal-assi bi sjieda tal-Istat. Barra minn hekk, il-liġi dwar il-bejgħ tas-selfiet ġiet imtejba u ġiet adottata liġi dwar it-titolizzazzjoni tas-selfiet. Sabiex jiġu massimizzati r-rikavati mill-bejgħ tal-assi u fl-aħħar mill-aħħar jonqos id-dejn privat huwa essenzjali li l-kumpanija maniġerjali tal-assi bi sjieda tal-Istat ikollha struttura ta’ governanza effettiva, maniġment bi speċjalizzazzjoni għolja, indipendenza operattiva mill-Istat Ċiprijott, u miri ddefiniti sew li huma konformi mal-impenji magħmula mill-gvern fil-kuntest tad-deċiżjoni dwar l-għajnuna mill-Istat b’rabta mal-bejgħ ta’ Cyprus Cooperative Bank, li ġie approvat mill-Kummissjoni Ewropea.</w:t>
      </w:r>
      <w:r>
        <w:rPr>
          <w:rFonts w:ascii="Arial" w:hAnsi="Arial"/>
          <w:noProof/>
          <w:color w:val="000000"/>
          <w:szCs w:val="24"/>
        </w:rPr>
        <w:t xml:space="preserve"> </w:t>
      </w:r>
      <w:r>
        <w:rPr>
          <w:noProof/>
        </w:rPr>
        <w:t>Barra minn hekk, huwa importanti li jiġi stabbilit qafas superviżorju adegwat għall-kumpaniji li jakkwistaw kreditu, peress li l-ammont ta’ kumpaniji li jakkwistaw kreditu żdied, inkluża l-kumpanija maniġerjali tal-assi bi sjieda tal-Istat, u fil-futur huwa ppjanat iktar bejgħ ta’ portafolli ta’ selfiet improduttivi. Il-kapaċità amministrattiva u ta’ governanza tas-superviżuri tal-assigurazzjoni u tal-fondi ta’ pensjoni għadha dgħajfa. Jenħtieġ li l-integrazzjoni ta’ dawn is-superviżuri tiġi finalizzata malajr. B’mod ġenerali, il-qafas superviżorju għas-swieq kapitali jrid jissaħħaħ minħabba l-attivitajiet transfruntiera relattivament imdaqqsa tal-kumpaniji tas-servizzi finanzjarji mhux bankarji u t-tkabbir sinifikanti ta’ ditti liċenzjati f’dawn l-aħħar snin.</w:t>
      </w:r>
    </w:p>
    <w:p>
      <w:pPr>
        <w:pStyle w:val="ManualConsidrant"/>
        <w:rPr>
          <w:noProof/>
        </w:rPr>
      </w:pPr>
      <w:r>
        <w:t>(10)</w:t>
      </w:r>
      <w:r>
        <w:tab/>
      </w:r>
      <w:r>
        <w:rPr>
          <w:noProof/>
        </w:rPr>
        <w:t>L-okkupazzjoni qed tiżdied, il-qgħad qed jonqos u l-kapaċità ta’ terminu qasir tas-servizzi pubbliċi tal-impjiegi biex jiffaċilitaw is-sostenn attiv għax-xogħol tjiebet. Madankollu, is-sostenibbiltà ta’ terminu twil tal-kapaċità tas-servizzi pubbliċi tal-impjiegi għadha problema, peress li l-persunal addizzjonali ġie rreklutat għal sentejn biss. Fl-2018 il-proporzjon taż-żgħażagħ mhux impjegati, barra mill-edukazzjoni jew mhux f’taħriġ kien fost l-ogħla fl-UE. L-effiċjenza baxxa tas-servizzi pubbliċi tal-impjiegi kif ukoll l-offerti limitati ta’ xogħol u l-parteċipazzjoni limitata tagħhom f’dak li għandu x’jaqsam ma’ miżuri ta’ attivazzjoni biex jgħinu lin-nies isibu xogħol, għadhom sfida. Għaldaqstant, huwa possibbli li jiġu rrinforzati s-sensibilizzazzjoni u l-appoġġ għall-attivazzjoni biex jiġu aċċessati l-impjiegi, partikolarment għaż-żgħażagħ u għal dawk diżokkupati fit-tul. Dan jinkludi l-promozzjoni tal-impjiegi indipendenti u tal-ekonomija soċjali kif ukoll il-modernizzazzjoni tal-istituzzjonijiet u tas-servizzi tas-suq tax-xogħol biex in-nies ikunu jistgħu jiksbu ħiliet li huma iktar kompatibbli mal-ħtiġijiet tas-suq tax-xogħol.</w:t>
      </w:r>
    </w:p>
    <w:p>
      <w:pPr>
        <w:pStyle w:val="ManualConsidrant"/>
        <w:rPr>
          <w:noProof/>
        </w:rPr>
      </w:pPr>
      <w:r>
        <w:t>(11)</w:t>
      </w:r>
      <w:r>
        <w:tab/>
      </w:r>
      <w:r>
        <w:rPr>
          <w:noProof/>
        </w:rPr>
        <w:t>In-nuqqas u l-ispariġġi tal-ħiliet huma fost l-ostakli ewlenin għall-investiment tan-negozji, u dan jenfasizza l-bżonn li jsir iktar investiment fit-taħriġ tal-forza tax-xogħol potenzjali li hija inutilizzata jew mhux utilizzata biżżejjed, li l-kurrikuli tal-edukazzjoni jiġu allinjati aħjar mal-ħtiġijiet tas-suq tax-xogħol, u li jsir investiment f’infrastruttura adattata ta’ edukazzjoni vokazzjonali. Il-progress dwar riformi kruċjali fl-edukazzjoni u fit-taħriġ, bħat-titjib fl-ingaġġ u fl-evalwazzjoni tal-għalliema, mhuwiex uniformi. Il-kisbiet edukattivi għadhom baxxi; l-istess bħall-parteċipazzjoni fl-edukazzjoni u kura bikrija tat-tfal li saret inqas affordabbli għall-familji, peress li waqt il-kriżi d-dħul tagħhom naqas b’rata iktar mgħaġġla minn dik tal-ispejjeż marbuta mal-indokrar tat-tfal. Iktar sforzi biex tiġi modernizzata s-sistema tal-edukazzjoni u tat-taħriġ fil-livelli kollha jgħinu biex jitjiebu r-riżultati edukattivi u jiżdied il-potenzjal ta’ tkabbir ekonomiku sostenibbli f’Ċipru. Ir-reviżjoni tal-kurrikuli vokazzjonali u tat-taħriġ hija pass importanti biex jitnaqqsu l-ispariġġi fil-ħiliet fis-suq tax-xogħol. Madankollu, spariġġi prevalenti fil-ħiliet ta’ gradwati terzjarji u parteċipazzjoni baxxa fl-edukazzjoni għall-adulti, speċjalment minn dawk b’ħiliet baxxi, jindikaw il-bżonn ta’ taħriġ ta’ aġġornament u taħriġ mill-ġdid iktar b’saħħithom.</w:t>
      </w:r>
    </w:p>
    <w:p>
      <w:pPr>
        <w:pStyle w:val="ManualConsidrant"/>
        <w:rPr>
          <w:noProof/>
        </w:rPr>
      </w:pPr>
      <w:r>
        <w:t>(12)</w:t>
      </w:r>
      <w:r>
        <w:tab/>
      </w:r>
      <w:r>
        <w:rPr>
          <w:noProof/>
        </w:rPr>
        <w:t>Ċipru għamel progress fil-kura tas-saħħa billi adotta leġiżlazzjoni biex jistabbilixxi s-Sistema Nazzjonali tal-Kura tas-Saħħa ġdida. Is-sistema l-ġdida għandha l-għan li ttejjeb l-aċċess, tintroduċi kopertura universali tas-saħħa, tnaqqas il-livell għoli ta’ pagamenti mill-but u żżid l-effiċjenza fl-għoti tal-kura fis-settur pubbliku. Qabel ma tibda taħdem bis-sħiħ fl-2020, is-sistema għadha qed tiffaċċja sfidi kbar ta’ implimentazzjoni u investiment. Il-preservazzjoni tas-sostenibbiltà ta’ terminu twil tas-sistema, inkluż l-iżgurar tal-awtonomija finanzjarja u operattiva tal-isptarijiet pubbliċi, kif ippjanata, għadha kruċjali. Miżuri li jkollhom l-għan li jimmodernizzaw u jtejbu l-effiċjenza tal-fornituri tal-kura tas-saħħa, inkluż il-kura tas-saħħa primarja, l-introduzzjoni tas-saħħa elettronika u t-twaqqif ta’ Organizzazzjoni Nazzjonali tal-Mediċini, ikunu qed ikomplu jsaħħu s-sistema tal-kura tas-saħħa. Il-livell tal-kura fit-tul huwa baxx u jibqa’ ta’ sfida meta jitqies it-tixjiħ tal-popolazzjoni.</w:t>
      </w:r>
    </w:p>
    <w:p>
      <w:pPr>
        <w:pStyle w:val="ManualConsidrant"/>
        <w:rPr>
          <w:noProof/>
        </w:rPr>
      </w:pPr>
      <w:r>
        <w:t>(13)</w:t>
      </w:r>
      <w:r>
        <w:tab/>
      </w:r>
      <w:r>
        <w:rPr>
          <w:noProof/>
        </w:rPr>
        <w:t>Il-prestazzjoni ambjentali dgħajfa ta’ Ċipru hija ta’ tħassib kbir u għadu vulnerabbli għat-tibdil fil-klima. Ċipru jrid itejjeb b’mod sinifikanti s-sistema tiegħu tal-immaniġġjar tal-iskart kif ukoll l-ekonomija ċirkolari. Il-ġenerazzjoni ta’ skart għadha ogħla b’mod sinifikanti meta mqabbla mal-medja fl-Unjoni u mill-2014 ’l hawn kompliet tiżdied. Il-faċilitajiet eżistenti għat-trattament tal-iskart ma jilħqux rati ta’ riċiklaġġ għoljin, u minħabba l-assenza ta’ strumenti ekonomiċi, bħal taxxi tal-landfills, ir-riċiklaġġ mhuwiex ekonomikament attraenti. Il-ġestjoni tal-ilma, partikolarment f’żoni urbani, hija karatterizzata minn ineffiċjenzi. Il-problema ewlenija ta’ Ċipru hija l-iskarsezza tal-ilma, flimkien mal-astrazzjoni eċċessiva tal-ilma ta’ taħt l-art. Għad hemm ammont konsiderevoli ta’ ilma mormi fiż-żoni urbani li qed jiġi rrilaxxat mingħajr ġbir jew trattament; huwa biss madwar nofs l-ilma mormi totali li jgħaddi minn trattament sekondarju. In-nixfiet u l-iskarsezza tal-ilma huma ta’ tħassib ewlieni u r-rispons ta’ politika insuffiċjenti jaf jaffettwa l-ekonomija rurali u t-turiżmu tal-Istat Membru. Għaldaqstant, biex Ċipru jimmitiga l-effetti negattivi tat-tibdil fil-klima, jippreserva u jirriabilita l-ambjent naturali tiegħu u jiżgura t-tkabbir ekonomiku sostenibbli ta’ terminu twil, huma essenzjali l-ġestjoni sostenibbli u l-użu effiċjenti tar-riżorsi naturali tiegħu, flimkien ma’ infurzar iktar strett tal-leġiżlazzjoni ambjentali u tal-klima.</w:t>
      </w:r>
    </w:p>
    <w:p>
      <w:pPr>
        <w:pStyle w:val="ManualConsidrant"/>
        <w:rPr>
          <w:noProof/>
        </w:rPr>
      </w:pPr>
      <w:r>
        <w:t>(14)</w:t>
      </w:r>
      <w:r>
        <w:tab/>
      </w:r>
      <w:r>
        <w:rPr>
          <w:noProof/>
        </w:rPr>
        <w:t>Ċipru jista’ jagħmel użu ħafna aħjar mis-sorsi tiegħu ta’ enerġija rinnovabbli — partikolarment mix-xemx — u b’hekk jindirizza l-ineffiċjenzi attwali tal-enerġija. Fl-2017 il-proporzjon ta’ enerġija rinnovabbli f’Ċipru kien 8,9 %, filwaqt li l-mira għall-2020 hija 13 %. Il-binjiet residenzjali u kummerċjali li qed jinbnew b’livell baxx ta’ protezzjoni termali jew mingħajrha, partikolarment f’żoni urbani, huma sors sostanzjali ta’ ineffiċjenza enerġetika. Il-kundizzjonijiet ta’ qafas għall-investiment fis-settur tal-enerġija rinnovabbli tjiebu, u ġew introdotti diversi miżuri, inkluż l-installazzjoni ta’ sistemi fotovoltajċi u skemi ta’ għajnuna għall-intrapriżi żgħar u ta’ daqs medju u għall-unitajiet domestiċi. Madankollu, Ċipru għadu ma ħax vantaġġ sħiħ mill-potenzjal konsiderevoli li għandu fil-ġenerazzjoni tal-enerġija rinnovabbli, speċjalment minn sorsi solari. Id-dipendenza fuq it-toroq għat-trasport intern toħloq numru ta’ sfidi tal-politika, speċjalment l-isfida biex jitnaqqsu t-tniġġis tal-arja u l-emissjonijiet tal-gassijiet serra, u din twassal ukoll konġestjoni kbira fiż-żoni urbani fil-ħinijiet bl-ogħla traffiku u fit-toroq li jagħtu għall-portijiet. B’sehem ta’ 2,7 % fl-2016, Ċipru qiegħed lura wkoll fl-użu tas-sorsi ta’ enerġija rinnovabbli fit-trasport u jaf isibha diffiċli biex jilħaq il-mira vinkolanti ta’ 10 % sal-2020.</w:t>
      </w:r>
    </w:p>
    <w:p>
      <w:pPr>
        <w:pStyle w:val="ManualConsidrant"/>
        <w:rPr>
          <w:noProof/>
        </w:rPr>
      </w:pPr>
      <w:r>
        <w:t>(15)</w:t>
      </w:r>
      <w:r>
        <w:tab/>
      </w:r>
      <w:r>
        <w:rPr>
          <w:noProof/>
        </w:rPr>
        <w:t xml:space="preserve">L-investiment fl-ekonomija tal-internet u t-titjib tal-ħiliet diġitali tal-ħaddiema huma essenzjali biex tissaħħaħ il-produttività. Ċipru qiegħed lejn l-aħħar fl-Indiċi tal-Ekonomija u s-Soċjetà Diġitali (DESI, Digital Economy and Society Index) tal-Kummissjoni Ewropea tal-2019. Huma biss 50 % taċ-Ċiprijotti ta’ bejn is-16 u l-74 sena li għandhom ħiliet diġitali bażiċi u l-ispeċjalisti tal-ICT għadhom jirrappreżentaw proporzjon iktar baxx tal-forza tax-xogħol meta mqabbel mal-bqija tal-UE (2,3 % vs 3,7 %), u dan qed ixekkel il-potenzjal tal-ekonomija tal-internet. Hemm livell baxx ta’ interazzjoni online bejn l-awtoritajiet pubbliċi u ċ-ċittadini, u 50 % biss taċ-Ċiprijotti jinteraġixxu online. Il-kummerċ elettroniku qed jitjieb imma għadu taħt il-medja tal-Unjoni. </w:t>
      </w:r>
    </w:p>
    <w:p>
      <w:pPr>
        <w:pStyle w:val="ManualConsidrant"/>
        <w:rPr>
          <w:noProof/>
        </w:rPr>
      </w:pPr>
      <w:r>
        <w:t>(16)</w:t>
      </w:r>
      <w:r>
        <w:tab/>
      </w:r>
      <w:r>
        <w:rPr>
          <w:noProof/>
        </w:rPr>
        <w:t>Ċipru jibqa’ innovatur moderat, u l-prestazzjoni fl-innovazzjoni naqset mill-2010 ’l hawn. In-nefqa pubblika u privata fuq ir-riċerka u l-iżvilupp hija fost l-inqas fl-Unjoni, u b’hekk hija mxekkla l-kapaċità innovattiva taċ-ċentri tar-riċerka u tas-settur tan-negozju. L-interazzjoni bejn l-akkademja u n-negozji wkoll hija limitata ħafna. Biex titjieb il-kompetittività ta’ Ċipru u b’mod partikolari dik tal-intrapriżi żgħar u ta’ daqs medju, huwa kruċjali li tiżdied il-kapaċità innovattiva tas-settur tan-negozju u li jissaħħaħ l-aċċess għal finanzjament u investimenti li jiffokaw fuq oqsma ddefiniti sew ta’ speċjalizzazzjoni intelliġenti.</w:t>
      </w:r>
    </w:p>
    <w:p>
      <w:pPr>
        <w:pStyle w:val="ManualConsidrant"/>
        <w:rPr>
          <w:noProof/>
        </w:rPr>
      </w:pPr>
      <w:r>
        <w:t>(17)</w:t>
      </w:r>
      <w:r>
        <w:tab/>
      </w:r>
      <w:r>
        <w:rPr>
          <w:noProof/>
        </w:rPr>
        <w:t>Il-piż amministrattiv huwa għoli, speċjalment biex jingħata bidu għal investimenti strateġiċi. Hemm lok biex jiġu simplifikati b’mod sinifikanti l-proċeduri għall-ksib ta’ permessi għal investimenti strateġiċi, u l-leġiżlazzjoni rilevanti għadha pendenti.</w:t>
      </w:r>
    </w:p>
    <w:p>
      <w:pPr>
        <w:pStyle w:val="ManualConsidrant"/>
        <w:rPr>
          <w:noProof/>
        </w:rPr>
      </w:pPr>
      <w:r>
        <w:t>(18)</w:t>
      </w:r>
      <w:r>
        <w:tab/>
      </w:r>
      <w:r>
        <w:rPr>
          <w:noProof/>
        </w:rPr>
        <w:t>L-implimentazzjoni tal-pjan ta’ azzjoni għat-tkabbir wassal għal xi progress fl-intraprenditorija u fl-aċċess tal-intrapriżi żgħar u ta’ daqs medju għal finanzjament. Madankollu, il-miżuri ta’ appoġġ finanzjarju għall-intrapriżi żgħar u ta’ daqs medju għadhom primarjament ibbażati fuq l-għotjiet. Sorsi alternattivi ta’ finanzjament, bħalma huma l-kapital ta’ riskju, il-finanzjament permezz tal-ekwità u l-finanzjament kollettiv għadhom marġinali għan-negozji Ċiprijotti. Koordinazzjoni mtejba tal-appoġġ għan-negozji tista’ ttejjeb l-użu. Sforzi ta’ privatizzazzjoni biex jiġu attirati investimenti barranin li jtejbu l-produttività, f’bosta każijiet huma sospiżi u wħud mill-proġetti ta’ privatizzazzjoni biss qed javvanzaw b’mod gradwali.</w:t>
      </w:r>
    </w:p>
    <w:p>
      <w:pPr>
        <w:pStyle w:val="ManualConsidrant"/>
        <w:rPr>
          <w:noProof/>
        </w:rPr>
      </w:pPr>
      <w:r>
        <w:t>(19)</w:t>
      </w:r>
      <w:r>
        <w:tab/>
      </w:r>
      <w:r>
        <w:rPr>
          <w:noProof/>
        </w:rPr>
        <w:t>Ineffiċjenzi persistenti fis-sistema ġudizzjarja jkomplu jaffettwaw l-infurzar ta’ kuntratti u jipprevjenu r-riżoluzzjoni rapida ta’ kawżi ċivili u kummerċjali u l-investigazzjoni ta’ delitti. Regoli kkumplikati u antikwati tal-proċedura ċivili kif ukoll l-infurzar dgħajjef tad-deċiżjonijiet tal-qrati huma ta’ piż fuq l-inċentivi tal-banek biex jużaw oqfsa ta’ insolvenza u preklużjoni biex inaqqsu l-ammont ta’ selfiet improduttivi tagħhom. Serje ta’ riformi bdew jindirizzaw il-problemi l-iktar serji fis-sistema tal-ġustizzja, b’mod partikolari r-regoli antikwati tal-proċedura ċivili, l-ispeċjalizzazzjoni u d-diġitalizzazzjoni baxxi tal-qrati, il-konklużjoni ta’ għadd kbir ta’ kawżi pendenti u l-assenza tat-taħriġ tul il-ħajja għall-imħallfin, iżda l-progress għadu miexi bil-mod. Jenħtieġ li r-riforma tkun konformi mal-impenji li saru mill-gvern fil-kuntest tad-deċiżjoni dwar l-għajnuna mill-Istat dwar il-bejgħ ta’ Cyprus Cooperative Bank, li ġie approvat mill-Kummissjoni Ewropea. Fl-2018 ġew adottati oqfsa mtejbin tal-insolvenza u tal-preklużjoni. L-implimentazzjoni deċiżiva tal-liġijiet il-ġodda flimkien mal-iżgurar ta’ sistema ġudizzjarja effiċjenti u l-infurzar iktar strett tas-sentenzi jtejbu d-dixxiplina tar-rimborż tad-dejn. F’Diċembru 2017 daħlet fis-seħħ strateġija nazzjonali kontra l-korruzzjoni u ġiet rrinforzata bl-approvazzjoni tal-pjan ta’ azzjoni orizzontali nazzjonali kontra l-korruzzjoni mill-Kunsill tal-Ministri f’Mejju 2019. Fil-parlament ġew ippreżentati abbozzi ta’ liġijiet għat-twaqqif ta’ aġenzija indipendenti ġdida kontra l-korruzzjoni u għall-protezzjoni tal-informaturi, iżda għadhom iridu jiġu adottati. Dawn il-liġijiet ikunu ta’ għajnuna għat-tisħiħ tal-qafas nazzjonali kontra l-korruzzjoni. Jenħtieġ li r-riformi kontra l-korruzzjoni jiġu aċċellerati permezz tal-implimentazzjoni malajr tal-Pjan ta’ Azzjoni kontra l-korruzzjoni. L-indipendenza tal-prosekuzzjoni trid tiġi salvagwardjata u jenħtieġ li tissaħħaħ il-kapaċità tal-infurzar tal-liġi.</w:t>
      </w:r>
    </w:p>
    <w:p>
      <w:pPr>
        <w:pStyle w:val="ManualConsidrant"/>
        <w:rPr>
          <w:noProof/>
        </w:rPr>
      </w:pPr>
      <w:r>
        <w:t>(20)</w:t>
      </w:r>
      <w:r>
        <w:tab/>
      </w:r>
      <w:r>
        <w:rPr>
          <w:noProof/>
        </w:rPr>
        <w:t>Minkejja li saru xi sforzi biex jitnaqqas ix-xogħol b’lura fil-ħruġ ta’ titoli tal-proprjetà, għad hemm ħafna xogħol b’lura. Soluzzjoni strutturali li tindirizza l-inadegwatezzi tas-sistema ta’ tranżazzjoni tal-proprjetà (jiġifieri l-ħruġ u t-trasferiment ta’ titoli tal-proprjetà) għadha trid tinstab.</w:t>
      </w:r>
      <w:r>
        <w:rPr>
          <w:rFonts w:ascii="Arial" w:hAnsi="Arial"/>
          <w:noProof/>
          <w:szCs w:val="24"/>
        </w:rPr>
        <w:t xml:space="preserve"> </w:t>
      </w:r>
      <w:r>
        <w:rPr>
          <w:noProof/>
        </w:rPr>
        <w:t>Din hija essenzjali biex jiġu faċilitati l-proċeduri ta’ preklużjoni u tkun possibbli l-likwidazzjoni tal-kollateral.</w:t>
      </w:r>
    </w:p>
    <w:p>
      <w:pPr>
        <w:pStyle w:val="ManualConsidrant"/>
        <w:rPr>
          <w:noProof/>
        </w:rPr>
      </w:pPr>
      <w:r>
        <w:t>(21)</w:t>
      </w:r>
      <w:r>
        <w:tab/>
      </w:r>
      <w:r>
        <w:rPr>
          <w:noProof/>
        </w:rPr>
        <w:t>Il-programmazzjoni tal-Fondi tal-UE għall-perjodu 2021-2027 tista’ tgħin biex jiġu indirizzati xi lakuni identifikati fir-rakkomandazzjonijiet, partikolarment fl-oqsma koperti mill-Anness D tar-rapport tal-pajjiż</w:t>
      </w:r>
      <w:r>
        <w:rPr>
          <w:rStyle w:val="FootnoteReference"/>
          <w:noProof/>
        </w:rPr>
        <w:footnoteReference w:id="8"/>
      </w:r>
      <w:r>
        <w:rPr>
          <w:noProof/>
        </w:rPr>
        <w:t>. B’hekk Ċipru jkun jista’ jagħmel l-aħjar użu minn dawn il-fondi fir-rigward tas-setturi identifikati, filwaqt li jqis id-differenzi territorjali. It-tisħiħ tal-kapaċità amministrattiva tal-pajjiż għall-ġestjoni ta’ dawn il-fondi hija fattur importanti għas-suċċess ta’ dan l-investiment.</w:t>
      </w:r>
    </w:p>
    <w:p>
      <w:pPr>
        <w:pStyle w:val="ManualConsidrant"/>
        <w:rPr>
          <w:noProof/>
        </w:rPr>
      </w:pPr>
      <w:r>
        <w:t>(22)</w:t>
      </w:r>
      <w:r>
        <w:tab/>
      </w:r>
      <w:r>
        <w:rPr>
          <w:noProof/>
        </w:rPr>
        <w:t xml:space="preserve">Fil-kuntest tas-Semestru Ewropew tal-2019, il-Kummissjoni wettqet analiżi komprensiva tal-politika ekonomika ta’ Ċipru u ppubblikatha fir-rapport tal-pajjiż tal-2019. Hija vvalutat ukoll il-Programm ta’ Stabbiltà tal-2019, il-Programm ta’ Riforma Nazzjonali tal-2019 u s-segwitu mogħti għar-rakkomandazzjonijiet indirizzati lil Ċipru fis-snin preċedenti. Hija mhux biss qieset ir-rilevanza tagħhom għall-politika fiskali u soċjoekonomika sostenibbli f’Ċipru imma qieset ukoll il-konformità tagħhom mar-regoli u mal-gwida tal-Unjoni, fid-dawl tal-ħtieġa li tissaħħaħ il-governanza ekonomika kumplessiva tal-Unjoni billi jingħata kontribut fil-livell tal-Unjoni għad-deċiżjonijiet nazzjonali futuri. </w:t>
      </w:r>
    </w:p>
    <w:p>
      <w:pPr>
        <w:pStyle w:val="ManualConsidrant"/>
        <w:rPr>
          <w:noProof/>
        </w:rPr>
      </w:pPr>
      <w:r>
        <w:t>(23)</w:t>
      </w:r>
      <w:r>
        <w:tab/>
      </w:r>
      <w:r>
        <w:rPr>
          <w:noProof/>
        </w:rPr>
        <w:t>Fid-dawl ta’ din il-valutazzjoni, il-Kunsill eżamina l-Programm ta’ Stabbiltà tal-2019 u huwa tal-fehma</w:t>
      </w:r>
      <w:r>
        <w:rPr>
          <w:rStyle w:val="FootnoteReference"/>
          <w:noProof/>
        </w:rPr>
        <w:footnoteReference w:id="9"/>
      </w:r>
      <w:r>
        <w:rPr>
          <w:noProof/>
        </w:rPr>
        <w:t xml:space="preserve"> li […].</w:t>
      </w:r>
    </w:p>
    <w:p>
      <w:pPr>
        <w:pStyle w:val="ManualConsidrant"/>
        <w:rPr>
          <w:noProof/>
        </w:rPr>
      </w:pPr>
      <w:r>
        <w:t>(24)</w:t>
      </w:r>
      <w:r>
        <w:tab/>
      </w:r>
      <w:r>
        <w:rPr>
          <w:noProof/>
        </w:rPr>
        <w:t>Fid-dawl tal-analiżi fil-fond mill-Kummissjoni u ta’ din il-valutazzjoni, il-Kunsill eżamina l-Programm Nazzjonali ta’ Riforma tal-2019 u l-Programm ta’ Stabbiltà tal-2019. Ir-rakkomandazzjonijiet tiegħu skont l-Artikolu 6 tar-Regolament (UE) Nru 1176/2011 huma riflessi fir-rakkomandazzjonijiet minn (1) sa (5) hawn taħt. Dawn ir-rakkomandazzjonijiet jikkontribwixxu wkoll għall-implimentazzjoni tar-Rakkomandazzjoni għaż-żona tal-euro, b’mod partikolari l-ewwel, it-tielet u r-raba’ rakkomandazzjoni għaż-żona tal-euro. Il-politiki fiskali msemmija fir-rakkomandazzjoni (1) fost l-oħrajn jindirizzaw l-iżbilanċi marbuta ma’ dejn pubbliku għoli.</w:t>
      </w:r>
    </w:p>
    <w:p>
      <w:pPr>
        <w:pStyle w:val="Formuledadoption"/>
        <w:rPr>
          <w:noProof/>
        </w:rPr>
      </w:pPr>
      <w:r>
        <w:rPr>
          <w:noProof/>
        </w:rPr>
        <w:t xml:space="preserve">B’DAN JIRRAKKOMANDA li Ċipru jieħu azzjoni fl-2019 u fl-2020 biex: </w:t>
      </w:r>
    </w:p>
    <w:p>
      <w:pPr>
        <w:pStyle w:val="ManualNumPar1"/>
        <w:rPr>
          <w:noProof/>
        </w:rPr>
      </w:pPr>
      <w:r>
        <w:t>1.</w:t>
      </w:r>
      <w:r>
        <w:tab/>
      </w:r>
      <w:r>
        <w:rPr>
          <w:noProof/>
        </w:rPr>
        <w:t>Jadotta riformi leġiżlattivi ewlenin biex itejjeb l-effiċjenza fis-settur pubbliku, b’mod partikolari fir-rigward tal-funzjonament tal-amministrazzjoni pubblika u tal-governanza tal-entitajiet li huma proprjetà tal-istat u tal-gvernijiet lokali. Jindirizza karatteristiċi tas-sistema fiskali li jaf jiffaċilitaw l-ippjanar aggressiv tat-taxxa minn individwi u ditti multinazzjonali, b’mod partikolari permezz ta’ pagamenti ’l barra.</w:t>
      </w:r>
    </w:p>
    <w:p>
      <w:pPr>
        <w:pStyle w:val="ManualNumPar1"/>
        <w:rPr>
          <w:noProof/>
        </w:rPr>
      </w:pPr>
      <w:r>
        <w:t>2.</w:t>
      </w:r>
      <w:r>
        <w:tab/>
      </w:r>
      <w:r>
        <w:rPr>
          <w:noProof/>
        </w:rPr>
        <w:t>Jiffaċilita t-tnaqqis ta’ selfiet improduttivi, inkluż billi jwaqqaf struttura ta’ governanza effettiva tal-kumpanija maniġerjali tal-assi bi sjieda tal-Istat, filwaqt li jieħu passi biex itejjeb id-dixxiplina fil-pagamenti u jsaħħaħ is-superviżjoni ta’ kumpaniji li jakkwistaw kreditu. Isaħħaħ il-kapaċitajiet superviżivi fis-settur finanzjarju mhux bankarju, inkluż bl-integrazzjoni sħiħa tas-superviżuri tal-assigurazzjoni u tal-fondi ta’ pensjoni.</w:t>
      </w:r>
    </w:p>
    <w:p>
      <w:pPr>
        <w:pStyle w:val="ManualNumPar1"/>
        <w:rPr>
          <w:noProof/>
        </w:rPr>
      </w:pPr>
      <w:r>
        <w:t>3.</w:t>
      </w:r>
      <w:r>
        <w:tab/>
      </w:r>
      <w:r>
        <w:rPr>
          <w:noProof/>
        </w:rPr>
        <w:t>Ilesti r-riformi mmirati biex iżidu l-effettività tas-servizzi pubbliċi tal-impjiegi u jsaħħaħ il-miżuri ta’ sensibilizzazzjoni u ta’ attivazzjoni għaż-żgħażagħ. Iwettaq f’dak li għandu x’jaqsam mar-riforma tas-sistema tal-edukazzjoni u tat-taħriġ, inkluża l-evalwazzjoni tal-għalliema, iżid l-involviment ta’ min iħaddem u ta’ min qed jitgħallem fl-edukazzjoni vokazzjonali u fit-taħriġ, kif ukoll joffri edukazzjoni u indokrar tat-tfal affordabbli. Jieħu miżuri biex jiżgura li s-Sistema Nazzjonali tal-Kura tas-Saħħa ssir operazzjonali fl-2020, kif ippjanat, filwaqt li tippreserva s-sostenibbiltà fit-tul tagħha.</w:t>
      </w:r>
    </w:p>
    <w:p>
      <w:pPr>
        <w:pStyle w:val="ManualNumPar1"/>
        <w:rPr>
          <w:noProof/>
        </w:rPr>
      </w:pPr>
      <w:r>
        <w:t>4.</w:t>
      </w:r>
      <w:r>
        <w:tab/>
      </w:r>
      <w:r>
        <w:rPr>
          <w:noProof/>
        </w:rPr>
        <w:t>Jiffoka l-politika ekonomika relatata mal-investiment fuq it-trasport sostenibbli, l-ambjent, b’mod partikolari l-ġestjoni tal-iskart u tal-ilma, l-effiċjenza enerġetika u l-enerġija rinnovabbli, id-diġitalizzazzjoni, inklużi l-ħiliet diġitali, kif ukoll ir-riċerka u l-innovazzjoni, b’kont meħud tad-differenzi territorjali fi ħdan l-Istat Membru. Jadotta leġiżlazzjoni biex jissimplifika l-proċeduri li jippermettu lill-investituri strateġiċi jiksbu l-permessi u l-liċenzji neċessarji. Itejjeb l-aċċess tal-intrapriżi żgħar u ta’ daqs medju għal finanzjament, u jkompli bl-implimentazzjoni tal-proġetti ta’ privatizzazzjoni.</w:t>
      </w:r>
    </w:p>
    <w:p>
      <w:pPr>
        <w:pStyle w:val="ManualNumPar1"/>
        <w:rPr>
          <w:noProof/>
        </w:rPr>
      </w:pPr>
      <w:r>
        <w:t>5.</w:t>
      </w:r>
      <w:r>
        <w:tab/>
      </w:r>
      <w:r>
        <w:rPr>
          <w:noProof/>
        </w:rPr>
        <w:t xml:space="preserve">Iżid l-isforzi biex itejjeb l-effiċjenza tal-ġudikatura, anki permezz tat-titjib tal-funzjonament tal-qrati amministrattivi u permezz tar-reviżjoni tal-proċeduri ċivili, permezz ta’ speċjalizzazzjoni iktar b’saħħitha tal-qrati u permezz tat-twaqqif ta’ sistema ta’ ġustizzja elettronika operazzjonali. Jieħu miżuri biex isaħħaħ l-infurzar legali tat-talbiet u jieħu ħsieb li jkun hemm sistemi affidabbli u rapidi għall-ħruġ u għat-trasferiment ta’ titoli tal-proprjetà u ta’ drittijiet tal-proprjetà immobbli. Iħaffef ir-riformi kontra l-korruzzjoni, jiggarantixxi l-indipendenza tal-prosekuzzjoni u jsaħħaħ il-kapaċità tal-eżekuzzjoni tal-liġi. </w:t>
      </w:r>
    </w:p>
    <w:p>
      <w:pPr>
        <w:pStyle w:val="Fait"/>
        <w:rPr>
          <w:noProof/>
        </w:rPr>
      </w:pPr>
      <w:bookmarkStart w:id="1" w:name="_CopyToNewDocument_"/>
      <w:bookmarkEnd w:id="1"/>
      <w:r>
        <w:t>Magħmul fi Brussell,</w:t>
      </w:r>
    </w:p>
    <w:p>
      <w:pPr>
        <w:pStyle w:val="Institutionquisigne"/>
        <w:rPr>
          <w:noProof/>
        </w:rPr>
      </w:pPr>
      <w:r>
        <w:rPr>
          <w:noProof/>
        </w:rPr>
        <w:tab/>
        <w:t>Għall-Kunsill</w:t>
      </w:r>
    </w:p>
    <w:p>
      <w:pPr>
        <w:pStyle w:val="Personnequisigne"/>
        <w:rPr>
          <w:noProof/>
        </w:rPr>
      </w:pPr>
      <w:r>
        <w:rPr>
          <w:noProof/>
        </w:rPr>
        <w:tab/>
        <w:t>Il-President</w:t>
      </w:r>
    </w:p>
    <w:sectPr>
      <w:footerReference w:type="default" r:id="rId16"/>
      <w:footerReference w:type="first" r:id="rId17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</w:t>
    </w:r>
    <w:r>
      <w:fldChar w:fldCharType="end"/>
    </w:r>
    <w:r>
      <w:tab/>
    </w:r>
    <w:r>
      <w:tab/>
    </w:r>
    <w:r>
      <w:rPr>
        <w:rFonts w:ascii="Arial" w:hAnsi="Arial" w:cs="Arial"/>
        <w:b/>
        <w:sz w:val="48"/>
      </w:rPr>
      <w:t>MT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ab/>
        <w:t>ĠU L 209, 2.8.1997, p. 1.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ab/>
        <w:t>ĠU L 306, 23.11.2011, p. 25.</w:t>
      </w:r>
    </w:p>
  </w:footnote>
  <w:footnote w:id="3">
    <w:p>
      <w:pPr>
        <w:pStyle w:val="FootnoteText"/>
        <w:rPr>
          <w:rStyle w:val="FootnoteReference"/>
        </w:rPr>
      </w:pPr>
      <w:r>
        <w:rPr>
          <w:rStyle w:val="FootnoteReference"/>
        </w:rPr>
        <w:footnoteRef/>
      </w:r>
      <w:r>
        <w:rPr>
          <w:rStyle w:val="FootnoteReference"/>
        </w:rPr>
        <w:tab/>
      </w:r>
      <w:r>
        <w:t>SWD(2019) 1012 final.</w:t>
      </w:r>
    </w:p>
  </w:footnote>
  <w:footnote w:id="4">
    <w:p>
      <w:pPr>
        <w:pStyle w:val="FootnoteText"/>
        <w:rPr>
          <w:rStyle w:val="FootnoteReference"/>
        </w:rPr>
      </w:pPr>
      <w:r>
        <w:rPr>
          <w:rStyle w:val="FootnoteReference"/>
        </w:rPr>
        <w:footnoteRef/>
      </w:r>
      <w:r>
        <w:rPr>
          <w:rStyle w:val="FootnoteReference"/>
        </w:rPr>
        <w:tab/>
      </w:r>
      <w:r>
        <w:t>COM(2019) 150 final.</w:t>
      </w:r>
    </w:p>
  </w:footnote>
  <w:footnote w:id="5">
    <w:p>
      <w:pPr>
        <w:pStyle w:val="FootnoteText"/>
        <w:rPr>
          <w:rStyle w:val="FootnoteReference"/>
        </w:rPr>
      </w:pPr>
      <w:r>
        <w:rPr>
          <w:rStyle w:val="FootnoteReference"/>
        </w:rPr>
        <w:footnoteRef/>
      </w:r>
      <w:r>
        <w:rPr>
          <w:rStyle w:val="FootnoteReference"/>
        </w:rPr>
        <w:tab/>
      </w:r>
      <w:r>
        <w:t>Ir-Regolament (UE) Nru 1303/2013 tal-Parlament Ewropew u tal-Kunsill tas-17 ta’ Diċembru 2013 li jistabbilixxi dispożizzjonijiet komuni dwar il-Fond Ewropew għall-Iżvilupp Reġjonali, il-Fond Soċjali Ewropew, il-Fond ta’ Koeżjoni, il-Fond Agrikolu Ewropew għall-Iżvilupp Rurali u l-Fond Marittimu u tas-Sajd Ewropew u li jistabbilixxi d-dispożizzjonijiet ġenerali dwar il-Fond Ewropew għall-Iżvilupp Reġjonali, il-Fond Soċjali Ewropew, il-Fond ta’ Koeżjoni u l-Fond Ewropew għall-Affarijiet Marittimi u s-Sajd u li jħassar ir-Regolament tal-Kunsill (KE) Nru 1083/2006 (ĠU L 347, 20.12.2013, p. 320).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ab/>
      </w:r>
      <w:r>
        <w:t>COM(2014) 494 final.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ab/>
        <w:t>Il-bilanċ nett aġġustat b’mod ċikliku ta’ miżuri ta’ darba u temporanji, kif ikkalkulat mill-ġdid mill-Kummissjoni bl-użu tal-metodoloġija maqbula b’mod komuni.</w:t>
      </w:r>
    </w:p>
  </w:footnote>
  <w:footnote w:id="8">
    <w:p>
      <w:pPr>
        <w:pStyle w:val="FootnoteText"/>
        <w:rPr>
          <w:rStyle w:val="FootnoteReference"/>
        </w:rPr>
      </w:pPr>
      <w:r>
        <w:rPr>
          <w:rStyle w:val="FootnoteReference"/>
        </w:rPr>
        <w:footnoteRef/>
      </w:r>
      <w:r>
        <w:rPr>
          <w:rStyle w:val="FootnoteReference"/>
        </w:rPr>
        <w:tab/>
      </w:r>
      <w:r>
        <w:t>SWD(2019) 1012 final.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ab/>
        <w:t>Skont l-Artikolu 5(2) tar-Regolament (KE) Nru 1466/97.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9AE60E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EABCF77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501CC5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83584A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487C50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6A8C123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03F4FD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D5F845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2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2"/>
  </w:num>
  <w:num w:numId="15">
    <w:abstractNumId w:val="20"/>
  </w:num>
  <w:num w:numId="16">
    <w:abstractNumId w:val="11"/>
  </w:num>
  <w:num w:numId="17">
    <w:abstractNumId w:val="13"/>
  </w:num>
  <w:num w:numId="18">
    <w:abstractNumId w:val="9"/>
  </w:num>
  <w:num w:numId="19">
    <w:abstractNumId w:val="19"/>
  </w:num>
  <w:num w:numId="20">
    <w:abstractNumId w:val="8"/>
  </w:num>
  <w:num w:numId="21">
    <w:abstractNumId w:val="14"/>
  </w:num>
  <w:num w:numId="22">
    <w:abstractNumId w:val="16"/>
  </w:num>
  <w:num w:numId="23">
    <w:abstractNumId w:val="17"/>
  </w:num>
  <w:num w:numId="24">
    <w:abstractNumId w:val="10"/>
  </w:num>
  <w:num w:numId="25">
    <w:abstractNumId w:val="15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hideSpellingErrors/>
  <w:hideGrammaticalErrors/>
  <w:activeWritingStyle w:appName="MSWord" w:lang="pt-PT" w:vendorID="64" w:dllVersion="131078" w:nlCheck="1" w:checkStyle="0"/>
  <w:activeWritingStyle w:appName="MSWord" w:lang="en-GB" w:vendorID="64" w:dllVersion="131078" w:nlCheck="1" w:checkStyle="1"/>
  <w:attachedTemplate r:id="rId1"/>
  <w:revisionView w:markup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QCDateTime" w:val="2019-06-13 00:20:51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1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3B45DEB1-509E-45AA-A223-DE854A8D0731"/>
    <w:docVar w:name="LW_COVERPAGE_TYPE" w:val="1"/>
    <w:docVar w:name="LW_CROSSREFERENCE" w:val="&lt;UNUSED&gt;"/>
    <w:docVar w:name="LW_DocType" w:val="COM"/>
    <w:docVar w:name="LW_EMISSION" w:val="5.6.2019"/>
    <w:docVar w:name="LW_EMISSION_ISODATE" w:val="2019-06-05"/>
    <w:docVar w:name="LW_EMISSION_LOCATION" w:val="BRX"/>
    <w:docVar w:name="LW_EMISSION_PREFIX" w:val="Brussell, "/>
    <w:docVar w:name="LW_EMISSION_SUFFIX" w:val=" "/>
    <w:docVar w:name="LW_ID_DOCMODEL" w:val="SG-002"/>
    <w:docVar w:name="LW_ID_DOCSIGNATURE" w:val="SG-002"/>
    <w:docVar w:name="LW_ID_DOCSTRUCTURE" w:val="COM/PL/ORG"/>
    <w:docVar w:name="LW_ID_DOCTYPE" w:val="SG-002"/>
    <w:docVar w:name="LW_ID_EXP.MOTIFS.NEW" w:val="EM_PL_"/>
    <w:docVar w:name="LW_ID_STATUT" w:val="SG-002"/>
    <w:docVar w:name="LW_INTERETEEE.CP" w:val="&lt;UNUSED&gt;"/>
    <w:docVar w:name="LW_LANGUE" w:val="MT"/>
    <w:docVar w:name="LW_LEVEL_OF_SENSITIVITY" w:val="Standard treatment"/>
    <w:docVar w:name="LW_NOM.INST" w:val="IL-KUMMISSJONI EWROPEA"/>
    <w:docVar w:name="LW_NOM.INST_JOINTDOC" w:val="&lt;EMPTY&gt;"/>
    <w:docVar w:name="LW_PART_NBR" w:val="1"/>
    <w:docVar w:name="LW_PART_NBR_TOTAL" w:val="1"/>
    <w:docVar w:name="LW_REF.II.NEW.CP" w:val="&lt;UNUSED&gt;"/>
    <w:docVar w:name="LW_REF.II.NEW.CP_NUMBER" w:val="&lt;UNUSED&gt;"/>
    <w:docVar w:name="LW_REF.II.NEW.CP_YEAR" w:val="2019"/>
    <w:docVar w:name="LW_REF.INST.NEW" w:val="COM"/>
    <w:docVar w:name="LW_REF.INST.NEW_ADOPTED" w:val="final"/>
    <w:docVar w:name="LW_REF.INST.NEW_TEXT" w:val="(2019) 513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TATUT.CP" w:val="Rakkomandazzjoni g\u295?al"/>
    <w:docVar w:name="LW_SUPERTITRE" w:val="&lt;UNUSED&gt;"/>
    <w:docVar w:name="LW_TITRE.OBJ.CP" w:val="dwar il-Programm Nazzjonali ta\u8217? Riforma ta\u8217? \u266?ipru g\u295?all-2019 u li tag\u295?ti l-opinjoni tal-Kunsill dwar il-Programm ta\u8217? Stabbiltà ta\u8217? \u266?ipru g\u295?all-2019_x000b__x000b_"/>
    <w:docVar w:name="LW_TYPE.DOC.CP" w:val="RAKKOMANDAZZJONI TAL-KUNSILL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mt-M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9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9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9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9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mt-M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Dash2">
    <w:name w:val="Dash 2"/>
    <w:basedOn w:val="Normal"/>
    <w:pPr>
      <w:numPr>
        <w:numId w:val="9"/>
      </w:numPr>
      <w:spacing w:line="360" w:lineRule="auto"/>
      <w:jc w:val="left"/>
    </w:pPr>
  </w:style>
  <w:style w:type="paragraph" w:styleId="NormalWeb">
    <w:name w:val="Normal (Web)"/>
    <w:basedOn w:val="Normal"/>
    <w:uiPriority w:val="99"/>
    <w:semiHidden/>
    <w:unhideWhenUsed/>
    <w:rPr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val="mt-M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lang w:val="mt-M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13"/>
      </w:numPr>
    </w:pPr>
  </w:style>
  <w:style w:type="paragraph" w:customStyle="1" w:styleId="Tiret1">
    <w:name w:val="Tiret 1"/>
    <w:basedOn w:val="Point1"/>
    <w:pPr>
      <w:numPr>
        <w:numId w:val="14"/>
      </w:numPr>
    </w:pPr>
  </w:style>
  <w:style w:type="paragraph" w:customStyle="1" w:styleId="Tiret2">
    <w:name w:val="Tiret 2"/>
    <w:basedOn w:val="Point2"/>
    <w:pPr>
      <w:numPr>
        <w:numId w:val="15"/>
      </w:numPr>
    </w:pPr>
  </w:style>
  <w:style w:type="paragraph" w:customStyle="1" w:styleId="Tiret3">
    <w:name w:val="Tiret 3"/>
    <w:basedOn w:val="Point3"/>
    <w:pPr>
      <w:numPr>
        <w:numId w:val="16"/>
      </w:numPr>
    </w:pPr>
  </w:style>
  <w:style w:type="paragraph" w:customStyle="1" w:styleId="Tiret4">
    <w:name w:val="Tiret 4"/>
    <w:basedOn w:val="Point4"/>
    <w:pPr>
      <w:numPr>
        <w:numId w:val="17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8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8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8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8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20"/>
      </w:numPr>
    </w:pPr>
  </w:style>
  <w:style w:type="paragraph" w:customStyle="1" w:styleId="Point1number">
    <w:name w:val="Point 1 (number)"/>
    <w:basedOn w:val="Normal"/>
    <w:pPr>
      <w:numPr>
        <w:ilvl w:val="2"/>
        <w:numId w:val="20"/>
      </w:numPr>
    </w:pPr>
  </w:style>
  <w:style w:type="paragraph" w:customStyle="1" w:styleId="Point2number">
    <w:name w:val="Point 2 (number)"/>
    <w:basedOn w:val="Normal"/>
    <w:pPr>
      <w:numPr>
        <w:ilvl w:val="4"/>
        <w:numId w:val="20"/>
      </w:numPr>
    </w:pPr>
  </w:style>
  <w:style w:type="paragraph" w:customStyle="1" w:styleId="Point3number">
    <w:name w:val="Point 3 (number)"/>
    <w:basedOn w:val="Normal"/>
    <w:pPr>
      <w:numPr>
        <w:ilvl w:val="6"/>
        <w:numId w:val="20"/>
      </w:numPr>
    </w:pPr>
  </w:style>
  <w:style w:type="paragraph" w:customStyle="1" w:styleId="Point0letter">
    <w:name w:val="Point 0 (letter)"/>
    <w:basedOn w:val="Normal"/>
    <w:pPr>
      <w:numPr>
        <w:ilvl w:val="1"/>
        <w:numId w:val="20"/>
      </w:numPr>
    </w:pPr>
  </w:style>
  <w:style w:type="paragraph" w:customStyle="1" w:styleId="Point1letter">
    <w:name w:val="Point 1 (letter)"/>
    <w:basedOn w:val="Normal"/>
    <w:pPr>
      <w:numPr>
        <w:ilvl w:val="3"/>
        <w:numId w:val="20"/>
      </w:numPr>
    </w:pPr>
  </w:style>
  <w:style w:type="paragraph" w:customStyle="1" w:styleId="Point2letter">
    <w:name w:val="Point 2 (letter)"/>
    <w:basedOn w:val="Normal"/>
    <w:pPr>
      <w:numPr>
        <w:ilvl w:val="5"/>
        <w:numId w:val="20"/>
      </w:numPr>
    </w:pPr>
  </w:style>
  <w:style w:type="paragraph" w:customStyle="1" w:styleId="Point3letter">
    <w:name w:val="Point 3 (letter)"/>
    <w:basedOn w:val="Normal"/>
    <w:pPr>
      <w:numPr>
        <w:ilvl w:val="7"/>
        <w:numId w:val="20"/>
      </w:numPr>
    </w:pPr>
  </w:style>
  <w:style w:type="paragraph" w:customStyle="1" w:styleId="Point4letter">
    <w:name w:val="Point 4 (letter)"/>
    <w:basedOn w:val="Normal"/>
    <w:pPr>
      <w:numPr>
        <w:ilvl w:val="8"/>
        <w:numId w:val="20"/>
      </w:numPr>
    </w:pPr>
  </w:style>
  <w:style w:type="paragraph" w:customStyle="1" w:styleId="Bullet0">
    <w:name w:val="Bullet 0"/>
    <w:basedOn w:val="Normal"/>
    <w:pPr>
      <w:numPr>
        <w:numId w:val="21"/>
      </w:numPr>
    </w:pPr>
  </w:style>
  <w:style w:type="paragraph" w:customStyle="1" w:styleId="Bullet1">
    <w:name w:val="Bullet 1"/>
    <w:basedOn w:val="Normal"/>
    <w:pPr>
      <w:numPr>
        <w:numId w:val="22"/>
      </w:numPr>
    </w:pPr>
  </w:style>
  <w:style w:type="paragraph" w:customStyle="1" w:styleId="Bullet2">
    <w:name w:val="Bullet 2"/>
    <w:basedOn w:val="Normal"/>
    <w:pPr>
      <w:numPr>
        <w:numId w:val="23"/>
      </w:numPr>
    </w:pPr>
  </w:style>
  <w:style w:type="paragraph" w:customStyle="1" w:styleId="Bullet3">
    <w:name w:val="Bullet 3"/>
    <w:basedOn w:val="Normal"/>
    <w:pPr>
      <w:numPr>
        <w:numId w:val="24"/>
      </w:numPr>
    </w:pPr>
  </w:style>
  <w:style w:type="paragraph" w:customStyle="1" w:styleId="Bullet4">
    <w:name w:val="Bullet 4"/>
    <w:basedOn w:val="Normal"/>
    <w:pPr>
      <w:numPr>
        <w:numId w:val="25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6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mt-M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9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9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9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9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mt-M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Dash2">
    <w:name w:val="Dash 2"/>
    <w:basedOn w:val="Normal"/>
    <w:pPr>
      <w:numPr>
        <w:numId w:val="9"/>
      </w:numPr>
      <w:spacing w:line="360" w:lineRule="auto"/>
      <w:jc w:val="left"/>
    </w:pPr>
  </w:style>
  <w:style w:type="paragraph" w:styleId="NormalWeb">
    <w:name w:val="Normal (Web)"/>
    <w:basedOn w:val="Normal"/>
    <w:uiPriority w:val="99"/>
    <w:semiHidden/>
    <w:unhideWhenUsed/>
    <w:rPr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val="mt-M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lang w:val="mt-M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13"/>
      </w:numPr>
    </w:pPr>
  </w:style>
  <w:style w:type="paragraph" w:customStyle="1" w:styleId="Tiret1">
    <w:name w:val="Tiret 1"/>
    <w:basedOn w:val="Point1"/>
    <w:pPr>
      <w:numPr>
        <w:numId w:val="14"/>
      </w:numPr>
    </w:pPr>
  </w:style>
  <w:style w:type="paragraph" w:customStyle="1" w:styleId="Tiret2">
    <w:name w:val="Tiret 2"/>
    <w:basedOn w:val="Point2"/>
    <w:pPr>
      <w:numPr>
        <w:numId w:val="15"/>
      </w:numPr>
    </w:pPr>
  </w:style>
  <w:style w:type="paragraph" w:customStyle="1" w:styleId="Tiret3">
    <w:name w:val="Tiret 3"/>
    <w:basedOn w:val="Point3"/>
    <w:pPr>
      <w:numPr>
        <w:numId w:val="16"/>
      </w:numPr>
    </w:pPr>
  </w:style>
  <w:style w:type="paragraph" w:customStyle="1" w:styleId="Tiret4">
    <w:name w:val="Tiret 4"/>
    <w:basedOn w:val="Point4"/>
    <w:pPr>
      <w:numPr>
        <w:numId w:val="17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8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8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8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8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20"/>
      </w:numPr>
    </w:pPr>
  </w:style>
  <w:style w:type="paragraph" w:customStyle="1" w:styleId="Point1number">
    <w:name w:val="Point 1 (number)"/>
    <w:basedOn w:val="Normal"/>
    <w:pPr>
      <w:numPr>
        <w:ilvl w:val="2"/>
        <w:numId w:val="20"/>
      </w:numPr>
    </w:pPr>
  </w:style>
  <w:style w:type="paragraph" w:customStyle="1" w:styleId="Point2number">
    <w:name w:val="Point 2 (number)"/>
    <w:basedOn w:val="Normal"/>
    <w:pPr>
      <w:numPr>
        <w:ilvl w:val="4"/>
        <w:numId w:val="20"/>
      </w:numPr>
    </w:pPr>
  </w:style>
  <w:style w:type="paragraph" w:customStyle="1" w:styleId="Point3number">
    <w:name w:val="Point 3 (number)"/>
    <w:basedOn w:val="Normal"/>
    <w:pPr>
      <w:numPr>
        <w:ilvl w:val="6"/>
        <w:numId w:val="20"/>
      </w:numPr>
    </w:pPr>
  </w:style>
  <w:style w:type="paragraph" w:customStyle="1" w:styleId="Point0letter">
    <w:name w:val="Point 0 (letter)"/>
    <w:basedOn w:val="Normal"/>
    <w:pPr>
      <w:numPr>
        <w:ilvl w:val="1"/>
        <w:numId w:val="20"/>
      </w:numPr>
    </w:pPr>
  </w:style>
  <w:style w:type="paragraph" w:customStyle="1" w:styleId="Point1letter">
    <w:name w:val="Point 1 (letter)"/>
    <w:basedOn w:val="Normal"/>
    <w:pPr>
      <w:numPr>
        <w:ilvl w:val="3"/>
        <w:numId w:val="20"/>
      </w:numPr>
    </w:pPr>
  </w:style>
  <w:style w:type="paragraph" w:customStyle="1" w:styleId="Point2letter">
    <w:name w:val="Point 2 (letter)"/>
    <w:basedOn w:val="Normal"/>
    <w:pPr>
      <w:numPr>
        <w:ilvl w:val="5"/>
        <w:numId w:val="20"/>
      </w:numPr>
    </w:pPr>
  </w:style>
  <w:style w:type="paragraph" w:customStyle="1" w:styleId="Point3letter">
    <w:name w:val="Point 3 (letter)"/>
    <w:basedOn w:val="Normal"/>
    <w:pPr>
      <w:numPr>
        <w:ilvl w:val="7"/>
        <w:numId w:val="20"/>
      </w:numPr>
    </w:pPr>
  </w:style>
  <w:style w:type="paragraph" w:customStyle="1" w:styleId="Point4letter">
    <w:name w:val="Point 4 (letter)"/>
    <w:basedOn w:val="Normal"/>
    <w:pPr>
      <w:numPr>
        <w:ilvl w:val="8"/>
        <w:numId w:val="20"/>
      </w:numPr>
    </w:pPr>
  </w:style>
  <w:style w:type="paragraph" w:customStyle="1" w:styleId="Bullet0">
    <w:name w:val="Bullet 0"/>
    <w:basedOn w:val="Normal"/>
    <w:pPr>
      <w:numPr>
        <w:numId w:val="21"/>
      </w:numPr>
    </w:pPr>
  </w:style>
  <w:style w:type="paragraph" w:customStyle="1" w:styleId="Bullet1">
    <w:name w:val="Bullet 1"/>
    <w:basedOn w:val="Normal"/>
    <w:pPr>
      <w:numPr>
        <w:numId w:val="22"/>
      </w:numPr>
    </w:pPr>
  </w:style>
  <w:style w:type="paragraph" w:customStyle="1" w:styleId="Bullet2">
    <w:name w:val="Bullet 2"/>
    <w:basedOn w:val="Normal"/>
    <w:pPr>
      <w:numPr>
        <w:numId w:val="23"/>
      </w:numPr>
    </w:pPr>
  </w:style>
  <w:style w:type="paragraph" w:customStyle="1" w:styleId="Bullet3">
    <w:name w:val="Bullet 3"/>
    <w:basedOn w:val="Normal"/>
    <w:pPr>
      <w:numPr>
        <w:numId w:val="24"/>
      </w:numPr>
    </w:pPr>
  </w:style>
  <w:style w:type="paragraph" w:customStyle="1" w:styleId="Bullet4">
    <w:name w:val="Bullet 4"/>
    <w:basedOn w:val="Normal"/>
    <w:pPr>
      <w:numPr>
        <w:numId w:val="25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6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244959-877F-441D-B9A1-8F51B2B7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2</TotalTime>
  <Pages>9</Pages>
  <Words>3319</Words>
  <Characters>24830</Characters>
  <Application>Microsoft Office Word</Application>
  <DocSecurity>0</DocSecurity>
  <Lines>359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cp:lastPrinted>2019-05-29T16:18:00Z</cp:lastPrinted>
  <dcterms:created xsi:type="dcterms:W3CDTF">2019-06-12T09:02:00Z</dcterms:created>
  <dcterms:modified xsi:type="dcterms:W3CDTF">2019-06-12T22:20:00Z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6.0.100.0</vt:lpwstr>
  </property>
  <property fmtid="{D5CDD505-2E9C-101B-9397-08002B2CF9AE}" pid="4" name="Last edited using">
    <vt:lpwstr>LW 6.0.1, Build 20180503</vt:lpwstr>
  </property>
  <property fmtid="{D5CDD505-2E9C-101B-9397-08002B2CF9AE}" pid="5" name="Created using">
    <vt:lpwstr>LW 6.0.1, Build 20180503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SG-002</vt:lpwstr>
  </property>
  <property fmtid="{D5CDD505-2E9C-101B-9397-08002B2CF9AE}" pid="10" name="DQCStatus">
    <vt:lpwstr>Green (DQC version 03)</vt:lpwstr>
  </property>
  <property name="OP_sanitized" fmtid="{D5CDD505-2E9C-101B-9397-08002B2CF9AE}" pid="11">
    <vt:lpwstr>True</vt:lpwstr>
  </property>
</Properties>
</file>