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41DB80D6-3897-4C6E-85D0-FF31B2A54F1C" style="width:450.8pt;height:365.65pt">
            <v:imagedata r:id="rId13" o:title=""/>
          </v:shape>
        </w:pict>
      </w:r>
    </w:p>
    <w:p>
      <w:pPr>
        <w:rPr>
          <w:noProof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Raġunijiet u objettivi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Fid-29 ta’ Marzu 2017, ir-Renju Unit ressaq in-notifika tal-intenzjoni tiegħu li joħroġ mill-Unjoni skont l-Artikolu 50 tat-Trattat dwar l-Unjoni Ewropea. Dan ifisser li, jekk ma jiġix irratifikat il-Ftehim dwar il-Ħruġ</w:t>
      </w:r>
      <w:r>
        <w:rPr>
          <w:rStyle w:val="FootnoteReference"/>
          <w:noProof/>
        </w:rPr>
        <w:footnoteReference w:id="1"/>
      </w:r>
      <w:r>
        <w:rPr>
          <w:noProof/>
        </w:rPr>
        <w:t>, il-leġiżlazzjoni primarja u sekondarja tal-Unjoni ma jibqgħux japplikaw għar-Renju Unit mit-30 ta’ Marzu 2019 (“id-data tal-ħruġ”). Ir-Renju Unit imbagħad isir pajjiż terz.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Il-Komunikazzjoni tal-Kummissjoni dwar it-“Tħejjija għall-ħruġ tar-Renju Unit mill-Unjoni Ewropea fit-30 ta’ Marzu 2019: Pjan ta’ Azzjoni ta’ Kontinġenza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, jistipula li </w:t>
      </w:r>
      <w:r>
        <w:rPr>
          <w:noProof/>
          <w:color w:val="1F497D"/>
        </w:rPr>
        <w:t>“</w:t>
      </w:r>
      <w:r>
        <w:rPr>
          <w:noProof/>
        </w:rPr>
        <w:t>L-Kummissjoni hija impenjata wkoll biex tiżgura l-kontinwazzjoni tal-programmi attwali PEACE u INTERREG bejn il-kontej tal-fruntiera tal-Irlanda u l-Irlanda ta’ Fuq, li magħhom ir-Renju Unit huwa sieħeb</w:t>
      </w:r>
      <w:r>
        <w:rPr>
          <w:noProof/>
          <w:color w:val="1F497D"/>
        </w:rPr>
        <w:t>”.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Il-Kunsill Ewropew (l-Artikolu 50) tenna l-appell tiegħu, fit-13 ta’ Diċembru 2018, biex tiġi intensifikata l-ħidma fit-tħejjija, fil-livelli kollha, għall-konsegwenzi tal-ħruġ tar-Renju Unit, filwaqt li jitqiesu l-eżiti possibbli kollha. Dan l-att huwa parti minn pakkett ta’ miżuri li l-Kummissjoni qed tadotta bi tweġiba għal din is-sejħa.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il-proposta għandha l-għan li tiżgura t-tkomplija ta’ żewġ programmi ta’ kooperazzjoni bilaterali li jinvolvu lill-Irlanda jiġifieri l-programm PEACE IV (l-Irlanda - ir-Renju Unit) u l-programm għar-Renju Unit - l-Irlanda (l-Irlanda - l-Irlanda ta’ Fuq - l-Iskozja).</w:t>
      </w:r>
    </w:p>
    <w:p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mad-dispożizzjonijiet eżistenti fil-qasam ta’ politika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L-għan ta’ din il-proposta huwa li jitkomplew il-programmi eżistenti.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ma’ politiki oħra tal-Unjoni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il-proposta hija konsistenti għalkollox mal-mandat tal-Kunsill għan-negozjati mar-Renju Unit dwar il-ħruġ tiegħu mill-Unjoni</w:t>
      </w:r>
      <w:r>
        <w:rPr>
          <w:rStyle w:val="FootnoteReference"/>
          <w:noProof/>
        </w:rPr>
        <w:footnoteReference w:id="3"/>
      </w:r>
      <w:r>
        <w:rPr>
          <w:noProof/>
        </w:rPr>
        <w:t>.</w:t>
      </w:r>
      <w:r>
        <w:rPr>
          <w:rStyle w:val="CommentReference"/>
          <w:rFonts w:asciiTheme="minorHAnsi" w:hAnsiTheme="minorHAnsi" w:cstheme="minorBidi"/>
          <w:noProof/>
        </w:rPr>
        <w:t xml:space="preserve"> 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BAŻI ĠURIDIKA, SUSSIDJARJETÀ U PROPORZJONALITÀ</w:t>
      </w:r>
    </w:p>
    <w:p>
      <w:pPr>
        <w:pStyle w:val="ManualHeading2"/>
        <w:rPr>
          <w:rFonts w:eastAsia="Arial Unicode MS"/>
          <w:noProof/>
          <w:u w:color="000000"/>
          <w:bdr w:val="nil"/>
          <w:lang w:eastAsia="en-GB"/>
        </w:rPr>
      </w:pPr>
      <w:r>
        <w:rPr>
          <w:rFonts w:eastAsia="Arial Unicode MS"/>
          <w:noProof/>
          <w:u w:color="000000"/>
          <w:bdr w:val="nil"/>
          <w:lang w:eastAsia="en-GB"/>
        </w:rPr>
        <w:t>•</w:t>
      </w:r>
      <w:r>
        <w:rPr>
          <w:rFonts w:eastAsia="Arial Unicode MS"/>
          <w:noProof/>
          <w:u w:color="000000"/>
          <w:bdr w:val="nil"/>
          <w:lang w:eastAsia="en-GB"/>
        </w:rPr>
        <w:tab/>
        <w:t>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  <w:szCs w:val="24"/>
        </w:rPr>
        <w:t>L-Artikolu 178 TFUE</w:t>
      </w:r>
      <w:r>
        <w:rPr>
          <w:noProof/>
        </w:rPr>
        <w:t xml:space="preserve"> </w:t>
      </w:r>
    </w:p>
    <w:p>
      <w:pPr>
        <w:pStyle w:val="ManualHeading2"/>
        <w:rPr>
          <w:rFonts w:eastAsia="Arial Unicode MS"/>
          <w:noProof/>
          <w:u w:color="000000"/>
          <w:bdr w:val="nil"/>
          <w:lang w:eastAsia="en-GB"/>
        </w:rPr>
      </w:pPr>
      <w:r>
        <w:rPr>
          <w:rFonts w:eastAsia="Arial Unicode MS"/>
          <w:noProof/>
          <w:u w:color="000000"/>
          <w:bdr w:val="nil"/>
          <w:lang w:eastAsia="en-GB"/>
        </w:rPr>
        <w:t>•</w:t>
      </w:r>
      <w:r>
        <w:rPr>
          <w:rFonts w:eastAsia="Arial Unicode MS"/>
          <w:noProof/>
          <w:u w:color="000000"/>
          <w:bdr w:val="nil"/>
          <w:lang w:eastAsia="en-GB"/>
        </w:rPr>
        <w:tab/>
        <w:t xml:space="preserve">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Peress li l-att propost għandu l-għan li jiżgura l-kontinwazzjoni ta’ żewġ programmi ta’ kooperazzjoni li huma rregolati bir-Regolament (UE) Nru 1299/2013, il-konformità mal-prinċipju tas-sussidjarjetà ta’ dawn il-programmi diġà ġiet eżaminata fil-ħin tal-adozzjoni ta’ din tal-aħħar.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lastRenderedPageBreak/>
        <w:t>•</w:t>
      </w:r>
      <w:r>
        <w:rPr>
          <w:noProof/>
        </w:rPr>
        <w:tab/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Il-proposta hija meqjusa bħala proporzjonata peress li tipprevedi l-bidla legali meħtieġa u fl-istess ħin ma tmurx lil hinn minn dak li hu meħtieġ sabiex iż-żewġ programmi ta’ kooperazzjoni bejn it-Tramuntana u n-Nofsinhar, li jinvolvu t-territorju tal-Irlanda ta’ Fuq, ikomplu b’mod ordnat.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Għażla tal-istrument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Peress li l-att ikompli jibni fuq ir-Regolament (UE) Nru 1299/2013, il-proposta ta’ regolament hija l-uniku forma xierqa.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Minħabba l-fatt li dan ir-Regolament, li għandu jidħol fis-seħħ fil-jum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 xml:space="preserve">, se japplika biss jekk ftehim ta’ ħruġ konkluż mar-Renju Unit, f’konformità mal-Artikolu 50(2) tat-Trattat dwar l-Unjoni Ewropea, ma jkunx daħal fis-seħħ sad-data meta t-Trattati ma jibqgħux japplikaw għar-Renju Unit u fih, l-att </w:t>
      </w:r>
      <w:r>
        <w:rPr>
          <w:i/>
          <w:noProof/>
        </w:rPr>
        <w:t>ad hoc</w:t>
      </w:r>
      <w:r>
        <w:rPr>
          <w:noProof/>
        </w:rPr>
        <w:t xml:space="preserve"> propost huwa aktar xieraq milli Regolament fil-forma ta’ att emendatorju.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>RIŻULTATI TAL-EVALWAZZJONIJIET EX POST, TAL-KONSULTAZZJONIJIET MAL-PARTIJIET IKKONĊERNATI U TAL-VALUTAZZJONIJIET TAL-IMPATT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Konsultazzjonijiet mal-partijiet ikkonċernati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Minħabba l-urġenza għat-tħejjija tal-proposta sabiex tkun tista’ tiġi adottata mill-koleġislaturi fil-ħin, ma setgħetx issir konsultazzjoni mal-partijiet ikkonċernati.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Valutazzjoni tal-impatt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  <w:color w:val="000000" w:themeColor="text1"/>
        </w:rPr>
        <w:t xml:space="preserve">Minħabba n-natura tal-miżura proposta, ma tħejjietx valutazzjoni tal-impatt, f’konformità mal-Linji Gwida dwar Regolamentazzjoni Aħjar. Ma hemmx disponibbli għażliet ta’ politika oħra materjalment differenti. Il-miżura prevista tirrappreżenta l-unika għażla ta’ politika vijabbli sabiex tkun żgurata </w:t>
      </w:r>
      <w:r>
        <w:rPr>
          <w:noProof/>
        </w:rPr>
        <w:t>t-tkomplija ta’ żewġ programmi ta’ kooperazzjoni bilaterali li jinvolvu lill-Irlanda, jiġifieri l-programm PEACE IV (l-Irlanda - ir-Renju Unit) u l-programm għar-Renju Unit - l-Irlanda (l-Irlanda - l-Irlanda ta’ Fuq - l-Iskozja), wara l-ħruġ tar-Renju Unit mill-Unjoni</w:t>
      </w:r>
      <w:r>
        <w:rPr>
          <w:noProof/>
          <w:color w:val="000000" w:themeColor="text1"/>
        </w:rPr>
        <w:t>.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IMPLIKAZZJONIJIET GĦALL-BAĠIT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color w:val="000000" w:themeColor="text1"/>
        </w:rPr>
      </w:pPr>
      <w:r>
        <w:rPr>
          <w:noProof/>
          <w:color w:val="000000" w:themeColor="text1"/>
        </w:rPr>
        <w:t>Din il-proposta għandha l-għan li tiżgura, jekk ma jiġix irratifikat il-Ftehim ta’ Ħruġ, it-tkomplija ta’</w:t>
      </w:r>
      <w:r>
        <w:rPr>
          <w:noProof/>
        </w:rPr>
        <w:t xml:space="preserve"> żewġ programmi ta’ kooperazzjoni bilaterali li jinvolvu lill-Irlanda jiġifieri l-programm PEACE IV (l-Irlanda - ir-Renju Unit) u l-programm għar-Renju Unit - l-Irlanda (l-Irlanda - l-Irlanda ta’ Fuq - l-Iskozja),</w:t>
      </w:r>
      <w:r>
        <w:rPr>
          <w:noProof/>
          <w:color w:val="000000" w:themeColor="text1"/>
        </w:rPr>
        <w:t xml:space="preserve"> mingħajr ma jinbidlu l-ammonti allokati għalihom u l-finanzjament tagħhom. Iż-żewġ programmi se jkomplu jiġu ffinanzjati mill-baġit tal-Unjoni. Il-possibilità li jitwettqu l-kontrolli u l-awditi meħtieġa fir-reġjuni parteċipanti kollha għad trid tiġi kkonfermata permezz ta’ ftehim bejn il-Kummissjoni u l-awtoritajiet tar-Renju Unit, u dan se jikkostitwixxu kundizzjoni għall-finanzjament. </w:t>
      </w:r>
    </w:p>
    <w:p>
      <w:pPr>
        <w:rPr>
          <w:noProof/>
        </w:rPr>
        <w:sectPr>
          <w:footerReference w:type="default" r:id="rId20"/>
          <w:footerReference w:type="first" r:id="rId2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2018/0432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REGOLAMENT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>sabiex ikunu jistgħu jitkomplew il-programmi għall-kooperazzjoni territorjali PEACE IV (l-Irlanda - ir-Renju Unit) u għar-Renju Unit - l-Irlanda (l-Irlanda - l-Irlanda ta’ Fuq - l-Iskozja) fil-kuntest tal-ħruġ tar-Renju Unit mill-Unjoni Ewropea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t-Trattat dwar il-Funzjonament tal-Unjoni Ewropea, u b’mod partikolari l-Artikolu 178 tiegħu,</w:t>
      </w:r>
    </w:p>
    <w:p>
      <w:pPr>
        <w:rPr>
          <w:noProof/>
          <w:szCs w:val="24"/>
        </w:rPr>
      </w:pPr>
      <w:r>
        <w:rPr>
          <w:noProof/>
        </w:rPr>
        <w:t xml:space="preserve">Wara li kkunsidraw il-proposta mill-Kummissjoni Ewropea, </w:t>
      </w:r>
    </w:p>
    <w:p>
      <w:pPr>
        <w:rPr>
          <w:noProof/>
        </w:rPr>
      </w:pPr>
      <w:r>
        <w:rPr>
          <w:noProof/>
        </w:rPr>
        <w:t>Wara li l-abbozz tal-att leġiżlattiv intbagħat lill-parlamenti nazzjonali,</w:t>
      </w:r>
    </w:p>
    <w:p>
      <w:pPr>
        <w:rPr>
          <w:noProof/>
        </w:rPr>
      </w:pPr>
      <w:r>
        <w:rPr>
          <w:noProof/>
        </w:rPr>
        <w:t>Wara li kkunsidraw l-opinjoni tal-Kumitat Ekonomiku u Soċjali Ewropew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Wara li kkunsidraw l-opinjoni tal-Kumitat tar-Reġjuni</w:t>
      </w:r>
      <w:r>
        <w:rPr>
          <w:rStyle w:val="FootnoteReference"/>
          <w:noProof/>
        </w:rPr>
        <w:footnoteReference w:id="5"/>
      </w:r>
      <w:r>
        <w:rPr>
          <w:noProof/>
        </w:rPr>
        <w:t>,</w:t>
      </w:r>
    </w:p>
    <w:p>
      <w:pPr>
        <w:rPr>
          <w:noProof/>
        </w:rPr>
      </w:pPr>
      <w:r>
        <w:rPr>
          <w:noProof/>
        </w:rPr>
        <w:t>Filwaqt li jaġixxu skont il-proċedura leġislattiva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  <w:sz w:val="23"/>
        </w:rPr>
        <w:t xml:space="preserve">Fid-29 ta’ Marzu 2017, ir-Renju Unit </w:t>
      </w:r>
      <w:r>
        <w:rPr>
          <w:noProof/>
        </w:rPr>
        <w:t>ippreżenta n-notifika bl-intenzjoni tiegħu li joħroġ mill-Unjoni skont l-Artikolu 50 tat-Trattat dwar l-Unjoni Ewropea. It-Trattati ma jibqgħux japplikaw għar-Renju Unit mid-data tad-dħul fis-seħħ tal-ftehim dwar il-ħruġ jew, fin-nuqqas ta’ dan, sentejn wara n-notifika, jiġifieri mit-30 ta’ Marzu 2019, dment li l-Kunsill Ewropew, bi ftehim mar-Renju Unit, ma jiddeċidix b’mod unanimu li jestendi dan il-perjodu.</w:t>
      </w:r>
      <w:r>
        <w:rPr>
          <w:noProof/>
          <w:sz w:val="23"/>
        </w:rPr>
        <w:t xml:space="preserve"> 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 xml:space="preserve">Il-ħruġ se jseħħ waqt il-perjodu ta’ programmar tal-2014-2020, li matulu r-Renju Unit qed jipparteċipa fi ħmistax-il programm permezz tal-għan tal-kooperazzjoni territorjali Ewropea (“il-programmi ta’ kooperazzjoni”). Tnejn minn dawk iż-żewġ programmi huma programmi li jinvolvu lill-Irlanda ta’ Fuq u jappoġġaw il-paċi u r-rikonċiljazzjoni kif ukoll il-kooperazzjoni bejn it-Tramuntana u n-Nofsinhar permezz tal-“Ftehim tal-Ġimgħa l-Kbira” li l-Unjoni għandha l-intenzjoni li tkompli bih anki jekk ir-Renju Unit joħroġ mill-Unjoni mingħajr ftehim dwar il-ħruġ li jkun daħal fis-seħħ fid-data li fiha t-Trattati ma jibqgħux japplikaw għar-Renju Unit u fih, skont l-Artikolu 50(3) tat-Trattat dwar l-Unjoni Ewropea. Għaldaqstant, dan ir-Regolament jenħtieġ li jkun limitat għal dawn iż-żewġ programmi ta’ kooperazzjoni. 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Iż-żewġ programmi ta’ kooperazzjoni kkonċernati huma b’mod partikolari rregolati mir-Regolament (UE) Nru 1299/2013 tal-Parlament Ewropew u tal-Kunsill</w:t>
      </w:r>
      <w:r>
        <w:rPr>
          <w:rStyle w:val="FootnoteReference"/>
          <w:noProof/>
        </w:rPr>
        <w:footnoteReference w:id="6"/>
      </w:r>
      <w:r>
        <w:rPr>
          <w:noProof/>
        </w:rPr>
        <w:t>, ir-</w:t>
      </w:r>
      <w:r>
        <w:rPr>
          <w:noProof/>
        </w:rPr>
        <w:lastRenderedPageBreak/>
        <w:t>Regolament (UE) Nru 1303/2013 tal-Parlament Ewropew u tal-Kunsill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u r-Regolament (UE, Euratom) 2018/1046 tal-Parlament Ewropew u tal-Kunsill</w:t>
      </w:r>
      <w:r>
        <w:rPr>
          <w:rStyle w:val="FootnoteReference"/>
          <w:noProof/>
        </w:rPr>
        <w:footnoteReference w:id="8"/>
      </w:r>
      <w:r>
        <w:rPr>
          <w:noProof/>
        </w:rPr>
        <w:t>. Dan ir-Regolament jenħtieġ li jistabbilixxi d-dispożizzjonijiet sabiex ikunu jistgħu jitkomplew dawn iż-żewġ programmi ta’ kooperazzjoni wara l-ħruġ tar-Renju Unit mill-Unjoni skont ir-Regolamenti msemmija.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 xml:space="preserve">Fir-rigward tal-programmi ta’ kooperazzjoni bilaterali PEACE IV (l-Irlanda - ir-Renju Unit) u għar-Renju Unit - l-Irlanda (l-Irlanda - l-Irlanda ta’ Fuq - l-Iskozja), l-awtorità ta’ ġestjoni tinsab fil-Korp għall-Programmi Speċjali tal-UE (“SEUPB”, Special EU Programmes Body) mwaqqaf skont “il-Ftehim bejn il-Gvern tal-Irlanda u l-Gvern tar-Renju Unit tal-Gran Brittanja u l-Irlanda ta’ Fuq li jistabbilixxi l-Korpi għall-Implimentazzjoni”, iffirmat fit-8 ta’ Marzu 1999 (il-Ftehim Brittaniku Irlandiż tat-8 ta’ Marzu 1999). Peress li dawn iż-żewġ programmi ta’ kooperazzjoni jinvolvi l-Irlanda ta’ Fuq, dawn jenħtieġ li jkomplu bid-dispożizzjonijieti kumplimentari neċessarji.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 xml:space="preserve">Għall-finijiet tal-kontinwazzjoni ta’ dawn il-programmi, jenħtieġ li jiġi ċċarat li, mingħajr preġudizzju għall-Artikolu 20(2) u (3) tar-Regolament (UE) Nru 1299/2013, il-programmi ta’ kooperazzjoni kkonċernati jistgħu jkopru reġjuni parteċipanti fir-Renju Unit, li jenħtieġ li jkunu ekwivalenti għal reġjuni tal-livell 3 ta’ NUTS.  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 xml:space="preserve">Għall-finijiet ta’ kontinwazzjoni ta’ dawn il-programmi b’finanzjament mill-baġit ġenerali tal-UE, jenħtieġ li jiġi konkluż ftehim amministrattiv, b’effett mid-data li fiha t-Trattati ma jibqgħux japplikaw għar-Renju Unit u fih, bejn il-Kummissjoni u l-awtoritajiet tar-Renju Unit li jippermettu l-kontrolli u l-awditi tal-programmi rispettivi. Jekk il-kontrolli u l-awditi meħtieġa ma jkunux jistgħu jitwettqu, il-Kummissjoni jenħtieġ li jkollha l-possibbiltà li tinterrompi l-iskadenzi tal-pagamenti, tissospendi l-pagamenti u tapplika korrezzjonijiet finanzjarji kif stabbiliti fl-Artikoli 83, 142, 144 u 145 tar-Regolament (UE) Nru 1303/2013. 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 xml:space="preserve">F’konformità mal-Artikolu 76 tar-Regolament (UE) Nru 1303/2013, id-deċiżjonijiet tal-Kummissjoni li japprovaw il-programm PEACE IV (l-Irlanda - ir-Renju Unit) C(2015) 8564 tat-30 ta’ Novembru 2015, kif emendat bid-Deċiżjoni C (2018) 5126 tas-26 ta’ Lulju 2018, u l-programm Interreg VA C(2015) 890 tat-12 ta’ Frar 2015, kif emendat b’C(2016) 1547 tal-10 ta’ Marzu 2016, se jkomplu jikkostitwixxu deċiżjoni ta’ finanzjament skont it-tifsira tar-Regolament Finanzjarju u għaldaqstant impenn legali skont it-tifsira ta’ dan ir-Regolament. Ir-Renju Unit jibqa’ suġġett għall-obbligi finanzjarji li ħa bħala Stat Membru, li huma marbutin ma’ dawn l-impenji legali tal-Unjoni.  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Ir-Renju Unit mhux se jibqa’, mid-data li fiha t-Trattati ma jibqgħux japplikaw, parti mill-“parti taż-żona tal-programm marbuta mal-Unjoni” skont it-tifsira ta’ l-Artikolu 20(1) tar-Regolament (UE) Nru 1299/2013. Għaldaqstant, id-dispożizzjonijiet dwar l-eliġibbiltà tal-operazzjonijiet skont il-lokalità jenħtieġ li jiġu adattati.</w:t>
      </w:r>
    </w:p>
    <w:p>
      <w:pPr>
        <w:pStyle w:val="ManualConsidrant"/>
        <w:rPr>
          <w:noProof/>
        </w:rPr>
      </w:pPr>
      <w:r>
        <w:lastRenderedPageBreak/>
        <w:t>(9)</w:t>
      </w:r>
      <w:r>
        <w:tab/>
      </w:r>
      <w:r>
        <w:rPr>
          <w:noProof/>
        </w:rPr>
        <w:t>Sabiex tiġi żgurata l-applikazzjoni immedjata tal-miżuri previsti f’dan ir-Regolament, dan ir-Regolament jenħtieġ li jidħol fis-seħħ fil-jum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 Dan ir-Regolament jenħtieġ li japplika biss f’sitwazzjoni fejn l-ebda ftehim ta’ ħruġ, ma jiġi konkluż mar-Renju Unit f’konformità mal-Artikolu 50(2) tat-Trattat dwar l-Unjoni Ewropea, ma jkun daħal fis-seħħ sad-data li fiha t-Trattati ma jibqgħux japplikaw għar-Renju Unit u fih, skont l-Artikolu 50(3) tat-Trattat dwar l-Unjoni Ewropea,</w:t>
      </w:r>
    </w:p>
    <w:p>
      <w:pPr>
        <w:pStyle w:val="Formuledadoption"/>
        <w:rPr>
          <w:noProof/>
        </w:rPr>
      </w:pPr>
      <w:r>
        <w:rPr>
          <w:noProof/>
        </w:rPr>
        <w:t>ADOTTAW DAN IR-REGOLAMENT:</w:t>
      </w:r>
    </w:p>
    <w:p>
      <w:pPr>
        <w:pStyle w:val="Titrearticle"/>
        <w:rPr>
          <w:noProof/>
        </w:rPr>
      </w:pPr>
      <w:r>
        <w:rPr>
          <w:noProof/>
        </w:rPr>
        <w:t>Artikolu 1</w:t>
      </w:r>
      <w:r>
        <w:rPr>
          <w:noProof/>
        </w:rPr>
        <w:br/>
      </w:r>
      <w:r>
        <w:rPr>
          <w:b/>
          <w:noProof/>
        </w:rPr>
        <w:t>Suġġett u kamp ta’ applikazzjoni</w:t>
      </w:r>
    </w:p>
    <w:p>
      <w:pPr>
        <w:rPr>
          <w:noProof/>
        </w:rPr>
      </w:pPr>
      <w:r>
        <w:rPr>
          <w:noProof/>
        </w:rPr>
        <w:t xml:space="preserve">Dan ir-Regolament jistabbilixxi dispożizzjonijiet biex jiġu indirizzati l-konsegwenzi tal-ħruġ tar-Renju Unit mill-Unjoni f’sitwazzjoni fejn ma jiġi konkluż l-ebda ftehim ta’ ħruġ mar-Renju Unit, f’konformità mal-Artikolu 50(2) tat-Trattat dwar l-Unjoni Ewropea, li jidħol fis-seħħ fid-data li fiha t-Trattati ma jibqgħux japplikaw għar-Renju Unit u fih, skont l-Artikolu 50(3) tat-Trattat dwar l-Unjoni Ewropea, kif ukoll fir-rigward tat-tkomplija ta’ dawn iż-żewġ programmi ta’ kooperazzjoni koperti mir-Regolament (UE) Nru 1299/2013 (“il-programmi ta’ kooperazzjoni”) bil-parteċipazzjoni tar-Renju Unit (“il-programmi ta’ kooperazzjoni”): </w:t>
      </w:r>
    </w:p>
    <w:p>
      <w:pPr>
        <w:pStyle w:val="Point0number"/>
        <w:numPr>
          <w:ilvl w:val="0"/>
          <w:numId w:val="15"/>
        </w:numPr>
        <w:rPr>
          <w:noProof/>
        </w:rPr>
      </w:pPr>
      <w:r>
        <w:rPr>
          <w:noProof/>
        </w:rPr>
        <w:t xml:space="preserve">PEACE IV (l-Irlanda - ir-Renju Unit); </w:t>
      </w:r>
    </w:p>
    <w:p>
      <w:pPr>
        <w:pStyle w:val="Point0number"/>
        <w:rPr>
          <w:noProof/>
        </w:rPr>
      </w:pPr>
      <w:r>
        <w:rPr>
          <w:noProof/>
        </w:rPr>
        <w:t>għar-Renju Unit - l-Irlanda (l-Irlanda- l-Irlanda ta’ Fuq - l-Iskozja).</w:t>
      </w:r>
    </w:p>
    <w:p>
      <w:pPr>
        <w:rPr>
          <w:noProof/>
        </w:rPr>
      </w:pPr>
      <w:r>
        <w:rPr>
          <w:noProof/>
        </w:rPr>
        <w:t xml:space="preserve">Ir-Regolament (UE) Nru 1299/2013 għandu jkompli japplika għall-programmi ta’ kooperazzjoni suġġetti għad-dispożizzjonijiet ta’ dan ir-Regolament. </w:t>
      </w:r>
    </w:p>
    <w:p>
      <w:pPr>
        <w:pStyle w:val="Titrearticle"/>
        <w:ind w:left="1080"/>
        <w:rPr>
          <w:noProof/>
        </w:rPr>
      </w:pPr>
      <w:r>
        <w:rPr>
          <w:noProof/>
        </w:rPr>
        <w:t xml:space="preserve">Artikolu 2 </w:t>
      </w:r>
      <w:r>
        <w:rPr>
          <w:noProof/>
        </w:rPr>
        <w:br/>
      </w:r>
      <w:r>
        <w:rPr>
          <w:b/>
          <w:noProof/>
        </w:rPr>
        <w:t>Kopertura ġeografika</w:t>
      </w:r>
    </w:p>
    <w:p>
      <w:pPr>
        <w:rPr>
          <w:noProof/>
        </w:rPr>
      </w:pPr>
      <w:r>
        <w:rPr>
          <w:noProof/>
        </w:rPr>
        <w:t>Mingħajr preġudizzju għall-Artikolu 20(2) u (3) tar-Regolament (UE) Nru 1299/2013, il-programmi ta’ kooperazzjoni jistgħu jkopru reġjuni parteċipanti fir-Renju Unit, li għandhom jkunu ekwivalenti għar-reġjuni tal-livell NUTS 3.</w:t>
      </w:r>
    </w:p>
    <w:p>
      <w:pPr>
        <w:pStyle w:val="Titrearticle"/>
        <w:rPr>
          <w:noProof/>
        </w:rPr>
      </w:pPr>
      <w:r>
        <w:rPr>
          <w:noProof/>
        </w:rPr>
        <w:t>Artikolu 3</w:t>
      </w:r>
      <w:r>
        <w:rPr>
          <w:noProof/>
        </w:rPr>
        <w:br/>
      </w:r>
      <w:r>
        <w:rPr>
          <w:b/>
          <w:noProof/>
        </w:rPr>
        <w:t>L-awtoritajiet tal-programm</w:t>
      </w:r>
    </w:p>
    <w:p>
      <w:pPr>
        <w:rPr>
          <w:noProof/>
        </w:rPr>
      </w:pPr>
      <w:r>
        <w:rPr>
          <w:noProof/>
        </w:rPr>
        <w:t>B’deroga mill-Artikolu 21(1) tar-Regolament (UE) Nru 1299/2013,</w:t>
      </w:r>
    </w:p>
    <w:p>
      <w:pPr>
        <w:pStyle w:val="ListDash"/>
        <w:rPr>
          <w:noProof/>
        </w:rPr>
      </w:pPr>
      <w:r>
        <w:rPr>
          <w:noProof/>
        </w:rPr>
        <w:t>Il-Korp għall-Programmi Speċjali tal-UE (SEUPB) li jospita l-awtorità ta’ ġestjoni u l-awtorità ta’ ċertifikazzjoni tal-Programmi PEACE IV (l-Irlanda - ir-Renju Unit) u għar-Renju Unit - l-Irlanda (l-Irlanda - l-Irlanda ta’ Fuq - l-Iskozja), għandu jkompli jeżerċita l-funzjonijiet tiegħu;</w:t>
      </w:r>
    </w:p>
    <w:p>
      <w:pPr>
        <w:pStyle w:val="ListDash"/>
        <w:spacing w:before="0" w:after="200" w:line="276" w:lineRule="auto"/>
        <w:jc w:val="left"/>
        <w:rPr>
          <w:i/>
          <w:noProof/>
        </w:rPr>
      </w:pPr>
      <w:r>
        <w:rPr>
          <w:noProof/>
        </w:rPr>
        <w:t xml:space="preserve">id-Dipartiment tal-Finanzi tal-Irlanda ta’ Fuq għandu jibqa’ l-awtorità tal-awditjar għal dawn il-programmi. </w:t>
      </w:r>
      <w:r>
        <w:rPr>
          <w:noProof/>
        </w:rPr>
        <w:br w:type="page"/>
      </w:r>
    </w:p>
    <w:p>
      <w:pPr>
        <w:pStyle w:val="Titrearticle"/>
        <w:rPr>
          <w:b/>
          <w:i w:val="0"/>
          <w:noProof/>
          <w:szCs w:val="24"/>
        </w:rPr>
      </w:pPr>
      <w:r>
        <w:rPr>
          <w:noProof/>
        </w:rPr>
        <w:lastRenderedPageBreak/>
        <w:t>Artikolu 4</w:t>
      </w:r>
      <w:r>
        <w:rPr>
          <w:noProof/>
        </w:rPr>
        <w:br/>
      </w:r>
      <w:r>
        <w:rPr>
          <w:b/>
          <w:noProof/>
        </w:rPr>
        <w:t>Il-kompetenzi tal-Kummissjoni rigward il-kontrolli</w:t>
      </w:r>
    </w:p>
    <w:p>
      <w:pPr>
        <w:rPr>
          <w:noProof/>
        </w:rPr>
      </w:pPr>
      <w:r>
        <w:rPr>
          <w:noProof/>
        </w:rPr>
        <w:t>L-applikazzjoni tar-regoli rigward il-kontrolli u l-awditjar tal-programmi rispettivi għandha tiġi miftiehma bejn il-Kummissjoni u l-awtoritajiet tar-Renju Unit. Il-kontrolli u l-awditi għandhom ikopru l-perjodu kollu tal-programmi ta’ kooperazzjoni.</w:t>
      </w:r>
    </w:p>
    <w:p>
      <w:pPr>
        <w:rPr>
          <w:noProof/>
        </w:rPr>
      </w:pPr>
      <w:r>
        <w:rPr>
          <w:noProof/>
        </w:rPr>
        <w:t>Jekk il-kontrolli u l-awditjar meħtieġa tal-programmi ma jistgħux jiġu esegwiti fir-reġjuni kollha kkonċernati, dan għandu jikkostitwixxi nuqqas serju fis-sistema ta’ ġestjoni u ta’ kontroll għall-finijiet tal-miżuri kif stabbilit fl-Artikoli 83, 142, 144 u 145 tar-Regolament (UE) Nru 1303/2013.</w:t>
      </w:r>
    </w:p>
    <w:p>
      <w:pPr>
        <w:pStyle w:val="Titrearticle"/>
        <w:rPr>
          <w:noProof/>
        </w:rPr>
      </w:pPr>
      <w:r>
        <w:rPr>
          <w:noProof/>
        </w:rPr>
        <w:t>Artikolu 5</w:t>
      </w:r>
      <w:r>
        <w:rPr>
          <w:noProof/>
        </w:rPr>
        <w:br/>
      </w:r>
      <w:r>
        <w:rPr>
          <w:b/>
          <w:noProof/>
        </w:rPr>
        <w:t>L-Eliġibbiltà tal-operazzjonijiet skont il-lokalità</w:t>
      </w:r>
    </w:p>
    <w:p>
      <w:pPr>
        <w:rPr>
          <w:noProof/>
        </w:rPr>
      </w:pPr>
      <w:r>
        <w:rPr>
          <w:noProof/>
        </w:rPr>
        <w:t>Il-limitu stabbilit fl-Artikolu 20(2)(b) tar-Regolament (UE) Nru 1299/2013 ma għandux japplika għall-programmi ta’ kooperazzjoni.</w:t>
      </w:r>
    </w:p>
    <w:p>
      <w:pPr>
        <w:pStyle w:val="Titrearticle"/>
        <w:rPr>
          <w:noProof/>
        </w:rPr>
      </w:pPr>
      <w:r>
        <w:rPr>
          <w:noProof/>
        </w:rPr>
        <w:t>Artikolu 6</w:t>
      </w:r>
      <w:r>
        <w:rPr>
          <w:noProof/>
        </w:rPr>
        <w:br/>
      </w:r>
      <w:r>
        <w:rPr>
          <w:b/>
          <w:noProof/>
        </w:rPr>
        <w:t>Id-dħul fis-seħħ u l-applikazzjoni</w:t>
      </w:r>
    </w:p>
    <w:p>
      <w:pPr>
        <w:rPr>
          <w:noProof/>
        </w:rPr>
      </w:pPr>
      <w:r>
        <w:rPr>
          <w:noProof/>
        </w:rPr>
        <w:t>Dan ir-Regolament għandu jidħol fis-seħħ fil-jum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 xml:space="preserve">. </w:t>
      </w:r>
    </w:p>
    <w:p>
      <w:pPr>
        <w:keepNext/>
        <w:rPr>
          <w:noProof/>
        </w:rPr>
      </w:pPr>
      <w:r>
        <w:rPr>
          <w:noProof/>
        </w:rPr>
        <w:t>Huwa għandu japplika mill-jum ta’ wara dak li fih it-Trattati ma jibqgħux japplikaw għar-Renju Unit u fih, skont l-Artikolu 50(3) tat-Trattat dwar l-Unjoni Ewropea.</w:t>
      </w:r>
    </w:p>
    <w:p>
      <w:pPr>
        <w:keepNext/>
        <w:rPr>
          <w:noProof/>
        </w:rPr>
      </w:pPr>
      <w:r>
        <w:rPr>
          <w:rFonts w:asciiTheme="majorBidi" w:hAnsiTheme="majorBidi" w:cstheme="majorBidi"/>
          <w:noProof/>
        </w:rPr>
        <w:t>Madankollu,</w:t>
      </w:r>
      <w:r>
        <w:rPr>
          <w:noProof/>
        </w:rPr>
        <w:t xml:space="preserve"> dan ir-Regolament ma għandux japplika jekk jiġi konkluż ftehim dwar il-ħruġ mar-Renju Unit f’konformità mal-Artikolu 50(2) tat-Trattat dwar l-Unjoni Ewropea li jkun daħal fis-seħħ sa dik id-data.</w:t>
      </w:r>
    </w:p>
    <w:p>
      <w:pPr>
        <w:pStyle w:val="Applicationdirecte"/>
        <w:rPr>
          <w:noProof/>
        </w:rPr>
      </w:pPr>
      <w:r>
        <w:rPr>
          <w:noProof/>
        </w:rPr>
        <w:t>Dan ir-Regolament għandu jorbot fl-intier tiegħu u japplika direttament fl-Istati Membri kollha.</w:t>
      </w: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i w:val="0"/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p>
      <w:pPr>
        <w:pStyle w:val="Personnequisigne"/>
        <w:rPr>
          <w:noProof/>
        </w:rPr>
        <w:sect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Fichefinanciretitre"/>
        <w:rPr>
          <w:noProof/>
        </w:rPr>
      </w:pPr>
      <w:r>
        <w:rPr>
          <w:noProof/>
        </w:rPr>
        <w:lastRenderedPageBreak/>
        <w:t>DIKJARAZZJONI FINANZJARJA LEĠIŻLATTIVA</w:t>
      </w:r>
    </w:p>
    <w:p>
      <w:pPr>
        <w:pStyle w:val="ManualHeading1"/>
        <w:rPr>
          <w:noProof/>
        </w:rPr>
      </w:pPr>
      <w:bookmarkStart w:id="1" w:name="_Toc514938007"/>
      <w:bookmarkStart w:id="2" w:name="_Toc520485025"/>
      <w:r>
        <w:t>1.</w:t>
      </w:r>
      <w:r>
        <w:tab/>
      </w:r>
      <w:r>
        <w:rPr>
          <w:noProof/>
        </w:rPr>
        <w:t>QAFAS TAL-PROPOSTA / TAL-INIZJATTIVA</w:t>
      </w:r>
      <w:bookmarkEnd w:id="1"/>
      <w:bookmarkEnd w:id="2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3" w:name="_Toc514938008"/>
      <w:bookmarkStart w:id="4" w:name="_Toc520485026"/>
      <w:r>
        <w:t>1.1.</w:t>
      </w:r>
      <w:r>
        <w:tab/>
      </w:r>
      <w:r>
        <w:rPr>
          <w:noProof/>
        </w:rPr>
        <w:t>Titlu tal-proposta / tal-inizjattiva</w:t>
      </w:r>
      <w:bookmarkEnd w:id="3"/>
      <w:bookmarkEnd w:id="4"/>
    </w:p>
    <w:p>
      <w:pPr>
        <w:pStyle w:val="ManualHeading2"/>
        <w:rPr>
          <w:i/>
          <w:noProof/>
        </w:rPr>
      </w:pPr>
      <w:bookmarkStart w:id="5" w:name="_Toc514938011"/>
      <w:bookmarkStart w:id="6" w:name="_Toc520485027"/>
      <w:r>
        <w:t>1.2.</w:t>
      </w:r>
      <w:r>
        <w:tab/>
      </w:r>
      <w:r>
        <w:rPr>
          <w:noProof/>
        </w:rPr>
        <w:t>Qasam / oqsma ta’ politika kkonċernat(i)</w:t>
      </w:r>
      <w:bookmarkEnd w:id="5"/>
      <w:bookmarkEnd w:id="6"/>
      <w:r>
        <w:rPr>
          <w:i/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Proposta għal Regolament tal-Parlament Ewropew u tal-Kunsill dwar dispożizzjonijiet speċifiċi għall-ġestjoni tal-programmi għall-kooperazzjoni territorjali Ewropea, fil-kuntest tal-ħruġ tar-Renju Unit (UK) mill-Unjoni Ewropea.</w:t>
      </w:r>
    </w:p>
    <w:p>
      <w:pPr>
        <w:pStyle w:val="ManualHeading2"/>
        <w:rPr>
          <w:bCs/>
          <w:noProof/>
          <w:szCs w:val="24"/>
        </w:rPr>
      </w:pPr>
      <w:bookmarkStart w:id="7" w:name="_Toc514938025"/>
      <w:bookmarkStart w:id="8" w:name="_Toc520485034"/>
      <w:r>
        <w:t>1.3.</w:t>
      </w:r>
      <w:r>
        <w:tab/>
      </w:r>
      <w:r>
        <w:rPr>
          <w:noProof/>
        </w:rPr>
        <w:t>Raġunijiet għall-proposta / għall-inizjattiva</w:t>
      </w:r>
      <w:bookmarkEnd w:id="7"/>
      <w:bookmarkEnd w:id="8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9" w:name="_Toc514938026"/>
      <w:bookmarkStart w:id="10" w:name="_Toc520485035"/>
      <w:r>
        <w:t>1.3.1.</w:t>
      </w:r>
      <w:r>
        <w:tab/>
      </w:r>
      <w:r>
        <w:rPr>
          <w:noProof/>
        </w:rPr>
        <w:t>Rekwiżit(i) li jrid(u) jiġi(u) ssodisfat(i) fuq terminu ta’ żmien qasir jew twil inkluża kronoloġija ddettaljata dwar it-tnedija tal-implimentazzjoni tal-inizjattiva</w:t>
      </w:r>
      <w:bookmarkEnd w:id="9"/>
      <w:bookmarkEnd w:id="10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Dan ir-Regolament għandu jidħol fis-seħħ fil-jum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Għandu japplika mill-data ta’ wara dik li fiha t-Trattati ma jibqgħux japplikaw għar-Renju Unit u fih, skont l-Artikolu 50(3) tat-Trattat dwar l-Unjoni Ewropea.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Dan ir-Regolament ma għandux japplika jekk jiġi konkluż ftehim ta’ ħruġ mar-Renju Unit f’konformità mal-Artikolu 50(2) tat-Trattat dwar l-Unjoni Ewropea li jkun daħal fis-seħħ sa dik id-data</w:t>
      </w:r>
    </w:p>
    <w:p>
      <w:pPr>
        <w:pStyle w:val="ManualHeading3"/>
        <w:rPr>
          <w:bCs/>
          <w:noProof/>
          <w:szCs w:val="24"/>
        </w:rPr>
      </w:pPr>
      <w:bookmarkStart w:id="11" w:name="_Toc514938029"/>
      <w:bookmarkStart w:id="12" w:name="_Toc520485036"/>
      <w:r>
        <w:t>1.3.2.</w:t>
      </w:r>
      <w:r>
        <w:tab/>
      </w:r>
      <w:r>
        <w:rPr>
          <w:noProof/>
        </w:rPr>
        <w:t>Valur miżjud tal-involviment tal-Unjoni (dan jista’ jirriżulta minn fatturi differenti, pereż. titjib fil-koordinazzjoni, ċertezza tad-dritt, effettività akbar jew il-kumplimentarjetajiet). Għall-finijiet ta’ dan il-punt, “il-valur miżjud tal-involviment tal-Unjoni” huwa l-valur li jirriżulta mill-intervent tal-Unjoni li huwa addizzjonali għall-valur li inkella kien jinħoloq mill-Istati Membri waħedhom.</w:t>
      </w:r>
      <w:bookmarkEnd w:id="11"/>
      <w:bookmarkEnd w:id="12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ManualHeading3"/>
        <w:rPr>
          <w:noProof/>
        </w:rPr>
      </w:pPr>
      <w:bookmarkStart w:id="13" w:name="_Toc514938030"/>
      <w:bookmarkStart w:id="14" w:name="_Toc520485037"/>
      <w:r>
        <w:t>1.3.3.</w:t>
      </w:r>
      <w:r>
        <w:tab/>
      </w:r>
      <w:r>
        <w:rPr>
          <w:noProof/>
        </w:rPr>
        <w:t>Tagħlimiet meħuda minn esperjenzi simili fl-imgħoddi</w:t>
      </w:r>
      <w:bookmarkEnd w:id="13"/>
      <w:bookmarkEnd w:id="14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ManualHeading3"/>
        <w:rPr>
          <w:noProof/>
        </w:rPr>
      </w:pPr>
      <w:bookmarkStart w:id="15" w:name="_Toc514938033"/>
      <w:bookmarkStart w:id="16" w:name="_Toc520485038"/>
      <w:r>
        <w:t>1.3.4.</w:t>
      </w:r>
      <w:r>
        <w:tab/>
      </w:r>
      <w:r>
        <w:rPr>
          <w:noProof/>
        </w:rPr>
        <w:t>Kompatibbiltà mal-Qafas Finanzjarju Pluriennali u l-possibilità ta’ sinerġiji ma’ strumenti xierqa oħra</w:t>
      </w:r>
      <w:bookmarkEnd w:id="15"/>
      <w:bookmarkEnd w:id="16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Dan ir-Regolament huwa kompatibbli mal-QFP. Ma għandu l-ebda impatt finanzjarju.</w:t>
      </w:r>
    </w:p>
    <w:p>
      <w:pPr>
        <w:pStyle w:val="ManualHeading3"/>
        <w:rPr>
          <w:noProof/>
        </w:rPr>
      </w:pPr>
      <w:bookmarkStart w:id="17" w:name="_Toc514938036"/>
      <w:bookmarkStart w:id="18" w:name="_Toc520485039"/>
      <w:r>
        <w:t>1.3.5.</w:t>
      </w:r>
      <w:r>
        <w:tab/>
      </w:r>
      <w:r>
        <w:rPr>
          <w:noProof/>
        </w:rPr>
        <w:t>Valutazzjoni tal-opzjonijiet differenti ta’ finanzjament disponibbli, inkluż il-kamp ta’ applikazzjoni għar-riallokazzjoni</w:t>
      </w:r>
      <w:bookmarkEnd w:id="17"/>
      <w:bookmarkEnd w:id="18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</w:rPr>
      </w:pPr>
      <w:r>
        <w:rPr>
          <w:noProof/>
        </w:rPr>
        <w:t>Dan ir-Regolament ma għandu l-ebda impatt finanzjarju. Il-kontribuzzjoni tal-Unjoni għall-programmi se tiġi ffinanzjata permezz tal-baġit ġenerali tal-Unjoni.</w:t>
      </w:r>
    </w:p>
    <w:p>
      <w:pPr>
        <w:pStyle w:val="Text1"/>
        <w:rPr>
          <w:noProof/>
        </w:rPr>
      </w:pP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19" w:name="_Toc514938039"/>
      <w:bookmarkStart w:id="20" w:name="_Toc520485040"/>
      <w:r>
        <w:lastRenderedPageBreak/>
        <w:t>1.4.</w:t>
      </w:r>
      <w:r>
        <w:tab/>
      </w:r>
      <w:r>
        <w:rPr>
          <w:noProof/>
        </w:rPr>
        <w:t>It-tul ta’ żmien u l-impatt finanzjarju tal-proposta / tal-inizjattiva</w:t>
      </w:r>
      <w:bookmarkEnd w:id="19"/>
      <w:bookmarkEnd w:id="20"/>
    </w:p>
    <w:p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 xml:space="preserve"> l-ebda impatt finanzjarju</w:t>
      </w:r>
    </w:p>
    <w:p>
      <w:pPr>
        <w:pStyle w:val="ManualHeading2"/>
        <w:rPr>
          <w:bCs/>
          <w:noProof/>
          <w:szCs w:val="24"/>
        </w:rPr>
      </w:pPr>
      <w:bookmarkStart w:id="21" w:name="_Toc514938040"/>
      <w:bookmarkStart w:id="22" w:name="_Toc520485041"/>
      <w:r>
        <w:t>1.5.</w:t>
      </w:r>
      <w:r>
        <w:tab/>
      </w:r>
      <w:r>
        <w:rPr>
          <w:noProof/>
        </w:rPr>
        <w:t>Metodu / metodi previst(i) ta’ ġestjoni</w:t>
      </w:r>
      <w:r>
        <w:rPr>
          <w:rStyle w:val="FootnoteReference"/>
          <w:noProof/>
        </w:rPr>
        <w:footnoteReference w:id="9"/>
      </w:r>
      <w:bookmarkEnd w:id="21"/>
      <w:bookmarkEnd w:id="22"/>
      <w:r>
        <w:rPr>
          <w:rStyle w:val="FootnoteReference"/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i/>
          <w:noProof/>
        </w:rPr>
        <w:t xml:space="preserve"> </w:t>
      </w:r>
      <w:r>
        <w:rPr>
          <w:b/>
          <w:noProof/>
        </w:rPr>
        <w:t>Ġestjoni diretta</w:t>
      </w:r>
      <w:r>
        <w:rPr>
          <w:noProof/>
        </w:rPr>
        <w:t xml:space="preserve"> mill-Kummissjoni</w:t>
      </w:r>
    </w:p>
    <w:p>
      <w:pPr>
        <w:pStyle w:val="ListDash2"/>
        <w:rPr>
          <w:rFonts w:cs="EUAlbertina"/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mid-dipartimenti tagħha, inkluż mill-persunal tagħha fid-delegazzjonijiet tal-Unjoni; 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mill-aġenziji eżekuttivi </w:t>
      </w:r>
    </w:p>
    <w:p>
      <w:pPr>
        <w:pStyle w:val="Text1"/>
        <w:rPr>
          <w:noProof/>
        </w:rPr>
      </w:pPr>
      <w:r>
        <w:rPr>
          <w:b/>
          <w:noProof/>
        </w:rPr>
        <w:t>X</w:t>
      </w:r>
      <w:r>
        <w:rPr>
          <w:b/>
          <w:i/>
          <w:noProof/>
        </w:rPr>
        <w:t xml:space="preserve"> </w:t>
      </w:r>
      <w:r>
        <w:rPr>
          <w:b/>
          <w:noProof/>
        </w:rPr>
        <w:t>Ġestjoni kondiviża</w:t>
      </w:r>
      <w:r>
        <w:rPr>
          <w:noProof/>
        </w:rPr>
        <w:t xml:space="preserve"> mal-Istati Membri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i/>
          <w:noProof/>
        </w:rPr>
        <w:t xml:space="preserve"> </w:t>
      </w:r>
      <w:r>
        <w:rPr>
          <w:b/>
          <w:noProof/>
        </w:rPr>
        <w:t>Ġestjoni indiretta</w:t>
      </w:r>
      <w:r>
        <w:rPr>
          <w:noProof/>
        </w:rPr>
        <w:t>, billi jiġu fdati kompiti ta’ implimentazzjoni baġitarja lil: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pajjiżi terzi jew korpi nnominati minnhom;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organizzazzjonijiet internazzjonali u l-aġenziji tagħhom (iridu jiġu speċifikati);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BEI u l-Fond Ewropew tal-Investiment;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korpi li jissemmew fl-Artikoli 70 u 71 tar-Regolament Finanzjarju;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korpi rregolati bid-dritt pubbliku;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korpi rregolati bil-dritt privat b’missjoni ta’ servizz pubbliku sakemm dawn jipprovdu garanziji finanzjarji adegwati;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korpi rregolati bil-dritt privat ta’ Stat Membru li jkunu fdati bl-implimentazzjoni ta’ sħubija pubblika-privata u li jipprovdu garanziji finanzjarji adegwati;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persuni fdati bl-implimentazzjoni ta’ azzjonijiet speċifiċi fil-PESK skont it-Titolu V tat-TUE, u identifikati fl-att bażiku rilevanti.</w:t>
      </w:r>
    </w:p>
    <w:p>
      <w:pPr>
        <w:pStyle w:val="ListDash2"/>
        <w:rPr>
          <w:i/>
          <w:noProof/>
          <w:sz w:val="18"/>
          <w:u w:val="single"/>
        </w:rPr>
      </w:pPr>
      <w:r>
        <w:rPr>
          <w:i/>
          <w:noProof/>
          <w:sz w:val="18"/>
        </w:rPr>
        <w:t>Jekk jiġi indikat iżjed minn metodu wieħed ta’ ġestjoni, jekk jogħġbok ipprovdi d-dettalji fit-taqsima “Kummenti”.</w:t>
      </w:r>
    </w:p>
    <w:p>
      <w:pPr>
        <w:rPr>
          <w:noProof/>
        </w:rPr>
      </w:pPr>
      <w:r>
        <w:rPr>
          <w:noProof/>
        </w:rPr>
        <w:t xml:space="preserve">Kummenti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rPr>
          <w:noProof/>
          <w:color w:val="0000FF"/>
        </w:rPr>
        <w:t>Mhux applikabbli</w:t>
      </w:r>
    </w:p>
    <w:p>
      <w:pPr>
        <w:pStyle w:val="ManualHeading1"/>
        <w:rPr>
          <w:bCs/>
          <w:noProof/>
          <w:szCs w:val="24"/>
        </w:rPr>
      </w:pPr>
      <w:bookmarkStart w:id="23" w:name="_Toc514938041"/>
      <w:bookmarkStart w:id="24" w:name="_Toc520485042"/>
      <w:r>
        <w:lastRenderedPageBreak/>
        <w:t>2.</w:t>
      </w:r>
      <w:r>
        <w:tab/>
      </w:r>
      <w:r>
        <w:rPr>
          <w:noProof/>
        </w:rPr>
        <w:t>MIŻURI TA’ ĠESTJONI</w:t>
      </w:r>
      <w:bookmarkEnd w:id="23"/>
      <w:bookmarkEnd w:id="24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25" w:name="_Toc514938042"/>
      <w:bookmarkStart w:id="26" w:name="_Toc520485043"/>
      <w:r>
        <w:t>2.1.</w:t>
      </w:r>
      <w:r>
        <w:tab/>
      </w:r>
      <w:r>
        <w:rPr>
          <w:noProof/>
        </w:rPr>
        <w:t>Regoli ta’ monitoraġġ u ta’ rappurtar</w:t>
      </w:r>
      <w:bookmarkEnd w:id="25"/>
      <w:bookmarkEnd w:id="26"/>
      <w:r>
        <w:rPr>
          <w:noProof/>
        </w:rPr>
        <w:t xml:space="preserve">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Speċifika l-frekwenza u l-kundizzjonijiet.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ManualHeading2"/>
        <w:rPr>
          <w:bCs/>
          <w:noProof/>
          <w:szCs w:val="24"/>
        </w:rPr>
      </w:pPr>
      <w:bookmarkStart w:id="27" w:name="_Toc514938045"/>
      <w:bookmarkStart w:id="28" w:name="_Toc520485044"/>
      <w:r>
        <w:t>2.2.</w:t>
      </w:r>
      <w:r>
        <w:tab/>
      </w:r>
      <w:r>
        <w:rPr>
          <w:noProof/>
        </w:rPr>
        <w:t>Sistema /sistemi ta’ ġestjoni u ta’ kontroll</w:t>
      </w:r>
      <w:bookmarkEnd w:id="27"/>
      <w:bookmarkEnd w:id="28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29" w:name="_Toc514938046"/>
      <w:bookmarkStart w:id="30" w:name="_Toc520485045"/>
      <w:r>
        <w:t>2.2.1.</w:t>
      </w:r>
      <w:r>
        <w:tab/>
      </w:r>
      <w:r>
        <w:rPr>
          <w:noProof/>
        </w:rPr>
        <w:t>Ġustifikazzjoni tal-metodu / metodi ta’ ġestjoni, tal-mekkaniżmu /mekkaniżmi għall-implimentazzjoni tal-finanzjament, tal-modalitajiet ta’ pagament u tal-istrateġija ta’ kontroll proposta</w:t>
      </w:r>
      <w:bookmarkEnd w:id="29"/>
      <w:bookmarkEnd w:id="30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ManualHeading3"/>
        <w:rPr>
          <w:bCs/>
          <w:noProof/>
          <w:szCs w:val="24"/>
        </w:rPr>
      </w:pPr>
      <w:bookmarkStart w:id="31" w:name="_Toc514938047"/>
      <w:bookmarkStart w:id="32" w:name="_Toc520485046"/>
      <w:r>
        <w:t>2.2.2.</w:t>
      </w:r>
      <w:r>
        <w:tab/>
      </w:r>
      <w:r>
        <w:rPr>
          <w:noProof/>
        </w:rPr>
        <w:t>Informazzjoni dwar ir-riskji identifikati u s-sistema / sistemi ta’ kontroll intern stabbilita / stabbiliti għall-mitigazzjoni tagħhom</w:t>
      </w:r>
      <w:bookmarkEnd w:id="31"/>
      <w:bookmarkEnd w:id="32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ManualHeading3"/>
        <w:rPr>
          <w:noProof/>
        </w:rPr>
      </w:pPr>
      <w:bookmarkStart w:id="33" w:name="_Toc514938048"/>
      <w:bookmarkStart w:id="34" w:name="_Toc520485047"/>
      <w:r>
        <w:t>2.2.3.</w:t>
      </w:r>
      <w:r>
        <w:tab/>
      </w:r>
      <w:r>
        <w:rPr>
          <w:noProof/>
        </w:rPr>
        <w:t>Stima u ġustifikazzjoni tal-kosteffettività tal-kontrolli (proporzjon tal-“ispejjeż għall-kontrolli ÷ il-valur tal-fondi relatati ġestiti”), u valutazzjoni tal-livelli mistennija tar-riskju ta’ żball (mal-pagament u fl-għeluq)</w:t>
      </w:r>
      <w:bookmarkEnd w:id="33"/>
      <w:bookmarkEnd w:id="34"/>
      <w:r>
        <w:rPr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ManualHeading2"/>
        <w:rPr>
          <w:bCs/>
          <w:noProof/>
          <w:szCs w:val="24"/>
        </w:rPr>
      </w:pPr>
      <w:bookmarkStart w:id="35" w:name="_Toc514938049"/>
      <w:bookmarkStart w:id="36" w:name="_Toc520485048"/>
      <w:r>
        <w:t>2.3.</w:t>
      </w:r>
      <w:r>
        <w:tab/>
      </w:r>
      <w:r>
        <w:rPr>
          <w:noProof/>
        </w:rPr>
        <w:t>Miżuri għall-prevenzjoni ta’ frodi u ta’ irregolaritajiet</w:t>
      </w:r>
      <w:bookmarkEnd w:id="35"/>
      <w:bookmarkEnd w:id="36"/>
      <w:r>
        <w:rPr>
          <w:noProof/>
        </w:rPr>
        <w:t xml:space="preserve">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Speċifika l-miżuri ta’ prevenzjoni u ta’ protezzjoni eżistenti jew previsti, pereż. mill-Istrateġija Kontra l-Frodi.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rPr>
          <w:noProof/>
          <w:color w:val="0000FF"/>
        </w:rPr>
        <w:t>Mhux applikabbli</w:t>
      </w:r>
    </w:p>
    <w:p>
      <w:pPr>
        <w:pStyle w:val="ManualHeading1"/>
        <w:rPr>
          <w:bCs/>
          <w:noProof/>
          <w:szCs w:val="24"/>
        </w:rPr>
      </w:pPr>
      <w:bookmarkStart w:id="37" w:name="_Toc514938050"/>
      <w:bookmarkStart w:id="38" w:name="_Toc520485049"/>
      <w:r>
        <w:lastRenderedPageBreak/>
        <w:t>3.</w:t>
      </w:r>
      <w:r>
        <w:tab/>
      </w:r>
      <w:r>
        <w:rPr>
          <w:noProof/>
        </w:rPr>
        <w:t>IMPATT FINANZJARJU STMAT TAL-PROPOSTA / TAL-INIZJATTIVA</w:t>
      </w:r>
      <w:bookmarkEnd w:id="37"/>
      <w:bookmarkEnd w:id="38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39" w:name="_Toc514938051"/>
      <w:bookmarkStart w:id="40" w:name="_Toc520485050"/>
      <w:r>
        <w:t>3.1.</w:t>
      </w:r>
      <w:r>
        <w:tab/>
      </w:r>
      <w:r>
        <w:rPr>
          <w:noProof/>
        </w:rPr>
        <w:t>Intestatura / intestaturi tal-qafas finanzjarju pluriennali u l-linja baġitarja / l-linji baġitarji tan-nefqa affettwata / affettwati</w:t>
      </w:r>
      <w:bookmarkEnd w:id="39"/>
      <w:bookmarkEnd w:id="40"/>
      <w:r>
        <w:rPr>
          <w:noProof/>
        </w:rPr>
        <w:t xml:space="preserve"> </w:t>
      </w:r>
    </w:p>
    <w:p>
      <w:pPr>
        <w:pStyle w:val="ListBullet1"/>
        <w:rPr>
          <w:noProof/>
        </w:rPr>
      </w:pPr>
      <w:r>
        <w:rPr>
          <w:noProof/>
        </w:rPr>
        <w:t xml:space="preserve">Linji baġitarji eżistenti </w:t>
      </w:r>
    </w:p>
    <w:p>
      <w:pPr>
        <w:pStyle w:val="Text1"/>
        <w:rPr>
          <w:i/>
          <w:noProof/>
        </w:rPr>
      </w:pPr>
      <w:r>
        <w:rPr>
          <w:i/>
          <w:noProof/>
          <w:u w:val="single"/>
        </w:rPr>
        <w:t>Fl-ordni</w:t>
      </w:r>
      <w:r>
        <w:rPr>
          <w:i/>
          <w:noProof/>
        </w:rPr>
        <w:t xml:space="preserve"> tal-intestaturi tal-qafas finanzjarju pluriennali u tal-linji baġitarji.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956"/>
        <w:gridCol w:w="1080"/>
        <w:gridCol w:w="956"/>
        <w:gridCol w:w="1448"/>
      </w:tblGrid>
      <w:tr>
        <w:tc>
          <w:tcPr>
            <w:tcW w:w="1080" w:type="dxa"/>
            <w:vMerge w:val="restart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Intestatura tal-qafas finanzjarju pluriennali</w:t>
            </w:r>
          </w:p>
        </w:tc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>Linja baġitarja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 xml:space="preserve">Tip ta’ 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8"/>
              </w:rPr>
              <w:t>nefqa</w:t>
            </w:r>
          </w:p>
        </w:tc>
        <w:tc>
          <w:tcPr>
            <w:tcW w:w="4440" w:type="dxa"/>
            <w:gridSpan w:val="4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 xml:space="preserve">Kontribuzzjoni </w:t>
            </w:r>
          </w:p>
        </w:tc>
      </w:tr>
      <w:tr>
        <w:tc>
          <w:tcPr>
            <w:tcW w:w="1080" w:type="dxa"/>
            <w:vMerge/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3960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  <w:sz w:val="20"/>
              </w:rPr>
              <w:t xml:space="preserve">Numru </w:t>
            </w:r>
            <w:r>
              <w:rPr>
                <w:noProof/>
                <w:sz w:val="22"/>
              </w:rPr>
              <w:br/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Diff./Mhux diff.</w:t>
            </w:r>
            <w:r>
              <w:rPr>
                <w:rStyle w:val="FootnoteReference"/>
                <w:noProof/>
                <w:sz w:val="18"/>
              </w:rPr>
              <w:footnoteReference w:id="10"/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minn pajjiżi tal-EFTA</w:t>
            </w:r>
            <w:r>
              <w:rPr>
                <w:rStyle w:val="FootnoteReference"/>
                <w:noProof/>
                <w:sz w:val="18"/>
              </w:rPr>
              <w:footnoteReference w:id="11"/>
            </w:r>
          </w:p>
          <w:p>
            <w:pPr>
              <w:spacing w:before="0" w:after="0"/>
              <w:jc w:val="center"/>
              <w:rPr>
                <w:b/>
                <w:noProof/>
                <w:sz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minn pajjiżi kandidati</w:t>
            </w:r>
            <w:r>
              <w:rPr>
                <w:rStyle w:val="FootnoteReference"/>
                <w:noProof/>
                <w:sz w:val="18"/>
              </w:rPr>
              <w:footnoteReference w:id="12"/>
            </w:r>
          </w:p>
          <w:p>
            <w:pPr>
              <w:spacing w:before="0" w:after="0"/>
              <w:jc w:val="center"/>
              <w:rPr>
                <w:noProof/>
                <w:sz w:val="18"/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minn pajjiżi terzi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6"/>
              </w:rPr>
              <w:t xml:space="preserve">skont it-tifsira tal-Artikolu 21(2)(b) tar-Regolament Finanzjarju </w:t>
            </w:r>
          </w:p>
        </w:tc>
      </w:tr>
      <w:tr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color w:val="0000FF"/>
              </w:rPr>
              <w:t>13</w:t>
            </w:r>
          </w:p>
        </w:tc>
        <w:tc>
          <w:tcPr>
            <w:tcW w:w="3960" w:type="dxa"/>
            <w:vAlign w:val="center"/>
          </w:tcPr>
          <w:p>
            <w:pPr>
              <w:spacing w:before="60"/>
              <w:rPr>
                <w:noProof/>
                <w:sz w:val="22"/>
              </w:rPr>
            </w:pPr>
          </w:p>
          <w:p>
            <w:pPr>
              <w:spacing w:before="60"/>
              <w:rPr>
                <w:noProof/>
              </w:rPr>
            </w:pPr>
            <w:r>
              <w:rPr>
                <w:noProof/>
                <w:sz w:val="22"/>
              </w:rPr>
              <w:t>13.03.64.01 - Fond Ewropew għall-Iżvilupp Reġjonali (FEŻR) – Kooperazzjoni Territorjali Ewropea (KTE)</w:t>
            </w:r>
          </w:p>
          <w:p>
            <w:pPr>
              <w:spacing w:after="60"/>
              <w:rPr>
                <w:noProof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sz w:val="22"/>
              </w:rPr>
              <w:t>Diff.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LE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LE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LE</w:t>
            </w:r>
          </w:p>
        </w:tc>
        <w:tc>
          <w:tcPr>
            <w:tcW w:w="1448" w:type="dxa"/>
            <w:vAlign w:val="center"/>
          </w:tcPr>
          <w:p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 xml:space="preserve">      LE</w:t>
            </w:r>
          </w:p>
        </w:tc>
      </w:tr>
    </w:tbl>
    <w:p>
      <w:pPr>
        <w:pStyle w:val="ManualHeading2"/>
        <w:rPr>
          <w:bCs/>
          <w:noProof/>
          <w:szCs w:val="24"/>
        </w:rPr>
      </w:pPr>
      <w:bookmarkStart w:id="41" w:name="_Toc514938052"/>
      <w:bookmarkStart w:id="42" w:name="_Toc520485051"/>
      <w:r>
        <w:t>3.2.</w:t>
      </w:r>
      <w:r>
        <w:tab/>
      </w:r>
      <w:r>
        <w:rPr>
          <w:noProof/>
        </w:rPr>
        <w:t>Impatt finanzjarju stmat tal-proposta dwar l-approprjazzjonijiet</w:t>
      </w:r>
      <w:bookmarkEnd w:id="41"/>
      <w:bookmarkEnd w:id="42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43" w:name="_Toc514938053"/>
      <w:bookmarkStart w:id="44" w:name="_Toc520485052"/>
      <w:r>
        <w:t>3.2.1.</w:t>
      </w:r>
      <w:r>
        <w:tab/>
      </w:r>
      <w:r>
        <w:rPr>
          <w:noProof/>
        </w:rPr>
        <w:t>Sommarju tal-impatt stmat fuq l-approprjazzjonijiet operazzjonali</w:t>
      </w:r>
      <w:bookmarkEnd w:id="43"/>
      <w:bookmarkEnd w:id="44"/>
      <w:r>
        <w:rPr>
          <w:noProof/>
        </w:rPr>
        <w:t xml:space="preserve"> </w:t>
      </w:r>
    </w:p>
    <w:p>
      <w:pPr>
        <w:pStyle w:val="ListDash1"/>
        <w:rPr>
          <w:b/>
          <w:noProof/>
        </w:rPr>
      </w:pPr>
      <w:r>
        <w:rPr>
          <w:b/>
          <w:noProof/>
        </w:rPr>
        <w:t>X</w:t>
      </w:r>
      <w:r>
        <w:rPr>
          <w:noProof/>
        </w:rPr>
        <w:tab/>
      </w:r>
      <w:r>
        <w:rPr>
          <w:b/>
          <w:noProof/>
        </w:rPr>
        <w:t xml:space="preserve">Dan ir-Regolament ma għandu l-ebda impatt finanzjarju. 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Il-proposta/l-inizjattiva teħtieġ l-użu ta’ approprjazzjonijiet operazzjonali, kif spjegat hawn taħt:</w:t>
      </w:r>
    </w:p>
    <w:p>
      <w:pPr>
        <w:jc w:val="right"/>
        <w:rPr>
          <w:noProof/>
          <w:sz w:val="18"/>
          <w:szCs w:val="18"/>
        </w:rPr>
      </w:pPr>
      <w:r>
        <w:rPr>
          <w:noProof/>
          <w:sz w:val="18"/>
        </w:rPr>
        <w:t xml:space="preserve">EUR </w:t>
      </w:r>
    </w:p>
    <w:p>
      <w:pPr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lastRenderedPageBreak/>
              <w:t xml:space="preserve">Intestatura tal-qafas finanzjarju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pluriennali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13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</w:rPr>
            </w:pPr>
          </w:p>
        </w:tc>
      </w:tr>
    </w:tbl>
    <w:p>
      <w:pPr>
        <w:rPr>
          <w:noProof/>
          <w:sz w:val="16"/>
        </w:rPr>
      </w:pPr>
    </w:p>
    <w:tbl>
      <w:tblPr>
        <w:tblW w:w="15952" w:type="dxa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120"/>
        <w:gridCol w:w="534"/>
        <w:gridCol w:w="1252"/>
        <w:gridCol w:w="1116"/>
        <w:gridCol w:w="1010"/>
        <w:gridCol w:w="1134"/>
        <w:gridCol w:w="1418"/>
        <w:gridCol w:w="1559"/>
        <w:gridCol w:w="2409"/>
      </w:tblGrid>
      <w:tr>
        <w:trPr>
          <w:trHeight w:val="1068"/>
        </w:trPr>
        <w:tc>
          <w:tcPr>
            <w:tcW w:w="3960" w:type="dxa"/>
            <w:vAlign w:val="center"/>
          </w:tcPr>
          <w:p>
            <w:pPr>
              <w:rPr>
                <w:noProof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252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2019</w:t>
            </w:r>
          </w:p>
        </w:tc>
        <w:tc>
          <w:tcPr>
            <w:tcW w:w="1116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2020</w:t>
            </w:r>
          </w:p>
        </w:tc>
        <w:tc>
          <w:tcPr>
            <w:tcW w:w="1010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2022</w:t>
            </w:r>
          </w:p>
        </w:tc>
        <w:tc>
          <w:tcPr>
            <w:tcW w:w="1418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</w:t>
            </w:r>
          </w:p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   2023</w:t>
            </w:r>
          </w:p>
        </w:tc>
        <w:tc>
          <w:tcPr>
            <w:tcW w:w="1559" w:type="dxa"/>
          </w:tcPr>
          <w:p>
            <w:pPr>
              <w:jc w:val="center"/>
              <w:rPr>
                <w:noProof/>
                <w:sz w:val="20"/>
              </w:rPr>
            </w:pPr>
          </w:p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Is-snin ta’ wara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trHeight w:val="213"/>
        </w:trPr>
        <w:tc>
          <w:tcPr>
            <w:tcW w:w="6054" w:type="dxa"/>
            <w:gridSpan w:val="4"/>
            <w:vAlign w:val="center"/>
          </w:tcPr>
          <w:p>
            <w:pPr>
              <w:spacing w:before="20" w:after="20"/>
              <w:rPr>
                <w:b/>
                <w:noProof/>
                <w:szCs w:val="24"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</w:t>
            </w:r>
            <w:r>
              <w:rPr>
                <w:b/>
                <w:noProof/>
              </w:rPr>
              <w:t>Kanċellazzjoni tal-approprjazzjonijiet operattivi</w:t>
            </w:r>
          </w:p>
        </w:tc>
        <w:tc>
          <w:tcPr>
            <w:tcW w:w="1252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010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b/>
                <w:noProof/>
                <w:sz w:val="20"/>
              </w:rPr>
            </w:pPr>
          </w:p>
        </w:tc>
        <w:tc>
          <w:tcPr>
            <w:tcW w:w="1559" w:type="dxa"/>
          </w:tcPr>
          <w:p>
            <w:pPr>
              <w:rPr>
                <w:b/>
                <w:noProof/>
                <w:sz w:val="20"/>
              </w:rPr>
            </w:pPr>
          </w:p>
        </w:tc>
        <w:tc>
          <w:tcPr>
            <w:tcW w:w="2409" w:type="dxa"/>
            <w:vAlign w:val="center"/>
          </w:tcPr>
          <w:p>
            <w:pPr>
              <w:rPr>
                <w:b/>
                <w:noProof/>
                <w:sz w:val="20"/>
              </w:rPr>
            </w:pPr>
          </w:p>
        </w:tc>
      </w:tr>
      <w:tr>
        <w:trPr>
          <w:trHeight w:val="509"/>
        </w:trPr>
        <w:tc>
          <w:tcPr>
            <w:tcW w:w="3960" w:type="dxa"/>
            <w:vMerge w:val="restart"/>
            <w:vAlign w:val="center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13.03.64.01 - Fond Ewropew għall-Iżvilupp Reġjonali (FEŻR) – Kooperazzjoni Territorjali Ewropea (KTE)</w:t>
            </w:r>
          </w:p>
        </w:tc>
        <w:tc>
          <w:tcPr>
            <w:tcW w:w="1440" w:type="dxa"/>
            <w:vAlign w:val="center"/>
          </w:tcPr>
          <w:p>
            <w:pPr>
              <w:spacing w:before="20" w:after="2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(1a)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20" w:after="2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(2a)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 w:val="restart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Approprjazzjonijiet TOTALI</w:t>
            </w:r>
            <w:r>
              <w:rPr>
                <w:noProof/>
                <w:sz w:val="22"/>
              </w:rPr>
              <w:br/>
            </w: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=1a+1b +3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=2a+2b</w:t>
            </w:r>
          </w:p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+3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</w:tbl>
    <w:p>
      <w:pPr>
        <w:rPr>
          <w:noProof/>
        </w:rPr>
      </w:pPr>
      <w:r>
        <w:rPr>
          <w:noProof/>
        </w:rPr>
        <w:br/>
      </w:r>
    </w:p>
    <w:tbl>
      <w:tblPr>
        <w:tblW w:w="143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654"/>
        <w:gridCol w:w="1252"/>
        <w:gridCol w:w="1116"/>
        <w:gridCol w:w="1152"/>
        <w:gridCol w:w="1134"/>
        <w:gridCol w:w="1134"/>
        <w:gridCol w:w="1134"/>
        <w:gridCol w:w="1418"/>
      </w:tblGrid>
      <w:tr>
        <w:trPr>
          <w:trHeight w:val="277"/>
        </w:trPr>
        <w:tc>
          <w:tcPr>
            <w:tcW w:w="3960" w:type="dxa"/>
            <w:vMerge w:val="restart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</w:rPr>
              <w:br w:type="page"/>
            </w: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TOTAL tal-approprjazzjonijiet operazzjonali </w:t>
            </w:r>
          </w:p>
        </w:tc>
        <w:tc>
          <w:tcPr>
            <w:tcW w:w="1440" w:type="dxa"/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(4)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(5)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rPr>
          <w:trHeight w:val="533"/>
        </w:trPr>
        <w:tc>
          <w:tcPr>
            <w:tcW w:w="5400" w:type="dxa"/>
            <w:gridSpan w:val="2"/>
            <w:vAlign w:val="center"/>
          </w:tcPr>
          <w:p>
            <w:pPr>
              <w:spacing w:beforeLines="20" w:before="48" w:afterLines="20" w:after="48"/>
              <w:rPr>
                <w:noProof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Approprjazzjonijiet TOTALI ta’ natura amministrattiva ffinanzjati mill-pakkett ta’ programmi speċifiċi 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(6)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 w:val="restart"/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Approprjazzjonijiet TOTALI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taħt l-INTESTATURA 13</w:t>
            </w:r>
            <w:r>
              <w:rPr>
                <w:noProof/>
                <w:sz w:val="22"/>
              </w:rPr>
              <w:br/>
              <w:t>tal-qafas finanzjarju pluriennali</w:t>
            </w: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=4+ 6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/>
            <w:shd w:val="thinDiagStripe" w:color="C0C0C0" w:fill="auto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=5+ 6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</w:tbl>
    <w:p>
      <w:pPr>
        <w:spacing w:after="40"/>
        <w:rPr>
          <w:b/>
          <w:noProof/>
          <w:sz w:val="22"/>
          <w:u w:val="single"/>
        </w:rPr>
      </w:pPr>
    </w:p>
    <w:p>
      <w:pPr>
        <w:spacing w:after="40"/>
        <w:rPr>
          <w:b/>
          <w:noProof/>
          <w:sz w:val="22"/>
          <w:u w:val="single"/>
        </w:rPr>
      </w:pPr>
      <w:r>
        <w:rPr>
          <w:b/>
          <w:noProof/>
          <w:sz w:val="22"/>
          <w:u w:val="single"/>
        </w:rPr>
        <w:t>Jekk aktar minn intestatura operazzjonali waħda hija affettwata mill-proposta / l-inizjattiva, irrepeti t-taqsima ta’ hawn fuq:</w:t>
      </w:r>
    </w:p>
    <w:tbl>
      <w:tblPr>
        <w:tblW w:w="0" w:type="auto"/>
        <w:tblInd w:w="-252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65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rPr>
          <w:trHeight w:val="277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</w:tcBorders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TOTAL tal-approprazzjonijiet </w:t>
            </w:r>
            <w:r>
              <w:rPr>
                <w:noProof/>
                <w:sz w:val="21"/>
              </w:rPr>
              <w:lastRenderedPageBreak/>
              <w:t>operazzjonali (l-intestaturi operazzjonali kollha)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lastRenderedPageBreak/>
              <w:t>Impenji</w:t>
            </w:r>
          </w:p>
        </w:tc>
        <w:tc>
          <w:tcPr>
            <w:tcW w:w="654" w:type="dxa"/>
            <w:tcBorders>
              <w:top w:val="single" w:sz="4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(4)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FF0000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(5)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3"/>
        </w:trPr>
        <w:tc>
          <w:tcPr>
            <w:tcW w:w="5400" w:type="dxa"/>
            <w:gridSpan w:val="2"/>
            <w:vAlign w:val="center"/>
          </w:tcPr>
          <w:p>
            <w:pPr>
              <w:spacing w:beforeLines="20" w:before="48" w:afterLines="20" w:after="48"/>
              <w:rPr>
                <w:noProof/>
              </w:rPr>
            </w:pPr>
            <w:r>
              <w:rPr>
                <w:noProof/>
                <w:sz w:val="21"/>
              </w:rPr>
              <w:lastRenderedPageBreak/>
              <w:t xml:space="preserve"> TOTAL tal-approprjazzjonijiet ta’ natura amministrattiva ffinanzjati mill-pakkett għal programmi speċifiċi (l-intestaturi operazzjonali kollha)</w:t>
            </w:r>
          </w:p>
        </w:tc>
        <w:tc>
          <w:tcPr>
            <w:tcW w:w="654" w:type="dxa"/>
            <w:vAlign w:val="center"/>
          </w:tcPr>
          <w:p>
            <w:pPr>
              <w:rPr>
                <w:noProof/>
              </w:rPr>
            </w:pPr>
          </w:p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(6)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 w:val="restart"/>
            <w:tcBorders>
              <w:top w:val="single" w:sz="4" w:space="0" w:color="FF0000"/>
              <w:left w:val="single" w:sz="4" w:space="0" w:color="auto"/>
              <w:bottom w:val="single" w:sz="4" w:space="0" w:color="FF0000"/>
            </w:tcBorders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Approprjazzjonijiet TOTALI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taħt l-INTESTATURI minn 1 sa 4</w:t>
            </w:r>
            <w:r>
              <w:rPr>
                <w:noProof/>
                <w:sz w:val="22"/>
              </w:rPr>
              <w:br/>
              <w:t>tal-qafas finanzjarju pluriennali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20"/>
              </w:rPr>
              <w:t>(Ammont ta’ referenza)</w:t>
            </w: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=4+ 6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auto"/>
            </w:tcBorders>
            <w:shd w:val="thinDiagStripe" w:color="C0C0C0" w:fill="auto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=5+ 6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rPr>
          <w:noProof/>
        </w:rPr>
      </w:pPr>
    </w:p>
    <w:p>
      <w:pPr>
        <w:spacing w:before="0" w:after="0"/>
        <w:jc w:val="left"/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noProof/>
              </w:rPr>
              <w:lastRenderedPageBreak/>
              <w:br w:type="page"/>
            </w:r>
            <w:r>
              <w:rPr>
                <w:b/>
                <w:noProof/>
                <w:sz w:val="22"/>
              </w:rPr>
              <w:t xml:space="preserve">Intestatura tal-qafas finanzjarju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pluriennali </w:t>
            </w:r>
          </w:p>
        </w:tc>
        <w:tc>
          <w:tcPr>
            <w:tcW w:w="1080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b/>
                <w:noProof/>
                <w:sz w:val="22"/>
              </w:rPr>
              <w:t>5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  <w:sz w:val="22"/>
              </w:rPr>
              <w:t>“Nefqa amministrattiva”</w:t>
            </w:r>
          </w:p>
        </w:tc>
      </w:tr>
    </w:tbl>
    <w:p>
      <w:pPr>
        <w:jc w:val="left"/>
        <w:rPr>
          <w:noProof/>
          <w:sz w:val="20"/>
        </w:rPr>
      </w:pPr>
      <w:r>
        <w:rPr>
          <w:noProof/>
        </w:rPr>
        <w:t>Meta timtela din it-taqsima jenħtieġ li tintuża d-“</w:t>
      </w:r>
      <w:r>
        <w:rPr>
          <w:i/>
          <w:noProof/>
        </w:rPr>
        <w:t>data</w:t>
      </w:r>
      <w:r>
        <w:rPr>
          <w:noProof/>
        </w:rPr>
        <w:t xml:space="preserve"> baġitarja ta’ natura amministrattiva” li qabel kollox trid tiġi introdotta fl-</w:t>
      </w:r>
      <w:hyperlink r:id="rId22">
        <w:r>
          <w:rPr>
            <w:rStyle w:val="Hyperlink"/>
            <w:noProof/>
          </w:rPr>
          <w:t>Anness tad-Dikjarazzjoni Finanzjarja Leġiżlattiva</w:t>
        </w:r>
      </w:hyperlink>
      <w:r>
        <w:rPr>
          <w:noProof/>
        </w:rPr>
        <w:t xml:space="preserve"> (l-Anness V tar-regoli interni), li jittella’ fid-DECIDE għal finijiet ta’ konsultazzjoni bejn is-servizzi.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f’miljuni ta’ EUR (sa tliet pożizzjonijiet deċimali)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 xml:space="preserve">Daħħal is-snin kollha li hemm bżonn biex turi t-tul ta’ żmien tal-impatt (ara l-punt 1.6) 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gridAfter w:val="10"/>
          <w:wAfter w:w="9947" w:type="dxa"/>
        </w:trPr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DĠ: &lt;…….&gt;</w:t>
            </w:r>
          </w:p>
        </w:tc>
      </w:tr>
      <w:tr>
        <w:trPr>
          <w:trHeight w:val="313"/>
        </w:trPr>
        <w:tc>
          <w:tcPr>
            <w:tcW w:w="6054" w:type="dxa"/>
            <w:gridSpan w:val="3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Riżorsi umani 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rPr>
          <w:trHeight w:val="351"/>
        </w:trPr>
        <w:tc>
          <w:tcPr>
            <w:tcW w:w="6054" w:type="dxa"/>
            <w:gridSpan w:val="3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Nefqa amministrattiva oħra 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TOTAL DĠ </w:t>
            </w:r>
            <w:r>
              <w:rPr>
                <w:noProof/>
                <w:sz w:val="22"/>
              </w:rPr>
              <w:t>&lt;…….&gt;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 xml:space="preserve">Approprjazzjonijiet 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rPr>
          <w:noProof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09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Approprjazzjonijiet TOTALI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taħt l-INTESTATURA 5</w:t>
            </w:r>
            <w:r>
              <w:rPr>
                <w:noProof/>
                <w:sz w:val="22"/>
              </w:rPr>
              <w:br/>
              <w:t>tal-qafas finanzjarju pluriennali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vAlign w:val="center"/>
          </w:tcPr>
          <w:p>
            <w:pPr>
              <w:spacing w:before="40" w:after="40"/>
              <w:rPr>
                <w:noProof/>
              </w:rPr>
            </w:pPr>
            <w:r>
              <w:rPr>
                <w:noProof/>
                <w:sz w:val="18"/>
              </w:rPr>
              <w:t>(Total tal-impenji = Total tal-pagamenti)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jc w:val="right"/>
        <w:rPr>
          <w:noProof/>
          <w:sz w:val="20"/>
        </w:rPr>
      </w:pPr>
      <w:r>
        <w:rPr>
          <w:noProof/>
          <w:sz w:val="20"/>
        </w:rPr>
        <w:t>f’miljuni ta’ EUR (sa tliet pożizzjonijiet deċimali)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  <w:r>
              <w:rPr>
                <w:rStyle w:val="FootnoteReference"/>
                <w:b/>
                <w:noProof/>
                <w:sz w:val="20"/>
              </w:rPr>
              <w:footnoteReference w:id="13"/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>Daħħal is-snin kollha li hemm bżonn biex turi t-tul ta’ żmien tal-impatt (ara l-punt 1.6)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c>
          <w:tcPr>
            <w:tcW w:w="3960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Approprjazzjonijiet TOTALI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taħt l-INTESTATURI minn 1 sa 5</w:t>
            </w:r>
            <w:r>
              <w:rPr>
                <w:noProof/>
                <w:sz w:val="22"/>
              </w:rPr>
              <w:br/>
              <w:t>tal-qafas finanzjarju pluriennali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Impenji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  <w:shd w:val="clear" w:color="auto" w:fill="C0C0C0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Pagamenti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rPr>
          <w:noProof/>
        </w:rPr>
      </w:pPr>
    </w:p>
    <w:p>
      <w:pPr>
        <w:pStyle w:val="ManualHeading3"/>
        <w:rPr>
          <w:bCs/>
          <w:noProof/>
          <w:szCs w:val="24"/>
        </w:rPr>
      </w:pPr>
      <w:bookmarkStart w:id="45" w:name="_Toc514938054"/>
      <w:bookmarkStart w:id="46" w:name="_Toc520485053"/>
      <w:r>
        <w:t>3.2.2.</w:t>
      </w:r>
      <w:r>
        <w:tab/>
      </w:r>
      <w:r>
        <w:rPr>
          <w:noProof/>
        </w:rPr>
        <w:t>Output stmat iffinanzjat b’approprjazzjonijiet operazzjonali</w:t>
      </w:r>
      <w:bookmarkEnd w:id="45"/>
      <w:bookmarkEnd w:id="46"/>
      <w:r>
        <w:rPr>
          <w:noProof/>
        </w:rPr>
        <w:t xml:space="preserve"> 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Approprjazzjonijiet ta’ impenn f’miljuni ta’ EUR (sa tliet punti deċimali)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720"/>
        <w:gridCol w:w="701"/>
        <w:gridCol w:w="504"/>
        <w:gridCol w:w="720"/>
        <w:gridCol w:w="540"/>
        <w:gridCol w:w="720"/>
        <w:gridCol w:w="720"/>
        <w:gridCol w:w="720"/>
        <w:gridCol w:w="900"/>
        <w:gridCol w:w="51"/>
        <w:gridCol w:w="669"/>
        <w:gridCol w:w="540"/>
        <w:gridCol w:w="648"/>
        <w:gridCol w:w="432"/>
        <w:gridCol w:w="720"/>
        <w:gridCol w:w="540"/>
        <w:gridCol w:w="720"/>
        <w:gridCol w:w="720"/>
        <w:gridCol w:w="900"/>
      </w:tblGrid>
      <w:tr>
        <w:trPr>
          <w:jc w:val="center"/>
        </w:trPr>
        <w:tc>
          <w:tcPr>
            <w:tcW w:w="1423" w:type="dxa"/>
            <w:vMerge w:val="restart"/>
            <w:vAlign w:val="center"/>
          </w:tcPr>
          <w:p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 xml:space="preserve">Indika l-objettivi u l-outputs </w:t>
            </w:r>
          </w:p>
          <w:p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</w:p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sym w:font="Wingdings" w:char="F0F2"/>
            </w:r>
          </w:p>
        </w:tc>
        <w:tc>
          <w:tcPr>
            <w:tcW w:w="720" w:type="dxa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left w:val="nil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N+1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N+2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N+3</w:t>
            </w:r>
          </w:p>
        </w:tc>
        <w:tc>
          <w:tcPr>
            <w:tcW w:w="3600" w:type="dxa"/>
            <w:gridSpan w:val="6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Daħħal is-snin kollha li hemm bżonn biex turi t-tul ta’ żmien tal-impatt (ara l-punt 1.6)</w:t>
            </w:r>
          </w:p>
        </w:tc>
        <w:tc>
          <w:tcPr>
            <w:tcW w:w="1620" w:type="dxa"/>
            <w:gridSpan w:val="2"/>
            <w:tcBorders>
              <w:left w:val="nil"/>
              <w:bottom w:val="nil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TOTAL</w:t>
            </w:r>
          </w:p>
        </w:tc>
      </w:tr>
      <w:tr>
        <w:trPr>
          <w:jc w:val="center"/>
        </w:trPr>
        <w:tc>
          <w:tcPr>
            <w:tcW w:w="1423" w:type="dxa"/>
            <w:vMerge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2185" w:type="dxa"/>
            <w:gridSpan w:val="19"/>
            <w:vAlign w:val="center"/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OUTPUTS</w:t>
            </w:r>
          </w:p>
        </w:tc>
      </w:tr>
      <w:tr>
        <w:trPr>
          <w:cantSplit/>
          <w:trHeight w:val="1134"/>
          <w:jc w:val="center"/>
        </w:trPr>
        <w:tc>
          <w:tcPr>
            <w:tcW w:w="1423" w:type="dxa"/>
            <w:vMerge/>
            <w:vAlign w:val="center"/>
          </w:tcPr>
          <w:p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Tip</w:t>
            </w:r>
            <w:r>
              <w:rPr>
                <w:rStyle w:val="FootnoteReference"/>
                <w:noProof/>
                <w:sz w:val="18"/>
              </w:rPr>
              <w:footnoteReference w:id="14"/>
            </w:r>
          </w:p>
          <w:p>
            <w:pPr>
              <w:spacing w:before="0" w:after="0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 medja</w:t>
            </w:r>
          </w:p>
        </w:tc>
        <w:tc>
          <w:tcPr>
            <w:tcW w:w="504" w:type="dxa"/>
            <w:tcBorders>
              <w:left w:val="nil"/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90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648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432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Nru Totali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Spiża totali</w:t>
            </w:r>
          </w:p>
        </w:tc>
      </w:tr>
      <w:tr>
        <w:trPr>
          <w:jc w:val="center"/>
        </w:trPr>
        <w:tc>
          <w:tcPr>
            <w:tcW w:w="2844" w:type="dxa"/>
            <w:gridSpan w:val="3"/>
            <w:vAlign w:val="center"/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OBJETTIV SPEĊIFIKU Nru 1</w:t>
            </w:r>
            <w:r>
              <w:rPr>
                <w:rStyle w:val="FootnoteReference"/>
                <w:noProof/>
                <w:sz w:val="18"/>
              </w:rPr>
              <w:footnoteReference w:id="15"/>
            </w:r>
            <w:r>
              <w:rPr>
                <w:noProof/>
                <w:sz w:val="18"/>
              </w:rPr>
              <w:t>…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Output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Output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Output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val="77"/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Subtotal għall-objettiv speċifiku Nru 1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844" w:type="dxa"/>
            <w:gridSpan w:val="3"/>
            <w:vAlign w:val="center"/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OBJETTIV SPEĊIFIKU Nru 2 ...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Output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Subtotal għall-objettiv speċifiku Nru 2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69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8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TOTALI</w:t>
            </w:r>
          </w:p>
        </w:tc>
        <w:tc>
          <w:tcPr>
            <w:tcW w:w="504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</w:tbl>
    <w:p>
      <w:pPr>
        <w:rPr>
          <w:noProof/>
        </w:rPr>
        <w:sectPr>
          <w:headerReference w:type="default" r:id="rId23"/>
          <w:footerReference w:type="default" r:id="rId24"/>
          <w:headerReference w:type="first" r:id="rId25"/>
          <w:footerReference w:type="first" r:id="rId26"/>
          <w:pgSz w:w="16840" w:h="11907" w:orient="landscape" w:code="9"/>
          <w:pgMar w:top="1134" w:right="1418" w:bottom="567" w:left="1418" w:header="709" w:footer="709" w:gutter="0"/>
          <w:cols w:space="708"/>
          <w:docGrid w:linePitch="360"/>
        </w:sectPr>
      </w:pPr>
    </w:p>
    <w:p>
      <w:pPr>
        <w:pStyle w:val="ManualHeading3"/>
        <w:rPr>
          <w:bCs/>
          <w:noProof/>
          <w:szCs w:val="24"/>
        </w:rPr>
      </w:pPr>
      <w:bookmarkStart w:id="47" w:name="_Toc514938055"/>
      <w:bookmarkStart w:id="48" w:name="_Toc520485054"/>
      <w:r>
        <w:t>3.2.3.</w:t>
      </w:r>
      <w:r>
        <w:tab/>
      </w:r>
      <w:r>
        <w:rPr>
          <w:noProof/>
        </w:rPr>
        <w:t>Sommarju tal-impatt stmat fuq l-approprjazzjonijiet amministrattivi</w:t>
      </w:r>
      <w:bookmarkEnd w:id="47"/>
      <w:bookmarkEnd w:id="48"/>
      <w:r>
        <w:rPr>
          <w:noProof/>
        </w:rPr>
        <w:t xml:space="preserve">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 / l-inizjattiva ma teħtieġx l-użu ta’ approprjazzjonijiet ta’ natura amministrattiva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 / l-inizjattiva teħtieġ l-użu ta’ approprjazzjonijiet ta’ natura amministrattiva, kif spjegat hawn taħt: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f’miljuni ta’ EUR (sa tliet pożizzjonijiet deċimali)</w:t>
      </w: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3240"/>
        <w:gridCol w:w="1080"/>
      </w:tblGrid>
      <w:tr>
        <w:trPr>
          <w:trHeight w:val="585"/>
        </w:trPr>
        <w:tc>
          <w:tcPr>
            <w:tcW w:w="1980" w:type="dxa"/>
          </w:tcPr>
          <w:p>
            <w:pPr>
              <w:spacing w:before="60" w:after="60" w:line="200" w:lineRule="exac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N </w:t>
            </w:r>
            <w:r>
              <w:rPr>
                <w:rStyle w:val="FootnoteReference"/>
                <w:b/>
                <w:noProof/>
                <w:sz w:val="16"/>
              </w:rPr>
              <w:footnoteReference w:id="16"/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N+1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N+2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N+3</w:t>
            </w:r>
          </w:p>
        </w:tc>
        <w:tc>
          <w:tcPr>
            <w:tcW w:w="3240" w:type="dxa"/>
            <w:vAlign w:val="center"/>
          </w:tcPr>
          <w:p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Daħħal is-snin kollha li hemm bżonn biex turi t-tul ta’ żmien tal-impatt (ara l-punt 1.6)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INTESTATURA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tal-qafas finanzjarju pluriennali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Riżorsi umani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Nefqa amministrattiva oħra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Subtotal tal-INTESTATURA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tal-qafas finanzjarju pluriennali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Mhux taħt l-INTESTATURA 5</w:t>
            </w:r>
            <w:r>
              <w:rPr>
                <w:rStyle w:val="FootnoteReference"/>
                <w:b/>
                <w:noProof/>
                <w:sz w:val="16"/>
              </w:rPr>
              <w:footnoteReference w:id="17"/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tal-qafas finanzjarju pluriennali </w:t>
            </w:r>
          </w:p>
          <w:p>
            <w:pPr>
              <w:spacing w:before="0" w:after="0" w:line="200" w:lineRule="exact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Riżorsi umani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Nefqa oħra 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6"/>
              </w:rPr>
              <w:t>ta’ natura amministrattiva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 xml:space="preserve">Subtotal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Mhux taħt l-INTESTATURA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tal-qafas finanzjarju pluriennali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rPr>
          <w:noProof/>
          <w:sz w:val="18"/>
        </w:rPr>
      </w:pPr>
      <w:r>
        <w:rPr>
          <w:noProof/>
          <w:sz w:val="18"/>
        </w:rPr>
        <w:t>L-approprjazzjonijiet meħtieġa għar-riżorsi umani u għal infiq ieħor ta’ natura amministrattiva se jiġu koperti mill-approprjazzjonijiet tad-DĠ li diġà jkunu assenjati għall-ġestjoni tal-azzjoni u/jew li diġà jkunu ġew riassenjati fid-DĠ, flimkien, jekk ikun meħtieġ, ma’ kwalunkwe allokazzjoni addizzjonali li tista’ tingħata lid-DĠ tal-ġestjoni skont il-proċedura annwali ta’ allokazzjoni u fid-dawl tal-limitazzjonijiet baġitarji.</w:t>
      </w:r>
    </w:p>
    <w:p>
      <w:pPr>
        <w:rPr>
          <w:noProof/>
          <w:sz w:val="18"/>
        </w:rPr>
        <w:sectPr>
          <w:headerReference w:type="default" r:id="rId27"/>
          <w:footerReference w:type="default" r:id="rId28"/>
          <w:headerReference w:type="first" r:id="rId29"/>
          <w:footerReference w:type="first" r:id="rId30"/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4"/>
        <w:rPr>
          <w:bCs/>
          <w:noProof/>
          <w:szCs w:val="24"/>
        </w:rPr>
      </w:pPr>
      <w:r>
        <w:t>3.2.3.1.</w:t>
      </w:r>
      <w:r>
        <w:tab/>
      </w:r>
      <w:r>
        <w:rPr>
          <w:noProof/>
        </w:rPr>
        <w:t xml:space="preserve">Rekwiżiti stmati ta’ riżorsi umani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Il-proposta / l-inizjattiva ma teħtieġx l-użu ta’ riżorsi umani.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Il-proposta/l-inizjattiva teħtieġ l-użu ta’ riżorsi umani, kif spjegat hawn taħt:</w:t>
      </w:r>
    </w:p>
    <w:p>
      <w:pPr>
        <w:spacing w:after="60"/>
        <w:jc w:val="right"/>
        <w:rPr>
          <w:i/>
          <w:noProof/>
          <w:sz w:val="20"/>
        </w:rPr>
      </w:pPr>
      <w:r>
        <w:rPr>
          <w:i/>
          <w:noProof/>
          <w:sz w:val="20"/>
        </w:rPr>
        <w:t>L-istima trid tiġi espressa f’unitajiet ekwivalenti għall-full-time</w:t>
      </w:r>
    </w:p>
    <w:tbl>
      <w:tblPr>
        <w:tblW w:w="98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376"/>
        <w:gridCol w:w="2378"/>
        <w:gridCol w:w="731"/>
        <w:gridCol w:w="731"/>
        <w:gridCol w:w="731"/>
        <w:gridCol w:w="731"/>
        <w:gridCol w:w="731"/>
        <w:gridCol w:w="731"/>
        <w:gridCol w:w="731"/>
      </w:tblGrid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</w:tcPr>
          <w:p>
            <w:pPr>
              <w:pStyle w:val="Text1"/>
              <w:spacing w:before="40" w:after="40"/>
              <w:ind w:left="0"/>
              <w:jc w:val="center"/>
              <w:rPr>
                <w:i/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Sena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N+1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Sena </w:t>
            </w:r>
            <w:r>
              <w:rPr>
                <w:b/>
                <w:noProof/>
                <w:sz w:val="16"/>
              </w:rPr>
              <w:t>N+2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Sena </w:t>
            </w:r>
            <w:r>
              <w:rPr>
                <w:b/>
                <w:noProof/>
                <w:sz w:val="16"/>
              </w:rPr>
              <w:t>N+3</w:t>
            </w:r>
          </w:p>
        </w:tc>
        <w:tc>
          <w:tcPr>
            <w:tcW w:w="6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Daħħal is-snin kollha li hemm bżonn biex turi t-tul ta’ żmien tal-impatt (ara l-punt 1.6)</w:t>
            </w: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600" w:type="dxa"/>
            <w:gridSpan w:val="9"/>
            <w:shd w:val="clear" w:color="auto" w:fill="auto"/>
          </w:tcPr>
          <w:p>
            <w:pPr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Pożizzjonijiet fit-tabelli tal-persunal (uffiċjali u aġenti temporanji)</w:t>
            </w: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01 01 (Kwartieri Ġenerali u l-Uffiċċji tar-Rappreżentanza tal-Kummissjoni)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01 02 (Delegazzjonijiet)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05 01/11/21 (Riċerka indiretta)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10 01 05 01/11 (Riċerka diretta)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trHeight w:val="248"/>
          <w:jc w:val="center"/>
        </w:trPr>
        <w:tc>
          <w:tcPr>
            <w:tcW w:w="600" w:type="dxa"/>
            <w:gridSpan w:val="10"/>
            <w:shd w:val="clear" w:color="auto" w:fill="auto"/>
            <w:vAlign w:val="center"/>
          </w:tcPr>
          <w:p>
            <w:pPr>
              <w:pStyle w:val="Text1"/>
              <w:spacing w:before="60" w:after="60"/>
              <w:ind w:left="0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Persunal estern (f’unità Ekwivalenti għall-Full Time: FTE)</w:t>
            </w:r>
            <w:r>
              <w:rPr>
                <w:rStyle w:val="FootnoteReference"/>
                <w:b/>
                <w:noProof/>
                <w:sz w:val="16"/>
              </w:rPr>
              <w:footnoteReference w:id="18"/>
            </w:r>
          </w:p>
          <w:p>
            <w:pPr>
              <w:pStyle w:val="Text1"/>
              <w:spacing w:before="0" w:after="0"/>
              <w:ind w:left="0"/>
              <w:jc w:val="left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02 01 (AC, END, INT mill-”pakkett globali”)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02 02 (AC, AL, END, INT u JPD fid-Delegazzjonijiet)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1952" w:type="dxa"/>
            <w:vMerge w:val="restart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XX</w:t>
            </w:r>
            <w:r>
              <w:rPr>
                <w:noProof/>
                <w:sz w:val="16"/>
              </w:rPr>
              <w:t xml:space="preserve"> 01 04 </w:t>
            </w:r>
            <w:r>
              <w:rPr>
                <w:b/>
                <w:noProof/>
                <w:sz w:val="16"/>
              </w:rPr>
              <w:t>ss</w:t>
            </w:r>
            <w:r>
              <w:rPr>
                <w:b/>
                <w:i/>
                <w:noProof/>
                <w:sz w:val="16"/>
              </w:rPr>
              <w:t xml:space="preserve"> </w:t>
            </w:r>
            <w:r>
              <w:rPr>
                <w:rStyle w:val="FootnoteReference"/>
                <w:b/>
                <w:i/>
                <w:noProof/>
                <w:sz w:val="16"/>
              </w:rPr>
              <w:footnoteReference w:id="19"/>
            </w:r>
          </w:p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- fil-Kwartieri Ġenerali</w:t>
            </w:r>
          </w:p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0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1952" w:type="dxa"/>
            <w:vMerge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- fid-Delegazzjonijiet 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0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XX</w:t>
            </w:r>
            <w:r>
              <w:rPr>
                <w:noProof/>
                <w:sz w:val="16"/>
              </w:rPr>
              <w:t xml:space="preserve"> 01 05 02/12/22 (AC, END, INT - Riċerka indiretta)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10 01 05 02/12 (AC, END, INT - Riċerka diretta)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Linji baġitarji oħra (speċifika)</w:t>
            </w: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pStyle w:val="Text1"/>
        <w:spacing w:before="60" w:after="60"/>
        <w:ind w:left="851"/>
        <w:rPr>
          <w:noProof/>
          <w:sz w:val="18"/>
          <w:szCs w:val="18"/>
        </w:rPr>
      </w:pPr>
      <w:r>
        <w:rPr>
          <w:b/>
          <w:noProof/>
          <w:sz w:val="18"/>
        </w:rPr>
        <w:t>XX</w:t>
      </w:r>
      <w:r>
        <w:rPr>
          <w:noProof/>
          <w:sz w:val="18"/>
        </w:rPr>
        <w:t xml:space="preserve"> huwa l-qasam ta’ politika jew it-titolu baġitarju kkonċernat.</w:t>
      </w:r>
    </w:p>
    <w:p>
      <w:pPr>
        <w:pStyle w:val="Text1"/>
        <w:rPr>
          <w:noProof/>
          <w:sz w:val="18"/>
          <w:szCs w:val="18"/>
        </w:rPr>
      </w:pPr>
      <w:r>
        <w:rPr>
          <w:noProof/>
          <w:sz w:val="18"/>
        </w:rPr>
        <w:t>Ir-riżorsi umani meħtieġa se jiġu koperti mill-persunal tad-DĠ li diġà jkun assenjat għall-ġestjoni tal-azzjoni u/jew li diġà jkun ġie riassenjat fid-DĠ, flimkien, jekk ikun meħtieġ, ma’ kwalunkwe allokazzjoni addizzjonali li tista’ tingħata lid-DĠ tal-ġestjoni skont il-proċedura annwali ta’ allokazzjoni u fid-dawl tal-limitazzjonijiet baġitarji.</w:t>
      </w:r>
    </w:p>
    <w:p>
      <w:pPr>
        <w:rPr>
          <w:noProof/>
          <w:sz w:val="20"/>
        </w:rPr>
      </w:pPr>
      <w:r>
        <w:rPr>
          <w:noProof/>
          <w:sz w:val="20"/>
        </w:rPr>
        <w:t>Deskrizzjoni tal-kompiti li jridu jitwettqu:</w:t>
      </w:r>
    </w:p>
    <w:tbl>
      <w:tblPr>
        <w:tblW w:w="10440" w:type="dxa"/>
        <w:tblInd w:w="-4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200"/>
      </w:tblGrid>
      <w:tr>
        <w:tc>
          <w:tcPr>
            <w:tcW w:w="3240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Uffiċjali u aġenti temporanji</w:t>
            </w:r>
          </w:p>
        </w:tc>
        <w:tc>
          <w:tcPr>
            <w:tcW w:w="7200" w:type="dxa"/>
          </w:tcPr>
          <w:p>
            <w:pPr>
              <w:rPr>
                <w:noProof/>
                <w:sz w:val="20"/>
              </w:rPr>
            </w:pPr>
          </w:p>
        </w:tc>
      </w:tr>
      <w:tr>
        <w:tc>
          <w:tcPr>
            <w:tcW w:w="3240" w:type="dxa"/>
          </w:tcPr>
          <w:p>
            <w:pPr>
              <w:spacing w:before="60" w:after="6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Il-persunal estern</w:t>
            </w:r>
          </w:p>
        </w:tc>
        <w:tc>
          <w:tcPr>
            <w:tcW w:w="7200" w:type="dxa"/>
          </w:tcPr>
          <w:p>
            <w:pPr>
              <w:rPr>
                <w:noProof/>
                <w:sz w:val="20"/>
              </w:rPr>
            </w:pPr>
          </w:p>
        </w:tc>
      </w:tr>
    </w:tbl>
    <w:p>
      <w:pPr>
        <w:rPr>
          <w:noProof/>
        </w:rPr>
        <w:sectPr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3"/>
        <w:rPr>
          <w:noProof/>
        </w:rPr>
      </w:pPr>
      <w:bookmarkStart w:id="49" w:name="_Toc514938056"/>
      <w:bookmarkStart w:id="50" w:name="_Toc520485055"/>
      <w:r>
        <w:t>3.2.4.</w:t>
      </w:r>
      <w:r>
        <w:tab/>
      </w:r>
      <w:r>
        <w:rPr>
          <w:noProof/>
        </w:rPr>
        <w:t>Kompatibbiltà mal-qafas finanzjarju pluriennali attwali</w:t>
      </w:r>
      <w:bookmarkEnd w:id="49"/>
      <w:bookmarkEnd w:id="50"/>
      <w:r>
        <w:rPr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t>Il-proposta/l-inizjattiva:</w:t>
      </w:r>
    </w:p>
    <w:p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ab/>
        <w:t>tista’ tiġi ffinanzjata kollha kemm hi taħt l-intestatura rilevanti tal-Qafas Finanzjarju Pluriennali (QFP).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tirrikjedi l-użu tal-marġni mhux allokat taħt l-intestatura rilevanti tal-QFP u/jew l-użu tal-istrumenti speċjali ddefiniti fir-Regolament dwar il-QFP.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Spjega x’inhu meħtieġ, billi tispeċifika l-intestaturi u l-linji baġitarji kkonċernati u l-ammonti korrispondenti, u l-istrumenti proposti li jintużaw.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teħtieġ reviżjoni tal-QFP.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Spjega x’inhu meħtieġ, filwaqt li tispeċifika l-intestaturi u l-linji baġitarji kkonċernati u l-ammonti korrispondenti.</w:t>
      </w:r>
    </w:p>
    <w:p>
      <w:pPr>
        <w:pStyle w:val="ManualHeading3"/>
        <w:rPr>
          <w:bCs/>
          <w:noProof/>
          <w:szCs w:val="24"/>
        </w:rPr>
      </w:pPr>
      <w:bookmarkStart w:id="51" w:name="_Toc514938058"/>
      <w:bookmarkStart w:id="52" w:name="_Toc520485056"/>
      <w:r>
        <w:t>3.2.5.</w:t>
      </w:r>
      <w:r>
        <w:tab/>
      </w:r>
      <w:r>
        <w:rPr>
          <w:noProof/>
        </w:rPr>
        <w:t>Kontribuzzjonijiet ta’ partijiet terzi</w:t>
      </w:r>
      <w:bookmarkEnd w:id="51"/>
      <w:bookmarkEnd w:id="52"/>
      <w:r>
        <w:rPr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t>Il-proposta/l-inizjattiva:</w:t>
      </w:r>
    </w:p>
    <w:p>
      <w:pPr>
        <w:pStyle w:val="ListDash1"/>
        <w:rPr>
          <w:noProof/>
        </w:rPr>
      </w:pPr>
      <w:r>
        <w:rPr>
          <w:b/>
          <w:noProof/>
        </w:rPr>
        <w:t xml:space="preserve">X </w:t>
      </w:r>
      <w:r>
        <w:rPr>
          <w:noProof/>
        </w:rPr>
        <w:t>ma tipprevedix il-kofinanzjament minn partijiet terzi</w:t>
      </w:r>
    </w:p>
    <w:p>
      <w:pPr>
        <w:pStyle w:val="ListDash1"/>
        <w:rPr>
          <w:noProof/>
        </w:rPr>
      </w:pPr>
      <w:r>
        <w:rPr>
          <w:noProof/>
        </w:rPr>
        <w:tab/>
        <w:t>tipprevedi l-kofinanzjament minn partijiet terzi kif stmat hawn taħt: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 xml:space="preserve">Approprjazzjonijiet f’EUR </w:t>
      </w:r>
    </w:p>
    <w:p>
      <w:pPr>
        <w:jc w:val="right"/>
        <w:rPr>
          <w:noProof/>
          <w:sz w:val="20"/>
        </w:rPr>
      </w:pPr>
    </w:p>
    <w:p>
      <w:pPr>
        <w:rPr>
          <w:noProof/>
        </w:rPr>
      </w:pPr>
      <w:r>
        <w:rPr>
          <w:noProof/>
        </w:rPr>
        <w:br/>
      </w: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53" w:name="_Toc514938059"/>
      <w:bookmarkStart w:id="54" w:name="_Toc520485057"/>
      <w:r>
        <w:t>3.3.</w:t>
      </w:r>
      <w:r>
        <w:tab/>
      </w:r>
      <w:r>
        <w:rPr>
          <w:noProof/>
        </w:rPr>
        <w:t>Impatt stmat fuq id-dħul</w:t>
      </w:r>
      <w:bookmarkEnd w:id="53"/>
      <w:bookmarkEnd w:id="54"/>
      <w:r>
        <w:rPr>
          <w:noProof/>
        </w:rPr>
        <w:t xml:space="preserve"> </w:t>
      </w:r>
    </w:p>
    <w:p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ab/>
        <w:t xml:space="preserve">Il-proposta/l-inizjattiva ma għandha l-ebda impatt finanzjarju fuq id-dħul. </w:t>
      </w:r>
    </w:p>
    <w:p>
      <w:pPr>
        <w:pStyle w:val="ListDash1"/>
        <w:rPr>
          <w:noProof/>
        </w:rPr>
      </w:pPr>
      <w:r>
        <w:rPr>
          <w:noProof/>
        </w:rPr>
        <w:tab/>
        <w:t>Il-proposta/l-inizjattiva għandha l-impatt finanzjarju li ġej:</w:t>
      </w:r>
    </w:p>
    <w:p>
      <w:pPr>
        <w:pStyle w:val="Tiret2"/>
        <w:numPr>
          <w:ilvl w:val="0"/>
          <w:numId w:val="16"/>
        </w:numPr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fuq ir-riżorsi proprji </w:t>
      </w:r>
    </w:p>
    <w:p>
      <w:pPr>
        <w:pStyle w:val="Tiret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fuq dħul ieħor</w:t>
      </w:r>
    </w:p>
    <w:p>
      <w:pPr>
        <w:pStyle w:val="Tiret2"/>
        <w:rPr>
          <w:noProof/>
        </w:rPr>
      </w:pPr>
      <w:r>
        <w:rPr>
          <w:noProof/>
        </w:rPr>
        <w:t>indika, jekk id-dħul hux assenjat għal-linji tan-nefqa X</w:t>
      </w:r>
      <w:r>
        <w:rPr>
          <w:noProof/>
        </w:rPr>
        <w:tab/>
      </w:r>
    </w:p>
    <w:p>
      <w:pPr>
        <w:pStyle w:val="ListNumberLevel3"/>
        <w:tabs>
          <w:tab w:val="clear" w:pos="2126"/>
        </w:tabs>
        <w:ind w:firstLine="0"/>
        <w:rPr>
          <w:noProof/>
        </w:rPr>
      </w:pPr>
    </w:p>
    <w:p>
      <w:pPr>
        <w:ind w:left="4320"/>
        <w:rPr>
          <w:i/>
          <w:noProof/>
          <w:sz w:val="20"/>
        </w:rPr>
      </w:pPr>
      <w:r>
        <w:rPr>
          <w:noProof/>
        </w:rPr>
        <w:t xml:space="preserve">     EUR </w:t>
      </w:r>
    </w:p>
    <w:p>
      <w:pPr>
        <w:pStyle w:val="Text1"/>
        <w:rPr>
          <w:noProof/>
          <w:sz w:val="20"/>
        </w:rPr>
      </w:pPr>
      <w:r>
        <w:rPr>
          <w:noProof/>
        </w:rPr>
        <w:br/>
      </w:r>
    </w:p>
    <w:p>
      <w:pPr>
        <w:pStyle w:val="Text1"/>
        <w:rPr>
          <w:noProof/>
          <w:sz w:val="20"/>
        </w:rPr>
      </w:pPr>
      <w:r>
        <w:rPr>
          <w:noProof/>
          <w:sz w:val="20"/>
        </w:rPr>
        <w:t>Għal dħul assenjat, speċifika l-linja baġitarja /il-linji baġitarji tan-nefqa affettwata/affettwati.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  <w:color w:val="0000FF"/>
        </w:rPr>
        <w:t>Mhux applikabbli</w:t>
      </w:r>
    </w:p>
    <w:p>
      <w:pPr>
        <w:pStyle w:val="Text1"/>
        <w:rPr>
          <w:noProof/>
        </w:rPr>
      </w:pPr>
      <w:r>
        <w:rPr>
          <w:noProof/>
          <w:sz w:val="20"/>
        </w:rPr>
        <w:t>Kumment ieħor (pereż. il-metodu/il-formula użati għall-kalkolu tal-impatt fuq id-dħul jew kull informazzjoni oħra).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tab/>
      </w:r>
      <w:hyperlink r:id="rId1">
        <w:r>
          <w:rPr>
            <w:rStyle w:val="Hyperlink"/>
          </w:rPr>
          <w:t>https://ec.europa.eu/commission/sites/beta-political/files/draft_withdrawal_agreement_0.pdf</w:t>
        </w:r>
      </w:hyperlink>
      <w:r>
        <w:t>.</w:t>
      </w:r>
    </w:p>
  </w:footnote>
  <w:footnote w:id="2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COM(2018) 880 final, 13.11.2018.</w:t>
      </w:r>
    </w:p>
  </w:footnote>
  <w:footnote w:id="3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L-ispirazzjoni ġiet mill-Proposta għal Regolament tal-Parlament Ewropew u tal-Kunsill li jemenda r-Regolament (UE) Nru 1316/2013 fir-rigward tal-ħruġ tar-Renju Unit mill-Unjoni - COM(2018) 568, 1.8.2018.</w:t>
      </w:r>
    </w:p>
  </w:footnote>
  <w:footnote w:id="4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 xml:space="preserve">ĠU C </w:t>
      </w:r>
      <w:r>
        <w:t>, , p. .</w:t>
      </w:r>
    </w:p>
  </w:footnote>
  <w:footnote w:id="5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 xml:space="preserve">ĠU C </w:t>
      </w:r>
      <w:r>
        <w:t>, , p. .</w:t>
      </w:r>
    </w:p>
  </w:footnote>
  <w:footnote w:id="6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Ir-Regolament (UE) Nru 1299/2013 tal-Parlament Ewropew u tal-Kunsill tas-17 ta’ Diċembru 2013 dwar dispożizzjonijiet speċifiċi għall-appoġġ mill-Fond Ewropew għall-Iżvilupp Reġjonali għall-għan ta’ kooperazzjoni territorjali Ewropea (ĠU L 347, 20.12.2013, p. 259).</w:t>
      </w:r>
    </w:p>
  </w:footnote>
  <w:footnote w:id="7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Ir-Regolament (UE) Nru 1303/2013 tal-Parlament Ewropew u tal-Kunsill tas-17 ta’ Diċembru 2013 li jistabbilixxi dispożizzjonijiet komuni dwar il-Fond Ewropew għall-Iżvilupp Reġjonali, il-Fond Soċjali Ewropew, il-Fond ta’ Koeżjoni, il-Fond Agrikolu Ewropew għall-Iżvilupp Rurali u l-Fond Marittimu u tas-Sajd Ewropew u li jistabbilixxi d-dispożizzjonijiet ġenerali dwar il-Fond Ewropew għall-Iżvilupp Reġjonali, il-Fond Soċjali Ewropew, il-Fond ta’ Koeżjoni u l-Fond Ewropew għall-Affarijiet Marittimi u s-Sajd u li jħassar ir-Regolament tal-Kunsill (KE) Nru 1083/2006 (ĠU L 347, 20.12.2013, p. 320).</w:t>
      </w:r>
    </w:p>
  </w:footnote>
  <w:footnote w:id="8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>Ir-Regolament (UE, Euratom) 2018/1046 tal-Parlament Ewropew u tal-Kunsill tat-18 ta’ Lulju 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Euratom) Nru 966/2012 (ĠU L 193, 30.7.2018, p. 1).</w:t>
      </w:r>
    </w:p>
  </w:footnote>
  <w:footnote w:id="9">
    <w:p>
      <w:pPr>
        <w:pStyle w:val="FootnoteText"/>
        <w:jc w:val="left"/>
        <w:rPr>
          <w:szCs w:val="24"/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ab/>
        <w:t xml:space="preserve">Dettalji tal-metodi ta’ ġestjoni u tar-referenzi għar-Regolament Finanzjarju jistgħu jinstabu fuq il-website Budg: </w:t>
      </w:r>
      <w:hyperlink r:id="rId2">
        <w:r>
          <w:rPr>
            <w:rStyle w:val="Hyperlink"/>
            <w:lang w:val="fr-BE"/>
          </w:rPr>
          <w:t>https://myintracomm.ec.europa.eu/budgweb/EN/man/budgmanag/Pages/budgmanag.aspx</w:t>
        </w:r>
      </w:hyperlink>
      <w:r>
        <w:rPr>
          <w:lang w:val="fr-BE"/>
        </w:rPr>
        <w:t xml:space="preserve"> </w:t>
      </w:r>
    </w:p>
  </w:footnote>
  <w:footnote w:id="10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Diff. = Approprjazzjonijiet differenzjati / Mhux diff. = Approprjazzjonijiet mhux differenzjati.</w:t>
      </w:r>
    </w:p>
  </w:footnote>
  <w:footnote w:id="11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L-EFTA: l-Assoċjazzjoni Ewropea tal-Kummerċ Ħieles. </w:t>
      </w:r>
    </w:p>
  </w:footnote>
  <w:footnote w:id="12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  <w:t>Pajjiżi kandidati u, meta applikabbli, il-kandidati potenzjali mill-Balkani tal-Punent.</w:t>
      </w:r>
    </w:p>
  </w:footnote>
  <w:footnote w:id="13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</w:r>
      <w:r>
        <w:rPr>
          <w:sz w:val="18"/>
          <w:lang w:val="it-IT"/>
        </w:rPr>
        <w:t>Is-sena N hija s-sena li fiha tibda l-implimentazzjoni tal-proposta / tal-inizjattiva. Issostitwixxi “N” bl-ewwel sena ta’ implimentazzjoni prevista (pereżempju: 2021). L-istess għas-snin ta’ wara.</w:t>
      </w:r>
    </w:p>
  </w:footnote>
  <w:footnote w:id="14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  <w:t>L-outputs huma l-prodotti u s-servizzi li jridu jiġu pprovduti (pereż.: l-għadd ta’ skambji ta’ studenti ffinanzjati, l-għadd ta’ km ta’ toroq mibnija, eċċ.).</w:t>
      </w:r>
    </w:p>
  </w:footnote>
  <w:footnote w:id="15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  <w:t xml:space="preserve">Kif deskritt fil-punt 1.4.2. “Objettiv speċifiku / Objettivi speċifiċi…” </w:t>
      </w:r>
    </w:p>
  </w:footnote>
  <w:footnote w:id="16">
    <w:p>
      <w:pPr>
        <w:pStyle w:val="FootnoteText"/>
        <w:rPr>
          <w:sz w:val="18"/>
          <w:szCs w:val="18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</w:r>
      <w:r>
        <w:rPr>
          <w:sz w:val="18"/>
          <w:lang w:val="it-IT"/>
        </w:rPr>
        <w:t>Is-sena N hija s-sena li fiha tibda l-implimentazzjoni tal-proposta / tal-inizjattiva. Issostitwixxi “N” bl-ewwel sena ta’ implimentazzjoni prevista (pereżempju: 2021). L-istess għas-snin ta’ wara.</w:t>
      </w:r>
    </w:p>
  </w:footnote>
  <w:footnote w:id="17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</w:r>
      <w:r>
        <w:rPr>
          <w:sz w:val="18"/>
          <w:lang w:val="it-IT"/>
        </w:rPr>
        <w:t>Assistenza teknika u/jew amministrattiva u nefqa li jappoġġaw l-implimentazzjoni ta’ programmi u/jew azzjonijiet tal-UE (li qabel kienu l-linji “BA”), ir-riċerka indiretta u r-riċerka diretta.</w:t>
      </w:r>
    </w:p>
  </w:footnote>
  <w:footnote w:id="18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  <w:t xml:space="preserve">AC = Aġenti Kuntrattwali; AL = Persunal Lokali; END= Espert Nazzjonali Sekondat; INT = persunal tal-aġenzija; JPD = Esperti Subordinati fid-Delegazzjonijiet. </w:t>
      </w:r>
    </w:p>
  </w:footnote>
  <w:footnote w:id="19">
    <w:p>
      <w:pPr>
        <w:pStyle w:val="FootnoteText"/>
        <w:rPr>
          <w:szCs w:val="24"/>
          <w:lang w:val="it-IT"/>
        </w:rPr>
      </w:pPr>
      <w:r>
        <w:rPr>
          <w:rStyle w:val="FootnoteReference"/>
        </w:rPr>
        <w:footnoteRef/>
      </w:r>
      <w:r>
        <w:rPr>
          <w:lang w:val="it-IT"/>
        </w:rPr>
        <w:tab/>
        <w:t>Sottolimitu għall-persunal estern kopert minn approprjazzjonijiet operazzjonali (li qabel kienu l-linji “BA”).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EF40EE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5E42680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AD16A6D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804D4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2B8633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18BC4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E78C81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50345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2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5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3"/>
  </w:num>
  <w:num w:numId="12">
    <w:abstractNumId w:val="18"/>
  </w:num>
  <w:num w:numId="13">
    <w:abstractNumId w:val="17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</w:num>
  <w:num w:numId="17">
    <w:abstractNumId w:val="22"/>
  </w:num>
  <w:num w:numId="18">
    <w:abstractNumId w:val="14"/>
  </w:num>
  <w:num w:numId="19">
    <w:abstractNumId w:val="24"/>
  </w:num>
  <w:num w:numId="20">
    <w:abstractNumId w:val="12"/>
  </w:num>
  <w:num w:numId="21">
    <w:abstractNumId w:val="15"/>
  </w:num>
  <w:num w:numId="22">
    <w:abstractNumId w:val="10"/>
  </w:num>
  <w:num w:numId="23">
    <w:abstractNumId w:val="23"/>
  </w:num>
  <w:num w:numId="24">
    <w:abstractNumId w:val="9"/>
  </w:num>
  <w:num w:numId="25">
    <w:abstractNumId w:val="16"/>
  </w:num>
  <w:num w:numId="26">
    <w:abstractNumId w:val="20"/>
  </w:num>
  <w:num w:numId="27">
    <w:abstractNumId w:val="21"/>
  </w:num>
  <w:num w:numId="28">
    <w:abstractNumId w:val="11"/>
  </w:num>
  <w:num w:numId="29">
    <w:abstractNumId w:val="19"/>
  </w:num>
  <w:num w:numId="30">
    <w:abstractNumId w:val="25"/>
  </w:num>
  <w:num w:numId="31">
    <w:abstractNumId w:val="22"/>
  </w:num>
  <w:num w:numId="32">
    <w:abstractNumId w:val="14"/>
  </w:num>
  <w:num w:numId="33">
    <w:abstractNumId w:val="24"/>
  </w:num>
  <w:num w:numId="34">
    <w:abstractNumId w:val="12"/>
  </w:num>
  <w:num w:numId="35">
    <w:abstractNumId w:val="15"/>
  </w:num>
  <w:num w:numId="36">
    <w:abstractNumId w:val="10"/>
  </w:num>
  <w:num w:numId="37">
    <w:abstractNumId w:val="23"/>
  </w:num>
  <w:num w:numId="38">
    <w:abstractNumId w:val="9"/>
  </w:num>
  <w:num w:numId="39">
    <w:abstractNumId w:val="16"/>
  </w:num>
  <w:num w:numId="40">
    <w:abstractNumId w:val="20"/>
  </w:num>
  <w:num w:numId="41">
    <w:abstractNumId w:val="21"/>
  </w:num>
  <w:num w:numId="42">
    <w:abstractNumId w:val="11"/>
  </w:num>
  <w:num w:numId="43">
    <w:abstractNumId w:val="19"/>
  </w:num>
  <w:num w:numId="44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movePersonalInformation/>
  <w:removeDateAndTime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8-12-21 10:11:30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3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0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41DB80D6-3897-4C6E-85D0-FF31B2A54F1C"/>
    <w:docVar w:name="LW_COVERPAGE_TYPE" w:val="1"/>
    <w:docVar w:name="LW_CROSSREFERENCE" w:val="&lt;UNUSED&gt;"/>
    <w:docVar w:name="LW_DocType" w:val="COM"/>
    <w:docVar w:name="LW_EMISSION" w:val="19.12.2018"/>
    <w:docVar w:name="LW_EMISSION_ISODATE" w:val="2018-12-19"/>
    <w:docVar w:name="LW_EMISSION_LOCATION" w:val="BRX"/>
    <w:docVar w:name="LW_EMISSION_PREFIX" w:val="Brussell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432"/>
    <w:docVar w:name="LW_REF.II.NEW.CP_YEAR" w:val="2018"/>
    <w:docVar w:name="LW_REF.INST.NEW" w:val="COM"/>
    <w:docVar w:name="LW_REF.INST.NEW_ADOPTED" w:val="final"/>
    <w:docVar w:name="LW_REF.INST.NEW_TEXT" w:val="(2018) 892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sabiex ikunu jistg\u295?u jitkomplew il-programmi g\u295?all-kooperazzjoni territorjali PEACE IV (l-Irlanda - ir-Renju Unit) u g\u295?ar-Renju Unit - l-Irlanda (l-Irlanda - l-Irlanda ta\u8217? Fuq - l-Iskozja) fil-kuntest tal-\u295?ru\u289? tar-Renju Unit mill-Unjoni Ewropea"/>
    <w:docVar w:name="LW_TYPE.DOC.CP" w:val="REGOLAMENT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7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pPr>
      <w:spacing w:before="0" w:after="16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  <w:lang w:val="mt-MT"/>
    </w:r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mt-M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nhideWhenUsed/>
    <w:pPr>
      <w:numPr>
        <w:numId w:val="9"/>
      </w:numPr>
      <w:contextualSpacing/>
    </w:pPr>
  </w:style>
  <w:style w:type="paragraph" w:styleId="CommentSubject">
    <w:name w:val="annotation subject"/>
    <w:basedOn w:val="CommentText"/>
    <w:next w:val="CommentText"/>
    <w:link w:val="CommentSubjectChar"/>
    <w:unhideWhenUsed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ListBullet1">
    <w:name w:val="List Bullet 1"/>
    <w:basedOn w:val="Normal"/>
    <w:pPr>
      <w:numPr>
        <w:numId w:val="10"/>
      </w:numPr>
    </w:pPr>
  </w:style>
  <w:style w:type="paragraph" w:customStyle="1" w:styleId="ListDash">
    <w:name w:val="List Dash"/>
    <w:basedOn w:val="Normal"/>
    <w:pPr>
      <w:numPr>
        <w:numId w:val="11"/>
      </w:numPr>
    </w:pPr>
  </w:style>
  <w:style w:type="paragraph" w:customStyle="1" w:styleId="ListDash1">
    <w:name w:val="List Dash 1"/>
    <w:basedOn w:val="Normal"/>
    <w:pPr>
      <w:numPr>
        <w:numId w:val="12"/>
      </w:numPr>
    </w:pPr>
  </w:style>
  <w:style w:type="paragraph" w:customStyle="1" w:styleId="ListDash2">
    <w:name w:val="List Dash 2"/>
    <w:basedOn w:val="Normal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character" w:styleId="FollowedHyperlink">
    <w:name w:val="FollowedHyperlink"/>
    <w:rPr>
      <w:color w:val="800080"/>
      <w:u w:val="singl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TOCHeadingChar">
    <w:name w:val="TOC Heading Char"/>
    <w:basedOn w:val="DefaultParagraphFont"/>
    <w:uiPriority w:val="39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hAnsi="Times New Roman" w:cs="Times New Roman"/>
      <w:b w:val="0"/>
      <w:sz w:val="24"/>
      <w:lang w:val="mt-M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TOCHeadingChar"/>
    <w:link w:val="HeaderCoverPage"/>
    <w:rPr>
      <w:rFonts w:ascii="Times New Roman" w:hAnsi="Times New Roman" w:cs="Times New Roman"/>
      <w:b w:val="0"/>
      <w:sz w:val="24"/>
      <w:lang w:val="mt-MT" w:eastAsia="mt-M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31"/>
      </w:numPr>
    </w:pPr>
  </w:style>
  <w:style w:type="paragraph" w:customStyle="1" w:styleId="Tiret1">
    <w:name w:val="Tiret 1"/>
    <w:basedOn w:val="Point1"/>
    <w:pPr>
      <w:numPr>
        <w:numId w:val="32"/>
      </w:numPr>
    </w:pPr>
  </w:style>
  <w:style w:type="paragraph" w:customStyle="1" w:styleId="Tiret2">
    <w:name w:val="Tiret 2"/>
    <w:basedOn w:val="Point2"/>
    <w:pPr>
      <w:numPr>
        <w:numId w:val="33"/>
      </w:numPr>
    </w:pPr>
  </w:style>
  <w:style w:type="paragraph" w:customStyle="1" w:styleId="Tiret3">
    <w:name w:val="Tiret 3"/>
    <w:basedOn w:val="Point3"/>
    <w:pPr>
      <w:numPr>
        <w:numId w:val="34"/>
      </w:numPr>
    </w:pPr>
  </w:style>
  <w:style w:type="paragraph" w:customStyle="1" w:styleId="Tiret4">
    <w:name w:val="Tiret 4"/>
    <w:basedOn w:val="Point4"/>
    <w:pPr>
      <w:numPr>
        <w:numId w:val="3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8"/>
      </w:numPr>
    </w:pPr>
  </w:style>
  <w:style w:type="paragraph" w:customStyle="1" w:styleId="Point1number">
    <w:name w:val="Point 1 (number)"/>
    <w:basedOn w:val="Normal"/>
    <w:pPr>
      <w:numPr>
        <w:ilvl w:val="2"/>
        <w:numId w:val="38"/>
      </w:numPr>
    </w:pPr>
  </w:style>
  <w:style w:type="paragraph" w:customStyle="1" w:styleId="Point2number">
    <w:name w:val="Point 2 (number)"/>
    <w:basedOn w:val="Normal"/>
    <w:pPr>
      <w:numPr>
        <w:ilvl w:val="4"/>
        <w:numId w:val="38"/>
      </w:numPr>
    </w:pPr>
  </w:style>
  <w:style w:type="paragraph" w:customStyle="1" w:styleId="Point3number">
    <w:name w:val="Point 3 (number)"/>
    <w:basedOn w:val="Normal"/>
    <w:pPr>
      <w:numPr>
        <w:ilvl w:val="6"/>
        <w:numId w:val="38"/>
      </w:numPr>
    </w:pPr>
  </w:style>
  <w:style w:type="paragraph" w:customStyle="1" w:styleId="Point0letter">
    <w:name w:val="Point 0 (letter)"/>
    <w:basedOn w:val="Normal"/>
    <w:pPr>
      <w:numPr>
        <w:ilvl w:val="1"/>
        <w:numId w:val="38"/>
      </w:numPr>
    </w:pPr>
  </w:style>
  <w:style w:type="paragraph" w:customStyle="1" w:styleId="Point1letter">
    <w:name w:val="Point 1 (letter)"/>
    <w:basedOn w:val="Normal"/>
    <w:pPr>
      <w:numPr>
        <w:ilvl w:val="3"/>
        <w:numId w:val="38"/>
      </w:numPr>
    </w:pPr>
  </w:style>
  <w:style w:type="paragraph" w:customStyle="1" w:styleId="Point2letter">
    <w:name w:val="Point 2 (letter)"/>
    <w:basedOn w:val="Normal"/>
    <w:pPr>
      <w:numPr>
        <w:ilvl w:val="5"/>
        <w:numId w:val="38"/>
      </w:numPr>
    </w:pPr>
  </w:style>
  <w:style w:type="paragraph" w:customStyle="1" w:styleId="Point3letter">
    <w:name w:val="Point 3 (letter)"/>
    <w:basedOn w:val="Normal"/>
    <w:pPr>
      <w:numPr>
        <w:ilvl w:val="7"/>
        <w:numId w:val="38"/>
      </w:numPr>
    </w:pPr>
  </w:style>
  <w:style w:type="paragraph" w:customStyle="1" w:styleId="Point4letter">
    <w:name w:val="Point 4 (letter)"/>
    <w:basedOn w:val="Normal"/>
    <w:pPr>
      <w:numPr>
        <w:ilvl w:val="8"/>
        <w:numId w:val="38"/>
      </w:numPr>
    </w:pPr>
  </w:style>
  <w:style w:type="paragraph" w:customStyle="1" w:styleId="Bullet0">
    <w:name w:val="Bullet 0"/>
    <w:basedOn w:val="Normal"/>
    <w:pPr>
      <w:numPr>
        <w:numId w:val="39"/>
      </w:numPr>
    </w:pPr>
  </w:style>
  <w:style w:type="paragraph" w:customStyle="1" w:styleId="Bullet1">
    <w:name w:val="Bullet 1"/>
    <w:basedOn w:val="Normal"/>
    <w:pPr>
      <w:numPr>
        <w:numId w:val="40"/>
      </w:numPr>
    </w:pPr>
  </w:style>
  <w:style w:type="paragraph" w:customStyle="1" w:styleId="Bullet2">
    <w:name w:val="Bullet 2"/>
    <w:basedOn w:val="Normal"/>
    <w:pPr>
      <w:numPr>
        <w:numId w:val="41"/>
      </w:numPr>
    </w:pPr>
  </w:style>
  <w:style w:type="paragraph" w:customStyle="1" w:styleId="Bullet3">
    <w:name w:val="Bullet 3"/>
    <w:basedOn w:val="Normal"/>
    <w:pPr>
      <w:numPr>
        <w:numId w:val="42"/>
      </w:numPr>
    </w:pPr>
  </w:style>
  <w:style w:type="paragraph" w:customStyle="1" w:styleId="Bullet4">
    <w:name w:val="Bullet 4"/>
    <w:basedOn w:val="Normal"/>
    <w:pPr>
      <w:numPr>
        <w:numId w:val="4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7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pPr>
      <w:spacing w:before="0" w:after="16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  <w:lang w:val="mt-MT"/>
    </w:r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mt-M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nhideWhenUsed/>
    <w:pPr>
      <w:numPr>
        <w:numId w:val="9"/>
      </w:numPr>
      <w:contextualSpacing/>
    </w:pPr>
  </w:style>
  <w:style w:type="paragraph" w:styleId="CommentSubject">
    <w:name w:val="annotation subject"/>
    <w:basedOn w:val="CommentText"/>
    <w:next w:val="CommentText"/>
    <w:link w:val="CommentSubjectChar"/>
    <w:unhideWhenUsed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ListBullet1">
    <w:name w:val="List Bullet 1"/>
    <w:basedOn w:val="Normal"/>
    <w:pPr>
      <w:numPr>
        <w:numId w:val="10"/>
      </w:numPr>
    </w:pPr>
  </w:style>
  <w:style w:type="paragraph" w:customStyle="1" w:styleId="ListDash">
    <w:name w:val="List Dash"/>
    <w:basedOn w:val="Normal"/>
    <w:pPr>
      <w:numPr>
        <w:numId w:val="11"/>
      </w:numPr>
    </w:pPr>
  </w:style>
  <w:style w:type="paragraph" w:customStyle="1" w:styleId="ListDash1">
    <w:name w:val="List Dash 1"/>
    <w:basedOn w:val="Normal"/>
    <w:pPr>
      <w:numPr>
        <w:numId w:val="12"/>
      </w:numPr>
    </w:pPr>
  </w:style>
  <w:style w:type="paragraph" w:customStyle="1" w:styleId="ListDash2">
    <w:name w:val="List Dash 2"/>
    <w:basedOn w:val="Normal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character" w:styleId="FollowedHyperlink">
    <w:name w:val="FollowedHyperlink"/>
    <w:rPr>
      <w:color w:val="800080"/>
      <w:u w:val="singl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TOCHeadingChar">
    <w:name w:val="TOC Heading Char"/>
    <w:basedOn w:val="DefaultParagraphFont"/>
    <w:uiPriority w:val="39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hAnsi="Times New Roman" w:cs="Times New Roman"/>
      <w:b w:val="0"/>
      <w:sz w:val="24"/>
      <w:lang w:val="mt-M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TOCHeadingChar"/>
    <w:link w:val="HeaderCoverPage"/>
    <w:rPr>
      <w:rFonts w:ascii="Times New Roman" w:hAnsi="Times New Roman" w:cs="Times New Roman"/>
      <w:b w:val="0"/>
      <w:sz w:val="24"/>
      <w:lang w:val="mt-MT" w:eastAsia="mt-M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31"/>
      </w:numPr>
    </w:pPr>
  </w:style>
  <w:style w:type="paragraph" w:customStyle="1" w:styleId="Tiret1">
    <w:name w:val="Tiret 1"/>
    <w:basedOn w:val="Point1"/>
    <w:pPr>
      <w:numPr>
        <w:numId w:val="32"/>
      </w:numPr>
    </w:pPr>
  </w:style>
  <w:style w:type="paragraph" w:customStyle="1" w:styleId="Tiret2">
    <w:name w:val="Tiret 2"/>
    <w:basedOn w:val="Point2"/>
    <w:pPr>
      <w:numPr>
        <w:numId w:val="33"/>
      </w:numPr>
    </w:pPr>
  </w:style>
  <w:style w:type="paragraph" w:customStyle="1" w:styleId="Tiret3">
    <w:name w:val="Tiret 3"/>
    <w:basedOn w:val="Point3"/>
    <w:pPr>
      <w:numPr>
        <w:numId w:val="34"/>
      </w:numPr>
    </w:pPr>
  </w:style>
  <w:style w:type="paragraph" w:customStyle="1" w:styleId="Tiret4">
    <w:name w:val="Tiret 4"/>
    <w:basedOn w:val="Point4"/>
    <w:pPr>
      <w:numPr>
        <w:numId w:val="3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8"/>
      </w:numPr>
    </w:pPr>
  </w:style>
  <w:style w:type="paragraph" w:customStyle="1" w:styleId="Point1number">
    <w:name w:val="Point 1 (number)"/>
    <w:basedOn w:val="Normal"/>
    <w:pPr>
      <w:numPr>
        <w:ilvl w:val="2"/>
        <w:numId w:val="38"/>
      </w:numPr>
    </w:pPr>
  </w:style>
  <w:style w:type="paragraph" w:customStyle="1" w:styleId="Point2number">
    <w:name w:val="Point 2 (number)"/>
    <w:basedOn w:val="Normal"/>
    <w:pPr>
      <w:numPr>
        <w:ilvl w:val="4"/>
        <w:numId w:val="38"/>
      </w:numPr>
    </w:pPr>
  </w:style>
  <w:style w:type="paragraph" w:customStyle="1" w:styleId="Point3number">
    <w:name w:val="Point 3 (number)"/>
    <w:basedOn w:val="Normal"/>
    <w:pPr>
      <w:numPr>
        <w:ilvl w:val="6"/>
        <w:numId w:val="38"/>
      </w:numPr>
    </w:pPr>
  </w:style>
  <w:style w:type="paragraph" w:customStyle="1" w:styleId="Point0letter">
    <w:name w:val="Point 0 (letter)"/>
    <w:basedOn w:val="Normal"/>
    <w:pPr>
      <w:numPr>
        <w:ilvl w:val="1"/>
        <w:numId w:val="38"/>
      </w:numPr>
    </w:pPr>
  </w:style>
  <w:style w:type="paragraph" w:customStyle="1" w:styleId="Point1letter">
    <w:name w:val="Point 1 (letter)"/>
    <w:basedOn w:val="Normal"/>
    <w:pPr>
      <w:numPr>
        <w:ilvl w:val="3"/>
        <w:numId w:val="38"/>
      </w:numPr>
    </w:pPr>
  </w:style>
  <w:style w:type="paragraph" w:customStyle="1" w:styleId="Point2letter">
    <w:name w:val="Point 2 (letter)"/>
    <w:basedOn w:val="Normal"/>
    <w:pPr>
      <w:numPr>
        <w:ilvl w:val="5"/>
        <w:numId w:val="38"/>
      </w:numPr>
    </w:pPr>
  </w:style>
  <w:style w:type="paragraph" w:customStyle="1" w:styleId="Point3letter">
    <w:name w:val="Point 3 (letter)"/>
    <w:basedOn w:val="Normal"/>
    <w:pPr>
      <w:numPr>
        <w:ilvl w:val="7"/>
        <w:numId w:val="38"/>
      </w:numPr>
    </w:pPr>
  </w:style>
  <w:style w:type="paragraph" w:customStyle="1" w:styleId="Point4letter">
    <w:name w:val="Point 4 (letter)"/>
    <w:basedOn w:val="Normal"/>
    <w:pPr>
      <w:numPr>
        <w:ilvl w:val="8"/>
        <w:numId w:val="38"/>
      </w:numPr>
    </w:pPr>
  </w:style>
  <w:style w:type="paragraph" w:customStyle="1" w:styleId="Bullet0">
    <w:name w:val="Bullet 0"/>
    <w:basedOn w:val="Normal"/>
    <w:pPr>
      <w:numPr>
        <w:numId w:val="39"/>
      </w:numPr>
    </w:pPr>
  </w:style>
  <w:style w:type="paragraph" w:customStyle="1" w:styleId="Bullet1">
    <w:name w:val="Bullet 1"/>
    <w:basedOn w:val="Normal"/>
    <w:pPr>
      <w:numPr>
        <w:numId w:val="40"/>
      </w:numPr>
    </w:pPr>
  </w:style>
  <w:style w:type="paragraph" w:customStyle="1" w:styleId="Bullet2">
    <w:name w:val="Bullet 2"/>
    <w:basedOn w:val="Normal"/>
    <w:pPr>
      <w:numPr>
        <w:numId w:val="41"/>
      </w:numPr>
    </w:pPr>
  </w:style>
  <w:style w:type="paragraph" w:customStyle="1" w:styleId="Bullet3">
    <w:name w:val="Bullet 3"/>
    <w:basedOn w:val="Normal"/>
    <w:pPr>
      <w:numPr>
        <w:numId w:val="42"/>
      </w:numPr>
    </w:pPr>
  </w:style>
  <w:style w:type="paragraph" w:customStyle="1" w:styleId="Bullet4">
    <w:name w:val="Bullet 4"/>
    <w:basedOn w:val="Normal"/>
    <w:pPr>
      <w:numPr>
        <w:numId w:val="4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footer" Target="footer8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hyperlink" Target="https://myintracomm.ec.europa.eu/budgweb/EN/leg/internal/Documents/2016-5-legislative-financial-statement-ann-en.docx" TargetMode="External"/><Relationship Id="rId27" Type="http://schemas.openxmlformats.org/officeDocument/2006/relationships/header" Target="header6.xml"/><Relationship Id="rId30" Type="http://schemas.openxmlformats.org/officeDocument/2006/relationships/footer" Target="footer9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yintracomm.ec.europa.eu/budgweb/EN/man/budgmanag/Pages/budgmanag.aspx" TargetMode="External"/><Relationship Id="rId1" Type="http://schemas.openxmlformats.org/officeDocument/2006/relationships/hyperlink" Target="https://ec.europa.eu/commission/sites/beta-political/files/draft_withdrawal_agreement_0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D33D44CF0C8FEB45875F235DEEF2E1B9" ma:contentTypeVersion="7" ma:contentTypeDescription="Create a new document in this library." ma:contentTypeScope="" ma:versionID="0cb51d011d44aaa2f2f2559eb8aaf023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25173920-bf43-43cc-9123-1897e847dfc2" targetNamespace="http://schemas.microsoft.com/office/2006/metadata/properties" ma:root="true" ma:fieldsID="a931e117a4c2a292401c17c6d61581df" ns1:_="" ns2:_="" ns3:_="">
    <xsd:import namespace="http://schemas.microsoft.com/sharepoint/v3"/>
    <xsd:import namespace="http://schemas.microsoft.com/sharepoint/v3/fields"/>
    <xsd:import namespace="25173920-bf43-43cc-9123-1897e847dfc2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  <xsd:element ref="ns1:RelatedItems" minOccurs="0"/>
                <xsd:element ref="ns3:DG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16" nillable="true" ma:displayName="Related Items" ma:internalName="RelatedItems" ma:readOnly="false">
      <xsd:simpleType>
        <xsd:restriction base="dms:Note"/>
      </xsd:simpleType>
    </xsd:element>
    <xsd:element name="_dlc_Exempt" ma:index="18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73920-bf43-43cc-9123-1897e847dfc2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DG" ma:index="17" nillable="true" ma:displayName="DG" ma:description="Associated DG(s)" ma:list="{a436e1b9-89ab-4a0f-bf89-77e0c01004af}" ma:internalName="DG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25173920-bf43-43cc-9123-1897e847dfc2" xsi:nil="true"/>
    <_Status xmlns="http://schemas.microsoft.com/sharepoint/v3/fields">Not Started</_Status>
    <EC_Collab_Status xmlns="25173920-bf43-43cc-9123-1897e847dfc2">Not Started</EC_Collab_Status>
    <DG xmlns="25173920-bf43-43cc-9123-1897e847dfc2"/>
    <EC_Collab_DocumentLanguage xmlns="25173920-bf43-43cc-9123-1897e847dfc2">EN</EC_Collab_DocumentLanguage>
    <RelatedItem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p:Policy xmlns:p="office.server.policy" id="" local="true">
  <p:Name>EC Document</p:Name>
  <p:Description/>
  <p:Statement/>
  <p:PolicyItems>
    <p:PolicyItem featureId="Microsoft.Office.RecordsManagement.PolicyFeatures.PolicyAudit" staticId="0x010100258AA79CEB83498886A3A0868112325000D33D44CF0C8FEB45875F235DEEF2E1B9|8138272" UniqueId="82ebddaa-263f-44a4-b383-ae40ea096670">
      <p:Name>Auditing</p:Name>
      <p:Description>Audits user actions on documents and list items to the Audit Log.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F0D82-652B-49F8-AE82-E378CACF6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25173920-bf43-43cc-9123-1897e847d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7B865B-36F0-4138-B199-ECE1D0A637C6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sharepoint/v3"/>
    <ds:schemaRef ds:uri="25173920-bf43-43cc-9123-1897e847dfc2"/>
    <ds:schemaRef ds:uri="http://schemas.microsoft.com/sharepoint/v3/field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030B0AC-03B6-4A47-A2F9-041C46CC9D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AE0B0-F058-49FE-8663-1102E71390BC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E743EB25-2D22-4E2A-993B-1EEBA6E2B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11</Pages>
  <Words>3343</Words>
  <Characters>23743</Characters>
  <Application>Microsoft Office Word</Application>
  <DocSecurity>0</DocSecurity>
  <Lines>1187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2018-12-20T12:29:00Z</dcterms:created>
  <dcterms:modified xsi:type="dcterms:W3CDTF">2018-12-21T09:11:00Z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6.0.1, Build 20180503</vt:lpwstr>
  </property>
  <property fmtid="{D5CDD505-2E9C-101B-9397-08002B2CF9AE}" pid="3" name="Category">
    <vt:lpwstr>COM/PL/ORG</vt:lpwstr>
  </property>
  <property fmtid="{D5CDD505-2E9C-101B-9397-08002B2CF9AE}" pid="4" name="Level of sensitivity">
    <vt:lpwstr>Standard treatment</vt:lpwstr>
  </property>
  <property fmtid="{D5CDD505-2E9C-101B-9397-08002B2CF9AE}" pid="5" name="Part">
    <vt:lpwstr>1</vt:lpwstr>
  </property>
  <property fmtid="{D5CDD505-2E9C-101B-9397-08002B2CF9AE}" pid="6" name="Total parts">
    <vt:lpwstr>1</vt:lpwstr>
  </property>
  <property fmtid="{D5CDD505-2E9C-101B-9397-08002B2CF9AE}" pid="7" name="LWTemplateID">
    <vt:lpwstr>SJ-023</vt:lpwstr>
  </property>
  <property fmtid="{D5CDD505-2E9C-101B-9397-08002B2CF9AE}" pid="8" name="ContentTypeId">
    <vt:lpwstr>0x010100258AA79CEB83498886A3A0868112325000D33D44CF0C8FEB45875F235DEEF2E1B9</vt:lpwstr>
  </property>
  <property fmtid="{D5CDD505-2E9C-101B-9397-08002B2CF9AE}" pid="9" name="DQCStatus">
    <vt:lpwstr>Green (DQC version 03)</vt:lpwstr>
  </property>
</Properties>
</file>