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FAE4E2A2-02A8-4907-948A-0E697D4249B3" style="width:450.75pt;height:379.5pt">
            <v:imagedata r:id="rId12" o:title=""/>
          </v:shape>
        </w:pict>
      </w:r>
    </w:p>
    <w:p>
      <w:pPr>
        <w:rPr>
          <w:noProof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MEMORANDUM TA’ SPJEGAZZJONI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KUNTEST TAL-PROPOSTA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Raġunijiet u għanijiet tal-proposta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Fost il-kompiti tal-UE hemm dak li jiġi żviluppat spazju Ewropew ta’ ġustizzja f’materji ċivili bbażat fuq il-prinċipji ta’ fiduċja reċiproka u r-rikonoxximent reċiproku ta’ sentenzi. L-ispazju tal-ġustizzja jirrikjedi kooperazzjoni ġudizzjarja bejn il-fruntieri. Għal dan il-għan, u biex jiġi ffaċilitat il-funzjonament tajjeb tas-suq intern, l-UE adottat leġiżlazzjoni dwar in-notifika transfruntiera ta’ dokumenti ġudizzjarji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u dwar il-kooperazzjoni fil-kumpilazzjoni ta’ xhieda</w:t>
      </w:r>
      <w:r>
        <w:rPr>
          <w:rStyle w:val="FootnoteReference"/>
          <w:noProof/>
        </w:rPr>
        <w:footnoteReference w:id="2"/>
      </w:r>
      <w:r>
        <w:rPr>
          <w:noProof/>
        </w:rPr>
        <w:t>. Dawn l-istrumenti huma kruċjali fir-regolamentazzjoni tal-assistenza ġudizzjarja f’materji ċivili u kummerċjali bejn l-Istati Membri. L-għan komuni tagħhom huwa li jipprovdu qafas effiċjenti għall-koperazzjoni ġudizzjarja transfruntiera. Dawn ħadu post is-sistema internazzjonali, iktar ikkumplikata, preċedenti tal-Konvenzjonijiet tal-Aja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bejn l-Istati Membri</w:t>
      </w:r>
      <w:r>
        <w:rPr>
          <w:rStyle w:val="FootnoteReference"/>
          <w:noProof/>
        </w:rPr>
        <w:footnoteReference w:id="4"/>
      </w:r>
      <w:r>
        <w:rPr>
          <w:noProof/>
        </w:rPr>
        <w:t>.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Din il-leġiżlazzjoni dwar il-kooperazzjoni ġudizzjarja għandha impatt reali fuq il-ħajja ta’ kuljum taċ-ċittadini tal-UE, kemm jekk huma individwi privati kif ukoll jekk huma operaturi kummerċjali. Din tiġi applikata fi proċedimenti ġudizzjarji b’implikazzjonijiet transfruntiera, fejn il-funzjonament xieraq tagħha huwa indispensabbli biex jiġi żgurat aċċess għall-ġustizzja u għal proċessi ġusti. L-effiċjenza tal-qafas ta’ assistenza ġudizzjarja internazzjonali għandha impatt dirett fuq il-mod kif iċ-ċittadini involuti f’tali tilwim transfruntier jipperċepixxu l-funzjonament tal-ġudikatura u tal-istat tad-dritt fl-Istati Membri.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Il-kooperazzjoni tajba bejn il-qrati hija neċessarja wkoll għall-funzjonament xieraq tas-suq intern. Fl-2018, madwar 3,4 miljun proċedura tal-qorti ċivili u kummerċjali fl-UE għandhom implikazzjonijiet transfruntiera</w:t>
      </w:r>
      <w:r>
        <w:rPr>
          <w:rStyle w:val="FootnoteReference"/>
          <w:noProof/>
        </w:rPr>
        <w:footnoteReference w:id="5"/>
      </w:r>
      <w:r>
        <w:rPr>
          <w:noProof/>
        </w:rPr>
        <w:t>. F’ħafna proċeduri bħal dawn, hemm il-ħtieġa li x-xhieda tinkiseb minn Stat Membru ieħor; ir-Regolament dwar il-Kumpilazzjoni ta’ Xhieda jipprovdi għodod li jaffċilitaw l-aċċess għal dik ix-xhieda.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 xml:space="preserve">Ir-Regolament tal-Kunsill (KE) Nru 1206/2001 dwar kooperazzjoni bejn il-qrati tal-Istati Membri fil-kumpilazzjoni ta’ xhieda f’materji ċivili jew kummerċjali huwa strument </w:t>
      </w:r>
      <w:r>
        <w:rPr>
          <w:noProof/>
        </w:rPr>
        <w:lastRenderedPageBreak/>
        <w:t>importanti għal kooperazzjoni ġudizzjarja Ewropea, peress li spiss huwa kruċjali li tiġi ppreżentata biżżejjed xhieda lill-qorti biex tiġi ppruvata pretensjoni. Ir-Regolament jistabbilixxi sistema madwar l-UE għat-trażmissjoni diretta u rapida ta’ talbiet għall-kumpilazzjoni u għall-eżekuzzjoni ta’ xhieda bejn il-qrati u jistabbilixxi regoli preċiżi fir-rigward tal-forma u l-kontenut ta’ dawn it-talbiet. B’mod partikolari, huwa għamel titjib fuq il-Konvenzjoni tal-Aja rilevanti billi stabbilixxa sistema moderna u effiċjenti ta’ relazzjonijiet diretti bejn il-qrati (it-trażmissjoni ta’ talbiet u t-trażmissjoni mill-ġdid tax-xhieda kkumpilata) u ssostitwixxa s-sistema diffiċli li fiha t-talbiet kienu jiġu trażmessi mill-qorti fl-Istat Membru A lill-korp ċentrali fl-Istat Membru A, imbagħad lill-korp ċentrali fl-Istat Membru B u finalment lill-qorti fl-Istat Membru B (u viċe versa fit-triq lura). Dan jippermetti wkoll il-kumpilazzjoni diretta ta’ xhieda mill-qrati fl-Istati Membri l-oħra.</w:t>
      </w:r>
    </w:p>
    <w:p>
      <w:pPr>
        <w:spacing w:before="0"/>
        <w:rPr>
          <w:rFonts w:eastAsia="Calibri"/>
          <w:noProof/>
          <w:color w:val="000000"/>
          <w:szCs w:val="24"/>
        </w:rPr>
      </w:pPr>
      <w:r>
        <w:rPr>
          <w:noProof/>
          <w:color w:val="000000"/>
        </w:rPr>
        <w:t>Fl-2017, biex tappoġġja analiżi u konklużjonijiet rilevanti, komprensivi u aġġornati dwar it-tħaddim prattiku tar-Regolament (li jikkumplimenta sejbiet minn eżerċizzji ta’ valutazzjoni oħra</w:t>
      </w:r>
      <w:r>
        <w:rPr>
          <w:rStyle w:val="FootnoteReference"/>
          <w:noProof/>
        </w:rPr>
        <w:footnoteReference w:id="6"/>
      </w:r>
      <w:r>
        <w:rPr>
          <w:noProof/>
          <w:color w:val="000000"/>
        </w:rPr>
        <w:t xml:space="preserve">), il-Kummissjoni, f’konformità mal-linji gwida dwar regolamentazzjoni aħjar, wettqet valutazzjoni tal-idoneità regolatorja (REFIT), biex jiġi vvalutat it-tħaddim tal-istrument fir-rigward tal-ħames kriterji ta’ valutazzjoni obbligatorji ewlenin ta’ effikaċja, effiċjenza, rilevanza, koerenza u valur miżjud tal-UE. </w:t>
      </w:r>
    </w:p>
    <w:p>
      <w:pPr>
        <w:spacing w:before="0"/>
        <w:rPr>
          <w:rFonts w:eastAsia="Calibri"/>
          <w:noProof/>
          <w:color w:val="000000"/>
          <w:szCs w:val="24"/>
        </w:rPr>
      </w:pPr>
      <w:r>
        <w:rPr>
          <w:noProof/>
          <w:color w:val="000000"/>
        </w:rPr>
        <w:t>Is-sejbiet tar-rapport ta’ evalwazzjoni REFIT intużaw bħala bażi għad-definizzjoni tal-problema fil-valutazzjoni tal-impatt li takkumpanja din il-proposta. Skont ir-rapport, il-</w:t>
      </w:r>
      <w:r>
        <w:rPr>
          <w:noProof/>
        </w:rPr>
        <w:t>kuntatti bejn il-korpi maħtura mir-Regolament għadhom kważi esklussivament ibbażati fuq il-karti, li jħallu impatti negattivi fuq l-ispiża u fuq l-effikaċja. Barra minn hekk, il-vidjokonferenzi rari jintużaw biex jinstemgħu persuni fi Stat Membru ieħor. Għalhekk, il-proposta tindirizza l-ħtieġa għal modernizzazzjoni, b’mod partikolari d-diġitalizzazzjoni u l-użu ta’ teknoloġija moderna fil-kumpilazzjoni transkonfinali ta’ xhieda. Hija tindirizza wkoll il-problemi l-oħrajn li ġejjin li ġew enfasizzati mill-evalwazzjoni:dewmien u spejjeż għaċ-ċittadini, in-negozji u l-Istati Membri, nuqqasijiet fil-protezzjoni tad-drittijiet proċedurali u tal-kumplessità u l-inċertezza tad-dritt.</w:t>
      </w:r>
    </w:p>
    <w:p>
      <w:pPr>
        <w:spacing w:before="0" w:after="240"/>
        <w:rPr>
          <w:rFonts w:eastAsia="Arial Unicode MS"/>
          <w:noProof/>
        </w:rPr>
      </w:pPr>
      <w:r>
        <w:rPr>
          <w:noProof/>
          <w:color w:val="000000"/>
        </w:rPr>
        <w:t>Il-proposta għandha l-għan li ttejjeb il-funzjonament tajjeb tal-ispazju ta’ libertà, sigurtà u ġustizzja, u tas-suq intern, billi żżid l-effiċjenza u l-veloċità tal-kumpilazzjoni transkonfinali ta’ xhieda. Hija se tikseb dan billi tadatta r-Regolament (KE) Nru 1206/2001 għall-iżviluppi tekniċi, tisfrutta l-iżvantaġġi tal-diġitalizzazzjoni u tiżgura li l-vidjokonferenzi jintużaw aktar. L-inizjattiva żżid iċ-ċertezza tad-dritt u b’hekk tgħin sabiex jiġu evitati dewmien u kostijiet eċċessivi għaċ-ċittadini, in-negozji u l-amministrazzjonijiet pubbliċi u jiġu indirizzati n-nuqqasijiet fil-protezzjoni tad-drittijiet proċedurali tal-partijiet.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color w:val="000000"/>
          <w:bdr w:val="none" w:sz="0" w:space="0" w:color="auto" w:frame="1"/>
        </w:rPr>
      </w:pPr>
      <w:r>
        <w:rPr>
          <w:b/>
          <w:noProof/>
          <w:color w:val="000000"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</w:rPr>
        <w:t>Konsistenza mad-dispożizzjonijiet eżistenti fil-qasam ta’ politika</w:t>
      </w:r>
    </w:p>
    <w:p>
      <w:pPr>
        <w:spacing w:before="0" w:after="240"/>
        <w:rPr>
          <w:rFonts w:eastAsia="Calibri"/>
          <w:noProof/>
          <w:color w:val="000000"/>
          <w:szCs w:val="24"/>
        </w:rPr>
      </w:pPr>
      <w:r>
        <w:rPr>
          <w:noProof/>
          <w:color w:val="000000"/>
        </w:rPr>
        <w:t xml:space="preserve">Din l-inizjattiva hija marbuta mill-qrib mal-inizjattiva li tikkonċerna n-notifika fl-Istati Membri ta’ dokumenti ġudizzjarji u extra-ġudizzjarji fi kwistjonijiet ċivili jew kummerċjali (notifika ta’ dokumenti), kif irregolat mir-Regolament (KE) Nru 1393/2007.  </w:t>
      </w:r>
    </w:p>
    <w:p>
      <w:pPr>
        <w:spacing w:before="0" w:after="240"/>
        <w:rPr>
          <w:rFonts w:eastAsia="Calibri"/>
          <w:noProof/>
          <w:color w:val="000000"/>
          <w:szCs w:val="24"/>
        </w:rPr>
      </w:pPr>
      <w:r>
        <w:rPr>
          <w:noProof/>
          <w:color w:val="000000"/>
        </w:rPr>
        <w:t>Il-proposta hija konsistenti ma’ strumenti eżistenti tal-UE adottati fil-qasam ta’ politika tal-kooperazzjoni ġudizzjarja ċivili. Ir-Regolament (KE) Nru 1206/2001 huwa mingħajr preġudizzju għall-iskambju possibbli ta' informazzjoni bejn l-awtoritajiet skont is-sistemi stabbiliti mir-Regolamenti Brussell IIa</w:t>
      </w:r>
      <w:r>
        <w:rPr>
          <w:rStyle w:val="FootnoteReference"/>
          <w:noProof/>
          <w:color w:val="000000"/>
        </w:rPr>
        <w:footnoteReference w:id="7"/>
      </w:r>
      <w:r>
        <w:rPr>
          <w:noProof/>
          <w:color w:val="000000"/>
        </w:rPr>
        <w:t xml:space="preserve"> u dwar il-Manutenzjoni</w:t>
      </w:r>
      <w:r>
        <w:rPr>
          <w:rStyle w:val="FootnoteReference"/>
          <w:noProof/>
          <w:color w:val="000000"/>
        </w:rPr>
        <w:footnoteReference w:id="8"/>
      </w:r>
      <w:r>
        <w:rPr>
          <w:noProof/>
          <w:color w:val="000000"/>
        </w:rPr>
        <w:t>, anki fejn dik l-</w:t>
      </w:r>
      <w:r>
        <w:rPr>
          <w:noProof/>
          <w:color w:val="000000"/>
        </w:rPr>
        <w:lastRenderedPageBreak/>
        <w:t>informazzjoni jkollha valur probatorju, għalhekk l-awtorità rikjedenti hija ħielsa tagħżel l-aktar metodu xieraq.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</w:rPr>
      </w:pPr>
      <w:r>
        <w:rPr>
          <w:b/>
          <w:noProof/>
          <w:color w:val="000000"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</w:rPr>
        <w:t>Konsistenza ma’ politiki oħra tal-Unjoni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Ir-Regolament propost jagħmel parti mill-qafas tal-UE dwar il-kooperazzjoni ġudizzjarja f’materji ċivili u kummerċjali u jikkontribwixxi għall-objettiv tal-UE li jiġi stabbilit spazju ta’ libertà, sigurtà u ġustizzja, kif iddefinit fl-Artikolu 3(2) tat-Trattat dwar l-Unjoni Ewropea (TUE) u l-Artikolu 67 tat-Trattat dwar il-Funzjonament tal-Unjoni Ewropea (TFUE). F’dan il-kuntest, l-UE għandha tiżviluppa kooperazzjoni ġudizzjarja f’materji ċivili u kummerċjali b’implikazzjonijiet transkonfinali abbażi tal-prinċipju tar-rikonoxximent reċiproku ta’ sentenzi u deċiżjonijiet, kif stipulat fl-Artikolu 81 tat-TFUE. Ir-Regolament jikkontribwixxi wkoll għall-objettiv tal-UE li tistabbilixxi suq intern (Artikolu 26 tat-TFUE).</w:t>
      </w:r>
    </w:p>
    <w:p>
      <w:pPr>
        <w:spacing w:before="0" w:after="240"/>
        <w:rPr>
          <w:rFonts w:eastAsia="Calibri"/>
          <w:noProof/>
          <w:color w:val="000000"/>
          <w:szCs w:val="24"/>
        </w:rPr>
      </w:pPr>
      <w:r>
        <w:rPr>
          <w:noProof/>
          <w:color w:val="000000"/>
        </w:rPr>
        <w:t xml:space="preserve">L-aġenda tal-UE dwar il-ġustizzja għall-2020 tenfasizza li, sabiex tissaħħaħ il-fiduċja reċiproka bejn is-sistemi ġudizzjarji tal-Istati Membri, għandha tiġi eżaminata l-ħtieġa li jissaħħu d-drittijiet proċedurali ċivili, </w:t>
      </w:r>
      <w:r>
        <w:rPr>
          <w:noProof/>
        </w:rPr>
        <w:t>pereżempju</w:t>
      </w:r>
      <w:r>
        <w:rPr>
          <w:noProof/>
          <w:color w:val="000000"/>
        </w:rPr>
        <w:t xml:space="preserve"> fir-rigward tal-kumpilazzjoni ta’ xhieda</w:t>
      </w:r>
      <w:r>
        <w:rPr>
          <w:rStyle w:val="FootnoteReference"/>
          <w:noProof/>
        </w:rPr>
        <w:footnoteReference w:id="9"/>
      </w:r>
      <w:r>
        <w:rPr>
          <w:noProof/>
          <w:color w:val="000000"/>
        </w:rPr>
        <w:t>. L-għan li jitjieb il-qafas tal-kooperazzjoni ġudizzjarja fl-UE huwa konformi wkoll mal-objettivi stabbiliti mill-Kummissjoni fl-istrateġija dwar is-suq uniku diġitali</w:t>
      </w:r>
      <w:r>
        <w:rPr>
          <w:rStyle w:val="FootnoteReference"/>
          <w:noProof/>
        </w:rPr>
        <w:footnoteReference w:id="10"/>
      </w:r>
      <w:r>
        <w:rPr>
          <w:noProof/>
          <w:color w:val="000000"/>
        </w:rPr>
        <w:t>: fil-kuntest tal-gvern elettroniku, l-istrateġija tesprimi l-ħtieġa għal aktar azzjoni biex tiġi mmodernizzata l-amministrazzjoni pubblika (inkluża dik ġudizzjarja), tintlaħaq interoperabilità transfruntiera u tiġi ffaċilitata interazzjoni faċli maċ-ċittadini.</w:t>
      </w:r>
    </w:p>
    <w:p>
      <w:pPr>
        <w:spacing w:before="0" w:after="240"/>
        <w:rPr>
          <w:rFonts w:eastAsia="Arial Unicode MS"/>
          <w:noProof/>
        </w:rPr>
      </w:pPr>
      <w:r>
        <w:rPr>
          <w:noProof/>
        </w:rPr>
        <w:t>Għaldaqstant, fil-programm ta’ ħidma tagħha għall-2018, il-Kummissjoni għamlet impenn li tħejji proposta li tirrevedi r-Regolament dwar il-</w:t>
      </w:r>
      <w:r>
        <w:rPr>
          <w:noProof/>
          <w:color w:val="000000"/>
        </w:rPr>
        <w:t>kumpilazzjoni</w:t>
      </w:r>
      <w:r>
        <w:rPr>
          <w:noProof/>
        </w:rPr>
        <w:t xml:space="preserve"> ta’ xhieda</w:t>
      </w:r>
      <w:r>
        <w:rPr>
          <w:rStyle w:val="FootnoteReference"/>
          <w:noProof/>
        </w:rPr>
        <w:footnoteReference w:id="11"/>
      </w:r>
      <w:r>
        <w:rPr>
          <w:noProof/>
        </w:rPr>
        <w:t>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0"/>
        <w:rPr>
          <w:rFonts w:eastAsia="Calibri"/>
          <w:b/>
          <w:smallCaps/>
          <w:noProof/>
        </w:rPr>
      </w:pPr>
      <w:r>
        <w:rPr>
          <w:b/>
          <w:smallCaps/>
          <w:noProof/>
        </w:rPr>
        <w:t>2.</w:t>
      </w:r>
      <w:r>
        <w:rPr>
          <w:noProof/>
        </w:rPr>
        <w:tab/>
      </w:r>
      <w:r>
        <w:rPr>
          <w:b/>
          <w:smallCaps/>
          <w:noProof/>
        </w:rPr>
        <w:t>BAŻI ĠURIDIKA, SUSSIDJARJETÀ U PROPORZJONALITÀ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>Bażi ġuridika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Il-bażi ġuridika tal-proposta hija l-Artikolu 81 tat-TFUE (kooperazzjoni ġudizzjarja f’materji ċivili li jkollhom implikazzjonijiet transkonfinali). Il-punt (d) fl-Artikolu 81(2) jagħti lill-UE s-setgħa li tadotta miżuri mmirati biex jiżguraw il-kooperazzjoni fil-kumpilazzjoni ta’ xhieda.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>Sussidjarjetà (għall-kompetenza mhux esklużiva)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Il-problemi li għandhom jiġu indirizzati mill-inizjattiva jinqalgħu fi proċedimenti ġudizzjarji transkonfinali (li b’definizzjoni huma lil hinn mill-kapaċitajiet tas-sistemi legali nazzjonali) u jirriżultaw jew minħabba kooperazzjoni insuffiċjenti bejn il-qrati tal-Istati Membri jew minħabba interoperabbiltà u koerenza insuffiċjenti bejn is-sistemi domestiċi u l-ambjenti ġuridiċi. Ir-regoli fil-qasam tal-liġi internazzjonali privata huma stabbiliti fir-regolamenti, għaliex dak huwa l-uniku mod kif tiġi żgurata l-uniformità mixtieqa. Filwaqt li fil-prinċipju ma hemm xejn li jwaqqaf lill-Istati Membri milli jiddiġitalizzaw il-mod kif jikkomunikaw, l-esperjenza tal-imgħoddi u l-projezzjonijiet ta’ dak li se jiġri mingħajr azzjoni tal-UE juru li l-</w:t>
      </w:r>
      <w:r>
        <w:rPr>
          <w:noProof/>
        </w:rPr>
        <w:lastRenderedPageBreak/>
        <w:t xml:space="preserve">progress ikun bil-mod ħafna u li, anki fejn l-Istati Membri jieħdu azzjoni, mingħajr qafas taħt id-dritt tal-UE ma tistax tiġi żgurata l-interoperabbiltà. L-objettiv tal-proposta għalhekk ma jistax jintlaħaq b’mod suffiċjenti mill-Istati Membri nfushom u jista’ jinkiseb biss fil-livell tal-Unjoni. 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Il-valur miżjud tal-UE jinsab fit-titjib ulterjuri tal-effiċjenza u tal-ħeffa tal-proċeduri ġudizzjarji, permezz tas-simplifikazzjoni u l-aċċellerazzjoni tal-mekkaniżmi ta’ koperazzjoni fir-rigward tal-kumpilazzjoni ta’ xhieda u b’hekk titjieb l-amministrazzjoni tal-ġustizzja f’każijiet b’implikazzjonijiet transkonfinali.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>Proporzjonalità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Il-proposta tikkonforma mal-prinċipju ta’ proporzjonalità, għaliex hija strettament limitata għal dak li hu meħtieġ biex jintlaħqu l-għanijiet tagħha. Hija ma tinterferixxix mal-arranġamenti nazzjonali diverġenti għall-kumpilazzjoni ta’ xhieda</w:t>
      </w:r>
    </w:p>
    <w:p>
      <w:pPr>
        <w:keepNext/>
        <w:tabs>
          <w:tab w:val="left" w:pos="850"/>
        </w:tabs>
        <w:spacing w:before="0" w:after="240"/>
        <w:ind w:left="850" w:hanging="850"/>
        <w:outlineLvl w:val="0"/>
        <w:rPr>
          <w:rFonts w:eastAsia="Calibri"/>
          <w:b/>
          <w:smallCaps/>
          <w:noProof/>
        </w:rPr>
      </w:pPr>
      <w:r>
        <w:rPr>
          <w:b/>
          <w:smallCaps/>
          <w:noProof/>
        </w:rPr>
        <w:t>3.</w:t>
      </w:r>
      <w:r>
        <w:rPr>
          <w:noProof/>
        </w:rPr>
        <w:tab/>
      </w:r>
      <w:r>
        <w:rPr>
          <w:b/>
          <w:smallCaps/>
          <w:noProof/>
        </w:rPr>
        <w:t xml:space="preserve">RIŻULTATI TAL-EVALWAZZJONIJIET </w:t>
      </w:r>
      <w:r>
        <w:rPr>
          <w:b/>
          <w:i/>
          <w:smallCaps/>
          <w:noProof/>
        </w:rPr>
        <w:t>EX POST</w:t>
      </w:r>
      <w:r>
        <w:rPr>
          <w:b/>
          <w:smallCaps/>
          <w:noProof/>
        </w:rPr>
        <w:t>, TAL-KONSULTAZZJONIJIET MAL-PARTIJIET IKKONĊERNATI U TAL-VALUTAZZJONI TAL-IMPATT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 xml:space="preserve">Evalwazzjonijiet </w:t>
      </w:r>
      <w:r>
        <w:rPr>
          <w:b/>
          <w:i/>
          <w:noProof/>
          <w:bdr w:val="none" w:sz="0" w:space="0" w:color="auto" w:frame="1"/>
        </w:rPr>
        <w:t xml:space="preserve">ex post </w:t>
      </w:r>
      <w:r>
        <w:rPr>
          <w:b/>
          <w:noProof/>
          <w:bdr w:val="none" w:sz="0" w:space="0" w:color="auto" w:frame="1"/>
        </w:rPr>
        <w:t>/ kontrolli tal-idoneità tal-leġiżlazzjoni eżistenti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 xml:space="preserve">Ir-riżultati tal-evalwazzjoni </w:t>
      </w:r>
      <w:r>
        <w:rPr>
          <w:i/>
          <w:noProof/>
        </w:rPr>
        <w:t>ex-post</w:t>
      </w:r>
      <w:r>
        <w:rPr>
          <w:noProof/>
        </w:rPr>
        <w:t xml:space="preserve"> tar-Regolament (KE) Nru 1206/2001, li takkumpanja l-valutazzjoni tal-impatt, jistgħu jiġu ppreżentati fil-qosor kif ġej: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B’mod ġenerali, ir-Regolament għamel kontribut biex jintlaħqu l-objettivi ġenerali, speċifiċi u operattivi tiegħu. L-introduzzjoni ta’ metodi komuni għall-kumpilazzjoni ta’ xhieda ntlaqgħet mill-prattikanti. L-introduzzjoni ta’ forom u kanali ta’ komunikazzjoni standard iffaċilitat il-komunikazzjoni. Ir-Regolament tejjeb l-effiċjenza tal-proċedimenti legali — kemm meta mqabbel mal-Konvenzjoni tal-Aja kif ukoll maż-żmien bejn l-2001 u l-2017. Għaldaqstant, huwa jikkontribwixxi għal spazju ta’ libertà, sigurtà u ġustizzja, u għall-funzjonament tajjeb tas-suq intern. Huwa jżid il-fiduċja reċiproka bejn il-qrati u jgħin inaqqas il-piż għaċ-ċittadini u n-negozji impenjati fi proċedimenti transkonfinali.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Ġew identifikati għadd ta’ ostakli li jindikaw li hemm lok għal titjib. Dawn l-ostakoli huma relatati l-aktar ma’ dewmien u spejjeż għan-negozji u għaċ-ċittadini kkawżati min-nuqqas tal-isfruttament ta’ teknoloġiji moderni għal komunikazzjoni aktar rapida u l-kumpilazzjoni diretta ta’ xhieda. L-aktar eżempji notevoli huma n-nuqqas tal-użu tal-komunikazzjoni elettronika fi skambji bejn il-qrati u l-awtoritajiet tal-Istati Membri, li fil-parti l-kbira tagħhom għadhom ibbażati fuq il-karti, u l-użu marġinali tal-komunikazzjoni elettronika, b’mod partikolari l-vidjokonferenzi, għall-kumpilazzjoni diretta ta’ xhieda. Ir-Regolament bħalissa ma jirrikjedix l-adozzjoni ta’ teknoloġiji moderni fil-ġudikatura; il-fatt li din tiddependi biss fuq l-isforzi individwali tal-Istati Membri u l-mixja ġenerali lejn id-diġitalizzazzjoni wasslet għal progress bil-mod ħafna, kemm f’termini assoluti kif ukoll meta mqabbel mal-użu ta’ teknoloġiji moderni f'ambjenti domestiċi.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>Konsultazzjonijiet mal-partijiet ikkonċernati</w:t>
      </w:r>
    </w:p>
    <w:p>
      <w:pPr>
        <w:spacing w:before="0" w:after="240"/>
        <w:rPr>
          <w:rFonts w:eastAsia="Calibri"/>
          <w:noProof/>
          <w:szCs w:val="24"/>
        </w:rPr>
      </w:pPr>
      <w:r>
        <w:rPr>
          <w:noProof/>
        </w:rPr>
        <w:t xml:space="preserve">Il-Kummissjoni wettqet konsultazzjoni estensiva mal-partijiet ikkonċernati. Konsultazzjoni pubblika waħda li damet għaddejja mit-8 ta’ Diċembru 2017 sat-2 ta’ Marzu 2018 indirizzat kemm ir-Regolament (KE) Nru 1393/2007 kif ukoll ir-Regolament (KE) Nru 1206/2001. Waslu total ta’ 131 kontribuzzjoni (b’mod partikolari mill-Polonja, segwita mill-Ġermanja, </w:t>
      </w:r>
      <w:r>
        <w:rPr>
          <w:noProof/>
        </w:rPr>
        <w:lastRenderedPageBreak/>
        <w:t xml:space="preserve">mill-Ungerija u mill-Greċja). Żewġ laqgħat iddedikati tan-Netwerk Ġudizzjarju Ewropew indirizzaw il-problemi prattiċi u t-titjib possibbli taż-żewġ Regolamenti. Saru laqgħat iddedikati mal-esperti governattivi tal-Istati Membri. Ġie organizzat workshop għal partijiet ikkonċernati magħżula b’interess partikolari f'materji relatati ma’ proċeduri legali transkonfinali. Ir-riżultati ta’ dawn il-konsultazzjonijiet kienu ġeneralment pożittivi u wrew ħtieġa ta’ azzjoni. </w:t>
      </w:r>
    </w:p>
    <w:p>
      <w:pPr>
        <w:spacing w:before="0" w:after="240"/>
        <w:rPr>
          <w:rFonts w:eastAsia="Calibri"/>
          <w:noProof/>
          <w:szCs w:val="24"/>
        </w:rPr>
      </w:pPr>
      <w:r>
        <w:rPr>
          <w:noProof/>
        </w:rPr>
        <w:t>Barra minn hekk, il-Kummissjoni żammet djalogu regolari mal-partijiet ikkonċernati u l-Istati Membri permezz tal-grupp espert tal-Kunsill dwar is-servizz elettroniku ta’ dokumenti u komunikazzjonijiet elettroniċi, li jiltaqa’ bejn erba’ u sitt darbiet fis-sena.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>Ġbir u użu tal-għarfien espert</w:t>
      </w:r>
    </w:p>
    <w:p>
      <w:pPr>
        <w:spacing w:before="0" w:after="240"/>
        <w:rPr>
          <w:rFonts w:eastAsia="Calibri"/>
          <w:noProof/>
          <w:szCs w:val="24"/>
        </w:rPr>
      </w:pPr>
      <w:r>
        <w:rPr>
          <w:noProof/>
        </w:rPr>
        <w:t>Grupp ta’ esperti dwar il-modernizzazzjoni tal-kooperazzjoni ġudizzjarja f'materji ċivili u kummerċjali kellu sitt laqgħat bejn Jannar u April 2018. Studju tal-2016 minn konsorzju mmexxi mill-Università ta’ Maribor wassal għal analiżi komparattiva tal-liġi dwar ix-xhieda f'26 Stat Membru</w:t>
      </w:r>
      <w:r>
        <w:rPr>
          <w:rStyle w:val="FootnoteReference"/>
          <w:noProof/>
        </w:rPr>
        <w:footnoteReference w:id="12"/>
      </w:r>
      <w:r>
        <w:rPr>
          <w:noProof/>
        </w:rPr>
        <w:t>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>Valutazzjoni tal-impatt</w:t>
      </w:r>
    </w:p>
    <w:p>
      <w:pPr>
        <w:spacing w:before="0" w:after="240"/>
        <w:rPr>
          <w:rFonts w:eastAsia="Times New Roman"/>
          <w:noProof/>
          <w:sz w:val="23"/>
          <w:szCs w:val="23"/>
        </w:rPr>
      </w:pPr>
      <w:r>
        <w:rPr>
          <w:noProof/>
          <w:sz w:val="23"/>
        </w:rPr>
        <w:t>Din il-proposta hi sostnuta minn valutazzjoni tal-impatt kif ippreżentata fid-dokument ta’ ħidma tal-persunal SWD(2018) 285, li jakkumpanjaha.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>Ġiet ikkunsidrata firxa ta’ għażliet, minn azzjoni mhux leġiżlattiva għal azzjoni leġiżlattiva b’livelli varji ta’ ambizzjoni.</w:t>
      </w:r>
    </w:p>
    <w:p>
      <w:pPr>
        <w:spacing w:before="0"/>
        <w:rPr>
          <w:rFonts w:eastAsia="Arial Unicode MS"/>
          <w:noProof/>
          <w:szCs w:val="24"/>
        </w:rPr>
      </w:pPr>
      <w:r>
        <w:rPr>
          <w:noProof/>
        </w:rPr>
        <w:t xml:space="preserve">L-għażla ppreferuta hija pakkett ta’ politika li jinvolvi numru ta’ miżuri: </w:t>
      </w:r>
    </w:p>
    <w:p>
      <w:pPr>
        <w:pStyle w:val="Tiret0"/>
        <w:numPr>
          <w:ilvl w:val="0"/>
          <w:numId w:val="15"/>
        </w:numPr>
        <w:ind w:hanging="283"/>
        <w:rPr>
          <w:noProof/>
        </w:rPr>
      </w:pPr>
      <w:r>
        <w:rPr>
          <w:noProof/>
        </w:rPr>
        <w:t xml:space="preserve">l-użu ta’ trażmissjoni elettronika bħala l-kanal ta’ komunikazzjoni elettronika awtomatiku u l-iskambji tad-dokumenti; </w:t>
      </w:r>
    </w:p>
    <w:p>
      <w:pPr>
        <w:pStyle w:val="Tiret0"/>
        <w:ind w:hanging="283"/>
        <w:rPr>
          <w:noProof/>
        </w:rPr>
      </w:pPr>
      <w:r>
        <w:rPr>
          <w:noProof/>
        </w:rPr>
        <w:t xml:space="preserve">il-promozzjoni ta’ mezzi moderni fil-kumpilazzjoni ta' xhieda bħal vidjokonferenzi jekk persuna teħtieġ tinstema’ minn Stat Membru ieħor u inċentivi (permezz ta’ finanzjament ta’proġetti nazzjonali) għall-Istati Membri biex jgħammru lill-qrati b’faċilitajiet ta’ vidjokonferenzi; </w:t>
      </w:r>
    </w:p>
    <w:p>
      <w:pPr>
        <w:pStyle w:val="Tiret0"/>
        <w:ind w:hanging="283"/>
        <w:rPr>
          <w:noProof/>
        </w:rPr>
      </w:pPr>
      <w:r>
        <w:rPr>
          <w:noProof/>
        </w:rPr>
        <w:t>it-tneħħija ta’ ostakoli legali għall-aċċettazzjoni ta’ xhieda elettronika (diġitali);</w:t>
      </w:r>
    </w:p>
    <w:p>
      <w:pPr>
        <w:pStyle w:val="Tiret0"/>
        <w:ind w:hanging="283"/>
        <w:rPr>
          <w:noProof/>
        </w:rPr>
      </w:pPr>
      <w:r>
        <w:rPr>
          <w:noProof/>
        </w:rPr>
        <w:t>l-indirizzar ta’ interpretazzjonijiet diverġenti tat-terminu "qorti";</w:t>
      </w:r>
    </w:p>
    <w:p>
      <w:pPr>
        <w:pStyle w:val="Tiret0"/>
        <w:ind w:hanging="283"/>
        <w:rPr>
          <w:noProof/>
        </w:rPr>
      </w:pPr>
      <w:r>
        <w:rPr>
          <w:noProof/>
        </w:rPr>
        <w:t xml:space="preserve">il-komunikazzjoni tal-importanza tal-istandards uniformi pprovduti bir-Regolament (proċeduri ssimplifikati, standard ugwali ta’ protezzjoni tad-dritt tal-partijiet involuti); </w:t>
      </w:r>
    </w:p>
    <w:p>
      <w:pPr>
        <w:pStyle w:val="Tiret0"/>
        <w:ind w:hanging="283"/>
        <w:rPr>
          <w:noProof/>
        </w:rPr>
      </w:pPr>
      <w:r>
        <w:rPr>
          <w:noProof/>
        </w:rPr>
        <w:t>l-aħjar prattiki għall-qrati kompetenti, biex jgħinuhom japplikaw il-proċeduri kif suppost u mingħajr dewmien; kif ukoll</w:t>
      </w:r>
    </w:p>
    <w:p>
      <w:pPr>
        <w:pStyle w:val="Tiret0"/>
        <w:ind w:hanging="283"/>
        <w:rPr>
          <w:noProof/>
        </w:rPr>
      </w:pPr>
      <w:r>
        <w:rPr>
          <w:noProof/>
        </w:rPr>
        <w:t>sensibilizzazzjoni tal-qrati u tal-professjonisti legali dwar id-disponibbiltà tal-mezz dirett fil-kumpilazzjoni ta’ xhieda skont ir-Regolament.</w:t>
      </w:r>
    </w:p>
    <w:p>
      <w:pPr>
        <w:spacing w:before="0" w:after="240"/>
        <w:contextualSpacing/>
        <w:rPr>
          <w:rFonts w:eastAsia="Arial Unicode MS"/>
          <w:noProof/>
          <w:szCs w:val="24"/>
        </w:rPr>
      </w:pPr>
    </w:p>
    <w:p>
      <w:pPr>
        <w:spacing w:before="0" w:after="240"/>
        <w:contextualSpacing/>
        <w:rPr>
          <w:rFonts w:eastAsia="Arial Unicode MS"/>
          <w:noProof/>
          <w:szCs w:val="24"/>
        </w:rPr>
      </w:pPr>
      <w:r>
        <w:rPr>
          <w:noProof/>
        </w:rPr>
        <w:t xml:space="preserve">Il-Bord tal-Iskrutinju Regolatorju rreveda l-abbozz tal-valutazzjoni tal-impatt fil-laqgħa tiegħu tat-3 ta' Mejju 2018 u ta opinjoni pożittiva flimkien ma’ kummenti fis-7 ta’ Mejju 2018. Ir-rakkomandazzjonijiet tal-Bord.ġew ikkunsidrati. B’mod partikolari, il-verżjoni </w:t>
      </w:r>
      <w:r>
        <w:rPr>
          <w:noProof/>
        </w:rPr>
        <w:lastRenderedPageBreak/>
        <w:t>riveduta tar-rapport tispjega aħjar ir-relazzjoni bejn iż-żewġ inizjattivi dwar kooperazzjoni ġudizzjarja (notifika ta’dokumenti u kumpilazzjoni ta’xhieda), il-kuntest usa’ u r-raġunijiet għaliex ir-Regolament jirrappreżenta pass ’il quddiem sinifikanti meta mqabbel mal-Konvenzjoni tal-Aja dwar il-Kumpilazzjoni ta’ Xhieda. Barra minn hekk, il-problemi ewlenin u l-linja bażi huma identifikati u spjegati aħjar u t-taqsimiet dwar is-sussidjarjetà u l-valur miżjud tal-UE ġew imtejba. Barra minn hekk, il-konklużjonijiet tal-evalwazzjoni rigward l-effettività ġew żviluppati aktar u l-valutazzjoni tal-għażliet politiċi tiffoka fuq il-kwistjonijiet ewlenin (komunikazzjoni elettronika u l-użu ta’ vidjokonferenzi).</w:t>
      </w:r>
    </w:p>
    <w:p>
      <w:pPr>
        <w:spacing w:before="0" w:after="240"/>
        <w:ind w:left="851"/>
        <w:contextualSpacing/>
        <w:rPr>
          <w:rFonts w:eastAsia="Arial Unicode MS"/>
          <w:noProof/>
          <w:szCs w:val="24"/>
        </w:rPr>
      </w:pP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>Idoneità regolatorja u simplifikazzjoni</w:t>
      </w:r>
    </w:p>
    <w:p>
      <w:pPr>
        <w:spacing w:before="0" w:after="240"/>
        <w:rPr>
          <w:rFonts w:eastAsia="Times New Roman"/>
          <w:iCs/>
          <w:noProof/>
          <w:szCs w:val="24"/>
        </w:rPr>
      </w:pPr>
      <w:r>
        <w:rPr>
          <w:noProof/>
        </w:rPr>
        <w:t>L-inizjattiva hija inkluża fil-Programm ta’ Ħidma tal-Kummissjoni għall-2018 taħt l-inizjattivi ta’ REFIT fil-qasam tal-ġustizzja u d-drittijiet fundamentali bbażati fuq fiduċja reċiproka</w:t>
      </w:r>
      <w:r>
        <w:rPr>
          <w:rStyle w:val="FootnoteReference"/>
          <w:noProof/>
        </w:rPr>
        <w:footnoteReference w:id="13"/>
      </w:r>
      <w:r>
        <w:rPr>
          <w:noProof/>
        </w:rPr>
        <w:t>.</w:t>
      </w:r>
    </w:p>
    <w:p>
      <w:pPr>
        <w:spacing w:before="0" w:after="240"/>
        <w:rPr>
          <w:rFonts w:eastAsia="Times New Roman"/>
          <w:iCs/>
          <w:noProof/>
          <w:szCs w:val="24"/>
        </w:rPr>
      </w:pPr>
      <w:r>
        <w:rPr>
          <w:noProof/>
        </w:rPr>
        <w:t>Permezz tal-pjattaforma REFIT, il-partijiet interessati rrakkomandaw li l-Kummissjoni tesplora l-ambitu biex tħaffef il-kumpilazzjoni ta’ xhieda fi Stati Membri oħra.</w:t>
      </w:r>
    </w:p>
    <w:p>
      <w:pPr>
        <w:spacing w:before="0" w:after="240"/>
        <w:rPr>
          <w:noProof/>
        </w:rPr>
      </w:pPr>
      <w:r>
        <w:rPr>
          <w:noProof/>
        </w:rPr>
        <w:t>Il-pakkett tal-politika huwa mistenni li jiġġenera benefiċċji għaċ-ċittadini u n-negozji involuti fi proċeduri transkonfinali. Ċertezza legali mtejba u proċeduri aktar mgħaġġla u li jiswew inqas, jgħinu biex iċ-ċittadini u n-negozji jitħeġġu biex jinvolvu ruħhom fi tranżazzjonijiet transkonfinali u b’hekk jistimulaw negozju transkonfinali u jtejbu l-funzjonament tas-suq intern. Għall-Istati Membri, it-trasmissjoni elettronika u l-vidjokonferenzi se jiġġeneraw xi spejjeż, iżda dawn huma ta’ darba, filwaqt li l-benefiċċji huma kontinwi u jiġġeneraw iffrankar tal-ispejjeż (eż. jiswa inqas flus li tisma’ xhud permezz ta’ vidjokonferenza milli wiċċ imb'wiċċ). Barra minn hekk, l-ispejjeż relatati speċifikament ma’ dan ir-Regolament se jittaffew permezz ta’ diġitalizzazzjoni akbar tal-ġudikatura b’mod ġenerali. B’mod ġenerali, jidher ċar li l-benefiċċji huma sostanzjalment akbar mill-ispejjeż. In-negozji jibbenefikaw minn titjib bħala partijiet fi proċedimenti ġudizzjarji. Effetti oħrajn se jkunu relattivament newtrali.</w:t>
      </w:r>
    </w:p>
    <w:p>
      <w:pPr>
        <w:spacing w:before="0" w:after="240"/>
        <w:rPr>
          <w:rFonts w:eastAsia="Times New Roman"/>
          <w:iCs/>
          <w:noProof/>
          <w:szCs w:val="24"/>
        </w:rPr>
      </w:pPr>
      <w:r>
        <w:rPr>
          <w:noProof/>
        </w:rPr>
        <w:t>Ir-Regolament se jipprovdi wkoll għar-rikonoxximent reċiproku ta’ xhieda f’format diġitali. Dan mhux biss inaqqas il-piż għaċ-ċittadini u n-negozju fi proċedimenti, iżda jillimita wkoll il-każijiet fejn ix-xhieda elettronika tkun miċħuda.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>Drittijiet fundamentali</w:t>
      </w:r>
    </w:p>
    <w:p>
      <w:pPr>
        <w:spacing w:before="0" w:after="240"/>
        <w:rPr>
          <w:rFonts w:eastAsia="Times New Roman"/>
          <w:iCs/>
          <w:noProof/>
          <w:szCs w:val="24"/>
        </w:rPr>
      </w:pPr>
      <w:r>
        <w:rPr>
          <w:noProof/>
        </w:rPr>
        <w:t>F'konformità mal-aġenda tal-ġustizzja tal-UE għall-2020, il-proposta tindirizza l-ħtieġa li jissaħħu d-drittijiet proċedurali ċivili, sabiex tissaħħaħ il-fiduċja reċiproka bejn is-sistemi tal-ġustizzja tal-Istati Membri.</w:t>
      </w:r>
    </w:p>
    <w:p>
      <w:pPr>
        <w:spacing w:before="0" w:after="240"/>
        <w:rPr>
          <w:rFonts w:eastAsia="Times New Roman"/>
          <w:iCs/>
          <w:noProof/>
          <w:szCs w:val="24"/>
        </w:rPr>
      </w:pPr>
      <w:r>
        <w:rPr>
          <w:noProof/>
        </w:rPr>
        <w:t>L-introduzzjoni ta’ mezzi elettroniċi ta’ komunikazzjoni u l-użu akbar ta’ vidjokonferenzi huma mistennija li jtejbu l-aċċess għall-ġustizzja taċ-ċittadini u tan-negozji.</w:t>
      </w:r>
    </w:p>
    <w:p>
      <w:pPr>
        <w:spacing w:before="0" w:after="240"/>
        <w:rPr>
          <w:rFonts w:eastAsia="Times New Roman"/>
          <w:iCs/>
          <w:noProof/>
          <w:szCs w:val="24"/>
        </w:rPr>
      </w:pPr>
      <w:r>
        <w:rPr>
          <w:noProof/>
        </w:rPr>
        <w:t>Il-miżuri ta’ diġitalizzazzjoni proposti jieħdu inkunsiderazzjoni r-rekwiżiti tal-protezzjoni tad-</w:t>
      </w:r>
      <w:r>
        <w:rPr>
          <w:i/>
          <w:noProof/>
        </w:rPr>
        <w:t>data</w:t>
      </w:r>
      <w:r>
        <w:rPr>
          <w:noProof/>
        </w:rPr>
        <w:t xml:space="preserve"> u l-privatezza: is-sistema li għandha tiġi introdotta għall-iskambji elettroniċi bejn il-qrati magħżula għandu jkollha soluzzjoni teknika kompletament affidabbli u sikura li tiżgura l-integrità u l-privatezza tad-</w:t>
      </w:r>
      <w:r>
        <w:rPr>
          <w:i/>
          <w:noProof/>
        </w:rPr>
        <w:t>data</w:t>
      </w:r>
      <w:r>
        <w:rPr>
          <w:noProof/>
        </w:rPr>
        <w:t xml:space="preserve"> trażmessa. Sett definit minn qabel ta’ utenti tas-sistema (il-qrati u l-awtoritajiet ġudizzjarji biss tal-Istati Membri) jagħti garanzija addizzjonali li d-</w:t>
      </w:r>
      <w:r>
        <w:rPr>
          <w:i/>
          <w:noProof/>
        </w:rPr>
        <w:t>data</w:t>
      </w:r>
      <w:r>
        <w:rPr>
          <w:noProof/>
        </w:rPr>
        <w:t xml:space="preserve"> </w:t>
      </w:r>
      <w:r>
        <w:rPr>
          <w:noProof/>
        </w:rPr>
        <w:lastRenderedPageBreak/>
        <w:t>personali se tiġi ttrattata b’mod xieraq. Barra minn hekk, is-sistema għandha tintroduċi struttura deċentralizzata, li tippermetti komunikazzjoni direttament bejn il-punti aħħarija tagħha u b’hekk tnaqqas ir-riskju billi timminimizza n-numru ta’ proċessuri tad-</w:t>
      </w:r>
      <w:r>
        <w:rPr>
          <w:i/>
          <w:noProof/>
        </w:rPr>
        <w:t>data</w:t>
      </w:r>
      <w:r>
        <w:rPr>
          <w:noProof/>
        </w:rPr>
        <w:t>.</w:t>
      </w:r>
    </w:p>
    <w:p>
      <w:pPr>
        <w:spacing w:before="0"/>
        <w:rPr>
          <w:rFonts w:eastAsia="Times New Roman"/>
          <w:iCs/>
          <w:noProof/>
          <w:szCs w:val="24"/>
        </w:rPr>
      </w:pPr>
      <w:r>
        <w:rPr>
          <w:noProof/>
        </w:rPr>
        <w:t>Fatturi esterni importanti fir-rigward tal-protezzjoni tad-</w:t>
      </w:r>
      <w:r>
        <w:rPr>
          <w:i/>
          <w:noProof/>
        </w:rPr>
        <w:t>data</w:t>
      </w:r>
      <w:r>
        <w:rPr>
          <w:noProof/>
        </w:rPr>
        <w:t xml:space="preserve"> personali fil-kuntest tal-pakkett ta’ politika propost huma:</w:t>
      </w:r>
    </w:p>
    <w:p>
      <w:pPr>
        <w:pStyle w:val="Tiret0"/>
        <w:ind w:hanging="424"/>
        <w:rPr>
          <w:noProof/>
        </w:rPr>
      </w:pPr>
      <w:r>
        <w:rPr>
          <w:noProof/>
        </w:rPr>
        <w:t>ir-Regolament Ġenerali dwar il-Protezzjoni tad-</w:t>
      </w:r>
      <w:r>
        <w:rPr>
          <w:i/>
          <w:noProof/>
        </w:rPr>
        <w:t>Data</w:t>
      </w:r>
      <w:r>
        <w:rPr>
          <w:noProof/>
        </w:rPr>
        <w:t xml:space="preserve"> (GDPR)</w:t>
      </w:r>
      <w:r>
        <w:rPr>
          <w:rStyle w:val="FootnoteReference"/>
          <w:noProof/>
        </w:rPr>
        <w:footnoteReference w:id="14"/>
      </w:r>
      <w:r>
        <w:rPr>
          <w:noProof/>
        </w:rPr>
        <w:t xml:space="preserve">, li beda japplika minn Mejju 2018, li għandu jżid l-għarfien u azzjoni fil-pront biex jiżgura s-sigurtà u l-integrità tal-bażijiet ta’ </w:t>
      </w:r>
      <w:r>
        <w:rPr>
          <w:i/>
          <w:noProof/>
        </w:rPr>
        <w:t>data</w:t>
      </w:r>
      <w:r>
        <w:rPr>
          <w:noProof/>
        </w:rPr>
        <w:t>, u reazzjonijiet fil-pront għal ksur tal-privatezza fil-ġudikatura; kif ukoll</w:t>
      </w:r>
    </w:p>
    <w:p>
      <w:pPr>
        <w:pStyle w:val="Tiret0"/>
        <w:ind w:hanging="424"/>
        <w:rPr>
          <w:noProof/>
        </w:rPr>
      </w:pPr>
      <w:r>
        <w:rPr>
          <w:noProof/>
        </w:rPr>
        <w:t>theddid persistenti għas-sigurtà ċibernetika fis-settur pubbliku. It-tentattivi ta’ attakki fuq l-infrastruttura pubblika tal-IT huma mistennija li jipproliferaw u li jaffettwaw il-ġudikatura fl-Istati Membri; l-impatt tagħhom jista’ jiġi aggravat mill-interkonnessjoni dejjem tikber tas-sistemi tal-IT (kemm f’livell nazzjonali kif ukoll f’livell tal-UE).</w:t>
      </w:r>
    </w:p>
    <w:p>
      <w:pPr>
        <w:pStyle w:val="ManualHeading2"/>
        <w:spacing w:line="276" w:lineRule="auto"/>
        <w:rPr>
          <w:noProof/>
        </w:rPr>
      </w:pPr>
      <w:r>
        <w:rPr>
          <w:noProof/>
        </w:rPr>
        <w:tab/>
        <w:t>Pjanijiet ta’ implimentazzjoni u arranġamenti dwar il-monitoraġġ, l-evalwazzjoni u r-rappurtar</w:t>
      </w:r>
    </w:p>
    <w:p>
      <w:pPr>
        <w:spacing w:before="0" w:after="240"/>
        <w:rPr>
          <w:rFonts w:eastAsia="Times New Roman"/>
          <w:iCs/>
          <w:noProof/>
          <w:szCs w:val="24"/>
        </w:rPr>
      </w:pPr>
      <w:r>
        <w:rPr>
          <w:noProof/>
        </w:rPr>
        <w:t>F’konformità mal-paragrafi 22 u 23 tal-Ftehim Interistituzzjonali tat-13 ta’ April 2016</w:t>
      </w:r>
      <w:r>
        <w:rPr>
          <w:rStyle w:val="FootnoteReference"/>
          <w:noProof/>
        </w:rPr>
        <w:footnoteReference w:id="15"/>
      </w:r>
      <w:r>
        <w:rPr>
          <w:noProof/>
        </w:rPr>
        <w:t xml:space="preserve">, meta it-tliet istituzzjonijiet ikkonfermaw li l-valutazzjonijiet tal-leġiżlazzjoni u l-politika eżistenti għandhom jipprovdu l-bażi għall-valutazzjonijiet tal-impatt tal-għażliet għal aktar azzjoni, ir-Regolament se jiġi evalwat u l-Kummissjoni se tissottometti rapport lill-Parlament Ewropew, lill-Kunsill </w:t>
      </w:r>
      <w:r>
        <w:rPr>
          <w:noProof/>
          <w:color w:val="000000" w:themeColor="text1"/>
        </w:rPr>
        <w:t>u lill-Kumitat Ekonomiku u Soċjali Ewropew sa mhux aktar tard minn ħames snin wara d-data tal-applikazzjoni tiegħu. L-</w:t>
      </w:r>
      <w:r>
        <w:rPr>
          <w:noProof/>
        </w:rPr>
        <w:t>evalwazzjoni se tivvaluta l-effetti tar-Regolament fil-konkret ibbażat fuq indikaturi u analiżi dettaljata tal-livell li bih ir-Regolament jista’ jitqies relevanti, effettiv u effiċjenti, jipprovdi biżżejjed valur miżjud tal-UE u huwa koerenti ma’ politiki oħra tal-UE. L-evalwazzjoni se tinkludi tagħlim miksub biex ikun identifikat kull nuqqas/problema jew kull potenzjal li jista’ jtejjeb aktar l-impatt tar-Regolament. L-Istati Membri se jipprovdu lill-Kummissjoni l-informazzjoni neċessarja għat-tħejjija tar-rapport.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0"/>
        <w:rPr>
          <w:rFonts w:eastAsia="Calibri"/>
          <w:b/>
          <w:smallCaps/>
          <w:noProof/>
        </w:rPr>
      </w:pPr>
      <w:r>
        <w:rPr>
          <w:b/>
          <w:smallCaps/>
          <w:noProof/>
        </w:rPr>
        <w:t>4.</w:t>
      </w:r>
      <w:r>
        <w:rPr>
          <w:noProof/>
        </w:rPr>
        <w:tab/>
      </w:r>
      <w:r>
        <w:rPr>
          <w:b/>
          <w:smallCaps/>
          <w:noProof/>
        </w:rPr>
        <w:t>IMPLIKAZZJONIJIET BAĠITARJI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 xml:space="preserve">Il-proposta ma timponix spejjeż sinifikanti fuq l-amministrazzjonijiet nazzjonali, iżda pjuttost twassal għal tfaddil. L-awtoritajiet nazzjonali huma mistennija li jibbenefikaw minn proċeduri legali aktar effiċjenti u piżijiet amministrattivi u kost lavorattiv imnaqqsa. 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L-ispejjeż relatati mal-iżvilupp, l-implimentazzjoni u l-manutenzjoni ta’ komunikazzjoni elettronika u skambji ta’ dokumenti, u għall-akkwist, l-implimentazzjoni u tħaddim ta’ tagħmir tal-vidjokonferenzi professjonali ta’ livell għoli jistgħu jiġu kofinanzjati.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 xml:space="preserve">L-opportunitajiet ewlenin ta’ finanzjament tal-UE taħt il-programmi finanzjarji attwali huma l-programm Ġustizzja u l-Faċilità Nikkollegaw l-Ewropa (CEF). Il-programm tal-Ġustizzja (baġit tal-2018: EUR 45,95 miljun) jappoġġja l-kapaċitajiet ta’ infurzar u ta’ rimedju fl-Istati Membri fil-qasam tal-ġustizzja ċivili u l-prijoritajiet ta’ finanzjament futuri tiegħu jiffukaw </w:t>
      </w:r>
      <w:r>
        <w:rPr>
          <w:noProof/>
        </w:rPr>
        <w:lastRenderedPageBreak/>
        <w:t>fuq dawn l-elementi, li huma wkoll rilevanti għall-inizjattiva attwali. Is-CEF għandu baġit ħafna akbar (EUR 130,33 miljun fl-2018) u joffri appoġġ finanzjarju għal proġetti tal-IT li jiffaċilitaw interazzjoni transkonfinali bejn amministrazzjonijiet pubbliċi, negozji u ċittadini. Diġà qed jintuża b’mod wiesa’ biex jiffinanzja xogħol ta’ diġitalizzazzjoni u ġustizzja elettronika fil-qasam tal-ġustizzja ċivili, inkluż il-portal Ewropew tal-ġustizzja elettronika u integrazzjoni ta’ dokumenti pubbliċi fis-sistemi nazzjonali ta’ gvern elettroniku u s-Sistema ta’ Interkonnessjoni tar-Reġistri Kummerċjali (BRIS). Il-pakkett ta’ Qafas Finanzjarju Pluriennali (MFF) għall-prijorità tat-trasformazzjoni diġitali, kif imfisser fit-2 ta’ Mejju 2018, jinkludi EUR 3 biljun għal linja diġitali tas-CEF, biex jiffinanzja infrastruttura ta’ konnettività diġitali.</w:t>
      </w:r>
    </w:p>
    <w:p>
      <w:pPr>
        <w:keepNext/>
        <w:tabs>
          <w:tab w:val="left" w:pos="850"/>
        </w:tabs>
        <w:spacing w:before="0" w:after="240"/>
        <w:ind w:left="850" w:hanging="850"/>
        <w:outlineLvl w:val="0"/>
        <w:rPr>
          <w:rFonts w:eastAsia="Calibri"/>
          <w:b/>
          <w:smallCaps/>
          <w:noProof/>
        </w:rPr>
      </w:pPr>
      <w:r>
        <w:rPr>
          <w:b/>
          <w:noProof/>
        </w:rPr>
        <w:t>5.ELEMENTI OĦRA</w:t>
      </w:r>
    </w:p>
    <w:p>
      <w:pPr>
        <w:keepNext/>
        <w:tabs>
          <w:tab w:val="left" w:pos="850"/>
        </w:tabs>
        <w:spacing w:before="0" w:after="240"/>
        <w:ind w:left="850" w:hanging="850"/>
        <w:outlineLvl w:val="1"/>
        <w:rPr>
          <w:rFonts w:eastAsia="Arial Unicode MS"/>
          <w:b/>
          <w:noProof/>
          <w:bdr w:val="none" w:sz="0" w:space="0" w:color="auto" w:frame="1"/>
        </w:rPr>
      </w:pPr>
      <w:r>
        <w:rPr>
          <w:b/>
          <w:noProof/>
          <w:bdr w:val="none" w:sz="0" w:space="0" w:color="auto" w:frame="1"/>
        </w:rPr>
        <w:t>•</w:t>
      </w:r>
      <w:r>
        <w:rPr>
          <w:noProof/>
        </w:rPr>
        <w:tab/>
      </w:r>
      <w:r>
        <w:rPr>
          <w:b/>
          <w:noProof/>
          <w:bdr w:val="none" w:sz="0" w:space="0" w:color="auto" w:frame="1"/>
        </w:rPr>
        <w:t>Pjanijiet ta’ implimentazzjoni u arranġamenti dwar il-monitoraġġ, l-evalwazzjoni u r-rapportar</w:t>
      </w:r>
    </w:p>
    <w:p>
      <w:pPr>
        <w:spacing w:before="0" w:after="240"/>
        <w:rPr>
          <w:rFonts w:eastAsia="MS Mincho"/>
          <w:noProof/>
          <w:szCs w:val="24"/>
        </w:rPr>
      </w:pPr>
      <w:r>
        <w:rPr>
          <w:noProof/>
        </w:rPr>
        <w:t>Se jiddaħħlu fis-seħħ arranġamenti sodi għall-monitoraġġ tar-Regolament, inkluż sett komprensiv ta’ indikaturi kwalitattivi u kwantitattivi, u proċess ta’ rapportar u monitoraġġ ċar u strutturat. Dan huwa importanti biex jiġi żgurat li l-emendi jiġu implimentati b’mod effiċjenti fl-Istati Membri u jiġi vverifikat jekk ir-Regolament kienx ta’ suċċess fl-ilħuq tal-għanijiet tiegħu.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Spjegazzjoni fid-dettall tad-dispożizzjonijiet speċifiċi tal-proposta</w:t>
      </w:r>
    </w:p>
    <w:p>
      <w:pPr>
        <w:spacing w:before="0" w:after="0"/>
        <w:jc w:val="left"/>
        <w:rPr>
          <w:i/>
          <w:noProof/>
        </w:rPr>
      </w:pPr>
      <w:r>
        <w:rPr>
          <w:i/>
          <w:noProof/>
        </w:rPr>
        <w:t>Artikolu 1(4)</w:t>
      </w:r>
    </w:p>
    <w:p>
      <w:pPr>
        <w:spacing w:before="0" w:after="0"/>
        <w:jc w:val="left"/>
        <w:rPr>
          <w:noProof/>
        </w:rPr>
      </w:pPr>
    </w:p>
    <w:p>
      <w:pPr>
        <w:spacing w:before="0" w:after="0"/>
        <w:rPr>
          <w:noProof/>
        </w:rPr>
      </w:pPr>
      <w:r>
        <w:rPr>
          <w:noProof/>
        </w:rPr>
        <w:t>Bħalissa, it-terminu "qorti" mhuwiex definit u dan wassal għal interpretazzjonijiet diverġenti fost l-Istati Membri. Xi wħud iqisuh bħala li jirreferi biss għat-tribunali tradizzjonali, filwaqt li oħrajn jesegwixxu wkoll talbiet minn awtoritajiet ġudizzjarji oħrajn (eż. nutara pubbliċi) jekk ikollhom is-setgħa skont il-liġijiet nazzjonali tagħhom biex iwettqu kompiti ta’ kumpilazzjoni ta’ xhieda. Dawn l-inċertezzi għandhom jiġu eliminati b’definizzjoni tal-kunċett ta’ "qorti".</w:t>
      </w:r>
    </w:p>
    <w:p>
      <w:pPr>
        <w:spacing w:before="0" w:after="0"/>
        <w:rPr>
          <w:noProof/>
        </w:rPr>
      </w:pPr>
    </w:p>
    <w:p>
      <w:pPr>
        <w:spacing w:before="0" w:after="0"/>
        <w:jc w:val="left"/>
        <w:rPr>
          <w:i/>
          <w:noProof/>
        </w:rPr>
      </w:pPr>
      <w:r>
        <w:rPr>
          <w:i/>
          <w:noProof/>
        </w:rPr>
        <w:t xml:space="preserve">Artikolu 6 </w:t>
      </w:r>
    </w:p>
    <w:p>
      <w:pPr>
        <w:spacing w:before="0" w:after="0"/>
        <w:jc w:val="left"/>
        <w:rPr>
          <w:noProof/>
        </w:rPr>
      </w:pPr>
    </w:p>
    <w:p>
      <w:pPr>
        <w:spacing w:before="0" w:after="0"/>
        <w:rPr>
          <w:noProof/>
        </w:rPr>
      </w:pPr>
      <w:r>
        <w:rPr>
          <w:noProof/>
        </w:rPr>
        <w:t>Din l-emenda tintroduċi t-trażmissjoni elettronika mandatorja, bħala regola, ta’ talbiet u komunikazzjonijiet skont ir-Regolament (paragrafu 1). F’każijiet eċċezzjonali, jiġifieri fejn is-sistema hija interrotta jew mhux adatta għat-trażmissjoni inkwistjoni (eż. trażmissjoni ta’ kampjun tad-DNA bħala prova), xorta jistgħu jintużaw kanali oħra (paragrafu 4).</w:t>
      </w:r>
    </w:p>
    <w:p>
      <w:pPr>
        <w:spacing w:before="0" w:after="0"/>
        <w:rPr>
          <w:noProof/>
        </w:rPr>
      </w:pPr>
    </w:p>
    <w:p>
      <w:pPr>
        <w:spacing w:before="0" w:after="240"/>
        <w:rPr>
          <w:rFonts w:eastAsia="Calibri"/>
          <w:i/>
          <w:noProof/>
        </w:rPr>
      </w:pPr>
      <w:r>
        <w:rPr>
          <w:i/>
          <w:noProof/>
        </w:rPr>
        <w:t>Artikoli 17 u 17a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L-iskop tal-emendi proposti huwa li jiġi żgurat użu aktar xieraq, aktar frekwenti u aktar mgħaġġel tal-kumpilazzjoni diretta tax-xhieda skont l-Artikolu 17 permezz ta’ vidjokonferenza, meta disponibbli għall-qrati inkwistjoni u meta xierqa fid-dawl taċ-ċirkostanzi speċifiċi tal-każ.</w:t>
      </w:r>
    </w:p>
    <w:p>
      <w:pPr>
        <w:spacing w:before="0" w:after="240"/>
        <w:rPr>
          <w:rFonts w:eastAsia="Calibri"/>
          <w:i/>
          <w:noProof/>
        </w:rPr>
      </w:pPr>
      <w:r>
        <w:rPr>
          <w:i/>
          <w:noProof/>
        </w:rPr>
        <w:t>Artikolu 17b</w:t>
      </w:r>
    </w:p>
    <w:p>
      <w:pPr>
        <w:spacing w:before="0" w:after="0"/>
        <w:rPr>
          <w:rFonts w:eastAsia="Calibri"/>
          <w:noProof/>
        </w:rPr>
      </w:pPr>
      <w:r>
        <w:rPr>
          <w:noProof/>
        </w:rPr>
        <w:t xml:space="preserve">L-iskop ta’ dan l-Artikolu ġdid huwa li jiffaċilita l-kumpilazzjoni ta’ xhieda minn uffiċjali diplomatiċi jew minn aġenti konsulari. L-Artikolu jipprevedi li dawn il-persuni jistgħu, fit-territorju ta’ Stat Membru ieħor u fiż-żona fejn jeżerċitaw il-funzjonijiet tagħhom, jagħmlu </w:t>
      </w:r>
      <w:r>
        <w:rPr>
          <w:noProof/>
        </w:rPr>
        <w:lastRenderedPageBreak/>
        <w:t>kumpilazzjoni ta’ xhieda mingħajr il-ħtieġa għal talba minn qabel, billi jinstemgħu ċittadini tal-Istat Membru li jirrappreżentaw mingħajr obbligazzjoni fil-kuntest tal-proċedimenti pendenti fil-qrati ta’ dak l-Istat Membru.</w:t>
      </w:r>
    </w:p>
    <w:p>
      <w:pPr>
        <w:spacing w:before="0" w:after="0"/>
        <w:rPr>
          <w:noProof/>
        </w:rPr>
      </w:pPr>
    </w:p>
    <w:p>
      <w:pPr>
        <w:spacing w:before="0" w:after="0"/>
        <w:rPr>
          <w:i/>
          <w:noProof/>
        </w:rPr>
      </w:pPr>
      <w:r>
        <w:rPr>
          <w:i/>
          <w:noProof/>
        </w:rPr>
        <w:t>Artikolu 18a</w:t>
      </w:r>
    </w:p>
    <w:p>
      <w:pPr>
        <w:spacing w:before="0" w:after="0"/>
        <w:rPr>
          <w:noProof/>
        </w:rPr>
      </w:pPr>
    </w:p>
    <w:p>
      <w:pPr>
        <w:spacing w:before="0" w:after="0"/>
        <w:rPr>
          <w:noProof/>
        </w:rPr>
      </w:pPr>
      <w:r>
        <w:rPr>
          <w:noProof/>
        </w:rPr>
        <w:t>Dan l-Artikolu ġdid għandu jiżgura li x-xhieda diġitali kkumpilata skont il-liġi tal-Istat Membru fejn kienet ġiet ikkumpuilata ma tiġix irrifjutata bħala xhieda fi Stati Membri oħra biss minħabba n-natura diġitali tagħha.</w:t>
      </w:r>
    </w:p>
    <w:p>
      <w:pPr>
        <w:spacing w:before="0" w:after="0"/>
        <w:rPr>
          <w:noProof/>
        </w:rPr>
      </w:pPr>
    </w:p>
    <w:p>
      <w:pPr>
        <w:spacing w:before="0" w:after="0"/>
        <w:rPr>
          <w:i/>
          <w:noProof/>
        </w:rPr>
      </w:pPr>
      <w:r>
        <w:rPr>
          <w:i/>
          <w:noProof/>
        </w:rPr>
        <w:t>Artikoli 19 u 20</w:t>
      </w:r>
    </w:p>
    <w:p>
      <w:pPr>
        <w:spacing w:before="0" w:after="0"/>
        <w:rPr>
          <w:noProof/>
        </w:rPr>
      </w:pPr>
    </w:p>
    <w:p>
      <w:pPr>
        <w:spacing w:before="0" w:after="0"/>
        <w:rPr>
          <w:noProof/>
        </w:rPr>
      </w:pPr>
      <w:r>
        <w:rPr>
          <w:noProof/>
        </w:rPr>
        <w:t>Dawn l-emendi jġibu r-Regolament konformi mal-Artikolu 290 tat-TFUE.</w:t>
      </w:r>
    </w:p>
    <w:p>
      <w:pPr>
        <w:rPr>
          <w:i/>
          <w:noProof/>
        </w:rPr>
      </w:pPr>
      <w:r>
        <w:rPr>
          <w:i/>
          <w:noProof/>
        </w:rPr>
        <w:t xml:space="preserve">Artikolu 22a </w:t>
      </w:r>
    </w:p>
    <w:p>
      <w:pPr>
        <w:rPr>
          <w:noProof/>
        </w:rPr>
      </w:pPr>
      <w:r>
        <w:rPr>
          <w:noProof/>
        </w:rPr>
        <w:t>Din id-dispożizzjoni tistabbilixxi li l-Kummissjoni għandha tistabbilixxi programm dettaljat għall-monitoraġġ tal-eżiti, tar-riżultati u tal-impatti ta’ dan ir-Regolament.</w:t>
      </w:r>
    </w:p>
    <w:p>
      <w:pPr>
        <w:rPr>
          <w:i/>
          <w:iCs/>
          <w:noProof/>
        </w:rPr>
      </w:pPr>
      <w:r>
        <w:rPr>
          <w:i/>
          <w:noProof/>
        </w:rPr>
        <w:t xml:space="preserve">Artikolu 23 </w:t>
      </w:r>
    </w:p>
    <w:p>
      <w:pPr>
        <w:rPr>
          <w:noProof/>
        </w:rPr>
      </w:pPr>
      <w:r>
        <w:rPr>
          <w:noProof/>
        </w:rPr>
        <w:t>Din id-dispożizzjoni tistabbilixxi li l-Kummissjoni għandha twettaq valutazzjoni ta’ dan ir-Regolament f’konformità mal-Linji Gwida tal-Kummissjoni dwar regolamentazzjoni aħjar u skont il-paragrafu 22 u 23 tal-Ftehim Interistituzzjonali tat-13 ta’ April 2016, u tippreżenta rapport dwar is-sejbiet ewlenin lill-Parlament Ewropew, lill-Kunsill u lill-Kumitat Ekonomiku u Soċjali Ewropew.</w:t>
      </w:r>
    </w:p>
    <w:p>
      <w:pPr>
        <w:rPr>
          <w:noProof/>
        </w:rPr>
      </w:pPr>
    </w:p>
    <w:p>
      <w:pPr>
        <w:rPr>
          <w:noProof/>
        </w:rPr>
        <w:sectPr>
          <w:footerReference w:type="default" r:id="rId19"/>
          <w:footerReference w:type="first" r:id="rId20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2018/0203 (COD)</w:t>
      </w:r>
    </w:p>
    <w:p>
      <w:pPr>
        <w:pStyle w:val="Statut"/>
        <w:rPr>
          <w:noProof/>
        </w:rPr>
      </w:pPr>
      <w:r>
        <w:rPr>
          <w:noProof/>
        </w:rPr>
        <w:t>Proposta għal</w:t>
      </w:r>
    </w:p>
    <w:p>
      <w:pPr>
        <w:pStyle w:val="Typedudocument"/>
        <w:rPr>
          <w:noProof/>
        </w:rPr>
      </w:pPr>
      <w:r>
        <w:rPr>
          <w:noProof/>
        </w:rPr>
        <w:t>REGOLAMENT TAL-PARLAMENT EWROPEW U TAL-KUNSILL</w:t>
      </w:r>
    </w:p>
    <w:p>
      <w:pPr>
        <w:pStyle w:val="Titreobjet"/>
        <w:rPr>
          <w:noProof/>
        </w:rPr>
      </w:pPr>
      <w:r>
        <w:rPr>
          <w:noProof/>
        </w:rPr>
        <w:t>li jemenda r-Regolament tal-Kunsill (KE) Nru 1206/2001 tat-28 ta’ Mejju 2001 dwar kooperazzjoni bejn il-qrati tal-Istati Membri fil-kumpilazzjoni ta' xhieda f'materji ċivili jew kummerċjali</w:t>
      </w:r>
    </w:p>
    <w:p>
      <w:pPr>
        <w:pStyle w:val="Institutionquiagit"/>
        <w:rPr>
          <w:noProof/>
        </w:rPr>
      </w:pPr>
      <w:r>
        <w:rPr>
          <w:noProof/>
        </w:rPr>
        <w:t>IL-PARLAMENT EWROPEW U L-KUNSILL TAL-UNJONI EWROPEA,</w:t>
      </w:r>
    </w:p>
    <w:p>
      <w:pPr>
        <w:rPr>
          <w:noProof/>
        </w:rPr>
      </w:pPr>
      <w:r>
        <w:rPr>
          <w:noProof/>
        </w:rPr>
        <w:t>Wara li kkunsidraw it-Trattat dwar il-Funzjonament tal-Unjoni Ewropea, u b’mod partikolari l-Artikolu 81 tiegħu,</w:t>
      </w:r>
    </w:p>
    <w:p>
      <w:pPr>
        <w:rPr>
          <w:noProof/>
        </w:rPr>
      </w:pPr>
      <w:r>
        <w:rPr>
          <w:noProof/>
        </w:rPr>
        <w:t>Wara li kkunsidraw il-proposta mill-Kummissjoni Ewropea,</w:t>
      </w:r>
    </w:p>
    <w:p>
      <w:pPr>
        <w:rPr>
          <w:noProof/>
        </w:rPr>
      </w:pPr>
      <w:r>
        <w:rPr>
          <w:noProof/>
        </w:rPr>
        <w:t>Wara t-trasmissjoni tal-abbozz tal-att leġiżlattiv lill-parlamenti nazzjonali,</w:t>
      </w:r>
    </w:p>
    <w:p>
      <w:pPr>
        <w:rPr>
          <w:noProof/>
        </w:rPr>
      </w:pPr>
      <w:r>
        <w:rPr>
          <w:noProof/>
        </w:rPr>
        <w:t>Wara li kkunsidraw l-opinjoni tal-Kumitat Ekonomiku u Soċjali Ewropew</w:t>
      </w:r>
      <w:r>
        <w:rPr>
          <w:rStyle w:val="FootnoteReference"/>
          <w:noProof/>
        </w:rPr>
        <w:footnoteReference w:id="16"/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Waqt li jaġixxu skont il-proċedura ordinarja leġiżlattiva,</w:t>
      </w:r>
    </w:p>
    <w:p>
      <w:pPr>
        <w:rPr>
          <w:noProof/>
        </w:rPr>
      </w:pPr>
      <w:r>
        <w:rPr>
          <w:noProof/>
        </w:rPr>
        <w:t>Billi: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Fl-interess tal-funzjonament tajjeb tas-suq intern, huwa meħtieġ li tkompli tittejjeb u titħaffef il-kooperazzjoni bejn il-qrati fil-kumpilazzjoni tax-xhieda.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Ir-Regolament tal-Kunsill (KE) Nru 1206/2001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 jistabilixxi r-regoli dwar kooperazzjoni bejn il-qrati tal-Istati Membri fil-kumpilazzjoni ta’ xhieda f’materji ċivili jew kummerċjali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 xml:space="preserve">Sabiex tiġi żgurata t-trażmissjoni rapida tat-talbiet u l-komunikazzjonijiet, jenħtieġ li jintużaw il-mezzi kollha xierqa ta’ teknoloġija tal-komunikazzjoni moderna. Għalhekk, bħala regola, il-komunikazzjoni u l-iskambji tad-dokumenti kollha jenħtieġ li jitwettqu permezz ta’ sistema tal-IT deċentralizzata magħmula minn sistemi tal-IT nazzjonali. 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Sabiex jiġi żgurat ir-rikonoxximent reċiproku tax-xhieda diġitali, tali xhieda meħuda fi Stat Membru skont il-liġi tiegħu m’għandhiex tiġi miċħuda r-rikonoxximent bħala xhieda fi Stati Membri oħra biss minħabba n-natura diġitali tagħha.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>Ir-Regolament (KE) Nru 1206/2001 għandu jkun mingħajr preġudizzju għall-possibbiltà li l-awtoritajiet jiskambjaw informazzjoni taħt sistemi stabbiliti permezz ta’ strumenti oħra tal-Unjoni, bħar-Regolament tal-Kunsill (KE) Nru 2201/2003</w:t>
      </w:r>
      <w:r>
        <w:rPr>
          <w:rStyle w:val="FootnoteReference"/>
          <w:noProof/>
        </w:rPr>
        <w:footnoteReference w:id="18"/>
      </w:r>
      <w:r>
        <w:rPr>
          <w:noProof/>
        </w:rPr>
        <w:t xml:space="preserve"> jew ir-</w:t>
      </w:r>
      <w:r>
        <w:rPr>
          <w:noProof/>
        </w:rPr>
        <w:lastRenderedPageBreak/>
        <w:t>Regolament tal-Kunsill (KE) Nru 4/2009</w:t>
      </w:r>
      <w:r>
        <w:rPr>
          <w:rStyle w:val="FootnoteReference"/>
          <w:noProof/>
        </w:rPr>
        <w:footnoteReference w:id="19"/>
      </w:r>
      <w:r>
        <w:rPr>
          <w:noProof/>
        </w:rPr>
        <w:t>, anki fejn dik l-informazzjoni għandha valur evidenzjarju, u b’hekk tħalli l-għażla tal-iktar metodu adattat f’idejn l-awtorità rikjedenti.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It-teknoloġija tal-komunikazzjoni moderna, b’mod partikolari l-vidjokonferenza, li hija mezz importanti biex tiġi ssimplifikata u aċċellerata l-kumpilazzjoni ta’ xhieda, bħalissa mhux qed tintuża fil-potenzjal sħiħ tagħha. Fejn għandha tiġi kkumpilata xhieda billi tinstema’ persuna domiċiljata fi Stat Membru ieħor bħala xhud, parti jew espert, il-qorti għandha tieħu dik ix-xhieda direttament permezz ta’ vidjokonferenza, jekk tkun disponibbli għall-qrati rispettivi, fejn tqis li l-użu ta’ din it-teknoloġija hija xierqa minħabba ċ-ċirkostanzi speċifiċi tal-każ.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Sabiex jiffaċilitaw il-kumpilazzjoni ta’ xhieda minn uffiċjali diplomatiċi jew aġenti konsulari, tali persuni jistgħu, fit-territorju ta’ Stat Membru ieħor u fiż-żona fejn jeżerċitaw il-funzjonijiet tagħhom, jagħmlu kumpilazzjoni ta’ xhieda mingħajr il-ħtieġa għal talba minn qabel billi jisimgħu ċittadini tal-Istat Membru li jirrappreżentaw mingħajr kompulsjoni fil-kuntest ta’ proċedimenti pendenti fil-qrati tal-Istat Membru li jirrappreżentaw.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>Minħabba li l-objettivi ta’ dan ir-Regolament ma jistgħux jintlaħqu b’mod suffiċjenti mill-Istati Membri u jistgħu pjuttost, minħabba l-ħolqien ta’ qafas legali li jiżgura t-trażmissjoni rapida ta’ talbiet u komunikazzjonijiet dwar il-prestazzjoni tal-kumpilazzjoni ta’ xhieda, jintlaħqu aħjar fil-livell tal-Unjoni, l-Unjoni tista’ tadotta miżuri, skont il-prinċipju tas-sussidjarjetà kif stabbilit fl-Artikolu 5 tat-Trattat dwar l-Unjoni Ewropea. Skont il-prinċipju tal-proporzjonalità kif stabbilit f’dan l-Artikolu, dan ir-Regolament ma jmurx lil hinn minn dak li huwa meħtieġ sabiex jintlaħaq dan l-għan.</w:t>
      </w:r>
    </w:p>
    <w:p>
      <w:pPr>
        <w:pStyle w:val="ManualConsidrant"/>
        <w:rPr>
          <w:noProof/>
        </w:rPr>
      </w:pPr>
      <w:r>
        <w:t>(9)</w:t>
      </w:r>
      <w:r>
        <w:tab/>
      </w:r>
      <w:r>
        <w:rPr>
          <w:noProof/>
        </w:rPr>
        <w:t>F'konformità mal-Artikolu 3 u l-Artikolu 4a(1) tal-Protokoll Nru 21 dwar il-pożizzjoni tar-Renju Unit u tal-Irlanda fir-rigward taż-żona ta' libertà, sigurtà u ġustizzja, anness mat-Trattat dwar l-Unjoni Ewropea u mat-Trattat dwar il-Funzjonament tal-Unjoni Ewropea, ir-[Renju Unit] [u] l-[Irlanda] [innotifikaw/innotifika/innotifikat ix-xewqa tagħhom/tiegħu/tagħha li jieħdu/jieħu/tieħu sehem fl-adozzjoni u l-applikazzjoni tar-Regolament preżenti] [mhux se jieħdu/jieħu/tieħu sehem fl-adozzjoni ta’ dan ir-Regolament u mhumiex/mhux/mhix marbutin/marbut/marbuta bih jew suġġetti/suġġett/suġġetta għall-applikazzjoni tiegħu].</w:t>
      </w:r>
    </w:p>
    <w:p>
      <w:pPr>
        <w:pStyle w:val="ManualConsidrant"/>
        <w:rPr>
          <w:noProof/>
        </w:rPr>
      </w:pPr>
      <w:r>
        <w:t>(10)</w:t>
      </w:r>
      <w:r>
        <w:tab/>
      </w:r>
      <w:r>
        <w:rPr>
          <w:noProof/>
        </w:rPr>
        <w:t>Skont l-Artikoli 1 u 2 tal-Protokoll Nru 22 dwar il-pożizzjoni tad-Danimarka, anness mat-Trattat dwar l-Unjoni Ewropea u mat-Trattat dwar il-Funzjonament tal-Unjoni Ewropea, id-Danimarka mhux qed tieħu sehem fl-adozzjoni ta’ dan ir-Regolament u mhijiex marbuta bih jew soġġetta għall-applikazzjoni tiegħu.</w:t>
      </w:r>
    </w:p>
    <w:p>
      <w:pPr>
        <w:pStyle w:val="ManualConsidrant"/>
        <w:rPr>
          <w:noProof/>
        </w:rPr>
      </w:pPr>
      <w:r>
        <w:t>(11)</w:t>
      </w:r>
      <w:r>
        <w:tab/>
      </w:r>
      <w:r>
        <w:rPr>
          <w:noProof/>
        </w:rPr>
        <w:t>Sabiex jiġu aġġornati l-formoli standard fl-Annessi jew biex isiru bidliet tekniċi għal dawk il-formoli, is-setgħa li tadotta atti skont l-Artikolu 290 tat-Trattat dwar il-Funzjonament tal-Unjoni Ewropea għandha tiġi delegata lill-Kummissjoni fir-rigward tal-emendi għall-Annessi. Huwa ta’ importanza partikolari li l-Kummissjoni twettaq konsultazzjonijiet adatti waqt il-ħidma preparatorja tagħha, inkluż fil-livell tal-esperti, u li dawk il-konsultazzjonijiet jitwettqu f'konformità mal-prinċipji stabbiliti fil-Ftehim Interistituzzjonali tat-13 ta’ April 2016 dwar it-Tfassil Aħjar tal-Liġijiet*. B’mod partikolari, biex tiġi żgurata parteċipazzjoni ugwali fit-tħejjija tal-atti delegati, il-</w:t>
      </w:r>
      <w:r>
        <w:rPr>
          <w:noProof/>
        </w:rPr>
        <w:lastRenderedPageBreak/>
        <w:t>Parlament Ewropew u l-Kunsill jirċievu d-dokumenti kollha fl-istess ħin bħall-esperti tal-Istati Membri, u l-esperti tagħhom ikollhom aċċess sistematiku għal-laqgħat tal-gruppi ta’ esperti tal-Kummissjoni li jittrattaw it-tħejjija ta’ atti delegati.</w:t>
      </w:r>
    </w:p>
    <w:p>
      <w:pPr>
        <w:pStyle w:val="Text1"/>
        <w:tabs>
          <w:tab w:val="left" w:pos="709"/>
        </w:tabs>
        <w:ind w:left="709"/>
        <w:rPr>
          <w:noProof/>
        </w:rPr>
      </w:pPr>
      <w:r>
        <w:rPr>
          <w:noProof/>
        </w:rPr>
        <w:t>----------------------------</w:t>
      </w:r>
    </w:p>
    <w:p>
      <w:pPr>
        <w:pStyle w:val="Text1"/>
        <w:tabs>
          <w:tab w:val="left" w:pos="709"/>
        </w:tabs>
        <w:ind w:left="709"/>
        <w:rPr>
          <w:noProof/>
        </w:rPr>
      </w:pPr>
      <w:r>
        <w:rPr>
          <w:noProof/>
        </w:rPr>
        <w:t>*Il-Ftehim Interistituzzjonali bejn il-Parlament Ewropew, il-Kunsill tal-Unjoni Ewropea u l-Kummissjoni Ewropea dwar it-Tfassil Aħjar tal-Liġijiet tat-13 ta’ April 2016; ĠU L 123, 12.5.2016, p. 1.</w:t>
      </w:r>
    </w:p>
    <w:p>
      <w:pPr>
        <w:pStyle w:val="ManualConsidrant"/>
        <w:rPr>
          <w:noProof/>
        </w:rPr>
      </w:pPr>
      <w:r>
        <w:t>(12)</w:t>
      </w:r>
      <w:r>
        <w:tab/>
      </w:r>
      <w:r>
        <w:rPr>
          <w:noProof/>
        </w:rPr>
        <w:t xml:space="preserve">F’konformità mal-paragrafi 22 u 23 tal-Ftehim Interistituzzjonali tat-13 ta' April 2016 dwar it-Tfassil Aħjar tal-Liġijiet, jenħtieġ li l-Kummissjoni twettaq evalwazzjoni ta’ dan ir-Regolament abbażi tal-informazzjoni miġbura permezz ta’ arranġamenti ta’ monitoraġġ speċifiċi, sabiex tivvaluta l-effetti reali tar-Regolament u l-ħtieġa għal kwalunkwe azzjoni ulterjuri. </w:t>
      </w:r>
    </w:p>
    <w:p>
      <w:pPr>
        <w:pStyle w:val="ManualConsidrant"/>
        <w:rPr>
          <w:noProof/>
        </w:rPr>
      </w:pPr>
      <w:r>
        <w:t>(13)</w:t>
      </w:r>
      <w:r>
        <w:tab/>
      </w:r>
      <w:r>
        <w:rPr>
          <w:noProof/>
        </w:rPr>
        <w:t>Għaldaqstant, ir-Regolament (KE) Nru 1206/2001 għandu jiġi emendat kif xieraq.</w:t>
      </w:r>
    </w:p>
    <w:p>
      <w:pPr>
        <w:pStyle w:val="Formuledadoption"/>
        <w:rPr>
          <w:noProof/>
        </w:rPr>
      </w:pPr>
      <w:r>
        <w:rPr>
          <w:noProof/>
        </w:rPr>
        <w:t>ADOTTAW DAN IR-REGOLAMENT:</w:t>
      </w:r>
    </w:p>
    <w:p>
      <w:pPr>
        <w:pStyle w:val="Titrearticle"/>
        <w:rPr>
          <w:noProof/>
        </w:rPr>
      </w:pPr>
      <w:r>
        <w:rPr>
          <w:noProof/>
        </w:rPr>
        <w:t>Artikolu 1</w:t>
      </w:r>
    </w:p>
    <w:p>
      <w:pPr>
        <w:rPr>
          <w:noProof/>
        </w:rPr>
      </w:pPr>
      <w:r>
        <w:rPr>
          <w:noProof/>
        </w:rPr>
        <w:t>Ir-Regolament (KE) Nru 1206/2001 huwa emendat kif ġej:</w:t>
      </w:r>
    </w:p>
    <w:p>
      <w:pPr>
        <w:rPr>
          <w:noProof/>
        </w:rPr>
      </w:pPr>
    </w:p>
    <w:p>
      <w:pPr>
        <w:pStyle w:val="Point0number"/>
        <w:numPr>
          <w:ilvl w:val="0"/>
          <w:numId w:val="1"/>
        </w:numPr>
        <w:rPr>
          <w:noProof/>
        </w:rPr>
      </w:pPr>
      <w:r>
        <w:rPr>
          <w:noProof/>
        </w:rPr>
        <w:t xml:space="preserve">Fl-Artikolu 1, jiżdied il-paragrafu 4 kif ġej: </w:t>
      </w:r>
    </w:p>
    <w:p>
      <w:pPr>
        <w:ind w:left="360"/>
        <w:rPr>
          <w:noProof/>
        </w:rPr>
      </w:pPr>
      <w:r>
        <w:rPr>
          <w:noProof/>
        </w:rPr>
        <w:t>“4. F’dan ir-Regolament, it-terminu "qorti" għandu jfisser kull awtorità ġudizzjarja fi Stat Membru li hija kompetenti għat-twettiq tal-kumpilazzjoni ta’ xhieda skont dan ir-Regolament.";</w:t>
      </w:r>
    </w:p>
    <w:p>
      <w:pPr>
        <w:rPr>
          <w:noProof/>
        </w:rPr>
      </w:pPr>
    </w:p>
    <w:p>
      <w:pPr>
        <w:pStyle w:val="Point0number"/>
        <w:numPr>
          <w:ilvl w:val="0"/>
          <w:numId w:val="1"/>
        </w:numPr>
        <w:rPr>
          <w:noProof/>
        </w:rPr>
      </w:pPr>
      <w:r>
        <w:rPr>
          <w:noProof/>
        </w:rPr>
        <w:t xml:space="preserve">L-Artikolu 6 qed jinbidel b’dan li ġej: </w:t>
      </w:r>
    </w:p>
    <w:p>
      <w:pPr>
        <w:pStyle w:val="Titrearticle"/>
        <w:rPr>
          <w:i w:val="0"/>
          <w:noProof/>
        </w:rPr>
      </w:pPr>
      <w:r>
        <w:rPr>
          <w:i w:val="0"/>
          <w:noProof/>
        </w:rPr>
        <w:t>“</w:t>
      </w:r>
      <w:r>
        <w:rPr>
          <w:noProof/>
        </w:rPr>
        <w:t>Artikolu 6</w:t>
      </w:r>
      <w:r>
        <w:rPr>
          <w:i w:val="0"/>
          <w:noProof/>
        </w:rPr>
        <w:br/>
        <w:t>Trasmissjoni ta’ talbiet u komunikazzjonijiet oħra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It-talbiet u l-komunikazzjonijiet skont dan ir-Regolament għandhom jiġu trażmessi permezz ta’ sistema tal-IT deċentralizzata magħmula minn sistemi tal-IT nazzjonali interkonnessi minn infrastruttura ta’ komunikazzjoni li tippermetti l-iskambju transkonfinali sigur u affidabbli bejn is-sistemi tal-IT nazzjonali.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Il-qafas legali ġenerali għall-użu ta’ servizzi fiduċjarji stabbiliti fir-Regolament tal-Kunsill (UE) Nru 910/2014</w:t>
      </w:r>
      <w:r>
        <w:rPr>
          <w:rStyle w:val="FootnoteReference"/>
          <w:noProof/>
        </w:rPr>
        <w:footnoteReference w:id="20"/>
      </w:r>
      <w:r>
        <w:rPr>
          <w:noProof/>
        </w:rPr>
        <w:t xml:space="preserve"> għandu japplika għat-talbiet u komunikazzjonijiet trasmessi permezz tas-sistema tal-IT deċentralizzata msemmija fil-paragrafu 1. 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Fejn it-talbiet u l-komunikazzjonijiet imsemmija fil-paragrafu 1 jeħtieġu jew ikollhom siġill jew firma miktuba bl-idejn, minflok jistgħu jintużaw "siġilli elettroniċi kkwalifikati" u "firem elettroniċi kkwalifikati", kif definiti fir-Regolament (UE) Nru 910/2014 tal-Parlament Ewropew u tal-Kunsill.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 xml:space="preserve">Jekk it-trażmissjoni skont il-paragrafu 1 mhix possibbli minħabba tfixkil mhux previst u eċċezzjonali tas-sistema tal-IT deċentralizzata jew fejn tali trasmissjoni </w:t>
      </w:r>
      <w:r>
        <w:rPr>
          <w:noProof/>
        </w:rPr>
        <w:lastRenderedPageBreak/>
        <w:t>mhix possibbli f'każijiet eċċezzjonali oħrajn, it-trażmissjoni għandha ssir bl-iktar mezzi mgħaġġla possibbli, li l-Istat Membru mitlub ikun indika li jista’ jaċċetta.</w:t>
      </w:r>
    </w:p>
    <w:p>
      <w:pPr>
        <w:pStyle w:val="Point0number"/>
        <w:numPr>
          <w:ilvl w:val="0"/>
          <w:numId w:val="1"/>
        </w:numPr>
        <w:rPr>
          <w:noProof/>
        </w:rPr>
      </w:pPr>
      <w:r>
        <w:rPr>
          <w:noProof/>
        </w:rPr>
        <w:t>L-Artikolu 17 huwa emendat kif ġej:</w:t>
      </w:r>
    </w:p>
    <w:p>
      <w:pPr>
        <w:pStyle w:val="Point1letter"/>
        <w:rPr>
          <w:noProof/>
        </w:rPr>
      </w:pPr>
      <w:r>
        <w:rPr>
          <w:noProof/>
        </w:rPr>
        <w:t>jitħassar il-paragrafu 2;</w:t>
      </w:r>
    </w:p>
    <w:p>
      <w:pPr>
        <w:pStyle w:val="Point1letter"/>
        <w:rPr>
          <w:noProof/>
        </w:rPr>
      </w:pPr>
      <w:r>
        <w:rPr>
          <w:noProof/>
        </w:rPr>
        <w:t>fil-paragrafu 4, it-tielet subparagrafu huwa mibdul b’dan li ġej:</w:t>
      </w:r>
    </w:p>
    <w:p>
      <w:pPr>
        <w:ind w:left="1418"/>
        <w:rPr>
          <w:noProof/>
        </w:rPr>
      </w:pPr>
      <w:r>
        <w:rPr>
          <w:noProof/>
        </w:rPr>
        <w:t>"Fejn fi żmien 30 jum minn meta tintbagħat it-talba, il-qorti rikjedenti ma tkunx irċeviet informazzjoni dwar jekk it-talba ġietx aċċettata, it-talba għandha titqies bħala aċċettata.”</w:t>
      </w:r>
    </w:p>
    <w:p>
      <w:pPr>
        <w:pStyle w:val="Point0number"/>
        <w:numPr>
          <w:ilvl w:val="0"/>
          <w:numId w:val="1"/>
        </w:numPr>
        <w:rPr>
          <w:noProof/>
        </w:rPr>
      </w:pPr>
      <w:r>
        <w:rPr>
          <w:noProof/>
        </w:rPr>
        <w:t>jiddaħħal l-Artikolu 17a kif ġej:</w:t>
      </w:r>
    </w:p>
    <w:p>
      <w:pPr>
        <w:rPr>
          <w:noProof/>
        </w:rPr>
      </w:pPr>
    </w:p>
    <w:p>
      <w:pPr>
        <w:jc w:val="center"/>
        <w:rPr>
          <w:i/>
          <w:noProof/>
        </w:rPr>
      </w:pPr>
      <w:r>
        <w:rPr>
          <w:i/>
          <w:noProof/>
        </w:rPr>
        <w:t>“Artikolu 17a</w:t>
      </w:r>
    </w:p>
    <w:p>
      <w:pPr>
        <w:jc w:val="center"/>
        <w:rPr>
          <w:noProof/>
        </w:rPr>
      </w:pPr>
      <w:r>
        <w:rPr>
          <w:noProof/>
        </w:rPr>
        <w:t>Kumpilazzjoni diretta ta' xhieda permezz ta’ vidjokonferenza</w:t>
      </w:r>
    </w:p>
    <w:p>
      <w:pPr>
        <w:rPr>
          <w:noProof/>
        </w:rPr>
      </w:pP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Fejn għandha tiġi kkumpilata xhieda billi tinstema’ persuna domiċiljata fi Stat Membru ieħor bħala xhud, parti jew espert u l-qorti ma titlobx lill-qorti kompetenti ta’ Stat Membru ieħor biex tagħmel kumpilazzjoni tax-xhieda skont l-Artikolu 1(1)(a), il-qorti għandha tagħmel kumpilazzjoni tax-xhieda direttament skont l-Artikolu 17 permezz ta’ vidjokonferenza, jekk tkun disponibbli għall-qrati rispettivi, fejn tqis li l-użu ta’ din it-teknoloġija hija xierqa minħabba ċ-ċirkostanzi speċifiċi tal-każ. </w:t>
      </w:r>
    </w:p>
    <w:p>
      <w:pPr>
        <w:rPr>
          <w:noProof/>
        </w:rPr>
      </w:pP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Fejn issir talba għal kumpilazzjoni diretta tax-xhieda permezz ta’ vidjokonferenza, is-smigħ għandu jsir fil-bini ta’ qorti. Il-qorti rikjedenti u l-korp ċentrali jew l-awtorità kompetenti msemmija fl-Artikolu 3(3) jew il-qorti li fil-bini tagħha għandha tinżamm is-seduta għandha taqbel dwar l-arranġamenti prattiċi għall-vidjokonferenza.</w:t>
      </w:r>
    </w:p>
    <w:p>
      <w:pPr>
        <w:rPr>
          <w:noProof/>
        </w:rPr>
      </w:pP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Fejn ix-xhieda tittieħed bil-vidjokonferenza:</w:t>
      </w:r>
    </w:p>
    <w:p>
      <w:pPr>
        <w:pStyle w:val="Point1letter"/>
        <w:numPr>
          <w:ilvl w:val="3"/>
          <w:numId w:val="12"/>
        </w:numPr>
        <w:rPr>
          <w:noProof/>
        </w:rPr>
      </w:pPr>
      <w:r>
        <w:rPr>
          <w:noProof/>
        </w:rPr>
        <w:t>il-korp ċentrali jew l-awtorità kompetenti msemmija fl-Artikolu 3(3) fl-Istat Membru rikjest jistgħu jassenjaw qorti biex tieħu sehem fit-twettiq tal-kumpilazzjoni tax-xhieda sabiex jiġi żgurat ir-rispett tal-prinċipji fundamentali tal-liġi tal-Istat Membru rikjest;</w:t>
      </w:r>
    </w:p>
    <w:p>
      <w:pPr>
        <w:pStyle w:val="Point1letter"/>
        <w:rPr>
          <w:noProof/>
        </w:rPr>
      </w:pPr>
      <w:r>
        <w:rPr>
          <w:noProof/>
        </w:rPr>
        <w:t>jekk ikun meħtieġ, fuq talba tal-qorti rikjedenti, il-persuna li se tinstema’ jew l-imħallef fl-Istat Membru rikjest li jipparteċipa fis-seduta, il-korp ċentrali jew l-awtorità kompetenti msemmija fl-Artikolu 3(3) għandhom jiżguraw li l-persuna li se tinstema’ jew l-imħallef ikun assistit minn interpretu.";</w:t>
      </w:r>
    </w:p>
    <w:p>
      <w:pPr>
        <w:rPr>
          <w:noProof/>
        </w:rPr>
      </w:pPr>
    </w:p>
    <w:p>
      <w:pPr>
        <w:pStyle w:val="Point0number"/>
        <w:rPr>
          <w:noProof/>
        </w:rPr>
      </w:pPr>
      <w:r>
        <w:rPr>
          <w:noProof/>
        </w:rPr>
        <w:t>jiddaħħal l-Artikolu 17b kif ġej:</w:t>
      </w:r>
    </w:p>
    <w:p>
      <w:pPr>
        <w:rPr>
          <w:noProof/>
        </w:rPr>
      </w:pPr>
    </w:p>
    <w:p>
      <w:pPr>
        <w:jc w:val="center"/>
        <w:rPr>
          <w:i/>
          <w:noProof/>
        </w:rPr>
      </w:pPr>
      <w:r>
        <w:rPr>
          <w:noProof/>
        </w:rPr>
        <w:t>“</w:t>
      </w:r>
      <w:r>
        <w:rPr>
          <w:i/>
          <w:noProof/>
        </w:rPr>
        <w:t>Artikolu 17b</w:t>
      </w:r>
    </w:p>
    <w:p>
      <w:pPr>
        <w:jc w:val="center"/>
        <w:rPr>
          <w:noProof/>
        </w:rPr>
      </w:pPr>
      <w:r>
        <w:rPr>
          <w:noProof/>
        </w:rPr>
        <w:t>Kumpliazzjoni ta’ xhieda minn uffiċjali diplomatiċi jew aġenti konsulari</w:t>
      </w:r>
    </w:p>
    <w:p>
      <w:pPr>
        <w:ind w:left="720"/>
        <w:rPr>
          <w:noProof/>
        </w:rPr>
      </w:pPr>
      <w:r>
        <w:rPr>
          <w:noProof/>
        </w:rPr>
        <w:lastRenderedPageBreak/>
        <w:t>Uffiċjali diplomatiċi jew aġenti konsulari ta’ Stat Membru jistgħu, fit-territorju ta’ Stat Membru ieħor u fiż-żona fejn jeżerċitaw il-funzjonijiet tagħhom, jagħmlu kumpilazzjoni ta’ xhieda mingħajr il-ħtieġa għal talba minn qabel skont l-Artikolu 17(1), billi jisimgħu ċittadini ta’ Stat Membru li jirrappreżentaw mingħajr kompulsjoni fil-kuntest ta’ proċedimenti pendenti fil-qrati tal-Istat Membru li huma jirrappreżentaw.";</w:t>
      </w:r>
    </w:p>
    <w:p>
      <w:pPr>
        <w:jc w:val="center"/>
        <w:rPr>
          <w:noProof/>
        </w:rPr>
      </w:pPr>
    </w:p>
    <w:p>
      <w:pPr>
        <w:pStyle w:val="Point0number"/>
        <w:rPr>
          <w:noProof/>
        </w:rPr>
      </w:pPr>
      <w:r>
        <w:rPr>
          <w:noProof/>
        </w:rPr>
        <w:t>it-Taqsima 6 li ġejja tiddaħħal wara l-Artikolu 18:</w:t>
      </w:r>
    </w:p>
    <w:p>
      <w:pPr>
        <w:pStyle w:val="ListParagraph"/>
        <w:ind w:left="1080"/>
        <w:jc w:val="center"/>
        <w:rPr>
          <w:noProof/>
        </w:rPr>
      </w:pPr>
    </w:p>
    <w:p>
      <w:pPr>
        <w:pStyle w:val="ListParagraph"/>
        <w:ind w:left="1080"/>
        <w:jc w:val="center"/>
        <w:rPr>
          <w:noProof/>
        </w:rPr>
      </w:pPr>
      <w:r>
        <w:rPr>
          <w:noProof/>
        </w:rPr>
        <w:t>“Taqsima 6</w:t>
      </w:r>
    </w:p>
    <w:p>
      <w:pPr>
        <w:pStyle w:val="ListParagraph"/>
        <w:ind w:left="1080"/>
        <w:jc w:val="center"/>
        <w:rPr>
          <w:noProof/>
        </w:rPr>
      </w:pPr>
    </w:p>
    <w:p>
      <w:pPr>
        <w:pStyle w:val="ListParagraph"/>
        <w:ind w:left="1080"/>
        <w:jc w:val="center"/>
        <w:rPr>
          <w:noProof/>
        </w:rPr>
      </w:pPr>
      <w:r>
        <w:rPr>
          <w:noProof/>
        </w:rPr>
        <w:t>Rikonoxximent reċiproku</w:t>
      </w:r>
    </w:p>
    <w:p>
      <w:pPr>
        <w:pStyle w:val="ListParagraph"/>
        <w:ind w:left="1080"/>
        <w:jc w:val="center"/>
        <w:rPr>
          <w:noProof/>
        </w:rPr>
      </w:pPr>
    </w:p>
    <w:p>
      <w:pPr>
        <w:pStyle w:val="ListParagraph"/>
        <w:ind w:left="1080"/>
        <w:jc w:val="center"/>
        <w:rPr>
          <w:i/>
          <w:noProof/>
        </w:rPr>
      </w:pPr>
      <w:r>
        <w:rPr>
          <w:i/>
          <w:noProof/>
        </w:rPr>
        <w:t>Artikolu 18a</w:t>
      </w:r>
    </w:p>
    <w:p>
      <w:pPr>
        <w:ind w:left="360"/>
        <w:rPr>
          <w:noProof/>
        </w:rPr>
      </w:pPr>
      <w:r>
        <w:rPr>
          <w:noProof/>
        </w:rPr>
        <w:t>Xhieda diġitali meħuda fi Stat Membru skont il-liġi tiegħu m’għandhiex tiċċaħħad mill-kwalità ta’ xhieda fi Stati Membri oħra biss minħabba n-natura diġitali tagħha.";</w:t>
      </w:r>
    </w:p>
    <w:p>
      <w:pPr>
        <w:pStyle w:val="ListParagraph"/>
        <w:rPr>
          <w:noProof/>
        </w:rPr>
      </w:pPr>
    </w:p>
    <w:p>
      <w:pPr>
        <w:pStyle w:val="Point0number"/>
        <w:rPr>
          <w:noProof/>
        </w:rPr>
      </w:pPr>
      <w:r>
        <w:rPr>
          <w:noProof/>
        </w:rPr>
        <w:t>fl-Artikolu 19, il-paragrafu 2 qed jinbidel b’dan li ġej:</w:t>
      </w:r>
    </w:p>
    <w:p>
      <w:pPr>
        <w:pStyle w:val="ListParagraph"/>
        <w:ind w:left="360"/>
        <w:rPr>
          <w:noProof/>
        </w:rPr>
      </w:pPr>
    </w:p>
    <w:p>
      <w:pPr>
        <w:pStyle w:val="ListParagraph"/>
        <w:ind w:left="360"/>
        <w:rPr>
          <w:noProof/>
        </w:rPr>
      </w:pPr>
      <w:r>
        <w:rPr>
          <w:noProof/>
        </w:rPr>
        <w:t xml:space="preserve">“2. Il-Kummissjoni għandha s-setgħat li tadotta atti delegati f’konformità mal-Artikolu 20 li jemenda l-Annessi sabiex taġġorna l-formoli standard jew sabiex tagħmel bidliet tekniċi għal dawn il-formoli.”; </w:t>
      </w:r>
    </w:p>
    <w:p>
      <w:pPr>
        <w:pStyle w:val="ListParagraph"/>
        <w:ind w:left="360"/>
        <w:rPr>
          <w:noProof/>
        </w:rPr>
      </w:pPr>
    </w:p>
    <w:p>
      <w:pPr>
        <w:pStyle w:val="Point0number"/>
        <w:rPr>
          <w:noProof/>
        </w:rPr>
      </w:pPr>
      <w:r>
        <w:rPr>
          <w:noProof/>
        </w:rPr>
        <w:t>L-Artikolu 20 qed jinbidel kif ġej:</w:t>
      </w:r>
    </w:p>
    <w:p>
      <w:pPr>
        <w:pStyle w:val="ListParagraph"/>
        <w:ind w:left="360"/>
        <w:rPr>
          <w:noProof/>
        </w:rPr>
      </w:pPr>
    </w:p>
    <w:p>
      <w:pPr>
        <w:pStyle w:val="ListParagraph"/>
        <w:ind w:left="360"/>
        <w:jc w:val="center"/>
        <w:rPr>
          <w:i/>
          <w:noProof/>
        </w:rPr>
      </w:pPr>
      <w:r>
        <w:rPr>
          <w:noProof/>
        </w:rPr>
        <w:t>“</w:t>
      </w:r>
      <w:r>
        <w:rPr>
          <w:i/>
          <w:noProof/>
        </w:rPr>
        <w:t>Artikolu 20</w:t>
      </w:r>
    </w:p>
    <w:p>
      <w:pPr>
        <w:pStyle w:val="ListParagraph"/>
        <w:ind w:left="360"/>
        <w:jc w:val="center"/>
        <w:rPr>
          <w:noProof/>
        </w:rPr>
      </w:pPr>
    </w:p>
    <w:p>
      <w:pPr>
        <w:pStyle w:val="ListParagraph"/>
        <w:ind w:left="360"/>
        <w:jc w:val="center"/>
        <w:rPr>
          <w:noProof/>
        </w:rPr>
      </w:pPr>
      <w:r>
        <w:rPr>
          <w:noProof/>
        </w:rPr>
        <w:t>Eżerċizzju tad-delega</w:t>
      </w:r>
    </w:p>
    <w:p>
      <w:pPr>
        <w:pStyle w:val="ListParagraph"/>
        <w:ind w:left="360"/>
        <w:rPr>
          <w:noProof/>
        </w:rPr>
      </w:pP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Il-Kummissjoni tingħata s-setgħa li tadotta att delegat soġġett għall-kundizzjonijiet stipulati f'dan l-Artikolu.</w:t>
      </w:r>
    </w:p>
    <w:p>
      <w:pPr>
        <w:rPr>
          <w:noProof/>
        </w:rPr>
      </w:pP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Is-setgħa ta’ adozzjoni tal-atti delegati msemmija fl-Artikolu 19(2) għandha tingħata llil-Kummissjoni għal perjodu indeterminat ta’ żmien mid-...[</w:t>
      </w:r>
      <w:r>
        <w:rPr>
          <w:i/>
          <w:noProof/>
        </w:rPr>
        <w:t>data tad-dħul fis-seħħ ta’ dan ir-Regolament</w:t>
      </w:r>
      <w:r>
        <w:rPr>
          <w:noProof/>
        </w:rPr>
        <w:t>].</w:t>
      </w:r>
    </w:p>
    <w:p>
      <w:pPr>
        <w:rPr>
          <w:noProof/>
        </w:rPr>
      </w:pP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Id-delega ta’ setgħa msemmija fl-Artikolu 19(2) tista’ tiġi revokata fi kwalunkwe mument mill-Parlament Ewropew jew mill-Kunsill. Deċiżjoni ta’ revoka għandha ttemm id-delega tas-setgħat speċifikati f’din id-deċiżjoni. Din għandha tidħol fis-seħħ l-għada tal-pubblikazzjoni tad-deċiżjoni </w:t>
      </w:r>
      <w:r>
        <w:rPr>
          <w:i/>
          <w:noProof/>
        </w:rPr>
        <w:t>f'Il-Ġurnal Uffiċjali tal-Unjoni Ewropea</w:t>
      </w:r>
      <w:r>
        <w:rPr>
          <w:noProof/>
        </w:rPr>
        <w:t xml:space="preserve"> jew f'data aktar tard speċifikata fiha. Din ma għandhiex taffettwa l-validità ta’ xi att delegat li jkun fis-seħħ.</w:t>
      </w:r>
    </w:p>
    <w:p>
      <w:pPr>
        <w:rPr>
          <w:noProof/>
        </w:rPr>
      </w:pPr>
    </w:p>
    <w:p>
      <w:pPr>
        <w:pStyle w:val="ManualNumPar1"/>
        <w:rPr>
          <w:noProof/>
        </w:rPr>
      </w:pPr>
      <w:r>
        <w:lastRenderedPageBreak/>
        <w:t>4.</w:t>
      </w:r>
      <w:r>
        <w:tab/>
      </w:r>
      <w:r>
        <w:rPr>
          <w:noProof/>
        </w:rPr>
        <w:t>Qabel tadotta att delegat, il-Kummissjoni għandha tikkonsulta esperti nnominati minn kull Stat Membru skont il-prinċipji stipulati fil-Ftehim Interistituzzjonali tat-13 ta’ April 2016 dwar it-Tfassil Aħjar tal-Liġijiet</w:t>
      </w:r>
      <w:r>
        <w:rPr>
          <w:rStyle w:val="FootnoteReference"/>
          <w:noProof/>
        </w:rPr>
        <w:footnoteReference w:id="21"/>
      </w:r>
      <w:r>
        <w:rPr>
          <w:noProof/>
        </w:rPr>
        <w:t>.</w:t>
      </w:r>
    </w:p>
    <w:p>
      <w:pPr>
        <w:rPr>
          <w:noProof/>
        </w:rPr>
      </w:pP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>Hekk kif tadotta att delegat, il-Kummissjoni għandha tinnotifikah simultanjament lill-Parlament Ewropew u lill-Kunsill.</w:t>
      </w:r>
    </w:p>
    <w:p>
      <w:pPr>
        <w:rPr>
          <w:noProof/>
        </w:rPr>
      </w:pPr>
    </w:p>
    <w:p>
      <w:pPr>
        <w:pStyle w:val="Point0number"/>
        <w:rPr>
          <w:noProof/>
        </w:rPr>
      </w:pPr>
      <w:r>
        <w:rPr>
          <w:noProof/>
        </w:rPr>
        <w:t>Att delegat adottat skont l-Artikolu 19(2) għandu jidħol fis-seħħ biss jekk la l-Parlament Ewropew u lanqas il-Kunsill ma jkunu oġġezzjonaw għalih fi żmien xahrejn minn meta jkunu ġew mgħarrfin bih jew jekk, qabel ma jiskadi dak il-perjodu, kemm il-Parlament Ewropew kif ukoll il-Kunsill ikunu għarrfu lill-Kummissjoni li mhumiex se joġġezzjonaw għalih. Dan il-perjodu għandu jiġi estiż b’xahrejn fuq inizjattiva tal-Parlament Ewropew jew tal-Kunsill.”</w:t>
      </w:r>
    </w:p>
    <w:p>
      <w:pPr>
        <w:pStyle w:val="Point0number"/>
        <w:rPr>
          <w:noProof/>
        </w:rPr>
      </w:pPr>
      <w:r>
        <w:rPr>
          <w:noProof/>
        </w:rPr>
        <w:t>Jiddaħħal l-Artikolu 22a kif ġej:</w:t>
      </w:r>
    </w:p>
    <w:p>
      <w:pPr>
        <w:pStyle w:val="ListParagraph"/>
        <w:jc w:val="center"/>
        <w:rPr>
          <w:i/>
          <w:noProof/>
        </w:rPr>
      </w:pPr>
    </w:p>
    <w:p>
      <w:pPr>
        <w:pStyle w:val="ListParagraph"/>
        <w:jc w:val="center"/>
        <w:rPr>
          <w:i/>
          <w:noProof/>
        </w:rPr>
      </w:pPr>
      <w:r>
        <w:rPr>
          <w:i/>
          <w:noProof/>
        </w:rPr>
        <w:t>“Artikolu 22a</w:t>
      </w:r>
    </w:p>
    <w:p>
      <w:pPr>
        <w:pStyle w:val="ListParagraph"/>
        <w:jc w:val="center"/>
        <w:rPr>
          <w:i/>
          <w:noProof/>
        </w:rPr>
      </w:pPr>
    </w:p>
    <w:p>
      <w:pPr>
        <w:pStyle w:val="ListParagraph"/>
        <w:jc w:val="center"/>
        <w:rPr>
          <w:noProof/>
        </w:rPr>
      </w:pPr>
      <w:r>
        <w:rPr>
          <w:noProof/>
        </w:rPr>
        <w:t>Monitoraġġ</w:t>
      </w:r>
    </w:p>
    <w:p>
      <w:pPr>
        <w:pStyle w:val="ListParagraph"/>
        <w:jc w:val="center"/>
        <w:rPr>
          <w:noProof/>
        </w:rPr>
      </w:pP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>Sa mhux aktar tard minn [</w:t>
      </w:r>
      <w:r>
        <w:rPr>
          <w:i/>
          <w:noProof/>
        </w:rPr>
        <w:t>sentejn mid-data ta’ dħul fis-seħħ</w:t>
      </w:r>
      <w:r>
        <w:rPr>
          <w:noProof/>
        </w:rPr>
        <w:t>], il-Kummissjoni għandha tistabbilixxi programm dettaljat għall-monitoraġġ tal-eżiti, tar-riżultati u tal-impatti ta’ dan ir-Regolament.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Il-programm ta’ monitoraġġ għandu jistipula l-mezzi li permezz tagħhom se tinġabar id-</w:t>
      </w:r>
      <w:r>
        <w:rPr>
          <w:i/>
          <w:noProof/>
        </w:rPr>
        <w:t>data</w:t>
      </w:r>
      <w:r>
        <w:rPr>
          <w:noProof/>
        </w:rPr>
        <w:t xml:space="preserve"> flimkien ma’ xhieda oħra meħtieġa, u l-intervalli li fihom se jsir dan. Huwa għandu jispeċifika l-azzjoni li għandha tittieħed mill-Kummissjoni u mill-Istati Membri fil-ġbir u fl-analiżi tad-</w:t>
      </w:r>
      <w:r>
        <w:rPr>
          <w:i/>
          <w:noProof/>
        </w:rPr>
        <w:t>data</w:t>
      </w:r>
      <w:r>
        <w:rPr>
          <w:noProof/>
        </w:rPr>
        <w:t xml:space="preserve"> u ta’ xhieda oħra.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L-Istati Membri għandhom jipprovdu d-</w:t>
      </w:r>
      <w:r>
        <w:rPr>
          <w:i/>
          <w:noProof/>
        </w:rPr>
        <w:t>data</w:t>
      </w:r>
      <w:r>
        <w:rPr>
          <w:noProof/>
        </w:rPr>
        <w:t xml:space="preserve"> u xhieda oħra meħtieġa lill-Kummissjoni għall-monitoraġġ</w:t>
      </w:r>
    </w:p>
    <w:p>
      <w:pPr>
        <w:pStyle w:val="Point0number"/>
        <w:rPr>
          <w:noProof/>
        </w:rPr>
      </w:pPr>
      <w:r>
        <w:rPr>
          <w:noProof/>
        </w:rPr>
        <w:t xml:space="preserve">L-Artikolu 23 qed jinbidel b’dan li ġej: </w:t>
      </w:r>
    </w:p>
    <w:p>
      <w:pPr>
        <w:pStyle w:val="ListParagraph"/>
        <w:jc w:val="center"/>
        <w:rPr>
          <w:i/>
          <w:noProof/>
        </w:rPr>
      </w:pPr>
    </w:p>
    <w:p>
      <w:pPr>
        <w:pStyle w:val="ListParagraph"/>
        <w:jc w:val="center"/>
        <w:rPr>
          <w:i/>
          <w:noProof/>
        </w:rPr>
      </w:pPr>
      <w:r>
        <w:rPr>
          <w:i/>
          <w:noProof/>
        </w:rPr>
        <w:t>“Artikolu 23</w:t>
      </w:r>
    </w:p>
    <w:p>
      <w:pPr>
        <w:pStyle w:val="ListParagraph"/>
        <w:jc w:val="center"/>
        <w:rPr>
          <w:i/>
          <w:noProof/>
        </w:rPr>
      </w:pPr>
    </w:p>
    <w:p>
      <w:pPr>
        <w:pStyle w:val="ListParagraph"/>
        <w:jc w:val="center"/>
        <w:rPr>
          <w:noProof/>
        </w:rPr>
      </w:pPr>
      <w:r>
        <w:rPr>
          <w:noProof/>
        </w:rPr>
        <w:t>Evalwazzjoni</w:t>
      </w:r>
    </w:p>
    <w:p>
      <w:pPr>
        <w:pStyle w:val="ListParagraph"/>
        <w:jc w:val="center"/>
        <w:rPr>
          <w:noProof/>
        </w:rPr>
      </w:pP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Mhux qabel </w:t>
      </w:r>
      <w:r>
        <w:rPr>
          <w:i/>
          <w:noProof/>
        </w:rPr>
        <w:t>[ħames snin wara d-data ta’ applikazzjoni ta’ dan ir-Regolament</w:t>
      </w:r>
      <w:r>
        <w:rPr>
          <w:noProof/>
        </w:rPr>
        <w:t xml:space="preserve">], il-Kummissjoni għandha twettaq valutazzjoni ta’ dan ir-Regolament u tippreżenta rapport dwar is-sejbiet ewlenin lill-Parlament Ewropew, lill-Kunsill u lill-Kumitat Ekonomiku u Soċjali Ewropew.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L-Istati Membri għandhom jipprovdu l-informazzjoni meħtieġa lill-Kummissjoni għat-tħejjija tar-Rapport.</w:t>
      </w:r>
    </w:p>
    <w:p>
      <w:pPr>
        <w:pStyle w:val="Titrearticle"/>
        <w:rPr>
          <w:noProof/>
        </w:rPr>
      </w:pPr>
      <w:r>
        <w:rPr>
          <w:noProof/>
        </w:rPr>
        <w:lastRenderedPageBreak/>
        <w:t>Artikolu 2</w:t>
      </w:r>
    </w:p>
    <w:p>
      <w:pPr>
        <w:rPr>
          <w:noProof/>
        </w:rPr>
      </w:pPr>
      <w:r>
        <w:rPr>
          <w:noProof/>
        </w:rPr>
        <w:t>Dan ir-Regolament għandu jidħol fis-seħħ fl-għoxrin jum wara dak tal-pubblikazzjoni tiegħu f’</w:t>
      </w:r>
      <w:r>
        <w:rPr>
          <w:i/>
          <w:noProof/>
        </w:rPr>
        <w:t>Il-Ġurnal Uffiċjali tal-Unjoni Ewropea.</w:t>
      </w:r>
    </w:p>
    <w:p>
      <w:pPr>
        <w:rPr>
          <w:noProof/>
        </w:rPr>
      </w:pPr>
      <w:r>
        <w:rPr>
          <w:noProof/>
        </w:rPr>
        <w:t xml:space="preserve">Għandu japplika minn […] </w:t>
      </w:r>
    </w:p>
    <w:p>
      <w:pPr>
        <w:rPr>
          <w:noProof/>
        </w:rPr>
      </w:pPr>
      <w:r>
        <w:rPr>
          <w:noProof/>
        </w:rPr>
        <w:t>Madankollu, il-punt 2 tal-Artikolu 1 għandu japplika minn ... [</w:t>
      </w:r>
      <w:r>
        <w:rPr>
          <w:i/>
          <w:noProof/>
        </w:rPr>
        <w:t>24 xahar wara d-dħul fis-seħħ</w:t>
      </w:r>
      <w:r>
        <w:rPr>
          <w:noProof/>
        </w:rPr>
        <w:t xml:space="preserve">]. </w:t>
      </w:r>
    </w:p>
    <w:p>
      <w:pPr>
        <w:pStyle w:val="Applicationdirecte"/>
        <w:rPr>
          <w:noProof/>
        </w:rPr>
      </w:pPr>
      <w:r>
        <w:rPr>
          <w:noProof/>
        </w:rPr>
        <w:t>Dan ir-Regolament għandu jorbot fl-intier tiegħu u għandu japplika direttament fl-Istati Membri f'konformità mat-Trattati.</w:t>
      </w:r>
    </w:p>
    <w:p>
      <w:pPr>
        <w:pStyle w:val="Fait"/>
        <w:rPr>
          <w:noProof/>
        </w:rPr>
      </w:pPr>
      <w:r>
        <w:t>Magħmul fi Brussell,</w:t>
      </w:r>
    </w:p>
    <w:p>
      <w:pPr>
        <w:pStyle w:val="Institutionquisigne"/>
        <w:rPr>
          <w:noProof/>
        </w:rPr>
      </w:pPr>
      <w:r>
        <w:rPr>
          <w:noProof/>
        </w:rPr>
        <w:t>Għall-Parlament Ewropew</w:t>
      </w:r>
      <w:r>
        <w:rPr>
          <w:noProof/>
        </w:rPr>
        <w:tab/>
        <w:t>Għall-Kunsill</w:t>
      </w:r>
    </w:p>
    <w:p>
      <w:pPr>
        <w:pStyle w:val="Personnequisigne"/>
        <w:rPr>
          <w:noProof/>
        </w:rPr>
      </w:pPr>
      <w:r>
        <w:rPr>
          <w:noProof/>
        </w:rPr>
        <w:t>Il-President</w:t>
      </w:r>
      <w:r>
        <w:rPr>
          <w:noProof/>
        </w:rPr>
        <w:tab/>
        <w:t>Il-President</w:t>
      </w:r>
    </w:p>
    <w:sectPr>
      <w:footnotePr>
        <w:numRestart w:val="eachSect"/>
      </w:footnote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16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ind w:left="284" w:hanging="284"/>
        <w:rPr>
          <w:rFonts w:eastAsia="Calibri"/>
        </w:rPr>
      </w:pPr>
      <w:r>
        <w:rPr>
          <w:rStyle w:val="FootnoteReference"/>
        </w:rPr>
        <w:footnoteRef/>
      </w:r>
      <w:r>
        <w:tab/>
        <w:t>Ir-Regolament (KE) Nru 1393/2007 tal-Parlament Ewropew u tal-Kunsill tat-13 ta’ Novembru 2007 dwar in-notifika fl-Istati Membri ta’ dokumenti ġudizzjarji u extraġudizzjarji fi kwistjonijiet ċivili jew kummerċjali (notifika ta’ dokumenti) u li jħassar ir-Regolament tal-Kunsill (KE) Nru 1348/2000 (ĠU L 324, 10.12.2007, p. 79).</w:t>
      </w:r>
    </w:p>
  </w:footnote>
  <w:footnote w:id="2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Ir-Regolament tal-Kunsill (KE) Nru 1206/2001 tat-28 ta’ Mejju 2001 dwar kooperazzjoni bejn il-qrati tal-Istati Membri fil-kumpilazzjoni ta’ xhieda f’materji ċivili jew kummerċjali (ĠU L 174, 27.6.2001, p. 1).</w:t>
      </w:r>
    </w:p>
  </w:footnote>
  <w:footnote w:id="3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 xml:space="preserve">Il-Konvenzjoni tal-15 ta' Novembru 1965 dwar in-notifika barra mill-pajjiż ta’ dokumenti ġudizzjarji u extraġudizzjarji fi kwistjonijiet ċivili jew kummerċjali; </w:t>
      </w:r>
      <w:r>
        <w:tab/>
      </w:r>
      <w:r>
        <w:br/>
        <w:t>Il-Konvenzjoni tat-18 ta’ Marzu 1970 dwar il-kumpilazzjoni ta’ xhieda barra mill-pajjiż f’materji ċivili jew kummerċjali.</w:t>
      </w:r>
    </w:p>
  </w:footnote>
  <w:footnote w:id="4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Ir-Regolamenti japplikaw għall-Istati Membri kollha tal-UE minbarra d-Danimarka. Id-Danimarka kkonkludiet ftehim parallel fid-19 ta’ Ottubru 2005 mal-Komunità Ewropea dwar in-notifika ta’ dokumenti ġudizzjarji u extraġudizzjarji f’materji ċivili jew kummerċjali, li jestendi d-dispożizzjonijiet tar-Regolament dwar in-notifika tad-dokumenti u l-miżuri ta’ implimentazzjoni tiegħu għad-Danimarka. Il-ftehim daħal fis-saħħ fl-1 ta’ Lulju 2007 (Ara ĠU L 300 tas-17.11.2005, p. 55; ĠU L 120, 5.5.2006, p. 23). Ma hemm l-ebda ftehim parallel li jikkonċerna l-kumpilazzjoni ta’ xhieda.</w:t>
      </w:r>
    </w:p>
  </w:footnote>
  <w:footnote w:id="5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 xml:space="preserve">Dawn iċ-ċifri jirriflettu stimi mill-istudju ekonomiku ta’ Deloitte li jappoġġja l-valutazzjoni tal-impatt. L-istimi huma bbażati fuq </w:t>
      </w:r>
      <w:r>
        <w:rPr>
          <w:i/>
        </w:rPr>
        <w:t xml:space="preserve">data </w:t>
      </w:r>
      <w:r>
        <w:t>mill-Eurostat, mill-Kunsill tal-Ewropa, mill-Kummissjoni Ewropea għall-Effikaċja tal-Ġustizzja (CEPEJ), u mill-Kummissjoni Ewropea, kif ukoll minn informazzjoni miġbura waqt l-intervisti. L-istudju ngħata b’kuntratt lil Deloitte taħt il-kuntratt nru. JUST/2017/JCOO/FW/CIVI/0087 (2017/07). Ir-rapport finali għadu ma ġiex ippubblikat.</w:t>
      </w:r>
    </w:p>
  </w:footnote>
  <w:footnote w:id="6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Ara n-nota 5 f’qiegħ il-paġna.</w:t>
      </w:r>
    </w:p>
  </w:footnote>
  <w:footnote w:id="7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Ir-Regolament tal-Kunsill (KE) Nru 2201/2003 tas-27 ta’ Novembru 2003 dwar il-ġurisdizzjoni u r-rikonoxximent u l-infurzar ta’ sentenzi fi kwistjonijiet matrimonjali u kwistjonijiet ta’ responsabbiltà tal-ġenituri, u li jirrevoka r-Regolament (KE) Nru 1347/2000 (ĠU L 338, 23.12.2003, p. 1).</w:t>
      </w:r>
    </w:p>
  </w:footnote>
  <w:footnote w:id="8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Ir-Regolament tal-Kunsill (KE) Nru 4/2009 tat-18 ta’ Diċembru 2008 dwar il-ġurisdizzjoni, il-liġi applikabbli, ir-rikonoxximent u l-eżekuzzjoni tad-deċiżjonijiet u l-kooperazzjoni f’materji relatati ma’ obbligi ta’ manteniment (ĠU L 7, 10.1.2009, p. 1).</w:t>
      </w:r>
    </w:p>
  </w:footnote>
  <w:footnote w:id="9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</w:r>
      <w:r>
        <w:rPr>
          <w:i/>
        </w:rPr>
        <w:t>L-aġenda tal-ġustizzja tal-UE għall-2020: it-tisħiħ tal-fiduċja, tal-mobbiltà u tat-tkabbir fl-Unjoni</w:t>
      </w:r>
      <w:r>
        <w:t xml:space="preserve"> (COM(2014) 144 final), p. 8.</w:t>
      </w:r>
    </w:p>
  </w:footnote>
  <w:footnote w:id="10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COM(2015) 192 final, 6.5.2015, p. 16.</w:t>
      </w:r>
    </w:p>
  </w:footnote>
  <w:footnote w:id="11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</w:r>
      <w:r>
        <w:rPr>
          <w:i/>
        </w:rPr>
        <w:t>Il-programm ta’ ħidma tal-Kummissjoni 2018: aġenda għal Ewropa aktar magħquda, aktar b’saħħitha u aktar demokratika</w:t>
      </w:r>
      <w:r>
        <w:t xml:space="preserve"> (COM(2017) 650 final, 24.10.2017), l-Anness II, il-punti 10 u 11.</w:t>
      </w:r>
    </w:p>
  </w:footnote>
  <w:footnote w:id="12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</w:r>
      <w:hyperlink r:id="rId1">
        <w:r>
          <w:rPr>
            <w:rStyle w:val="Hyperlink"/>
          </w:rPr>
          <w:t>http://www.acj.si/en/presentation-evidence</w:t>
        </w:r>
      </w:hyperlink>
    </w:p>
  </w:footnote>
  <w:footnote w:id="13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</w:r>
      <w:r>
        <w:rPr>
          <w:i/>
        </w:rPr>
        <w:t>Il-programm ta’ ħidma tal-Kummissjoni 2018: aġenda għal Ewropa aktar magħquda, aktar b'saħħitha u aktar demokratika</w:t>
      </w:r>
      <w:r>
        <w:t xml:space="preserve"> (COM (2017) 650 final, 24.10.2017), Anness II, punt 10, p. 4.</w:t>
      </w:r>
    </w:p>
  </w:footnote>
  <w:footnote w:id="14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 xml:space="preserve">Ir-Regolament (UE) 2016/679 tal-Parlament Ewropew u tal-Kunsill tas-27 ta’ April 2016 dwar il-protezzjoni tal-persuni fiżiċi fir-rigward tal-ipproċessar ta’ </w:t>
      </w:r>
      <w:r>
        <w:rPr>
          <w:i/>
        </w:rPr>
        <w:t>data</w:t>
      </w:r>
      <w:r>
        <w:t xml:space="preserve"> personali u dwar il-moviment liberu ta’tali </w:t>
      </w:r>
      <w:r>
        <w:rPr>
          <w:i/>
        </w:rPr>
        <w:t>data</w:t>
      </w:r>
      <w:r>
        <w:t>, u li jħassar id-Direttiva 95/46/KE (ĠU L 119, 4.5.2016, p. 1).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ab/>
        <w:t>Il-Ftehim Interistituzzjonali bejn il-Parlament Ewropew, il-Kunsill tal-Unjoni Ewropea u l-Kummissjoni Ewropea dwar it-Tfassil Aħjar tal-Liġijiet tat-13 ta’ April 2016; ĠU L 123, 12.5.2016, p. 1–14.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ab/>
        <w:t xml:space="preserve">ĠU C , , p. </w:t>
      </w:r>
    </w:p>
  </w:footnote>
  <w:footnote w:id="17">
    <w:p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tab/>
        <w:t>Ir-Regolament tal-Kunsill (KE) Nru 1206/2001 tat-28 ta' Mejju 2001 dwar kooperazzjoni bejn il-qrati tal-Istati Membri fil-kumpilazzjoni ta' xhieda f'materji ċivili jew kummerċjali (ĠU L 174, 27.6.2001, p. 1).</w:t>
      </w:r>
    </w:p>
  </w:footnote>
  <w:footnote w:id="18">
    <w:p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ab/>
        <w:t>Ir-Regolament tal-Kunsill (KE) Nru 2201/2003 tas-27 ta’ Novembru 2003 dwar il-ġurisdizzjoni u r-rikonoxximent u l-infurzar ta’ sentenzi fi kwistjonijiet matrimonjali u kwistjonijiet ta’ responsabbiltà tal-ġenituri, u li jirrevoka r-Regolament (KE) Nru 1347/2000 (ĠU L 338, 23.12.2003, p. 1).</w:t>
      </w:r>
    </w:p>
  </w:footnote>
  <w:footnote w:id="19">
    <w:p>
      <w:pPr>
        <w:pStyle w:val="FootnoteText"/>
        <w:rPr>
          <w:lang w:val="sk-SK"/>
        </w:rPr>
      </w:pPr>
      <w:r>
        <w:rPr>
          <w:rStyle w:val="FootnoteReference"/>
        </w:rPr>
        <w:footnoteRef/>
      </w:r>
      <w:r>
        <w:rPr>
          <w:lang w:val="sk-SK"/>
        </w:rPr>
        <w:tab/>
        <w:t xml:space="preserve">Ir-Regolament tal-Kunsill (KE) Nru 4/2009 tat-18 ta’ Diċembru 2008 dwar il-ġurisdizzjoni, il-liġi applikabbli, ir-rikonoxximent u l-eżekuzzjoni ta’ deċiżjonijiet u l-kooperazzjoni </w:t>
      </w:r>
      <w:r>
        <w:t>f’materji</w:t>
      </w:r>
      <w:r>
        <w:rPr>
          <w:lang w:val="sk-SK"/>
        </w:rPr>
        <w:t xml:space="preserve"> relatati ma’ obbligi ta’ manteniment (ĠU L 7, 10.1.2009, p. 1).</w:t>
      </w:r>
    </w:p>
  </w:footnote>
  <w:footnote w:id="20">
    <w:p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rPr>
          <w:lang w:val="sk-SK"/>
        </w:rPr>
        <w:tab/>
        <w:t>Ir-Regolament (UE) Nru 910/2014 tal-Parlament Ewropew u tal-Kunsill tat-23 ta' Lulju 2014 dwar l-identifikazzjoni elettronika u s-servizzi fiduċjarji għal tranżazzjonijiet elettroniċi fis-suq intern u li jħassar id-Direttiva 1999/93/KE (ĠU L 257, 28.8.2014, p. 73).</w:t>
      </w:r>
    </w:p>
  </w:footnote>
  <w:footnote w:id="21">
    <w:p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ĠU L 123, 12.5.2016, p. 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8F4CE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8E0CD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21121F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CBFE8E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BF2D9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240C3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288CE5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E70C5F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20"/>
  </w:num>
  <w:num w:numId="21">
    <w:abstractNumId w:val="11"/>
  </w:num>
  <w:num w:numId="22">
    <w:abstractNumId w:val="13"/>
  </w:num>
  <w:num w:numId="23">
    <w:abstractNumId w:val="9"/>
  </w:num>
  <w:num w:numId="24">
    <w:abstractNumId w:val="19"/>
  </w:num>
  <w:num w:numId="25">
    <w:abstractNumId w:val="8"/>
  </w:num>
  <w:num w:numId="26">
    <w:abstractNumId w:val="14"/>
  </w:num>
  <w:num w:numId="27">
    <w:abstractNumId w:val="16"/>
  </w:num>
  <w:num w:numId="28">
    <w:abstractNumId w:val="17"/>
  </w:num>
  <w:num w:numId="29">
    <w:abstractNumId w:val="10"/>
  </w:num>
  <w:num w:numId="30">
    <w:abstractNumId w:val="15"/>
  </w:num>
  <w:num w:numId="31">
    <w:abstractNumId w:val="21"/>
  </w:num>
  <w:num w:numId="32">
    <w:abstractNumId w:val="18"/>
  </w:num>
  <w:num w:numId="33">
    <w:abstractNumId w:val="12"/>
  </w:num>
  <w:num w:numId="34">
    <w:abstractNumId w:val="20"/>
  </w:num>
  <w:num w:numId="35">
    <w:abstractNumId w:val="11"/>
  </w:num>
  <w:num w:numId="36">
    <w:abstractNumId w:val="13"/>
  </w:num>
  <w:num w:numId="37">
    <w:abstractNumId w:val="9"/>
  </w:num>
  <w:num w:numId="38">
    <w:abstractNumId w:val="19"/>
  </w:num>
  <w:num w:numId="39">
    <w:abstractNumId w:val="8"/>
  </w:num>
  <w:num w:numId="40">
    <w:abstractNumId w:val="14"/>
  </w:num>
  <w:num w:numId="41">
    <w:abstractNumId w:val="16"/>
  </w:num>
  <w:num w:numId="42">
    <w:abstractNumId w:val="17"/>
  </w:num>
  <w:num w:numId="43">
    <w:abstractNumId w:val="10"/>
  </w:num>
  <w:num w:numId="44">
    <w:abstractNumId w:val="15"/>
  </w:num>
  <w:num w:numId="45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7-13 09:45:39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6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42"/>
    <w:docVar w:name="DQCResult_UnknownFonts" w:val="0;0"/>
    <w:docVar w:name="DQCResult_UnknownStyles" w:val="0;25"/>
    <w:docVar w:name="DQCStatus" w:val="Yellow"/>
    <w:docVar w:name="DQCVersion" w:val="3"/>
    <w:docVar w:name="DQCWithWarnings" w:val="0"/>
    <w:docVar w:name="LW_CORRIGENDUM" w:val="&lt;UNUSED&gt;"/>
    <w:docVar w:name="LW_COVERPAGE_EXISTS" w:val="True"/>
    <w:docVar w:name="LW_COVERPAGE_GUID" w:val="FAE4E2A2-02A8-4907-948A-0E697D4249B3"/>
    <w:docVar w:name="LW_COVERPAGE_TYPE" w:val="1"/>
    <w:docVar w:name="LW_CROSSREFERENCE" w:val="{SEC(2018) 271 final}_x000b_{SWD(2018) 284 final}_x000b_{SWD(2018) 285 final}"/>
    <w:docVar w:name="LW_DocType" w:val="COM"/>
    <w:docVar w:name="LW_EMISSION" w:val="31.5.2018"/>
    <w:docVar w:name="LW_EMISSION_ISODATE" w:val="2018-05-31"/>
    <w:docVar w:name="LW_EMISSION_LOCATION" w:val="BRX"/>
    <w:docVar w:name="LW_EMISSION_PREFIX" w:val="Brussell, "/>
    <w:docVar w:name="LW_EMISSION_SUFFIX" w:val="&lt;EMPTY&gt;"/>
    <w:docVar w:name="LW_ID_DOCMODEL" w:val="SJ-023"/>
    <w:docVar w:name="LW_ID_DOCSIGNATURE" w:val="SJ-023"/>
    <w:docVar w:name="LW_ID_DOCSTRUCTURE" w:val="COM/PL/ORG"/>
    <w:docVar w:name="LW_ID_DOCTYPE" w:val="SJ-023"/>
    <w:docVar w:name="LW_ID_EXP.MOTIFS.NEW" w:val="EM_PL_"/>
    <w:docVar w:name="LW_ID_STATUT" w:val="SJ-023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203"/>
    <w:docVar w:name="LW_REF.II.NEW.CP_YEAR" w:val="2018"/>
    <w:docVar w:name="LW_REF.INST.NEW" w:val="COM"/>
    <w:docVar w:name="LW_REF.INST.NEW_ADOPTED" w:val="final"/>
    <w:docVar w:name="LW_REF.INST.NEW_TEXT" w:val="(2018) 37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li jemenda r-Regolament tal-Kunsill (KE) Nru 1206/2001 tat-28 ta\u8217? Mejju 2001 dwar kooperazzjoni bejn il-qrati tal-Istati Membri fil-kumpilazzjoni ta' xhieda f'materji \u267?ivili jew kummer\u267?jali"/>
    <w:docVar w:name="LW_TYPE.DOC.CP" w:val="REGOLAMENT TAL-PARLAMENT EWROPEW U TAL-KUNSIL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8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2"/>
      </w:numPr>
    </w:pPr>
  </w:style>
  <w:style w:type="paragraph" w:customStyle="1" w:styleId="Tiret1">
    <w:name w:val="Tiret 1"/>
    <w:basedOn w:val="Point1"/>
    <w:pPr>
      <w:numPr>
        <w:numId w:val="33"/>
      </w:numPr>
    </w:pPr>
  </w:style>
  <w:style w:type="paragraph" w:customStyle="1" w:styleId="Tiret2">
    <w:name w:val="Tiret 2"/>
    <w:basedOn w:val="Point2"/>
    <w:pPr>
      <w:numPr>
        <w:numId w:val="34"/>
      </w:numPr>
    </w:pPr>
  </w:style>
  <w:style w:type="paragraph" w:customStyle="1" w:styleId="Tiret3">
    <w:name w:val="Tiret 3"/>
    <w:basedOn w:val="Point3"/>
    <w:pPr>
      <w:numPr>
        <w:numId w:val="35"/>
      </w:numPr>
    </w:pPr>
  </w:style>
  <w:style w:type="paragraph" w:customStyle="1" w:styleId="Tiret4">
    <w:name w:val="Tiret 4"/>
    <w:basedOn w:val="Point4"/>
    <w:pPr>
      <w:numPr>
        <w:numId w:val="3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9"/>
      </w:numPr>
    </w:pPr>
  </w:style>
  <w:style w:type="paragraph" w:customStyle="1" w:styleId="Point1number">
    <w:name w:val="Point 1 (number)"/>
    <w:basedOn w:val="Normal"/>
    <w:pPr>
      <w:numPr>
        <w:ilvl w:val="2"/>
        <w:numId w:val="39"/>
      </w:numPr>
    </w:pPr>
  </w:style>
  <w:style w:type="paragraph" w:customStyle="1" w:styleId="Point2number">
    <w:name w:val="Point 2 (number)"/>
    <w:basedOn w:val="Normal"/>
    <w:pPr>
      <w:numPr>
        <w:ilvl w:val="4"/>
        <w:numId w:val="39"/>
      </w:numPr>
    </w:pPr>
  </w:style>
  <w:style w:type="paragraph" w:customStyle="1" w:styleId="Point3number">
    <w:name w:val="Point 3 (number)"/>
    <w:basedOn w:val="Normal"/>
    <w:pPr>
      <w:numPr>
        <w:ilvl w:val="6"/>
        <w:numId w:val="39"/>
      </w:numPr>
    </w:pPr>
  </w:style>
  <w:style w:type="paragraph" w:customStyle="1" w:styleId="Point0letter">
    <w:name w:val="Point 0 (letter)"/>
    <w:basedOn w:val="Normal"/>
    <w:pPr>
      <w:numPr>
        <w:ilvl w:val="1"/>
        <w:numId w:val="39"/>
      </w:numPr>
    </w:pPr>
  </w:style>
  <w:style w:type="paragraph" w:customStyle="1" w:styleId="Point1letter">
    <w:name w:val="Point 1 (letter)"/>
    <w:basedOn w:val="Normal"/>
    <w:pPr>
      <w:numPr>
        <w:ilvl w:val="3"/>
        <w:numId w:val="39"/>
      </w:numPr>
    </w:pPr>
  </w:style>
  <w:style w:type="paragraph" w:customStyle="1" w:styleId="Point2letter">
    <w:name w:val="Point 2 (letter)"/>
    <w:basedOn w:val="Normal"/>
    <w:pPr>
      <w:numPr>
        <w:ilvl w:val="5"/>
        <w:numId w:val="39"/>
      </w:numPr>
    </w:pPr>
  </w:style>
  <w:style w:type="paragraph" w:customStyle="1" w:styleId="Point3letter">
    <w:name w:val="Point 3 (letter)"/>
    <w:basedOn w:val="Normal"/>
    <w:pPr>
      <w:numPr>
        <w:ilvl w:val="7"/>
        <w:numId w:val="39"/>
      </w:numPr>
    </w:pPr>
  </w:style>
  <w:style w:type="paragraph" w:customStyle="1" w:styleId="Point4letter">
    <w:name w:val="Point 4 (letter)"/>
    <w:basedOn w:val="Normal"/>
    <w:pPr>
      <w:numPr>
        <w:ilvl w:val="8"/>
        <w:numId w:val="39"/>
      </w:numPr>
    </w:pPr>
  </w:style>
  <w:style w:type="paragraph" w:customStyle="1" w:styleId="Bullet0">
    <w:name w:val="Bullet 0"/>
    <w:basedOn w:val="Normal"/>
    <w:pPr>
      <w:numPr>
        <w:numId w:val="40"/>
      </w:numPr>
    </w:pPr>
  </w:style>
  <w:style w:type="paragraph" w:customStyle="1" w:styleId="Bullet1">
    <w:name w:val="Bullet 1"/>
    <w:basedOn w:val="Normal"/>
    <w:pPr>
      <w:numPr>
        <w:numId w:val="41"/>
      </w:numPr>
    </w:pPr>
  </w:style>
  <w:style w:type="paragraph" w:customStyle="1" w:styleId="Bullet2">
    <w:name w:val="Bullet 2"/>
    <w:basedOn w:val="Normal"/>
    <w:pPr>
      <w:numPr>
        <w:numId w:val="42"/>
      </w:numPr>
    </w:pPr>
  </w:style>
  <w:style w:type="paragraph" w:customStyle="1" w:styleId="Bullet3">
    <w:name w:val="Bullet 3"/>
    <w:basedOn w:val="Normal"/>
    <w:pPr>
      <w:numPr>
        <w:numId w:val="43"/>
      </w:numPr>
    </w:pPr>
  </w:style>
  <w:style w:type="paragraph" w:customStyle="1" w:styleId="Bullet4">
    <w:name w:val="Bullet 4"/>
    <w:basedOn w:val="Normal"/>
    <w:pPr>
      <w:numPr>
        <w:numId w:val="4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8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mt-MT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2"/>
      </w:numPr>
    </w:pPr>
  </w:style>
  <w:style w:type="paragraph" w:customStyle="1" w:styleId="Tiret1">
    <w:name w:val="Tiret 1"/>
    <w:basedOn w:val="Point1"/>
    <w:pPr>
      <w:numPr>
        <w:numId w:val="33"/>
      </w:numPr>
    </w:pPr>
  </w:style>
  <w:style w:type="paragraph" w:customStyle="1" w:styleId="Tiret2">
    <w:name w:val="Tiret 2"/>
    <w:basedOn w:val="Point2"/>
    <w:pPr>
      <w:numPr>
        <w:numId w:val="34"/>
      </w:numPr>
    </w:pPr>
  </w:style>
  <w:style w:type="paragraph" w:customStyle="1" w:styleId="Tiret3">
    <w:name w:val="Tiret 3"/>
    <w:basedOn w:val="Point3"/>
    <w:pPr>
      <w:numPr>
        <w:numId w:val="35"/>
      </w:numPr>
    </w:pPr>
  </w:style>
  <w:style w:type="paragraph" w:customStyle="1" w:styleId="Tiret4">
    <w:name w:val="Tiret 4"/>
    <w:basedOn w:val="Point4"/>
    <w:pPr>
      <w:numPr>
        <w:numId w:val="3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9"/>
      </w:numPr>
    </w:pPr>
  </w:style>
  <w:style w:type="paragraph" w:customStyle="1" w:styleId="Point1number">
    <w:name w:val="Point 1 (number)"/>
    <w:basedOn w:val="Normal"/>
    <w:pPr>
      <w:numPr>
        <w:ilvl w:val="2"/>
        <w:numId w:val="39"/>
      </w:numPr>
    </w:pPr>
  </w:style>
  <w:style w:type="paragraph" w:customStyle="1" w:styleId="Point2number">
    <w:name w:val="Point 2 (number)"/>
    <w:basedOn w:val="Normal"/>
    <w:pPr>
      <w:numPr>
        <w:ilvl w:val="4"/>
        <w:numId w:val="39"/>
      </w:numPr>
    </w:pPr>
  </w:style>
  <w:style w:type="paragraph" w:customStyle="1" w:styleId="Point3number">
    <w:name w:val="Point 3 (number)"/>
    <w:basedOn w:val="Normal"/>
    <w:pPr>
      <w:numPr>
        <w:ilvl w:val="6"/>
        <w:numId w:val="39"/>
      </w:numPr>
    </w:pPr>
  </w:style>
  <w:style w:type="paragraph" w:customStyle="1" w:styleId="Point0letter">
    <w:name w:val="Point 0 (letter)"/>
    <w:basedOn w:val="Normal"/>
    <w:pPr>
      <w:numPr>
        <w:ilvl w:val="1"/>
        <w:numId w:val="39"/>
      </w:numPr>
    </w:pPr>
  </w:style>
  <w:style w:type="paragraph" w:customStyle="1" w:styleId="Point1letter">
    <w:name w:val="Point 1 (letter)"/>
    <w:basedOn w:val="Normal"/>
    <w:pPr>
      <w:numPr>
        <w:ilvl w:val="3"/>
        <w:numId w:val="39"/>
      </w:numPr>
    </w:pPr>
  </w:style>
  <w:style w:type="paragraph" w:customStyle="1" w:styleId="Point2letter">
    <w:name w:val="Point 2 (letter)"/>
    <w:basedOn w:val="Normal"/>
    <w:pPr>
      <w:numPr>
        <w:ilvl w:val="5"/>
        <w:numId w:val="39"/>
      </w:numPr>
    </w:pPr>
  </w:style>
  <w:style w:type="paragraph" w:customStyle="1" w:styleId="Point3letter">
    <w:name w:val="Point 3 (letter)"/>
    <w:basedOn w:val="Normal"/>
    <w:pPr>
      <w:numPr>
        <w:ilvl w:val="7"/>
        <w:numId w:val="39"/>
      </w:numPr>
    </w:pPr>
  </w:style>
  <w:style w:type="paragraph" w:customStyle="1" w:styleId="Point4letter">
    <w:name w:val="Point 4 (letter)"/>
    <w:basedOn w:val="Normal"/>
    <w:pPr>
      <w:numPr>
        <w:ilvl w:val="8"/>
        <w:numId w:val="39"/>
      </w:numPr>
    </w:pPr>
  </w:style>
  <w:style w:type="paragraph" w:customStyle="1" w:styleId="Bullet0">
    <w:name w:val="Bullet 0"/>
    <w:basedOn w:val="Normal"/>
    <w:pPr>
      <w:numPr>
        <w:numId w:val="40"/>
      </w:numPr>
    </w:pPr>
  </w:style>
  <w:style w:type="paragraph" w:customStyle="1" w:styleId="Bullet1">
    <w:name w:val="Bullet 1"/>
    <w:basedOn w:val="Normal"/>
    <w:pPr>
      <w:numPr>
        <w:numId w:val="41"/>
      </w:numPr>
    </w:pPr>
  </w:style>
  <w:style w:type="paragraph" w:customStyle="1" w:styleId="Bullet2">
    <w:name w:val="Bullet 2"/>
    <w:basedOn w:val="Normal"/>
    <w:pPr>
      <w:numPr>
        <w:numId w:val="42"/>
      </w:numPr>
    </w:pPr>
  </w:style>
  <w:style w:type="paragraph" w:customStyle="1" w:styleId="Bullet3">
    <w:name w:val="Bullet 3"/>
    <w:basedOn w:val="Normal"/>
    <w:pPr>
      <w:numPr>
        <w:numId w:val="43"/>
      </w:numPr>
    </w:pPr>
  </w:style>
  <w:style w:type="paragraph" w:customStyle="1" w:styleId="Bullet4">
    <w:name w:val="Bullet 4"/>
    <w:basedOn w:val="Normal"/>
    <w:pPr>
      <w:numPr>
        <w:numId w:val="4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www.acj.si/en/presentation-evidence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EC_Collab_DocumentLanguage xmlns="967b308c-638a-4fbc-8091-e90b34bcdaf9">EN</EC_Collab_DocumentLanguage>
    <EC_Collab_Status xmlns="967b308c-638a-4fbc-8091-e90b34bcdaf9">Not Started</EC_Collab_Status>
    <EC_Collab_Reference xmlns="967b308c-638a-4fbc-8091-e90b34bcda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E6210744F147F418EF6E9529F02D205" ma:contentTypeVersion="0" ma:contentTypeDescription="Create a new document in this library." ma:contentTypeScope="" ma:versionID="74574fe5f492dac00574a70aa423bb06">
  <xsd:schema xmlns:xsd="http://www.w3.org/2001/XMLSchema" xmlns:xs="http://www.w3.org/2001/XMLSchema" xmlns:p="http://schemas.microsoft.com/office/2006/metadata/properties" xmlns:ns2="http://schemas.microsoft.com/sharepoint/v3/fields" xmlns:ns3="967b308c-638a-4fbc-8091-e90b34bcdaf9" targetNamespace="http://schemas.microsoft.com/office/2006/metadata/properties" ma:root="true" ma:fieldsID="70d449bf6abc4ec568c8b4c81622d415" ns2:_="" ns3:_="">
    <xsd:import namespace="http://schemas.microsoft.com/sharepoint/v3/fields"/>
    <xsd:import namespace="967b308c-638a-4fbc-8091-e90b34bcdaf9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b308c-638a-4fbc-8091-e90b34bcdaf9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AC0B8ED-A3A2-4689-9FA7-F680305E5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B4997-AAA0-4151-9BA8-D694D0FF2119}">
  <ds:schemaRefs>
    <ds:schemaRef ds:uri="967b308c-638a-4fbc-8091-e90b34bcdaf9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ACA4303-59AE-4930-8CAD-75CFC4C96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67b308c-638a-4fbc-8091-e90b34bcd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1DD9C-2781-4CE4-89A3-2164F11E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</TotalTime>
  <Pages>17</Pages>
  <Words>4660</Words>
  <Characters>34722</Characters>
  <Application>Microsoft Office Word</Application>
  <DocSecurity>0</DocSecurity>
  <Lines>588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Regularion ToE-no e-codex-LW</vt:lpstr>
    </vt:vector>
  </TitlesOfParts>
  <Manager/>
  <Company/>
  <LinksUpToDate>false</LinksUpToDate>
  <CharactersWithSpaces>39187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Regularion ToE-no e-codex-LW</dc:title>
  <dc:creator/>
  <cp:lastModifiedBy/>
  <cp:revision>21</cp:revision>
  <dcterms:created xsi:type="dcterms:W3CDTF">2018-07-13T07:45:00Z</dcterms:created>
  <dcterms:modified xsi:type="dcterms:W3CDTF">2018-07-17T09:54:00Z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ContentTypeId">
    <vt:lpwstr>0x010100258AA79CEB83498886A3A0868112325000DE6210744F147F418EF6E9529F02D205</vt:lpwstr>
  </property>
  <property fmtid="{D5CDD505-2E9C-101B-9397-08002B2CF9AE}" pid="11" name="DQCStatus">
    <vt:lpwstr>Yellow (DQC version 03)</vt:lpwstr>
  </property>
  <property name="OP_sanitized" fmtid="{D5CDD505-2E9C-101B-9397-08002B2CF9AE}" pid="12">
    <vt:lpwstr>True</vt:lpwstr>
  </property>
</Properties>
</file>