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5B5EEF01-D43A-48BC-8D46-D8FB63125AA0" style="width:450.7pt;height:379.3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MEMORANDUM TA’ SPJEGAZZJONI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KUNTEST TAL-PROPOSTA</w:t>
      </w:r>
    </w:p>
    <w:p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Raġunijiet u għanijiet tal-proposta</w:t>
      </w:r>
    </w:p>
    <w:p>
      <w:pPr>
        <w:autoSpaceDE w:val="0"/>
        <w:autoSpaceDN w:val="0"/>
        <w:adjustRightInd w:val="0"/>
        <w:rPr>
          <w:noProof/>
        </w:rPr>
      </w:pPr>
      <w:r>
        <w:rPr>
          <w:noProof/>
        </w:rPr>
        <w:t>L-għan tal-proposta attwali għal Direttiva li temenda d-Direttiva tal-Kunsill 2006/112/KE tat-28 ta’ Novembru 2006 dwar is-sistema komuni ta’ taxxa fuq il-valur miżjud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(minn hawn’ il quddiem “id-Direttiva dwar il-VAT”) huwa l-estensjoni ta’: 1) il-possibbiltà li l-Istati Membri japplikaw il-mekkaniżmu tar-reverse charge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biex tiġi miġġielda il-frodi li qed issir fil-provvista ta' merkanzija u servizzi li hemm inniżżla fl-Artikolu 199a(1) tad-Direttiva tal-VAT u 2) il-possibbiltà li jintuża l-Mekkaniżmu ta’ Reazzjoni Rapida (MRR) kontra l-frodi. </w:t>
      </w:r>
    </w:p>
    <w:p>
      <w:pPr>
        <w:rPr>
          <w:noProof/>
          <w:szCs w:val="20"/>
        </w:rPr>
      </w:pPr>
      <w:r>
        <w:rPr>
          <w:noProof/>
        </w:rPr>
        <w:t>L-Artikolu 199a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tad-Direttiva tal-VAT jippermetti lill-Istati Membri jagħżlu li jużaw il-mekkaniżmu tar-reverse charge għall-ħlas tal-VAT fuq provvisti ta’ merkanzija                                              u servizzi definiti minn qabel, li huma suxxettibbli għall-frodi, u b’mod partikolari, għall-Frodi Intra-Komunitarja b’Negozjant Nieqes (MTIC). </w:t>
      </w:r>
    </w:p>
    <w:p>
      <w:pPr>
        <w:autoSpaceDE w:val="0"/>
        <w:autoSpaceDN w:val="0"/>
        <w:adjustRightInd w:val="0"/>
        <w:rPr>
          <w:noProof/>
        </w:rPr>
      </w:pPr>
      <w:r>
        <w:rPr>
          <w:noProof/>
        </w:rPr>
        <w:t>Jekk Stat Membru jixtieq japplika l-mekkaniżmu tar-reverse charge għal provvisti oħrajn minbarra dawk elenkati fl-Artikolu 199a tad-Direttiva tal-VAT, tista’ tingħata deroga abbażi tal-Artikolu 395 tad-Direttiva tal-VAT sabiex tiġi ssimplifikata l-proċedura tal-ġbir tal-VAT jew sabiex jiġu evitati ċerti forom ta’ evażjoni u evitar tat-taxxa. Madankollu, l-adozzjoni tad-deroga bbażata fuq dan l-artikolu tirrikjedi proposta min-naħa tal-Kummissjoni u l-adozzjoni unanima mill-Kunsill, proċess li jieħu bosta xhur (sa massimu ta’ tmien xhur skont l-Artikolu 395 tad-Direttiva tal-VAT). F’każijiet fejn Stat Membru isib ruħu f’daqqa waħda qed iħabbat wiċċu ma’ frodi massiva, it-tul tal-proċedura biex tinkiseb deroga bbażata fuq l-Artikolu 395, jista’ jirriżulta f’telf importanti ta’ dħul mill-VAT. L-MRR inkluż fl-Artikolu 199b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tad-Direttiva tal-VAT jinkludi proċedura aktar rapida biex tippermetti lill-Istati Membri, taħt ċerti kundizzjonijiet stretti, jintroduċu l-mekkaniżmu tar-reverse charge, u b’hekk lill-Istati Membri jipprovdilhom reazzjoni iktar xierqa u effettiva għal frodi għal għarrieda u massiva. br</w:t>
      </w:r>
    </w:p>
    <w:p>
      <w:pPr>
        <w:autoSpaceDE w:val="0"/>
        <w:autoSpaceDN w:val="0"/>
        <w:adjustRightInd w:val="0"/>
        <w:rPr>
          <w:noProof/>
        </w:rPr>
      </w:pPr>
      <w:r>
        <w:rPr>
          <w:noProof/>
        </w:rPr>
        <w:t>L-għan tal-miżuri previsti fl-Artikoli 199a u 199b huwa li jippermettu lill-Istati Membri jindirizzaw malajr il-problemi tal-frodi MTIC: fl-Artikolu 199a, billi jingħataw il-possibbiltà li japplikaw il-mekkaniżmu tar-reverse charge għall-provvisti elenkati u fl-Artikolu 199b billi jkollhom għad-dispożizzjoni tagħhom proċedura aktar mgħaġġla għall-introduzzjoni tal-mekkaniżmu tar-reverse charge f’każ ta’ frodi għal għarrieda u massiva. Iż-żewġ Artikoli jiskadu fil-31 ta’ Diċembru 2018</w:t>
      </w:r>
      <w:r>
        <w:rPr>
          <w:rStyle w:val="FootnoteReference"/>
          <w:noProof/>
        </w:rPr>
        <w:footnoteReference w:id="5"/>
      </w:r>
      <w:r>
        <w:rPr>
          <w:noProof/>
        </w:rPr>
        <w:t xml:space="preserve">. </w:t>
      </w:r>
    </w:p>
    <w:p>
      <w:pPr>
        <w:autoSpaceDE w:val="0"/>
        <w:autoSpaceDN w:val="0"/>
        <w:adjustRightInd w:val="0"/>
        <w:rPr>
          <w:noProof/>
        </w:rPr>
      </w:pPr>
      <w:r>
        <w:rPr>
          <w:noProof/>
        </w:rPr>
        <w:t>Il-frodi MTIC isseħħ f’sitwazzjoni meta negozjant jixtri merkanzija trasportata jew mibgħuta minn Stat Membru ieħor, f’qafas ta’ provvista li tkun eżentata mill-VAT u jbigħha lill-klijent bil-VAT inkluża fuq il-fattura. Wara li jkun irċieva l-ammont tal-VAT mingħand il-klijent it-tali negozjant jisparixxi qabel ma jħallas il-VAT dovuta lill-awtoritajiet tat-taxxa. Fl-istess ħin, il-klijent, kemm jekk ikun aġixxa b’</w:t>
      </w:r>
      <w:r>
        <w:rPr>
          <w:i/>
          <w:noProof/>
        </w:rPr>
        <w:t>bona fede</w:t>
      </w:r>
      <w:r>
        <w:rPr>
          <w:noProof/>
        </w:rPr>
        <w:t xml:space="preserve"> u kemm jekk le, jista’ jnaqqas il-VAT li jkun ħallas lill-fornitur permezz tad-dikjarazzjoni tal-VAT tiegħu. Il-mekkaniżmu tar-reverse charge fakultattiv ibbażat fuq l-Artikolu 199a tad-Direttiva tal-VAT jidher li huwa strument utli u prekawzjonarju għall-Istati Membri biex jiġġieldu dan it-tip ta’ frodi f’oqsma sensittivi definiti minn qabel meta din isseħħ fit-territorju tagħhom. Meta n-negozjant ikun obbligat juża l-mekkaniżmu tar-reverse charge għal dawn il-provvisti domestiċi, huwa ma jistax jitlob il-VAT fuq il-fattura tiegħu. Huwa mbagħad ma jirċevix l-ammont tal-VAT mingħand il-klijent tiegħu, u bħala riżultat ta’ dan ma jkunx jista’ jgħib bl-ammont tal-VAT li jkun irċieva. Il-MRR previst fl-Artikolu 199b huwa miżura eċċezzjonali li tippermetti lill-Istati Membri biex b’ħeffa jintroduċu mekkaniżmu temporanju tar-reverse charge għal provvisti ta’ merkanzija u servizzi f’setturi fejn tkun seħħet il-frodi għal għarrieda u massiva u li mhumiex elenkati fl-Artikolu 199a tad-Direttiva tal-VAT. Permezz tal-użu ta’ dan il-mekkaniżmu, l-Istati Membri jistgħu jgħaqqdu l-perjodu meħtieġ biex jiksbu d-deroga normali skont l-Artikolu 395 tad-Direttiva tal-VAT. </w:t>
      </w:r>
    </w:p>
    <w:p>
      <w:pPr>
        <w:rPr>
          <w:noProof/>
          <w:szCs w:val="24"/>
        </w:rPr>
      </w:pPr>
      <w:r>
        <w:rPr>
          <w:noProof/>
        </w:rPr>
        <w:t>Kif meħtieġ mid-Direttiva tal-VAT, il-Kummissjoni ppreżentat Rapport dwar l-effetti tal-mekkaniżmi inklużi fl-Artikoli 199a u 199b tad-Direttiva tal-VAT</w:t>
      </w:r>
      <w:r>
        <w:rPr>
          <w:rStyle w:val="FootnoteReference"/>
          <w:noProof/>
        </w:rPr>
        <w:footnoteReference w:id="6"/>
      </w:r>
      <w:r>
        <w:rPr>
          <w:noProof/>
        </w:rPr>
        <w:t>. Għat-tħejjija ta’ dan ir-rapport, l-Istati Membri ġew mistiedna jagħtu l-esperjenza tagħhom u l-valutazzjoni tagħhom tal-miżuri. Sabiex jiġi żgurat li jiġu kkunsidrati l-kummenti tan-negozji, il-partijiet ikkonċernati tan-negozju ntalbu, permezz tal-Grupp ta’ Esperti tal-VAT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, jagħtu l-opinjonijiet tagħhom. B’mod ġenerali, l-Istati Membri u l-partijiet ikkonċernati jqisu li l-mekkaniżmu tar-reverse charge inkluż fl-Artikolu 199a tad-Direttiva tal-VAT huwa għodda effettiva u effiċjenti fil-ġlieda kontra l-frodi tal-VAT. Fir-rigward tal-MRR inkluż fl-Artikolu 199b tad-Direttiva tal-VAT, minkejja li qatt ma ntuża, il-biċċa l-kbira tal-Istati Membri huma tal-fehma li dan għadu għodda utli u miżura ta’ prekawzjoni għall-każijiet eċċezzjonali ta’ frodi b’rabta mal-VAT. </w:t>
      </w:r>
    </w:p>
    <w:p>
      <w:pPr>
        <w:rPr>
          <w:noProof/>
          <w:szCs w:val="24"/>
        </w:rPr>
      </w:pPr>
      <w:r>
        <w:rPr>
          <w:noProof/>
        </w:rPr>
        <w:t>Dan l-aħħar il-Kummissjoni ppreżentat żewġ proposti leġiżlattivi li għandhom l-għan li jindirizzaw il-frodi tal-VAT b’mod aktar fundamentali. L-ewwel proposta hija għal kooperazzjoni amministrattiva u l-ġlieda kontra l-frodi fil-qasam tal-VAT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, li għandha ssaħħaħ il-kooperazzjoni bejn l-Istati Membri biex jiġġieldu b’mod effiċjenti l-frodi transfruntiera. </w:t>
      </w:r>
    </w:p>
    <w:p>
      <w:pPr>
        <w:rPr>
          <w:rFonts w:eastAsiaTheme="majorEastAsia"/>
          <w:noProof/>
        </w:rPr>
      </w:pPr>
      <w:r>
        <w:rPr>
          <w:noProof/>
        </w:rPr>
        <w:t>It-tieni hija proposta li tiddeskrivi l-punti ewlenin għal sistema tal-VAT definittiva aktar sempliċi u inqas suxxettibbli għall-frodi fil-kummerċ intra-UE</w:t>
      </w:r>
      <w:r>
        <w:rPr>
          <w:rStyle w:val="FootnoteReference"/>
          <w:noProof/>
        </w:rPr>
        <w:footnoteReference w:id="9"/>
      </w:r>
      <w:r>
        <w:rPr>
          <w:noProof/>
        </w:rPr>
        <w:t xml:space="preserve">. Biex jiġu implimentati dawn il-pedamenti se jintuża approċċ f’żewġ fażijiet. Għall-ewwel pass, fl-ewwel semestru tal-2018 il-Kummissjoni se tippreżenta proposta li tinkludi dispożizzjonijiet dettaljati biex jitħaddmu l-arranġamenti definittivi għall-provvisti ta’ merkanzija għall-kummerċ bejn in-Negozji (B2B). </w:t>
      </w:r>
    </w:p>
    <w:p>
      <w:pPr>
        <w:rPr>
          <w:noProof/>
          <w:szCs w:val="24"/>
        </w:rPr>
      </w:pPr>
      <w:r>
        <w:rPr>
          <w:noProof/>
        </w:rPr>
        <w:t xml:space="preserve">Dawn l-arranġamenti, li għandhom jidħlu fis-seħħ fl-1 ta’ Lulju 2022, jipprovdu reazzjoni fundamentali għall-frodi MTIC. Peress li l-VAT se tkun effettivament imħallsa fuq il-provvisti intra-Unjoni, il-kummerċjant ma jkunx jista’ jakkwista merkanzija, trasportata jew mibgħuta minn Stat Membru ieħor eżentata mill-VAT - li tinsab preċiżament fil-bażi tal-frodi MTIC. Se jkunu jistgħu jiksbu merkanzija ttrasportata jew mibgħuta minn Stat Membru ieħor mingħajr ma tkun intalbet il-VAT mill-fornitur biss dawk il-persuni taxxabbli affidabbli li jkunu kisbu l-istatus ta’ persuna taxxabbli ċċertifikata. </w:t>
      </w:r>
    </w:p>
    <w:p>
      <w:p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Minn dan ta’ hawn fuq jidher li l-miżuri inklużi fl-Artikoli 199a u 199b tad-Direttiva tal-VAT huma utli bħala miżuri temporanji u mmirati. L-iskadenza tagħhom fil-31 ta’ Diċembru 2018 tkun iċċaħħad lill-Istati Membri minn għodda effiċjenti fil-ġlieda kontra l-frodi. </w:t>
      </w:r>
    </w:p>
    <w:p>
      <w:pPr>
        <w:rPr>
          <w:noProof/>
        </w:rPr>
      </w:pPr>
      <w:r>
        <w:rPr>
          <w:noProof/>
        </w:rPr>
        <w:t xml:space="preserve">Għalhekk jixraq li l-miżuri inklużi fl-Artikoli 199a u 199b, jiġu estiżi sat-30 ta’ Ġunju 2022; id-data li fiha s-sistema definittiva għall-kummerċ tal-provvisti ta’ merkanzija B2B għandha tidħol fis-seħħ. </w:t>
      </w:r>
    </w:p>
    <w:p>
      <w:pPr>
        <w:rPr>
          <w:rFonts w:eastAsia="Arial Unicode MS"/>
          <w:noProof/>
          <w:szCs w:val="24"/>
        </w:rPr>
      </w:pPr>
      <w:r>
        <w:rPr>
          <w:noProof/>
        </w:rPr>
        <w:t xml:space="preserve">Skont l-Artikolu 199a(1) tad-Direttiva dwar il-VAT, l-Istati Membri jistgħu japplikaw il-mekkaniżmu tar-reverse charge għal mill-inqas sentejn. </w:t>
      </w:r>
      <w:r>
        <w:rPr>
          <w:noProof/>
          <w:color w:val="000000"/>
        </w:rPr>
        <w:t xml:space="preserve">Ir-rekwiżit ta’ perjodu minimu ta’ sentejn għall-applikazzjoni tal-miżura kien ta’ impediment għal għadd żgħir ta’ Stati Membri li xtaqu jdaħħlu l-mekkaniżmu tar-reverse charge fl-2017 biex jiġġieldu każijiet li għadhom kif ġew skoperti ta’ frodi tal-VAT fil-provvisti ta’ merkanzija u/jew ta’ servizzi inklużi fil-lista tal-Artikolu 199a. L-Istati Membri kkonċernati finalment kellhom jippreżentaw talba għal deroga bbażata fuq l-Artikolu 395 tad-Direttiva tal-VAT u skont il-proċedura inkluża f’dan l-Artikolu, u dan wassal għal dewmien fir-reazzjoni tal-Istati Membri għall-problema tal-frodi. Konsegwentement, qed jiġi propost li jitneħħa r-rekwiżit ta’ perjodu minimu ta’ sentejn minn din id-dispożizzjoni. </w:t>
      </w:r>
    </w:p>
    <w:p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Konsistenza mad-dispożizzjonijiet eżistenti ta’ politika f’dan il-qasam ta’ politika</w:t>
      </w:r>
    </w:p>
    <w:p>
      <w:pPr>
        <w:pStyle w:val="Default"/>
        <w:jc w:val="both"/>
        <w:rPr>
          <w:noProof/>
        </w:rPr>
      </w:pPr>
      <w:r>
        <w:rPr>
          <w:noProof/>
        </w:rPr>
        <w:t>Din il-proposta attwali hija mingħajr preġudizzju għall-proposta tal-Kummissjoni fir-rigward tal-mekkaniżmu tar-reverse charge ġeneralizzat</w:t>
      </w:r>
      <w:r>
        <w:rPr>
          <w:rStyle w:val="FootnoteReference"/>
          <w:noProof/>
        </w:rPr>
        <w:footnoteReference w:id="10"/>
      </w:r>
      <w:r>
        <w:rPr>
          <w:noProof/>
        </w:rPr>
        <w:t xml:space="preserve"> li lil dawk l-Istati Membri li huma partikolarment affettwati mill-frodi għandu jipprovdilhom il-possibilità li jintroduċu mekkaniżmu tar-reverse charge ġeneralizzat (u mhux għal setturi speċifiċi) għall-provvisti domestiċi ta’ merkanzija u servizzi, sakemm jiġu ssodisfati ċerti kundizzjonijiet stretti. L-ambitu u l-kundizzjonijiet meħtieġa għall-applikazzjoni tal-mekkaniżmu tar-reverse charge ġeneralizzat huma differenti mill-kundizzjonijiet tal-Artikoli 199a u 199b tad-Direttiva tal-VAT.  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BAŻI ĠURIDIKA, SUSSIDJARJETÀ U PROPORZJONALITÀ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Bażi ġuridika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Id-Direttiva temenda d-Direttiva tal-VAT abbażi tal-Artikolu 113 tat-Trattat dwar il-Funzjonament tal-Unjoni Ewropea.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00" w:themeColor="text1"/>
        </w:rPr>
      </w:pPr>
      <w:r>
        <w:rPr>
          <w:noProof/>
        </w:rPr>
        <w:t xml:space="preserve">Peress li l-proposta testendi l-applikazzjoni ta’ ċerti dispożizzjonijiet tad-Direttiva, hija meħtieġa emenda tad-Direttiva tal-VAT.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 xml:space="preserve">Sussidjarjetà (għall-kompetenza mhux esklużiva) </w:t>
      </w:r>
    </w:p>
    <w:p>
      <w:pPr>
        <w:pStyle w:val="Text1"/>
        <w:ind w:left="0"/>
        <w:rPr>
          <w:noProof/>
        </w:rPr>
      </w:pPr>
      <w:r>
        <w:rPr>
          <w:noProof/>
        </w:rPr>
        <w:t>Skont il-prinċipju tas-sussidjarjetà kif stipulat fl-Artikolu 5(3) tat-Trattat dwar l-Unjoni Ewropea, tista’ tittieħed biss azzjoni fil-livell tal-Unjoni jekk l-għanijiet previsti ma jkunux jistgħu jinkisbu b’mod sodisfaċenti mill-Istati Membri waħedhom u, għalhekk, minħabba l-iskala jew l-effetti tal-azzjonijiet proposti, ikunu jistgħu jinkisbu aħjar mill-Unjoni.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L-għan tal-ġlieda kontra l-frodi permezz tal-applikazzjoni tal-mekkaniżmu tar-reverse charge u l-possibbiltà li jintuża l-Mekkaniżmu ta’ Reazzjoni Rapida fil-ġlieda kontra l-frodi għal għarrieda u massiva jista’ jinkiseb l-aħjar fil-livell tal-Unjoni u jsib il-bażi legali speċifika fid-Direttiva tal-VAT. Għalhekk, l-estensjoni ta’ dawn il-miżuri teżiġi emenda għad-Direttiva dwar il-VAT.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Proporzjonalità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00" w:themeColor="text1"/>
        </w:rPr>
      </w:pPr>
      <w:r>
        <w:rPr>
          <w:noProof/>
          <w:color w:val="000000" w:themeColor="text1"/>
        </w:rPr>
        <w:t xml:space="preserve">Minħabba l-karattru fakultattiv u temporanju tal-miżuri fit-tul, il-proposta hija proporzjonata mal-għan mixtieq tal-ġlieda kontra l-frodi f’ċertu provvisti ta’ merkanzija u servizzi u tgħin lill-Istati Membri biex jittrattaw każijiet ta’ frodi tal-VAT f’daqqa u massiva.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Għażla tal-istrument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00" w:themeColor="text1"/>
        </w:rPr>
      </w:pPr>
      <w:r>
        <w:rPr>
          <w:noProof/>
        </w:rPr>
        <w:t xml:space="preserve">Qed tiġi proposta Direttiva bil-ħsieb li tiġi emendata d-Direttiva dwar il-VAT. 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IR-RIŻULTATI TAL-EVALWAZZJONIJIET EX POST, TAL-KONSULTAZZJONIJIET MAL-PARTIJIET IKKONĊERNATI U TAL-VALUTAZZJONIJIET TAL-IMPATT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Konsultazzjonijiet mal-partijiet ikkonċernati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Il-kummenti tal-Istati Membri u l-partijiet ikkonċernati ġew ippreżentati fir-Rapport tal-Kummissjoni dwar l-effetti tal-Artikoli 199a u 199b tad-Direttiva tal-VAT dwar il-ġlieda kontra l-frodi. </w:t>
      </w:r>
    </w:p>
    <w:p>
      <w:pPr>
        <w:rPr>
          <w:noProof/>
          <w:szCs w:val="24"/>
        </w:rPr>
      </w:pPr>
      <w:r>
        <w:rPr>
          <w:noProof/>
        </w:rPr>
        <w:t xml:space="preserve">B’mod ġenerali, kif stabbilit fir-Rapport, l-Istati Membri jqisu li l-mekkaniżmu tar-reverse charge inkluż fl-Artikolu 199a tad-Direttiva tal-VAT huwa għodda effettiva u effiċjenti ħafna fil-ġlieda kontra l-frodi tal-VAT. Minħabba l-introduzzjoni tal-mekkaniżmu tar-reverse charge, il-frodi naqset b’mod sinifikanti jew sparixxiet fis-setturi definiti. Din il-fehma taqbel mal-fehma li ntweriet fit-tweġibiet li waslu mingħand il-partijiet ikkonċernati kkonsultati li jqisu l-mekkaniżmu tar-reverse charge bħala miżura temporanja effiċjenti għall-ġlieda kontra l-frodi. </w:t>
      </w:r>
    </w:p>
    <w:p>
      <w:pPr>
        <w:rPr>
          <w:noProof/>
          <w:szCs w:val="24"/>
        </w:rPr>
      </w:pPr>
      <w:r>
        <w:rPr>
          <w:noProof/>
        </w:rPr>
        <w:t xml:space="preserve">Minkejja li l-Mekkaniżmu ta’ Reazzjoni Rapida inkluż fl-Artikolu 199b tad-Direttiva tal-VAT qatt ma ntuża, il-biċċa l-kbira tal-Istati Membri jikkunsidraw li dan għadu għodda utli u miżura ta’ prekawzjoni kontra l-każijiet eċċezzjonali ta’ frodi tal-VAT għal għarrieda.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Ġbir u użu tal-kompetenzi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Il-Grupp ta’ Esperti dwar il-VAT ġie kkonsultat dwar l-effetti tal-miżura inkluża fl-Artikolu 199a tad-Direttiva tal-VAT. It-tweġibiet jindikaw li l-mekkaniżmu tar-reverse charge għal provvisti speċifiċi huwa meqjus bħala għodda temporanja effiċjenti fil-ġlieda kontra l-frodi.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color w:val="000000"/>
          <w:szCs w:val="24"/>
        </w:rPr>
      </w:pPr>
      <w:r>
        <w:rPr>
          <w:noProof/>
        </w:rPr>
        <w:t>B’mod ġenerali, il-mekkaniżmu tar-reverse charge fakultattiv ġie vvalutat fi studji preċedenti. Skont studju reċenti dwar il-valutazzjoni tal-mekkaniżmu tar-reverse charge fakultattiv</w:t>
      </w:r>
      <w:r>
        <w:rPr>
          <w:rStyle w:val="FootnoteReference"/>
          <w:noProof/>
        </w:rPr>
        <w:footnoteReference w:id="11"/>
      </w:r>
      <w:r>
        <w:rPr>
          <w:noProof/>
        </w:rPr>
        <w:t>, il-mekkaniżmu tar-reverse charge jimplika żieda ta’ 43% fl-ispejjeż ta’ konformità għan-negozji. Valutazzjoni ta’ mekkaniżmu tar-reverse charge (anki meta mqabbel mar-reverse charge settorjali) fis-suq intern twettqet fil-valutazzjoni tal-impatt li takkumpanja l-proposta dwar l-applikazzjoni temporanja ta’ mekkaniżmu tar-reverse charge ġeneralizzat</w:t>
      </w:r>
      <w:r>
        <w:rPr>
          <w:rStyle w:val="FootnoteReference"/>
          <w:noProof/>
        </w:rPr>
        <w:footnoteReference w:id="12"/>
      </w:r>
      <w:r>
        <w:rPr>
          <w:noProof/>
        </w:rPr>
        <w:t>.</w:t>
      </w:r>
      <w:r>
        <w:rPr>
          <w:noProof/>
          <w:color w:val="000000"/>
        </w:rPr>
        <w:t xml:space="preserve"> Minħabba li huwa limitat fl-ambitu u fiż-żmien, il-mekkaniżmu mmirat tar-reverse charge ma jidhirx li għandu konsegwenzi ta’ ħsara kbira.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Valutazzjoni tal-impatt</w:t>
      </w:r>
    </w:p>
    <w:p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L-inizjattiva testendi l-miżuri inklużi fl-Artikoli 199a u 199b biex tappoġġa lill-Istati Membri biex jindirizzaw il-frodi tal-VAT sakemm isseħħ riforma aktar profonda tas-sistema tal-VAT. </w:t>
      </w:r>
    </w:p>
    <w:p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Minħabba x-xogħol tal-Kummissjoni li għaddej bħalissa dwar is-sistema definittiva tal-VAT u l-impatt mistenni tagħha fuq il-ġlieda kontra l-frodi, ma jkunx utli għalissa li ssir evalwazzjoni apparti mir-Rapport riċenti jew li jiġu rriveduti l-miżuri, billi kull konklużjoni tkun tranżitorja u jkun jinħtieġ li tiġi vvalutata mill-ġdid ladarba s-sistema definittiva tidħol fis-seħħ. </w:t>
      </w:r>
    </w:p>
    <w:p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IMPLIKAZZJONIJIET BAĠITARJI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00" w:themeColor="text1"/>
        </w:rPr>
      </w:pPr>
      <w:r>
        <w:rPr>
          <w:noProof/>
        </w:rPr>
        <w:t xml:space="preserve">Il-proposta mhi se jkollha l-ebda implikazzjoni negattiva għall-baġit tal-Unjoni. </w:t>
      </w:r>
    </w:p>
    <w:p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ELEMENTI OĦRA</w:t>
      </w:r>
    </w:p>
    <w:p>
      <w:pPr>
        <w:rPr>
          <w:noProof/>
        </w:rPr>
      </w:pPr>
      <w:r>
        <w:rPr>
          <w:noProof/>
        </w:rPr>
        <w:t xml:space="preserve">Il-proposta hija limitata biż-żmien.  </w:t>
      </w:r>
    </w:p>
    <w:p>
      <w:pPr>
        <w:spacing w:before="0" w:after="0"/>
        <w:jc w:val="left"/>
        <w:rPr>
          <w:noProof/>
        </w:rPr>
        <w:sectPr>
          <w:footerReference w:type="default" r:id="rId16"/>
          <w:footerReference w:type="first" r:id="rId17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t>2018/0150 (CNS)</w:t>
      </w:r>
    </w:p>
    <w:p>
      <w:pPr>
        <w:pStyle w:val="Statut"/>
        <w:rPr>
          <w:noProof/>
        </w:rPr>
      </w:pPr>
      <w:r>
        <w:rPr>
          <w:noProof/>
        </w:rPr>
        <w:t>Proposta għal</w:t>
      </w:r>
    </w:p>
    <w:p>
      <w:pPr>
        <w:pStyle w:val="Typedudocument"/>
        <w:rPr>
          <w:noProof/>
        </w:rPr>
      </w:pPr>
      <w:r>
        <w:rPr>
          <w:noProof/>
        </w:rPr>
        <w:t>DIRETTIVA TAL-KUNSILL</w:t>
      </w:r>
    </w:p>
    <w:p>
      <w:pPr>
        <w:pStyle w:val="Titreobjet"/>
        <w:rPr>
          <w:noProof/>
        </w:rPr>
      </w:pPr>
      <w:r>
        <w:rPr>
          <w:noProof/>
        </w:rPr>
        <w:t>li temenda d-Direttiva 2006/112/KE dwar is-sistema komuni ta’ taxxa fuq il-valur miżjud fir-rigward tal-perjodu ta’ applikazzjoni tal-mekkaniżmu tar-reverse charge fakultattiv fir-rigward ta’ provvisti ta’ ċerti merkanzija u servizzi suxxettibbli għall-frodi u tal-Mekkaniżmu ta’ Reazzjoni Rapida kontra l-frodi tal-VAT</w:t>
      </w:r>
    </w:p>
    <w:p>
      <w:pPr>
        <w:pStyle w:val="Institutionquiagit"/>
        <w:rPr>
          <w:noProof/>
        </w:rPr>
      </w:pPr>
      <w:r>
        <w:rPr>
          <w:noProof/>
        </w:rPr>
        <w:t>IL-KUNSILL TAL-UNJONI EWROPEA,</w:t>
      </w:r>
    </w:p>
    <w:p>
      <w:pPr>
        <w:rPr>
          <w:noProof/>
        </w:rPr>
      </w:pPr>
      <w:r>
        <w:rPr>
          <w:noProof/>
        </w:rPr>
        <w:t>Wara li kkunsidra t-Trattat dwar il-Funzjonament tal-Unjoni Ewropea, u b’mod partikolari l-Artikolu 113 tiegħu,</w:t>
      </w:r>
    </w:p>
    <w:p>
      <w:pPr>
        <w:rPr>
          <w:noProof/>
        </w:rPr>
      </w:pPr>
      <w:r>
        <w:rPr>
          <w:noProof/>
        </w:rPr>
        <w:t>Wara li kkunsidra l-proposta tal-Kummissjoni Ewropea,</w:t>
      </w:r>
    </w:p>
    <w:p>
      <w:pPr>
        <w:rPr>
          <w:noProof/>
        </w:rPr>
      </w:pPr>
      <w:r>
        <w:rPr>
          <w:noProof/>
        </w:rPr>
        <w:t>Wara li l-abbozz tal-att leġiżlattiv intbagħat lill-parlamenti nazzjonali,</w:t>
      </w:r>
    </w:p>
    <w:p>
      <w:pPr>
        <w:rPr>
          <w:noProof/>
        </w:rPr>
      </w:pPr>
      <w:r>
        <w:rPr>
          <w:noProof/>
        </w:rPr>
        <w:t>Wara li kkunsidra l-opinjoni tal-Parlament Ewropew</w:t>
      </w:r>
      <w:r>
        <w:rPr>
          <w:rStyle w:val="FootnoteReference"/>
          <w:noProof/>
        </w:rPr>
        <w:footnoteReference w:id="13"/>
      </w:r>
      <w:r>
        <w:rPr>
          <w:noProof/>
        </w:rPr>
        <w:t xml:space="preserve">, </w:t>
      </w:r>
    </w:p>
    <w:p>
      <w:pPr>
        <w:rPr>
          <w:noProof/>
        </w:rPr>
      </w:pPr>
      <w:r>
        <w:rPr>
          <w:noProof/>
        </w:rPr>
        <w:t>Wara li kkunsidra l-opinjoni tal-Kumitat Ekonomiku u Soċjali Ewropew</w:t>
      </w:r>
      <w:r>
        <w:rPr>
          <w:rStyle w:val="FootnoteReference"/>
          <w:noProof/>
        </w:rPr>
        <w:footnoteReference w:id="14"/>
      </w:r>
      <w:r>
        <w:rPr>
          <w:noProof/>
        </w:rPr>
        <w:t xml:space="preserve">, </w:t>
      </w:r>
    </w:p>
    <w:p>
      <w:pPr>
        <w:rPr>
          <w:noProof/>
        </w:rPr>
      </w:pPr>
      <w:r>
        <w:rPr>
          <w:noProof/>
        </w:rPr>
        <w:t>Filwaqt li jaġixxi skont proċedura leġislattiva speċjali,</w:t>
      </w:r>
    </w:p>
    <w:p>
      <w:pPr>
        <w:rPr>
          <w:noProof/>
        </w:rPr>
      </w:pPr>
      <w:r>
        <w:rPr>
          <w:noProof/>
        </w:rPr>
        <w:t>Billi: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 xml:space="preserve">Il-frodi tat-taxxa fil-qasam tat-taxxa fuq il-valur miżjud (VAT) twassal għal telf baġitarju konsiderevoli u għandha impatt fuq l-operazzjoni tas-suq intern. 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L-Artikolu 199a tad-Direttiva tal-Kunsill 2006/112/KE</w:t>
      </w:r>
      <w:r>
        <w:rPr>
          <w:rStyle w:val="FootnoteReference"/>
          <w:noProof/>
        </w:rPr>
        <w:footnoteReference w:id="15"/>
      </w:r>
      <w:r>
        <w:rPr>
          <w:noProof/>
        </w:rPr>
        <w:t xml:space="preserve"> jippermetti lill-Istati Membri jipprevedu li l-persuna responsabbli għall-ħlas tal-VAT fuq provvisti elenkati f’dak l-Artikolu hija l-persuna taxxabbli li lilha ssir il-provvista (il-mekkaniżmu tar-reverse charge) sabiex tiġi indirizzata malajr il-problema ta’ frodi b’negozjant nieqes fil-kummerċ intra-Komunitarju (MTIC). L-Istati Membri jistgħu japplikaw dan il-mekkaniżmu sal-31 ta’ Diċembru 2018 u għal perjodu minimu ta’ sentejn. 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Il-miżura speċjali tal-Mekkaniżmu ta’ Reazzjoni Rapida (MRR) stabbilita fl-Artikolu 199b tad-Direttiva 2006/112/KE toffri lill-Istati Membri proċedura iktar rapida li tippermetti d-dħul tal-mekkaniżmu tar-reverse charge fir-rigward ta’ provvisti speċifiċi ta’ merkanzija u servizzi bil-għan li tiġi miġġielda l-frodi massiva u li sseħħ għal għarrieda li tista’ twassal għal telf finanzjarju konsiderevoli u irrimedjabbli. B’konformità mal-Artikolu 3 tad-Direttiva tal-Kunsill 2013/42/UE</w:t>
      </w:r>
      <w:r>
        <w:rPr>
          <w:rStyle w:val="FootnoteReference"/>
          <w:noProof/>
        </w:rPr>
        <w:footnoteReference w:id="16"/>
      </w:r>
      <w:r>
        <w:rPr>
          <w:noProof/>
        </w:rPr>
        <w:t xml:space="preserve">, l-Istati Membri jistgħu japplikaw il-miżura speċjali tal-MRR sal-31 ta’ Diċembru 2018. 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Fit-8 ta’ Marzu 2018 il-Kummissjoni ppreżentat Rapport dwar l-effetti tal-mekkaniżmi fuq il-ġlieda kontra l-frodi msemmija fl-Artikoli 199a u 199b tad-Direttiva 2006/112/KE lill-Parlament Ewropew u lill-Kunsill</w:t>
      </w:r>
      <w:r>
        <w:rPr>
          <w:rStyle w:val="FootnoteReference"/>
          <w:noProof/>
        </w:rPr>
        <w:footnoteReference w:id="17"/>
      </w:r>
      <w:r>
        <w:rPr>
          <w:noProof/>
        </w:rPr>
        <w:t xml:space="preserve">. </w:t>
      </w:r>
    </w:p>
    <w:p>
      <w:pPr>
        <w:pStyle w:val="ManualConsidrant"/>
        <w:rPr>
          <w:rFonts w:eastAsia="Arial Unicode MS"/>
          <w:noProof/>
          <w:szCs w:val="24"/>
        </w:rPr>
      </w:pPr>
      <w:r>
        <w:t>(5)</w:t>
      </w:r>
      <w:r>
        <w:tab/>
      </w:r>
      <w:r>
        <w:rPr>
          <w:noProof/>
        </w:rPr>
        <w:t xml:space="preserve">Skont ir-Rapport, l-Istati Membri u l-partijiet ikkonċernati ġeneralment iqisu l-mekkaniżmu tar-reverse charge stabbilit fl-Artikolu 199a tad-Direttiva 2006/112/KE bħala għodda temporanja effettiva u effiċjenti fil-ġlieda kontra l-frodi tal-VAT fis-setturi partikolari jew fil-prevenzjoni tal-frodi. </w:t>
      </w:r>
      <w:r>
        <w:rPr>
          <w:noProof/>
          <w:color w:val="000000"/>
        </w:rPr>
        <w:t xml:space="preserve">Ir-rekwiżit ta’ minimu ta’ sentejn għall-applikazzjoni tal-miżura inkluża fl-Artikolu 199a(1) sewa ta’ impediment għal għadd żgħir ta’ Stati Membri li jixtiequ jdaħħlu l-mekkaniżmu tar-reverse charge iżda ma jissodisfawx din il-kundizzjoni. Konsegwentement, ir-rekwiżit ta’ perjodu minimu ta’ sentejn qed jitneħħa minn din id-dispożizzjoni. 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>Fir-rigward għall-miżura speċjali tal-MRR msemmija fl-Artikolu 199b tad-Direttiva 2006/112/KE, għalkemm, effettivament, qatt ma ntużat, l-Istati Membri jqisu li din għandha tibqa’ għodda utli u miżura ta’ prekawzjoni kontra każijiet eċċezzjonali ta’ frodi tal-VAT.</w:t>
      </w:r>
    </w:p>
    <w:p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 xml:space="preserve">Meta jitqiesu s-sejbiet u l-konklużjoni tar-Rapport, jidher li l-miżuri msemmija fl-Artikoli 199a u 199b tad-Direttiva 2006/112/KE rriżultaw li huma miżuri temporanji utli u mmirati biex jiġġieldu kontra l-frodi tal-VAT. Dawn il-miżuri ser jiskadu fil-31 ta’ Diċembru 2018 u dan se jċaħħad lill-Istati Membri minn għodda effiċjenti biex tiġi miġġielda l-frodi tal-VAT. Għalhekk huwa xieraq li l-applikazzjoni ta’ dawk il-miżuri tiġi estiża għal perjodu ta’ żmien limitat, sad-dħul fis-seħħ previst tas-sistema definittiva tal-VAT. </w:t>
      </w:r>
    </w:p>
    <w:p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>Għalhekk jenħtieġ li d-Direttiva 2006/112/KE tiġi emendata skont dan,</w:t>
      </w:r>
    </w:p>
    <w:p>
      <w:pPr>
        <w:pStyle w:val="Formuledadoption"/>
        <w:rPr>
          <w:noProof/>
        </w:rPr>
      </w:pPr>
      <w:r>
        <w:rPr>
          <w:noProof/>
        </w:rPr>
        <w:t>ADOTTA DIN ID-DIRETTIVA:</w:t>
      </w:r>
    </w:p>
    <w:p>
      <w:pPr>
        <w:pStyle w:val="Titrearticle"/>
        <w:rPr>
          <w:noProof/>
        </w:rPr>
      </w:pPr>
      <w:r>
        <w:rPr>
          <w:noProof/>
        </w:rPr>
        <w:t>Artikolu 1</w:t>
      </w:r>
    </w:p>
    <w:p>
      <w:pPr>
        <w:rPr>
          <w:noProof/>
        </w:rPr>
      </w:pPr>
      <w:r>
        <w:rPr>
          <w:noProof/>
        </w:rPr>
        <w:t>Id-Direttiva 2006/112/KE hija emendata kif ġej:</w:t>
      </w:r>
    </w:p>
    <w:p>
      <w:pPr>
        <w:pStyle w:val="Point0number"/>
        <w:numPr>
          <w:ilvl w:val="0"/>
          <w:numId w:val="10"/>
        </w:numPr>
        <w:rPr>
          <w:noProof/>
        </w:rPr>
      </w:pPr>
      <w:r>
        <w:rPr>
          <w:noProof/>
        </w:rPr>
        <w:t>fl-Artikolu 199a(1), il-kliem tad-dħul huwa sostitwit b’li ġej:</w:t>
      </w:r>
    </w:p>
    <w:p>
      <w:pPr>
        <w:pStyle w:val="Normal1"/>
        <w:ind w:left="851"/>
        <w:rPr>
          <w:noProof/>
        </w:rPr>
      </w:pPr>
      <w:r>
        <w:rPr>
          <w:noProof/>
        </w:rPr>
        <w:t>“L-Istati Membri jistgħu, sat-30 ta’ Ġunju 2022 jipprevedu li l-persuna responsabbli għall-ħlas tal-VAT hija l-persuna taxxabbli li lilha jsiru l-provvisti li ġejjin:”;</w:t>
      </w:r>
    </w:p>
    <w:p>
      <w:pPr>
        <w:pStyle w:val="Point0number"/>
        <w:rPr>
          <w:noProof/>
        </w:rPr>
      </w:pPr>
      <w:r>
        <w:rPr>
          <w:noProof/>
        </w:rPr>
        <w:t>l-Artikolu 199b huwa sostitwit b’dan li ġej:</w:t>
      </w:r>
    </w:p>
    <w:p>
      <w:pPr>
        <w:pStyle w:val="Normal1"/>
        <w:spacing w:before="120" w:beforeAutospacing="0" w:after="120" w:afterAutospacing="0"/>
        <w:jc w:val="center"/>
        <w:rPr>
          <w:noProof/>
        </w:rPr>
      </w:pPr>
      <w:r>
        <w:rPr>
          <w:noProof/>
        </w:rPr>
        <w:t>“Artikolu 199b</w:t>
      </w:r>
    </w:p>
    <w:p>
      <w:pPr>
        <w:pStyle w:val="Normal1"/>
        <w:spacing w:before="120" w:beforeAutospacing="0" w:after="120" w:afterAutospacing="0"/>
        <w:ind w:left="720"/>
        <w:jc w:val="both"/>
        <w:rPr>
          <w:noProof/>
        </w:rPr>
      </w:pPr>
      <w:r>
        <w:rPr>
          <w:noProof/>
        </w:rPr>
        <w:t>1. Stat Membru jista’, f’każijiet ta’ urġenza imperattiva u b’konformità mal-paragrafi 2 u 3, jinnomina d-destinatarju bħala l-persuna responsabbli biex tħallas il-VAT fuq provvisti speċifiċi ta’ merkanzija u servizzi b’deroga mill-Artikolu 193 bħala miżura speċjali ta’ Mekkaniżmu ta’ Reazzjoni Rapida (“MRR”) fil-ġlieda kontra l-frodi għal għarrieda u massiva li tista’ twassal għal telf finanzjarju konsiderevoli u irrimedjabbli.</w:t>
      </w:r>
    </w:p>
    <w:p>
      <w:pPr>
        <w:pStyle w:val="Normal1"/>
        <w:ind w:left="720"/>
        <w:jc w:val="both"/>
        <w:rPr>
          <w:noProof/>
        </w:rPr>
      </w:pPr>
      <w:r>
        <w:rPr>
          <w:noProof/>
        </w:rPr>
        <w:t>Il-miżura speċjali tal-MRR għandha tkun soġġetta għal miżuri ta’ kontroll xierqa mill-Istat Membru, fir-rigward ta’ persuni taxxabbli li jipprovdu l-merkanzija jew is-servizzi li għalihom tkun tapplika dik il-miżura, u għandha tkun għal perjodu ta’ mhux aktar minn disa’ xhur.</w:t>
      </w:r>
    </w:p>
    <w:p>
      <w:pPr>
        <w:pStyle w:val="Normal1"/>
        <w:ind w:left="720"/>
        <w:jc w:val="both"/>
        <w:rPr>
          <w:noProof/>
        </w:rPr>
      </w:pPr>
      <w:r>
        <w:rPr>
          <w:noProof/>
        </w:rPr>
        <w:t>2. Stat Membru li jixtieq jintroduċi miżura speċjali ta’ MRR kif previst fil-paragrafu 1 għandu jibgħat notifika lill-Kummissjoni permezz tal-formola standardizzata stabbilita b’konformità mal-paragrafu 4 u fl-istess waqt jibgħatha lill-Istati Membri l-oħra. L-Istat Membru għandu jipprovdi l-informazzjoni li tindika s-settur ikkonċernat, it-tip u l-karatteristiċi tal-frodi, l-eżistenza ta’ raġunijiet imperattivi ta’ urġenza, in-natura għal għarrieda u massiva tal-frodi u l-konsegwenzi tagħha f’termini ta’ telf finanzjarju konsiderevoli u irrimedjabbli lill-Kummissjoni. Jekk il-Kummissjoni tikkunsidra li ma jkollhiex l-informazzjoni kollha meħtieġa, għandha tikkuntattja lill-Istat Membru kkonċernat fi żmien ġimagħtejn minn meta tirċievi n-notifika u tispeċifika l-informazzjoni addizzjonali li tkun teħtieġ. Kull informazzjoni addizzjonali pprovduta mill-Istat Membru kkonċernat għandha fl-istess waqt tintbagħat lill-Istati Membri l-oħra. Jekk l-informazzjoni addizzjonali pprovduta ma tkunx suffiċjenti, il-Kummissjoni għandha tinforma lill-Istat Membru kkonċernat b’dan fi żmien ġimgħa.</w:t>
      </w:r>
    </w:p>
    <w:p>
      <w:pPr>
        <w:pStyle w:val="Normal1"/>
        <w:ind w:left="720"/>
        <w:jc w:val="both"/>
        <w:rPr>
          <w:noProof/>
        </w:rPr>
      </w:pPr>
      <w:r>
        <w:rPr>
          <w:noProof/>
        </w:rPr>
        <w:t>L-Istat Membru li jixtieq jintroduċi miżura speċjali ta’ MRR kif previst fil-paragrafu 1 ta’ dan l-Artikolu għandu fl-istess waqt jagħmel ukoll applikazzjoni lill-Kummissjoni b’konformità mal-proċedura stabbilita fl-Artikolu 395(2) u (3).</w:t>
      </w:r>
    </w:p>
    <w:p>
      <w:pPr>
        <w:pStyle w:val="Normal1"/>
        <w:ind w:left="720"/>
        <w:jc w:val="both"/>
        <w:rPr>
          <w:noProof/>
        </w:rPr>
      </w:pPr>
      <w:r>
        <w:rPr>
          <w:noProof/>
        </w:rPr>
        <w:t>F’każijiet ta’ urġenza imperattiva kif stipulat fil-paragrafu 1 ta’ dan l-Artikolu, il-proċedura stabbilita fl-Artikolu 395(2) u (3) għandha titlesta fi żmien sitt xhur minn meta l-Kummissjoni tirċievi l-applikazzjoni.</w:t>
      </w:r>
    </w:p>
    <w:p>
      <w:pPr>
        <w:pStyle w:val="Normal1"/>
        <w:ind w:left="720"/>
        <w:jc w:val="both"/>
        <w:rPr>
          <w:noProof/>
        </w:rPr>
      </w:pPr>
      <w:r>
        <w:rPr>
          <w:noProof/>
        </w:rPr>
        <w:t>3. Ladarba l-Kummissjoni jkollha l-informazzjoni kollha li hija tikkunsidra meħtieġa għall-valutazzjoni tan-notifika msemmija fl-ewwel subparagrafu tal-paragrafu 2, hija għandha tinnotifika lill-Istati Membri b’dan. Fejn hija toġġezzjona għall-miżura speċjali ta’ MRR, hija għandha tipproduċi opinjoni negattiva fi żmien xahar ta’ dik in-notifika, u għandha tinforma lill-Istat Membru kkonċernat u lill-Kumitat tal-VAT dwar dan. Fejn il-Kummissjoni ma toġġezzjonax, hija għandha tikkonferma dan bil-miktub lill-Istat Membru kkonċernat u lill-Kumitat tal-VAT fl-istess perjodu ta’ żmien. L-Istat Membru jista’ jadotta l-miżura speċjali ta’ MRR mid-data minn meta jirċievi dik il-konferma. Fil-valutazzjoni tan-notifika, il-Kummissjoni għandha tqis il-fehmiet ta’ kwalunkwe Stat Membru ieħor li jkunu ntbagħtulha bil-miktub.</w:t>
      </w:r>
    </w:p>
    <w:p>
      <w:pPr>
        <w:pStyle w:val="Normal1"/>
        <w:ind w:left="720"/>
        <w:jc w:val="both"/>
        <w:rPr>
          <w:noProof/>
        </w:rPr>
      </w:pPr>
      <w:r>
        <w:rPr>
          <w:noProof/>
        </w:rPr>
        <w:t>4. Il-Kummissjoni għandha tadotta att ta’ implimentazzjoni li jistabbilixxi formola standardizzata biex tiġi ppreżentata n-notifika għal miżura speċjali ta’ MRR msemmija fil-paragrafu 2 u tal-informazzjoni msemmija fl-ewwel subparagrafu tal-paragrafu 2. Dan l-att ta’ implimentazzjoni għandu jiġi adottat b’konformità mal-proċedura ta’ eżami msemmija fil-paragrafu 5.</w:t>
      </w:r>
    </w:p>
    <w:p>
      <w:pPr>
        <w:pStyle w:val="Normal1"/>
        <w:ind w:left="720"/>
        <w:jc w:val="both"/>
        <w:rPr>
          <w:noProof/>
        </w:rPr>
      </w:pPr>
      <w:r>
        <w:rPr>
          <w:noProof/>
        </w:rPr>
        <w:t>5. Fejn issir referenza għal dan il-paragrafu, għandu japplika l-Artikolu 5 tar-Regolament (UE) Nru 182/2011 tal-Parlament Ewropew u tal-Kunsill(*) u għal dan il-għan il-kumitat għandu jkun il-kumitat stabbilit mill-Artikolu 58 tar-Regolament tal-Kunsill (UE) Nru 904/2010(**).</w:t>
      </w:r>
    </w:p>
    <w:p>
      <w:pPr>
        <w:pStyle w:val="Normal1"/>
        <w:ind w:left="720"/>
        <w:rPr>
          <w:noProof/>
        </w:rPr>
      </w:pPr>
      <w:r>
        <w:rPr>
          <w:noProof/>
        </w:rPr>
        <w:t>6. Miżura speċjali ta’ MRR kif prevista fil-paragrafu 1 għandha tapplika sat-30 ta’ Ġunju 2022.”;</w:t>
      </w:r>
    </w:p>
    <w:p>
      <w:pPr>
        <w:pStyle w:val="Normal1"/>
        <w:ind w:left="850"/>
        <w:rPr>
          <w:noProof/>
        </w:rPr>
      </w:pPr>
      <w:r>
        <w:rPr>
          <w:noProof/>
        </w:rPr>
        <w:t>__________</w:t>
      </w:r>
    </w:p>
    <w:p>
      <w:pPr>
        <w:pStyle w:val="Normal1"/>
        <w:ind w:left="850"/>
        <w:rPr>
          <w:noProof/>
        </w:rPr>
      </w:pPr>
      <w:r>
        <w:rPr>
          <w:noProof/>
        </w:rPr>
        <w:tab/>
        <w:t>(*) Ir-Regolament (UE) Nru 182/2011 tal-Parlament Ewropew u tal-Kunsill tas-16 ta’ Frar 2011 li jistabbilixxi r-regoli u l-prinċipji ġenerali dwar il-modalitajiet ta’ kontroll mill-Istati Membri tal-eżerċizzju mill-Kummissjoni tas-setgħat ta’ implimentazzjoni (</w:t>
      </w:r>
      <w:hyperlink r:id="rId18">
        <w:r>
          <w:rPr>
            <w:rStyle w:val="Hyperlink"/>
            <w:noProof/>
          </w:rPr>
          <w:t>ĠU L 55, 28.2.2011, p. 13</w:t>
        </w:r>
      </w:hyperlink>
      <w:r>
        <w:rPr>
          <w:noProof/>
        </w:rPr>
        <w:t>).</w:t>
      </w:r>
    </w:p>
    <w:p>
      <w:pPr>
        <w:pStyle w:val="Normal1"/>
        <w:ind w:left="850"/>
        <w:rPr>
          <w:noProof/>
        </w:rPr>
      </w:pPr>
      <w:r>
        <w:rPr>
          <w:noProof/>
        </w:rPr>
        <w:tab/>
        <w:t xml:space="preserve">(**) Ir-Regolament tal-Kunsill (UE) Nru 904/2010 tas-7 ta' Ottubru 2010 dwar il-kooperazzjoni amministrattiva u l-ġlieda kontra l-frodi fil-qasam tat-taxxa fuq il-valur miżjud </w:t>
      </w:r>
      <w:hyperlink r:id="rId19">
        <w:r>
          <w:rPr>
            <w:rStyle w:val="Hyperlink"/>
            <w:noProof/>
          </w:rPr>
          <w:t>ĠU L 268, 12.10.2010, p. 1</w:t>
        </w:r>
      </w:hyperlink>
      <w:r>
        <w:rPr>
          <w:noProof/>
        </w:rPr>
        <w:t>).";</w:t>
      </w:r>
    </w:p>
    <w:p>
      <w:pPr>
        <w:pStyle w:val="Point0number"/>
        <w:rPr>
          <w:noProof/>
        </w:rPr>
      </w:pPr>
      <w:r>
        <w:rPr>
          <w:noProof/>
        </w:rPr>
        <w:t>fl-Artikolu 395, jitħassar il-paragrafu 5.</w:t>
      </w:r>
    </w:p>
    <w:p>
      <w:pPr>
        <w:pStyle w:val="Titrearticle"/>
        <w:rPr>
          <w:noProof/>
        </w:rPr>
      </w:pPr>
      <w:r>
        <w:rPr>
          <w:noProof/>
        </w:rPr>
        <w:t>Artikolu 2</w:t>
      </w:r>
    </w:p>
    <w:p>
      <w:pPr>
        <w:rPr>
          <w:noProof/>
        </w:rPr>
      </w:pPr>
      <w:r>
        <w:rPr>
          <w:noProof/>
        </w:rPr>
        <w:t>Din id-Direttiva għandha tidħol fis-seħħ fl-għoxrin jum wara l-pubblikazzjoni tagħha f’</w:t>
      </w:r>
      <w:r>
        <w:rPr>
          <w:i/>
          <w:noProof/>
        </w:rPr>
        <w:t>Il-Ġurnal Uffiċjali tal-Unjoni Ewropea</w:t>
      </w:r>
      <w:r>
        <w:rPr>
          <w:noProof/>
        </w:rPr>
        <w:t>.</w:t>
      </w:r>
    </w:p>
    <w:p>
      <w:pPr>
        <w:pStyle w:val="Titrearticle"/>
        <w:rPr>
          <w:noProof/>
          <w:color w:val="000000" w:themeColor="text1"/>
        </w:rPr>
      </w:pPr>
      <w:r>
        <w:rPr>
          <w:noProof/>
        </w:rPr>
        <w:t>Artikolu 3</w:t>
      </w:r>
    </w:p>
    <w:p>
      <w:pPr>
        <w:rPr>
          <w:noProof/>
        </w:rPr>
      </w:pPr>
      <w:r>
        <w:rPr>
          <w:noProof/>
        </w:rPr>
        <w:t>Din id-Direttiva hi indirizzata lill-Istati Membri.</w:t>
      </w:r>
    </w:p>
    <w:p>
      <w:pPr>
        <w:pStyle w:val="Fait"/>
        <w:rPr>
          <w:noProof/>
        </w:rPr>
      </w:pPr>
      <w:r>
        <w:t>Magħmul fi Brussell,</w:t>
      </w:r>
    </w:p>
    <w:p>
      <w:pPr>
        <w:pStyle w:val="Institutionquisigne"/>
        <w:rPr>
          <w:noProof/>
        </w:rPr>
      </w:pPr>
      <w:r>
        <w:rPr>
          <w:noProof/>
        </w:rPr>
        <w:tab/>
        <w:t>Għall-Kunsill</w:t>
      </w:r>
    </w:p>
    <w:p>
      <w:pPr>
        <w:pStyle w:val="Personnequisigne"/>
        <w:rPr>
          <w:noProof/>
        </w:rPr>
      </w:pPr>
      <w:r>
        <w:rPr>
          <w:noProof/>
        </w:rPr>
        <w:tab/>
        <w:t>Il-President</w:t>
      </w:r>
    </w:p>
    <w:sectPr>
      <w:footnotePr>
        <w:numRestart w:val="eachSect"/>
      </w:footnote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9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Id-Direttiva tal-Kunsill 2006/112/KE tat-28 ta’ Novembru 2006 dwar is-sistema komuni ta’ taxxa fuq il-valur miżjud (ĠU L 347, 11.12.2006, p.1)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 xml:space="preserve">Bħala regola ġenerali, l-Artikolu 193 tad-Direttiva tal-VAT jistipula li hija l-persuna taxxabbli li tipprovdi l-merkanzija jew is-servizzi li tkun responsabbli biex tħallas il-VAT. Bħala deroga minn din is-sistema tal-ħlas imqassam, il-mekkaniżmu tar-reverse charge jippermetti li jinħatar id-destinatarju (il-persuna taxxabbli) tal-provvista bħala l-persuna responsabbli għall-ħlas tal-VAT. 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FootnoteTextChar"/>
          <w:lang w:val="mt-MT"/>
        </w:rPr>
        <w:t xml:space="preserve">Imdaħħal mid-Direttiva tal-Kunsill 2013/43/UE tat-22 ta’ Lulju 2013 li temenda d-Direttiva 2006/112/KE dwar is-sistema komuni ta’ taxxa fuq il-valur miżjud, rigward applikazzjoni fakultattiva u temporanja tal-mekkaniżmu tar-reverse charge fir-rigward tal-fornimenti ta’ ċerti merkanzija u servizzi li jistgħu jkunu soġġetti għal frodi (ĠU L 201, 26.7.2013, p. 4) 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 xml:space="preserve">Imdaħħal mid-Direttiva tal-Kunsill 2013/42/UE tat-22 ta’ Lulju 2013 li temenda d-Direttiva 2006/112/KE dwar is-sistema komuni ta’ taxxa fuq il-valur miżjud fir-rigward ta’ Mekkaniżmu ta’ Reazzjoni Rapida kontra l-frodi tal-VAT (ĠU L 201, 26.7.2013, p. 1). 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ab/>
        <w:t xml:space="preserve">Fir-rigward tal-MRR, ara l-Artikolu 2 tad-Direttiva tal-Kunsill 2013/42/UE. 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ab/>
        <w:t xml:space="preserve">Ir-Rapport tal-Kummissjoni lill-Kunsill u lill-Parlament Ewropew dwar l-effetti tal-Artikoli 199a u 199b tad-Direttiva tal-Kunsill 2006/112/KE dwar il-ġlieda kontra l-frodi, COM(2018) 118/2. </w:t>
      </w:r>
    </w:p>
  </w:footnote>
  <w:footnote w:id="7">
    <w:p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>
        <w:rPr>
          <w:lang w:val="sv-SE"/>
        </w:rPr>
        <w:tab/>
        <w:t xml:space="preserve">Il-Grupp ta’ Esperti tal-VAT jassisti u jagħti pariri lill-Kummissjoni Ewropea dwar kwistjonijiet tal-VAT. Il-grupp huwa magħmul minn individwi li jinħatru fil-kapaċità personali tagħhom li jkollhom l-għarfien espert xieraq fil-qasam tal-VAT u minn organizzazzjonijiet li jirrappreżentaw b’mod partikolari lin-negozji u lill-prattikanti tat-taxxa li jistgħu jgħinu fl-iżvilupp u fl-implimentazzjoni tal-politiki marbutin mal-VAT. </w:t>
      </w:r>
    </w:p>
  </w:footnote>
  <w:footnote w:id="8">
    <w:p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>
        <w:rPr>
          <w:lang w:val="sv-SE"/>
        </w:rPr>
        <w:tab/>
        <w:t xml:space="preserve">Lejn żona unika tal-VAT fl-UE - Wasal iż-żmien għall-azzjoni. Proposta emendata għal Regolament tal-Kunsill </w:t>
      </w:r>
    </w:p>
    <w:p>
      <w:pPr>
        <w:pStyle w:val="FootnoteText"/>
        <w:ind w:firstLine="0"/>
        <w:rPr>
          <w:lang w:val="sv-SE"/>
        </w:rPr>
      </w:pPr>
      <w:r>
        <w:rPr>
          <w:lang w:val="sv-SE"/>
        </w:rPr>
        <w:t xml:space="preserve">li jemenda r-Regolament (UE) Nru 904/2010 f’dak li għandu x’jaqsam mal-miżuri li jsaħħu l-kooperazzjoni amministrattiva fil-qasam tat-taxxa fuq il-valur miżjud, COM(2017) 706 final. </w:t>
      </w:r>
    </w:p>
  </w:footnote>
  <w:footnote w:id="9">
    <w:p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>
        <w:rPr>
          <w:lang w:val="sv-SE"/>
        </w:rPr>
        <w:tab/>
      </w:r>
      <w:r>
        <w:rPr>
          <w:rStyle w:val="FootnoteTextChar"/>
          <w:lang w:val="sv-SE"/>
        </w:rPr>
        <w:t>Proposta għal Direttiva tal-Kunsill li temenda d-Direttiva 2006/112/KE fir-rigward tal-armonizzazzjoni u s-simplifikazzjoni ta’ ċerti regoli tas-sistema tat-taxxa fuq il-valur miżjud u li tintroduċi s-sistema definittiva għat-tassazzjoni tal-kummerċ bejn l-Istati Membri (COM(2017) 569 final)</w:t>
      </w:r>
      <w:r>
        <w:rPr>
          <w:lang w:val="sv-SE"/>
        </w:rPr>
        <w:t xml:space="preserve">. </w:t>
      </w:r>
    </w:p>
  </w:footnote>
  <w:footnote w:id="10">
    <w:p>
      <w:pPr>
        <w:pStyle w:val="FootnoteText"/>
        <w:rPr>
          <w:rStyle w:val="FootnoteTextChar"/>
          <w:lang w:val="sv-SE"/>
        </w:rPr>
      </w:pPr>
      <w:r>
        <w:rPr>
          <w:rStyle w:val="FootnoteReference"/>
        </w:rPr>
        <w:footnoteRef/>
      </w:r>
      <w:r>
        <w:rPr>
          <w:lang w:val="sv-SE"/>
        </w:rPr>
        <w:tab/>
      </w:r>
      <w:r>
        <w:rPr>
          <w:rStyle w:val="FootnoteTextChar"/>
          <w:lang w:val="sv-SE"/>
        </w:rPr>
        <w:t xml:space="preserve">Proposta għal Direttiva tal-Kunsill li temenda d-Direttiva 2006/112/KE dwar is-sistema komuni ta’ taxxa fuq il-valur miżjud fir-rigward tal-applikazzjoni temporanja ta’ mekkaniżmu tar-reverse charge ġeneralizzat b’rabta mal-provvista ta’ merkanzija u servizzi ’l fuq minn ċertu livell limitu COM(2016)811final. 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ab/>
        <w:t>EY, 2014.</w:t>
      </w:r>
    </w:p>
  </w:footnote>
  <w:footnote w:id="12">
    <w:p>
      <w:pPr>
        <w:pStyle w:val="FootnoteText"/>
        <w:rPr>
          <w:rStyle w:val="FootnoteTextChar"/>
        </w:rPr>
      </w:pPr>
      <w:r>
        <w:rPr>
          <w:rStyle w:val="FootnoteReference"/>
        </w:rPr>
        <w:footnoteRef/>
      </w:r>
      <w:r>
        <w:tab/>
      </w:r>
      <w:r>
        <w:rPr>
          <w:rStyle w:val="FootnoteTextChar"/>
        </w:rPr>
        <w:t>Impact assessment for the proposal as regards the temporary application of a generalised reverse charge mechanism in relation to supplies of goods and services above a certain threshold, SWD(2016) 457.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ab/>
        <w:t>ĠU C , , p. .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ab/>
        <w:t>ĠU C , , p. .</w:t>
      </w:r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ab/>
        <w:t xml:space="preserve">Id-Direttiva tal-Kunsill 2006/112/KE tat-28 ta’ Novembru 2006 dwar is-sistema komuni ta’ taxxa fuq il-valur miżjud (ĠU L 347, 11.12.2006, p. 1). </w:t>
      </w:r>
    </w:p>
  </w:footnote>
  <w:footnote w:id="16">
    <w:p>
      <w:pPr>
        <w:pStyle w:val="FootnoteText"/>
      </w:pPr>
      <w:r>
        <w:rPr>
          <w:rStyle w:val="FootnoteReference"/>
        </w:rPr>
        <w:footnoteRef/>
      </w:r>
      <w:r>
        <w:tab/>
        <w:t xml:space="preserve">Id-Direttiva tal-Kunsill 2013/42/UE tat-22 ta’ Lulju 2013 li temenda d-Direttiva 2006/112/KE dwar is-sistema komuni ta’ taxxa fuq il-valur miżjud fir-rigward ta’ Mekkaniżmu ta’ Reazzjoni Rapida kontra l-frodi tal-VAT (ĠU L 201, 26.7.2013, p. 1). </w:t>
      </w:r>
    </w:p>
    <w:p>
      <w:pPr>
        <w:pStyle w:val="FootnoteText"/>
      </w:pPr>
    </w:p>
  </w:footnote>
  <w:footnote w:id="17">
    <w:p>
      <w:pPr>
        <w:pStyle w:val="FootnoteText"/>
      </w:pPr>
      <w:r>
        <w:rPr>
          <w:rStyle w:val="FootnoteReference"/>
        </w:rPr>
        <w:footnoteRef/>
      </w:r>
      <w:r>
        <w:tab/>
        <w:t xml:space="preserve">Ir-Rapport tal-Kummissjoni lill-Kunsill u lill-Parlament Ewropew dwar l-effetti tal-Artikoli 199a u 199b tad-Direttiva tal-Kunsill 2006/112/KE dwar il-ġlieda kontra l-frodi, COM(2018) 118 tat-8 ta’ Marzu 2018.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60E4B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D5C2F3E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D3F031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B0E15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FDE05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14CA05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787A66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78A284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1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2"/>
  </w:num>
  <w:num w:numId="13">
    <w:abstractNumId w:val="20"/>
  </w:num>
  <w:num w:numId="14">
    <w:abstractNumId w:val="11"/>
  </w:num>
  <w:num w:numId="15">
    <w:abstractNumId w:val="13"/>
  </w:num>
  <w:num w:numId="16">
    <w:abstractNumId w:val="9"/>
  </w:num>
  <w:num w:numId="17">
    <w:abstractNumId w:val="19"/>
  </w:num>
  <w:num w:numId="18">
    <w:abstractNumId w:val="8"/>
  </w:num>
  <w:num w:numId="19">
    <w:abstractNumId w:val="14"/>
  </w:num>
  <w:num w:numId="20">
    <w:abstractNumId w:val="16"/>
  </w:num>
  <w:num w:numId="21">
    <w:abstractNumId w:val="17"/>
  </w:num>
  <w:num w:numId="22">
    <w:abstractNumId w:val="10"/>
  </w:num>
  <w:num w:numId="23">
    <w:abstractNumId w:val="15"/>
  </w:num>
  <w:num w:numId="24">
    <w:abstractNumId w:val="21"/>
  </w:num>
  <w:num w:numId="25">
    <w:abstractNumId w:val="18"/>
  </w:num>
  <w:num w:numId="26">
    <w:abstractNumId w:val="12"/>
  </w:num>
  <w:num w:numId="27">
    <w:abstractNumId w:val="20"/>
  </w:num>
  <w:num w:numId="28">
    <w:abstractNumId w:val="11"/>
  </w:num>
  <w:num w:numId="29">
    <w:abstractNumId w:val="13"/>
  </w:num>
  <w:num w:numId="30">
    <w:abstractNumId w:val="9"/>
  </w:num>
  <w:num w:numId="31">
    <w:abstractNumId w:val="19"/>
  </w:num>
  <w:num w:numId="32">
    <w:abstractNumId w:val="8"/>
  </w:num>
  <w:num w:numId="33">
    <w:abstractNumId w:val="14"/>
  </w:num>
  <w:num w:numId="34">
    <w:abstractNumId w:val="16"/>
  </w:num>
  <w:num w:numId="35">
    <w:abstractNumId w:val="17"/>
  </w:num>
  <w:num w:numId="36">
    <w:abstractNumId w:val="10"/>
  </w:num>
  <w:num w:numId="37">
    <w:abstractNumId w:val="15"/>
  </w:num>
  <w:num w:numId="38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docVars>
    <w:docVar w:name="DQCDateTime" w:val="2018-05-25 17:20:37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15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4"/>
    <w:docVar w:name="DQCResult_UnknownFonts" w:val="0;0"/>
    <w:docVar w:name="DQCResult_UnknownStyles" w:val="0;15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5B5EEF01-D43A-48BC-8D46-D8FB63125AA0"/>
    <w:docVar w:name="LW_COVERPAGE_TYPE" w:val="1"/>
    <w:docVar w:name="LW_CROSSREFERENCE" w:val="&lt;UNUSED&gt;"/>
    <w:docVar w:name="LW_DocType" w:val="COM"/>
    <w:docVar w:name="LW_EMISSION" w:val="25.5.2018"/>
    <w:docVar w:name="LW_EMISSION_ISODATE" w:val="2018-05-25"/>
    <w:docVar w:name="LW_EMISSION_LOCATION" w:val="BRX"/>
    <w:docVar w:name="LW_EMISSION_PREFIX" w:val="Brussell, "/>
    <w:docVar w:name="LW_EMISSION_SUFFIX" w:val="&lt;EMPTY&gt;"/>
    <w:docVar w:name="LW_ID_DOCMODEL" w:val="SJ-017"/>
    <w:docVar w:name="LW_ID_DOCSIGNATURE" w:val="SJ-017"/>
    <w:docVar w:name="LW_ID_DOCSTRUCTURE" w:val="COM/PL/ORG"/>
    <w:docVar w:name="LW_ID_DOCTYPE" w:val="SJ-017"/>
    <w:docVar w:name="LW_ID_EXP.MOTIFS.NEW" w:val="EM_PL_"/>
    <w:docVar w:name="LW_ID_STATUT" w:val="SJ-017"/>
    <w:docVar w:name="LW_INTERETEEE.CP" w:val="&lt;UNUSED&gt;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CNS"/>
    <w:docVar w:name="LW_REF.II.NEW.CP_NUMBER" w:val="0150"/>
    <w:docVar w:name="LW_REF.II.NEW.CP_YEAR" w:val="2018"/>
    <w:docVar w:name="LW_REF.INST.NEW" w:val="COM"/>
    <w:docVar w:name="LW_REF.INST.NEW_ADOPTED" w:val="final"/>
    <w:docVar w:name="LW_REF.INST.NEW_TEXT" w:val="(2018) 29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TATUT.CP" w:val="Proposta g\u295?al"/>
    <w:docVar w:name="LW_SUPERTITRE" w:val="&lt;UNUSED&gt;"/>
    <w:docVar w:name="LW_TITRE.OBJ.CP" w:val="li temenda d-Direttiva 2006/112/KE dwar is-sistema komuni ta\u8217? taxxa fuq il-valur mi\u380?jud fir-rigward tal-perjodu ta\u8217? applikazzjoni tal-mekkani\u380?mu tar-reverse charge fakultattiv fir-rigward ta\u8217? provvisti ta\u8217? \u267?erti merkanzija u servizzi suxxettibbli g\u295?all-frodi u tal-Mekkani\u380?mu ta\u8217? Reazzjoni Rapida kontra l-frodi tal-VAT"/>
    <w:docVar w:name="LW_TYPE.DOC.CP" w:val="DIRETTIVA TAL-KUNSIL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1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1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1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mt-M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Normal1">
    <w:name w:val="Normal1"/>
    <w:basedOn w:val="Normal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  <w:lang w:val="mt-M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5"/>
      </w:numPr>
    </w:pPr>
  </w:style>
  <w:style w:type="paragraph" w:customStyle="1" w:styleId="Tiret1">
    <w:name w:val="Tiret 1"/>
    <w:basedOn w:val="Point1"/>
    <w:pPr>
      <w:numPr>
        <w:numId w:val="26"/>
      </w:numPr>
    </w:pPr>
  </w:style>
  <w:style w:type="paragraph" w:customStyle="1" w:styleId="Tiret2">
    <w:name w:val="Tiret 2"/>
    <w:basedOn w:val="Point2"/>
    <w:pPr>
      <w:numPr>
        <w:numId w:val="27"/>
      </w:numPr>
    </w:pPr>
  </w:style>
  <w:style w:type="paragraph" w:customStyle="1" w:styleId="Tiret3">
    <w:name w:val="Tiret 3"/>
    <w:basedOn w:val="Point3"/>
    <w:pPr>
      <w:numPr>
        <w:numId w:val="28"/>
      </w:numPr>
    </w:pPr>
  </w:style>
  <w:style w:type="paragraph" w:customStyle="1" w:styleId="Tiret4">
    <w:name w:val="Tiret 4"/>
    <w:basedOn w:val="Point4"/>
    <w:pPr>
      <w:numPr>
        <w:numId w:val="29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0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0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0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0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2"/>
      </w:numPr>
    </w:pPr>
  </w:style>
  <w:style w:type="paragraph" w:customStyle="1" w:styleId="Point1number">
    <w:name w:val="Point 1 (number)"/>
    <w:basedOn w:val="Normal"/>
    <w:pPr>
      <w:numPr>
        <w:ilvl w:val="2"/>
        <w:numId w:val="32"/>
      </w:numPr>
    </w:pPr>
  </w:style>
  <w:style w:type="paragraph" w:customStyle="1" w:styleId="Point2number">
    <w:name w:val="Point 2 (number)"/>
    <w:basedOn w:val="Normal"/>
    <w:pPr>
      <w:numPr>
        <w:ilvl w:val="4"/>
        <w:numId w:val="32"/>
      </w:numPr>
    </w:pPr>
  </w:style>
  <w:style w:type="paragraph" w:customStyle="1" w:styleId="Point3number">
    <w:name w:val="Point 3 (number)"/>
    <w:basedOn w:val="Normal"/>
    <w:pPr>
      <w:numPr>
        <w:ilvl w:val="6"/>
        <w:numId w:val="32"/>
      </w:numPr>
    </w:pPr>
  </w:style>
  <w:style w:type="paragraph" w:customStyle="1" w:styleId="Point0letter">
    <w:name w:val="Point 0 (letter)"/>
    <w:basedOn w:val="Normal"/>
    <w:pPr>
      <w:numPr>
        <w:ilvl w:val="1"/>
        <w:numId w:val="32"/>
      </w:numPr>
    </w:pPr>
  </w:style>
  <w:style w:type="paragraph" w:customStyle="1" w:styleId="Point1letter">
    <w:name w:val="Point 1 (letter)"/>
    <w:basedOn w:val="Normal"/>
    <w:pPr>
      <w:numPr>
        <w:ilvl w:val="3"/>
        <w:numId w:val="32"/>
      </w:numPr>
    </w:pPr>
  </w:style>
  <w:style w:type="paragraph" w:customStyle="1" w:styleId="Point2letter">
    <w:name w:val="Point 2 (letter)"/>
    <w:basedOn w:val="Normal"/>
    <w:pPr>
      <w:numPr>
        <w:ilvl w:val="5"/>
        <w:numId w:val="32"/>
      </w:numPr>
    </w:pPr>
  </w:style>
  <w:style w:type="paragraph" w:customStyle="1" w:styleId="Point3letter">
    <w:name w:val="Point 3 (letter)"/>
    <w:basedOn w:val="Normal"/>
    <w:pPr>
      <w:numPr>
        <w:ilvl w:val="7"/>
        <w:numId w:val="32"/>
      </w:numPr>
    </w:pPr>
  </w:style>
  <w:style w:type="paragraph" w:customStyle="1" w:styleId="Point4letter">
    <w:name w:val="Point 4 (letter)"/>
    <w:basedOn w:val="Normal"/>
    <w:pPr>
      <w:numPr>
        <w:ilvl w:val="8"/>
        <w:numId w:val="32"/>
      </w:numPr>
    </w:pPr>
  </w:style>
  <w:style w:type="paragraph" w:customStyle="1" w:styleId="Bullet0">
    <w:name w:val="Bullet 0"/>
    <w:basedOn w:val="Normal"/>
    <w:pPr>
      <w:numPr>
        <w:numId w:val="33"/>
      </w:numPr>
    </w:pPr>
  </w:style>
  <w:style w:type="paragraph" w:customStyle="1" w:styleId="Bullet1">
    <w:name w:val="Bullet 1"/>
    <w:basedOn w:val="Normal"/>
    <w:pPr>
      <w:numPr>
        <w:numId w:val="34"/>
      </w:numPr>
    </w:pPr>
  </w:style>
  <w:style w:type="paragraph" w:customStyle="1" w:styleId="Bullet2">
    <w:name w:val="Bullet 2"/>
    <w:basedOn w:val="Normal"/>
    <w:pPr>
      <w:numPr>
        <w:numId w:val="35"/>
      </w:numPr>
    </w:pPr>
  </w:style>
  <w:style w:type="paragraph" w:customStyle="1" w:styleId="Bullet3">
    <w:name w:val="Bullet 3"/>
    <w:basedOn w:val="Normal"/>
    <w:pPr>
      <w:numPr>
        <w:numId w:val="36"/>
      </w:numPr>
    </w:pPr>
  </w:style>
  <w:style w:type="paragraph" w:customStyle="1" w:styleId="Bullet4">
    <w:name w:val="Bullet 4"/>
    <w:basedOn w:val="Normal"/>
    <w:pPr>
      <w:numPr>
        <w:numId w:val="37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8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eur-lex.europa.eu/legal-content/MT/AUTO/?uri=OJ:L:2011:055:T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s://eur-lex.europa.eu/legal-content/MT/TXT/PDF/?uri=OJ:L:2010:268:FULL&amp;from=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E7BC-CEA2-46FE-B926-C138DDDF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10</Pages>
  <Words>2715</Words>
  <Characters>19442</Characters>
  <Application>Microsoft Office Word</Application>
  <DocSecurity>0</DocSecurity>
  <Lines>303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18</cp:revision>
  <cp:lastPrinted>2018-04-24T10:25:00Z</cp:lastPrinted>
  <dcterms:created xsi:type="dcterms:W3CDTF">2018-05-24T12:42:00Z</dcterms:created>
  <dcterms:modified xsi:type="dcterms:W3CDTF">2018-05-25T15:20:00Z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SJ-017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