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alt="22CDFD84-B0A0-4421-B400-8C5383EB2188" style="width:450.75pt;height:365.85pt">
            <v:imagedata r:id="rId9" o:title=""/>
          </v:shape>
        </w:pict>
      </w:r>
    </w:p>
    <w:p>
      <w:pPr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MEMORANDUM TA’ SPJEGAZZJONI</w:t>
      </w:r>
    </w:p>
    <w:p>
      <w:pPr>
        <w:pStyle w:val="ManualHeading1"/>
        <w:rPr>
          <w:noProof/>
        </w:rPr>
      </w:pPr>
      <w:r>
        <w:rPr>
          <w:noProof/>
        </w:rPr>
        <w:t>1.</w:t>
      </w:r>
      <w:r>
        <w:rPr>
          <w:noProof/>
        </w:rPr>
        <w:tab/>
        <w:t>KUNTEST TAL-PROPOSTA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Raġunijiet u għanijiet tal-proposta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Il-bidla teknoloġika qed tolqot lil kull parti tas-soċjetà u tal-ekonomija, u qed tittrasforma l-ħajja taċ-ċittadini tal-UE. Anki t-trasport qed isegwi din ix-xejra. It-teknoloġiji ġodda qed ibiddlu l-pajsaġġ tal-mobbiltà mill-qiegħ. F’dan il-kuntest, l-UE u l-industriji tagħha jridu jilqgħu l-isfida biex isiru mexxejja dinjija fl-innovazzjoni, fid-diġitalizzazzjoni u fid-dekarbonizzazzjoni. Għalhekk, il-Kummissjoni adottat strateġija komprensiva biex tiżgura li l-politiki tal-mobbiltà tal-UE jkunu jirriflettu dawn il-prijoritajiet politiċi fil-forma ta’ tliet pakketti tal-mobbiltà msejħin “L-Ewropa Attiva”.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Wara l-Istrateġija għall-Mobbiltà b’Emissjonijiet Baxxi, il-Kummissjoni adottat żewġ pakketti tal-mobbiltà f’Mejju u Novembru 2017. Dawn il-pakketti jistabbilixxu aġenda pożittiva li timplimenta l-istrateġija tal-mobbiltà b’livell baxx ta’ emissjonijiet u li tiżgura tranżizzjoni bla xkiel lejn mobbiltà nadifa, kompetittiva u konnessa għal kulħadd. Il-Parlament Ewropew u l-Kunsill jenħtieġ jiżguraw l-adozzjoni malajr ta’ dawn il-proposti.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Din l-inizjattiva hi parti mit-Tielet Pakkett ta’ “L-Ewropa Attiva”, li jwettaq l-istrateġija l-ġdida tal-politika industrijali ta’ Settembru 2017, u tfasslet biex jitlesta l-proċess biex l-Ewropa tkun tista’ tgawdi bis-sħiħ il-benefiċċji kollha tal-modernizzazzjoni tal-mobbiltà. Hu essenzjali li s-sistema tal-mobbiltà tal-ġejjieni tkun sikura, nadifa u effiċjenti għaċ-ċittadini kollha tal-UE. L-għan hu li l-mobbiltà Ewropea ssir aktar sikura u aktar aċċessibbli, l-industrija Ewropea ssir aktar kompetittività, l-impjiegi Ewropej jsiru aktar siguri, u biex ikunu aktar nodfa u adattati aħjar għall-isforzi li jiffaċċjaw it-tibdil fil-klima. Dan se jkun jeħtieġ l-impenn sħiħ tal-UE, tal-Istati Membri u tal-partijiet ikkonċernati, b’mod partikolari biex jissaħħu l-investimenti fl-infrastruttura tat-trasport.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Fil-qalba tal-prijoritajiet tal-Kummissjoni hemm l-istimulazzjoni tat-tkabbir ekonomiku u l-ixprunar tal-investiment fl-ekonomija reali. Il-Pjan ta’ Investiment għall-Ewropa</w:t>
      </w:r>
      <w:r>
        <w:rPr>
          <w:rStyle w:val="FootnoteReference"/>
          <w:noProof/>
        </w:rPr>
        <w:footnoteReference w:id="1"/>
      </w:r>
      <w:r>
        <w:rPr>
          <w:noProof/>
        </w:rPr>
        <w:t xml:space="preserve"> li jsarraf din il-mira ġenerali f’termini operattivi, għandu tliet għanijiet: li jimmobilizza l-finanzjament għall-ekonomija reali, li jagħti viżibbiltà u assistenza teknika lill-proġetti tal-investiment, u li jtejjeb il-qafas regolatorju għall-investiment.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L-investiment fl-infrastruttura tat-trasport jikkontribwixxi ġmielu biex jintlaħqu dawn l-għanijiet. B’mod partikolari, it-tlestija tan-netwerk ewlieni tan-Netwerk Trans-Ewropew tat-Trasport (TEN-T) u tal-kurituri tiegħu mistennija tiġġenera EUR 4 500 biljun addizzjonali jew 1,8 % tal-PDG tal-UE u tammonta għal 13-il miljun sena tal-impjieg sal-2030</w:t>
      </w:r>
      <w:r>
        <w:rPr>
          <w:rStyle w:val="FootnoteReference"/>
          <w:noProof/>
        </w:rPr>
        <w:footnoteReference w:id="2"/>
      </w:r>
      <w:r>
        <w:rPr>
          <w:noProof/>
        </w:rPr>
        <w:t>. Hu stmat li l-investiment meħtieġ biex jitlesta n-netwerk ewlieni tat-TENT-T jammonta għal madwar EUR 500 biljun bejn l-2021 u l-2030, u għal madwar EUR 1 500 biljun li jinkludu l-investiment tan-netwerk komprensiv tat-TEN-T u investiment tat-trasport ieħor</w:t>
      </w:r>
      <w:r>
        <w:rPr>
          <w:rStyle w:val="FootnoteReference"/>
          <w:noProof/>
        </w:rPr>
        <w:footnoteReference w:id="3"/>
      </w:r>
      <w:r>
        <w:rPr>
          <w:noProof/>
        </w:rPr>
        <w:t>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Mill-esperjenza jidher li l-implimentazzjoni tal-proġetti tan-netwerk ewlieni tat-TEN-T hi affettwata minn proċeduri amministrattivi kumplessi u inċertezza regolatorja, li jistgħu jwasslu għal aktar spejjeż u dewmien</w:t>
      </w:r>
      <w:r>
        <w:rPr>
          <w:rStyle w:val="FootnoteReference"/>
          <w:noProof/>
        </w:rPr>
        <w:footnoteReference w:id="4"/>
      </w:r>
      <w:r>
        <w:rPr>
          <w:noProof/>
        </w:rPr>
        <w:t>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Fost ir-rakkomandazzjonijiet li jgħinu fit-tlestija tat-TEN-T, il-Pjan ta’ Azzjoni ta’ Christophersen-Bodewig-Secchi</w:t>
      </w:r>
      <w:r>
        <w:rPr>
          <w:rStyle w:val="FootnoteReference"/>
          <w:noProof/>
        </w:rPr>
        <w:footnoteReference w:id="5"/>
      </w:r>
      <w:r>
        <w:rPr>
          <w:noProof/>
        </w:rPr>
        <w:t xml:space="preserve"> - </w:t>
      </w:r>
      <w:r>
        <w:rPr>
          <w:i/>
          <w:noProof/>
        </w:rPr>
        <w:t>Making the best use of new financial schemes for European transport infrastructure projects</w:t>
      </w:r>
      <w:r>
        <w:rPr>
          <w:noProof/>
        </w:rPr>
        <w:t xml:space="preserve"> (Nagħmlu l-aħjar użu mill-iskemi finanzjarji ġodda għall-proġetti infrastrutturali tat-trasport fl-Ewropa) (2015) li ġie aġġornat dan l-aħħar, jidentifika s-simplifikazzjoni tal-awtorizzazzjonijiet amministrattivi, ir-regoli dwar l-għoti tal-permessi u proċeduri regolatorji oħrajn. Dan il-Pjan ta’ Azzjoni ġie ppreżentat mill-Koordinaturi Ewropej tat-TEN-T Bodewig u Secchi kif ukoll mill-Eks Viċi President H. Christophersen.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It-tlestija effettiva tat-TEN-T hi essenzjali għall-funzjonament tas-suq uniku, għad-diġitalizzazzjoni tat-trasport u għat-tranżizzjoni lejn mobbiltà b’livell baxx tal-emissjonijiet tal-karbonju</w:t>
      </w:r>
      <w:r>
        <w:rPr>
          <w:rStyle w:val="FootnoteReference"/>
          <w:noProof/>
        </w:rPr>
        <w:footnoteReference w:id="6"/>
      </w:r>
      <w:r>
        <w:rPr>
          <w:noProof/>
        </w:rPr>
        <w:t>. Fil-Komunikazzjonijiet riċenti tagħha, il-Kummissjoni saħqet fuq il-ħtieġa li jiġu mmobilizzati investimenti privati f’setturi kritiċi għall-ġejjieni tal-UE</w:t>
      </w:r>
      <w:r>
        <w:rPr>
          <w:rStyle w:val="FootnoteReference"/>
          <w:noProof/>
        </w:rPr>
        <w:footnoteReference w:id="7"/>
      </w:r>
      <w:r>
        <w:rPr>
          <w:noProof/>
        </w:rPr>
        <w:t xml:space="preserve"> u fejn għad hemm fallimenti tas-suq</w:t>
      </w:r>
      <w:r>
        <w:rPr>
          <w:rStyle w:val="FootnoteReference"/>
          <w:noProof/>
        </w:rPr>
        <w:footnoteReference w:id="8"/>
      </w:r>
      <w:r>
        <w:rPr>
          <w:noProof/>
        </w:rPr>
        <w:t>. Din tenniet ukoll l-importanza tat-trasport transfruntier u sostenibbli u tal-infrastruttura TEN-T għall-iżvilupp tal-UE lejn ekonomija effiċjenti fir-riżorsi u b’livell baxx ta’ emissjonijiet tal-karbonju</w:t>
      </w:r>
      <w:r>
        <w:rPr>
          <w:rStyle w:val="FootnoteReference"/>
          <w:noProof/>
        </w:rPr>
        <w:footnoteReference w:id="9"/>
      </w:r>
      <w:r>
        <w:rPr>
          <w:noProof/>
        </w:rPr>
        <w:t>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Li noħolqu ambjent regolatorju ta’ sostenn u ndaħħlu proċeduri effiċjenti huma sfida mhux biss fil-livell Ewropew. Il-G7 irrikonoxxa wkoll il-kumplessità tar-regolamentazzjoni li taffettwa l-effiċjenza tal-proċeduri tal-għoti tal-permessi, b’mod speċifiku fid-Dikjarazzjoni tal-Ministri adottata waqt il-Laqgħa tal-Ministri tat-Trasport tal-G7 f’Cagliari f’Ġunju 2017. Id-Dikjarazzjoni enfasizzat l-importanza li tiżdied l-aċċettazzjoni tal-pubbliku għall-proġetti infrastrutturali, li jitħaddmu proċeduri amministrattivi effiċjenti u li jiġi simplifikat l-ambjent regolatorju</w:t>
      </w:r>
      <w:r>
        <w:rPr>
          <w:rStyle w:val="FootnoteReference"/>
          <w:noProof/>
        </w:rPr>
        <w:footnoteReference w:id="10"/>
      </w:r>
      <w:r>
        <w:rPr>
          <w:noProof/>
        </w:rPr>
        <w:t>. L-Istati Membri għamlu wkoll sforzi biex jirrazzjonalizzaw il-proċeduri fil-livell nazzjonali</w:t>
      </w:r>
      <w:r>
        <w:rPr>
          <w:rStyle w:val="FootnoteReference"/>
          <w:noProof/>
        </w:rPr>
        <w:footnoteReference w:id="11"/>
      </w:r>
      <w:r>
        <w:rPr>
          <w:noProof/>
        </w:rPr>
        <w:t>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Din l-inizjattiva għandha l-għan li tnaqqas id-dewmien li nħoloq fl-implimentazzjoni ta’ proġetti infrastrutturali tat-TEN-T. L-inizjattiva tpoġġi limitu massimu ta’ tliet snin għall-proċess kollu tal-għoti tal-permessi. Għandha l-għan ukoll li tiċċara aktar il-proċessi li l-promoturi tal-proġetti jeħtieġ isegwu, l-aktar fejn jidħlu l-proċeduri tal-għoti tal-permessi, tal-akkwist pubbliku u proċeduri oħra.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 xml:space="preserve">Din l-inizjattiva tħares l-aċċess għall-ġustizzja fejn tidħol l-implimentazzjoni ta’ proġetti infrastrutturali tat-TEN-T. Ma taffettwax il-proċeduri amministrattivi tal-appell u ta’ rimedji ġudizzjarji quddiem qorti jew tribunal. Madankollu, l-Istati Membri jistgħu jistabbilixxu regoli proċedurali speċifiċi, fosthom l-inammissibbiltà ta’ argument ippreżentat b’mod abbużiv jew </w:t>
      </w:r>
      <w:r>
        <w:rPr>
          <w:i/>
          <w:noProof/>
        </w:rPr>
        <w:t>in mala fide</w:t>
      </w:r>
      <w:r>
        <w:rPr>
          <w:noProof/>
        </w:rPr>
        <w:t>, li jkunu jikkostitwixxu mekkaniżmi xierqa li jiżguraw l-effiċjenza tal-proċedimenti ġuridiċi. Il-proġetti transfruntieri qed jiffaċċjaw diffikultajiet waqt it-twettiq tal-akkwist pubbliku, l-aktar minħabba l-ħtieġa li jiġu applikati leġiżlazzjonijiet differenti, kif enfasizzaw il-partijiet ikkonċernati. Dan iżid il-kumplessità tal-proġetti u toħloq l-ispejjeż. Din l-inizjattiva għandha l-għan li tippermetti applikazzjoni sistematika ta’ qafas uniku wieħed fil-każ ta’ proġetti transfruntieri implimentati minn entità konġunta, diment li l-Istati Membri parteċipanti ma jiddeċidux mod ieħor. Dan hu konformi mal-għanijiet stabbiliti fil-Komunikazzjoni riċenti “Insaħħu t-Tkabbir u l-Koeżjoni f’Reġjuni mal-Fruntieri tal-UE”</w:t>
      </w:r>
      <w:r>
        <w:rPr>
          <w:rStyle w:val="FootnoteReference"/>
          <w:noProof/>
        </w:rPr>
        <w:footnoteReference w:id="12"/>
      </w:r>
      <w:r>
        <w:rPr>
          <w:noProof/>
        </w:rPr>
        <w:t>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Minbarra li tiġġenera aktar investiment u jattira l-kapital privat għal infrastruttura ta’ valur miżjud għoli tal-UE, hu mifhum li din l-inizjattiva se tipprovdi aktar ċarezza għaċ-ċittadini u s-soċjetà ċivili għax se ssaħħaħ il-qafas tat-trasparenza biex jinvolvu ruħhom fl-ippjanar ta’ proġetti tat-TEN-T.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0"/>
        <w:rPr>
          <w:noProof/>
        </w:rPr>
      </w:pPr>
      <w:r>
        <w:rPr>
          <w:noProof/>
        </w:rPr>
        <w:t>Hu stmat li l-benefiċċji speċifiċi mistennija jkunu dawn li ġejjin:</w:t>
      </w:r>
    </w:p>
    <w:p>
      <w:pPr>
        <w:pStyle w:val="Bullet0"/>
        <w:numPr>
          <w:ilvl w:val="0"/>
          <w:numId w:val="12"/>
        </w:numPr>
        <w:rPr>
          <w:noProof/>
        </w:rPr>
      </w:pPr>
      <w:r>
        <w:rPr>
          <w:noProof/>
        </w:rPr>
        <w:t xml:space="preserve">Iffrankar fil-ħin: il-proċeduri tal-għoti tal-permessi huma mistennija jdumu sa massimu ta’ tliet snin u dan hu titjib sinifikanti meta mqabbel mas-sitwazzjoni attwali. </w:t>
      </w:r>
    </w:p>
    <w:p>
      <w:pPr>
        <w:pStyle w:val="Bullet0"/>
        <w:rPr>
          <w:noProof/>
        </w:rPr>
      </w:pPr>
      <w:r>
        <w:rPr>
          <w:noProof/>
        </w:rPr>
        <w:t>Iffrankar fl-ispejjeż tal-utent: aktar minn EUR 5 biljun fi ffrankar tal-ispejjeż tal-utent.</w:t>
      </w:r>
    </w:p>
    <w:p>
      <w:pPr>
        <w:pStyle w:val="Bullet0"/>
        <w:rPr>
          <w:noProof/>
        </w:rPr>
      </w:pPr>
      <w:r>
        <w:rPr>
          <w:noProof/>
        </w:rPr>
        <w:t>Investiment: 84 % tal-investiment totali fin-netwerk ewlieni tat-TEN-T se jitressqu qabel l-2025.</w:t>
      </w:r>
    </w:p>
    <w:p>
      <w:pPr>
        <w:pStyle w:val="Bullet0"/>
        <w:rPr>
          <w:noProof/>
        </w:rPr>
      </w:pPr>
      <w:r>
        <w:rPr>
          <w:noProof/>
        </w:rPr>
        <w:t>Tnaqqis fl-effetti esterni tat-trasport: EUR 700 miljun iffrankati mil-lat ta’ emissjonijiet tas-CO</w:t>
      </w:r>
      <w:r>
        <w:rPr>
          <w:noProof/>
          <w:vertAlign w:val="subscript"/>
        </w:rPr>
        <w:t>2</w:t>
      </w:r>
      <w:r>
        <w:rPr>
          <w:noProof/>
        </w:rPr>
        <w:t>, storbju, tniġġis tal-arja, konġestjoni u inqas inċidenti. It-tnaqqis fl-emissjonijiet tas-CO</w:t>
      </w:r>
      <w:r>
        <w:rPr>
          <w:noProof/>
          <w:vertAlign w:val="subscript"/>
        </w:rPr>
        <w:t>2</w:t>
      </w:r>
      <w:r>
        <w:rPr>
          <w:noProof/>
        </w:rPr>
        <w:t xml:space="preserve"> hu stmat li se jiffranka 2 686 elf tunnellata tul il-perjodu 2018-2030.</w:t>
      </w:r>
    </w:p>
    <w:p>
      <w:pPr>
        <w:pStyle w:val="Bullet0"/>
        <w:rPr>
          <w:noProof/>
        </w:rPr>
      </w:pPr>
      <w:r>
        <w:rPr>
          <w:noProof/>
        </w:rPr>
        <w:t>Spejjeż amministrattivi: tfaddil nett ta’ EUR 150 miljun għall-promoturi tal-proġetti u l-awtoritajiet pubbliċi.</w:t>
      </w:r>
    </w:p>
    <w:p>
      <w:pPr>
        <w:pStyle w:val="ManualHeading2"/>
        <w:rPr>
          <w:rFonts w:eastAsia="Arial Unicode MS"/>
          <w:noProof/>
          <w:color w:val="000000"/>
          <w:u w:color="000000"/>
          <w:bdr w:val="nil"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Konsistenza mad-dispożizzjonijiet eżistenti fil-qasam ta’ politika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Bħalissa ma teżisti l-ebda dispożizzjoni speċifika relatata mal-proċeduri tal-għoti tal-permessi u mal-proċeduri regolatorji fil-qasam tat-TEN-T. Iżda jeżistu dispożizzjonijiet simili applikabbli fil-qasam tan-Netwerk Trans-Ewropew tal-Enerġija (TEN-E)</w:t>
      </w:r>
      <w:r>
        <w:rPr>
          <w:rStyle w:val="FootnoteReference"/>
          <w:noProof/>
        </w:rPr>
        <w:footnoteReference w:id="13"/>
      </w:r>
      <w:r>
        <w:rPr>
          <w:noProof/>
        </w:rPr>
        <w:t>.</w:t>
      </w:r>
    </w:p>
    <w:p>
      <w:pPr>
        <w:pStyle w:val="ManualHeading2"/>
        <w:rPr>
          <w:rFonts w:eastAsia="Arial Unicode MS"/>
          <w:noProof/>
        </w:rPr>
      </w:pPr>
      <w:r>
        <w:rPr>
          <w:noProof/>
          <w:color w:val="000000"/>
          <w:u w:color="000000"/>
          <w:bdr w:val="nil"/>
        </w:rPr>
        <w:t>•</w:t>
      </w:r>
      <w:r>
        <w:rPr>
          <w:noProof/>
        </w:rPr>
        <w:tab/>
        <w:t>Konsistenza ma’ politiki oħra tal-Unjoni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>
        <w:rPr>
          <w:noProof/>
        </w:rPr>
        <w:t>L-għanijiet ta’ din l-inizjattiva huma konformi mal-politiki rilevanti tal-Unjoni fil-qasam tat-trasport, tas-suq uniku u oqsma oħra. L-inizjattiva tikkontribwixxi biex jitrawwem l-investiment u jinħolqu l-impjiegi billi tirrazzjonalizza l-investiment fl-ekonomija reali.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 xml:space="preserve">It-tlestija tat-TEN-T se twassal biex jinħoloq suq intern aktar profond u ġust, għax it-TEN-T għandu l-għan li jgħaqqad fiżikament lill-Istati Membri u għandu valur miżjud ċar għall-Unjoni għax jiffoka fuq konnessjonijiet transfruntieri. </w:t>
      </w:r>
    </w:p>
    <w:p>
      <w:pPr>
        <w:pStyle w:val="ManualHeading1"/>
        <w:rPr>
          <w:noProof/>
        </w:rPr>
      </w:pPr>
      <w:r>
        <w:rPr>
          <w:noProof/>
        </w:rPr>
        <w:t>2.</w:t>
      </w:r>
      <w:r>
        <w:rPr>
          <w:noProof/>
        </w:rPr>
        <w:tab/>
        <w:t>BAŻI ĠURIDIKA, SUSSIDJARJETÀ U PROPORZJONALITÀ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Bażi ġuridika</w:t>
      </w:r>
    </w:p>
    <w:p>
      <w:pPr>
        <w:rPr>
          <w:noProof/>
        </w:rPr>
      </w:pPr>
      <w:r>
        <w:rPr>
          <w:noProof/>
        </w:rPr>
        <w:t>Il-bażi ġuridika għal din il-proposta hi l-Artikolu 172 tat-Trattat dwar il-Funzjonament tal-Unjoni Ewropea.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 xml:space="preserve">Sussidjarjetà (għall-kompetenza mhux esklużiva)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L-iżvilupp ikkoordinat tat-TEN-T li jappoġġa l-flussi tat-trasport fis-suq uniku Ewropew u l-koeżjoni ekonomika, soċjali u territorjali fl-Unjoni jeħtieġ li tittieħed azzjoni fil-livell tal-Unjoni. Il-proċeduri tal-għoti tal-permessi huma differenti ferm fost l-Istati Membri fejn jidħlu l-għadd ta’ permessi meħtieġa u d-deċiżjonijiet li jridu jittieħdu; dan jagħmilha diffiċli li wieħed jissinkronizza l-iżvilupp tan-netwerk. Qabel ma jitlestew l-elementi kollha tiegħu, in-netwerk tat-TEN-T la jista’ jiffunzjona sew b’mod ġenerali u lanqas ma jista’ joffri l-benefiċċji tiegħu fil-livell tal-Unjoni.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Proporzjonalità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 xml:space="preserve">Il-proposta hija konformi mal-prinċipju tal-proporzjonalità. Din taqa’ fl-ambitu għal azzjoni fil-qasam tan-netwerk trans-Ewropew tat-trasport, kif definit fl-Artikolu 170 tat-Trattat dwar il-Funzjonament tal-Unjoni Ewropea.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L-azzjoni maħsuba f’din il-proposta hi limitata b’mod speċifiku għad-dimensjoni Ewropea tal-infrastruttura tat-trasport.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Regolament hu strument effettiv għax dan ikun applikabbli direttament fl-ordinament ġuridiku tal-Istati Membri mal-adozzjoni tiegħu u ma jkun jeħtieġ l-ebda perjodu ta’ traspożizzjoni qabel ma jikseb l-effett ġuridiku sħiħ tiegħu. Dan jikkonforma mal-għan li jixxejnu d-diskrepanzi li jirriżultaw mit-traspożizzjoni tad-Direttivi u jsir avvanz fit-tħejjija tal-proġetti u l-proċeduri tal-awtorizzazzjoni.</w:t>
      </w:r>
    </w:p>
    <w:p>
      <w:pPr>
        <w:pStyle w:val="ManualHeading1"/>
        <w:rPr>
          <w:noProof/>
        </w:rPr>
      </w:pPr>
      <w:r>
        <w:rPr>
          <w:noProof/>
        </w:rPr>
        <w:t>3.</w:t>
      </w:r>
      <w:r>
        <w:rPr>
          <w:noProof/>
        </w:rPr>
        <w:tab/>
        <w:t>RIŻULTATI TAL-KONSULTAZZJONIJIET MAL-PARTIJIET IKKONĊERNATI U TAL-VALUTAZZJONIJIET TAL-IMPATT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Idoneità regolatorja u simplifikazzjoni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 xml:space="preserve">Il-politika tat-TEN-T ssaħħet ġmielu fl-2013 bl-adozzjoni ta’ Regolament ġdid li jiddefinixxi strateġija ħolistika bbażata fuq l-istabbiliment tan-netwerk ewlieni sal-2030 u n-netwerk komprensiv sal-2050. Iżda l-politika tat-TEN-T ilha teżisti għal 25 sena u waqt it-tħejjija tal-qafas attwali tat-TEN-T, diġà kienet teżisti evidenza dwar l-eżistenza u l-impatti ta’ dewmien fil-proċeduri tal-għoti tal-permessi u proċeduri regolatorji oħra. Il-miżuri tas-simplifikazzjoni ġew previsti inizjalment fil-qafas tat-TEN-T, iżda mbagħad tqiesu prematuri minħabba diversi fatturi. B’mod speċifiku, il-qafas tat-TEN-T imsawwar mill-ġdid kien diġà fih sett ambizzjuż ta’ innovazzjonijiet, l-aktar b’rabta mal-ħolqien ta’ strument ġdid tal-finanzjament, il-Faċilità Nikkollegaw l-Ewropa.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  <w:u w:color="000000"/>
          <w:bdr w:val="nil"/>
        </w:rPr>
      </w:pPr>
      <w:r>
        <w:rPr>
          <w:noProof/>
        </w:rPr>
        <w:t>Minħabba f’hekk, ir-Regolament (UE) Nru 1315/2013 attwali ma jipprevedi l-ebda soluzzjoni speċifika fejn jidħlu l-proċeduri tal-għoti tal-permessi, b’differenza mir-Regolament (UE) Nru 347/2013 tal-Parlament Ewropew u tal-Kunsill tas-17 ta’ April 2013 dwar linji gwida għall-infrastruttura tal-enerġija trans-Ewropea</w:t>
      </w:r>
      <w:r>
        <w:rPr>
          <w:rStyle w:val="FootnoteReference"/>
          <w:noProof/>
        </w:rPr>
        <w:footnoteReference w:id="14"/>
      </w:r>
      <w:r>
        <w:rPr>
          <w:noProof/>
        </w:rPr>
        <w:t>. Għaldaqstant din l-inizjattiva ma setgħetx tiġi żviluppata bħala parti mill-programm REFIT; iżda tnebbħet mill-esperjenza tat-TEN-E.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Konsultazzjonijiet, ġbir tad-dejta u użu tal-għarfien espert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L-attivitajiet tal-konsultazzjoni inkludew:</w:t>
      </w:r>
    </w:p>
    <w:p>
      <w:pPr>
        <w:pStyle w:val="Point1number"/>
        <w:numPr>
          <w:ilvl w:val="2"/>
          <w:numId w:val="11"/>
        </w:numPr>
        <w:rPr>
          <w:noProof/>
        </w:rPr>
      </w:pPr>
      <w:r>
        <w:rPr>
          <w:noProof/>
        </w:rPr>
        <w:t>Saret konsultazzjoni pubblika miftuħa fuq l-internet għal 13-il ġimgħa mill-1 ta’ Awwissu 2017 sad-9 ta’ Novembru 2017. B’kollox waslu 99 tweġiba li jirrappreżentaw 23 Stat Membru differenti ekwivalenti għal 94 % tal-kontributi kollha. Il-kategoriji tal-organizzazzjoni bl-akbar rappreżentanza kienu l-awtoritajiet reġjonali, lokali jew muniċipali (20 %), il-promoturi tal-proġetti (19 %) u l-assoċjazzjonijiet industrijali, kummerċjali jew settorjali (20 %), u warajhom kien hemm il-gvernijiet nazzjonali (16 %).</w:t>
      </w:r>
    </w:p>
    <w:p>
      <w:pPr>
        <w:pStyle w:val="Point1number"/>
        <w:rPr>
          <w:noProof/>
        </w:rPr>
      </w:pPr>
      <w:r>
        <w:rPr>
          <w:noProof/>
        </w:rPr>
        <w:t>Is-servizzi tal-Kummissjoni responsabbli għall-oqsma tal-inizjattiva organizzaw sensiela ta’ sessjonijiet ta’ ħidma b’mod konġunt, dwar l-akkwist pubbliku fil-15 ta’ Ġunju 2017, dwar l-għajnuna mill-Istat u l-finanzjament fil-21 ta’ Settembru 2017, u dwar il-valutazzjonijiet ambjentali u l-għoti tal-permessi fis-17 ta’ Ottubru 2017.</w:t>
      </w:r>
    </w:p>
    <w:p>
      <w:pPr>
        <w:pStyle w:val="Point1number"/>
        <w:rPr>
          <w:noProof/>
        </w:rPr>
      </w:pPr>
      <w:r>
        <w:rPr>
          <w:noProof/>
        </w:rPr>
        <w:t>Bejn is-6 ta’ Diċembru 2017 u s-17 ta’ Jannar 2018 saru wkoll intervisti mal-partijiet ikkonċernati fil-kuntest tal-valutazzjoni tal-impatt;</w:t>
      </w:r>
    </w:p>
    <w:p>
      <w:pPr>
        <w:pStyle w:val="Point1number"/>
        <w:rPr>
          <w:noProof/>
        </w:rPr>
      </w:pPr>
      <w:r>
        <w:rPr>
          <w:noProof/>
        </w:rPr>
        <w:t>l-attivitajiet tal-konsultazzjoni saru bħala parti mill-istudju esploratorju preċedenti flimkien ma’ konsultazzjoni pubblika miftuħa li damet għaddejja 12-il ġimgħa kif ukoll sessjonijiet ta’ ħidma apposta;</w:t>
      </w:r>
    </w:p>
    <w:p>
      <w:pPr>
        <w:pStyle w:val="Point1number"/>
        <w:rPr>
          <w:noProof/>
        </w:rPr>
      </w:pPr>
      <w:r>
        <w:rPr>
          <w:noProof/>
        </w:rPr>
        <w:t>mekkaniżmu ta’ rispons ġie inkluż fil-valutazzjoni tal-impatt tal-bidu ppubblikata fuq is-sit web tal-Kummissjoni f’Ġunju 2017.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L-inizjattiva ġiet diskussa wkoll fil-livell ministerjali f’żewġ okkażjonijiet, flimkien ma’ kwistjonijiet oħra relatati mal-iżvilupp u l-finanzjament tat-TEN-T: waqt il-Konferenza dwar l-Investiment tat-Trasport Reġjonali fit-23 ta’ Marzu 2017 f’Sofija u waqt il-Kunsill Informali tal-Ministri tat-Trasport fil-21 ta’ Settembru 2017 f’Tallinn.</w:t>
      </w:r>
    </w:p>
    <w:p>
      <w:pPr>
        <w:pStyle w:val="ManualHeading2"/>
        <w:rPr>
          <w:noProof/>
        </w:rPr>
      </w:pPr>
      <w:r>
        <w:rPr>
          <w:noProof/>
        </w:rPr>
        <w:t>Sinteżi tal-kontributi li waslu u użu tar-riżultati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Ġew ikkonsultati l-gruppi tal-partijiet ikkonċernati rilevanti kollha li jirrappreżentaw lill-Istati Membri kollha u taw il-fehmiet tagħhom, flimkien ma’ xi informazzjoni kwantitattiva, meta disponibbli, dwar kwistjonijiet eżistenti u l-miżuri ta’ politika li qed jiġu kkunsidrati. Mill-konsultazzjoni ħareġ li l-kwistjonijiet ewlenin identifikati dwar il-proċeduri tal-għoti tal-permessi għall-proġetti tat-TEN-T għandhom x’jaqsmu mal-passi fil-livell strateġiku tat-tħejjija ta’ proġett, fosthom il-kisba tal-permessi tal-ippjanar spazjali, il-permessi tal-ippjanar u l-valutazzjonijiet ambjentali.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 xml:space="preserve">L-appoġġ għall-integrazzjoni ta’ proċeduri f’entità nazzjonali waħda, punt uniku ta’ servizz ġie espress b’mod partikolari, minn promoturi tal-proġetti, individwi u gruppi ta’ interess industrijali. Il-gvernijiet nazzjonali u reġjonali esprimew opinjonijiet aktar riżervati, li ġew ikkonfermati wkoll fl-intervisti bilaterali.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Għadd sinifikanti ta’ gvernijiet nazzjonali u reġjonali esprimew xi tħassib dwar il-punt uniku ta’ servizz. Madankollu, l-analiżi kwalitattiva individwali tal-kummenti tagħhom turi li dan in-nuqqas ta’ qbil apparenti joħroġ, xi drabi, mill-fatt li xi pajjiżi diġà għandhom proċeduri integrati f’entità waħda (inkluż proċeduri mgħaġġla). Dawn l-entitajiet nazzjonali uniċi li diġà jeżistu jistgħu jitqiesu bħala eżempju tal-aqwa prattika fejn tidħol l-implimentazzjoni ta’ punt uniku ta’ servizz.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Skont il-promoturi tal-proġetti u l-individwi, kull punt uniku ta’ servizz jenħtieġ ikollu kapaċità estiża tat-teħid tad-deċiżjonijiet li tkun tmexxi l-valutazzjonijiet ambjentali kollha fil-livell tal-proġetti, il-permessi tal-ippjanar spazjali u l-permessi tal-kostruzzjoni. Min-naħa l-oħra, l-opinjonijiet tal-gvernijiet nazzjonali u reġjonali kienu varji fejn tidħol il-firxa tal-integrazzjoni tal-proċeduri u l-livell ta’ awtorità. Għadd sinifikanti ta’ rappreżentanti nazzjonali ddikjaraw li l-punti uniċi ta’ servizz jenħtieġ ikollhom biss setgħat ta’ koordinazzjoni.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Dawk li wieġbu, l-aktar promoturi tal-proġetti, individwi u gruppi ta’ interess industrijali, qablu li jenħtieġ li l-proċess tal-għoti tal-permessi ma jdumux aktar minn sentejn, u li l-istabbiliment ta’ dan il-limitu taż-żmien jista’ jgħin biex jonqos id-dewmien eċċessiv. L-awtoritajiet lokali u reġjonali kif ukoll xi gvernijiet nazzjonali kellhom aktar riżervi dwar din il-kwistjoni.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Sett komuni ta’ regoli fil-livell tal-Unjoni li japplikaw għall-proġetti transfruntieri ġie identifikat bħala l-aktar soluzzjoni effettiva biex jitjiebu l-kwistjonijiet tal-akkwist pubbliku, l-aktar mill-promoturi tal-proġetti u l-gruppi industrijali; l-awtoritajiet nazzjonali ddikjaraw li sett ta’ regoli bħal dan ikun aktar effettiv meta applikat għall-proġetti transfruntieri li jibbenefikaw mill-finanzjament tal-Unjoni.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Minn fost l-istrumenti disponibbli għall-adozzjoni ta’ miżuri li jiffaċilitaw it-tħejjija ta’ proġetti tat-TEN-T u l-għoti tal-permessi, il-konsultazzjoni wriet li dawk li wieġbu kellhom preferenza ġenerali għal Regolament dwar il-proċeduri tal-għoti tal-permessi u elementi oħra tat-tħejjija ta’ proġetti tat-TEN-T, li jkun applikabbli direttament fl-Istati Membri.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Ġbir tad-dejta u użu tal-għarfien espert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L-inizjattiva ssegwi proċess ta’ riflessjoni fit-tul u twieġeb is-sejħa għal azzjoni politika. Id-definizzjoni tal-problema kienet ibbażata l-aktar fuq l-esperjenza tal-Kummissjoni fil-ġestjoni għat-tlestija tat-TEN-T</w:t>
      </w:r>
      <w:r>
        <w:rPr>
          <w:rStyle w:val="FootnoteReference"/>
          <w:noProof/>
        </w:rPr>
        <w:footnoteReference w:id="15"/>
      </w:r>
      <w:r>
        <w:rPr>
          <w:noProof/>
        </w:rPr>
        <w:t>, l-attivitajiet tal-konsultazzjoni u l-istudji esterni:</w:t>
      </w:r>
    </w:p>
    <w:p>
      <w:pPr>
        <w:pStyle w:val="Tiret1"/>
        <w:numPr>
          <w:ilvl w:val="0"/>
          <w:numId w:val="1"/>
        </w:numPr>
        <w:rPr>
          <w:noProof/>
        </w:rPr>
      </w:pPr>
      <w:r>
        <w:rPr>
          <w:noProof/>
        </w:rPr>
        <w:t>Studju dwar l-għoti tal-permessi u l-iffaċilitar tat-tħejjija ta’ proġetti tan-netwerk ewlieni tat-TEN-T, Milieu et al., Diċembru 2016</w:t>
      </w:r>
      <w:r>
        <w:rPr>
          <w:rStyle w:val="FootnoteReference"/>
          <w:noProof/>
        </w:rPr>
        <w:footnoteReference w:id="16"/>
      </w:r>
      <w:r>
        <w:rPr>
          <w:noProof/>
        </w:rPr>
        <w:t>;</w:t>
      </w:r>
    </w:p>
    <w:p>
      <w:pPr>
        <w:pStyle w:val="Tiret1"/>
        <w:rPr>
          <w:noProof/>
        </w:rPr>
      </w:pPr>
      <w:r>
        <w:rPr>
          <w:noProof/>
        </w:rPr>
        <w:t>Studju ta’ appoġġ għal Valutazzjoni tal-Impatt dwar miżuri li jissimplikaw it-TEN-T, Panteia, PwC, M-FIVE, Frar 2018</w:t>
      </w:r>
      <w:r>
        <w:rPr>
          <w:rStyle w:val="FootnoteReference"/>
          <w:noProof/>
        </w:rPr>
        <w:footnoteReference w:id="17"/>
      </w:r>
      <w:r>
        <w:rPr>
          <w:noProof/>
        </w:rPr>
        <w:t>.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Valutazzjoni tal-impatt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Din il-proposta hi appoġġata b’valutazzjoni tal-impatt. Din kisbet opinjoni pożittiva b’xi riżervi mingħand il-Bord tal-Iskrutinju Regolatorju. Il-Bord jirrakkomanda li hemm bżonn isiru xi aġġustamenti u kjarifiki dwar dan li ġej:</w:t>
      </w:r>
    </w:p>
    <w:p>
      <w:pPr>
        <w:pStyle w:val="Tiret1"/>
        <w:rPr>
          <w:noProof/>
        </w:rPr>
      </w:pPr>
      <w:r>
        <w:rPr>
          <w:noProof/>
        </w:rPr>
        <w:t>Tingħata aktar evidenza dwar kif il-proċeduri tal-akkwist pubbliku u tal-għoti tal-permessi jaffettwaw id-dewmien fil-kostruzzjoni. Tingħata aktar informazzjoni dwar is-sitwazzjoni li tvarja bejn is-setturi u l-Istati Membri kif ukoll deskrizzjoni tal-lezzjonijiet meħuda mit-TEN-E, il-Fond Ewropew għall-Investimenti Strateġiċi, u l-azzjoni meħuda fl-Istati Membri biex jirrazzjonalizzaw il-proċessi.</w:t>
      </w:r>
    </w:p>
    <w:p>
      <w:pPr>
        <w:pStyle w:val="Tiret1"/>
        <w:rPr>
          <w:noProof/>
        </w:rPr>
      </w:pPr>
      <w:r>
        <w:rPr>
          <w:noProof/>
        </w:rPr>
        <w:t>Tingħata aktar informazzjoni fuq l-opinjonijiet tal-partijiet ikkonċernati dwar l-alternattivi, speċjalment dawk tal-Istati Membri u taċ-ċittadini.</w:t>
      </w:r>
    </w:p>
    <w:p>
      <w:pPr>
        <w:pStyle w:val="Tiret1"/>
        <w:rPr>
          <w:noProof/>
        </w:rPr>
      </w:pPr>
      <w:r>
        <w:rPr>
          <w:noProof/>
        </w:rPr>
        <w:t>Issir analiżi tas-sensittività flimkien ma’ spjegazzjoni tas-suppożizzjonijiet li saru b’rabta mal-kalkolu tar-riżultati, l-aktar dwar sa liema punt il-miżuri jistgħu jgħinu realistikament biex ikun evitat id-dewmien.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Dawn il-kummenti tqiesu fil-valutazzjoni tal-impatt riveduta, kif indikat fl-Anness I tar-Rapport tal-Valutazzjoni tal-Impatt. Biex jiġu indirizzati l-kwistjonijiet imsemmija hawn fuq, saru dawn l-emendi li ġejjin:</w:t>
      </w:r>
    </w:p>
    <w:p>
      <w:pPr>
        <w:pStyle w:val="Tiret1"/>
        <w:rPr>
          <w:noProof/>
        </w:rPr>
      </w:pPr>
      <w:r>
        <w:rPr>
          <w:noProof/>
        </w:rPr>
        <w:t>Ġew ippreżentati b’mod aktar prominenti xi eżempji li juru l-impatti li d-dewmien fil-proċessi tal-għoti tal-permessi u tal-akkwist iħalli fuq proġetti individwali u kif dan jaffettwa t-tlestija tat-TEN-T, kif ukoll effetti oħra tan-netwerk. Saru aktar referenzi għar-riżultati tat-tlestija tat-TEN-E u t-trattament ta’ prijorità għall-kontroll tal-għajnuna mill-Istat</w:t>
      </w:r>
      <w:r>
        <w:rPr>
          <w:rStyle w:val="FootnoteReference"/>
          <w:noProof/>
        </w:rPr>
        <w:footnoteReference w:id="18"/>
      </w:r>
      <w:r>
        <w:rPr>
          <w:noProof/>
        </w:rPr>
        <w:t>. Żdiedu xi paragrafi speċifiċi li jiddeskrivu l-esperjenza tal-Istati Membri, inkluż azzjonijiet li ħadu biex jirrazzjonalizzaw il-proċessi tagħhom. Dawn l-elementi kollha jsaħħu l-metikolożità tal-analiżi.</w:t>
      </w:r>
    </w:p>
    <w:p>
      <w:pPr>
        <w:pStyle w:val="Tiret1"/>
        <w:rPr>
          <w:noProof/>
        </w:rPr>
      </w:pPr>
      <w:r>
        <w:rPr>
          <w:noProof/>
        </w:rPr>
        <w:t>Ir-riżultati tal-konsultazzjonijiet pubbliċi miftuħa u ma’ partijiet ikkonċernati oħra ġew ippreżentati f’aktar dettall. Fil-Kapitolu 7 żdiedet sezzjoni speċifika dwar it-tqabbil tal-alternattivi ta’ politika.</w:t>
      </w:r>
    </w:p>
    <w:p>
      <w:pPr>
        <w:pStyle w:val="Tiret1"/>
        <w:rPr>
          <w:noProof/>
        </w:rPr>
      </w:pPr>
      <w:r>
        <w:rPr>
          <w:noProof/>
        </w:rPr>
        <w:t>Saret analiżi tas-sensittività u ġiet ippreżentata fit-taqsimiet rilevanti tal-valutazzjoni tal-impatt.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>
        <w:rPr>
          <w:noProof/>
        </w:rPr>
        <w:t>L-alternattivi ta’ politika vvalutati jikkonsistu f’pakketti ta’ miżuri ta’ politika li jindirizzaw l-għanijiet speċifiċi u, b’mod partikolari, il-fatturi ewlenin tal-problema identifikata:</w:t>
      </w:r>
    </w:p>
    <w:p>
      <w:pPr>
        <w:pStyle w:val="Tiret1"/>
        <w:rPr>
          <w:noProof/>
        </w:rPr>
      </w:pPr>
      <w:r>
        <w:rPr>
          <w:noProof/>
        </w:rPr>
        <w:t>stadji differenti u l-awtoritajiet involuti fil-proċeduri tal-għoti tal-permessi;</w:t>
      </w:r>
    </w:p>
    <w:p>
      <w:pPr>
        <w:pStyle w:val="Tiret1"/>
        <w:rPr>
          <w:noProof/>
        </w:rPr>
      </w:pPr>
      <w:r>
        <w:rPr>
          <w:noProof/>
        </w:rPr>
        <w:t>in-nuqqas ta’ limiti taż-żmien jew il-limiti taż-żmien mhux infurzati;</w:t>
      </w:r>
    </w:p>
    <w:p>
      <w:pPr>
        <w:pStyle w:val="Tiret1"/>
        <w:rPr>
          <w:noProof/>
        </w:rPr>
      </w:pPr>
      <w:r>
        <w:rPr>
          <w:noProof/>
        </w:rPr>
        <w:t>il-proċeduri varji tal-akkwist pubbliku għall-proġetti transfruntieri tat-TEN-T;</w:t>
      </w:r>
    </w:p>
    <w:p>
      <w:pPr>
        <w:pStyle w:val="Tiret1"/>
        <w:rPr>
          <w:noProof/>
        </w:rPr>
      </w:pPr>
      <w:r>
        <w:rPr>
          <w:noProof/>
        </w:rPr>
        <w:t>l-isfidi tal-koordinazzjoni għat-twettiq tal-proġetti transfruntieri; kif ukoll</w:t>
      </w:r>
    </w:p>
    <w:p>
      <w:pPr>
        <w:pStyle w:val="Tiret1"/>
        <w:rPr>
          <w:noProof/>
        </w:rPr>
      </w:pPr>
      <w:r>
        <w:rPr>
          <w:noProof/>
        </w:rPr>
        <w:t>inċertezzi perċepiti relatati mal-proċeduri għall-kontroll tal-għajnuna mill-Istat.</w:t>
      </w:r>
    </w:p>
    <w:p>
      <w:pPr>
        <w:rPr>
          <w:noProof/>
        </w:rPr>
      </w:pPr>
      <w:r>
        <w:rPr>
          <w:noProof/>
        </w:rPr>
        <w:t>L-analiżi wasslet għal konklużjoni ċara li m’hemmx bżonn ikun hemm l-istess livell ta’ ambizzjoni f’kull qasam, u li jixraq jitħaddem approċċ gradwali.</w:t>
      </w:r>
    </w:p>
    <w:p>
      <w:pPr>
        <w:rPr>
          <w:noProof/>
        </w:rPr>
      </w:pPr>
      <w:r>
        <w:rPr>
          <w:noProof/>
        </w:rPr>
        <w:t>Għall-proċeduri tal-għoti tal-permessi, is-sitwazzjoni tvarja fost l-Istati Membri, u fil-livell tal-Unjoni ma jitħaddem l-ebda approċċ armonizzat. Hemm bżonn livell ogħla ta’ intervent biex jissinkronizza l-proċeduri bejn il-fruntieri u tkun tista’ ssir implimentazzjoni aktar ikkoordinata, effettiva u effiċjenti tal-proġetti.</w:t>
      </w:r>
    </w:p>
    <w:p>
      <w:pPr>
        <w:rPr>
          <w:noProof/>
        </w:rPr>
      </w:pPr>
      <w:r>
        <w:rPr>
          <w:noProof/>
        </w:rPr>
        <w:t>Għall-akkwist pubbliku, tul l-aħħar ftit snin beda japplika qafas modernizzat</w:t>
      </w:r>
      <w:r>
        <w:rPr>
          <w:rStyle w:val="FootnoteReference"/>
          <w:noProof/>
        </w:rPr>
        <w:footnoteReference w:id="19"/>
      </w:r>
      <w:r>
        <w:rPr>
          <w:noProof/>
        </w:rPr>
        <w:t>. Iżda għadu jeżisti distakk fil-qasam tal-akkwist transfruntier u l-proġetti żviluppati b’mod konġunt minn żewġ Stati Membri jew aktar. F’dan il-qasam, l-intervent jimmira biss dan id-distakk speċifiku.</w:t>
      </w:r>
    </w:p>
    <w:p>
      <w:pPr>
        <w:rPr>
          <w:noProof/>
        </w:rPr>
      </w:pPr>
      <w:r>
        <w:rPr>
          <w:noProof/>
        </w:rPr>
        <w:t>Għall-kontroll tal-għajnuna mill-Istat, il-kjarifiki li għadhom kif ġew adottati, fi kwalunkwe każ diġà neħħew il-biċċa l-kbira tal-inċertezza li allegatament setgħet fixklet l-iżvilupp ta’ proġetti fil-passat. Madankollu jidher li, fil-każ ta’ proġett kumpless bi strutturi finanzjarji sofistikati, hemm bżonn tiżdied il-kwalità tan-notifiki anki permezz ta’ koperazzjoni aħjar bejn is-servizzi tal-Kummissjoni, l-awtoritajiet tal-Istat Membru u l-komunità legali u kummerċjali. B’mod allinjat mal-Kodiċi tal-Aqwa Prattika għat-tmexxija tal-proċeduri għall-kontroll tal-għajnuna mill-Istat, jista’ jingħata trattament ta’ prijorità lil proġetti ta’ interess komuni fin-netwerk ewlieni tat-TEN-T skont skeda maqbula b’mod konġunt bejn l-Istati Membri u l-Kummissjoni, li tistabbilixxi b’mod ċar it-tappi u l-informazzjoni li jridu jwettqu l-Istati Membri. B’hekk, il-proċeduri tal-Kummissjoni se jkunu jistgħu jimxu ħarir ħalli d-deċiżjoni tkun tista’ tiġi adottata malajr.</w:t>
      </w:r>
    </w:p>
    <w:p>
      <w:pPr>
        <w:rPr>
          <w:noProof/>
        </w:rPr>
      </w:pPr>
      <w:r>
        <w:rPr>
          <w:noProof/>
        </w:rPr>
        <w:t xml:space="preserve">L-alternattivi ta’ politika kienu bbażati fuq livelli dejjem akbar ta’ intervent, ambizzjoni u impatt mistenni “kumulattiv”: </w:t>
      </w:r>
    </w:p>
    <w:p>
      <w:pPr>
        <w:pStyle w:val="Tiret1"/>
        <w:rPr>
          <w:noProof/>
        </w:rPr>
      </w:pPr>
      <w:r>
        <w:rPr>
          <w:noProof/>
        </w:rPr>
        <w:t xml:space="preserve">L-alternattiva ta’politika 1 (PO1) tipprevedi bidla minima fl-istrumenti eżistenti u l-iżvilupp ta’ liġi mhux vinkolanti u miżuri ta’ akkumpanjament. </w:t>
      </w:r>
    </w:p>
    <w:p>
      <w:pPr>
        <w:pStyle w:val="Tiret1"/>
        <w:rPr>
          <w:noProof/>
        </w:rPr>
      </w:pPr>
      <w:r>
        <w:rPr>
          <w:noProof/>
        </w:rPr>
        <w:t xml:space="preserve">L-alternattiva ta’politika 2 (PO2) tipprevedi azzjoni vinkolanti limitata li trid tiġi deċentralizzata u implimentata fil-livell nazzjonali. </w:t>
      </w:r>
    </w:p>
    <w:p>
      <w:pPr>
        <w:pStyle w:val="Tiret1"/>
        <w:rPr>
          <w:noProof/>
        </w:rPr>
      </w:pPr>
      <w:r>
        <w:rPr>
          <w:noProof/>
        </w:rPr>
        <w:t xml:space="preserve">L-alternattiva ta’politika 3 (PO3) tipprevedi qafas tal-UE għall-awtorizzazzjoni ta’ proġetti tan-netwerk ewlieni tat-TEN-T li jrid jiġi applikat fil-livell nazzjonali (PO3a) jew fil-livell tal-UE (PO3b). </w:t>
      </w:r>
    </w:p>
    <w:p>
      <w:pPr>
        <w:rPr>
          <w:b/>
          <w:smallCaps/>
          <w:noProof/>
        </w:rPr>
      </w:pPr>
      <w:r>
        <w:rPr>
          <w:noProof/>
        </w:rPr>
        <w:t xml:space="preserve">Il-valutazzjoni tal-impatt tirrakkomanda l-alternattiva ta’ politika 2, u l-inizjattiva ssegwi din ir-rakkomandazzjoni. </w:t>
      </w:r>
    </w:p>
    <w:p>
      <w:pPr>
        <w:pStyle w:val="ManualHeading1"/>
        <w:rPr>
          <w:noProof/>
        </w:rPr>
      </w:pPr>
      <w:r>
        <w:rPr>
          <w:noProof/>
        </w:rPr>
        <w:t>4.</w:t>
      </w:r>
      <w:r>
        <w:rPr>
          <w:noProof/>
        </w:rPr>
        <w:tab/>
        <w:t>IMPLIKAZZJONIJIET BAĠITARJI</w:t>
      </w:r>
    </w:p>
    <w:p>
      <w:pPr>
        <w:rPr>
          <w:noProof/>
        </w:rPr>
      </w:pPr>
      <w:r>
        <w:rPr>
          <w:noProof/>
        </w:rPr>
        <w:t xml:space="preserve">Il-proposta mhu se tinvolvi l-ebda spiża addizzjonali għall-baġit tal-UE. </w:t>
      </w:r>
    </w:p>
    <w:p>
      <w:pPr>
        <w:pStyle w:val="ManualHeading1"/>
        <w:rPr>
          <w:noProof/>
        </w:rPr>
      </w:pPr>
      <w:r>
        <w:rPr>
          <w:noProof/>
        </w:rPr>
        <w:t>5.</w:t>
      </w:r>
      <w:r>
        <w:rPr>
          <w:noProof/>
        </w:rPr>
        <w:tab/>
        <w:t>ELEMENTI OĦRA</w:t>
      </w:r>
    </w:p>
    <w:p>
      <w:pPr>
        <w:pStyle w:val="ManualHeading2"/>
        <w:rPr>
          <w:rFonts w:eastAsia="Arial Unicode MS"/>
          <w:noProof/>
          <w:u w:color="000000"/>
          <w:bdr w:val="nil"/>
        </w:rPr>
      </w:pPr>
      <w:r>
        <w:rPr>
          <w:noProof/>
        </w:rPr>
        <w:t>•</w:t>
      </w:r>
      <w:r>
        <w:rPr>
          <w:noProof/>
        </w:rPr>
        <w:tab/>
        <w:t>Pjanijiet ta’ implimentazzjoni u arranġamenti dwar il-monitoraġġ, l-evalwazzjoni u r-rappurtar</w:t>
      </w:r>
    </w:p>
    <w:p>
      <w:pPr>
        <w:rPr>
          <w:noProof/>
        </w:rPr>
      </w:pPr>
      <w:r>
        <w:rPr>
          <w:noProof/>
        </w:rPr>
        <w:t>Ir-Rapport tal-Valutazzjoni tal-Impatt jagħti sett ta’ indikaturi li jenħtieġ jintużaw biex jimmonitorjaw l-effikaċja u l-effiċjenza tal-miżuri meħuda biex jintlaħqu l-għanijiet ta’ politika ewlenin:</w:t>
      </w:r>
    </w:p>
    <w:p>
      <w:pPr>
        <w:pStyle w:val="Tiret1"/>
        <w:rPr>
          <w:noProof/>
        </w:rPr>
      </w:pPr>
      <w:r>
        <w:rPr>
          <w:noProof/>
        </w:rPr>
        <w:t>It-tnaqqis kemm jista’ jkun tar-riskju ta’ dewmien li jġarrbu ċerti proġetti individwali tat-TEN-T:</w:t>
      </w:r>
    </w:p>
    <w:p>
      <w:pPr>
        <w:pStyle w:val="Tiret2"/>
        <w:numPr>
          <w:ilvl w:val="0"/>
          <w:numId w:val="13"/>
        </w:numPr>
        <w:rPr>
          <w:noProof/>
        </w:rPr>
      </w:pPr>
      <w:r>
        <w:rPr>
          <w:noProof/>
        </w:rPr>
        <w:t>L-avvanz tal-implimentazzjoni tat-TEN-T mil-lat ta’ konformità mal-istandards u mar-rekwiżiti.</w:t>
      </w:r>
    </w:p>
    <w:p>
      <w:pPr>
        <w:pStyle w:val="Tiret2"/>
        <w:rPr>
          <w:noProof/>
        </w:rPr>
      </w:pPr>
      <w:r>
        <w:rPr>
          <w:noProof/>
        </w:rPr>
        <w:t>Il-progress fl-investimenti appoġġati mill-UE fl-infrastruttura tat-trasport tat-TEN-T imkejjel skont in-numru ta’ proġetti tas-CEF (jew ta’ proġetti appoġġati mis-suċċessur tagħha) li ġew implimentati fil-ħin u/jew li ma ddewmux minħabba kwistjonijiet ta’ għoti tal-permessi jew tal-akkwist.</w:t>
      </w:r>
    </w:p>
    <w:p>
      <w:pPr>
        <w:pStyle w:val="Tiret1"/>
        <w:rPr>
          <w:noProof/>
        </w:rPr>
      </w:pPr>
      <w:r>
        <w:rPr>
          <w:noProof/>
        </w:rPr>
        <w:t>Aktar ċertezza legali lill-promoturi tal-proġetti u b’hekk jiġu attirati aktar investituri privati lejn l-infrastruttura tat-trasport.</w:t>
      </w:r>
    </w:p>
    <w:p>
      <w:pPr>
        <w:pStyle w:val="Tiret2"/>
        <w:rPr>
          <w:noProof/>
        </w:rPr>
      </w:pPr>
      <w:r>
        <w:rPr>
          <w:noProof/>
        </w:rPr>
        <w:t>Aktar proġetti infrastrutturali tat-TEN-T iffinanzjati permezz ta’ strumenti ta’ finanzjament appoġġati mill-UE (eż. l-EFSI u s-suċċessuri tiegħu).</w:t>
      </w:r>
    </w:p>
    <w:p>
      <w:pPr>
        <w:rPr>
          <w:noProof/>
        </w:rPr>
      </w:pPr>
      <w:r>
        <w:rPr>
          <w:noProof/>
        </w:rPr>
        <w:t>Il-monitoraġġ se jibni fuq miżuri eżistenti li jimmonitorjaw l-implimentazzjoni tat-TEN-T innifsu. Għalhekk se juża kemm jista’ jkun il-qafas eżistenti u b’mod sempliċi u trasparenti biex jagħmlu aċċessibbli faċilment għall-partijiet ikkonċernati interessati. Mhemmx il-ħsieb li tinħoloq sistema kumplessa ta’ indikaturi tal-prestazzjoni ġodda.</w:t>
      </w:r>
    </w:p>
    <w:p>
      <w:pPr>
        <w:rPr>
          <w:noProof/>
        </w:rPr>
      </w:pPr>
      <w:r>
        <w:rPr>
          <w:noProof/>
        </w:rPr>
        <w:t>•</w:t>
      </w:r>
      <w:r>
        <w:rPr>
          <w:noProof/>
        </w:rPr>
        <w:tab/>
        <w:t>Spjegazzjoni fid-dettall tad-dispożizzjonijiet speċifiċi tal-proposta</w:t>
      </w:r>
    </w:p>
    <w:p>
      <w:pPr>
        <w:rPr>
          <w:noProof/>
          <w:color w:val="000000"/>
        </w:rPr>
      </w:pPr>
      <w:r>
        <w:rPr>
          <w:noProof/>
          <w:color w:val="000000"/>
        </w:rPr>
        <w:t xml:space="preserve">It-titolu tar-Regolament jittratta l-kamp ta’ applikazzjoni u l-għanijiet tal-att, li għandu l-għan li jiffaċilita t-tlestija tan-netwerk trans-Ewropew tat-trasport. </w:t>
      </w:r>
    </w:p>
    <w:p>
      <w:pPr>
        <w:rPr>
          <w:noProof/>
        </w:rPr>
      </w:pPr>
      <w:r>
        <w:rPr>
          <w:noProof/>
        </w:rPr>
        <w:t>Artikolu 1 – Suġġett u kamp ta’ applikazzjoni</w:t>
      </w:r>
    </w:p>
    <w:p>
      <w:pPr>
        <w:rPr>
          <w:noProof/>
          <w:color w:val="000000"/>
        </w:rPr>
      </w:pPr>
      <w:r>
        <w:rPr>
          <w:noProof/>
          <w:color w:val="000000"/>
        </w:rPr>
        <w:t>Dan l-Artikolu jintroduċi s-suġġett u l-għanijiet tar-Regolament, jiġifieri t-tlestija effettiva u fil-ħin tat-TEN-T madwar l-Unjoni billi jitnaqqas ir-riskju ta’ dewmien u jiżdied il-livell ta’ ċertezza għall-investituri u għall-promoturi tal-proġetti fir-rigward tat-tul tal-proċeduri applikabbli. Għan ieħor hu li jiġi ffaċilitat l-involviment tal-investituri privati u tinkiseb aktar ċarezza dwar il-konsultazzjonijiet pubbliċi.</w:t>
      </w:r>
    </w:p>
    <w:p>
      <w:pPr>
        <w:rPr>
          <w:noProof/>
        </w:rPr>
      </w:pPr>
      <w:r>
        <w:rPr>
          <w:noProof/>
        </w:rPr>
        <w:t>Artikolu 3 – “Status prijoritarju” tal-proġetti ta’ interess komuni</w:t>
      </w:r>
    </w:p>
    <w:p>
      <w:pPr>
        <w:rPr>
          <w:noProof/>
          <w:color w:val="000000"/>
        </w:rPr>
      </w:pPr>
      <w:r>
        <w:rPr>
          <w:noProof/>
          <w:color w:val="000000"/>
        </w:rPr>
        <w:t>Ċerti Stati Membri fl-oqfsa legali nazzjonali rispettivi tagħhom jagħtu trattament speċjali ta’ proċeduri mħaffin u ssimplifikati għall-kategoriji ta’ proġetti bbażati fuq l-importanza tagħhom għall-iżvilupp tal-pajjiż jew għal raġunijiet oħra. Biex jintlaħqu l-għanijiet ta’ tlestija tat-TEN-T, li l-Istati Membri impenjaw ruħhom għalihom billi adottaw Regolament fil-Kunsill li jiddefinixxi dan in-netwerk u skadenzi vinkolanti għat-tlestija tiegħu, jenħtieġ li għall-proġetti tal-Unjoni ta’ interess komuni jkun japplika trattament preferenzjali simili.</w:t>
      </w:r>
    </w:p>
    <w:p>
      <w:pPr>
        <w:rPr>
          <w:noProof/>
        </w:rPr>
      </w:pPr>
      <w:r>
        <w:rPr>
          <w:noProof/>
        </w:rPr>
        <w:t>Artikoli 4-6 – Integrazzjoni tal-proċeduri tal-għoti tal-permessi</w:t>
      </w:r>
    </w:p>
    <w:p>
      <w:pPr>
        <w:rPr>
          <w:noProof/>
          <w:color w:val="000000"/>
        </w:rPr>
      </w:pPr>
      <w:r>
        <w:rPr>
          <w:noProof/>
          <w:color w:val="000000"/>
        </w:rPr>
        <w:t xml:space="preserve">Dan l-Artikolu għandu l-għan li jintegra diversi proċessi tal-għoti tal-permessi għall-proġetti tat-TEN-T ta’ interess komuni. L-Artikolu 4 jeżiġi li l-awtorizzazzjoni tal-proġetti tat-TEN-T tieħu ħsiebha awtorità waħda li tmexxi u tieħu s-sjieda tal-proċess ġenerali u taġixxi bħala punt uniku ta’ servizz għall-promoturi u għal investituri oħra. L-Artikolu 5 jistabbilixxi l-ħatra u r-rwol ta’ awtorità bħal din. L-Artikolu 6 jiddefinixxi l-passi proċedurali li jwasslu għal deċiżjoni komprensiva li tawtorizza lill-investitur biex iwettaq il-proġett. </w:t>
      </w:r>
    </w:p>
    <w:p>
      <w:pPr>
        <w:rPr>
          <w:noProof/>
        </w:rPr>
      </w:pPr>
      <w:r>
        <w:rPr>
          <w:noProof/>
        </w:rPr>
        <w:t>Artikolu 7 – Koordinazzjoni tal-proċeduri transfruntieri tal-għoti tal-permessi</w:t>
      </w:r>
    </w:p>
    <w:p>
      <w:pPr>
        <w:rPr>
          <w:noProof/>
          <w:color w:val="000000"/>
        </w:rPr>
      </w:pPr>
      <w:r>
        <w:rPr>
          <w:noProof/>
          <w:color w:val="000000"/>
        </w:rPr>
        <w:t>Dan l-Artikolu jiddikjara l-importanza li ssir koordinazzjoni tal-proċeduri transfruntieri tal-għoti tal-permessi u jsaħħaħ ir-rwol tal-Koordinaturi Ewropej fil-monitoraġġ tal-proċedura tal-għoti tal-permessi.</w:t>
      </w:r>
    </w:p>
    <w:p>
      <w:pPr>
        <w:rPr>
          <w:noProof/>
        </w:rPr>
      </w:pPr>
      <w:r>
        <w:rPr>
          <w:noProof/>
        </w:rPr>
        <w:t>Artikolu 8 – L-akkwist pubbliku fil-proġetti transfruntieri ta’ interess komuni</w:t>
      </w:r>
    </w:p>
    <w:p>
      <w:pPr>
        <w:rPr>
          <w:noProof/>
          <w:color w:val="000000"/>
        </w:rPr>
      </w:pPr>
      <w:r>
        <w:rPr>
          <w:noProof/>
          <w:color w:val="000000"/>
        </w:rPr>
        <w:t>Dan l-Artikolu jipprevedi l-applikazzjoni ta’ qafas legali wieħed biss dwar l-akkwist pubbliku għall-proġetti transfruntieri. Sakemm ma jkunx speċifikat mod ieħor fi ftehim intergovernattiv, l-entitajiet konġunti li jiżviluppaw dawn il-proġetti se japplikaw sistema waħda ta’ leġiżlazzjoni nazzjonali biex jakkwistaw ix-xogħlijiet u s-servizzi meta jkunu qed jimplimentaw il-proġett.</w:t>
      </w:r>
    </w:p>
    <w:p>
      <w:pPr>
        <w:rPr>
          <w:noProof/>
        </w:rPr>
      </w:pPr>
      <w:r>
        <w:rPr>
          <w:noProof/>
        </w:rPr>
        <w:t>Artikolu 9 – Assistenza teknika</w:t>
      </w:r>
    </w:p>
    <w:p>
      <w:pPr>
        <w:rPr>
          <w:rFonts w:eastAsia="Arial Unicode MS"/>
          <w:noProof/>
        </w:rPr>
      </w:pPr>
      <w:r>
        <w:rPr>
          <w:noProof/>
          <w:color w:val="000000"/>
        </w:rPr>
        <w:t>L-iskemi eżistenti ta’ assistenza teknika bbażati fuq il-leġiżlazzjoni tal-Unjoni se jkunu miftuħa għall-proġetti ta’ interess komuni kkonċernati minn din l-inizjattiva, soġġetti għad-disponibbiltà ta’ riżorsi mmexxija mis-servizzi rispettivi.</w:t>
      </w:r>
    </w:p>
    <w:p>
      <w:pPr>
        <w:rPr>
          <w:noProof/>
        </w:rPr>
        <w:sectPr>
          <w:footerReference w:type="default" r:id="rId16"/>
          <w:footerReference w:type="first" r:id="rId17"/>
          <w:pgSz w:w="11907" w:h="16839"/>
          <w:pgMar w:top="1134" w:right="1417" w:bottom="1134" w:left="1417" w:header="709" w:footer="709" w:gutter="0"/>
          <w:pgNumType w:start="1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t>2018/0138 (COD)</w:t>
      </w:r>
    </w:p>
    <w:p>
      <w:pPr>
        <w:pStyle w:val="Statut"/>
        <w:rPr>
          <w:noProof/>
        </w:rPr>
      </w:pPr>
      <w:r>
        <w:rPr>
          <w:noProof/>
        </w:rPr>
        <w:t>Proposta għal</w:t>
      </w:r>
    </w:p>
    <w:p>
      <w:pPr>
        <w:pStyle w:val="Typedudocument"/>
        <w:rPr>
          <w:noProof/>
        </w:rPr>
      </w:pPr>
      <w:r>
        <w:rPr>
          <w:noProof/>
        </w:rPr>
        <w:t>REGOLAMENT TAL-PARLAMENT EWROPEW U TAL-KUNSILL</w:t>
      </w:r>
    </w:p>
    <w:p>
      <w:pPr>
        <w:pStyle w:val="Titreobjet"/>
        <w:rPr>
          <w:noProof/>
        </w:rPr>
      </w:pPr>
      <w:r>
        <w:rPr>
          <w:noProof/>
        </w:rPr>
        <w:t xml:space="preserve">dwar ir-razzjonalizzazzjoni ta’ miżuri li jmexxu ’l quddiem it-twettiq tan-netwerk trans-Ewropew tat-trasport </w:t>
      </w:r>
    </w:p>
    <w:p>
      <w:pPr>
        <w:pStyle w:val="Institutionquiagit"/>
        <w:rPr>
          <w:noProof/>
        </w:rPr>
      </w:pPr>
      <w:r>
        <w:rPr>
          <w:noProof/>
        </w:rPr>
        <w:t>IL-PARLAMENT EWROPEW U L-KUNSILL TAL-UNJONI EWROPEA,</w:t>
      </w:r>
    </w:p>
    <w:p>
      <w:pPr>
        <w:rPr>
          <w:noProof/>
        </w:rPr>
      </w:pPr>
      <w:r>
        <w:rPr>
          <w:noProof/>
        </w:rPr>
        <w:t>Wara li kkunsidraw it-Trattat dwar il-Funzjonament tal-Unjoni Ewropea, u b’mod partikolari l-Artikolu 172 tiegħu,</w:t>
      </w:r>
    </w:p>
    <w:p>
      <w:pPr>
        <w:rPr>
          <w:noProof/>
        </w:rPr>
      </w:pPr>
      <w:r>
        <w:rPr>
          <w:noProof/>
        </w:rPr>
        <w:t>Wara li kkunsidraw il-proposta tal-Kummissjoni Ewropea,</w:t>
      </w:r>
    </w:p>
    <w:p>
      <w:pPr>
        <w:rPr>
          <w:noProof/>
        </w:rPr>
      </w:pPr>
      <w:r>
        <w:rPr>
          <w:noProof/>
        </w:rPr>
        <w:t>Wara li l-abbozz tal-att leġiżlattiv intbagħat lill-parlamenti nazzjonali,</w:t>
      </w:r>
    </w:p>
    <w:p>
      <w:pPr>
        <w:rPr>
          <w:noProof/>
        </w:rPr>
      </w:pPr>
      <w:r>
        <w:rPr>
          <w:noProof/>
        </w:rPr>
        <w:t>Wara li kkunsidraw l-opinjoni tal-Kumitat Ekonomiku u Soċjali Ewropew</w:t>
      </w:r>
      <w:r>
        <w:rPr>
          <w:rStyle w:val="FootnoteReference"/>
          <w:noProof/>
        </w:rPr>
        <w:footnoteReference w:id="20"/>
      </w:r>
      <w:r>
        <w:rPr>
          <w:noProof/>
        </w:rPr>
        <w:t xml:space="preserve">, </w:t>
      </w:r>
    </w:p>
    <w:p>
      <w:pPr>
        <w:rPr>
          <w:noProof/>
        </w:rPr>
      </w:pPr>
      <w:r>
        <w:rPr>
          <w:noProof/>
        </w:rPr>
        <w:t>Wara li kkunsidraw l-opinjoni tal-Kumitat tar-Reġjuni</w:t>
      </w:r>
      <w:r>
        <w:rPr>
          <w:rStyle w:val="FootnoteReference"/>
          <w:noProof/>
        </w:rPr>
        <w:footnoteReference w:id="21"/>
      </w:r>
      <w:r>
        <w:rPr>
          <w:noProof/>
        </w:rPr>
        <w:t xml:space="preserve">, </w:t>
      </w:r>
    </w:p>
    <w:p>
      <w:pPr>
        <w:rPr>
          <w:noProof/>
        </w:rPr>
      </w:pPr>
      <w:r>
        <w:rPr>
          <w:noProof/>
        </w:rPr>
        <w:t>Filwaqt li jaġixxu skont il-proċedura leġiżlattiva ordinarja,</w:t>
      </w:r>
    </w:p>
    <w:p>
      <w:pPr>
        <w:rPr>
          <w:noProof/>
        </w:rPr>
      </w:pPr>
      <w:r>
        <w:rPr>
          <w:noProof/>
        </w:rPr>
        <w:t>Billi: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</w:rPr>
        <w:t>Ir-Regolament (UE) Nru 1315/2013 tal-Parlament Ewropew u tal-Kunsill</w:t>
      </w:r>
      <w:r>
        <w:rPr>
          <w:rStyle w:val="FootnoteReference"/>
          <w:noProof/>
        </w:rPr>
        <w:footnoteReference w:id="22"/>
      </w:r>
      <w:r>
        <w:rPr>
          <w:noProof/>
        </w:rPr>
        <w:t xml:space="preserve"> jistabbilixxi qafas komuni għall-ħolqien ta’ netwerks interoperabbli mill-aktar avvanzati għall-iżvilupp tas-suq intern. In-netwerks trans-Ewropej tat-trasport (TEN-T) għandhom struttura ta’ żewġ saffi: in-netwerk komprensiv jiżgura l-konnettività tar-reġjuni kollha tal-Unjoni, filwaqt li n-netwerk ewlieni jikkonsisti mill-elementi tan-netwerk li għandhom l-aktar importanza strateġika. Ir-Regolament (UE) Nru 1315/2013 jiddefinixxi miri tat-tlestija vinkolanti għall-implimentazzjoni biex in-netwerk ewlieni jitlesta sal-2030 u n-netwerk komprensiv sal-2050.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 xml:space="preserve">Minkejja l-ħtieġa u l-iskadenzi vinkolanti, mill-esperjenza jidher li ħafna investimenti bil-għan li jitlesta t-TEN-T iħabbtu wiċċhom ma’ proċeduri tal-għoti tal-permessi, proċeduri transfruntieri tal-akkwist u proċeduri oħrajn li huma kumplessi. Din is-sitwazzjoni xxekkel l-implimentazzjoni fil-ħin tal-proġetti, u ħafna drabi twassal għal dewmien sinifikanti u aktar spejjeż. Biex jiġu indirizzati dawn il-kwistjonijiet u ssir tlestija sinkronizzata tat-TEN-T, hemm bżonn azzjoni armonizzata fil-livell tal-Unjoni. 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Fl-oqfsa legali ta’ ħafna Stati Membri jingħata trattament ta’ prijorità lil ċerti kategoriji ta’ proġetti abbażi tal-importanza strateġika tagħhom għall-ekonomija. It-trattament prijoritarju hu kkaratterizzat minn skadenzi iqsar, proċeduri simultanji jew perjodi taż-żmien limitati għall-appelli filwaqt li jiżgura li jintlaħqu wkoll l-għanijiet ta’ politiki orizzontali oħra. Meta jkun jeżisti qafas bħal dan fi ħdan qafas legali nazzjonali, jenħtieġ li dan ikun japplika awtomatikament għall-proġetti tal-Unjoni rikonoxxuti bħala proġetti ta’ interess komuni skont ir-Regolament (UE) Nru 1315/2013.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>Biex titjieb l-effikaċja tal-valutazzjonijiet ambjentali u jiġi razzjonalizzat il-proċess tat-teħid tad-deċiżjonijiet, meta l-obbligu li jitwettqu valutazzjonijiet relatati ma’ kwistjonijiet ambjentali ta’ proġetti tan-netwerk ewlieni jkun joriġina simultanjament mid-Direttiva 2011/92/UE, kif emendata bid-Direttiva 2014/52/UE, u minn leġiżlazzjoni oħra tal-Unjoni, bħalma huma d-Direttiva 92/43/KEE, id-Direttiva 2009/147/KE, id-Direttiva 2000/60/KE, id-Direttiva 2008/98/KE, id-Direttiva 2010/75/UE, id-Direttiva 2012/18/UE u d-Direttiva 2011/42/KE, l-Istati Membri jenħtieġ jiżguraw li tkun prevista proċedura konġunta li tissodisfa r-rekwiżiti ta’ dawn id-Direttivi.</w:t>
      </w:r>
    </w:p>
    <w:p>
      <w:pPr>
        <w:pStyle w:val="ManualConsidrant"/>
        <w:rPr>
          <w:noProof/>
        </w:rPr>
      </w:pPr>
      <w:r>
        <w:t>(5)</w:t>
      </w:r>
      <w:r>
        <w:tab/>
      </w:r>
      <w:r>
        <w:rPr>
          <w:noProof/>
        </w:rPr>
        <w:t>Il-proġetti tan-netwerk ewlieni jenħtieġ ikunu appoġġati minn proċeduri integrati tal-għoti tal-permessi biex issir ġestjoni ċara tal-proċedura ġenerali possibbli u biex jingħata punt uniku ta’ servizz għall-investituri. L-Istati Membri jenħtieġ jaħtru awtorità kompetenti b’konformità mal-oqfsa legali nazzjonali u strutturi amministrattivi tagħhom.</w:t>
      </w:r>
    </w:p>
    <w:p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 xml:space="preserve">Jenħtieġ li bl-istabbiliment ta’ awtorità kompetenti unika fil-livell nazzjonali li tintegra l-proċeduri kollha tal-għoti tal-permessi (punt uniku ta’ servizz) tonqos il-kumplessità, titjieb l-effiċjenza u tiżdied it-trasparenza tal-proċeduri. Jenħtieġ ukoll li titjieb il-koperazzjoni bejn l-Istati Membri meta xieraq. Il-proċeduri jenħtieġ jippromwovu koperazzjoni reali bejn l-investituri u l-awtorità kompetenti unika, u għalhekk jenħtieġ jippermettu l-ambitu tal-proċedura tal-għoti tal-permessi waqt il-fażi ta’ qabel l-applikazzjoni. Dan l-ambitu jenħtieġ ikun integrat fid-deskrizzjoni dettaljata tal-applikazzjoni u jsegwi l-proċedura stabbilita fl-Artikolu 5(2) tad-Direttiva 2011/92/UE, kif emendata bid-Direttiva 2014/52/UE. </w:t>
      </w:r>
    </w:p>
    <w:p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 xml:space="preserve">Il-proċedura stabbilita b’dan ir-Regolament jenħtieġ tkun mingħajr preġudizzju għat-twettiq tar-rekwiżiti ddefiniti mil-liġi internazzjonali u tal-Unjoni, inkluż id-dispożizzjonijiet dwar il-protezzjoni tal-ambjent u s-saħħa tal-bniedem. </w:t>
      </w:r>
    </w:p>
    <w:p>
      <w:pPr>
        <w:pStyle w:val="ManualConsidrant"/>
        <w:rPr>
          <w:noProof/>
        </w:rPr>
      </w:pPr>
      <w:r>
        <w:t>(8)</w:t>
      </w:r>
      <w:r>
        <w:tab/>
      </w:r>
      <w:r>
        <w:rPr>
          <w:noProof/>
        </w:rPr>
        <w:t>Minħabba l-urġenza biex jitlesta n-netwerk ewlieni tat-TEN-T, is-simplifikazzjoni tal-proċeduri tal-għoti tal-permessi jenħtieġ tkun akkumpanjata b’limitu taż-żmien li matulu l-awtoritajiet kompetenti responsabbli jenħtieġ jieħdu deċiżjoni komprensiva fir-rigward tal-kostruzzjoni tal-proġett. Dan il-limitu taż-żmien jenħtieġ jistimola trattament aktar effiċjenti tal-proċeduri, u jenħtieġ li fl-ebda ċirkostanza ma jikkomprometti l-istandards għoljin tal-Unjoni għall-protezzjoni tal-ambjent u l-parteċipazzjoni pubblika.</w:t>
      </w:r>
    </w:p>
    <w:p>
      <w:pPr>
        <w:pStyle w:val="ManualConsidrant"/>
        <w:rPr>
          <w:noProof/>
        </w:rPr>
      </w:pPr>
      <w:r>
        <w:t>(9)</w:t>
      </w:r>
      <w:r>
        <w:tab/>
      </w:r>
      <w:r>
        <w:rPr>
          <w:noProof/>
        </w:rPr>
        <w:t xml:space="preserve">Jenħtieġ li l-Istati Membri jagħmlu ħilithom biex jiżguraw li l-appelli li jikkontestaw il-legalità sostantiva jew proċedurali ta’ deċiżjoni komprensiva jiġu ttrattati bl-iżjed mod effiċjenti possibbli. </w:t>
      </w:r>
    </w:p>
    <w:p>
      <w:pPr>
        <w:pStyle w:val="ManualConsidrant"/>
        <w:rPr>
          <w:noProof/>
        </w:rPr>
      </w:pPr>
      <w:r>
        <w:t>(10)</w:t>
      </w:r>
      <w:r>
        <w:tab/>
      </w:r>
      <w:r>
        <w:rPr>
          <w:noProof/>
        </w:rPr>
        <w:t>Il-proġetti infrastrutturali transfruntieri tat-TEN-T iħabbtu wiċċhom ma’ sfidi partikolari fejn tidħol il-koordinazzjoni tal-proċeduri tal-għoti tal-permessi. Jenħtieġ li l-Koordinaturi Ewropej ikollhom is-setgħa li jimmonitorjaw dawn il-proċeduri u jiffaċilitaw is-sinkronizzazzjoni u t-tlestija tagħhom.</w:t>
      </w:r>
    </w:p>
    <w:p>
      <w:pPr>
        <w:pStyle w:val="ManualConsidrant"/>
        <w:rPr>
          <w:noProof/>
        </w:rPr>
      </w:pPr>
      <w:r>
        <w:t>(11)</w:t>
      </w:r>
      <w:r>
        <w:tab/>
      </w:r>
      <w:r>
        <w:rPr>
          <w:noProof/>
        </w:rPr>
        <w:t>L-akkwist pubbliku fi proġetti transfruntieri ta’ interess komuni jenħtieġ jitmexxa skont it-Trattat u d-Direttivi 2014/25/UE u/jew 2014/24/UE. Biex tkun żgurata t-tlestija tal-proġetti transfruntieri ta’ interess komuni tan-netwerk ewlieni, jenħtieġ li l-akkwist pubbliku mwettaq minn entità konġunta jkun soġġett għal leġiżlazzjoni nazzjonali unika. B’deroga mil-leġiżlazzjoni tal-Unjoni dwar l-akkwist pubbliku, ir-regoli nazzjonali applikabbli jenħtieġ, fil-prinċipju, ikunu dawk tal-Istat Membru fejn l-entità konġunta għandha l-uffiċċju reġistrat tagħha. Jenħtieġ jibqa’ possibbli li l-leġiżlazzjoni applikabbli tiġi ddefinita fi ftehim intergovernattiv.</w:t>
      </w:r>
    </w:p>
    <w:p>
      <w:pPr>
        <w:pStyle w:val="ManualConsidrant"/>
        <w:rPr>
          <w:noProof/>
        </w:rPr>
      </w:pPr>
      <w:r>
        <w:t>(12)</w:t>
      </w:r>
      <w:r>
        <w:tab/>
      </w:r>
      <w:r>
        <w:rPr>
          <w:noProof/>
        </w:rPr>
        <w:t xml:space="preserve">Il-Kummissjoni mhix involuta sistematikament fl-awtorizzazzjoni ta’ proġetti individwali. Iżda xi drabi, ċerti aspetti tat-tħejjija tal-proġetti jkunu suġġetti għal approvazzjoni fil-livell tal-Unjoni. Meta l-Kummissjoni tkun involuta fil-proċeduri, din se tagħti trattament ta’ prijorità lill-proġetti ta’ interess komuni tal-Unjoni u tiżgura ċertezza lill-promoturi tal-proġetti. F’xi każijiet, jaf ikun hemm bżonn approvazzjoni ta’ għajnuna mill-Istat. Skont il-Kodiċi tal-Aqwa Prattika għat-tmexxija tal-proċeduri għall-kontroll tal-għajnuna mill-Istat, l-Istati Membri jistgħu jitolbu lill-Kummissjoni biex il-proġetti ta’ interess komuni tan-netwerk ewlieni tat-TEN-T li jikkunsidraw bħala prijorità, jittrattawhom bi skedi taż-żmien aktar prevedibbli skont l-approċċ tal-portafoll tal-każ jew l-ippjanar miftiehem b’mod reċiproku. </w:t>
      </w:r>
    </w:p>
    <w:p>
      <w:pPr>
        <w:pStyle w:val="ManualConsidrant"/>
        <w:rPr>
          <w:noProof/>
        </w:rPr>
      </w:pPr>
      <w:r>
        <w:t>(13)</w:t>
      </w:r>
      <w:r>
        <w:tab/>
      </w:r>
      <w:r>
        <w:rPr>
          <w:noProof/>
        </w:rPr>
        <w:t>L-implimentazzjoni ta’ proġetti infrastrutturali tan-netwerk ewlieni tat-TEN-T jenħtieġ jiġu appoġġati wkoll mil-linji gwida tal-Kummissjoni li jġibu aktar ċarezza b’rabta mal-implimentazzjoni ta’ ċerti tipi ta’ proġetti filwaqt li jirrispettaw l-acquis tal-Unjoni. Pereżempju l-Pjan ta’ Azzjoni għan-natura, għaċ-ċittadini u għall-ekonomija</w:t>
      </w:r>
      <w:r>
        <w:rPr>
          <w:rStyle w:val="FootnoteReference"/>
          <w:noProof/>
        </w:rPr>
        <w:footnoteReference w:id="23"/>
      </w:r>
      <w:r>
        <w:rPr>
          <w:noProof/>
        </w:rPr>
        <w:t xml:space="preserve"> jipprevedi din il-gwida biex jagħti aktar ċarezza ħalli jiġu rispettati d-Direttivi dwar l-Għasafar u dwar il-Ħabitats. Jenħtieġ li l-appoġġ dirett relatat mal-akkwist pubbliku jkun disponibbli għall-proġetti ta’ interess komuni biex ikun żgurat l-aqwa valur għall-flus pubbliċi</w:t>
      </w:r>
      <w:r>
        <w:rPr>
          <w:rStyle w:val="FootnoteReference"/>
          <w:noProof/>
        </w:rPr>
        <w:footnoteReference w:id="24"/>
      </w:r>
      <w:r>
        <w:rPr>
          <w:noProof/>
        </w:rPr>
        <w:t>. Barra minn hekk, jenħtieġ li tkun disponibbli ċerta assistenza teknika xierqa permezz tal-mekkaniżmi żviluppati għall-Qafas Finanzjarju Pluriennali 2021-2027, bil-għan li tingħata għajnuna finanzjarja għall-proġetti ta’ interess komuni tat-TEN-T.</w:t>
      </w:r>
    </w:p>
    <w:p>
      <w:pPr>
        <w:pStyle w:val="ManualConsidrant"/>
        <w:rPr>
          <w:noProof/>
          <w:szCs w:val="24"/>
        </w:rPr>
      </w:pPr>
      <w:r>
        <w:t>(14)</w:t>
      </w:r>
      <w:r>
        <w:tab/>
      </w:r>
      <w:r>
        <w:rPr>
          <w:noProof/>
        </w:rPr>
        <w:t>Peress li l-għanijiet ta’ dan ir-Regolament ma jistgħux jintlaħqu biżżejjed mill-Istati Membri u, minħabba l-ħtieġa ta’ koordinazzjoni ta’ dawk l-għanijiet, jistgħu jintlaħqu aħjar fil-livell tal-Unjoni, l-Unjoni tista’ tadotta miżuri skont il-prinċipju tas-sussidjarjetà kif stabbilit fl-Artikolu 5 tat-Trattat tal-Unjoni Ewropea. B’konformità mal-prinċipju tal-proporzjonalità, kif stabbilit f’dak l-Artikolu, dan ir-Regolament ma jmurx lil hinn minn dak meħtieġ biex jintlaħqu dawk l-għanijiet.</w:t>
      </w:r>
    </w:p>
    <w:p>
      <w:pPr>
        <w:pStyle w:val="ManualConsidrant"/>
        <w:rPr>
          <w:noProof/>
        </w:rPr>
      </w:pPr>
      <w:r>
        <w:t>(15)</w:t>
      </w:r>
      <w:r>
        <w:tab/>
      </w:r>
      <w:r>
        <w:rPr>
          <w:noProof/>
        </w:rPr>
        <w:t>Għal raġunijiet ta’ ċertezza legali, jenħtieġ li l-proċeduri amministrattivi li nbdew qabel id-dħul fis-seħħ ta’ dan ir-Regolament ma jkunux soġġetti għad-dispożizzjonijiet ta’ dan ir-Regolament,</w:t>
      </w:r>
    </w:p>
    <w:p>
      <w:pPr>
        <w:pStyle w:val="Formuledadoption"/>
        <w:rPr>
          <w:noProof/>
        </w:rPr>
      </w:pPr>
      <w:r>
        <w:rPr>
          <w:noProof/>
        </w:rPr>
        <w:t>ADOTTAW DAN IR-REGOLAMENT:</w:t>
      </w:r>
    </w:p>
    <w:p>
      <w:pPr>
        <w:pStyle w:val="ChapterTitle"/>
        <w:rPr>
          <w:noProof/>
          <w:sz w:val="24"/>
          <w:szCs w:val="24"/>
        </w:rPr>
      </w:pPr>
      <w:r>
        <w:rPr>
          <w:noProof/>
          <w:sz w:val="24"/>
        </w:rPr>
        <w:t>KAPITOLU I – DISPOŻIZZJONIJIET ĠENERALI</w:t>
      </w:r>
    </w:p>
    <w:p>
      <w:pPr>
        <w:pStyle w:val="Titrearticle"/>
        <w:rPr>
          <w:noProof/>
        </w:rPr>
      </w:pPr>
      <w:r>
        <w:rPr>
          <w:noProof/>
        </w:rPr>
        <w:t xml:space="preserve">Artikolu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itrearticle"/>
        <w:rPr>
          <w:b/>
          <w:noProof/>
        </w:rPr>
      </w:pPr>
      <w:r>
        <w:rPr>
          <w:b/>
          <w:noProof/>
        </w:rPr>
        <w:t>Suġġett u kamp ta’ applikazzjoni</w:t>
      </w:r>
    </w:p>
    <w:p>
      <w:pPr>
        <w:rPr>
          <w:noProof/>
        </w:rPr>
      </w:pPr>
      <w:r>
        <w:rPr>
          <w:noProof/>
        </w:rPr>
        <w:t>Dan ir-Regolament jistabbilixxi r-rekwiżiti applikabbli għall-proċeduri amministrattivi segwiti mill-awtoritajiet kompetenti tal-Istati Membri b’rabta mal-awtorizzazzjoni u l-implimentazzjoni tal-proġetti kollha ta’ interess komuni tan-netwerk ewlieni tan-netwerk trans-Ewropew tat-trasport.</w:t>
      </w:r>
    </w:p>
    <w:p>
      <w:pPr>
        <w:pStyle w:val="Titrearticle"/>
        <w:rPr>
          <w:noProof/>
        </w:rPr>
      </w:pPr>
      <w:r>
        <w:rPr>
          <w:noProof/>
        </w:rPr>
        <w:t xml:space="preserve">Artikolu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itrearticle"/>
        <w:rPr>
          <w:b/>
          <w:noProof/>
        </w:rPr>
      </w:pPr>
      <w:r>
        <w:rPr>
          <w:b/>
          <w:noProof/>
        </w:rPr>
        <w:t>Definizzjonijiet</w:t>
      </w:r>
    </w:p>
    <w:p>
      <w:pPr>
        <w:rPr>
          <w:noProof/>
        </w:rPr>
      </w:pPr>
      <w:r>
        <w:rPr>
          <w:noProof/>
        </w:rPr>
        <w:t>Għall-finijiet ta’ dan ir-Regolament, għandhom japplikaw id-definizzjonijiet stabbiliti fir-Regolament (UE) Nru 1315/2013. Id-definizzjoni li ġejjin għandhom japplikaw ukoll:</w:t>
      </w:r>
    </w:p>
    <w:p>
      <w:pPr>
        <w:pStyle w:val="Point1letter"/>
        <w:rPr>
          <w:noProof/>
        </w:rPr>
      </w:pPr>
      <w:r>
        <w:rPr>
          <w:noProof/>
        </w:rPr>
        <w:t xml:space="preserve">“deċiżjoni komprensiva” tfisser id-deċiżjoni jew is-sett ta’ deċiżjonijiet meħuda minn awtorità jew awtoritajiet ta’ Stat Membru li ma jinkludux il-qrati jew it-tribunali, li jiddeterminaw jekk promotur ta’ proġett għandux jingħata awtorizzazzjoni għall-kostruzzjoni tal-infrastruttura tat-trasport biex jitlesta proġett mingħajr preġudizzju għal xi deċiżjoni meħuda fil-kuntest ta’ proċedura ta’ appell amministrattiv; </w:t>
      </w:r>
    </w:p>
    <w:p>
      <w:pPr>
        <w:pStyle w:val="Point1letter"/>
        <w:rPr>
          <w:noProof/>
        </w:rPr>
      </w:pPr>
      <w:r>
        <w:rPr>
          <w:noProof/>
        </w:rPr>
        <w:t>“proċeduri tal-għoti tal-permessi” tfisser kull proċedura li għandha tiġi segwita jew kull pass li għandu jittieħed quddiem l-awtoritajiet ta’ Stat Membru, skont il-liġi nazzjonali jew tal-Unjoni, qabel ma l-promotur ta’ proġett ikun jista’ jimplimenta l-proġett;</w:t>
      </w:r>
    </w:p>
    <w:p>
      <w:pPr>
        <w:pStyle w:val="Point1letter"/>
        <w:rPr>
          <w:noProof/>
        </w:rPr>
      </w:pPr>
      <w:r>
        <w:rPr>
          <w:noProof/>
        </w:rPr>
        <w:t>“promotur ta’ proġett” tfisser l-applikant għal awtorizzazzjoni għal proġett privat jew l-awtorità pubblika li tibda proġett;</w:t>
      </w:r>
    </w:p>
    <w:p>
      <w:pPr>
        <w:pStyle w:val="Point1letter"/>
        <w:rPr>
          <w:noProof/>
        </w:rPr>
      </w:pPr>
      <w:r>
        <w:rPr>
          <w:noProof/>
        </w:rPr>
        <w:t>“awtorità kompetenti unika” tfisser l-awtorità li l-Istati Membri jaħtru bħala dik responsabbli biex twettaq id-dmirijiet li joħorġu minn din id-Direttiva;</w:t>
      </w:r>
    </w:p>
    <w:p>
      <w:pPr>
        <w:pStyle w:val="Point1letter"/>
        <w:rPr>
          <w:noProof/>
        </w:rPr>
      </w:pPr>
      <w:r>
        <w:rPr>
          <w:noProof/>
        </w:rPr>
        <w:t>“proġett transfruntier ta’ interess komuni” tfisser proġett ta’ interess komuni skont l-Artikolu 7 tar-Regolament (UE) Nru 1315/2013 li jkopri sezzjoni transfruntiera kif definit fil-punt (m) tal-Artikolu 3 ta’ dak ir-Regolament, li jkun implimentat minn entità konġunta.</w:t>
      </w:r>
    </w:p>
    <w:p>
      <w:pPr>
        <w:pStyle w:val="ChapterTitle"/>
        <w:spacing w:before="720"/>
        <w:rPr>
          <w:noProof/>
          <w:sz w:val="24"/>
        </w:rPr>
      </w:pPr>
      <w:bookmarkStart w:id="1" w:name="_Toc303796391"/>
      <w:r>
        <w:rPr>
          <w:noProof/>
          <w:sz w:val="24"/>
        </w:rPr>
        <w:t xml:space="preserve">KAPITOLU II – </w:t>
      </w:r>
      <w:bookmarkEnd w:id="1"/>
      <w:r>
        <w:rPr>
          <w:noProof/>
          <w:sz w:val="24"/>
        </w:rPr>
        <w:t>L-GĦOTI TAL-PERMESSI</w:t>
      </w:r>
    </w:p>
    <w:p>
      <w:pPr>
        <w:pStyle w:val="Titrearticle"/>
        <w:rPr>
          <w:noProof/>
        </w:rPr>
      </w:pPr>
      <w:r>
        <w:rPr>
          <w:noProof/>
        </w:rPr>
        <w:t xml:space="preserve">Artikolu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itrearticle"/>
        <w:rPr>
          <w:b/>
          <w:noProof/>
        </w:rPr>
      </w:pPr>
      <w:bookmarkStart w:id="2" w:name="_Toc303796393"/>
      <w:r>
        <w:rPr>
          <w:b/>
          <w:noProof/>
        </w:rPr>
        <w:t>“Status prijoritarju” tal-proġetti ta’ interess komuni</w:t>
      </w:r>
      <w:bookmarkEnd w:id="2"/>
    </w:p>
    <w:p>
      <w:pPr>
        <w:pStyle w:val="ManualNumPar1"/>
        <w:rPr>
          <w:noProof/>
        </w:rPr>
      </w:pPr>
      <w:r>
        <w:rPr>
          <w:noProof/>
        </w:rPr>
        <w:t>1.</w:t>
      </w:r>
      <w:r>
        <w:rPr>
          <w:noProof/>
        </w:rPr>
        <w:tab/>
        <w:t xml:space="preserve">Kull proġett ta’ interess komuni tan-netwerk ewlieni tat-TEN-T għandu jkun soġġett għal proċedura integrata tal-għoti tal-permessi mmexxija minn awtorità kompetenti unika maħtura minn kull Stat Membru b’konformità mal-Artikoli 5 u 6. </w:t>
      </w:r>
    </w:p>
    <w:p>
      <w:pPr>
        <w:pStyle w:val="ManualNumPar1"/>
        <w:rPr>
          <w:noProof/>
        </w:rPr>
      </w:pPr>
      <w:r>
        <w:rPr>
          <w:noProof/>
        </w:rPr>
        <w:t>2.</w:t>
      </w:r>
      <w:r>
        <w:rPr>
          <w:noProof/>
        </w:rPr>
        <w:tab/>
        <w:t>Meta fil-liġi nazzjonali jkun jeżisti status prijoritarju, il-proġetti ta’ interess komuni għandhom jingħataw l-istatus tal-ogħla sinifikat nazzjonali possibbli u jiġu ttrattati bħala tali fil-proċeduri tal-għoti tal-permessi, meta u bil-mod li dan it-trattament ikun previst fil-leġiżlazzjoni nazzjonali applikabbli għat-tipi korrispondenti ta’ infrastruttura tat-trasport.</w:t>
      </w:r>
    </w:p>
    <w:p>
      <w:pPr>
        <w:pStyle w:val="ManualNumPar1"/>
        <w:rPr>
          <w:noProof/>
        </w:rPr>
      </w:pPr>
      <w:r>
        <w:rPr>
          <w:noProof/>
        </w:rPr>
        <w:t>3.</w:t>
      </w:r>
      <w:r>
        <w:rPr>
          <w:noProof/>
        </w:rPr>
        <w:tab/>
        <w:t>Biex ikunu żgurati proċeduri amministrattivi effiċjenti marbuta ma’ proġetti ta’ interess komuni, il-promoturi tal-proġetti u l-awtoritajiet ikkonċernati kollha għandhom jiżguraw li dawn il-proġetti jingħataw l-aktar trattament rapidu li hu legalment possibbli, inkluż fejn jidħlu r-riżorsi allokati.</w:t>
      </w:r>
    </w:p>
    <w:p>
      <w:pPr>
        <w:pStyle w:val="Titrearticle"/>
        <w:rPr>
          <w:noProof/>
        </w:rPr>
      </w:pPr>
      <w:bookmarkStart w:id="3" w:name="_Ref305600691"/>
      <w:r>
        <w:rPr>
          <w:noProof/>
        </w:rPr>
        <w:t xml:space="preserve">Artikolu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itrearticle"/>
        <w:rPr>
          <w:b/>
          <w:noProof/>
        </w:rPr>
      </w:pPr>
      <w:r>
        <w:rPr>
          <w:b/>
          <w:noProof/>
        </w:rPr>
        <w:t>L-integrazzjoni tal-proċeduri tal-għoti tal-permessi</w:t>
      </w:r>
    </w:p>
    <w:p>
      <w:pPr>
        <w:pStyle w:val="ManualNumPar1"/>
        <w:rPr>
          <w:noProof/>
        </w:rPr>
      </w:pPr>
      <w:r>
        <w:rPr>
          <w:noProof/>
        </w:rPr>
        <w:t>1.</w:t>
      </w:r>
      <w:r>
        <w:rPr>
          <w:noProof/>
        </w:rPr>
        <w:tab/>
        <w:t xml:space="preserve">Biex jiġu ssodisfati l-limiti taż-żmien stabbiliti fl-Artikolu 6 u jonqos il-piż amministrattiv relatat mat-tlestija tal-proġetti ta’ interess komuni, il-proċeduri amministrattivi kollha li jirriżultaw mil-liġi applikabbli, kemm nazzjonali kif ukoll tal-Unjoni, għandhom jiġu integrati u jwasslu għal deċiżjoni komprensiva waħda biss. </w:t>
      </w:r>
    </w:p>
    <w:p>
      <w:pPr>
        <w:pStyle w:val="ManualNumPar1"/>
        <w:rPr>
          <w:noProof/>
        </w:rPr>
      </w:pPr>
      <w:r>
        <w:rPr>
          <w:noProof/>
        </w:rPr>
        <w:t>2.</w:t>
      </w:r>
      <w:r>
        <w:rPr>
          <w:noProof/>
        </w:rPr>
        <w:tab/>
        <w:t>Fil-każ ta’ proġetti ta’ interess komuni li għalihom l-obbligu li jsiru valutazzjonijiet tal-effetti fuq l-ambjent jirriżulta simultanjament mid-Direttiva 2011/92/UE tal-Parlament Ewropew u tal-Kunsill</w:t>
      </w:r>
      <w:r>
        <w:rPr>
          <w:rStyle w:val="FootnoteReference"/>
          <w:noProof/>
        </w:rPr>
        <w:t xml:space="preserve"> </w:t>
      </w:r>
      <w:r>
        <w:rPr>
          <w:noProof/>
        </w:rPr>
        <w:t xml:space="preserve"> u liġijiet oħra tal-Unjoni, l-Istati Membri għandhom jiżguraw li jkunu previsti proċeduri konġunti skont it-tifsira tal-Artikolu 2(3) tad-Direttiva 2011/92/UE. </w:t>
      </w:r>
    </w:p>
    <w:bookmarkEnd w:id="3"/>
    <w:p>
      <w:pPr>
        <w:pStyle w:val="Titrearticle"/>
        <w:rPr>
          <w:noProof/>
        </w:rPr>
      </w:pPr>
      <w:r>
        <w:rPr>
          <w:noProof/>
        </w:rPr>
        <w:t xml:space="preserve">Artikolu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itrearticle"/>
        <w:rPr>
          <w:b/>
          <w:noProof/>
        </w:rPr>
      </w:pPr>
      <w:r>
        <w:rPr>
          <w:b/>
          <w:noProof/>
        </w:rPr>
        <w:t>Awtorità kompetenti unika għall-għoti tal-permessi</w:t>
      </w:r>
    </w:p>
    <w:p>
      <w:pPr>
        <w:pStyle w:val="ManualNumPar1"/>
        <w:rPr>
          <w:noProof/>
        </w:rPr>
      </w:pPr>
      <w:r>
        <w:rPr>
          <w:noProof/>
        </w:rPr>
        <w:t>1.</w:t>
      </w:r>
      <w:r>
        <w:rPr>
          <w:noProof/>
        </w:rPr>
        <w:tab/>
        <w:t>Sa mhux aktar tard minn [</w:t>
      </w:r>
      <w:r>
        <w:rPr>
          <w:i/>
          <w:noProof/>
        </w:rPr>
        <w:t>OP please insert the date one year of the entry into force of this Regulation</w:t>
      </w:r>
      <w:r>
        <w:rPr>
          <w:noProof/>
        </w:rPr>
        <w:t>], kull Stat Membru għandu jaħtar awtorità kompetenti unika waħda li tkun responsabbli biex tiffaċilita l-proċess tal-għoti tal-permessi</w:t>
      </w:r>
      <w:r>
        <w:rPr>
          <w:i/>
          <w:noProof/>
        </w:rPr>
        <w:t xml:space="preserve"> </w:t>
      </w:r>
      <w:r>
        <w:rPr>
          <w:noProof/>
        </w:rPr>
        <w:t xml:space="preserve">inkluż għat-teħid </w:t>
      </w:r>
      <w:r>
        <w:rPr>
          <w:noProof/>
          <w:color w:val="000000"/>
        </w:rPr>
        <w:t>tad-deċiżjoni komprensiva</w:t>
      </w:r>
      <w:r>
        <w:rPr>
          <w:noProof/>
        </w:rPr>
        <w:t xml:space="preserve">. </w:t>
      </w:r>
    </w:p>
    <w:p>
      <w:pPr>
        <w:pStyle w:val="ManualNumPar1"/>
        <w:rPr>
          <w:noProof/>
        </w:rPr>
      </w:pPr>
      <w:r>
        <w:rPr>
          <w:noProof/>
        </w:rPr>
        <w:t>2.</w:t>
      </w:r>
      <w:r>
        <w:rPr>
          <w:noProof/>
        </w:rPr>
        <w:tab/>
        <w:t xml:space="preserve">Ir-responsabbiltà tal-awtorità kompetenti unika msemmija fil-paragrafu 1 u/jew il-kompiti relatati magħha jistgħu jiġu delegati lil awtorità oħra fil-livell amministrattiv xieraq, jew jitwettqu minnha, għal kull proġett ta’ interess komuni jew għal kull kategorija ta’ proġetti ta’ interess komuni, skont dawn il-kundizzjonijiet li ġejjin: </w:t>
      </w:r>
    </w:p>
    <w:p>
      <w:pPr>
        <w:pStyle w:val="ManualNumPar1"/>
        <w:rPr>
          <w:noProof/>
        </w:rPr>
      </w:pPr>
      <w:r>
        <w:rPr>
          <w:noProof/>
        </w:rPr>
        <w:t xml:space="preserve">(a) awtorità waħda biss tkun responsabbli għal kull proġett ta’ interess komuni; </w:t>
      </w:r>
    </w:p>
    <w:p>
      <w:pPr>
        <w:pStyle w:val="ManualNumPar1"/>
        <w:rPr>
          <w:noProof/>
        </w:rPr>
      </w:pPr>
      <w:r>
        <w:rPr>
          <w:noProof/>
        </w:rPr>
        <w:t xml:space="preserve">(b) l-awtorità tkun l-uniku punt ta’ kuntatt għall-promotur tal-proġett fil-proċedura li twassal għad-deċiżjoni komprensiva għal proġett speċifiku ta’ interess komuni, u </w:t>
      </w:r>
    </w:p>
    <w:p>
      <w:pPr>
        <w:pStyle w:val="ManualNumPar1"/>
        <w:rPr>
          <w:noProof/>
        </w:rPr>
      </w:pPr>
      <w:r>
        <w:rPr>
          <w:noProof/>
        </w:rPr>
        <w:t>(c) l-awtorità tikkoordina t-tressiq tad-dokumenti u l-informazzjoni rilevanti kollha.</w:t>
      </w:r>
    </w:p>
    <w:p>
      <w:pPr>
        <w:pStyle w:val="Text1"/>
        <w:rPr>
          <w:noProof/>
        </w:rPr>
      </w:pPr>
      <w:r>
        <w:rPr>
          <w:noProof/>
        </w:rPr>
        <w:t>L-awtorità kompetenti unika tista’ tibqa’ responsabbli biex tistabbilixxi limiti taż-żmien, mingħajr preġudizzju għal-limiti taż-żmien stabbiliti skont l-Artikolu 6.</w:t>
      </w:r>
    </w:p>
    <w:p>
      <w:pPr>
        <w:pStyle w:val="ManualNumPar1"/>
        <w:rPr>
          <w:noProof/>
        </w:rPr>
      </w:pPr>
      <w:r>
        <w:rPr>
          <w:noProof/>
        </w:rPr>
        <w:t>3.</w:t>
      </w:r>
      <w:r>
        <w:rPr>
          <w:noProof/>
        </w:rPr>
        <w:tab/>
        <w:t xml:space="preserve">L-awtorità kompetenti unika għandha tieħu deċiżjoni komprensiva fil-limiti taż-żmien speċifikati fl-Artikolu 6. Din għandha tagħmel dan wara proċeduri konġunti. </w:t>
      </w:r>
    </w:p>
    <w:p>
      <w:pPr>
        <w:pStyle w:val="ManualNumPar1"/>
        <w:rPr>
          <w:noProof/>
        </w:rPr>
      </w:pPr>
      <w:r>
        <w:rPr>
          <w:noProof/>
        </w:rPr>
        <w:t xml:space="preserve">Id-deċiżjoni komprensiva maħruġa mill-awtorità kompetenti unika għandha tkun l-unika deċiżjoni legalment vinkolanti li tirriżulta mill-proċedura statutorja tal-għoti tal-permessi. Meta jkun hemm awtoritajiet oħrajn ikkonċernati mill-proġett, dawn jistgħu jagħtu l-opinjoni tagħhom bħala kontribut għall-proċedura, skont il-leġiżlazzjoni nazzjonali. Din l-opinjoni għandha titqies mill-awtorità kompetenti unika. </w:t>
      </w:r>
    </w:p>
    <w:p>
      <w:pPr>
        <w:pStyle w:val="ManualNumPar1"/>
        <w:rPr>
          <w:noProof/>
        </w:rPr>
      </w:pPr>
      <w:r>
        <w:rPr>
          <w:noProof/>
        </w:rPr>
        <w:t>4.</w:t>
      </w:r>
      <w:r>
        <w:rPr>
          <w:noProof/>
        </w:rPr>
        <w:tab/>
        <w:t>Meta tieħu d-deċiżjoni komprensiva, l-awtorità kompetenti unika għandha tiżgura li jiġu rrispettati r-rekwiżiti rilevanti skont il-liġi internazzjonali u tal-Unjoni u għandha tiġġustifika d-deċiżjoni tagħha kif xieraq.</w:t>
      </w:r>
    </w:p>
    <w:p>
      <w:pPr>
        <w:pStyle w:val="ManualNumPar1"/>
        <w:rPr>
          <w:noProof/>
        </w:rPr>
      </w:pPr>
      <w:r>
        <w:rPr>
          <w:noProof/>
        </w:rPr>
        <w:t>5.</w:t>
      </w:r>
      <w:r>
        <w:rPr>
          <w:noProof/>
        </w:rPr>
        <w:tab/>
        <w:t>Jekk proġett ta’ interess komuni jkun jeħtieġ li jittieħdu deċiżjonijiet f’żewġ Stati Membri jew aktar, l-awtoritajiet kompetenti rispettivi għandhom jieħdu kull pass meħtieġ għal koperazzjoni u koordinazzjoni effiċjenti u effettivi bejniethom. Mingħajr preġudizzju għall-obbligi li jirriżultaw mil-liġijiet tal-Unjoni u internazzjonali applikabbli, l-Istati Membri għandhom jagħmlu ħilithom biex jipprovdu proċeduri konġunti, b’mod partikolari fir-rigward tal-valutazzjoni tal-impatti ambjentali.</w:t>
      </w:r>
      <w:r>
        <w:rPr>
          <w:noProof/>
        </w:rPr>
        <w:tab/>
      </w:r>
    </w:p>
    <w:p>
      <w:pPr>
        <w:pStyle w:val="Titrearticle"/>
        <w:rPr>
          <w:noProof/>
        </w:rPr>
      </w:pPr>
      <w:bookmarkStart w:id="4" w:name="_Ref305600308"/>
      <w:r>
        <w:rPr>
          <w:noProof/>
        </w:rPr>
        <w:t xml:space="preserve">Artikolu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bookmarkEnd w:id="4"/>
    <w:p>
      <w:pPr>
        <w:pStyle w:val="Titrearticle"/>
        <w:rPr>
          <w:b/>
          <w:noProof/>
        </w:rPr>
      </w:pPr>
      <w:r>
        <w:rPr>
          <w:b/>
          <w:noProof/>
        </w:rPr>
        <w:t>It-tul taż-żmien u l-implimentazzjoni tal-proċedura tal-għoti tal-permessi</w:t>
      </w:r>
    </w:p>
    <w:p>
      <w:pPr>
        <w:pStyle w:val="ManualNumPar1"/>
        <w:rPr>
          <w:noProof/>
        </w:rPr>
      </w:pPr>
      <w:r>
        <w:rPr>
          <w:noProof/>
        </w:rPr>
        <w:t>1.</w:t>
      </w:r>
      <w:r>
        <w:rPr>
          <w:noProof/>
        </w:rPr>
        <w:tab/>
        <w:t>Il-proċedura tal-għoti tal-permessi għandha tkun tikkonsisti fil-fażi ta’ qabel l-applikazzjoni u fil-fażi tal-valutazzjoni tal-applikazzjoni u t-teħid tad-deċiżjoni mill-awtorità kompetenti unika.</w:t>
      </w:r>
    </w:p>
    <w:p>
      <w:pPr>
        <w:pStyle w:val="ManualNumPar1"/>
        <w:rPr>
          <w:noProof/>
        </w:rPr>
      </w:pPr>
      <w:r>
        <w:rPr>
          <w:noProof/>
        </w:rPr>
        <w:t>2.</w:t>
      </w:r>
      <w:r>
        <w:rPr>
          <w:noProof/>
        </w:rPr>
        <w:tab/>
        <w:t>Il-fażi ta’ qabel l-applikazzjoni, li tkopri l-perjodu mill-bidu tal-proċedura tal-għoti tal-permessi sat-tressiq tal-fajl sħiħ tal-applikazzjoni lill-awtorità kompetenti unika, fil-prinċipju ma għandhiex taqbeż is-sentejn.</w:t>
      </w:r>
    </w:p>
    <w:p>
      <w:pPr>
        <w:pStyle w:val="Text2"/>
        <w:rPr>
          <w:noProof/>
        </w:rPr>
      </w:pPr>
      <w:r>
        <w:rPr>
          <w:noProof/>
        </w:rPr>
        <w:t>3.</w:t>
      </w:r>
      <w:r>
        <w:rPr>
          <w:noProof/>
        </w:rPr>
        <w:tab/>
        <w:t>Biex titnieda proċedura tal-għoti tal-permessi, il-promotur ta’ proġett għandu jinnotifika bil-miktub lill-awtorità kompetenti unika tal-Istati Membri kkonċernati dwar il-proġett u għandu jinkludi deskrizzjoni dettaljata tal-proġett. Sa mhux aktar tard minn xahrejn wara li tirċievi n-notifika msemmija hawn fuq, l-awtorità kompetenti unika għandha tikkonferma dan, jew jekk tqis li l-proġett mhuwiex matur biżżejjed biex jidħol fil-proċedura tal-għoti tal-permessi, din għandha tirrifjuta n-notifika bil-miktub. Jekk l-awtorità kompetenti unika tiddeċiedi li tirrifjuta n-notifika, għandha tiġġustifika d-deċiżjoni tagħha. Id-data tal-firma tar-rikonoxximent tan-notifika mill-awtorità kompetenti għandha sservi bħala l-bidu tal-proċedura tal-għoti tal-permessi. Meta jkun hemm żewġ Stati Membri jew aktar ikkonċernati, id-data tal-aċċettazzjoni tal-aħħar notifika mill-awtorità kompetenti kkonċernata għandha sservi bħala d-data tal-bidu tal-proċedura tal-għoti tal-permessi.</w:t>
      </w:r>
    </w:p>
    <w:p>
      <w:pPr>
        <w:pStyle w:val="ManualNumPar1"/>
        <w:rPr>
          <w:noProof/>
        </w:rPr>
      </w:pPr>
      <w:r>
        <w:rPr>
          <w:noProof/>
        </w:rPr>
        <w:t>4.</w:t>
      </w:r>
      <w:r>
        <w:rPr>
          <w:noProof/>
        </w:rPr>
        <w:tab/>
        <w:t>Fi żmien tliet xhur mill-bidu tal-proċedura tal-għoti tal-permessi, l-awtorità kompetenti unika, b’koperazzjoni mill-qrib mal-promotur tal-proġett u mal-awtoritajiet l-oħra kkonċernati, u filwaqt li tqis l-informazzjoni mressqa mill-promotur tal-proġett abbażi tan-notifika msemmija fil-paragrafu 3, għandha tistabbilixxi u tikkomunika deskrizzjoni dettaljata tal-applikazzjoni lill-promotur tal-proġett, li tkun tinkludi:</w:t>
      </w:r>
    </w:p>
    <w:p>
      <w:pPr>
        <w:pStyle w:val="Point0letter"/>
        <w:numPr>
          <w:ilvl w:val="1"/>
          <w:numId w:val="14"/>
        </w:numPr>
        <w:rPr>
          <w:noProof/>
        </w:rPr>
      </w:pPr>
      <w:r>
        <w:rPr>
          <w:noProof/>
        </w:rPr>
        <w:t xml:space="preserve">l-ambitu materjali u l-livell ta’ dettall tal-informazzjoni li jrid iressaq il-promotur tal-proġett, bħala parti mill-fajl tal-applikazzjoni għad-deċiżjoni komprensiva; </w:t>
      </w:r>
    </w:p>
    <w:p>
      <w:pPr>
        <w:pStyle w:val="Point0letter"/>
        <w:rPr>
          <w:noProof/>
        </w:rPr>
      </w:pPr>
      <w:r>
        <w:rPr>
          <w:noProof/>
        </w:rPr>
        <w:t>skeda tal-proċess tal-għoti tal-permessi li mill-inqas tkun tidentifika dan li ġej:</w:t>
      </w:r>
    </w:p>
    <w:p>
      <w:pPr>
        <w:pStyle w:val="Point2"/>
        <w:rPr>
          <w:noProof/>
        </w:rPr>
      </w:pPr>
      <w:r>
        <w:rPr>
          <w:noProof/>
        </w:rPr>
        <w:t>(i)</w:t>
      </w:r>
      <w:r>
        <w:rPr>
          <w:noProof/>
        </w:rPr>
        <w:tab/>
        <w:t>id-deċiżjonijiet u l-opinjonijiet li jridu jinkisbu;</w:t>
      </w:r>
    </w:p>
    <w:p>
      <w:pPr>
        <w:pStyle w:val="Point2"/>
        <w:rPr>
          <w:noProof/>
        </w:rPr>
      </w:pPr>
      <w:r>
        <w:rPr>
          <w:noProof/>
        </w:rPr>
        <w:t>(ii)</w:t>
      </w:r>
      <w:r>
        <w:rPr>
          <w:noProof/>
        </w:rPr>
        <w:tab/>
        <w:t>l-awtoritajiet, il-partijiet ikkonċernati u l-pubbliku li aktarx ikunu kkonċernati;</w:t>
      </w:r>
    </w:p>
    <w:p>
      <w:pPr>
        <w:pStyle w:val="Point2"/>
        <w:rPr>
          <w:noProof/>
        </w:rPr>
      </w:pPr>
      <w:r>
        <w:rPr>
          <w:noProof/>
        </w:rPr>
        <w:t>(iii)</w:t>
      </w:r>
      <w:r>
        <w:rPr>
          <w:noProof/>
        </w:rPr>
        <w:tab/>
        <w:t>l-istadji individwali tal-proċedura u t-tul tagħhom;</w:t>
      </w:r>
    </w:p>
    <w:p>
      <w:pPr>
        <w:pStyle w:val="Point2"/>
        <w:rPr>
          <w:noProof/>
        </w:rPr>
      </w:pPr>
      <w:r>
        <w:rPr>
          <w:noProof/>
        </w:rPr>
        <w:t>(iv)</w:t>
      </w:r>
      <w:r>
        <w:rPr>
          <w:noProof/>
        </w:rPr>
        <w:tab/>
        <w:t>it-tappi ewlenin li jridu jintlaħqu u l-iskadenzi tagħhom fid-dawl tad-deċiżjoni komprensiva li trid tittieħed;</w:t>
      </w:r>
    </w:p>
    <w:p>
      <w:pPr>
        <w:pStyle w:val="Point2"/>
        <w:rPr>
          <w:noProof/>
        </w:rPr>
      </w:pPr>
      <w:r>
        <w:rPr>
          <w:noProof/>
        </w:rPr>
        <w:t>(v)</w:t>
      </w:r>
      <w:r>
        <w:rPr>
          <w:noProof/>
        </w:rPr>
        <w:tab/>
        <w:t>ir-riżorsi ppjanati mill-awtoritajiet u l-ħtiġijiet possibbli ta’ riżorsi addizzjonali.</w:t>
      </w:r>
    </w:p>
    <w:p>
      <w:pPr>
        <w:pStyle w:val="ManualNumPar1"/>
        <w:rPr>
          <w:noProof/>
        </w:rPr>
      </w:pPr>
      <w:r>
        <w:rPr>
          <w:noProof/>
        </w:rPr>
        <w:t>5.</w:t>
      </w:r>
      <w:r>
        <w:rPr>
          <w:noProof/>
        </w:rPr>
        <w:tab/>
        <w:t>Biex tiżgura li l-fajl tal-applikazzjoni jkun sħiħ u jkollu kwalità xierqa, il-promotur tal-proġett għandu jitlob l-opinjoni tal-awtorità kompetenti unika fuq l-applikazzjoni tiegħu mill-aktar fis possibbli tul il-proċedura ta’ qabel l-applikazzjoni. Il-promotur tal-proġett għandu jikkopera għalkollox mal-awtorità kompetenti unika biex jiġu rispettati l-iskadenzi u d-deskrizzjoni dettaljata tal-applikazzjoni kif definit fil-paragrafu 4.</w:t>
      </w:r>
    </w:p>
    <w:p>
      <w:pPr>
        <w:pStyle w:val="ManualNumPar1"/>
        <w:rPr>
          <w:noProof/>
        </w:rPr>
      </w:pPr>
      <w:r>
        <w:rPr>
          <w:noProof/>
        </w:rPr>
        <w:t>6.</w:t>
      </w:r>
      <w:r>
        <w:rPr>
          <w:noProof/>
        </w:rPr>
        <w:tab/>
        <w:t>Il-promotur tal-proġett għandu jressaq fajl tal-applikazzjoni abbażi tad-deskrizzjoni dettaljata tal-applikazzjoni fi żmien 21 xahar minn meta tasal id-deskrizzjoni dettaljata tal-applikazzjoni. Wara l-iskadenza ta’ dak il-perjodu, id-deskrizzjoni dettaljata tal-applikazzjoni ma għadhiex meqjusa applikabbli, sakemm l-awtorità kompetenti unika ma tiddeċidix li dak il-perjodu jiġi estiż, skont talba ġustifikata mill-promotur tal-proġett.</w:t>
      </w:r>
    </w:p>
    <w:p>
      <w:pPr>
        <w:pStyle w:val="ManualNumPar1"/>
        <w:rPr>
          <w:noProof/>
        </w:rPr>
      </w:pPr>
      <w:r>
        <w:rPr>
          <w:noProof/>
        </w:rPr>
        <w:t>7.</w:t>
      </w:r>
      <w:r>
        <w:rPr>
          <w:noProof/>
        </w:rPr>
        <w:tab/>
        <w:t>Sa mhux aktar tard xahrejn mid-data tas-sottomissjoni tal-fajl sħiħ tal-applikazzjoni, l-awtorità kompetenti għandha tgħarraf bil-miktub dwar il-kompletezza tal-fajl tal-applikazzjoni u tikkomunikaha lill-promotur tal-proġett. Il-fajl tal-applikazzjoni mressaq mill-promotur tal-proġett għandu jitqies sħiħ, sakemm, fi żmien xahrejn mid-data tas-sottomissjoni, l-awtorità kompetenti ma tagħmilx talba dwar l-informazzjoni nieqsa li jrid iressaq il-promotur tal-proġett. Fejn jidħol l-ambitu materjali u l-livell ta’ dettall, dik it-talba għandha tkun limitata għall-elementi identifikati fid-deskrizzjoni dettaljata tal-applikazzjoni. Kull talba addizzjonali għall-informazzjoni għandha toħroġ biss minn ċirkostanzi ġodda eċċezzjonali u mhux previsti u għandha tiġi ġustifikata kif xieraq mill-awtorità kompetenti unika.</w:t>
      </w:r>
    </w:p>
    <w:p>
      <w:pPr>
        <w:pStyle w:val="ManualNumPar1"/>
        <w:rPr>
          <w:noProof/>
        </w:rPr>
      </w:pPr>
      <w:r>
        <w:rPr>
          <w:noProof/>
        </w:rPr>
        <w:t>8.</w:t>
      </w:r>
      <w:r>
        <w:rPr>
          <w:noProof/>
        </w:rPr>
        <w:tab/>
        <w:t>L-awtorità kompetenti unika għandha tivvaluta l-applikazzjoni u tadotta deċiżjoni komprensiva fi żmien sena mid-data tas-sottomissjoni tal-fajl sħiħ tal-applikazzjoni skont il-paragrafu 7. L-Istati Membri jistgħu jistabbilixxu skadenza aktar bikrija, meta xieraq.</w:t>
      </w:r>
    </w:p>
    <w:p>
      <w:pPr>
        <w:pStyle w:val="ManualNumPar1"/>
        <w:rPr>
          <w:noProof/>
        </w:rPr>
      </w:pPr>
      <w:r>
        <w:rPr>
          <w:noProof/>
        </w:rPr>
        <w:t>9.</w:t>
      </w:r>
      <w:r>
        <w:rPr>
          <w:noProof/>
        </w:rPr>
        <w:tab/>
        <w:t xml:space="preserve">Il-limiti taż-żmien fid-dispożizzjonijiet ta’ hawn fuq għandhom ikunu mingħajr preġudizzju għall-obbligi li joħorġu mill-atti legali internazzjonali u tal-Unjoni, kif ukoll għall-proċeduri amministrattivi ta’ appell u rimedji ġudizzjarji quddiem qorti jew tribunal. </w:t>
      </w:r>
    </w:p>
    <w:p>
      <w:pPr>
        <w:pStyle w:val="Titrearticle"/>
        <w:rPr>
          <w:noProof/>
        </w:rPr>
      </w:pPr>
      <w:r>
        <w:rPr>
          <w:noProof/>
        </w:rPr>
        <w:t xml:space="preserve">Artikolu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itrearticle"/>
        <w:rPr>
          <w:b/>
          <w:noProof/>
        </w:rPr>
      </w:pPr>
      <w:r>
        <w:rPr>
          <w:b/>
          <w:noProof/>
        </w:rPr>
        <w:t>Koordinazzjoni tal-proċeduri transfruntieri tal-għoti tal-permessi</w:t>
      </w:r>
    </w:p>
    <w:p>
      <w:pPr>
        <w:pStyle w:val="ManualNumPar1"/>
        <w:rPr>
          <w:noProof/>
        </w:rPr>
      </w:pPr>
      <w:r>
        <w:rPr>
          <w:noProof/>
        </w:rPr>
        <w:t>1.</w:t>
      </w:r>
      <w:r>
        <w:rPr>
          <w:noProof/>
        </w:rPr>
        <w:tab/>
        <w:t>Għall-proġetti li jinvolvu żewġ Stati Membri jew aktar, l-awtoritajiet kompetenti tal-Istati Membri kkonċernati għandhom jallinjaw l-iskedi tagħhom u jaqblu fuq skeda konġunta.</w:t>
      </w:r>
    </w:p>
    <w:p>
      <w:pPr>
        <w:pStyle w:val="ManualNumPar1"/>
        <w:rPr>
          <w:noProof/>
        </w:rPr>
      </w:pPr>
      <w:r>
        <w:rPr>
          <w:noProof/>
        </w:rPr>
        <w:t>2.</w:t>
      </w:r>
      <w:r>
        <w:rPr>
          <w:noProof/>
        </w:rPr>
        <w:tab/>
        <w:t xml:space="preserve">Il-Koordinatur Ewropew imsemmi fl-Artikolu 45 tar-Regolament (UE)² Nru 1315/2013 għandu jingħata s-setgħa li jsegwi mill-qrib il-proċedura tal-għoti tal-permessi għall-proġetti transfruntieri ta’ interess komuni, kif ukoll li jiffaċilita l-kuntatti bejn l-awtoritajiet kompetenti involuti. </w:t>
      </w:r>
    </w:p>
    <w:p>
      <w:pPr>
        <w:pStyle w:val="ManualNumPar1"/>
        <w:rPr>
          <w:noProof/>
        </w:rPr>
      </w:pPr>
      <w:r>
        <w:rPr>
          <w:noProof/>
        </w:rPr>
        <w:t>3.</w:t>
      </w:r>
      <w:r>
        <w:rPr>
          <w:noProof/>
        </w:rPr>
        <w:tab/>
        <w:t>Mingħajr preġudizzju għall-obbligu li jiġu rrispettati l-limiti taż-żmien skont dan ir-Regolament, jekk il-limitu taż-żmien għad-deċiżjoni komprensiva ma jiġix osservat, l-awtorità kompetenti għandha tinforma minnufih lill-Koordinatur Ewropew ikkonċernat dwar il-miżuri meħuda jew li jridu jittieħdu biex tiġi konkluża l-proċedura tal-għoti tal-permessi bl-inqas dewmien possibbli. Il-Koordinatur Ewropew jista’ jitlob lill-awtorità kompetenti biex tirrapporta regolarment dwar il-progress miksub.</w:t>
      </w:r>
    </w:p>
    <w:p>
      <w:pPr>
        <w:pStyle w:val="ChapterTitle"/>
        <w:spacing w:before="720"/>
        <w:rPr>
          <w:noProof/>
          <w:sz w:val="24"/>
        </w:rPr>
      </w:pPr>
      <w:r>
        <w:rPr>
          <w:noProof/>
          <w:sz w:val="24"/>
        </w:rPr>
        <w:t>KAPITOLU III – L-AKKWIST PUBBLIKU</w:t>
      </w:r>
    </w:p>
    <w:p>
      <w:pPr>
        <w:pStyle w:val="Titrearticle"/>
        <w:rPr>
          <w:b/>
          <w:noProof/>
        </w:rPr>
      </w:pPr>
      <w:r>
        <w:rPr>
          <w:noProof/>
        </w:rPr>
        <w:t xml:space="preserve">Artikolu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b/>
          <w:noProof/>
        </w:rPr>
        <w:t>L-akkwist pubbliku fil-proġetti transfruntieri ta’ interess komuni</w:t>
      </w:r>
    </w:p>
    <w:p>
      <w:pPr>
        <w:pStyle w:val="ManualNumPar1"/>
        <w:rPr>
          <w:noProof/>
        </w:rPr>
      </w:pPr>
      <w:r>
        <w:rPr>
          <w:noProof/>
        </w:rPr>
        <w:t>1.</w:t>
      </w:r>
      <w:r>
        <w:rPr>
          <w:noProof/>
        </w:rPr>
        <w:tab/>
        <w:t>L-akkwist pubbliku fi proġetti transfruntieri ta’ interess komuni għandu jitmexxa skont it-Trattat u d-Direttivi 2014/25/UE u/jew 2014/24/UE.</w:t>
      </w:r>
    </w:p>
    <w:p>
      <w:pPr>
        <w:pStyle w:val="ManualNumPar1"/>
        <w:rPr>
          <w:noProof/>
        </w:rPr>
      </w:pPr>
      <w:r>
        <w:rPr>
          <w:noProof/>
        </w:rPr>
        <w:t>2.</w:t>
      </w:r>
      <w:r>
        <w:rPr>
          <w:noProof/>
        </w:rPr>
        <w:tab/>
        <w:t>Jekk il-proċeduri tal-akkwist jitwettqu minn entità konġunta mwaqqfa mill-Istati Membri parteċipanti, dik l-entità għandha tapplika d-dispożizzjonijiet nazzjonali ta’ wieħed minn dawk l-Istati Membri u, b’deroga minn dawn id-Direttivi, dawk id-dispożizzjonijiet għandhom ikunu d-dispożizzjonijiet stabbiliti skont il-punt (a) tal-Artikolu 57(5) tad-Direttiva 2014/25/UE tal-Parlament Ewropew u tal-Kunsill jew il-punt (a) tal-Artikolu 39(5) tad-Direttiva 2014/24/UE tal-Parlament Ewropew u tal-Kunsill, kif applikabbli, sakemm ma jkunx hemm ftehim bejn l-Istati Membri parteċipanti li jipprovdi mod ieħor. F’kull każ, dan il-ftehim għandu jipprevedi l-applikazzjoni ta’ leġiżlazzjoni nazzjonali unika fil-każ tal-proċeduri tal-akkwist imwettqa minn entità konġunta.</w:t>
      </w:r>
    </w:p>
    <w:p>
      <w:pPr>
        <w:pStyle w:val="ChapterTitle"/>
        <w:spacing w:before="720"/>
        <w:rPr>
          <w:noProof/>
          <w:sz w:val="24"/>
        </w:rPr>
      </w:pPr>
      <w:r>
        <w:rPr>
          <w:noProof/>
          <w:sz w:val="24"/>
        </w:rPr>
        <w:t>KAPITOLU IV – L-ASSISTENZA TEKNIKA</w:t>
      </w:r>
    </w:p>
    <w:p>
      <w:pPr>
        <w:pStyle w:val="Titrearticle"/>
        <w:rPr>
          <w:b/>
          <w:noProof/>
        </w:rPr>
      </w:pPr>
      <w:r>
        <w:rPr>
          <w:noProof/>
        </w:rPr>
        <w:t xml:space="preserve">Artikolu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b/>
          <w:noProof/>
        </w:rPr>
        <w:t>Assistenza teknika</w:t>
      </w:r>
    </w:p>
    <w:p>
      <w:pPr>
        <w:pStyle w:val="ManualNumPar1"/>
        <w:rPr>
          <w:noProof/>
        </w:rPr>
      </w:pPr>
      <w:r>
        <w:rPr>
          <w:noProof/>
        </w:rPr>
        <w:t>B’talba mill-promotur tal-proġett jew minn Stat Membru, skont il-programmi rilevanti ta’ finanzjament tal-Unjoni u mingħajr preġudizzju għall-Qafas Finanzjarju Pluriennali, l-Unjoni għandha tagħmel disponibbli assistenza teknika biex jiġi implimentat dan ir-Regolament u tiġi ffaċilitata l-implimentazzjoni tal-proġetti ta’ interess komuni.</w:t>
      </w:r>
    </w:p>
    <w:p>
      <w:pPr>
        <w:pStyle w:val="ChapterTitle"/>
        <w:rPr>
          <w:noProof/>
          <w:szCs w:val="24"/>
        </w:rPr>
      </w:pPr>
      <w:r>
        <w:rPr>
          <w:noProof/>
          <w:sz w:val="24"/>
        </w:rPr>
        <w:t>KAPITOLU V – DISPOŻIZZJONIJIET FINALI</w:t>
      </w:r>
    </w:p>
    <w:p>
      <w:pPr>
        <w:pStyle w:val="Titrearticle"/>
        <w:rPr>
          <w:rFonts w:eastAsia="Times New Roman"/>
          <w:b/>
          <w:noProof/>
          <w:szCs w:val="24"/>
        </w:rPr>
      </w:pPr>
      <w:r>
        <w:rPr>
          <w:noProof/>
        </w:rPr>
        <w:t xml:space="preserve">Artikolu </w:t>
      </w:r>
      <w:r>
        <w:rPr>
          <w:rFonts w:eastAsia="Times New Roman"/>
          <w:noProof/>
          <w:szCs w:val="24"/>
        </w:rPr>
        <w:fldChar w:fldCharType="begin"/>
      </w:r>
      <w:r>
        <w:rPr>
          <w:rFonts w:eastAsia="Times New Roman"/>
          <w:noProof/>
          <w:szCs w:val="24"/>
        </w:rPr>
        <w:instrText xml:space="preserve"> SEQ Figure \* ARABIC </w:instrText>
      </w:r>
      <w:r>
        <w:rPr>
          <w:rFonts w:eastAsia="Times New Roman"/>
          <w:noProof/>
          <w:szCs w:val="24"/>
        </w:rPr>
        <w:fldChar w:fldCharType="separate"/>
      </w:r>
      <w:r>
        <w:rPr>
          <w:rFonts w:eastAsia="Times New Roman"/>
          <w:noProof/>
          <w:szCs w:val="24"/>
        </w:rPr>
        <w:t>10</w:t>
      </w:r>
      <w:r>
        <w:rPr>
          <w:rFonts w:eastAsia="Times New Roman"/>
          <w:noProof/>
          <w:szCs w:val="24"/>
        </w:rPr>
        <w:fldChar w:fldCharType="end"/>
      </w:r>
      <w:r>
        <w:rPr>
          <w:noProof/>
        </w:rPr>
        <w:br/>
      </w:r>
      <w:r>
        <w:rPr>
          <w:b/>
          <w:noProof/>
        </w:rPr>
        <w:t>Dispożizzjonijiet transizzjonali</w:t>
      </w:r>
    </w:p>
    <w:p>
      <w:pPr>
        <w:rPr>
          <w:rFonts w:eastAsia="Times New Roman"/>
          <w:noProof/>
          <w:szCs w:val="24"/>
        </w:rPr>
      </w:pPr>
      <w:r>
        <w:rPr>
          <w:noProof/>
        </w:rPr>
        <w:t>Dan ir-Regolament ma għandux japplika għall-proċeduri amministrattivi li nbdew qabel id-data tad-dħul fis-seħħ tiegħu.</w:t>
      </w:r>
    </w:p>
    <w:p>
      <w:pPr>
        <w:keepNext/>
        <w:spacing w:before="360"/>
        <w:jc w:val="center"/>
        <w:rPr>
          <w:rFonts w:eastAsia="Times New Roman"/>
          <w:b/>
          <w:i/>
          <w:noProof/>
          <w:szCs w:val="24"/>
        </w:rPr>
      </w:pPr>
      <w:r>
        <w:rPr>
          <w:i/>
          <w:noProof/>
        </w:rPr>
        <w:t xml:space="preserve">Artikolu </w:t>
      </w:r>
      <w:r>
        <w:rPr>
          <w:rFonts w:eastAsia="Times New Roman"/>
          <w:i/>
          <w:noProof/>
          <w:szCs w:val="24"/>
        </w:rPr>
        <w:fldChar w:fldCharType="begin"/>
      </w:r>
      <w:r>
        <w:rPr>
          <w:rFonts w:eastAsia="Times New Roman"/>
          <w:i/>
          <w:noProof/>
          <w:szCs w:val="24"/>
        </w:rPr>
        <w:instrText xml:space="preserve"> SEQ Figure \* ARABIC </w:instrText>
      </w:r>
      <w:r>
        <w:rPr>
          <w:rFonts w:eastAsia="Times New Roman"/>
          <w:i/>
          <w:noProof/>
          <w:szCs w:val="24"/>
        </w:rPr>
        <w:fldChar w:fldCharType="separate"/>
      </w:r>
      <w:r>
        <w:rPr>
          <w:rFonts w:eastAsia="Times New Roman"/>
          <w:i/>
          <w:noProof/>
          <w:szCs w:val="24"/>
        </w:rPr>
        <w:t>11</w:t>
      </w:r>
      <w:r>
        <w:rPr>
          <w:rFonts w:eastAsia="Times New Roman"/>
          <w:i/>
          <w:noProof/>
          <w:szCs w:val="24"/>
        </w:rPr>
        <w:fldChar w:fldCharType="end"/>
      </w:r>
      <w:r>
        <w:rPr>
          <w:rFonts w:eastAsia="Times New Roman"/>
          <w:i/>
          <w:noProof/>
          <w:szCs w:val="24"/>
        </w:rPr>
        <w:br/>
      </w:r>
      <w:r>
        <w:rPr>
          <w:b/>
          <w:i/>
          <w:noProof/>
        </w:rPr>
        <w:t>Dħul fis-seħħ</w:t>
      </w:r>
    </w:p>
    <w:p>
      <w:pPr>
        <w:spacing w:before="480"/>
        <w:rPr>
          <w:rFonts w:eastAsia="Times New Roman"/>
          <w:noProof/>
          <w:szCs w:val="24"/>
        </w:rPr>
      </w:pPr>
      <w:r>
        <w:rPr>
          <w:noProof/>
        </w:rPr>
        <w:t>Dan ir-Regolament għandu jidħol fis-seħħ fl-għoxrin jum wara dak tal-pubblikazzjoni tiegħu f’</w:t>
      </w:r>
      <w:r>
        <w:rPr>
          <w:i/>
          <w:noProof/>
        </w:rPr>
        <w:t>Il-Ġurnal Uffiċjali tal-Unjoni Ewropea</w:t>
      </w:r>
      <w:r>
        <w:rPr>
          <w:noProof/>
        </w:rPr>
        <w:t>.</w:t>
      </w:r>
    </w:p>
    <w:p>
      <w:pPr>
        <w:pStyle w:val="Applicationdirecte"/>
        <w:rPr>
          <w:noProof/>
        </w:rPr>
      </w:pPr>
      <w:r>
        <w:rPr>
          <w:noProof/>
        </w:rPr>
        <w:t>Dan ir-Regolament għandu jorbot fl-intier tiegħu u japplika direttament fl-Istati Membri kollha.</w:t>
      </w:r>
    </w:p>
    <w:p>
      <w:pPr>
        <w:pStyle w:val="Fait"/>
        <w:rPr>
          <w:noProof/>
        </w:rPr>
      </w:pPr>
      <w:r>
        <w:t>Magħmul fi Brussell,</w:t>
      </w:r>
    </w:p>
    <w:p>
      <w:pPr>
        <w:pStyle w:val="Institutionquisigne"/>
        <w:rPr>
          <w:noProof/>
        </w:rPr>
      </w:pPr>
      <w:r>
        <w:rPr>
          <w:noProof/>
        </w:rPr>
        <w:t>Għall-Parlament Ewropew</w:t>
      </w:r>
      <w:r>
        <w:rPr>
          <w:noProof/>
        </w:rPr>
        <w:tab/>
        <w:t>Għall-Kunsill</w:t>
      </w:r>
    </w:p>
    <w:p>
      <w:pPr>
        <w:pStyle w:val="Personnequisigne"/>
        <w:rPr>
          <w:noProof/>
        </w:rPr>
      </w:pPr>
      <w:r>
        <w:rPr>
          <w:noProof/>
        </w:rPr>
        <w:t>Il-President</w:t>
      </w:r>
      <w:r>
        <w:rPr>
          <w:noProof/>
        </w:rPr>
        <w:tab/>
        <w:t>Il-President</w:t>
      </w:r>
    </w:p>
    <w:sect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1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19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ab/>
        <w:t>COM(2014) 903 final.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ab/>
        <w:t>It-twettiq tat-TEN-T, Fatti u Ċifri, https://ec.europa.eu/transport/sites/transport/files/delivering_ten_t.pdf, Settembru 2017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ab/>
        <w:t>Skont ir-rispons li taw l-Istati Membri f’Mejju 2017. Il-pjanijiet ta’ ħidma tas-CNC flimkien mal-istudji ta’ appoġġ tagħhom jinsabu fuq: https://ec.europa.eu/transport/themes/infrastructure/downloads_en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ab/>
        <w:t xml:space="preserve">Dan japplika wkoll għat-30 proġett ta’ prijorità tat-TEN-T li kienu ġew identifikati qabel. Ħafna minnhom tlestew iżda oħrajn għandhom għaddejjin; l-esperjenza bil-Proġetti ta’ Prijorità turi li jeżistu kwistjonijiet relatati mal-proċeduri tal-għoti tal-permessi li jaffettwaw it-twettiq ta’ bosta proġetti (eż. PP17, PP18/30, PP24), </w:t>
      </w:r>
      <w:r>
        <w:rPr>
          <w:i/>
        </w:rPr>
        <w:t>Implementation of the Priority Projects</w:t>
      </w:r>
      <w:r>
        <w:t xml:space="preserve"> (l-Implimentazzjoni tal-Proġetti ta’ Prijorità), Novembru 2012; id-DĠ MOVE abbażi tad-dejta tal-Istati Membri, https://ec.europa.eu/transport/sites/transport/files/themes/infrastructure/ten-t-policy/priority-projects/doc/pp_report_nov2012.pdf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ab/>
        <w:t xml:space="preserve">L-Eks Viċi President tal-Kummissjoni H. Christophersen, il-Koordinatur Ewropew u Professur K. Bodewig, il-Koordinatur Ewropew u Professur C. Secchi, fil-Pjan ta’ Azzjoni – </w:t>
      </w:r>
      <w:r>
        <w:rPr>
          <w:i/>
        </w:rPr>
        <w:t>Making the best use of new financial schemes for European transport infrastructure projects</w:t>
      </w:r>
      <w:r>
        <w:t xml:space="preserve"> (Rapport tas-CBS), Ġunju 2015, li jinsab fuq: http://ec.europa.eu/transport/themes/infrastructure/ten-t-guidelines/doc/2015_06_03_cbs_action_plan_final.pdf Progress Report of the Action Plan Making the best use of new financial schemes for European transport infrastructure projects, January 2018, https://ec.europa.eu/transport/sites/transport/files/cbs2_report_final.pdf, (minn hawn ’il quddiem imsejjaħ “Rapport ta’ Progress tas-CBS”).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ab/>
        <w:t>Fil-konklużjonijiet adottati fil-5 ta’ Diċembru 2017, il-Kunsill tenna l-impenn qawwi tiegħu għall-implimentazzjoni tat-TEN-T u l-ħtieġa li din il-politika tissokta biex tingħata spinta lill-investiment fit-trasport u tikkontribwixxi għall-għanijiet ġenerali, l-aktar fejn jidħol it-tibdil fil-klima. 15425/17 TRANS 541.</w:t>
      </w:r>
    </w:p>
  </w:footnote>
  <w:footnote w:id="7">
    <w:p>
      <w:pPr>
        <w:pStyle w:val="FootnoteText"/>
      </w:pPr>
      <w:r>
        <w:rPr>
          <w:rStyle w:val="FootnoteReference"/>
        </w:rPr>
        <w:footnoteRef/>
      </w:r>
      <w:r>
        <w:tab/>
        <w:t>COM(2016) 359 final.</w:t>
      </w:r>
    </w:p>
  </w:footnote>
  <w:footnote w:id="8">
    <w:p>
      <w:pPr>
        <w:pStyle w:val="FootnoteText"/>
      </w:pPr>
      <w:r>
        <w:rPr>
          <w:rStyle w:val="FootnoteReference"/>
        </w:rPr>
        <w:footnoteRef/>
      </w:r>
      <w:r>
        <w:tab/>
        <w:t>The Results and Efficiency of Railway Infrastructure Financing within the European Union (Ir-Riżultati u l-Effiċjenza tal-Finanzjament fl-Infrastruttura Ferrovjarja fl-Unjoni Ewropea), Studju għall-Parlament Ewropew, Ottubru 2015.</w:t>
      </w:r>
    </w:p>
  </w:footnote>
  <w:footnote w:id="9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ab/>
        <w:t>COM(2016)501 final.</w:t>
      </w:r>
    </w:p>
  </w:footnote>
  <w:footnote w:id="10">
    <w:p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>
        <w:tab/>
      </w:r>
      <w:hyperlink r:id="rId1">
        <w:r>
          <w:rPr>
            <w:rStyle w:val="Hyperlink"/>
          </w:rPr>
          <w:t>http://www.g7italy.it/sites/default/files/documents/Final%20Declaration_0.pdf</w:t>
        </w:r>
      </w:hyperlink>
      <w:r>
        <w:t xml:space="preserve"> 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ab/>
        <w:t xml:space="preserve">L-istrateġija Ġermaniża biex jitħaffef il-proċess tal-ippjanar: </w:t>
      </w:r>
      <w:hyperlink r:id="rId2">
        <w:r>
          <w:rPr>
            <w:rStyle w:val="Hyperlink"/>
          </w:rPr>
          <w:t>https://www.bmvi.de/SharedDocs/DE/Publikationen/G/innovationsforum-planungsbeschleunigung-abschlussbericht.pdf?_ _blob=publicationFile</w:t>
        </w:r>
      </w:hyperlink>
      <w:r>
        <w:t xml:space="preserve"> 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ab/>
        <w:t>COM(2017) 534 final.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ab/>
      </w:r>
      <w:r>
        <w:rPr>
          <w:color w:val="000000"/>
        </w:rPr>
        <w:t>Ir-Regolament (UE) Nru 347/2013 tal-Parlament Ewropew u tal-Kunsill tas-17 ta’ April 2013 dwar linji gwida għall-infrastruttura tal-enerġija trans-Ewropea u li jħassar id-Deċiżjoni Nru 1364/2006/KE u li jemenda r-Regolamenti (KE) Nru 713/2009, (KE) Nru 714/2009 u (KE) Nru 715/2009, (ĠU L 115, 25.4.2013, p. 39).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ab/>
        <w:t>Ir-Regolament (UE) Nru 347/2013 tal-Parlament Ewropew u tal-Kunsill tas-17 ta’ April 2013 dwar linji gwida għall-infrastruttura tal-enerġija trans-Ewropea u li jħassar id-Deċiżjoni Nru 1364/2006/KE u li jemenda r-Regolamenti (KE) Nru 713/2009, (KE) Nru 714/2009 u (KE) Nru 715/2009 (ĠU L 115, 25.4.2013, p. 39-75).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ab/>
        <w:t>Rapport ta’ progress dwar l-implimentazzjoni tan-Netwerk tat-TEN-T fl-2014 u fl-2015, Frar 2017.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ab/>
      </w:r>
      <w:hyperlink r:id="rId3">
        <w:r>
          <w:rPr>
            <w:rStyle w:val="Hyperlink"/>
          </w:rPr>
          <w:t>https://ec.europa.eu/transport/sites/transport/files/permitting_ten-t_final_report.pdf</w:t>
        </w:r>
      </w:hyperlink>
      <w:r>
        <w:t xml:space="preserve"> 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ab/>
        <w:t>Il-link jingħata ladarba jiġi ppubblikat.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ab/>
        <w:t>Proġetti appoġġati mill-Fond Ewropew għall-Investimenti Strateġiċi skont ir-Regolament (UE) 2017/2396 tal-Parlament Ewropew u tal-Kunsill tat-13 ta’ Diċembru 2017 li jemenda r-Regolamenti (UE) Nru 1316/2013 u (UE) 2015/1017 fir-rigward tal-estensjoni tad-durata tal-Fond Ewropew għall-Investimenti Strateġiċi kif ukoll l-introduzzjoni ta’ titjib tekniku għal dak il-Fond u għaċ-Ċentru Ewropew ta’ Konsulenza għall-Investimenti (ĠU L 345, 27.12.2017, p. 34-52).</w:t>
      </w:r>
    </w:p>
  </w:footnote>
  <w:footnote w:id="19">
    <w:p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ab/>
      </w:r>
      <w:r>
        <w:rPr>
          <w:sz w:val="18"/>
        </w:rPr>
        <w:t>B’mod partikolari,</w:t>
      </w:r>
      <w:r>
        <w:t xml:space="preserve"> id-Direttiva 2014/25/UE tal-Parlament Ewropew u tal-Kunsill tas-26 ta’ Frar 2014 dwar l-akkwist minn entitajiet li joperaw fis-setturi tas-servizzi tal-ilma, l-enerġija, it-trasport u postali u li tħassar id-Direttiva 2004/17/KE (ĠU L 94, 28.3.2014, p. 243) u d-Direttiva 2014/24/UE tal-Parlament Ewropew u tal-Kunsill tas-26 ta’ Frar 2014 dwar l-akkwist pubbliku u li tħassar id-Direttiva 2004/18/KE (ĠU L 94, 28.3.2014, p. 65).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ab/>
        <w:t>ĠU C , , p. 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ab/>
        <w:t>ĠU C , , p. .</w:t>
      </w:r>
    </w:p>
  </w:footnote>
  <w:footnote w:id="22">
    <w:p>
      <w:pPr>
        <w:pStyle w:val="FootnoteText"/>
      </w:pPr>
      <w:r>
        <w:rPr>
          <w:rStyle w:val="FootnoteReference"/>
        </w:rPr>
        <w:footnoteRef/>
      </w:r>
      <w:r>
        <w:tab/>
        <w:t>Ir-Regolament (UE) Nru 1315/2013 tal-Parlament Ewropew u tal-Kunsill tal-11 ta’ Diċembru 2013 dwar linji gwida tal-Unjoni għall-iżvilupp tan-netwerk trans-Ewropew tat-trasport u li jħassar id-Deċiżjoni Nru 661/2010/UE (ĠU L 348, 20.12.2013, p. 1).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ab/>
        <w:t>COM(2017) 198 final.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ab/>
        <w:t>COM(2017) 573 final.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6602CC1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514079C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D80AB26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416E926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F4EE10B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0D42F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66D20E7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048E3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2"/>
    <w:lvlOverride w:ilvl="0">
      <w:startOverride w:val="1"/>
    </w:lvlOverride>
  </w:num>
  <w:num w:numId="2">
    <w:abstractNumId w:val="21"/>
    <w:lvlOverride w:ilvl="0">
      <w:startOverride w:val="1"/>
    </w:lvlOverride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</w:num>
  <w:num w:numId="13">
    <w:abstractNumId w:val="20"/>
    <w:lvlOverride w:ilvl="0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2"/>
  </w:num>
  <w:num w:numId="17">
    <w:abstractNumId w:val="20"/>
  </w:num>
  <w:num w:numId="18">
    <w:abstractNumId w:val="11"/>
  </w:num>
  <w:num w:numId="19">
    <w:abstractNumId w:val="13"/>
  </w:num>
  <w:num w:numId="20">
    <w:abstractNumId w:val="9"/>
  </w:num>
  <w:num w:numId="21">
    <w:abstractNumId w:val="19"/>
  </w:num>
  <w:num w:numId="22">
    <w:abstractNumId w:val="8"/>
  </w:num>
  <w:num w:numId="23">
    <w:abstractNumId w:val="14"/>
  </w:num>
  <w:num w:numId="24">
    <w:abstractNumId w:val="16"/>
  </w:num>
  <w:num w:numId="25">
    <w:abstractNumId w:val="17"/>
  </w:num>
  <w:num w:numId="26">
    <w:abstractNumId w:val="10"/>
  </w:num>
  <w:num w:numId="27">
    <w:abstractNumId w:val="15"/>
  </w:num>
  <w:num w:numId="28">
    <w:abstractNumId w:val="21"/>
  </w:num>
  <w:num w:numId="29">
    <w:abstractNumId w:val="18"/>
  </w:num>
  <w:num w:numId="30">
    <w:abstractNumId w:val="12"/>
  </w:num>
  <w:num w:numId="31">
    <w:abstractNumId w:val="20"/>
  </w:num>
  <w:num w:numId="32">
    <w:abstractNumId w:val="11"/>
  </w:num>
  <w:num w:numId="33">
    <w:abstractNumId w:val="13"/>
  </w:num>
  <w:num w:numId="34">
    <w:abstractNumId w:val="9"/>
  </w:num>
  <w:num w:numId="35">
    <w:abstractNumId w:val="19"/>
  </w:num>
  <w:num w:numId="36">
    <w:abstractNumId w:val="8"/>
  </w:num>
  <w:num w:numId="37">
    <w:abstractNumId w:val="14"/>
  </w:num>
  <w:num w:numId="38">
    <w:abstractNumId w:val="16"/>
  </w:num>
  <w:num w:numId="39">
    <w:abstractNumId w:val="17"/>
  </w:num>
  <w:num w:numId="40">
    <w:abstractNumId w:val="10"/>
  </w:num>
  <w:num w:numId="41">
    <w:abstractNumId w:val="15"/>
  </w:num>
  <w:num w:numId="42">
    <w:abstractNumId w:val="21"/>
  </w:num>
  <w:numIdMacAtCleanup w:val="28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18-06-05 08:20:11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1"/>
    <w:docVar w:name="DQCResult_StructureCheck" w:val="0;0"/>
    <w:docVar w:name="DQCResult_SuperfluousWhitespace" w:val="0;1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22CDFD84-B0A0-4421-B400-8C5383EB2188"/>
    <w:docVar w:name="LW_COVERPAGE_TYPE" w:val="1"/>
    <w:docVar w:name="LW_CROSSREFERENCE" w:val="{SEC(2018) 228 final}_x000b_{SWD(2018) 178 final}_x000b_{SWD(2018) 179 final}"/>
    <w:docVar w:name="LW_DocType" w:val="COM"/>
    <w:docVar w:name="LW_EMISSION" w:val="17.5.2018"/>
    <w:docVar w:name="LW_EMISSION_ISODATE" w:val="2018-05-17"/>
    <w:docVar w:name="LW_EMISSION_LOCATION" w:val="BRX"/>
    <w:docVar w:name="LW_EMISSION_PREFIX" w:val="Brussell, "/>
    <w:docVar w:name="LW_EMISSION_SUFFIX" w:val="&lt;EMPTY&gt;"/>
    <w:docVar w:name="LW_ID_DOCMODEL" w:val="SJ-023"/>
    <w:docVar w:name="LW_ID_DOCSIGNATURE" w:val="SJ-023"/>
    <w:docVar w:name="LW_ID_DOCSTRUCTURE" w:val="COM/PL/ORG"/>
    <w:docVar w:name="LW_ID_DOCTYPE" w:val="SJ-023"/>
    <w:docVar w:name="LW_ID_EXP.MOTIFS.NEW" w:val="EM_PL_"/>
    <w:docVar w:name="LW_ID_STATUT" w:val="SJ-023"/>
    <w:docVar w:name="LW_INTERETEEE.CP" w:val="&lt;UNUSED&gt;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138"/>
    <w:docVar w:name="LW_REF.II.NEW.CP_YEAR" w:val="2018"/>
    <w:docVar w:name="LW_REF.INST.NEW" w:val="COM"/>
    <w:docVar w:name="LW_REF.INST.NEW_ADOPTED" w:val="final"/>
    <w:docVar w:name="LW_REF.INST.NEW_TEXT" w:val="(2018) 277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TATUT.CP" w:val="Proposta g\u295?al"/>
    <w:docVar w:name="LW_SUPERTITRE" w:val="&lt;UNUSED&gt;"/>
    <w:docVar w:name="LW_TITRE.OBJ.CP" w:val="dwar ir-razzjonalizzazzjoni ta\u8217? mi\u380?uri li jmexxu \u8217?l quddiem it-twettiq tan-netwerk trans-Ewropew tat-trasport "/>
    <w:docVar w:name="LW_TYPE.DOC.CP" w:val="REGOLAMENT TAL-PARLAMENT EWROPEW U TAL-KUNSIL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5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5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5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5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Pr>
      <w:rFonts w:cs="Times New Roman"/>
      <w:sz w:val="16"/>
      <w:szCs w:val="16"/>
      <w:shd w:val="clear" w:color="auto" w:fill="auto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10"/>
      </w:numPr>
      <w:tabs>
        <w:tab w:val="clear" w:pos="1209"/>
        <w:tab w:val="num" w:pos="360"/>
      </w:tabs>
      <w:ind w:left="0" w:firstLine="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mt-M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customStyle="1" w:styleId="CM3">
    <w:name w:val="CM3"/>
    <w:basedOn w:val="Normal"/>
    <w:next w:val="Normal"/>
    <w:uiPriority w:val="99"/>
    <w:pPr>
      <w:autoSpaceDE w:val="0"/>
      <w:autoSpaceDN w:val="0"/>
      <w:adjustRightInd w:val="0"/>
      <w:spacing w:before="0" w:after="0"/>
      <w:jc w:val="left"/>
    </w:pPr>
    <w:rPr>
      <w:rFonts w:ascii="EUAlbertina" w:hAnsi="EUAlbertina" w:cstheme="minorBidi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aliases w:val="Numbered Para 1,Dot pt,No Spacing1,List Paragraph Char Char Char,Indicator Text,List Paragraph1,Bullet Points,MAIN CONTENT,List Paragraph12,F5 List Paragraph,Heading 2_sj,1st level - Bullet List Paragraph,Lettre d'introduction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"/>
    <w:basedOn w:val="DefaultParagraphFont"/>
    <w:link w:val="ListParagraph"/>
    <w:uiPriority w:val="34"/>
    <w:qFormat/>
    <w:rPr>
      <w:rFonts w:ascii="Times New Roman" w:hAnsi="Times New Roman" w:cs="Times New Roman"/>
      <w:sz w:val="24"/>
      <w:lang w:val="mt-MT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Nno">
    <w:name w:val="Nno"/>
    <w:basedOn w:val="Text1"/>
    <w:pPr>
      <w:ind w:left="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  <w:rPr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  <w:rPr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  <w:lang w:eastAsia="en-US" w:bidi="ar-SA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  <w:lang w:eastAsia="en-US" w:bidi="ar-SA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9"/>
      </w:numPr>
    </w:pPr>
  </w:style>
  <w:style w:type="paragraph" w:customStyle="1" w:styleId="Tiret1">
    <w:name w:val="Tiret 1"/>
    <w:basedOn w:val="Point1"/>
    <w:pPr>
      <w:numPr>
        <w:numId w:val="30"/>
      </w:numPr>
    </w:pPr>
  </w:style>
  <w:style w:type="paragraph" w:customStyle="1" w:styleId="Tiret2">
    <w:name w:val="Tiret 2"/>
    <w:basedOn w:val="Point2"/>
    <w:pPr>
      <w:numPr>
        <w:numId w:val="31"/>
      </w:numPr>
    </w:pPr>
  </w:style>
  <w:style w:type="paragraph" w:customStyle="1" w:styleId="Tiret3">
    <w:name w:val="Tiret 3"/>
    <w:basedOn w:val="Point3"/>
    <w:pPr>
      <w:numPr>
        <w:numId w:val="32"/>
      </w:numPr>
    </w:pPr>
  </w:style>
  <w:style w:type="paragraph" w:customStyle="1" w:styleId="Tiret4">
    <w:name w:val="Tiret 4"/>
    <w:basedOn w:val="Point4"/>
    <w:pPr>
      <w:numPr>
        <w:numId w:val="33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4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4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4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4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6"/>
      </w:numPr>
    </w:pPr>
  </w:style>
  <w:style w:type="paragraph" w:customStyle="1" w:styleId="Point1number">
    <w:name w:val="Point 1 (number)"/>
    <w:basedOn w:val="Normal"/>
    <w:pPr>
      <w:numPr>
        <w:ilvl w:val="2"/>
        <w:numId w:val="36"/>
      </w:numPr>
    </w:pPr>
  </w:style>
  <w:style w:type="paragraph" w:customStyle="1" w:styleId="Point2number">
    <w:name w:val="Point 2 (number)"/>
    <w:basedOn w:val="Normal"/>
    <w:pPr>
      <w:numPr>
        <w:ilvl w:val="4"/>
        <w:numId w:val="36"/>
      </w:numPr>
    </w:pPr>
  </w:style>
  <w:style w:type="paragraph" w:customStyle="1" w:styleId="Point3number">
    <w:name w:val="Point 3 (number)"/>
    <w:basedOn w:val="Normal"/>
    <w:pPr>
      <w:numPr>
        <w:ilvl w:val="6"/>
        <w:numId w:val="36"/>
      </w:numPr>
    </w:pPr>
  </w:style>
  <w:style w:type="paragraph" w:customStyle="1" w:styleId="Point0letter">
    <w:name w:val="Point 0 (letter)"/>
    <w:basedOn w:val="Normal"/>
    <w:pPr>
      <w:numPr>
        <w:ilvl w:val="1"/>
        <w:numId w:val="36"/>
      </w:numPr>
    </w:pPr>
  </w:style>
  <w:style w:type="paragraph" w:customStyle="1" w:styleId="Point1letter">
    <w:name w:val="Point 1 (letter)"/>
    <w:basedOn w:val="Normal"/>
    <w:pPr>
      <w:numPr>
        <w:ilvl w:val="3"/>
        <w:numId w:val="36"/>
      </w:numPr>
    </w:pPr>
  </w:style>
  <w:style w:type="paragraph" w:customStyle="1" w:styleId="Point2letter">
    <w:name w:val="Point 2 (letter)"/>
    <w:basedOn w:val="Normal"/>
    <w:pPr>
      <w:numPr>
        <w:ilvl w:val="5"/>
        <w:numId w:val="36"/>
      </w:numPr>
    </w:pPr>
  </w:style>
  <w:style w:type="paragraph" w:customStyle="1" w:styleId="Point3letter">
    <w:name w:val="Point 3 (letter)"/>
    <w:basedOn w:val="Normal"/>
    <w:pPr>
      <w:numPr>
        <w:ilvl w:val="7"/>
        <w:numId w:val="36"/>
      </w:numPr>
    </w:pPr>
  </w:style>
  <w:style w:type="paragraph" w:customStyle="1" w:styleId="Point4letter">
    <w:name w:val="Point 4 (letter)"/>
    <w:basedOn w:val="Normal"/>
    <w:pPr>
      <w:numPr>
        <w:ilvl w:val="8"/>
        <w:numId w:val="36"/>
      </w:numPr>
    </w:pPr>
  </w:style>
  <w:style w:type="paragraph" w:customStyle="1" w:styleId="Bullet0">
    <w:name w:val="Bullet 0"/>
    <w:basedOn w:val="Normal"/>
    <w:pPr>
      <w:numPr>
        <w:numId w:val="37"/>
      </w:numPr>
    </w:pPr>
  </w:style>
  <w:style w:type="paragraph" w:customStyle="1" w:styleId="Bullet1">
    <w:name w:val="Bullet 1"/>
    <w:basedOn w:val="Normal"/>
    <w:pPr>
      <w:numPr>
        <w:numId w:val="38"/>
      </w:numPr>
    </w:pPr>
  </w:style>
  <w:style w:type="paragraph" w:customStyle="1" w:styleId="Bullet2">
    <w:name w:val="Bullet 2"/>
    <w:basedOn w:val="Normal"/>
    <w:pPr>
      <w:numPr>
        <w:numId w:val="39"/>
      </w:numPr>
    </w:pPr>
  </w:style>
  <w:style w:type="paragraph" w:customStyle="1" w:styleId="Bullet3">
    <w:name w:val="Bullet 3"/>
    <w:basedOn w:val="Normal"/>
    <w:pPr>
      <w:numPr>
        <w:numId w:val="40"/>
      </w:numPr>
    </w:pPr>
  </w:style>
  <w:style w:type="paragraph" w:customStyle="1" w:styleId="Bullet4">
    <w:name w:val="Bullet 4"/>
    <w:basedOn w:val="Normal"/>
    <w:pPr>
      <w:numPr>
        <w:numId w:val="41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2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t-MT" w:eastAsia="mt-MT" w:bidi="mt-MT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5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5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5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5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Pr>
      <w:rFonts w:cs="Times New Roman"/>
      <w:sz w:val="16"/>
      <w:szCs w:val="16"/>
      <w:shd w:val="clear" w:color="auto" w:fill="auto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10"/>
      </w:numPr>
      <w:tabs>
        <w:tab w:val="clear" w:pos="1209"/>
        <w:tab w:val="num" w:pos="360"/>
      </w:tabs>
      <w:ind w:left="0" w:firstLine="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mt-M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mt-M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customStyle="1" w:styleId="CM3">
    <w:name w:val="CM3"/>
    <w:basedOn w:val="Normal"/>
    <w:next w:val="Normal"/>
    <w:uiPriority w:val="99"/>
    <w:pPr>
      <w:autoSpaceDE w:val="0"/>
      <w:autoSpaceDN w:val="0"/>
      <w:adjustRightInd w:val="0"/>
      <w:spacing w:before="0" w:after="0"/>
      <w:jc w:val="left"/>
    </w:pPr>
    <w:rPr>
      <w:rFonts w:ascii="EUAlbertina" w:hAnsi="EUAlbertina" w:cstheme="minorBidi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aliases w:val="Numbered Para 1,Dot pt,No Spacing1,List Paragraph Char Char Char,Indicator Text,List Paragraph1,Bullet Points,MAIN CONTENT,List Paragraph12,F5 List Paragraph,Heading 2_sj,1st level - Bullet List Paragraph,Lettre d'introduction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"/>
    <w:basedOn w:val="DefaultParagraphFont"/>
    <w:link w:val="ListParagraph"/>
    <w:uiPriority w:val="34"/>
    <w:qFormat/>
    <w:rPr>
      <w:rFonts w:ascii="Times New Roman" w:hAnsi="Times New Roman" w:cs="Times New Roman"/>
      <w:sz w:val="24"/>
      <w:lang w:val="mt-MT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Nno">
    <w:name w:val="Nno"/>
    <w:basedOn w:val="Text1"/>
    <w:pPr>
      <w:ind w:left="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  <w:rPr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  <w:rPr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  <w:rPr>
      <w:lang w:eastAsia="en-US" w:bidi="ar-SA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  <w:rPr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  <w:lang w:eastAsia="en-US" w:bidi="ar-SA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  <w:lang w:eastAsia="en-US" w:bidi="ar-SA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9"/>
      </w:numPr>
    </w:pPr>
  </w:style>
  <w:style w:type="paragraph" w:customStyle="1" w:styleId="Tiret1">
    <w:name w:val="Tiret 1"/>
    <w:basedOn w:val="Point1"/>
    <w:pPr>
      <w:numPr>
        <w:numId w:val="30"/>
      </w:numPr>
    </w:pPr>
  </w:style>
  <w:style w:type="paragraph" w:customStyle="1" w:styleId="Tiret2">
    <w:name w:val="Tiret 2"/>
    <w:basedOn w:val="Point2"/>
    <w:pPr>
      <w:numPr>
        <w:numId w:val="31"/>
      </w:numPr>
    </w:pPr>
  </w:style>
  <w:style w:type="paragraph" w:customStyle="1" w:styleId="Tiret3">
    <w:name w:val="Tiret 3"/>
    <w:basedOn w:val="Point3"/>
    <w:pPr>
      <w:numPr>
        <w:numId w:val="32"/>
      </w:numPr>
    </w:pPr>
  </w:style>
  <w:style w:type="paragraph" w:customStyle="1" w:styleId="Tiret4">
    <w:name w:val="Tiret 4"/>
    <w:basedOn w:val="Point4"/>
    <w:pPr>
      <w:numPr>
        <w:numId w:val="33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4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4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4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4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6"/>
      </w:numPr>
    </w:pPr>
  </w:style>
  <w:style w:type="paragraph" w:customStyle="1" w:styleId="Point1number">
    <w:name w:val="Point 1 (number)"/>
    <w:basedOn w:val="Normal"/>
    <w:pPr>
      <w:numPr>
        <w:ilvl w:val="2"/>
        <w:numId w:val="36"/>
      </w:numPr>
    </w:pPr>
  </w:style>
  <w:style w:type="paragraph" w:customStyle="1" w:styleId="Point2number">
    <w:name w:val="Point 2 (number)"/>
    <w:basedOn w:val="Normal"/>
    <w:pPr>
      <w:numPr>
        <w:ilvl w:val="4"/>
        <w:numId w:val="36"/>
      </w:numPr>
    </w:pPr>
  </w:style>
  <w:style w:type="paragraph" w:customStyle="1" w:styleId="Point3number">
    <w:name w:val="Point 3 (number)"/>
    <w:basedOn w:val="Normal"/>
    <w:pPr>
      <w:numPr>
        <w:ilvl w:val="6"/>
        <w:numId w:val="36"/>
      </w:numPr>
    </w:pPr>
  </w:style>
  <w:style w:type="paragraph" w:customStyle="1" w:styleId="Point0letter">
    <w:name w:val="Point 0 (letter)"/>
    <w:basedOn w:val="Normal"/>
    <w:pPr>
      <w:numPr>
        <w:ilvl w:val="1"/>
        <w:numId w:val="36"/>
      </w:numPr>
    </w:pPr>
  </w:style>
  <w:style w:type="paragraph" w:customStyle="1" w:styleId="Point1letter">
    <w:name w:val="Point 1 (letter)"/>
    <w:basedOn w:val="Normal"/>
    <w:pPr>
      <w:numPr>
        <w:ilvl w:val="3"/>
        <w:numId w:val="36"/>
      </w:numPr>
    </w:pPr>
  </w:style>
  <w:style w:type="paragraph" w:customStyle="1" w:styleId="Point2letter">
    <w:name w:val="Point 2 (letter)"/>
    <w:basedOn w:val="Normal"/>
    <w:pPr>
      <w:numPr>
        <w:ilvl w:val="5"/>
        <w:numId w:val="36"/>
      </w:numPr>
    </w:pPr>
  </w:style>
  <w:style w:type="paragraph" w:customStyle="1" w:styleId="Point3letter">
    <w:name w:val="Point 3 (letter)"/>
    <w:basedOn w:val="Normal"/>
    <w:pPr>
      <w:numPr>
        <w:ilvl w:val="7"/>
        <w:numId w:val="36"/>
      </w:numPr>
    </w:pPr>
  </w:style>
  <w:style w:type="paragraph" w:customStyle="1" w:styleId="Point4letter">
    <w:name w:val="Point 4 (letter)"/>
    <w:basedOn w:val="Normal"/>
    <w:pPr>
      <w:numPr>
        <w:ilvl w:val="8"/>
        <w:numId w:val="36"/>
      </w:numPr>
    </w:pPr>
  </w:style>
  <w:style w:type="paragraph" w:customStyle="1" w:styleId="Bullet0">
    <w:name w:val="Bullet 0"/>
    <w:basedOn w:val="Normal"/>
    <w:pPr>
      <w:numPr>
        <w:numId w:val="37"/>
      </w:numPr>
    </w:pPr>
  </w:style>
  <w:style w:type="paragraph" w:customStyle="1" w:styleId="Bullet1">
    <w:name w:val="Bullet 1"/>
    <w:basedOn w:val="Normal"/>
    <w:pPr>
      <w:numPr>
        <w:numId w:val="38"/>
      </w:numPr>
    </w:pPr>
  </w:style>
  <w:style w:type="paragraph" w:customStyle="1" w:styleId="Bullet2">
    <w:name w:val="Bullet 2"/>
    <w:basedOn w:val="Normal"/>
    <w:pPr>
      <w:numPr>
        <w:numId w:val="39"/>
      </w:numPr>
    </w:pPr>
  </w:style>
  <w:style w:type="paragraph" w:customStyle="1" w:styleId="Bullet3">
    <w:name w:val="Bullet 3"/>
    <w:basedOn w:val="Normal"/>
    <w:pPr>
      <w:numPr>
        <w:numId w:val="40"/>
      </w:numPr>
    </w:pPr>
  </w:style>
  <w:style w:type="paragraph" w:customStyle="1" w:styleId="Bullet4">
    <w:name w:val="Bullet 4"/>
    <w:basedOn w:val="Normal"/>
    <w:pPr>
      <w:numPr>
        <w:numId w:val="41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2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2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3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footnotes.xml.rels><?xml version='1.0' encoding='UTF-8' standalone='yes'?>
<Relationships xmlns="http://schemas.openxmlformats.org/package/2006/relationships"><Relationship Id="rId3" Type="http://schemas.openxmlformats.org/officeDocument/2006/relationships/hyperlink" Target="https://ec.europa.eu/transport/sites/transport/files/permitting_ten-t_final_report.pdf" TargetMode="External"/><Relationship Id="rId2" Type="http://schemas.openxmlformats.org/officeDocument/2006/relationships/hyperlink" Target="https://www.bmvi.de/SharedDocs/DE/Publikationen/G/innovationsforum-planungsbeschleunigung-abschlussbericht.pdf?_%20_blob=publicationFile" TargetMode="External"/><Relationship Id="rId1" Type="http://schemas.openxmlformats.org/officeDocument/2006/relationships/hyperlink" Target="http://www.g7italy.it/sites/default/files/documents/Final%20Declaration_0.pdf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20BCC-EFBE-4CB6-9ECF-C28F11433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2</TotalTime>
  <Pages>20</Pages>
  <Words>5769</Words>
  <Characters>44077</Characters>
  <Application>Microsoft Office Word</Application>
  <DocSecurity>0</DocSecurity>
  <Lines>688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21</cp:revision>
  <cp:lastPrinted>2018-04-23T11:56:00Z</cp:lastPrinted>
  <dcterms:created xsi:type="dcterms:W3CDTF">2018-05-28T07:57:00Z</dcterms:created>
  <dcterms:modified xsi:type="dcterms:W3CDTF">2018-06-05T06:20:00Z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6.0.1.0</vt:lpwstr>
  </property>
  <property fmtid="{D5CDD505-2E9C-101B-9397-08002B2CF9AE}" pid="4" name="Last edited using">
    <vt:lpwstr>LW 6.0, Build 20171009</vt:lpwstr>
  </property>
  <property fmtid="{D5CDD505-2E9C-101B-9397-08002B2CF9AE}" pid="5" name="Created using">
    <vt:lpwstr>LW 6.0, Build 20171009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SJ-023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