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BE1808C6-94F9-4657-9F73-E01E44DCAEB4" style="width:450.75pt;height:321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1"/>
          <w:cols w:space="720"/>
          <w:docGrid w:linePitch="326"/>
        </w:sectPr>
      </w:pPr>
      <w:bookmarkStart w:id="1" w:name="_Toc505861028"/>
      <w:bookmarkStart w:id="2" w:name="_Toc509906096"/>
      <w:bookmarkEnd w:id="0"/>
    </w:p>
    <w:p>
      <w:pPr>
        <w:pStyle w:val="Heading1"/>
        <w:numPr>
          <w:ilvl w:val="0"/>
          <w:numId w:val="28"/>
        </w:numPr>
        <w:spacing w:before="0" w:line="276" w:lineRule="auto"/>
        <w:ind w:left="426" w:hanging="426"/>
        <w:jc w:val="left"/>
        <w:rPr>
          <w:noProof/>
        </w:rPr>
      </w:pPr>
      <w:bookmarkStart w:id="3" w:name="_GoBack"/>
      <w:bookmarkEnd w:id="3"/>
      <w:r>
        <w:rPr>
          <w:noProof/>
        </w:rPr>
        <w:lastRenderedPageBreak/>
        <w:t>Introduzzjoni</w:t>
      </w:r>
      <w:bookmarkEnd w:id="1"/>
      <w:bookmarkEnd w:id="2"/>
    </w:p>
    <w:p>
      <w:pPr>
        <w:rPr>
          <w:noProof/>
          <w:szCs w:val="24"/>
        </w:rPr>
      </w:pPr>
      <w:r>
        <w:rPr>
          <w:noProof/>
        </w:rPr>
        <w:t>Ir-Regolament (UE) Nru 1260/2013 dwar l-istatistika demografika Ewropea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(minn hawn ’il quddiem imsejjaħ ukoll “ir-Regolament”) jistabbilixxi qafas legali komuni għall-iżvilupp, għall-produzzjoni u għat-tixrid ta’ statistiċi Ewropej dwar il-popolazzjoni u l-avvenimenti vitali.</w:t>
      </w:r>
    </w:p>
    <w:p>
      <w:pPr>
        <w:rPr>
          <w:noProof/>
          <w:szCs w:val="24"/>
        </w:rPr>
      </w:pPr>
      <w:r>
        <w:rPr>
          <w:noProof/>
        </w:rPr>
        <w:t>Qabel, l-Istati Membri kienu jissottomettu din id-</w:t>
      </w:r>
      <w:r>
        <w:rPr>
          <w:i/>
          <w:noProof/>
        </w:rPr>
        <w:t>data</w:t>
      </w:r>
      <w:r>
        <w:rPr>
          <w:noProof/>
        </w:rPr>
        <w:t xml:space="preserve"> b’mod volontarju għal diversi snin iżda minħabba li din kienet ibbażata fuq id-definizzjonijiet, il-kunċetti u l-metodi demografiċi varji tagħha, kien hemm riskji ta’ eteroġenità, ta’ inkomparabbiltà, ta’ inkonsistenza u ta’ nuqqas ta’ puntwalità. Il-qafas komuni kien maħsub biex jissodisfa l-ħtieġa għall-istatistiċi demografiċi annwali ta’ kwalità għolja meqjusa fundamentali għall-formulazzjoni u għall-evalwazzjoni ta’ firxa wiesgħa ta’ politiki, b’mod partikolari rigward kwistjonijiet soċjali u ekonomiċi, f’livell nazzjonali u reġjonali. Dan hu partikolarment importanti għaliex l-istatistiċi dwar il-popolazzjoni u l-avvenimenti vitali jintużaw bħala denominatur għal firxa wiesgħa ta’ indikaturi tal-politika.</w:t>
      </w:r>
    </w:p>
    <w:p>
      <w:pPr>
        <w:rPr>
          <w:noProof/>
          <w:szCs w:val="24"/>
        </w:rPr>
      </w:pPr>
      <w:r>
        <w:rPr>
          <w:noProof/>
        </w:rPr>
        <w:t>L-Artikolu 11 tar-Regolament jitlob li l-Kummissjoni tissottometti l-ewwel rapport lill-Parlament Ewropew u lill-Kunsill dwar l-implimentazzjoni tar-Regolament sal-31 ta’ Diċembru 2018 u t-tieni rapport sal-31 ta’ Diċembru 2023. Dan id-dokument hu dak l-ewwel rapport.</w:t>
      </w:r>
    </w:p>
    <w:p>
      <w:pPr>
        <w:rPr>
          <w:noProof/>
          <w:szCs w:val="24"/>
        </w:rPr>
      </w:pPr>
      <w:r>
        <w:rPr>
          <w:noProof/>
        </w:rPr>
        <w:t>It-Taqsima 2 ta’ dan ir-rapport tagħti ħarsa ġenerali lejn l-istatistiċi demografiċi Ewropej u b’mod partikolari lejn ir-rekwiżiti tar-Regolament u l-miżura ta’ implimentazzjoni relatata adottata mill-Kummissjoni</w:t>
      </w:r>
      <w:r>
        <w:rPr>
          <w:rStyle w:val="FootnoteReference"/>
          <w:noProof/>
        </w:rPr>
        <w:footnoteReference w:id="3"/>
      </w:r>
      <w:r>
        <w:rPr>
          <w:noProof/>
        </w:rPr>
        <w:t>.</w:t>
      </w:r>
    </w:p>
    <w:p>
      <w:pPr>
        <w:rPr>
          <w:noProof/>
          <w:szCs w:val="24"/>
        </w:rPr>
      </w:pPr>
      <w:r>
        <w:rPr>
          <w:noProof/>
        </w:rPr>
        <w:t>It-Taqsima 3 tagħti rendikont ta’ kif ġie implimentat ir-Regolament, b’referenza għall-kriterji tal-kwalità stabbiliti għall-istatistiċi Ewropej, inklużi l-komparabbiltà u l-piż fuq il-fornituri tad-</w:t>
      </w:r>
      <w:r>
        <w:rPr>
          <w:i/>
          <w:noProof/>
        </w:rPr>
        <w:t>data</w:t>
      </w:r>
      <w:r>
        <w:rPr>
          <w:noProof/>
        </w:rPr>
        <w:t xml:space="preserve"> u r-rispondenti fl-Istati Membri.</w:t>
      </w:r>
    </w:p>
    <w:p>
      <w:pPr>
        <w:rPr>
          <w:noProof/>
          <w:szCs w:val="24"/>
        </w:rPr>
      </w:pPr>
      <w:r>
        <w:rPr>
          <w:noProof/>
        </w:rPr>
        <w:t>It-Taqsima 4 tiddeskrivi l-ġbir tad-</w:t>
      </w:r>
      <w:r>
        <w:rPr>
          <w:i/>
          <w:noProof/>
        </w:rPr>
        <w:t>data</w:t>
      </w:r>
      <w:r>
        <w:rPr>
          <w:noProof/>
        </w:rPr>
        <w:t xml:space="preserve"> u l-metodi ta’ stima użati, li jinkludu dawk użati biex tiġi stmata l-popolazzjoni totali (l-Artikolu 4 tar-Regolament).</w:t>
      </w:r>
    </w:p>
    <w:p>
      <w:pPr>
        <w:rPr>
          <w:noProof/>
          <w:szCs w:val="24"/>
        </w:rPr>
      </w:pPr>
      <w:r>
        <w:rPr>
          <w:noProof/>
        </w:rPr>
        <w:t>It-Taqsima 5 tirrapporta dwar ir-riżultati ewlenin tal-istudji ta’ fattibbiltà dwar id-definizzjoni ta’ “residenza abitwali” u l-implimentazzjoni ta’ din mill-Istati Membri (l-Artikolu 8).</w:t>
      </w:r>
    </w:p>
    <w:p>
      <w:pPr>
        <w:rPr>
          <w:noProof/>
          <w:szCs w:val="24"/>
        </w:rPr>
      </w:pPr>
      <w:r>
        <w:rPr>
          <w:noProof/>
        </w:rPr>
        <w:t>Finalment, it-taqsima 6 tagħti ħarsa lill-kwistjonijiet li għandhom jiġu kkunsidrati bl-għan li jittejjeb il-qafas komuni, fid-dawl tal-konklużjonijiet tat-taqsimiet preċedenti.</w:t>
      </w:r>
    </w:p>
    <w:p>
      <w:pPr>
        <w:pStyle w:val="Heading1"/>
        <w:numPr>
          <w:ilvl w:val="0"/>
          <w:numId w:val="28"/>
        </w:numPr>
        <w:spacing w:before="0" w:line="276" w:lineRule="auto"/>
        <w:ind w:left="426" w:hanging="426"/>
        <w:jc w:val="left"/>
        <w:rPr>
          <w:noProof/>
        </w:rPr>
      </w:pPr>
      <w:bookmarkStart w:id="4" w:name="_Toc509906097"/>
      <w:bookmarkStart w:id="5" w:name="_Toc505861029"/>
      <w:r>
        <w:rPr>
          <w:noProof/>
        </w:rPr>
        <w:t>Ħarsa ġenerali lejn l-istatistiċi demografiċi koperti mir-Regolament</w:t>
      </w:r>
      <w:bookmarkEnd w:id="4"/>
      <w:bookmarkEnd w:id="5"/>
    </w:p>
    <w:p>
      <w:pPr>
        <w:spacing w:after="120"/>
        <w:rPr>
          <w:noProof/>
          <w:szCs w:val="24"/>
        </w:rPr>
      </w:pPr>
      <w:r>
        <w:rPr>
          <w:noProof/>
        </w:rPr>
        <w:t>L-oqsma prinċipali tal-istatistiċi regolati bir-Regolament (UE) Nru 1260/2013 huma:</w:t>
      </w:r>
    </w:p>
    <w:p>
      <w:pPr>
        <w:pStyle w:val="ListParagraph"/>
        <w:numPr>
          <w:ilvl w:val="0"/>
          <w:numId w:val="4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il-popolazzjoni skont l-età, is-sess u r-reġjun ta’ residenza;</w:t>
      </w:r>
    </w:p>
    <w:p>
      <w:pPr>
        <w:pStyle w:val="ListParagraph"/>
        <w:numPr>
          <w:ilvl w:val="0"/>
          <w:numId w:val="4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il-każijiet ta' twelid ħaj skont is-sess, ix-xahar tat-twelid, l-ordni tat-twelid ħaj, l-età tal-omm, is-sena tat-twelid tal-omm, il-pajjiż tat-twelid tal-omm, il-pajjiż taċ-ċittadinanza tal-omm u r-reġjun tar-residenza tal-omm;</w:t>
      </w:r>
    </w:p>
    <w:p>
      <w:pPr>
        <w:pStyle w:val="ListParagraph"/>
        <w:numPr>
          <w:ilvl w:val="0"/>
          <w:numId w:val="43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l-imwiet skont l-età, is-sess, is-sena tat-twelid, ir-reġjun tar-residenza, il-pajjiż tat-twelid, il-pajjiż taċ-ċittadinanza u x-xahar tal-mewt; u</w:t>
      </w:r>
    </w:p>
    <w:p>
      <w:pPr>
        <w:pStyle w:val="ListParagraph"/>
        <w:numPr>
          <w:ilvl w:val="0"/>
          <w:numId w:val="43"/>
        </w:numPr>
        <w:spacing w:after="24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il-popolazzjoni ta’ “residenti abitwali” totali</w:t>
      </w:r>
      <w:r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rFonts w:ascii="Times New Roman" w:hAnsi="Times New Roman"/>
          <w:noProof/>
          <w:sz w:val="24"/>
        </w:rPr>
        <w:t xml:space="preserve"> għall-finijiet speċifiċi tal-Unjoni.</w:t>
      </w:r>
    </w:p>
    <w:p>
      <w:pPr>
        <w:spacing w:after="120"/>
        <w:rPr>
          <w:noProof/>
          <w:szCs w:val="24"/>
        </w:rPr>
      </w:pPr>
      <w:r>
        <w:rPr>
          <w:noProof/>
        </w:rPr>
        <w:t>Ir-Regolament jipprovdi l-bażi ġuridika għall-ġbir tad-</w:t>
      </w:r>
      <w:r>
        <w:rPr>
          <w:i/>
          <w:noProof/>
        </w:rPr>
        <w:t>data</w:t>
      </w:r>
      <w:r>
        <w:rPr>
          <w:noProof/>
        </w:rPr>
        <w:t xml:space="preserve"> meħtieġa għal:</w:t>
      </w:r>
    </w:p>
    <w:p>
      <w:pPr>
        <w:pStyle w:val="ListParagraph"/>
        <w:numPr>
          <w:ilvl w:val="0"/>
          <w:numId w:val="49"/>
        </w:numPr>
        <w:spacing w:after="120" w:line="240" w:lineRule="auto"/>
        <w:ind w:left="850" w:hanging="425"/>
        <w:contextualSpacing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statistiċi demografiċi dettaljati dwar il-popolazzjoni, il-każijiet ta' -twelid ħaj u ta' mwiet f’livell nazzjonali u reġjonali (Artikolu 3); u</w:t>
      </w:r>
    </w:p>
    <w:p>
      <w:pPr>
        <w:pStyle w:val="ListParagraph"/>
        <w:numPr>
          <w:ilvl w:val="0"/>
          <w:numId w:val="49"/>
        </w:numPr>
        <w:spacing w:after="240" w:line="240" w:lineRule="auto"/>
        <w:ind w:left="850" w:hanging="425"/>
        <w:contextualSpacing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kejl tal-popolazzjoni totali għal votazzjoni b’maġġoranza kwalifikata (VMK) fil-Kunsill, b’mod partikolari kif meħtieġ skont l-Artikolu 238(2) tat-Trattat dwar il-Funzjonament tal-Unjoni Ewropea (Artikolu 4).</w:t>
      </w:r>
    </w:p>
    <w:p>
      <w:pPr>
        <w:rPr>
          <w:noProof/>
        </w:rPr>
      </w:pPr>
      <w:r>
        <w:rPr>
          <w:noProof/>
        </w:rPr>
        <w:t xml:space="preserve">Rigward l-Artikolu 3, filwaqt li l-Istati Membri huma meħtieġa jipprovdu </w:t>
      </w:r>
      <w:r>
        <w:rPr>
          <w:i/>
          <w:noProof/>
        </w:rPr>
        <w:t>data</w:t>
      </w:r>
      <w:r>
        <w:rPr>
          <w:noProof/>
        </w:rPr>
        <w:t xml:space="preserve"> dwar il-popolazzjoni ta’ “residenti abitwali” tagħhom, tingħata ċerta flessibbiltà u l-Istati Membri jistgħu jipprovdu </w:t>
      </w:r>
      <w:r>
        <w:rPr>
          <w:i/>
          <w:noProof/>
        </w:rPr>
        <w:t>data</w:t>
      </w:r>
      <w:r>
        <w:rPr>
          <w:noProof/>
        </w:rPr>
        <w:t xml:space="preserve"> dwar il-popolazzjoni ta’ “residenti legali” jew “reġistrata” u l-avvenimenti vitwali relatati (twelid ħaj u mwiet). B’mod aktar speċifiku, ir-Regolament (Artikolu 2(d)) jistipula li, meta ċ-ċirkustanzi għal residenzi abitwali ma jkunux jistgħu jiġu stabbiliti, “residenza abitwali” tista’ titqies li tfisser il-post ta’ residenza legali jew reġistrata.</w:t>
      </w:r>
    </w:p>
    <w:p>
      <w:pPr>
        <w:rPr>
          <w:noProof/>
          <w:szCs w:val="24"/>
        </w:rPr>
      </w:pPr>
      <w:r>
        <w:rPr>
          <w:noProof/>
        </w:rPr>
        <w:t>Biex tgħin fl-implimentazzjoni tar-Regolament, il-Kummissjoni (Eurostat) tikkoopera mill-qrib mal-awtoritajiet nazzjonali involuti fil-produzzjoni u fil-provvista tad-</w:t>
      </w:r>
      <w:r>
        <w:rPr>
          <w:i/>
          <w:noProof/>
        </w:rPr>
        <w:t>data</w:t>
      </w:r>
      <w:r>
        <w:rPr>
          <w:noProof/>
        </w:rPr>
        <w:t xml:space="preserve"> rilevanti. Tabilħaqq, kienet tagħmel dan tul il-ħafna snin li matulhom id-</w:t>
      </w:r>
      <w:r>
        <w:rPr>
          <w:i/>
          <w:noProof/>
        </w:rPr>
        <w:t>data</w:t>
      </w:r>
      <w:r>
        <w:rPr>
          <w:noProof/>
        </w:rPr>
        <w:t xml:space="preserve"> kienet tiġi pprovduta fuq bażi volontarja. L-istatistiċi jiġu forniti lill-Eurostat mill-istituti nazzjonali tal-istatistika (NSIs).</w:t>
      </w:r>
    </w:p>
    <w:p>
      <w:pPr>
        <w:spacing w:after="120"/>
        <w:rPr>
          <w:noProof/>
          <w:szCs w:val="24"/>
        </w:rPr>
      </w:pPr>
      <w:r>
        <w:rPr>
          <w:noProof/>
        </w:rPr>
        <w:t>Skont l-Artikolu 3(4) tar-Regolament (UE) Nru 1260/2013, il-Kummissjoni adottat ir-Regolament ta’ Implimentazzjoni (UE) Nru 205/2014 biex tistabbilixxi arranġamenti prattiċi għad-disaggregazzjonijiet tad-</w:t>
      </w:r>
      <w:r>
        <w:rPr>
          <w:i/>
          <w:noProof/>
        </w:rPr>
        <w:t>data</w:t>
      </w:r>
      <w:r>
        <w:rPr>
          <w:noProof/>
        </w:rPr>
        <w:t>, għall-iskadenzi tat-trażmissjoni u għar-reviżjoni. Għaldaqstant, l-Istati Membri jipprovdu lill-Eurostat ukoll b’:</w:t>
      </w:r>
    </w:p>
    <w:p>
      <w:pPr>
        <w:pStyle w:val="ListParagraph"/>
        <w:numPr>
          <w:ilvl w:val="0"/>
          <w:numId w:val="45"/>
        </w:numPr>
        <w:spacing w:after="120" w:line="240" w:lineRule="auto"/>
        <w:ind w:left="851" w:hanging="437"/>
        <w:contextualSpacing w:val="0"/>
        <w:jc w:val="both"/>
        <w:rPr>
          <w:noProof/>
          <w:szCs w:val="24"/>
        </w:rPr>
      </w:pPr>
      <w:r>
        <w:rPr>
          <w:rFonts w:ascii="Times New Roman" w:hAnsi="Times New Roman"/>
          <w:i/>
          <w:noProof/>
          <w:sz w:val="24"/>
        </w:rPr>
        <w:t>data</w:t>
      </w:r>
      <w:r>
        <w:rPr>
          <w:rFonts w:ascii="Times New Roman" w:hAnsi="Times New Roman"/>
          <w:noProof/>
          <w:sz w:val="24"/>
        </w:rPr>
        <w:t xml:space="preserve"> annwali proviżorja dwar il-popolazzjoni totali, il-każijiet ta' twelid ħaj totali u ta' mwiet totali f’livell nazzjonali (fi żmien sitt xhur minn tmiem kull sena bażi); u</w:t>
      </w:r>
    </w:p>
    <w:p>
      <w:pPr>
        <w:pStyle w:val="ListParagraph"/>
        <w:numPr>
          <w:ilvl w:val="0"/>
          <w:numId w:val="45"/>
        </w:numPr>
        <w:spacing w:after="240" w:line="240" w:lineRule="auto"/>
        <w:ind w:left="851" w:hanging="435"/>
        <w:jc w:val="both"/>
        <w:rPr>
          <w:noProof/>
          <w:szCs w:val="24"/>
        </w:rPr>
      </w:pPr>
      <w:r>
        <w:rPr>
          <w:rFonts w:ascii="Times New Roman" w:hAnsi="Times New Roman"/>
          <w:i/>
          <w:noProof/>
          <w:sz w:val="24"/>
        </w:rPr>
        <w:t>data</w:t>
      </w:r>
      <w:r>
        <w:rPr>
          <w:rFonts w:ascii="Times New Roman" w:hAnsi="Times New Roman"/>
          <w:noProof/>
          <w:sz w:val="24"/>
        </w:rPr>
        <w:t xml:space="preserve"> proviżorja ta’ kull xahar dwar il-każijiet ta' twelid ħaj totali u ta' mwiet totali għal tal-anqas l-ewwel sitt xhur tas-sena bażi (sat-30 ta’ Novembru ta’ dik is-sena).</w:t>
      </w:r>
    </w:p>
    <w:p>
      <w:pPr>
        <w:rPr>
          <w:noProof/>
          <w:szCs w:val="24"/>
        </w:rPr>
      </w:pPr>
      <w:r>
        <w:rPr>
          <w:noProof/>
        </w:rPr>
        <w:t>Minbarra d-</w:t>
      </w:r>
      <w:r>
        <w:rPr>
          <w:i/>
          <w:noProof/>
        </w:rPr>
        <w:t>data</w:t>
      </w:r>
      <w:r>
        <w:rPr>
          <w:noProof/>
        </w:rPr>
        <w:t xml:space="preserve"> pprovduta skont ir-Regolament, l-Istati Membri jibagħtu ċertu numru ta’ tabelli fuq bażi volontarja, eż. informazzjoni dwar l-imwiet skont l-età, is-sess u l-kisbiet edukattivi, li jintużaw biex tiġi kkalkolata l-istennija tal-għomor skont il-kisbiet edukattivi.</w:t>
      </w:r>
    </w:p>
    <w:p>
      <w:pPr>
        <w:rPr>
          <w:noProof/>
          <w:szCs w:val="24"/>
        </w:rPr>
      </w:pPr>
      <w:r>
        <w:rPr>
          <w:noProof/>
        </w:rPr>
        <w:t>Permezz ta’ monitoraġġ strett (fuq il-bażi ta’ metadata estensiva) tal-aderenza mal-kunċett u mad-definizzjoni ta’ “residenza abitwali”, ir-Regolament jiżgura li d-</w:t>
      </w:r>
      <w:r>
        <w:rPr>
          <w:i/>
          <w:noProof/>
        </w:rPr>
        <w:t>data</w:t>
      </w:r>
      <w:r>
        <w:rPr>
          <w:noProof/>
        </w:rPr>
        <w:t xml:space="preserve"> dwar il-popolazzjoni prodotta għall-VMK (Artikolu 4) tkun komparabbli bejn l-Istati Membri.</w:t>
      </w:r>
    </w:p>
    <w:p>
      <w:pPr>
        <w:pStyle w:val="Heading1"/>
        <w:numPr>
          <w:ilvl w:val="0"/>
          <w:numId w:val="28"/>
        </w:numPr>
        <w:spacing w:before="0" w:line="276" w:lineRule="auto"/>
        <w:ind w:left="426" w:hanging="426"/>
        <w:jc w:val="left"/>
        <w:rPr>
          <w:noProof/>
        </w:rPr>
      </w:pPr>
      <w:bookmarkStart w:id="6" w:name="_Toc509906098"/>
      <w:bookmarkStart w:id="7" w:name="_Toc505861030"/>
      <w:r>
        <w:rPr>
          <w:noProof/>
        </w:rPr>
        <w:t>Il-kwalità tad-</w:t>
      </w:r>
      <w:r>
        <w:rPr>
          <w:i/>
          <w:noProof/>
        </w:rPr>
        <w:t>data</w:t>
      </w:r>
      <w:bookmarkEnd w:id="6"/>
      <w:bookmarkEnd w:id="7"/>
      <w:r>
        <w:rPr>
          <w:i/>
          <w:noProof/>
        </w:rPr>
        <w:t xml:space="preserve"> </w:t>
      </w:r>
      <w:r>
        <w:rPr>
          <w:noProof/>
        </w:rPr>
        <w:t>trażmessa</w:t>
      </w:r>
    </w:p>
    <w:p>
      <w:pPr>
        <w:rPr>
          <w:noProof/>
          <w:szCs w:val="24"/>
        </w:rPr>
      </w:pPr>
      <w:r>
        <w:rPr>
          <w:noProof/>
        </w:rPr>
        <w:t>Din it-taqsima tevalwa l-implimentazzjoni tar-Regolmaent fuq il-bażi tal-kriterji standard dwar il-kwalità f’konformità mal-prinċipji tal-Kodiċi ta’ Prattika tal-Istatistika Ewropea</w:t>
      </w:r>
      <w:r>
        <w:rPr>
          <w:rStyle w:val="FootnoteReference"/>
          <w:noProof/>
          <w:color w:val="000000"/>
        </w:rPr>
        <w:footnoteReference w:id="5"/>
      </w:r>
      <w:r>
        <w:rPr>
          <w:noProof/>
          <w:color w:val="000000"/>
        </w:rPr>
        <w:t xml:space="preserve"> </w:t>
      </w:r>
      <w:r>
        <w:rPr>
          <w:noProof/>
        </w:rPr>
        <w:t>u mal-Artikolu 12 tar-Regolament (KE) Nru 223/2009 dwar l-istatistiċi Ewropej</w:t>
      </w:r>
      <w:r>
        <w:rPr>
          <w:rStyle w:val="FootnoteReference"/>
          <w:noProof/>
        </w:rPr>
        <w:footnoteReference w:id="6"/>
      </w:r>
      <w:r>
        <w:rPr>
          <w:noProof/>
        </w:rPr>
        <w:t>.</w:t>
      </w:r>
    </w:p>
    <w:p>
      <w:pPr>
        <w:rPr>
          <w:noProof/>
          <w:szCs w:val="24"/>
        </w:rPr>
      </w:pPr>
      <w:r>
        <w:rPr>
          <w:noProof/>
        </w:rPr>
        <w:t>Ir-Regolament (UE) Nru 1260/2013 jeħtieġ li l-Istati Membri jiġbru, jikkumpilaw, jipproċessaw u jibagħtu statistiċi armonizzati dwar il-popolazzjoni u l-avvenimenti vitali. Dawn iridu jiżguraw il-kwalità tad-</w:t>
      </w:r>
      <w:r>
        <w:rPr>
          <w:i/>
          <w:noProof/>
        </w:rPr>
        <w:t>data</w:t>
      </w:r>
      <w:r>
        <w:rPr>
          <w:noProof/>
        </w:rPr>
        <w:t xml:space="preserve"> billi japplikaw kriterji speċifiċi tal-kwalità bħall-puntwalità u l-preċiżjoni (ara aktar ’il quddiem) li huma jridu jirrapportaw lill-Eurostat. Il-Eurostat jirrieżamina l-metadata u l-valutazzjonijiet tal-kwalità tal-Istati Membri, u jippubblika l-istatistiċi fuq is-sit web tiegħu fil-forma ta’ tabelli multidimensjonali jew ta’ artikli analitiċi akkumpanjati mill-metadata rilevanti.</w:t>
      </w:r>
    </w:p>
    <w:p>
      <w:pPr>
        <w:rPr>
          <w:noProof/>
          <w:szCs w:val="24"/>
        </w:rPr>
      </w:pPr>
      <w:r>
        <w:rPr>
          <w:noProof/>
        </w:rPr>
        <w:t>Qabel id-dħul fis-seħħ tar-Regolament, l-Istati Membri diġà kienu pprovdew fuq bażi volontarja ħafna mid-</w:t>
      </w:r>
      <w:r>
        <w:rPr>
          <w:i/>
          <w:noProof/>
        </w:rPr>
        <w:t>data</w:t>
      </w:r>
      <w:r>
        <w:rPr>
          <w:noProof/>
        </w:rPr>
        <w:t xml:space="preserve"> li dan jeħtieġ. Madankollu, id-disponibbiltà u l-kompletezza tad-</w:t>
      </w:r>
      <w:r>
        <w:rPr>
          <w:i/>
          <w:noProof/>
        </w:rPr>
        <w:t>data</w:t>
      </w:r>
      <w:r>
        <w:rPr>
          <w:noProof/>
        </w:rPr>
        <w:t xml:space="preserve"> tjiebu b’mod sinifikanti taħt il-bażi ġuridika l-ġdida. It-titjib ġenerali fil-kwalità tad-</w:t>
      </w:r>
      <w:r>
        <w:rPr>
          <w:i/>
          <w:noProof/>
        </w:rPr>
        <w:t>data</w:t>
      </w:r>
      <w:r>
        <w:rPr>
          <w:noProof/>
        </w:rPr>
        <w:t xml:space="preserve"> wassal għal preċiżjoni, għal koerenza u għal komparabbiltà aħjar tad-</w:t>
      </w:r>
      <w:r>
        <w:rPr>
          <w:i/>
          <w:noProof/>
        </w:rPr>
        <w:t>data</w:t>
      </w:r>
      <w:r>
        <w:rPr>
          <w:noProof/>
        </w:rPr>
        <w:t xml:space="preserve">. L-Istati Membri tejbu s-sorsi ta’ </w:t>
      </w:r>
      <w:r>
        <w:rPr>
          <w:i/>
          <w:noProof/>
        </w:rPr>
        <w:t>data</w:t>
      </w:r>
      <w:r>
        <w:rPr>
          <w:noProof/>
        </w:rPr>
        <w:t xml:space="preserve"> sottostanti u l-metodoloġiji u l-għodod statistiċi użati għat-tħejjija tad-</w:t>
      </w:r>
      <w:r>
        <w:rPr>
          <w:i/>
          <w:noProof/>
        </w:rPr>
        <w:t>data</w:t>
      </w:r>
      <w:r>
        <w:rPr>
          <w:noProof/>
        </w:rPr>
        <w:t>, u dan irriżulta f’kopertura aħjar u fi trażmissjonijiet aktar puntwali tad-</w:t>
      </w:r>
      <w:r>
        <w:rPr>
          <w:i/>
          <w:noProof/>
        </w:rPr>
        <w:t>data</w:t>
      </w:r>
      <w:r>
        <w:rPr>
          <w:noProof/>
        </w:rPr>
        <w:t>. Dan ippermetta lill-Kummissjoni biex tqassar iż-żmien meħtieġ għat-tixrid tad-</w:t>
      </w:r>
      <w:r>
        <w:rPr>
          <w:i/>
          <w:noProof/>
        </w:rPr>
        <w:t>data</w:t>
      </w:r>
      <w:r>
        <w:rPr>
          <w:noProof/>
        </w:rPr>
        <w:t>, tiffaċilita l-ħruġ aktar puntwali tad-</w:t>
      </w:r>
      <w:r>
        <w:rPr>
          <w:i/>
          <w:noProof/>
        </w:rPr>
        <w:t>data</w:t>
      </w:r>
      <w:r>
        <w:rPr>
          <w:noProof/>
        </w:rPr>
        <w:t xml:space="preserve"> u tkompli ttejjeb l-aċċessibbiltà tad-</w:t>
      </w:r>
      <w:r>
        <w:rPr>
          <w:i/>
          <w:noProof/>
        </w:rPr>
        <w:t>data</w:t>
      </w:r>
      <w:r>
        <w:rPr>
          <w:noProof/>
        </w:rPr>
        <w:t xml:space="preserve"> mill-utenti, eż. metadata mtejba u </w:t>
      </w:r>
      <w:r>
        <w:rPr>
          <w:i/>
          <w:noProof/>
        </w:rPr>
        <w:t>data</w:t>
      </w:r>
      <w:r>
        <w:rPr>
          <w:noProof/>
        </w:rPr>
        <w:t xml:space="preserve"> armonizzata (ara t-taqsima 3.4 aktar ’il quddiem).</w:t>
      </w:r>
    </w:p>
    <w:p>
      <w:pPr>
        <w:rPr>
          <w:noProof/>
          <w:szCs w:val="24"/>
          <w:highlight w:val="yellow"/>
        </w:rPr>
      </w:pPr>
      <w:r>
        <w:rPr>
          <w:noProof/>
        </w:rPr>
        <w:t>Barra minn hekk, il-ġbir tad-</w:t>
      </w:r>
      <w:r>
        <w:rPr>
          <w:i/>
          <w:noProof/>
        </w:rPr>
        <w:t>data</w:t>
      </w:r>
      <w:r>
        <w:rPr>
          <w:noProof/>
        </w:rPr>
        <w:t xml:space="preserve"> ngħaqad ma’ dak tad-</w:t>
      </w:r>
      <w:r>
        <w:rPr>
          <w:i/>
          <w:noProof/>
        </w:rPr>
        <w:t>data</w:t>
      </w:r>
      <w:r>
        <w:rPr>
          <w:noProof/>
        </w:rPr>
        <w:t xml:space="preserve"> meħtieġa skont l-Artikolu 3 tar-Regolament (KE) Nru 862/2007 dwar l-istatistika Komunitarja dwar il-migrazzjoni u l-protezzjoni internazzjonali,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biex tinkiseb konsistenza bejn id-diversi disaggregazzjonijiet tal-popolazzjoni u, sa fejn possibbli, fil-bilanċi demografiċi bejn il-popolazzjoni, l-avvenimenti vitali u l-flussi migratorji. Is-sottomissjonijiet tal-metadata tal-Istati Membri ngħaqdu flimkien ukoll.</w:t>
      </w:r>
    </w:p>
    <w:p>
      <w:pPr>
        <w:ind w:left="426" w:hanging="426"/>
        <w:rPr>
          <w:b/>
          <w:noProof/>
          <w:szCs w:val="24"/>
        </w:rPr>
      </w:pPr>
      <w:r>
        <w:rPr>
          <w:b/>
          <w:noProof/>
        </w:rPr>
        <w:t>3.1.</w:t>
      </w:r>
      <w:r>
        <w:rPr>
          <w:noProof/>
        </w:rPr>
        <w:tab/>
      </w:r>
      <w:r>
        <w:rPr>
          <w:b/>
          <w:noProof/>
        </w:rPr>
        <w:t>Rilevanza</w:t>
      </w:r>
    </w:p>
    <w:p>
      <w:pPr>
        <w:autoSpaceDE w:val="0"/>
        <w:autoSpaceDN w:val="0"/>
        <w:adjustRightInd w:val="0"/>
        <w:rPr>
          <w:noProof/>
          <w:szCs w:val="24"/>
        </w:rPr>
      </w:pPr>
      <w:r>
        <w:rPr>
          <w:noProof/>
        </w:rPr>
        <w:t>Il-Kummissjoni tuża statistiċi demografiċi fit-tħejjija ta’ rapporti regolari, ta’ proposti tal-politika, ta’ rapporti ta’ implimentazzjoni meħtieġa skont il-leġiżlazzjoni tal-UE, u ta’ analiżi tal-politiki. Pereżempju, ir-rapporti tagħha dwar il-koeżjoni ekonomika, soċjali u territorjali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u s-“suppliment speċjali dwar it-tendenzi demografiċi”</w:t>
      </w:r>
      <w:r>
        <w:rPr>
          <w:rStyle w:val="FootnoteReference"/>
          <w:noProof/>
        </w:rPr>
        <w:footnoteReference w:id="9"/>
      </w:r>
      <w:r>
        <w:rPr>
          <w:noProof/>
        </w:rPr>
        <w:t xml:space="preserve"> tar-</w:t>
      </w:r>
      <w:r>
        <w:rPr>
          <w:i/>
          <w:noProof/>
        </w:rPr>
        <w:t>rieżami trimestrali tas-sitwazzjoni tal-impjiegi u soċjali tal-UE</w:t>
      </w:r>
      <w:r>
        <w:rPr>
          <w:noProof/>
        </w:rPr>
        <w:t xml:space="preserve"> jużaw informazzjoni reġjonali u nazzjonali dwar il-popolazzjoni u l-avvenimenti vitali. Applikazzjoni diretta waħda tad-</w:t>
      </w:r>
      <w:r>
        <w:rPr>
          <w:i/>
          <w:noProof/>
        </w:rPr>
        <w:t>data</w:t>
      </w:r>
      <w:r>
        <w:rPr>
          <w:noProof/>
        </w:rPr>
        <w:t xml:space="preserve"> mibgħuta skont ir-Regolament hi fil-qasam tal-projezzjonijiet ta’ kull tliet snin tal-Eurostat tal-popolazzjoni demografika,</w:t>
      </w:r>
      <w:r>
        <w:rPr>
          <w:rStyle w:val="FootnoteReference"/>
          <w:noProof/>
        </w:rPr>
        <w:footnoteReference w:id="10"/>
      </w:r>
      <w:r>
        <w:rPr>
          <w:noProof/>
        </w:rPr>
        <w:t xml:space="preserve"> li juru kemm id-daqs u l-istruttura tal-popolazzjoni jistgħu jinbidlu jekk jibqgħu validi ċerti suppożizzjonijiet dwar il-fertilità, il-mortalità u l-migrazzjoni. Dawn il-projezzjonijiet jintużaw ukoll għar-</w:t>
      </w:r>
      <w:r>
        <w:rPr>
          <w:i/>
          <w:noProof/>
        </w:rPr>
        <w:t>Rapport dwar it-tixjiħ</w:t>
      </w:r>
      <w:r>
        <w:rPr>
          <w:noProof/>
        </w:rPr>
        <w:t>,</w:t>
      </w:r>
      <w:r>
        <w:rPr>
          <w:rStyle w:val="FootnoteReference"/>
          <w:noProof/>
        </w:rPr>
        <w:footnoteReference w:id="11"/>
      </w:r>
      <w:r>
        <w:rPr>
          <w:noProof/>
        </w:rPr>
        <w:t xml:space="preserve"> biex jiġi vvalutat l-impatt ekonomiku u baġitarju fit-tul tat-tixjiħ tal-popolazzjoni.</w:t>
      </w:r>
    </w:p>
    <w:p>
      <w:pPr>
        <w:pStyle w:val="NormalWeb"/>
        <w:spacing w:before="0" w:beforeAutospacing="0" w:after="240" w:afterAutospacing="0"/>
        <w:jc w:val="both"/>
        <w:rPr>
          <w:noProof/>
        </w:rPr>
      </w:pPr>
      <w:r>
        <w:rPr>
          <w:noProof/>
        </w:rPr>
        <w:t>Barra minn hekk, l-istatistiċi huma kontribut importanti fil-proċess deċiżjonali tal-UE, peress li l-popolazzjoni tiddetermina l-ponderazzjonijiet tal-VMK tal-Istati Membri fil-Kunsill.</w:t>
      </w:r>
    </w:p>
    <w:p>
      <w:pPr>
        <w:pStyle w:val="NormalWeb"/>
        <w:spacing w:before="0" w:beforeAutospacing="0" w:after="120" w:afterAutospacing="0"/>
        <w:jc w:val="both"/>
        <w:rPr>
          <w:noProof/>
        </w:rPr>
      </w:pPr>
      <w:r>
        <w:rPr>
          <w:noProof/>
        </w:rPr>
        <w:t>L-istatistiċi prodotti skont ir-Regolament jintużaw b’mod regolari mill-amministrazzjonijiet nazzjonali, mill-organizzazzjonijiet internazzjonali, mir-riċerkaturi akkademiċi u mill-gruppi tas-soċjetà ċivili li jaħdmu fuq firxa wiesgħa ta’ suġġetti u għall-programmi ta’ ppjanar, ta’ monitoraġġ u ta’ evalwazzjoni f’numru ta’ oqsma tal-politika soċjali u ekonomika. Pereżempju, dawn jintużaw biex:</w:t>
      </w:r>
    </w:p>
    <w:p>
      <w:pPr>
        <w:numPr>
          <w:ilvl w:val="0"/>
          <w:numId w:val="31"/>
        </w:numPr>
        <w:tabs>
          <w:tab w:val="clear" w:pos="720"/>
        </w:tabs>
        <w:spacing w:after="120"/>
        <w:ind w:left="851" w:hanging="425"/>
        <w:rPr>
          <w:noProof/>
          <w:szCs w:val="24"/>
        </w:rPr>
      </w:pPr>
      <w:r>
        <w:rPr>
          <w:noProof/>
        </w:rPr>
        <w:t>jiġu analizzati t-tixjiħ tal-popolazzjoni u l-effetti ta’ dan fuq is-sostenibbiltà u l-benessri;</w:t>
      </w:r>
    </w:p>
    <w:p>
      <w:pPr>
        <w:numPr>
          <w:ilvl w:val="0"/>
          <w:numId w:val="31"/>
        </w:numPr>
        <w:tabs>
          <w:tab w:val="clear" w:pos="720"/>
        </w:tabs>
        <w:spacing w:after="120"/>
        <w:ind w:left="851" w:hanging="425"/>
        <w:rPr>
          <w:noProof/>
          <w:szCs w:val="24"/>
        </w:rPr>
      </w:pPr>
      <w:r>
        <w:rPr>
          <w:noProof/>
        </w:rPr>
        <w:t>tiġi evalwata l-fertilità bħala parti mill-isfond għall-politiki dwar il-familja; u</w:t>
      </w:r>
    </w:p>
    <w:p>
      <w:pPr>
        <w:numPr>
          <w:ilvl w:val="0"/>
          <w:numId w:val="31"/>
        </w:numPr>
        <w:tabs>
          <w:tab w:val="clear" w:pos="720"/>
        </w:tabs>
        <w:ind w:left="851" w:hanging="425"/>
        <w:rPr>
          <w:noProof/>
          <w:szCs w:val="24"/>
        </w:rPr>
      </w:pPr>
      <w:r>
        <w:rPr>
          <w:noProof/>
        </w:rPr>
        <w:t xml:space="preserve">jiġu kkalkolati l-istatistiċi </w:t>
      </w:r>
      <w:r>
        <w:rPr>
          <w:i/>
          <w:noProof/>
        </w:rPr>
        <w:t>per capita</w:t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Mill-istatistiċi kollha mxerrda mill-Eurostat, dawk relatati mal-popolazzjoni huma dawk l-aktar ikkonsultati. It-taqsima “Population”</w:t>
      </w:r>
      <w:r>
        <w:rPr>
          <w:rStyle w:val="FootnoteReference"/>
          <w:noProof/>
        </w:rPr>
        <w:footnoteReference w:id="12"/>
      </w:r>
      <w:r>
        <w:rPr>
          <w:noProof/>
        </w:rPr>
        <w:t xml:space="preserve"> (“Popolazzjoni”) fuq is-sit web tal-Eurostat tippreżenta l-istatistiċi disponibbli, il-leġiżlazzjoni tal-UE kkonċernata (b’mod partikolari r-Regolament (UE) Nru 1260/2013) u l-metodi ta’ ġbir tad-</w:t>
      </w:r>
      <w:r>
        <w:rPr>
          <w:i/>
          <w:noProof/>
        </w:rPr>
        <w:t>data</w:t>
      </w:r>
      <w:r>
        <w:rPr>
          <w:noProof/>
        </w:rPr>
        <w:t>. Minn nofs l-2016, din kienet it-taqsima tematika li tikklassifikata fl-ewwel post għan-numru ta’ konsultazzjonijiet mill-utenti b’viżwalizzazzjonijiet annwali tal-paġna fil-medda ta’ nofs miljun.</w:t>
      </w:r>
    </w:p>
    <w:p>
      <w:pPr>
        <w:rPr>
          <w:noProof/>
        </w:rPr>
      </w:pPr>
      <w:r>
        <w:rPr>
          <w:noProof/>
        </w:rPr>
        <w:t>Fl-2015-2017,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 id-</w:t>
      </w:r>
      <w:r>
        <w:rPr>
          <w:i/>
          <w:noProof/>
        </w:rPr>
        <w:t>data</w:t>
      </w:r>
      <w:r>
        <w:rPr>
          <w:noProof/>
        </w:rPr>
        <w:t xml:space="preserve"> annwali dwar il-popolazzjoni f’livell nazzjonali</w:t>
      </w:r>
      <w:r>
        <w:rPr>
          <w:rStyle w:val="FootnoteReference"/>
          <w:noProof/>
        </w:rPr>
        <w:footnoteReference w:id="14"/>
      </w:r>
      <w:r>
        <w:rPr>
          <w:noProof/>
        </w:rPr>
        <w:t xml:space="preserve"> kienet konsistentement l-aktar popolari (bejn 11 % u 18 % tal-viżwalizzazzjonijiet annwali) mit-tabelli statistiċi soċjali u fost l-aktar tliet tabelli viżwalizzati tal-Eurostat. Hemm interess dejjem akbar fost l-utenti dwar id-</w:t>
      </w:r>
      <w:r>
        <w:rPr>
          <w:i/>
          <w:noProof/>
        </w:rPr>
        <w:t>data</w:t>
      </w:r>
      <w:r>
        <w:rPr>
          <w:noProof/>
        </w:rPr>
        <w:t xml:space="preserve"> fuq it-tibdil fil-popolazzjoni. “Demographic balances and crude rates at national level”</w:t>
      </w:r>
      <w:r>
        <w:rPr>
          <w:rStyle w:val="FootnoteReference"/>
          <w:noProof/>
        </w:rPr>
        <w:footnoteReference w:id="15"/>
      </w:r>
      <w:r>
        <w:rPr>
          <w:noProof/>
        </w:rPr>
        <w:t xml:space="preserve"> (“Bilanċi demografiċi u rati mhux proċessati f’livell nazzjonali”) ra l-viżwalizzazzjonijiet tal-paġna tiegħu jiżdiedu b’66 % fl-2015-2017, u b’hekk ikkonsolida l-pożizzjoni tiegħu bħala wieħed mill-aktar settijiet ta’ </w:t>
      </w:r>
      <w:r>
        <w:rPr>
          <w:i/>
          <w:noProof/>
        </w:rPr>
        <w:t>data</w:t>
      </w:r>
      <w:r>
        <w:rPr>
          <w:noProof/>
        </w:rPr>
        <w:t xml:space="preserve"> popolari tal-Eurostat. </w:t>
      </w:r>
    </w:p>
    <w:p>
      <w:pPr>
        <w:pStyle w:val="NormalWeb"/>
        <w:spacing w:after="120"/>
        <w:rPr>
          <w:noProof/>
        </w:rPr>
      </w:pPr>
      <w:r>
        <w:rPr>
          <w:noProof/>
        </w:rPr>
        <w:t>Dawn ir-riżultati jikkonfermaw ir-rilevanza tad-</w:t>
      </w:r>
      <w:r>
        <w:rPr>
          <w:i/>
          <w:noProof/>
        </w:rPr>
        <w:t>data</w:t>
      </w:r>
      <w:r>
        <w:rPr>
          <w:noProof/>
        </w:rPr>
        <w:t xml:space="preserve"> għall-utenti u għall-pubbliku ġenerali.</w:t>
      </w:r>
    </w:p>
    <w:p>
      <w:pPr>
        <w:ind w:left="426" w:hanging="426"/>
        <w:rPr>
          <w:b/>
          <w:noProof/>
          <w:szCs w:val="24"/>
        </w:rPr>
      </w:pPr>
      <w:r>
        <w:rPr>
          <w:b/>
          <w:noProof/>
        </w:rPr>
        <w:t>3.2.</w:t>
      </w:r>
      <w:r>
        <w:rPr>
          <w:noProof/>
        </w:rPr>
        <w:tab/>
      </w:r>
      <w:r>
        <w:rPr>
          <w:b/>
          <w:noProof/>
        </w:rPr>
        <w:t>Preċiżjoni</w:t>
      </w:r>
    </w:p>
    <w:p>
      <w:pPr>
        <w:rPr>
          <w:noProof/>
          <w:szCs w:val="24"/>
        </w:rPr>
      </w:pPr>
      <w:r>
        <w:rPr>
          <w:noProof/>
        </w:rPr>
        <w:t>F’konformità mal-prinċipju tas-sussidjarjetà, l-Istati Membri huma ħielsa li jiddeċiedu liema sorsi tad-</w:t>
      </w:r>
      <w:r>
        <w:rPr>
          <w:i/>
          <w:noProof/>
        </w:rPr>
        <w:t>data</w:t>
      </w:r>
      <w:r>
        <w:rPr>
          <w:noProof/>
        </w:rPr>
        <w:t xml:space="preserve"> jużaw, f’konformità mal-liġi u mal-prattika nazzjonali. Fejn xieraq jistgħu jintużaw metodi ta’ stima statistika b’bażi xjentifika u dokumentati kif xieraq (Artikolu 7 tar-Regolament).</w:t>
      </w:r>
    </w:p>
    <w:p>
      <w:pPr>
        <w:spacing w:after="120"/>
        <w:rPr>
          <w:noProof/>
          <w:szCs w:val="24"/>
        </w:rPr>
      </w:pPr>
      <w:r>
        <w:rPr>
          <w:noProof/>
        </w:rPr>
        <w:t>Flimkien mad-</w:t>
      </w:r>
      <w:r>
        <w:rPr>
          <w:i/>
          <w:noProof/>
        </w:rPr>
        <w:t>data</w:t>
      </w:r>
      <w:r>
        <w:rPr>
          <w:noProof/>
        </w:rPr>
        <w:t xml:space="preserve"> bażika, il-Eurostat jirċievi metadata relatata b’mod partikolari mal-preċiżjoni tad-</w:t>
      </w:r>
      <w:r>
        <w:rPr>
          <w:i/>
          <w:noProof/>
        </w:rPr>
        <w:t>data</w:t>
      </w:r>
      <w:r>
        <w:rPr>
          <w:noProof/>
        </w:rPr>
        <w:t xml:space="preserve"> u li tispjega fost l-oħrajn:</w:t>
      </w:r>
    </w:p>
    <w:p>
      <w:pPr>
        <w:pStyle w:val="ListParagraph"/>
        <w:numPr>
          <w:ilvl w:val="0"/>
          <w:numId w:val="46"/>
        </w:numPr>
        <w:spacing w:after="120" w:line="240" w:lineRule="auto"/>
        <w:ind w:left="850" w:hanging="425"/>
        <w:contextualSpacing w:val="0"/>
        <w:jc w:val="both"/>
        <w:rPr>
          <w:noProof/>
          <w:szCs w:val="24"/>
        </w:rPr>
      </w:pPr>
      <w:r>
        <w:rPr>
          <w:rFonts w:ascii="Times New Roman" w:hAnsi="Times New Roman"/>
          <w:noProof/>
          <w:sz w:val="24"/>
        </w:rPr>
        <w:t>is-sorsi tad-</w:t>
      </w:r>
      <w:r>
        <w:rPr>
          <w:rFonts w:ascii="Times New Roman" w:hAnsi="Times New Roman"/>
          <w:i/>
          <w:noProof/>
          <w:sz w:val="24"/>
        </w:rPr>
        <w:t>data</w:t>
      </w:r>
      <w:r>
        <w:rPr>
          <w:rFonts w:ascii="Times New Roman" w:hAnsi="Times New Roman"/>
          <w:noProof/>
          <w:sz w:val="24"/>
        </w:rPr>
        <w:t xml:space="preserve"> u l-proċeduri użati;</w:t>
      </w:r>
    </w:p>
    <w:p>
      <w:pPr>
        <w:pStyle w:val="ListParagraph"/>
        <w:numPr>
          <w:ilvl w:val="0"/>
          <w:numId w:val="46"/>
        </w:numPr>
        <w:spacing w:after="120" w:line="240" w:lineRule="auto"/>
        <w:ind w:left="850" w:hanging="425"/>
        <w:contextualSpacing w:val="0"/>
        <w:jc w:val="both"/>
        <w:rPr>
          <w:noProof/>
          <w:szCs w:val="24"/>
        </w:rPr>
      </w:pPr>
      <w:r>
        <w:rPr>
          <w:rFonts w:ascii="Times New Roman" w:hAnsi="Times New Roman"/>
          <w:noProof/>
          <w:sz w:val="24"/>
        </w:rPr>
        <w:t>kwalunkwe stima jew immudellar applikat għad-</w:t>
      </w:r>
      <w:r>
        <w:rPr>
          <w:rFonts w:ascii="Times New Roman" w:hAnsi="Times New Roman"/>
          <w:i/>
          <w:noProof/>
          <w:sz w:val="24"/>
        </w:rPr>
        <w:t>data</w:t>
      </w:r>
      <w:r>
        <w:rPr>
          <w:rFonts w:ascii="Times New Roman" w:hAnsi="Times New Roman"/>
          <w:noProof/>
          <w:sz w:val="24"/>
        </w:rPr>
        <w:t xml:space="preserve">; u </w:t>
      </w:r>
    </w:p>
    <w:p>
      <w:pPr>
        <w:pStyle w:val="ListParagraph"/>
        <w:numPr>
          <w:ilvl w:val="0"/>
          <w:numId w:val="46"/>
        </w:numPr>
        <w:spacing w:line="240" w:lineRule="auto"/>
        <w:ind w:left="850" w:hanging="425"/>
        <w:contextualSpacing w:val="0"/>
        <w:jc w:val="both"/>
        <w:rPr>
          <w:noProof/>
          <w:szCs w:val="24"/>
        </w:rPr>
      </w:pPr>
      <w:r>
        <w:rPr>
          <w:rFonts w:ascii="Times New Roman" w:hAnsi="Times New Roman"/>
          <w:noProof/>
          <w:sz w:val="24"/>
        </w:rPr>
        <w:t>l-effetti possibbli ta’ dawn fuq il-grad ta’ konformità mad-definizzjonijiet fir-Regolament.</w:t>
      </w:r>
    </w:p>
    <w:p>
      <w:pPr>
        <w:rPr>
          <w:noProof/>
          <w:szCs w:val="24"/>
        </w:rPr>
      </w:pPr>
      <w:r>
        <w:rPr>
          <w:noProof/>
        </w:rPr>
        <w:t>Mindu daħal fis-seħħ ir-Regolament, il-validazzjoni tad-</w:t>
      </w:r>
      <w:r>
        <w:rPr>
          <w:i/>
          <w:noProof/>
        </w:rPr>
        <w:t>data</w:t>
      </w:r>
      <w:r>
        <w:rPr>
          <w:noProof/>
        </w:rPr>
        <w:t xml:space="preserve"> ttejbet permezz tal-introduzzjoni ta’ aktar kontrolli aktar dettaljati fil-kwestjonarju. L-Istati Membri jwettqu dawn il-kontrolli qabel ma jibagħtu d-</w:t>
      </w:r>
      <w:r>
        <w:rPr>
          <w:i/>
          <w:noProof/>
        </w:rPr>
        <w:t>data</w:t>
      </w:r>
      <w:r>
        <w:rPr>
          <w:noProof/>
        </w:rPr>
        <w:t>, u dan jirriżulta fi kwalità ġenerali mtejba tad-</w:t>
      </w:r>
      <w:r>
        <w:rPr>
          <w:i/>
          <w:noProof/>
        </w:rPr>
        <w:t>data</w:t>
      </w:r>
      <w:r>
        <w:rPr>
          <w:noProof/>
        </w:rPr>
        <w:t>. B’mod simili, regoli msaħħa għall-validazzjoni tad-</w:t>
      </w:r>
      <w:r>
        <w:rPr>
          <w:i/>
          <w:noProof/>
        </w:rPr>
        <w:t>data</w:t>
      </w:r>
      <w:r>
        <w:rPr>
          <w:noProof/>
        </w:rPr>
        <w:t xml:space="preserve"> fil-bażi ta’ </w:t>
      </w:r>
      <w:r>
        <w:rPr>
          <w:i/>
          <w:noProof/>
        </w:rPr>
        <w:t>data</w:t>
      </w:r>
      <w:r>
        <w:rPr>
          <w:noProof/>
        </w:rPr>
        <w:t xml:space="preserve"> tal-Eurostat qabel it-tixrid ta’ din komplew itejbu l-kwalità tar-riżultati.</w:t>
      </w:r>
    </w:p>
    <w:p>
      <w:pPr>
        <w:spacing w:after="120"/>
        <w:rPr>
          <w:noProof/>
          <w:szCs w:val="24"/>
        </w:rPr>
      </w:pPr>
      <w:r>
        <w:rPr>
          <w:noProof/>
        </w:rPr>
        <w:t>Għad li sar ħafna titjib, għadhom jeżistu kwistjonijiet speċifiċi relatati mal-preċiżjoni rigward:</w:t>
      </w:r>
    </w:p>
    <w:p>
      <w:pPr>
        <w:pStyle w:val="ListParagraph"/>
        <w:numPr>
          <w:ilvl w:val="0"/>
          <w:numId w:val="46"/>
        </w:numPr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kopertura subottimali (eż. meta n-nies ma jirreġistrawx ir-residenza tagħhom); u </w:t>
      </w:r>
    </w:p>
    <w:p>
      <w:pPr>
        <w:pStyle w:val="ListParagraph"/>
        <w:numPr>
          <w:ilvl w:val="0"/>
          <w:numId w:val="46"/>
        </w:numPr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kopertura sovraottimali (eż. meta n-nies ma jagħmlux “dereġistrazzjoni”, peress li spiss ma jkun hemm ebda obbligu jew inċentiv biex jagħmlu dan). </w:t>
      </w:r>
    </w:p>
    <w:p>
      <w:pPr>
        <w:rPr>
          <w:noProof/>
          <w:szCs w:val="24"/>
        </w:rPr>
      </w:pPr>
      <w:r>
        <w:rPr>
          <w:noProof/>
        </w:rPr>
        <w:t xml:space="preserve">F’dan il-kuntest, il-Eurostat jippromwovi l-użu ta’ “flussi mera” rapportati mill-Istati Membri sħab biex jiġu solvuti l-iżbalji fil-kopertura dovuti għal nuqqas ta’ reġistrazzjoni u ta’ dereġistrazzjoni. Dan issorvelja din il-ħidma permezz ta’ diskussjoni approfondita mal-NSIs u billi ffaċilita l-iskambju ta’ </w:t>
      </w:r>
      <w:r>
        <w:rPr>
          <w:i/>
          <w:noProof/>
        </w:rPr>
        <w:t>data</w:t>
      </w:r>
      <w:r>
        <w:rPr>
          <w:noProof/>
        </w:rPr>
        <w:t xml:space="preserve"> ta’ fluss mera bejn l-Istati Membri, b’kunsiderazzjoni tar-regoli dwar il-protezzjoni ta’ </w:t>
      </w:r>
      <w:r>
        <w:rPr>
          <w:i/>
          <w:noProof/>
        </w:rPr>
        <w:t>data</w:t>
      </w:r>
      <w:r>
        <w:rPr>
          <w:noProof/>
        </w:rPr>
        <w:t xml:space="preserve"> personali u tad-differenzi fil-leġiżlazzjoni nazzjonali.</w:t>
      </w:r>
    </w:p>
    <w:p>
      <w:pPr>
        <w:rPr>
          <w:noProof/>
          <w:szCs w:val="24"/>
        </w:rPr>
      </w:pPr>
      <w:r>
        <w:rPr>
          <w:noProof/>
        </w:rPr>
        <w:t>Il-Eurostat u l-Istati Membri jaħdmu flimkien kontinwament biex isolvu kwistjonijiet pendenti u t-titjib jiġi diskuss u miftiehem f’laqgħat annwali tal-grupp ta’ esperti tal-Kummissjoni tal-istatistiċi dwar il-popolazzjoni, fejn huma rappreżentati l-NSIs kollha.</w:t>
      </w:r>
    </w:p>
    <w:p>
      <w:pPr>
        <w:ind w:left="426" w:hanging="426"/>
        <w:rPr>
          <w:b/>
          <w:noProof/>
          <w:szCs w:val="24"/>
        </w:rPr>
      </w:pPr>
      <w:r>
        <w:rPr>
          <w:b/>
          <w:noProof/>
        </w:rPr>
        <w:t>3.3.</w:t>
      </w:r>
      <w:r>
        <w:rPr>
          <w:noProof/>
        </w:rPr>
        <w:tab/>
      </w:r>
      <w:r>
        <w:rPr>
          <w:b/>
          <w:noProof/>
        </w:rPr>
        <w:t>It-tempestività u l-puntwalità</w:t>
      </w:r>
    </w:p>
    <w:p>
      <w:pPr>
        <w:rPr>
          <w:noProof/>
          <w:szCs w:val="24"/>
        </w:rPr>
      </w:pPr>
      <w:r>
        <w:rPr>
          <w:noProof/>
        </w:rPr>
        <w:t>L-iskadenza ewlenija għall-provvista tal-biċċa l-kbira tad-</w:t>
      </w:r>
      <w:r>
        <w:rPr>
          <w:i/>
          <w:noProof/>
        </w:rPr>
        <w:t>data</w:t>
      </w:r>
      <w:r>
        <w:rPr>
          <w:noProof/>
        </w:rPr>
        <w:t xml:space="preserve"> demografika lill-Eurostat hi ta’ 12-il xahar wara tmiem is-sena bażi; tliet settijiet ta’ </w:t>
      </w:r>
      <w:r>
        <w:rPr>
          <w:i/>
          <w:noProof/>
        </w:rPr>
        <w:t>data</w:t>
      </w:r>
      <w:r>
        <w:rPr>
          <w:noProof/>
        </w:rPr>
        <w:t xml:space="preserve"> żgħar għandhom jintbagħtu fi żmien 6, 8 u 11-il xahar minn tmiem is-sena ta’ referenza.</w:t>
      </w:r>
    </w:p>
    <w:p>
      <w:pPr>
        <w:pStyle w:val="Text2"/>
        <w:ind w:left="0"/>
        <w:rPr>
          <w:noProof/>
          <w:szCs w:val="24"/>
        </w:rPr>
      </w:pPr>
      <w:r>
        <w:rPr>
          <w:noProof/>
        </w:rPr>
        <w:t>Ġie osservat titjib konsiderevoli fil-puntwalità tal-provvista tad-</w:t>
      </w:r>
      <w:r>
        <w:rPr>
          <w:i/>
          <w:noProof/>
        </w:rPr>
        <w:t>data</w:t>
      </w:r>
      <w:r>
        <w:rPr>
          <w:noProof/>
        </w:rPr>
        <w:t xml:space="preserve"> skont ir-Regolament, meta mqabbel mal-approċċ volontarju preċedenti. Dan hu dovut b’mod partikolari għall-introduzzjoni mill-Istati Membri ta’ estrazzjonijiet awtomatiċi mill-bażijiet ta’ </w:t>
      </w:r>
      <w:r>
        <w:rPr>
          <w:i/>
          <w:noProof/>
        </w:rPr>
        <w:t>data</w:t>
      </w:r>
      <w:r>
        <w:rPr>
          <w:noProof/>
        </w:rPr>
        <w:t xml:space="preserve"> statistiċi tagħhom biex jikkonformaw mat-talbiet tad-</w:t>
      </w:r>
      <w:r>
        <w:rPr>
          <w:i/>
          <w:noProof/>
        </w:rPr>
        <w:t>data</w:t>
      </w:r>
      <w:r>
        <w:rPr>
          <w:noProof/>
        </w:rPr>
        <w:t xml:space="preserve"> tal-Eurostat u għall-monitoraġġ tal-konformità regolari tal-Eurostat. Għad hemm xi kwistjonijiet iżolati mhux rikorrenti, eż. interruzzjonijiet ikkawżati minn ħsarat fis-sistemi kompjuterizzati.</w:t>
      </w:r>
    </w:p>
    <w:p>
      <w:pPr>
        <w:rPr>
          <w:noProof/>
          <w:szCs w:val="24"/>
        </w:rPr>
      </w:pPr>
      <w:r>
        <w:rPr>
          <w:noProof/>
        </w:rPr>
        <w:t>Il-provvista aktar struttura u kompluta tad-</w:t>
      </w:r>
      <w:r>
        <w:rPr>
          <w:i/>
          <w:noProof/>
        </w:rPr>
        <w:t>data</w:t>
      </w:r>
      <w:r>
        <w:rPr>
          <w:noProof/>
        </w:rPr>
        <w:t xml:space="preserve"> skont ir-Regolament ippermettiet lill-Eurostat iħejji l-proċessar tad-</w:t>
      </w:r>
      <w:r>
        <w:rPr>
          <w:i/>
          <w:noProof/>
        </w:rPr>
        <w:t>data</w:t>
      </w:r>
      <w:r>
        <w:rPr>
          <w:noProof/>
        </w:rPr>
        <w:t xml:space="preserve"> minn qabel u, b’hekk, itejjeb il-veloċità u l-effiċjenza tal-immaniġġjar u tat-tixrid tad-</w:t>
      </w:r>
      <w:r>
        <w:rPr>
          <w:i/>
          <w:noProof/>
        </w:rPr>
        <w:t>data</w:t>
      </w:r>
      <w:r>
        <w:rPr>
          <w:noProof/>
        </w:rPr>
        <w:t>. Issa hu meħtieġ anqas żmien bejn ir-riċevuta u l-validazzjoni u, imbagħad, it-tixrid tad-</w:t>
      </w:r>
      <w:r>
        <w:rPr>
          <w:i/>
          <w:noProof/>
        </w:rPr>
        <w:t>data</w:t>
      </w:r>
      <w:r>
        <w:rPr>
          <w:noProof/>
        </w:rPr>
        <w:t xml:space="preserve"> fuq is-sit web tal-Eurostat. Iż-żmien tal-proċessar tnaqqas ulterjorment bl-introduzzjoni gradwali ta’ proċeduri awtomatizzati interni ta’ validazzjoni, bir-rapportar tal-feedback dwar l-iżbalji lill-fornituri nazzjonali tad-</w:t>
      </w:r>
      <w:r>
        <w:rPr>
          <w:i/>
          <w:noProof/>
        </w:rPr>
        <w:t>data</w:t>
      </w:r>
      <w:r>
        <w:rPr>
          <w:noProof/>
        </w:rPr>
        <w:t>.</w:t>
      </w:r>
    </w:p>
    <w:p>
      <w:pPr>
        <w:ind w:left="426" w:hanging="426"/>
        <w:rPr>
          <w:b/>
          <w:noProof/>
          <w:szCs w:val="24"/>
        </w:rPr>
      </w:pPr>
      <w:r>
        <w:rPr>
          <w:b/>
          <w:noProof/>
        </w:rPr>
        <w:t>3.4.</w:t>
      </w:r>
      <w:r>
        <w:rPr>
          <w:noProof/>
        </w:rPr>
        <w:tab/>
      </w:r>
      <w:r>
        <w:rPr>
          <w:b/>
          <w:noProof/>
        </w:rPr>
        <w:t>L-aċċessibbiltà u ċ-ċarezza</w:t>
      </w:r>
    </w:p>
    <w:p>
      <w:pPr>
        <w:spacing w:after="120"/>
        <w:rPr>
          <w:noProof/>
          <w:szCs w:val="24"/>
        </w:rPr>
      </w:pPr>
      <w:r>
        <w:rPr>
          <w:noProof/>
        </w:rPr>
        <w:t>Id-</w:t>
      </w:r>
      <w:r>
        <w:rPr>
          <w:i/>
          <w:noProof/>
        </w:rPr>
        <w:t>data</w:t>
      </w:r>
      <w:r>
        <w:rPr>
          <w:noProof/>
        </w:rPr>
        <w:t xml:space="preserve"> tal-Istati Membri u l-aggregati tal-UE huma disponibbli mingħajr ħlas fuq is-sit web tal-Eurostat</w:t>
      </w:r>
      <w:r>
        <w:rPr>
          <w:rStyle w:val="FootnoteReference"/>
          <w:noProof/>
        </w:rPr>
        <w:footnoteReference w:id="16"/>
      </w:r>
      <w:r>
        <w:rPr>
          <w:noProof/>
        </w:rPr>
        <w:t>. L-utenti jistgħu jaċċessaw l-istatistiċi tal-UE dwar id-demografija</w:t>
      </w:r>
      <w:r>
        <w:rPr>
          <w:rStyle w:val="FootnoteReference"/>
          <w:noProof/>
        </w:rPr>
        <w:footnoteReference w:id="17"/>
      </w:r>
      <w:r>
        <w:rPr>
          <w:noProof/>
        </w:rPr>
        <w:t xml:space="preserve"> permezz ta’ tliet kanali ewlenin:</w:t>
      </w:r>
    </w:p>
    <w:p>
      <w:pPr>
        <w:numPr>
          <w:ilvl w:val="0"/>
          <w:numId w:val="44"/>
        </w:numPr>
        <w:spacing w:after="120"/>
        <w:ind w:left="851" w:hanging="425"/>
        <w:rPr>
          <w:noProof/>
          <w:szCs w:val="24"/>
        </w:rPr>
      </w:pPr>
      <w:r>
        <w:rPr>
          <w:noProof/>
        </w:rPr>
        <w:t>taħt l-intestatura “Tables” (“Tabelli”), tabelli bidimensjonali predefiniti jkopru l-aktar ħtiġijiet tad-</w:t>
      </w:r>
      <w:r>
        <w:rPr>
          <w:i/>
          <w:noProof/>
        </w:rPr>
        <w:t>data</w:t>
      </w:r>
      <w:r>
        <w:rPr>
          <w:noProof/>
        </w:rPr>
        <w:t xml:space="preserve"> komuni b’mod aċċessibbli għal utenti anqas frekwenti jew anqas speċjalizzati;</w:t>
      </w:r>
    </w:p>
    <w:p>
      <w:pPr>
        <w:numPr>
          <w:ilvl w:val="0"/>
          <w:numId w:val="44"/>
        </w:numPr>
        <w:spacing w:after="120"/>
        <w:ind w:left="851" w:hanging="425"/>
        <w:rPr>
          <w:noProof/>
          <w:szCs w:val="24"/>
        </w:rPr>
      </w:pPr>
      <w:r>
        <w:rPr>
          <w:noProof/>
        </w:rPr>
        <w:t xml:space="preserve">taħt l-intestatura “Database” (“Bażi ta’ </w:t>
      </w:r>
      <w:r>
        <w:rPr>
          <w:i/>
          <w:noProof/>
        </w:rPr>
        <w:t>Data</w:t>
      </w:r>
      <w:r>
        <w:rPr>
          <w:noProof/>
        </w:rPr>
        <w:t>”), hemm tabelli multidimensjonali disponibbli li jħallu lill-utenti jagħmlu domandi aktar avvanzati u dettaljati. Fuq talba tal-utent, il-Eurostat jipprovdi estrazzjonijiet personalizzati biex iwieġeb għal ħtiġijiet tad-</w:t>
      </w:r>
      <w:r>
        <w:rPr>
          <w:i/>
          <w:noProof/>
        </w:rPr>
        <w:t>data</w:t>
      </w:r>
      <w:r>
        <w:rPr>
          <w:noProof/>
        </w:rPr>
        <w:t xml:space="preserve"> speċjalizzati ħafna jew dettaljati; u</w:t>
      </w:r>
    </w:p>
    <w:p>
      <w:pPr>
        <w:numPr>
          <w:ilvl w:val="0"/>
          <w:numId w:val="44"/>
        </w:numPr>
        <w:ind w:left="851" w:hanging="425"/>
        <w:rPr>
          <w:noProof/>
          <w:szCs w:val="24"/>
        </w:rPr>
      </w:pPr>
      <w:r>
        <w:rPr>
          <w:noProof/>
        </w:rPr>
        <w:t>l-artikli aġġornati b’mod regolari jipprovdu introduzzjoni faċli għall-istatistiċi dwar il-popolazzjoni, billi jgħaqqdu l-graffs, it-tabelli u l-analiżi fuq firxa wiesgħa ta’ suġġetti relatati mal-popolazzjoni</w:t>
      </w:r>
      <w:r>
        <w:rPr>
          <w:rStyle w:val="FootnoteReference"/>
          <w:noProof/>
        </w:rPr>
        <w:footnoteReference w:id="18"/>
      </w:r>
      <w:r>
        <w:rPr>
          <w:noProof/>
        </w:rPr>
        <w:t>.</w:t>
      </w:r>
    </w:p>
    <w:p>
      <w:pPr>
        <w:rPr>
          <w:noProof/>
          <w:szCs w:val="24"/>
        </w:rPr>
      </w:pPr>
      <w:r>
        <w:rPr>
          <w:noProof/>
        </w:rPr>
        <w:t>Id-</w:t>
      </w:r>
      <w:r>
        <w:rPr>
          <w:i/>
          <w:noProof/>
        </w:rPr>
        <w:t>data</w:t>
      </w:r>
      <w:r>
        <w:rPr>
          <w:noProof/>
        </w:rPr>
        <w:t xml:space="preserve"> demografika tiġi inkluża fil-pubblikazzjonijiet ta’ kompendju bħar-</w:t>
      </w:r>
      <w:r>
        <w:rPr>
          <w:i/>
          <w:noProof/>
        </w:rPr>
        <w:t>Regional Yearbook</w:t>
      </w:r>
      <w:r>
        <w:rPr>
          <w:rStyle w:val="FootnoteReference"/>
          <w:noProof/>
        </w:rPr>
        <w:footnoteReference w:id="19"/>
      </w:r>
      <w:r>
        <w:rPr>
          <w:noProof/>
        </w:rPr>
        <w:t xml:space="preserve"> tal-Eurostat u f’pubblikazzjonijiet dettaljati li jiffokaw fuq suġġetti speċifiċi relatati mad-demografija</w:t>
      </w:r>
      <w:r>
        <w:rPr>
          <w:rStyle w:val="FootnoteReference"/>
          <w:noProof/>
        </w:rPr>
        <w:footnoteReference w:id="20"/>
      </w:r>
      <w:r>
        <w:rPr>
          <w:noProof/>
        </w:rPr>
        <w:t>. Kull sena, u diversi drabi, il-ħarġiet tad-</w:t>
      </w:r>
      <w:r>
        <w:rPr>
          <w:i/>
          <w:noProof/>
        </w:rPr>
        <w:t>data</w:t>
      </w:r>
      <w:r>
        <w:rPr>
          <w:noProof/>
        </w:rPr>
        <w:t xml:space="preserve"> jkunu akkumpanjati minn stqarrijiet għall-istampa distribwiti b’mod mifrux jew minn aħbarijiet qosra. Il-Eurostat jippromwovi l-użu ta’ artikli </w:t>
      </w:r>
      <w:r>
        <w:rPr>
          <w:i/>
          <w:noProof/>
        </w:rPr>
        <w:t>Statistics Explained</w:t>
      </w:r>
      <w:r>
        <w:rPr>
          <w:noProof/>
        </w:rPr>
        <w:t xml:space="preserve"> billi jagħti aktar informazzjoni dwar l-istatistiċi, it-tendenzi u l-interpretazzjoni tagħhom. Dan it-tip ta’ artiklu</w:t>
      </w:r>
      <w:r>
        <w:rPr>
          <w:rStyle w:val="FootnoteReference"/>
          <w:noProof/>
        </w:rPr>
        <w:footnoteReference w:id="21"/>
      </w:r>
      <w:r>
        <w:rPr>
          <w:noProof/>
        </w:rPr>
        <w:t xml:space="preserve"> jiġi prodott u aġġornat b’mod regolari għal ħafna mid-</w:t>
      </w:r>
      <w:r>
        <w:rPr>
          <w:i/>
          <w:noProof/>
        </w:rPr>
        <w:t>data</w:t>
      </w:r>
      <w:r>
        <w:rPr>
          <w:noProof/>
        </w:rPr>
        <w:t xml:space="preserve"> miġbura skont ir-Regolament.</w:t>
      </w:r>
    </w:p>
    <w:p>
      <w:pPr>
        <w:ind w:left="426" w:hanging="426"/>
        <w:rPr>
          <w:b/>
          <w:noProof/>
          <w:szCs w:val="24"/>
        </w:rPr>
      </w:pPr>
      <w:r>
        <w:rPr>
          <w:b/>
          <w:noProof/>
        </w:rPr>
        <w:t>3.5.</w:t>
      </w:r>
      <w:r>
        <w:rPr>
          <w:noProof/>
        </w:rPr>
        <w:tab/>
      </w:r>
      <w:r>
        <w:rPr>
          <w:b/>
          <w:noProof/>
        </w:rPr>
        <w:t>Komparabbiltà u koerenza</w:t>
      </w:r>
    </w:p>
    <w:p>
      <w:pPr>
        <w:rPr>
          <w:noProof/>
        </w:rPr>
      </w:pPr>
      <w:r>
        <w:rPr>
          <w:noProof/>
        </w:rPr>
        <w:t>L-istatistiċi demografiċi Ewropej jibbażaw fuq grad għoli ta’ armonizzazzjoni rigward kunċetti, definizzjonijiet, klassifikazzjonijiet u metodoloġiji. Il-kwistjonijiet metodoloġiċi spiss jiġu diskussi fil-grupp ta’ esperti dedikat tal-Kummissjoni tal-istatistiċi dwar il-popolazzjoni, li jħeġġeġ ukoll l-iskambju ta’ esperjenzi u ta’ prattiki komuni fl-UE u lil hinn minnha. Biex jiżgura l-komparabbiltà tal-istatistiċi, il-Eurostat jivverifika jekk id-</w:t>
      </w:r>
      <w:r>
        <w:rPr>
          <w:i/>
          <w:noProof/>
        </w:rPr>
        <w:t>data</w:t>
      </w:r>
      <w:r>
        <w:rPr>
          <w:noProof/>
        </w:rPr>
        <w:t xml:space="preserve"> li jirċievi tkunx konsistenti internament u maż-żmien, u komparabbli bejn reġjuni u Stati Membri, f’konformità mal-qafas ta’ garanzija tal-kwalità tas-Sistema Statistika Ewropea</w:t>
      </w:r>
      <w:r>
        <w:rPr>
          <w:rStyle w:val="FootnoteReference"/>
          <w:noProof/>
        </w:rPr>
        <w:footnoteReference w:id="22"/>
      </w:r>
      <w:r>
        <w:rPr>
          <w:noProof/>
        </w:rPr>
        <w:t>.</w:t>
      </w:r>
    </w:p>
    <w:p>
      <w:pPr>
        <w:rPr>
          <w:noProof/>
          <w:szCs w:val="24"/>
        </w:rPr>
      </w:pPr>
      <w:r>
        <w:rPr>
          <w:noProof/>
        </w:rPr>
        <w:t>Madankollu, għall-istatistiċi dettaljati msemmija fl-Artikolu 3 tar-Regolament, l-applikazzjoni stretta tal-kunċett tal-popolazzjoni ta’ “residenza abitwali” irriżultat li hi l-akbar problema biex wieħed jindirizzaha. Qegħdin isiru sforzi u ħafna Stati Membri issa jistgħu japprossimaw ir-“residenza abitwali” fuq il-bażi tas-sorsi tad-</w:t>
      </w:r>
      <w:r>
        <w:rPr>
          <w:i/>
          <w:noProof/>
        </w:rPr>
        <w:t>data</w:t>
      </w:r>
      <w:r>
        <w:rPr>
          <w:noProof/>
        </w:rPr>
        <w:t xml:space="preserve"> nazzjonali tagħhom. Madankollu, ċerti Stati Membri huma konxji mid-diskrepanzi li huma ma jistgħux jeliminaw għal-livelli tad-</w:t>
      </w:r>
      <w:r>
        <w:rPr>
          <w:i/>
          <w:noProof/>
        </w:rPr>
        <w:t>data</w:t>
      </w:r>
      <w:r>
        <w:rPr>
          <w:noProof/>
        </w:rPr>
        <w:t xml:space="preserve"> dettaljati kollha (b’mod partikolari dak reġjonali)</w:t>
      </w:r>
      <w:r>
        <w:rPr>
          <w:i/>
          <w:noProof/>
        </w:rPr>
        <w:t xml:space="preserve"> </w:t>
      </w:r>
      <w:r>
        <w:rPr>
          <w:noProof/>
        </w:rPr>
        <w:t>meħtieġa mill-Artikolu 3. Pereżempju, uħud ma jistgħux japplikaw il-kriterju ta’ 12-il xahar għal stokkijiet tal-popolazzjoni u għal avvenimenti vitali, spiss għaliex il-kundizzjoni tal-istatistika nazzjonali biex persuna tiġi inkluża fil-popolazzjoni tkun ibbażata fuq kriterji permanenti għaċ-ċittadini jew fuq kriterju ta’ sitt xhur. Fi ftit każijiet, il-komparabbiltà tad-</w:t>
      </w:r>
      <w:r>
        <w:rPr>
          <w:i/>
          <w:noProof/>
        </w:rPr>
        <w:t>data</w:t>
      </w:r>
      <w:r>
        <w:rPr>
          <w:noProof/>
        </w:rPr>
        <w:t xml:space="preserve"> tkun affettwata minn kwistjonijiet speċifiċi minuri li jikkonċernaw l-użu tal-kunċett ta’ “reġistrazzjoni permanenti” biss, b’ebda kriterju taż-żmien għas-soġġorni. Biex jiġu solvuti dawn il-problemi, hu meħtieġ isir aktar xogħol fuq id-definizzjonijiet statistiċi ta’ “popolazzjoni”.</w:t>
      </w:r>
    </w:p>
    <w:p>
      <w:pPr>
        <w:rPr>
          <w:noProof/>
          <w:szCs w:val="24"/>
        </w:rPr>
      </w:pPr>
      <w:r>
        <w:rPr>
          <w:noProof/>
        </w:rPr>
        <w:t>B’mod ġenerali, l-istatistiċi demografiċi huma komparabbli maż-żmien. Madankollu, jista’ jirriżulta nuqqas ta’ kontinwità meta l-Istati Membri jtejbu jew ibiddlu l-metodoloġija tagħhom, jew jaġġustaw l-unitajiet territorjali użati fl-istatistiċi. Dawn huma indikati kif xieraq fit-tabelli dwar it-tixrid tad-</w:t>
      </w:r>
      <w:r>
        <w:rPr>
          <w:i/>
          <w:noProof/>
        </w:rPr>
        <w:t>data</w:t>
      </w:r>
      <w:r>
        <w:rPr>
          <w:noProof/>
        </w:rPr>
        <w:t xml:space="preserve"> fil-bażi ta’ </w:t>
      </w:r>
      <w:r>
        <w:rPr>
          <w:i/>
          <w:noProof/>
        </w:rPr>
        <w:t>data</w:t>
      </w:r>
      <w:r>
        <w:rPr>
          <w:noProof/>
        </w:rPr>
        <w:t xml:space="preserve"> tal-Eurostat u dokumentati għall-utenti permezz tal-metadata fuq is-sit web tal-Eurostat jew fil-pubblikazzjonijiet rilevanti.</w:t>
      </w:r>
    </w:p>
    <w:p>
      <w:pPr>
        <w:ind w:left="426" w:hanging="426"/>
        <w:rPr>
          <w:b/>
          <w:noProof/>
          <w:szCs w:val="24"/>
        </w:rPr>
      </w:pPr>
      <w:r>
        <w:rPr>
          <w:b/>
          <w:noProof/>
        </w:rPr>
        <w:t>3.6.</w:t>
      </w:r>
      <w:r>
        <w:rPr>
          <w:noProof/>
        </w:rPr>
        <w:tab/>
      </w:r>
      <w:r>
        <w:rPr>
          <w:b/>
          <w:noProof/>
        </w:rPr>
        <w:t>Miżuri għat-titjib tal-kwalità</w:t>
      </w:r>
    </w:p>
    <w:p>
      <w:pPr>
        <w:rPr>
          <w:noProof/>
          <w:szCs w:val="24"/>
        </w:rPr>
      </w:pPr>
      <w:r>
        <w:rPr>
          <w:noProof/>
        </w:rPr>
        <w:t>Il-Eurostat għadu jsegwi każijiet iżolati ta’ nuqqas ta’ konformità mar-Regolament, fejn id-</w:t>
      </w:r>
      <w:r>
        <w:rPr>
          <w:i/>
          <w:noProof/>
        </w:rPr>
        <w:t>data</w:t>
      </w:r>
      <w:r>
        <w:rPr>
          <w:noProof/>
        </w:rPr>
        <w:t xml:space="preserve"> kienet inkompluta, kienet ta’ kwalità baxxa jew ma ntbagħtitx sal-iskadenzi legali. Dan jissorvelja u jivvaluta dawn l-aspetti tal-provvista tad-</w:t>
      </w:r>
      <w:r>
        <w:rPr>
          <w:i/>
          <w:noProof/>
        </w:rPr>
        <w:t>data</w:t>
      </w:r>
      <w:r>
        <w:rPr>
          <w:noProof/>
        </w:rPr>
        <w:t xml:space="preserve"> fuq bażi kontinwa u jikkuntattja lill-Istati Membri konċernati f’livell tekniku u amministrattiv biex isolvu l-problemi.</w:t>
      </w:r>
    </w:p>
    <w:p>
      <w:pPr>
        <w:pStyle w:val="Heading1"/>
        <w:numPr>
          <w:ilvl w:val="0"/>
          <w:numId w:val="28"/>
        </w:numPr>
        <w:spacing w:before="0" w:line="276" w:lineRule="auto"/>
        <w:ind w:left="426" w:hanging="426"/>
        <w:jc w:val="left"/>
        <w:rPr>
          <w:noProof/>
        </w:rPr>
      </w:pPr>
      <w:bookmarkStart w:id="8" w:name="_Toc509906099"/>
      <w:bookmarkStart w:id="9" w:name="_Toc505861031"/>
      <w:r>
        <w:rPr>
          <w:noProof/>
        </w:rPr>
        <w:t>Il-ġbir tad-</w:t>
      </w:r>
      <w:r>
        <w:rPr>
          <w:i/>
          <w:noProof/>
        </w:rPr>
        <w:t>data</w:t>
      </w:r>
      <w:r>
        <w:rPr>
          <w:noProof/>
        </w:rPr>
        <w:t xml:space="preserve"> u l-metodi ta’ stima</w:t>
      </w:r>
      <w:bookmarkEnd w:id="8"/>
      <w:bookmarkEnd w:id="9"/>
    </w:p>
    <w:p>
      <w:pPr>
        <w:ind w:left="426" w:hanging="426"/>
        <w:rPr>
          <w:b/>
          <w:noProof/>
          <w:szCs w:val="24"/>
        </w:rPr>
      </w:pPr>
      <w:r>
        <w:rPr>
          <w:b/>
          <w:noProof/>
        </w:rPr>
        <w:t>4.1.</w:t>
      </w:r>
      <w:r>
        <w:rPr>
          <w:noProof/>
        </w:rPr>
        <w:tab/>
      </w:r>
      <w:r>
        <w:rPr>
          <w:b/>
          <w:i/>
          <w:noProof/>
        </w:rPr>
        <w:t xml:space="preserve">Data </w:t>
      </w:r>
      <w:r>
        <w:rPr>
          <w:b/>
          <w:noProof/>
        </w:rPr>
        <w:t>skont l-Artikolu 3 tar-Regolament</w:t>
      </w:r>
    </w:p>
    <w:p>
      <w:pPr>
        <w:rPr>
          <w:noProof/>
        </w:rPr>
      </w:pPr>
      <w:r>
        <w:rPr>
          <w:noProof/>
        </w:rPr>
        <w:t>L-Istati Membri jiġbru d-</w:t>
      </w:r>
      <w:r>
        <w:rPr>
          <w:i/>
          <w:noProof/>
        </w:rPr>
        <w:t>data</w:t>
      </w:r>
      <w:r>
        <w:rPr>
          <w:noProof/>
        </w:rPr>
        <w:t xml:space="preserve"> billi jużaw is-sorsi u l-prattiki nazzjonali tagħhom stess, iżda huma obbligati jiżguraw il-kwalità tad-</w:t>
      </w:r>
      <w:r>
        <w:rPr>
          <w:i/>
          <w:noProof/>
        </w:rPr>
        <w:t>data</w:t>
      </w:r>
      <w:r>
        <w:rPr>
          <w:noProof/>
        </w:rPr>
        <w:t xml:space="preserve"> u tal-metadata li jibagħtu, u li jużaw sorsi tad-</w:t>
      </w:r>
      <w:r>
        <w:rPr>
          <w:i/>
          <w:noProof/>
        </w:rPr>
        <w:t>data</w:t>
      </w:r>
      <w:r>
        <w:rPr>
          <w:noProof/>
        </w:rPr>
        <w:t xml:space="preserve"> u metodoloġiji li jippermettulhom jikkonformaw ma’ definizzjonijiet regolari komuni. Il-Eurostat jista’ jirrieżamina l-prattiki nazzjonali, peress li l-Istati Membri jridu jirrapportawlu s-sorsi tad-</w:t>
      </w:r>
      <w:r>
        <w:rPr>
          <w:i/>
          <w:noProof/>
        </w:rPr>
        <w:t>data</w:t>
      </w:r>
      <w:r>
        <w:rPr>
          <w:noProof/>
        </w:rPr>
        <w:t>, id-definizzjonijiet u l-metodi ta’ stima li jużaw u jinformawh dwar kwalunkwe tibdil.</w:t>
      </w:r>
    </w:p>
    <w:p>
      <w:pPr>
        <w:rPr>
          <w:noProof/>
          <w:szCs w:val="24"/>
        </w:rPr>
      </w:pPr>
      <w:r>
        <w:rPr>
          <w:noProof/>
        </w:rPr>
        <w:t>Biex iżommu konformità mar-Regolament, l-Istati Membru tejbu l-kwalità tal-istatistiċi mibgħuta lill-Eurostat skont l-Artikolu 3 billi użaw sorsi addizzjonali, eż. reġistri tal-assigurazzjoni tas-saħħa, reġistri tat-taxxa u Ċensiment tal-2011. Barra minn hekk, tul dawn l-aħħar snin, il-maġġoranza vasta tal-Istati Membri għamlet, jew qed tippjana jew tikkunsidra, tibdiliet kbar fis-sorsi tad-</w:t>
      </w:r>
      <w:r>
        <w:rPr>
          <w:i/>
          <w:noProof/>
        </w:rPr>
        <w:t>data</w:t>
      </w:r>
      <w:r>
        <w:rPr>
          <w:noProof/>
        </w:rPr>
        <w:t xml:space="preserve"> u fil-metodi użati għaċ-ċensimenti dwar il-popolazzjonijiet u l-abitazzjonijiet tagħhom; l-aktar komuni, dawn jikkonċernaw l-użu akbar tad-</w:t>
      </w:r>
      <w:r>
        <w:rPr>
          <w:i/>
          <w:noProof/>
        </w:rPr>
        <w:t>data</w:t>
      </w:r>
      <w:r>
        <w:rPr>
          <w:noProof/>
        </w:rPr>
        <w:t xml:space="preserve"> minn sorsi amministrattivi u jitbiegħdu minn enumerazzjonijiet taċ-ċensimenti tradizzjonali “bieb, bieb” jew “bil-posta”. Dan għandu impatt importanti fuq il-produzzjoni ta’ statistiċi demografiċi annwali, kif spjegat aktar ’il quddiem fit-taqsimiet 4.3 u 5.</w:t>
      </w:r>
    </w:p>
    <w:p>
      <w:pPr>
        <w:ind w:left="426" w:hanging="426"/>
        <w:rPr>
          <w:b/>
          <w:noProof/>
          <w:szCs w:val="24"/>
        </w:rPr>
      </w:pPr>
      <w:r>
        <w:rPr>
          <w:b/>
          <w:noProof/>
        </w:rPr>
        <w:t>4.2.</w:t>
      </w:r>
      <w:r>
        <w:rPr>
          <w:noProof/>
        </w:rPr>
        <w:tab/>
      </w:r>
      <w:r>
        <w:rPr>
          <w:b/>
          <w:i/>
          <w:noProof/>
        </w:rPr>
        <w:t xml:space="preserve">Data </w:t>
      </w:r>
      <w:r>
        <w:rPr>
          <w:b/>
          <w:noProof/>
        </w:rPr>
        <w:t>skont l-Artikolu 4 tar-Regolament</w:t>
      </w:r>
    </w:p>
    <w:p>
      <w:pPr>
        <w:rPr>
          <w:noProof/>
          <w:szCs w:val="24"/>
        </w:rPr>
      </w:pPr>
      <w:r>
        <w:rPr>
          <w:noProof/>
        </w:rPr>
        <w:t>L-Artikolu 4 tar-Regolament jeħtieġ li l-Istati Membri jirrapportaw mal-Eurostat il-popolazzjoni totali tagħhom għal finijiet speċifiċi tal-Unjoni fuq il-bażi tal-kunċett strett ta’ “residenza abitwali”. Dawn jistgħu jistmawha mill-popolazzjoni “residenti legalment” jew “reġistrata” billi jużaw metodi ta’ stima b’bażi xjentifika, dokumentati sew u pubblikament disponibbli.</w:t>
      </w:r>
    </w:p>
    <w:p>
      <w:pPr>
        <w:rPr>
          <w:noProof/>
          <w:szCs w:val="24"/>
        </w:rPr>
      </w:pPr>
      <w:r>
        <w:rPr>
          <w:noProof/>
        </w:rPr>
        <w:t>Skont il-fajls tal-metadata nazzjonali, ħafna mil-Istati Membri jistmaw il-popolazzjoni ta’ “residenti abitwali” totali tagħhom għaliex ma jinsabux f’pożizzjoni li jkejluha b’mod dirett.</w:t>
      </w:r>
    </w:p>
    <w:p>
      <w:pPr>
        <w:spacing w:after="120"/>
        <w:rPr>
          <w:noProof/>
          <w:szCs w:val="24"/>
        </w:rPr>
      </w:pPr>
      <w:r>
        <w:rPr>
          <w:noProof/>
        </w:rPr>
        <w:t>Uħud mill-Istati Membri rrapportaw lill-Eurostat li huma jistmaw il-popolazzjoni ta’ “residenti abitwali” tagħhom billi japplikaw aġġustament ġenerali fil-popolazzjoni nazzjonali tagħhom, biex ikopru:</w:t>
      </w:r>
    </w:p>
    <w:p>
      <w:pPr>
        <w:pStyle w:val="ListParagraph"/>
        <w:numPr>
          <w:ilvl w:val="0"/>
          <w:numId w:val="50"/>
        </w:numPr>
        <w:spacing w:after="120" w:line="240" w:lineRule="auto"/>
        <w:ind w:left="851" w:hanging="437"/>
        <w:contextualSpacing w:val="0"/>
        <w:jc w:val="both"/>
        <w:rPr>
          <w:noProof/>
          <w:szCs w:val="24"/>
        </w:rPr>
      </w:pPr>
      <w:r>
        <w:rPr>
          <w:rFonts w:ascii="Times New Roman" w:hAnsi="Times New Roman"/>
          <w:noProof/>
          <w:sz w:val="24"/>
        </w:rPr>
        <w:t xml:space="preserve">flussi migratorji rapportati b’mod subottimali (jiġifieri nies li ma rreġistrawx meta waslu fl-Istat Membru jew ma għamlux dereġistrazzjoni meta telqu); u/jew </w:t>
      </w:r>
    </w:p>
    <w:p>
      <w:pPr>
        <w:pStyle w:val="ListParagraph"/>
        <w:numPr>
          <w:ilvl w:val="0"/>
          <w:numId w:val="50"/>
        </w:numPr>
        <w:spacing w:after="240" w:line="240" w:lineRule="auto"/>
        <w:ind w:left="851" w:hanging="437"/>
        <w:contextualSpacing w:val="0"/>
        <w:jc w:val="both"/>
        <w:rPr>
          <w:noProof/>
          <w:szCs w:val="24"/>
        </w:rPr>
      </w:pPr>
      <w:r>
        <w:rPr>
          <w:rFonts w:ascii="Times New Roman" w:hAnsi="Times New Roman"/>
          <w:noProof/>
          <w:sz w:val="24"/>
        </w:rPr>
        <w:t>avvenimenti vitali rapportati b’mod subottimali (jiġifieri avvenimenti li jseħħu barra l-pajjiż, iżda ma jiġux rapportati jew jiġu rapportati b’dewmien).</w:t>
      </w:r>
    </w:p>
    <w:p>
      <w:pPr>
        <w:rPr>
          <w:noProof/>
          <w:szCs w:val="24"/>
        </w:rPr>
      </w:pPr>
      <w:r>
        <w:rPr>
          <w:noProof/>
        </w:rPr>
        <w:t>Stati Membri oħra jridu jaġġustaw il-kunċett nazzjonali tagħhom ta’ “durata tas-soġġorn”</w:t>
      </w:r>
      <w:r>
        <w:rPr>
          <w:rStyle w:val="FootnoteReference"/>
          <w:noProof/>
        </w:rPr>
        <w:footnoteReference w:id="23"/>
      </w:r>
      <w:r>
        <w:rPr>
          <w:noProof/>
        </w:rPr>
        <w:t xml:space="preserve"> biex ikun jistgħu jistmaw il-popolazzjoni ta’ “residenti abitwali” fuq il-bażi ta’ kriterju ta’ durata ta’ 12-il xahar tas-soġġorn.</w:t>
      </w:r>
    </w:p>
    <w:p>
      <w:pPr>
        <w:rPr>
          <w:noProof/>
          <w:szCs w:val="24"/>
        </w:rPr>
      </w:pPr>
      <w:r>
        <w:rPr>
          <w:noProof/>
        </w:rPr>
        <w:t>Il-Eurostat ma osserva ebda inadegwatezza fil-metodoloġija użata għall-fajls tal-metadata u għad-dokumentazzjoni mibgħuta mill-Istati Membri, u ebda problema fil-kwalità fir-riżultati.</w:t>
      </w:r>
    </w:p>
    <w:p>
      <w:pPr>
        <w:ind w:left="426" w:hanging="426"/>
        <w:rPr>
          <w:b/>
          <w:noProof/>
          <w:szCs w:val="24"/>
        </w:rPr>
      </w:pPr>
      <w:r>
        <w:rPr>
          <w:b/>
          <w:noProof/>
        </w:rPr>
        <w:t>4.3.</w:t>
      </w:r>
      <w:r>
        <w:rPr>
          <w:noProof/>
        </w:rPr>
        <w:tab/>
      </w:r>
      <w:r>
        <w:rPr>
          <w:b/>
          <w:noProof/>
        </w:rPr>
        <w:t>Spejjeż u piż</w:t>
      </w:r>
    </w:p>
    <w:p>
      <w:pPr>
        <w:spacing w:after="120"/>
        <w:rPr>
          <w:noProof/>
          <w:color w:val="000000"/>
        </w:rPr>
      </w:pPr>
      <w:r>
        <w:rPr>
          <w:noProof/>
          <w:color w:val="000000"/>
        </w:rPr>
        <w:t xml:space="preserve">L-Artikolu 7 tar-Regolament għandu l-għan li jnaqqas il-piż tar-rispons fuq il-partijiet responsabbli biex jipprovdu </w:t>
      </w:r>
      <w:r>
        <w:rPr>
          <w:i/>
          <w:noProof/>
          <w:color w:val="000000"/>
        </w:rPr>
        <w:t>data</w:t>
      </w:r>
      <w:r>
        <w:rPr>
          <w:noProof/>
          <w:color w:val="000000"/>
        </w:rPr>
        <w:t xml:space="preserve"> statistika; jippermetti lill-Istati Membri:</w:t>
      </w:r>
    </w:p>
    <w:p>
      <w:pPr>
        <w:pStyle w:val="ListParagraph"/>
        <w:numPr>
          <w:ilvl w:val="0"/>
          <w:numId w:val="48"/>
        </w:numPr>
        <w:spacing w:after="120" w:line="240" w:lineRule="auto"/>
        <w:ind w:left="850" w:hanging="425"/>
        <w:contextualSpacing w:val="0"/>
        <w:jc w:val="both"/>
        <w:rPr>
          <w:noProof/>
          <w:color w:val="000000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jagħżlu s-sorsi tad-</w:t>
      </w:r>
      <w:r>
        <w:rPr>
          <w:rFonts w:ascii="Times New Roman" w:hAnsi="Times New Roman"/>
          <w:i/>
          <w:noProof/>
          <w:color w:val="000000"/>
          <w:sz w:val="24"/>
        </w:rPr>
        <w:t>data</w:t>
      </w:r>
      <w:r>
        <w:rPr>
          <w:rFonts w:ascii="Times New Roman" w:hAnsi="Times New Roman"/>
          <w:noProof/>
          <w:color w:val="000000"/>
          <w:sz w:val="24"/>
        </w:rPr>
        <w:t xml:space="preserve"> f’konformità mal-liġi u mal-prattika nazzjonali; u </w:t>
      </w:r>
    </w:p>
    <w:p>
      <w:pPr>
        <w:pStyle w:val="ListParagraph"/>
        <w:numPr>
          <w:ilvl w:val="0"/>
          <w:numId w:val="48"/>
        </w:numPr>
        <w:spacing w:after="120" w:line="240" w:lineRule="auto"/>
        <w:ind w:left="850" w:hanging="425"/>
        <w:contextualSpacing w:val="0"/>
        <w:jc w:val="both"/>
        <w:rPr>
          <w:noProof/>
          <w:color w:val="000000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jużaw metodi statistiċi xierqa ta’ stima, dment li dawn ikollhom bażi xjentifika u jkunu dokumentati kif xieraq. </w:t>
      </w:r>
    </w:p>
    <w:p>
      <w:pPr>
        <w:rPr>
          <w:noProof/>
        </w:rPr>
      </w:pPr>
      <w:r>
        <w:rPr>
          <w:noProof/>
          <w:color w:val="000000"/>
        </w:rPr>
        <w:t>Il-maġġoranza vasta tal-</w:t>
      </w:r>
      <w:r>
        <w:rPr>
          <w:noProof/>
        </w:rPr>
        <w:t>Istati Membri</w:t>
      </w:r>
      <w:r>
        <w:rPr>
          <w:noProof/>
          <w:color w:val="000000"/>
        </w:rPr>
        <w:t xml:space="preserve"> tiddikjara fl-informazzjoni tal-metadata li tuża sorsi tad-</w:t>
      </w:r>
      <w:r>
        <w:rPr>
          <w:i/>
          <w:noProof/>
          <w:color w:val="000000"/>
        </w:rPr>
        <w:t>data</w:t>
      </w:r>
      <w:r>
        <w:rPr>
          <w:noProof/>
          <w:color w:val="000000"/>
        </w:rPr>
        <w:t xml:space="preserve"> </w:t>
      </w:r>
      <w:r>
        <w:rPr>
          <w:noProof/>
        </w:rPr>
        <w:t>amministrattiva biex tipproduċi statistiċi demografiċi, u b’hekk ma jkun hemm ebda piż fuq ir-rispondenti.</w:t>
      </w:r>
    </w:p>
    <w:p>
      <w:pPr>
        <w:rPr>
          <w:noProof/>
          <w:color w:val="000000"/>
        </w:rPr>
      </w:pPr>
      <w:r>
        <w:rPr>
          <w:noProof/>
        </w:rPr>
        <w:t>Il-piż fuq l-NSIs hu limitat għall-għażla tad-</w:t>
      </w:r>
      <w:r>
        <w:rPr>
          <w:i/>
          <w:noProof/>
        </w:rPr>
        <w:t>data</w:t>
      </w:r>
      <w:r>
        <w:rPr>
          <w:noProof/>
        </w:rPr>
        <w:t xml:space="preserve"> meħtieġa skont ir-Regolament u għall-produzzjoni tat-tabelli rilevanti. Dan il-piż hu meqjus bħala l-minimu possibbli. Madankollu, għall-NSIs li ma jużawx ir-“residenza abitwali” għall-istatistiċi nazzjonali tagħhom, il-piż tal-produzzjoni taċ-ċifra tal-popolazzjoni (kif meħtieġ skont l-Artikolu 4) għall-ewwel sena ta’ referenza jista’ jitqies akbar, peress li dawn iridu jipproduċu metodoloġija speċjali u japplikaw metodu ta’ stima mill-2014 ’il quddiem.</w:t>
      </w:r>
    </w:p>
    <w:p>
      <w:pPr>
        <w:pStyle w:val="Heading1"/>
        <w:numPr>
          <w:ilvl w:val="0"/>
          <w:numId w:val="28"/>
        </w:numPr>
        <w:spacing w:before="0" w:line="276" w:lineRule="auto"/>
        <w:ind w:left="426" w:hanging="426"/>
        <w:jc w:val="left"/>
        <w:rPr>
          <w:noProof/>
        </w:rPr>
      </w:pPr>
      <w:bookmarkStart w:id="10" w:name="_Toc509906100"/>
      <w:bookmarkStart w:id="11" w:name="_Toc505861032"/>
      <w:r>
        <w:rPr>
          <w:noProof/>
        </w:rPr>
        <w:t>Studji tal-fattibbiltà</w:t>
      </w:r>
      <w:bookmarkEnd w:id="10"/>
      <w:bookmarkEnd w:id="11"/>
    </w:p>
    <w:p>
      <w:pPr>
        <w:rPr>
          <w:noProof/>
          <w:szCs w:val="24"/>
        </w:rPr>
      </w:pPr>
      <w:r>
        <w:rPr>
          <w:noProof/>
        </w:rPr>
        <w:t>L-Artikolu 8 tar-Regolament jeħtieġ li l-Istati Membri jwettqu studji tal-fattibbiltà fuq l-użu tad-definizzjoni ta’ “residenza abitwali” għall-popolazzjoni u għall-avvenimenti vitali. L-istudji jinvolvu l-analiżi tas-sorsi tad-</w:t>
      </w:r>
      <w:r>
        <w:rPr>
          <w:i/>
          <w:noProof/>
        </w:rPr>
        <w:t>data</w:t>
      </w:r>
      <w:r>
        <w:rPr>
          <w:noProof/>
        </w:rPr>
        <w:t xml:space="preserve"> kurrenti u potenzjali, il-proċessar tad-</w:t>
      </w:r>
      <w:r>
        <w:rPr>
          <w:i/>
          <w:noProof/>
        </w:rPr>
        <w:t>data</w:t>
      </w:r>
      <w:r>
        <w:rPr>
          <w:noProof/>
        </w:rPr>
        <w:t xml:space="preserve"> u l-possibbiltà li jiġu stmati l-istatistiċi neċessarji. Primarjament, dawn jimmiraw li jivvalutaw l-ambitu għat-titjib tal-komparabbiltà tal-kunċetti u tad-definizzjonijiet, u konsegwentement jirriżultaw fi kwalità u f’komparabbiltà aħjar tad-</w:t>
      </w:r>
      <w:r>
        <w:rPr>
          <w:i/>
          <w:noProof/>
        </w:rPr>
        <w:t>data</w:t>
      </w:r>
      <w:r>
        <w:rPr>
          <w:noProof/>
        </w:rPr>
        <w:t>.</w:t>
      </w:r>
    </w:p>
    <w:p>
      <w:pPr>
        <w:rPr>
          <w:noProof/>
          <w:szCs w:val="24"/>
        </w:rPr>
      </w:pPr>
      <w:r>
        <w:rPr>
          <w:noProof/>
        </w:rPr>
        <w:t>Il-pajjiżi tal-UE/taż-ŻEE</w:t>
      </w:r>
      <w:r>
        <w:rPr>
          <w:rStyle w:val="FootnoteReference"/>
          <w:noProof/>
        </w:rPr>
        <w:footnoteReference w:id="24"/>
      </w:r>
      <w:r>
        <w:rPr>
          <w:noProof/>
        </w:rPr>
        <w:t xml:space="preserve"> wettqu studji tal-fattibbiltà dwar l-użu tad-definizzjoni ta’ “residenza abitwali” għad-disaggregazzjonijiet kollha tal-popolazzjoni u tal-avvenimenti vitali meħtieġa skont ir-Regolament, biex jivvalutaw jekk ikunx possibbli li jinkiseb l-istess kunċett ta’ “popolazzjoni” għall-Istati Membri kollha u għad-</w:t>
      </w:r>
      <w:r>
        <w:rPr>
          <w:i/>
          <w:noProof/>
        </w:rPr>
        <w:t>data</w:t>
      </w:r>
      <w:r>
        <w:rPr>
          <w:noProof/>
        </w:rPr>
        <w:t xml:space="preserve"> kollha. L-appoġġ finanzjarju ġie pprovdut fil-forma ta’ għotjiet. Il-pajjiżi kollha ssottomettew rapporti dwar ir-riżultati tal-istudji lill-Eurostat sal-iskadenza stipulata fir-Regolament (il-31 ta’ Diċembru 2016). Ir-rapport juri li l-applikazzjoni tad-definizzoni tkun problematika għal uħud mill-</w:t>
      </w:r>
      <w:r>
        <w:rPr>
          <w:noProof/>
          <w:color w:val="000000"/>
        </w:rPr>
        <w:t>Istati Membri</w:t>
      </w:r>
      <w:r>
        <w:rPr>
          <w:noProof/>
        </w:rPr>
        <w:t>, b’mod partikolari għal dawk li jużaw sorsi tad-</w:t>
      </w:r>
      <w:r>
        <w:rPr>
          <w:i/>
          <w:noProof/>
        </w:rPr>
        <w:t xml:space="preserve">data </w:t>
      </w:r>
      <w:r>
        <w:rPr>
          <w:noProof/>
        </w:rPr>
        <w:t xml:space="preserve">amministrattiva biex jipprovdu </w:t>
      </w:r>
      <w:r>
        <w:rPr>
          <w:i/>
          <w:noProof/>
        </w:rPr>
        <w:t>data</w:t>
      </w:r>
      <w:r>
        <w:rPr>
          <w:noProof/>
        </w:rPr>
        <w:t xml:space="preserve"> lill-Eurostat għal statistiċi demografiċi u għal ċensimenti tal-popolazzjoni (li huma l-bażi tal-istatistiċi demografiċi f’diversi </w:t>
      </w:r>
      <w:r>
        <w:rPr>
          <w:noProof/>
          <w:color w:val="000000"/>
        </w:rPr>
        <w:t>Stati Membri</w:t>
      </w:r>
      <w:r>
        <w:rPr>
          <w:noProof/>
        </w:rPr>
        <w:t>).</w:t>
      </w:r>
    </w:p>
    <w:p>
      <w:pPr>
        <w:rPr>
          <w:noProof/>
          <w:szCs w:val="24"/>
        </w:rPr>
      </w:pPr>
      <w:r>
        <w:rPr>
          <w:noProof/>
        </w:rPr>
        <w:t xml:space="preserve">Din il-problema tista’ tinfirex aktar hekk kif jiżdied in-numru ta’ </w:t>
      </w:r>
      <w:r>
        <w:rPr>
          <w:noProof/>
          <w:color w:val="000000"/>
        </w:rPr>
        <w:t>Stati Membri</w:t>
      </w:r>
      <w:r>
        <w:rPr>
          <w:noProof/>
        </w:rPr>
        <w:t xml:space="preserve"> li jużaw </w:t>
      </w:r>
      <w:r>
        <w:rPr>
          <w:i/>
          <w:noProof/>
        </w:rPr>
        <w:t>data</w:t>
      </w:r>
      <w:r>
        <w:rPr>
          <w:noProof/>
        </w:rPr>
        <w:t xml:space="preserve"> amministrattiva. Pereżempju, il-ħidma kurrenti biex titħejja s-serje tal-2021 ta’ ċensimenti dwar il-popolazzjonijiet u l-abitazzjonijiet turi li 13 mill-31 pajjiż tal-UE/taż-ŻEE li jipprovdu </w:t>
      </w:r>
      <w:r>
        <w:rPr>
          <w:i/>
          <w:noProof/>
        </w:rPr>
        <w:t>data</w:t>
      </w:r>
      <w:r>
        <w:rPr>
          <w:noProof/>
        </w:rPr>
        <w:t xml:space="preserve"> skont ir-Regolament qed jippjanaw ċensiment primarjament ibbażat fuq reġistru, 8 minnhom qed jippreparaw ċensiment tradizzjonali u 10 oħra ċensiment kombinat ġeneralment ibbażat fuq reġistru tal-popolazzjoni. Wara s-serje taċ-ċensimenti tal-2021, il-bilanċ jista’ jxaqleb saħansitra aktar lejn ir-reġistri, peress li xi </w:t>
      </w:r>
      <w:r>
        <w:rPr>
          <w:noProof/>
          <w:color w:val="000000"/>
        </w:rPr>
        <w:t>Stati Membri</w:t>
      </w:r>
      <w:r>
        <w:rPr>
          <w:noProof/>
        </w:rPr>
        <w:t xml:space="preserve"> li għadhom iwettqu ċensiment tradizzjonali qed ifittxu approċċi alternattivi fattibbli bbażati fuq </w:t>
      </w:r>
      <w:r>
        <w:rPr>
          <w:i/>
          <w:noProof/>
        </w:rPr>
        <w:t>data</w:t>
      </w:r>
      <w:r>
        <w:rPr>
          <w:noProof/>
        </w:rPr>
        <w:t xml:space="preserve"> amministrattiva.</w:t>
      </w:r>
    </w:p>
    <w:p>
      <w:pPr>
        <w:spacing w:after="120"/>
        <w:rPr>
          <w:noProof/>
          <w:szCs w:val="24"/>
        </w:rPr>
      </w:pPr>
      <w:r>
        <w:rPr>
          <w:noProof/>
        </w:rPr>
        <w:t>Bħala sinteżi:</w:t>
      </w:r>
    </w:p>
    <w:p>
      <w:pPr>
        <w:pStyle w:val="ListParagraph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ċerti </w:t>
      </w:r>
      <w:r>
        <w:rPr>
          <w:rFonts w:ascii="Times New Roman" w:hAnsi="Times New Roman"/>
          <w:noProof/>
          <w:color w:val="000000"/>
          <w:sz w:val="24"/>
        </w:rPr>
        <w:t>Stati Membri</w:t>
      </w:r>
      <w:r>
        <w:rPr>
          <w:noProof/>
          <w:color w:val="000000"/>
        </w:rPr>
        <w:t xml:space="preserve"> </w:t>
      </w:r>
      <w:r>
        <w:rPr>
          <w:rFonts w:ascii="Times New Roman" w:hAnsi="Times New Roman"/>
          <w:noProof/>
          <w:sz w:val="24"/>
        </w:rPr>
        <w:t>jistmaw l-istokkijiet tal-popolazzjonijiet tagħhom darba fis-sena, billi jużaw komponenti demografiċi (twelid ħaj, imwiet, immigrazzjoni u emigrazzjoni) applikati għaċ-ċifri taċ-Ċensiment tal-2011;</w:t>
      </w:r>
    </w:p>
    <w:p>
      <w:pPr>
        <w:pStyle w:val="ListParagraph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oħrajn jistmaw il-popolazzjoni fuq il-bażi tar-reġistri statistiċi dwar il-popolazzjoni; u</w:t>
      </w:r>
    </w:p>
    <w:p>
      <w:pPr>
        <w:pStyle w:val="ListParagraph"/>
        <w:numPr>
          <w:ilvl w:val="0"/>
          <w:numId w:val="32"/>
        </w:numPr>
        <w:spacing w:after="24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diversi jużaw, jew ser ikunu qed jużaw, bosta sorsi tad-</w:t>
      </w:r>
      <w:r>
        <w:rPr>
          <w:rFonts w:ascii="Times New Roman" w:hAnsi="Times New Roman"/>
          <w:i/>
          <w:noProof/>
          <w:sz w:val="24"/>
        </w:rPr>
        <w:t>data</w:t>
      </w:r>
      <w:r>
        <w:rPr>
          <w:rFonts w:ascii="Times New Roman" w:hAnsi="Times New Roman"/>
          <w:noProof/>
          <w:sz w:val="24"/>
        </w:rPr>
        <w:t xml:space="preserve"> (normalment amministrattiva) biex ikejlu r-“residenza abitwali”, b’mod partikolari fil-kuntest tal-evoluzzjoni taċ-ċensimenti dwar il-popolazzjoni.</w:t>
      </w:r>
    </w:p>
    <w:p>
      <w:pPr>
        <w:spacing w:after="120"/>
        <w:rPr>
          <w:noProof/>
          <w:szCs w:val="24"/>
        </w:rPr>
      </w:pPr>
      <w:r>
        <w:rPr>
          <w:noProof/>
        </w:rPr>
        <w:t>Il-kwistjonijiet u d-diffikultajiet ewlenin imsemmija fir-rapporti tal-Istati Membri rigward il-fattibbiltà tal-kunċett ta’ “residenza abitwali” jistgħu jiġu raggruppati kif ġej:</w:t>
      </w:r>
    </w:p>
    <w:p>
      <w:pPr>
        <w:pStyle w:val="ListParagraph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jintużaw kunċetti differenti ta’ “durata tas-soġġorn”: 3 xhur, 6 xhur, 9 xhur, 12-il xahar jew mingħajr limitu ta’ żmien. Normalment, l-</w:t>
      </w:r>
      <w:r>
        <w:rPr>
          <w:rFonts w:ascii="Times New Roman" w:hAnsi="Times New Roman"/>
          <w:noProof/>
          <w:color w:val="000000"/>
          <w:sz w:val="24"/>
        </w:rPr>
        <w:t>Istati Membri</w:t>
      </w:r>
      <w:r>
        <w:rPr>
          <w:noProof/>
          <w:color w:val="000000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jkunu jistgħu japprossimaw soġġorni ta’ 12-il xahar, iżda primarjament b’aġġustament ġenerali f’livell aggregat (jiġifieri għal </w:t>
      </w:r>
      <w:r>
        <w:rPr>
          <w:rFonts w:ascii="Times New Roman" w:hAnsi="Times New Roman"/>
          <w:i/>
          <w:noProof/>
          <w:sz w:val="24"/>
        </w:rPr>
        <w:t>data</w:t>
      </w:r>
      <w:r>
        <w:rPr>
          <w:rFonts w:ascii="Times New Roman" w:hAnsi="Times New Roman"/>
          <w:noProof/>
          <w:sz w:val="24"/>
        </w:rPr>
        <w:t xml:space="preserve"> meħtieġa skont l-Artikolu 4 tar-Regolament). Madankollu, dawn mhumiex f’pożizzjoni li japprossimaw soġġorni ta’ 12-il xahar fil-livelli dettaljati meħtieġa skont l-Artikolu 3;</w:t>
      </w:r>
    </w:p>
    <w:p>
      <w:pPr>
        <w:pStyle w:val="ListParagraph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filwaqt li d-dereġistrazzjoni u r-reġistrazzjoni ta’ post ġdid ta’ residenza spiss ikunu obbligatorji, f’diversi </w:t>
      </w:r>
      <w:r>
        <w:rPr>
          <w:rFonts w:ascii="Times New Roman" w:hAnsi="Times New Roman"/>
          <w:noProof/>
          <w:color w:val="000000"/>
          <w:sz w:val="24"/>
        </w:rPr>
        <w:t>Stati Membri</w:t>
      </w:r>
      <w:r>
        <w:rPr>
          <w:rFonts w:ascii="Times New Roman" w:hAnsi="Times New Roman"/>
          <w:noProof/>
          <w:sz w:val="24"/>
        </w:rPr>
        <w:t xml:space="preserve"> dawn ma jsirux jew isiru biss wara ċertu dewmien;</w:t>
      </w:r>
    </w:p>
    <w:p>
      <w:pPr>
        <w:pStyle w:val="ListParagraph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Normalment l-Istati Membri</w:t>
      </w:r>
      <w:r>
        <w:rPr>
          <w:noProof/>
          <w:color w:val="000000"/>
        </w:rPr>
        <w:t xml:space="preserve"> </w:t>
      </w:r>
      <w:r>
        <w:rPr>
          <w:rFonts w:ascii="Times New Roman" w:hAnsi="Times New Roman"/>
          <w:noProof/>
          <w:sz w:val="24"/>
        </w:rPr>
        <w:t>jkunu jistgħu jgħoddu biss nies li s-soġġorn tagħhom ikun legali jew legalizzat. Konsegwentement, nies b’soġġorn irregolari ma jistgħux jingħaddu, anki jekk ikunu jistgħu jitqiesu li huma parti mill-popolazzjoni ta’ residenti abitwali;</w:t>
      </w:r>
    </w:p>
    <w:p>
      <w:pPr>
        <w:pStyle w:val="ListParagraph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L-Istati Membri li jużaw reġistru tal-popolazzjoni u/jew </w:t>
      </w:r>
      <w:r>
        <w:rPr>
          <w:rFonts w:ascii="Times New Roman" w:hAnsi="Times New Roman"/>
          <w:i/>
          <w:noProof/>
          <w:color w:val="000000"/>
          <w:sz w:val="24"/>
        </w:rPr>
        <w:t>data</w:t>
      </w:r>
      <w:r>
        <w:rPr>
          <w:rFonts w:ascii="Times New Roman" w:hAnsi="Times New Roman"/>
          <w:noProof/>
          <w:color w:val="000000"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amministrattiva jaf isibu diffikultajiet biex jiddeterminaw “intenzjoni ta’ soġġorn”, kif meħtieġ għad-definizzjoni ta’ “residenza abitwali”, b’mod partikolari għal ċerti gruppi speċifiċi tal-popolazzjoni (eż. applikanti għall-ażil);</w:t>
      </w:r>
    </w:p>
    <w:p>
      <w:pPr>
        <w:pStyle w:val="ListParagraph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meta jintużaw il-komponenti tal-popolazzjoni mill-bażi taċ-ċensiment (tar-residenza abitwali), għandha ssir valutazzjoni dwar jekk l-avvenimenti vitali jkunux konsistenti mal-kunċett ta’ “residenza abitwali”, jiġifieri meta d-</w:t>
      </w:r>
      <w:r>
        <w:rPr>
          <w:rFonts w:ascii="Times New Roman" w:hAnsi="Times New Roman"/>
          <w:i/>
          <w:noProof/>
          <w:sz w:val="24"/>
        </w:rPr>
        <w:t>data</w:t>
      </w:r>
      <w:r>
        <w:rPr>
          <w:rFonts w:ascii="Times New Roman" w:hAnsi="Times New Roman"/>
          <w:noProof/>
          <w:sz w:val="24"/>
        </w:rPr>
        <w:t xml:space="preserve"> dwar l-avvenimenti vitali tinġabar ukoll skont dan il-kunċett. Madankollu, din il-valutazzjoni mhux dejjem issir; u</w:t>
      </w:r>
    </w:p>
    <w:p>
      <w:pPr>
        <w:pStyle w:val="ListParagraph"/>
        <w:numPr>
          <w:ilvl w:val="0"/>
          <w:numId w:val="32"/>
        </w:numPr>
        <w:spacing w:after="24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ċerti “gruppi speċjali” tal-popolazzjoni ta’ “residenti abitwali”</w:t>
      </w:r>
      <w:r>
        <w:rPr>
          <w:rStyle w:val="FootnoteReference"/>
          <w:rFonts w:ascii="Times New Roman" w:hAnsi="Times New Roman"/>
          <w:noProof/>
          <w:sz w:val="24"/>
        </w:rPr>
        <w:footnoteReference w:id="25"/>
      </w:r>
      <w:r>
        <w:rPr>
          <w:rFonts w:ascii="Times New Roman" w:hAnsi="Times New Roman"/>
          <w:noProof/>
          <w:sz w:val="24"/>
        </w:rPr>
        <w:t xml:space="preserve"> ma jistgħux jiġu identifikati jew ma jkunx possibbli li jiġi vvalutat jekk humiex inklużi, eż. nies li jgħixu b’mod regolari f’aktar minn residenza waħda matul is-sena jew nies li jistgħu jkunu migranti irregolari jew mingħajr dokumenti.</w:t>
      </w:r>
    </w:p>
    <w:p>
      <w:pPr>
        <w:spacing w:after="120"/>
        <w:rPr>
          <w:noProof/>
          <w:szCs w:val="24"/>
        </w:rPr>
      </w:pPr>
      <w:r>
        <w:rPr>
          <w:noProof/>
        </w:rPr>
        <w:t>Finalment, biex jinġabru l-konklużjonijiet tal-</w:t>
      </w:r>
      <w:r>
        <w:rPr>
          <w:noProof/>
          <w:color w:val="000000"/>
        </w:rPr>
        <w:t>Istati Membri</w:t>
      </w:r>
      <w:r>
        <w:rPr>
          <w:noProof/>
        </w:rPr>
        <w:t>:</w:t>
      </w:r>
    </w:p>
    <w:p>
      <w:pPr>
        <w:pStyle w:val="ListParagraph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ċerti </w:t>
      </w:r>
      <w:r>
        <w:rPr>
          <w:rFonts w:ascii="Times New Roman" w:hAnsi="Times New Roman"/>
          <w:noProof/>
          <w:color w:val="000000"/>
          <w:sz w:val="24"/>
        </w:rPr>
        <w:t>Stati Membri</w:t>
      </w:r>
      <w:r>
        <w:rPr>
          <w:noProof/>
          <w:color w:val="000000"/>
        </w:rPr>
        <w:t xml:space="preserve"> </w:t>
      </w:r>
      <w:r>
        <w:rPr>
          <w:rFonts w:ascii="Times New Roman" w:hAnsi="Times New Roman"/>
          <w:noProof/>
          <w:sz w:val="24"/>
        </w:rPr>
        <w:t>jindikaw li huma diġà jipprovdu “residenza abitwali”, primarjament għaliex il-popolazzjoni tagħhom hi stmata ta’ kull sena mill-għadd taċ-Ċensiment tal-2011 (dwar ir-residenza abitwali) bl-użu ta’ komponenti tal-popolazzjoni (twelid ħaj, imwiet, immigrazzjoni u emigrazzjoni). Id-diskussjonijiet mal-pajjiżi kkonċernati se jissoktaw;</w:t>
      </w:r>
    </w:p>
    <w:p>
      <w:pPr>
        <w:pStyle w:val="ListParagraph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uħud jivvalutaw li l-“popolazzjoni nazzjonali” (primarjament il-popolazzjoni reġistrata) tagħhom hi qrib ħafna tal-“popolazzjoni ta’ residenti abitwali”, b’mod partikolari fil-livell totali, u għalhekk ma jkun hemm ebda bżonn li tinbidel, peress li l-kwalità tkun suffiċjenti u kwalunkwe aġġustament ikun ifisser spejjeż addizzjonali. Madankollu, f’livell aktar disaggregat (jiġifieri fil-livelli meħtieġa mir-Regolament (UE) Nru 205/2014), id-differenzi jistgħu jsiru akbar u l-impatt potenzjali fuq statistiċi demografiċi aktar dettaljati għandu jiġi eżaminat; u</w:t>
      </w:r>
    </w:p>
    <w:p>
      <w:pPr>
        <w:pStyle w:val="ListParagraph"/>
        <w:numPr>
          <w:ilvl w:val="0"/>
          <w:numId w:val="32"/>
        </w:numPr>
        <w:spacing w:after="240" w:line="240" w:lineRule="auto"/>
        <w:ind w:left="851" w:hanging="425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f’ċerti </w:t>
      </w:r>
      <w:r>
        <w:rPr>
          <w:rFonts w:ascii="Times New Roman" w:hAnsi="Times New Roman"/>
          <w:noProof/>
          <w:color w:val="000000"/>
          <w:sz w:val="24"/>
        </w:rPr>
        <w:t>Stati Membri, ir-</w:t>
      </w:r>
      <w:r>
        <w:rPr>
          <w:noProof/>
          <w:color w:val="000000"/>
        </w:rPr>
        <w:t xml:space="preserve"> </w:t>
      </w:r>
      <w:r>
        <w:rPr>
          <w:rFonts w:ascii="Times New Roman" w:hAnsi="Times New Roman"/>
          <w:noProof/>
          <w:color w:val="000000"/>
          <w:sz w:val="24"/>
        </w:rPr>
        <w:t>"</w:t>
      </w:r>
      <w:r>
        <w:rPr>
          <w:rFonts w:ascii="Times New Roman" w:hAnsi="Times New Roman"/>
          <w:noProof/>
          <w:sz w:val="24"/>
        </w:rPr>
        <w:t xml:space="preserve">residenza abitwali” tista’ titkejjel bl-użu ta’ diversi metodi ta’ stima, eż. bl-użu ta’ “sinjali” minn </w:t>
      </w:r>
      <w:r>
        <w:rPr>
          <w:rFonts w:ascii="Times New Roman" w:hAnsi="Times New Roman"/>
          <w:i/>
          <w:noProof/>
          <w:sz w:val="24"/>
        </w:rPr>
        <w:t>data</w:t>
      </w:r>
      <w:r>
        <w:rPr>
          <w:rFonts w:ascii="Times New Roman" w:hAnsi="Times New Roman"/>
          <w:noProof/>
          <w:sz w:val="24"/>
        </w:rPr>
        <w:t xml:space="preserve"> amministrattiva varja biex jiġi evalwat jekk in-nies humiex qed jgħixu fl-</w:t>
      </w:r>
      <w:r>
        <w:rPr>
          <w:rFonts w:ascii="Times New Roman" w:hAnsi="Times New Roman"/>
          <w:noProof/>
          <w:color w:val="000000"/>
          <w:sz w:val="24"/>
        </w:rPr>
        <w:t>Istat Membru</w:t>
      </w:r>
      <w:r>
        <w:rPr>
          <w:rFonts w:ascii="Times New Roman" w:hAnsi="Times New Roman"/>
          <w:noProof/>
          <w:sz w:val="24"/>
        </w:rPr>
        <w:t>). Madankollu, dawn il-metodi jridu jiġu rfinuti iktar peress li llum ma jaħdmux għad-disaggregazzjonijiet meħtieġa kollha. eż. ċerti pajjiżi ma jistgħux jiddeterminaw ir-reġjun ta’ residenza.</w:t>
      </w:r>
    </w:p>
    <w:p>
      <w:pPr>
        <w:pStyle w:val="Heading1"/>
        <w:numPr>
          <w:ilvl w:val="0"/>
          <w:numId w:val="28"/>
        </w:numPr>
        <w:spacing w:before="0" w:line="276" w:lineRule="auto"/>
        <w:ind w:left="426" w:hanging="426"/>
        <w:jc w:val="left"/>
        <w:rPr>
          <w:noProof/>
        </w:rPr>
      </w:pPr>
      <w:bookmarkStart w:id="12" w:name="_Toc509906101"/>
      <w:bookmarkStart w:id="13" w:name="_Toc505861033"/>
      <w:r>
        <w:rPr>
          <w:noProof/>
        </w:rPr>
        <w:t>Titjib ulterjuri tal-istatistiċi Ewropej dwar il-popolazzjoni</w:t>
      </w:r>
      <w:bookmarkEnd w:id="12"/>
      <w:bookmarkEnd w:id="13"/>
    </w:p>
    <w:p>
      <w:pPr>
        <w:rPr>
          <w:noProof/>
          <w:szCs w:val="24"/>
        </w:rPr>
      </w:pPr>
      <w:r>
        <w:rPr>
          <w:noProof/>
        </w:rPr>
        <w:t>Dan ir-rapport wera li r-Regolament tejjeb b’mod sinifikanti l-istatistiċi Ewropej dwar id-demografika f’termini tad-disponibbiltà, tal-kompletezza, tal-puntwalità (tal-provvista tad-</w:t>
      </w:r>
      <w:r>
        <w:rPr>
          <w:i/>
          <w:noProof/>
        </w:rPr>
        <w:t>data</w:t>
      </w:r>
      <w:r>
        <w:rPr>
          <w:noProof/>
        </w:rPr>
        <w:t xml:space="preserve"> mill-NSIs) u tal-puntwalità tad-</w:t>
      </w:r>
      <w:r>
        <w:rPr>
          <w:i/>
          <w:noProof/>
        </w:rPr>
        <w:t>data</w:t>
      </w:r>
      <w:r>
        <w:rPr>
          <w:noProof/>
        </w:rPr>
        <w:t xml:space="preserve"> (tal-produzzjoni u tat-tixrid tad-</w:t>
      </w:r>
      <w:r>
        <w:rPr>
          <w:i/>
          <w:noProof/>
        </w:rPr>
        <w:t>data</w:t>
      </w:r>
      <w:r>
        <w:rPr>
          <w:noProof/>
        </w:rPr>
        <w:t xml:space="preserve"> mill-Eurostat). Il-kwalità tad-</w:t>
      </w:r>
      <w:r>
        <w:rPr>
          <w:i/>
          <w:noProof/>
        </w:rPr>
        <w:t>data</w:t>
      </w:r>
      <w:r>
        <w:rPr>
          <w:noProof/>
        </w:rPr>
        <w:t xml:space="preserve"> bbenefikat mit-tgħaqqid tal-ġbir tad-</w:t>
      </w:r>
      <w:r>
        <w:rPr>
          <w:i/>
          <w:noProof/>
        </w:rPr>
        <w:t>data</w:t>
      </w:r>
      <w:r>
        <w:rPr>
          <w:noProof/>
        </w:rPr>
        <w:t xml:space="preserve"> ma’ dak tad-</w:t>
      </w:r>
      <w:r>
        <w:rPr>
          <w:i/>
          <w:noProof/>
        </w:rPr>
        <w:t>data</w:t>
      </w:r>
      <w:r>
        <w:rPr>
          <w:noProof/>
        </w:rPr>
        <w:t xml:space="preserve"> riċevuta skont l-Artikolu 3 tar-Regolament (KE) Nru 862/2007 u l-miżuri ta’ implimentazzjoni relatati, u s-serje ta’ Ċensimenti tal-2011. Il-kwalità għandha tkompli tittejjeb fil-futur, b’mod partikolari billi jiġu indirizzati l-kopertura subottimali u dik sovraottimali.</w:t>
      </w:r>
    </w:p>
    <w:p>
      <w:pPr>
        <w:rPr>
          <w:noProof/>
          <w:szCs w:val="24"/>
        </w:rPr>
      </w:pPr>
      <w:r>
        <w:rPr>
          <w:noProof/>
        </w:rPr>
        <w:t>Korpi uffiċjali Ewropej u nazzjonali, korpi nongovernattivi u l-pubbliku ġenerali qed jagħmlu użu akbar mill-istatistiċi regolati bir-Regolament. Id-</w:t>
      </w:r>
      <w:r>
        <w:rPr>
          <w:i/>
          <w:noProof/>
        </w:rPr>
        <w:t>data</w:t>
      </w:r>
      <w:r>
        <w:rPr>
          <w:noProof/>
        </w:rPr>
        <w:t xml:space="preserve"> għandha tirrifletti l-ħtiġijiet li dejjem qed jevolvu tal-utenti (eż. rigward l-influss ta’ nies li qed ifittxu refuġju fl-Ewropa) fid-dawl tat-tibdiliet demografiċi, filwaqt li jitqies il-piż fuq il-fornituri tad-</w:t>
      </w:r>
      <w:r>
        <w:rPr>
          <w:i/>
          <w:noProof/>
        </w:rPr>
        <w:t>data</w:t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 xml:space="preserve">Modi kif tkompli tittejjeb is-sitwazzjoni se jiġu kkunsidrati fil-kuntest tat-tħejjijiet għaċ-ċensiment tal-popolazzjoni tal-UE ta’ wara l-2021. </w:t>
      </w:r>
    </w:p>
    <w:p>
      <w:pPr>
        <w:pStyle w:val="Heading1"/>
        <w:numPr>
          <w:ilvl w:val="0"/>
          <w:numId w:val="28"/>
        </w:numPr>
        <w:spacing w:before="0" w:line="276" w:lineRule="auto"/>
        <w:ind w:left="426" w:hanging="426"/>
        <w:jc w:val="left"/>
        <w:rPr>
          <w:noProof/>
        </w:rPr>
      </w:pPr>
      <w:bookmarkStart w:id="14" w:name="_Toc509906102"/>
      <w:bookmarkStart w:id="15" w:name="_Toc505861034"/>
      <w:r>
        <w:rPr>
          <w:noProof/>
        </w:rPr>
        <w:t>Konklużjonijiet</w:t>
      </w:r>
      <w:bookmarkEnd w:id="14"/>
      <w:bookmarkEnd w:id="15"/>
    </w:p>
    <w:p>
      <w:pPr>
        <w:rPr>
          <w:noProof/>
          <w:szCs w:val="24"/>
        </w:rPr>
      </w:pPr>
      <w:r>
        <w:rPr>
          <w:noProof/>
        </w:rPr>
        <w:t>Bis-saħħa tal-isforzi konġunti li jinvolvu l-pajjiżi tal-UE/taż-ŻEE, l-implimentazzjoni tar-Regolament żiedet u tejbet l-eżitu tal-istatistiċi ta’ kwalità għolja Ewropej dwar id-demografija.</w:t>
      </w:r>
    </w:p>
    <w:p>
      <w:pPr>
        <w:rPr>
          <w:noProof/>
          <w:szCs w:val="24"/>
        </w:rPr>
      </w:pPr>
      <w:r>
        <w:rPr>
          <w:noProof/>
        </w:rPr>
        <w:t xml:space="preserve">Il-produzzjoni ta’ statistiċi demografiċi Ewropej skont ir-Regolament tista’ titqies għaddejja sew, u qed tipprovdi </w:t>
      </w:r>
      <w:r>
        <w:rPr>
          <w:i/>
          <w:noProof/>
        </w:rPr>
        <w:t>data</w:t>
      </w:r>
      <w:r>
        <w:rPr>
          <w:noProof/>
        </w:rPr>
        <w:t xml:space="preserve"> rilevanti lil diversi partijiet ikkonċernati u lil amministrazzjonijiet lokali, reġjonali, nazzjonali u internazzjonali. Madankollu, l-imġiba demografika u l-istruttura tal-popolazzjoni jinsabu fi fluss kostanti u, hekk kif isiru disponibbli sorsi ġodda tad-</w:t>
      </w:r>
      <w:r>
        <w:rPr>
          <w:i/>
          <w:noProof/>
        </w:rPr>
        <w:t>data</w:t>
      </w:r>
      <w:r>
        <w:rPr>
          <w:noProof/>
        </w:rPr>
        <w:t xml:space="preserve"> u metodi ġodda, monitoraġġ mill-qrib tal-produzzjoni kurrenti tad-</w:t>
      </w:r>
      <w:r>
        <w:rPr>
          <w:i/>
          <w:noProof/>
        </w:rPr>
        <w:t>data</w:t>
      </w:r>
      <w:r>
        <w:rPr>
          <w:noProof/>
        </w:rPr>
        <w:t xml:space="preserve"> u tal-eżitu skont ir-Regolament u l-iżviluppi paralleli rigward il-ħtiġijiet futuri se jibqgħu sfida importanti fis-snin li ġejjin.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418" w:bottom="1134" w:left="1418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  <w:endnote w:type="continuationNotice" w:id="1">
    <w:p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81170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>
        <w:pPr>
          <w:pStyle w:val="Footer"/>
          <w:jc w:val="center"/>
          <w:rPr>
            <w:rFonts w:ascii="Times New Roman" w:hAnsi="Times New Roman"/>
            <w:b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  \* MERGEFORMAT 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1</w:t>
        </w:r>
        <w:r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190647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>
    <w:pPr>
      <w:pStyle w:val="FooterCover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type="continuationNotice" w:id="1">
    <w:p>
      <w:pPr>
        <w:spacing w:after="0"/>
      </w:pPr>
    </w:p>
  </w:footnote>
  <w:footnote w:id="2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Ir-Regolament (UE) Nru 1260/2013 tal-Parlament Ewropew u tal-Kunsill tal-20 ta’ Novembru 2013 dwar statistika demografika Ewropea (ĠU L 330, 10.12.2013, p. 39).</w:t>
      </w:r>
    </w:p>
  </w:footnote>
  <w:footnote w:id="3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Ir-Regolament ta’ Implimentazzjoni tal-Kummissjoni (UE) Nru 205/2014 tal-4 ta’ Marzu 2014 li jistabbilixxi kundizzjonijiet uniformi għall-implimentazzjoni tar-Regolament (UE) Nru 1260/2013 tal-Parlament Ewropew u tal-Kunsill dwar statistika demografika, fir-rigward tat-tqassim tad-dejta, tal-iskadenzi u tar-reviżjonijiet tad-dejta (ĠU L 65, 5.3.2014, p. 10).</w:t>
      </w:r>
    </w:p>
  </w:footnote>
  <w:footnote w:id="4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ab/>
        <w:t>“Residenza abitwali” hi l-post li fih persuna normalment tqatta' l-perjodu tal-mistrieħ tagħha ta’ kuljum, irrispettivament minn assenzi temporanji għal finijiet ta’ rikreazzjoni, ta’ vakanzi, ta’ żjarat lill-ħbieb u lill-qraba, ta’ negozju, ta’ kura medika jew ta’ pellegrinaġġi reliġjużi. Il-persuni li ġejjin biss jiġu kkunsidrati bħala residenti abitwali taż-żona ġeografika kkonċernata:</w:t>
      </w:r>
    </w:p>
    <w:p>
      <w:pPr>
        <w:pStyle w:val="FootnoteText"/>
        <w:numPr>
          <w:ilvl w:val="0"/>
          <w:numId w:val="53"/>
        </w:numPr>
        <w:spacing w:after="0"/>
      </w:pPr>
      <w:r>
        <w:t xml:space="preserve">dawk li ilhom jgħixu fil-post tar-residenza abitwali tagħhom għal perjodu kontinwu ta’ mill-inqas 12-il xahar qabel id-data ta’ referenza jew </w:t>
      </w:r>
    </w:p>
    <w:p>
      <w:pPr>
        <w:pStyle w:val="FootnoteText"/>
        <w:numPr>
          <w:ilvl w:val="0"/>
          <w:numId w:val="53"/>
        </w:numPr>
        <w:spacing w:after="0"/>
      </w:pPr>
      <w:r>
        <w:t>dawk li jkunu waslu fil-post tar-residenza abitwali tagħhom fit-12-il xahar qabel id-data ta’ referenza bil-ħsieb li joqogħdu hemm għal mill-inqas sena.</w:t>
      </w:r>
    </w:p>
  </w:footnote>
  <w:footnote w:id="5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>
        <w:r>
          <w:rPr>
            <w:rStyle w:val="Hyperlink"/>
          </w:rPr>
          <w:t>http://ec.europa.eu/eurostat/web/products-manuals-and-guidelines/-/KS-32-11-955</w:t>
        </w:r>
      </w:hyperlink>
      <w:r>
        <w:t xml:space="preserve"> </w:t>
      </w:r>
    </w:p>
  </w:footnote>
  <w:footnote w:id="6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 </w:t>
      </w:r>
      <w:r>
        <w:tab/>
        <w:t xml:space="preserve">Ir-Regolament (KE) Nru 223/2009 tal-Parlament Ewropew u tal-Kunsill tal-11 ta’ Marzu 2009 dwar l-Istatistika Ewropea u li jħassar ir-Regolament (Euratom, KE) Nru 1101/2008 tal-Parlament Ewropew u tal-Kunsill dwar it-trażmissjoni ta’ </w:t>
      </w:r>
      <w:r>
        <w:rPr>
          <w:i/>
        </w:rPr>
        <w:t>data</w:t>
      </w:r>
      <w:r>
        <w:t xml:space="preserve"> suġġetta għall-kunfidenzjalità statistika lill-Uffiċċju tal-Istatistika tal-Komunitajiet Ewropej, ir-Regolament tal-Kunsill (KE) Nru 322/97 u d-Deċiżjoni tal-Kunsill 89/382/KEE, Euratom li tistabbilixxi Kumitat dwar il-Programmi tal-Istatistika tal-Komunitajiet Ewropej (ĠU L 87, 31.3.2009, p. 164).</w:t>
      </w:r>
    </w:p>
  </w:footnote>
  <w:footnote w:id="7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Ir-Regolament (KE) Nru 862/2007 tal-Parlament Ewropew u tal-Kunsill tal-11 ta’ Lulju 2007 dwar l-istatistika Komunitarja dwar il-migrazzjoni u l-protezzjoni internazzjonali u li jħassar ir-Regolament tal-Kunsill (KEE) Nru 311/76 dwar il-ġbir ta’ statistika dwar ħaddiema barranin (ĠU L 199, 31.7.2007, p. 23).</w:t>
      </w:r>
    </w:p>
  </w:footnote>
  <w:footnote w:id="8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">
        <w:r>
          <w:rPr>
            <w:rStyle w:val="Hyperlink"/>
          </w:rPr>
          <w:t>http://ec.europa.eu/regional_policy/mt/information/cohesion-report/</w:t>
        </w:r>
      </w:hyperlink>
    </w:p>
  </w:footnote>
  <w:footnote w:id="9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">
        <w:r>
          <w:rPr>
            <w:rStyle w:val="Hyperlink"/>
          </w:rPr>
          <w:t>http://ec.europa.eu/eurostat/documents/3217494/6917833/KE-BM-15-003-EN-N.pdf/</w:t>
        </w:r>
      </w:hyperlink>
      <w:r>
        <w:rPr>
          <w:rStyle w:val="Hyperlink"/>
          <w:u w:val="none"/>
        </w:rPr>
        <w:t xml:space="preserve"> </w:t>
      </w:r>
      <w:r>
        <w:t>(disponibbli bl-Ingliż biss).</w:t>
      </w:r>
    </w:p>
  </w:footnote>
  <w:footnote w:id="10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4">
        <w:r>
          <w:rPr>
            <w:rStyle w:val="Hyperlink"/>
          </w:rPr>
          <w:t>http://ec.europa.eu/eurostat/web/population-demography-migration-projections/population-projections-data</w:t>
        </w:r>
      </w:hyperlink>
      <w:r>
        <w:rPr>
          <w:rStyle w:val="Hyperlink"/>
        </w:rPr>
        <w:t xml:space="preserve"> </w:t>
      </w:r>
      <w:r>
        <w:t>(disponibbli bl-Ingliż, bil-Franċiż u bil-Ġermaniż biss).</w:t>
      </w:r>
    </w:p>
  </w:footnote>
  <w:footnote w:id="11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5">
        <w:r>
          <w:rPr>
            <w:rStyle w:val="Hyperlink"/>
          </w:rPr>
          <w:t>https://ec.europa.eu/info/publications/economy-finance/2018-ageing-report-underlying-assumptions-and-projection-methodologies_en</w:t>
        </w:r>
      </w:hyperlink>
      <w:r>
        <w:rPr>
          <w:rStyle w:val="Hyperlink"/>
          <w:u w:val="none"/>
        </w:rPr>
        <w:t xml:space="preserve"> </w:t>
      </w:r>
      <w:r>
        <w:t>(disponibbli bl-Ingliż biss).</w:t>
      </w:r>
    </w:p>
  </w:footnote>
  <w:footnote w:id="12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6">
        <w:r>
          <w:rPr>
            <w:rStyle w:val="Hyperlink"/>
          </w:rPr>
          <w:t>http://ec.europa.eu/eurostat/web/population-demography-migration-projections</w:t>
        </w:r>
      </w:hyperlink>
      <w:r>
        <w:t xml:space="preserve"> (disponibbli bl-Ingliż, bil-Franċiż u bil-Ġermaniż biss).</w:t>
      </w:r>
    </w:p>
  </w:footnote>
  <w:footnote w:id="13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Dan ikopri t-tixrid kollu skont ir-Regolament, hekk kif id-</w:t>
      </w:r>
      <w:r>
        <w:rPr>
          <w:i/>
        </w:rPr>
        <w:t>data</w:t>
      </w:r>
      <w:r>
        <w:t xml:space="preserve"> miġbura skont l-Artikolu 3 ixxerdet għall-ewwel darba fl-ewwel trimestru tal-2015.</w:t>
      </w:r>
    </w:p>
  </w:footnote>
  <w:footnote w:id="14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“Population on 1 January” (“Popolazzjoni fl-1 ta’ Jannar”) – kodiċi tad-</w:t>
      </w:r>
      <w:r>
        <w:rPr>
          <w:i/>
        </w:rPr>
        <w:t>data</w:t>
      </w:r>
      <w:r>
        <w:t xml:space="preserve"> online: </w:t>
      </w:r>
      <w:hyperlink r:id="rId7">
        <w:r>
          <w:rPr>
            <w:rStyle w:val="Hyperlink"/>
          </w:rPr>
          <w:t>tps00001</w:t>
        </w:r>
      </w:hyperlink>
      <w:r>
        <w:rPr>
          <w:rStyle w:val="Hyperlink"/>
        </w:rPr>
        <w:t xml:space="preserve"> </w:t>
      </w:r>
      <w:r>
        <w:t>(disponibbli bl-Ingliż, bil-Franċiż u bil-Ġermaniż biss).</w:t>
      </w:r>
    </w:p>
  </w:footnote>
  <w:footnote w:id="15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“Population change – demographic balance and crude rates at national level” (“Tibdil fil-popolazzjoni – Bilanċ demografiku u rati mhux proċessati f’livell nazzjonali”) – kodiċi tad-</w:t>
      </w:r>
      <w:r>
        <w:rPr>
          <w:i/>
        </w:rPr>
        <w:t>data</w:t>
      </w:r>
      <w:r>
        <w:t xml:space="preserve"> online: </w:t>
      </w:r>
      <w:hyperlink r:id="rId8">
        <w:r>
          <w:rPr>
            <w:rStyle w:val="Hyperlink"/>
          </w:rPr>
          <w:t>demo_gind</w:t>
        </w:r>
      </w:hyperlink>
      <w:r>
        <w:rPr>
          <w:rStyle w:val="Hyperlink"/>
        </w:rPr>
        <w:t xml:space="preserve"> </w:t>
      </w:r>
      <w:r>
        <w:t>(disponibbli bl-Ingliż, bil-Franċiż u bil-Ġermaniż biss).</w:t>
      </w:r>
    </w:p>
  </w:footnote>
  <w:footnote w:id="16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Il-paġna ewlenija tal-Eurostat (</w:t>
      </w:r>
      <w:hyperlink r:id="rId9">
        <w:r>
          <w:rPr>
            <w:rStyle w:val="Hyperlink"/>
          </w:rPr>
          <w:t>http://ec.europa.eu/eurostat</w:t>
        </w:r>
      </w:hyperlink>
      <w:r>
        <w:t xml:space="preserve">) u l-bażi ta’ </w:t>
      </w:r>
      <w:r>
        <w:rPr>
          <w:i/>
        </w:rPr>
        <w:t>data</w:t>
      </w:r>
      <w:r>
        <w:t xml:space="preserve"> tal-Eurostat (</w:t>
      </w:r>
      <w:hyperlink r:id="rId10">
        <w:r>
          <w:rPr>
            <w:rStyle w:val="Hyperlink"/>
          </w:rPr>
          <w:t>http://ec.europa.eu/eurostat/data/database</w:t>
        </w:r>
      </w:hyperlink>
      <w:r>
        <w:t>) (it-tnejn li huma disponibbli bl-Ingliż, bil-Franċiż u bil-Ġermaniż biss).</w:t>
      </w:r>
    </w:p>
  </w:footnote>
  <w:footnote w:id="17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1">
        <w:r>
          <w:rPr>
            <w:rStyle w:val="Hyperlink"/>
          </w:rPr>
          <w:t>http://ec.europa.eu/eurostat/web/population-demography-migration-projections</w:t>
        </w:r>
      </w:hyperlink>
      <w:r>
        <w:rPr>
          <w:rStyle w:val="Hyperlink"/>
          <w:u w:val="none"/>
        </w:rPr>
        <w:t xml:space="preserve"> </w:t>
      </w:r>
      <w:r>
        <w:t>(disponibbli bl-Ingliż, bil-Franċiż u bil-Ġermaniż biss).</w:t>
      </w:r>
    </w:p>
  </w:footnote>
  <w:footnote w:id="18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2">
        <w:r>
          <w:rPr>
            <w:rStyle w:val="Hyperlink"/>
          </w:rPr>
          <w:t>http://ec.europa.eu/eurostat/web/population-demography-migration-projections/population-data</w:t>
        </w:r>
      </w:hyperlink>
      <w:r>
        <w:t xml:space="preserve"> (disponibbli bl-Ingliż, bil-Franċiż u bil-Ġermaniż biss).</w:t>
      </w:r>
    </w:p>
  </w:footnote>
  <w:footnote w:id="19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3">
        <w:r>
          <w:rPr>
            <w:rStyle w:val="Hyperlink"/>
          </w:rPr>
          <w:t>http://ec.europa.eu/eurostat/statistics-explained/index.php/Eurostat_regional_yearbook</w:t>
        </w:r>
      </w:hyperlink>
      <w:r>
        <w:rPr>
          <w:rStyle w:val="Hyperlink"/>
          <w:u w:val="none"/>
        </w:rPr>
        <w:t xml:space="preserve"> </w:t>
      </w:r>
      <w:r>
        <w:t>(disponibbli bl-Ingliż, bil-Franċiż u bil-Ġermaniż biss).</w:t>
      </w:r>
    </w:p>
  </w:footnote>
  <w:footnote w:id="20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Pereżempju, ara l-aħħar stqarrija għall-istampa tal-Eurostat dwar l-wewel stimi tal-popolazzjoni (10 ta’ Lulju 2018): ‘</w:t>
      </w:r>
      <w:hyperlink r:id="rId14">
        <w:r>
          <w:rPr>
            <w:rStyle w:val="Hyperlink"/>
          </w:rPr>
          <w:t>Il-popolazzjoni tal-UE tikber għal kważi 513-il miljun fl-1 ta’ Jannar 2018</w:t>
        </w:r>
      </w:hyperlink>
      <w:r>
        <w:rPr>
          <w:rStyle w:val="Hyperlink"/>
          <w:color w:val="auto"/>
          <w:u w:val="none"/>
        </w:rPr>
        <w:t>’</w:t>
      </w:r>
      <w:r>
        <w:t xml:space="preserve"> (disponibbli bl-Ingliż, bil-Franċiż u bil-Ġermaniż biss).</w:t>
      </w:r>
    </w:p>
  </w:footnote>
  <w:footnote w:id="21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5">
        <w:r>
          <w:rPr>
            <w:rStyle w:val="Hyperlink"/>
          </w:rPr>
          <w:t>http://ec.europa.eu/eurostat/statistics-explained/index.php/Population</w:t>
        </w:r>
      </w:hyperlink>
      <w:r>
        <w:rPr>
          <w:rStyle w:val="Hyperlink"/>
          <w:u w:val="none"/>
        </w:rPr>
        <w:t xml:space="preserve"> </w:t>
      </w:r>
      <w:r>
        <w:t>(disponibbli bl-Ingliż, bil-Franċiż u bil-Ġermaniż biss).</w:t>
      </w:r>
    </w:p>
  </w:footnote>
  <w:footnote w:id="22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6">
        <w:r>
          <w:rPr>
            <w:rStyle w:val="Hyperlink"/>
          </w:rPr>
          <w:t>http://ec.europa.eu/eurostat/documents/64157/4392716/ESS-QAF-V1-2final.pdf/bbf5970c-1adf-46c8-afc3-58ce177a0646</w:t>
        </w:r>
      </w:hyperlink>
      <w:r>
        <w:t xml:space="preserve"> (disponibbli bl-Ingliż biss).</w:t>
      </w:r>
    </w:p>
  </w:footnote>
  <w:footnote w:id="23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Ara t-taqsima 3.5.</w:t>
      </w:r>
    </w:p>
  </w:footnote>
  <w:footnote w:id="24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Ir-Regolament (UE) Nru 1260/2013 għadu mhuwiex inkluż fil-Ftehim bejn il-Komunità Ewropea u l-Konfederazzjoni Żvizzera dwar il-kooperazzjoni fil-qasam tal-istatistiċi.</w:t>
      </w:r>
    </w:p>
  </w:footnote>
  <w:footnote w:id="25">
    <w:p>
      <w:pPr>
        <w:pStyle w:val="FootnoteText"/>
        <w:spacing w:after="0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Hemm ċerti gruppi tal-popolazzjoni li għalihom jista’ jkun hemm ċerta inċertezza rigward l-inklużjoni tagħhom fil-popolazzjoni ta’ “residenti abitwali” ta’ </w:t>
      </w:r>
      <w:r>
        <w:rPr>
          <w:color w:val="000000"/>
        </w:rPr>
        <w:t>Stat Membru</w:t>
      </w:r>
      <w:r>
        <w:t xml:space="preserve"> u li jkunu soġġetti għal trattament speċjali. Għal aktar dettalji, ara l-Kapitlu V (“Population bases” - “Bażijiet tal-popolazzjoni”) fuq:</w:t>
      </w:r>
      <w:r>
        <w:tab/>
      </w:r>
      <w:r>
        <w:br/>
      </w:r>
      <w:hyperlink r:id="rId17">
        <w:r>
          <w:rPr>
            <w:rStyle w:val="Hyperlink"/>
          </w:rPr>
          <w:t>http://www.unece.org/fileadmin/DAM/stats/publications/2015/ECECES41_EN.pdf</w:t>
        </w:r>
      </w:hyperlink>
      <w:r>
        <w:rPr>
          <w:rStyle w:val="Hyperlink"/>
          <w:u w:val="none"/>
        </w:rPr>
        <w:t xml:space="preserve"> </w:t>
      </w:r>
      <w:r>
        <w:t>(disponibbli bl-Ingliż biss).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1F5F84"/>
    <w:multiLevelType w:val="hybridMultilevel"/>
    <w:tmpl w:val="20C6C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6C449EC"/>
    <w:multiLevelType w:val="hybridMultilevel"/>
    <w:tmpl w:val="35E4E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D68F3"/>
    <w:multiLevelType w:val="hybridMultilevel"/>
    <w:tmpl w:val="1FD82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A214E"/>
    <w:multiLevelType w:val="multilevel"/>
    <w:tmpl w:val="DB00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8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9">
    <w:nsid w:val="17E857FC"/>
    <w:multiLevelType w:val="multilevel"/>
    <w:tmpl w:val="2FAE6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CC252C"/>
    <w:multiLevelType w:val="hybridMultilevel"/>
    <w:tmpl w:val="88DE1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73018"/>
    <w:multiLevelType w:val="hybridMultilevel"/>
    <w:tmpl w:val="7EFC289C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1D8F1EFA"/>
    <w:multiLevelType w:val="hybridMultilevel"/>
    <w:tmpl w:val="2F3A4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252D9"/>
    <w:multiLevelType w:val="hybridMultilevel"/>
    <w:tmpl w:val="4E22F8E4"/>
    <w:lvl w:ilvl="0" w:tplc="B9C423AE">
      <w:numFmt w:val="bullet"/>
      <w:lvlText w:val="•"/>
      <w:lvlJc w:val="left"/>
      <w:pPr>
        <w:ind w:left="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5">
    <w:nsid w:val="2AFE05CF"/>
    <w:multiLevelType w:val="hybridMultilevel"/>
    <w:tmpl w:val="F708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7">
    <w:nsid w:val="2CEC0E19"/>
    <w:multiLevelType w:val="hybridMultilevel"/>
    <w:tmpl w:val="FC6C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4B0B3A"/>
    <w:multiLevelType w:val="hybridMultilevel"/>
    <w:tmpl w:val="6396E8D0"/>
    <w:lvl w:ilvl="0" w:tplc="3146C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0">
    <w:nsid w:val="3D300A6E"/>
    <w:multiLevelType w:val="hybridMultilevel"/>
    <w:tmpl w:val="9AF63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964B1"/>
    <w:multiLevelType w:val="hybridMultilevel"/>
    <w:tmpl w:val="3F8A0DAC"/>
    <w:lvl w:ilvl="0" w:tplc="50D684D0">
      <w:start w:val="1"/>
      <w:numFmt w:val="bullet"/>
      <w:lvlText w:val="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2">
    <w:nsid w:val="3FEE5503"/>
    <w:multiLevelType w:val="hybridMultilevel"/>
    <w:tmpl w:val="44FCD510"/>
    <w:lvl w:ilvl="0" w:tplc="B896F8E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B64A69"/>
    <w:multiLevelType w:val="hybridMultilevel"/>
    <w:tmpl w:val="D60A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A432656"/>
    <w:multiLevelType w:val="multilevel"/>
    <w:tmpl w:val="CFD00FD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  <w:rPr>
        <w:rFonts w:hint="default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4CEE1D50"/>
    <w:multiLevelType w:val="hybridMultilevel"/>
    <w:tmpl w:val="615EC4B2"/>
    <w:lvl w:ilvl="0" w:tplc="FDD8ED0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D3EC9"/>
    <w:multiLevelType w:val="hybridMultilevel"/>
    <w:tmpl w:val="6AA4AD7A"/>
    <w:lvl w:ilvl="0" w:tplc="D8C818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2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3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4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5">
    <w:nsid w:val="6A102A37"/>
    <w:multiLevelType w:val="hybridMultilevel"/>
    <w:tmpl w:val="E468F366"/>
    <w:lvl w:ilvl="0" w:tplc="477CD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7">
    <w:nsid w:val="6F851746"/>
    <w:multiLevelType w:val="hybridMultilevel"/>
    <w:tmpl w:val="F782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167CA2"/>
    <w:multiLevelType w:val="hybridMultilevel"/>
    <w:tmpl w:val="46E8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9D18C9"/>
    <w:multiLevelType w:val="hybridMultilevel"/>
    <w:tmpl w:val="35DA5D6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>
    <w:nsid w:val="760B4EDD"/>
    <w:multiLevelType w:val="hybridMultilevel"/>
    <w:tmpl w:val="7BD0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23E11"/>
    <w:multiLevelType w:val="hybridMultilevel"/>
    <w:tmpl w:val="80B4D948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2">
    <w:nsid w:val="7CD83873"/>
    <w:multiLevelType w:val="hybridMultilevel"/>
    <w:tmpl w:val="A7F26198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31"/>
  </w:num>
  <w:num w:numId="5">
    <w:abstractNumId w:val="19"/>
  </w:num>
  <w:num w:numId="6">
    <w:abstractNumId w:val="16"/>
  </w:num>
  <w:num w:numId="7">
    <w:abstractNumId w:val="8"/>
  </w:num>
  <w:num w:numId="8">
    <w:abstractNumId w:val="7"/>
  </w:num>
  <w:num w:numId="9">
    <w:abstractNumId w:val="32"/>
  </w:num>
  <w:num w:numId="10">
    <w:abstractNumId w:val="34"/>
  </w:num>
  <w:num w:numId="11">
    <w:abstractNumId w:val="33"/>
  </w:num>
  <w:num w:numId="12">
    <w:abstractNumId w:val="36"/>
  </w:num>
  <w:num w:numId="13">
    <w:abstractNumId w:val="14"/>
  </w:num>
  <w:num w:numId="14">
    <w:abstractNumId w:val="23"/>
  </w:num>
  <w:num w:numId="15">
    <w:abstractNumId w:val="26"/>
  </w:num>
  <w:num w:numId="16">
    <w:abstractNumId w:val="25"/>
  </w:num>
  <w:num w:numId="17">
    <w:abstractNumId w:val="3"/>
  </w:num>
  <w:num w:numId="18">
    <w:abstractNumId w:val="27"/>
  </w:num>
  <w:num w:numId="19">
    <w:abstractNumId w:val="28"/>
  </w:num>
  <w:num w:numId="20">
    <w:abstractNumId w:val="28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8"/>
  </w:num>
  <w:num w:numId="27">
    <w:abstractNumId w:val="28"/>
  </w:num>
  <w:num w:numId="28">
    <w:abstractNumId w:val="18"/>
    <w:lvlOverride w:ilvl="0">
      <w:startOverride w:val="1"/>
    </w:lvlOverride>
  </w:num>
  <w:num w:numId="29">
    <w:abstractNumId w:val="4"/>
  </w:num>
  <w:num w:numId="30">
    <w:abstractNumId w:val="13"/>
  </w:num>
  <w:num w:numId="31">
    <w:abstractNumId w:val="6"/>
  </w:num>
  <w:num w:numId="32">
    <w:abstractNumId w:val="15"/>
  </w:num>
  <w:num w:numId="33">
    <w:abstractNumId w:val="21"/>
  </w:num>
  <w:num w:numId="34">
    <w:abstractNumId w:val="9"/>
  </w:num>
  <w:num w:numId="35">
    <w:abstractNumId w:val="18"/>
  </w:num>
  <w:num w:numId="36">
    <w:abstractNumId w:val="5"/>
  </w:num>
  <w:num w:numId="37">
    <w:abstractNumId w:val="38"/>
  </w:num>
  <w:num w:numId="38">
    <w:abstractNumId w:val="29"/>
  </w:num>
  <w:num w:numId="39">
    <w:abstractNumId w:val="12"/>
  </w:num>
  <w:num w:numId="40">
    <w:abstractNumId w:val="2"/>
  </w:num>
  <w:num w:numId="41">
    <w:abstractNumId w:val="35"/>
  </w:num>
  <w:num w:numId="42">
    <w:abstractNumId w:val="37"/>
  </w:num>
  <w:num w:numId="43">
    <w:abstractNumId w:val="24"/>
  </w:num>
  <w:num w:numId="44">
    <w:abstractNumId w:val="40"/>
  </w:num>
  <w:num w:numId="45">
    <w:abstractNumId w:val="41"/>
  </w:num>
  <w:num w:numId="46">
    <w:abstractNumId w:val="10"/>
  </w:num>
  <w:num w:numId="47">
    <w:abstractNumId w:val="20"/>
  </w:num>
  <w:num w:numId="48">
    <w:abstractNumId w:val="39"/>
  </w:num>
  <w:num w:numId="49">
    <w:abstractNumId w:val="42"/>
  </w:num>
  <w:num w:numId="50">
    <w:abstractNumId w:val="11"/>
  </w:num>
  <w:num w:numId="51">
    <w:abstractNumId w:val="22"/>
  </w:num>
  <w:num w:numId="52">
    <w:abstractNumId w:val="17"/>
  </w:num>
  <w:num w:numId="53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BE1808C6-94F9-4657-9F73-E01E44DCAEB4"/>
    <w:docVar w:name="LW_COVERPAGE_TYPE" w:val="1"/>
    <w:docVar w:name="LW_CROSSREFERENCE" w:val="&lt;UNUSED&gt;"/>
    <w:docVar w:name="LW_DocType" w:val="NOT"/>
    <w:docVar w:name="LW_EMISSION" w:val="14.12.2018"/>
    <w:docVar w:name="LW_EMISSION_ISODATE" w:val="2018-12-14"/>
    <w:docVar w:name="LW_EMISSION_LOCATION" w:val="BRX"/>
    <w:docVar w:name="LW_EMISSION_PREFIX" w:val="Brussell, "/>
    <w:docVar w:name="LW_EMISSION_SUFFIX" w:val=" "/>
    <w:docVar w:name="LW_ID_DOCTYPE_NONLW" w:val="CP-006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8) 84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dwar l-implimentazzjoni tar-Regolament (UE) Nru 1260/2013 dwar l-istatistika demografika Ewropea"/>
    <w:docVar w:name="LW_TYPE.DOC.CP" w:val="RAPPORT TAL-KUMMISSJONI LILL-PARLAMENT EWROPEW U LILL-KUNSIL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index heading" w:uiPriority="0"/>
    <w:lsdException w:name="caption" w:semiHidden="0" w:uiPriority="0" w:unhideWhenUsed="0" w:qFormat="1"/>
    <w:lsdException w:name="table of figures" w:uiPriority="0"/>
    <w:lsdException w:name="envelope address" w:uiPriority="0"/>
    <w:lsdException w:name="envelope return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aliases w:val="MyFootnote,Schriftart: 9 pt,Schriftart: 10 pt,Schriftart: 8 pt,Podrozdział,Footnote,o,Footnote Text Char2,Footnote Text Char1 Char,Footnote Text Char2 Char Char,Footnote Text Char1 Char Char Char,Footnote Text Char2 Char Char Char Char"/>
    <w:basedOn w:val="Normal"/>
    <w:link w:val="FootnoteTextChar"/>
    <w:uiPriority w:val="99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FooterChar">
    <w:name w:val="Footer Char"/>
    <w:link w:val="Footer"/>
    <w:uiPriority w:val="99"/>
    <w:rPr>
      <w:rFonts w:ascii="Arial" w:hAnsi="Arial"/>
      <w:sz w:val="16"/>
      <w:lang w:eastAsia="mt-MT"/>
    </w:rPr>
  </w:style>
  <w:style w:type="character" w:customStyle="1" w:styleId="DateChar">
    <w:name w:val="Date Char"/>
    <w:link w:val="Date"/>
    <w:uiPriority w:val="99"/>
    <w:rPr>
      <w:sz w:val="24"/>
      <w:lang w:eastAsia="mt-MT"/>
    </w:rPr>
  </w:style>
  <w:style w:type="character" w:customStyle="1" w:styleId="SignatureChar">
    <w:name w:val="Signature Char"/>
    <w:link w:val="Signature"/>
    <w:uiPriority w:val="99"/>
    <w:rPr>
      <w:sz w:val="24"/>
      <w:lang w:eastAsia="mt-MT"/>
    </w:rPr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link w:val="Header"/>
    <w:uiPriority w:val="99"/>
    <w:rPr>
      <w:sz w:val="24"/>
      <w:lang w:eastAsia="mt-M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mt-MT" w:eastAsia="mt-MT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link w:val="CommentText"/>
    <w:semiHidden/>
    <w:rPr>
      <w:lang w:eastAsia="mt-MT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mt-M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/>
      <w:lang w:eastAsia="mt-MT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0">
    <w:name w:val="Heading #1_"/>
    <w:link w:val="Heading11"/>
    <w:rPr>
      <w:rFonts w:ascii="Arial" w:eastAsia="Arial" w:hAnsi="Arial" w:cs="Arial"/>
      <w:b/>
      <w:bCs/>
      <w:sz w:val="26"/>
      <w:szCs w:val="26"/>
      <w:shd w:val="clear" w:color="auto" w:fill="FFFFFF"/>
      <w:lang w:val="mt-MT" w:eastAsia="mt-MT" w:bidi="mt-MT"/>
    </w:rPr>
  </w:style>
  <w:style w:type="paragraph" w:customStyle="1" w:styleId="Heading11">
    <w:name w:val="Heading #1"/>
    <w:basedOn w:val="Normal"/>
    <w:link w:val="Heading10"/>
    <w:pPr>
      <w:widowControl w:val="0"/>
      <w:shd w:val="clear" w:color="auto" w:fill="FFFFFF"/>
      <w:spacing w:before="8220" w:after="0" w:line="48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Pr>
      <w:b/>
      <w:smallCaps/>
      <w:sz w:val="24"/>
      <w:lang w:eastAsia="mt-MT"/>
    </w:rPr>
  </w:style>
  <w:style w:type="character" w:styleId="FootnoteReference">
    <w:name w:val="footnote reference"/>
    <w:aliases w:val="Footnote reference number,Footnote symbol,note TESI,Times 10 Point,Exposant 3 Point,EN Footnote Reference,-E Fußnotenzeichen,Footnote Reference/,number,Footnote Reference Number,ftref,Voetnootverwijzing,Fußnotenzeichen2,BVI fnr"/>
    <w:uiPriority w:val="99"/>
    <w:rPr>
      <w:shd w:val="clear" w:color="auto" w:fill="auto"/>
      <w:vertAlign w:val="superscript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szCs w:val="24"/>
    </w:rPr>
  </w:style>
  <w:style w:type="character" w:customStyle="1" w:styleId="FootnoteTextChar">
    <w:name w:val="Footnote Text Char"/>
    <w:aliases w:val="MyFootnote Char,Schriftart: 9 pt Char,Schriftart: 10 pt Char,Schriftart: 8 pt Char,Podrozdział Char,Footnote Char,o Char,Footnote Text Char2 Char,Footnote Text Char1 Char Char,Footnote Text Char2 Char Char Char"/>
    <w:link w:val="FootnoteText"/>
    <w:uiPriority w:val="99"/>
    <w:rPr>
      <w:lang w:eastAsia="mt-MT"/>
    </w:rPr>
  </w:style>
  <w:style w:type="character" w:customStyle="1" w:styleId="Heading30">
    <w:name w:val="Heading #3_"/>
    <w:link w:val="Heading31"/>
    <w:rPr>
      <w:shd w:val="clear" w:color="auto" w:fill="FFFFFF"/>
    </w:rPr>
  </w:style>
  <w:style w:type="character" w:customStyle="1" w:styleId="Headerorfooter">
    <w:name w:val="Header or footer_"/>
    <w:link w:val="Headerorfooter0"/>
    <w:rPr>
      <w:b/>
      <w:bCs/>
      <w:spacing w:val="10"/>
      <w:sz w:val="17"/>
      <w:szCs w:val="17"/>
      <w:shd w:val="clear" w:color="auto" w:fill="FFFFFF"/>
    </w:rPr>
  </w:style>
  <w:style w:type="character" w:customStyle="1" w:styleId="HeaderorfooterItalicSpacing0ptScaling60">
    <w:name w:val="Header or footer + Italic;Spacing 0 pt;Scaling 60%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17"/>
      <w:szCs w:val="17"/>
      <w:u w:val="none"/>
      <w:lang w:val="mt-MT" w:eastAsia="mt-MT" w:bidi="mt-MT"/>
    </w:rPr>
  </w:style>
  <w:style w:type="character" w:customStyle="1" w:styleId="Bodytext20">
    <w:name w:val="Body text (2)_"/>
    <w:link w:val="Bodytext21"/>
    <w:rPr>
      <w:shd w:val="clear" w:color="auto" w:fill="FFFFFF"/>
    </w:rPr>
  </w:style>
  <w:style w:type="character" w:customStyle="1" w:styleId="Bodytext5">
    <w:name w:val="Body text (5)_"/>
    <w:link w:val="Bodytext50"/>
    <w:rPr>
      <w:sz w:val="28"/>
      <w:szCs w:val="28"/>
      <w:shd w:val="clear" w:color="auto" w:fill="FFFFFF"/>
    </w:rPr>
  </w:style>
  <w:style w:type="character" w:customStyle="1" w:styleId="Bodytext6">
    <w:name w:val="Body text (6)_"/>
    <w:link w:val="Bodytext60"/>
    <w:rPr>
      <w:i/>
      <w:iCs/>
      <w:shd w:val="clear" w:color="auto" w:fill="FFFFFF"/>
    </w:rPr>
  </w:style>
  <w:style w:type="character" w:customStyle="1" w:styleId="Bodytext5Italic">
    <w:name w:val="Body text (5)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mt-MT" w:eastAsia="mt-MT" w:bidi="mt-MT"/>
    </w:rPr>
  </w:style>
  <w:style w:type="paragraph" w:customStyle="1" w:styleId="Heading31">
    <w:name w:val="Heading #3"/>
    <w:basedOn w:val="Normal"/>
    <w:link w:val="Heading30"/>
    <w:pPr>
      <w:widowControl w:val="0"/>
      <w:shd w:val="clear" w:color="auto" w:fill="FFFFFF"/>
      <w:spacing w:after="340" w:line="266" w:lineRule="exact"/>
      <w:jc w:val="center"/>
      <w:outlineLvl w:val="2"/>
    </w:pPr>
    <w:rPr>
      <w:sz w:val="20"/>
    </w:rPr>
  </w:style>
  <w:style w:type="paragraph" w:customStyle="1" w:styleId="Headerorfooter0">
    <w:name w:val="Header or footer"/>
    <w:basedOn w:val="Normal"/>
    <w:link w:val="Headerorfooter"/>
    <w:pPr>
      <w:widowControl w:val="0"/>
      <w:shd w:val="clear" w:color="auto" w:fill="FFFFFF"/>
      <w:spacing w:after="0" w:line="188" w:lineRule="exact"/>
      <w:jc w:val="left"/>
    </w:pPr>
    <w:rPr>
      <w:b/>
      <w:bCs/>
      <w:spacing w:val="10"/>
      <w:sz w:val="17"/>
      <w:szCs w:val="17"/>
    </w:rPr>
  </w:style>
  <w:style w:type="paragraph" w:customStyle="1" w:styleId="Bodytext21">
    <w:name w:val="Body text (2)"/>
    <w:basedOn w:val="Normal"/>
    <w:link w:val="Bodytext20"/>
    <w:pPr>
      <w:widowControl w:val="0"/>
      <w:shd w:val="clear" w:color="auto" w:fill="FFFFFF"/>
      <w:spacing w:before="340" w:after="1480" w:line="266" w:lineRule="exact"/>
      <w:ind w:hanging="900"/>
      <w:jc w:val="center"/>
    </w:pPr>
    <w:rPr>
      <w:sz w:val="20"/>
    </w:rPr>
  </w:style>
  <w:style w:type="paragraph" w:customStyle="1" w:styleId="Bodytext50">
    <w:name w:val="Body text (5)"/>
    <w:basedOn w:val="Normal"/>
    <w:link w:val="Bodytext5"/>
    <w:pPr>
      <w:widowControl w:val="0"/>
      <w:shd w:val="clear" w:color="auto" w:fill="FFFFFF"/>
      <w:spacing w:before="200" w:after="200" w:line="310" w:lineRule="exact"/>
    </w:pPr>
    <w:rPr>
      <w:sz w:val="28"/>
      <w:szCs w:val="28"/>
    </w:rPr>
  </w:style>
  <w:style w:type="paragraph" w:customStyle="1" w:styleId="Bodytext60">
    <w:name w:val="Body text (6)"/>
    <w:basedOn w:val="Normal"/>
    <w:link w:val="Bodytext6"/>
    <w:pPr>
      <w:widowControl w:val="0"/>
      <w:shd w:val="clear" w:color="auto" w:fill="FFFFFF"/>
      <w:spacing w:before="340" w:after="200" w:line="266" w:lineRule="exact"/>
      <w:jc w:val="center"/>
    </w:pPr>
    <w:rPr>
      <w:i/>
      <w:iCs/>
      <w:sz w:val="20"/>
    </w:rPr>
  </w:style>
  <w:style w:type="paragraph" w:customStyle="1" w:styleId="doc-ti2">
    <w:name w:val="doc-ti2"/>
    <w:basedOn w:val="Normal"/>
    <w:pPr>
      <w:spacing w:before="240" w:after="120" w:line="312" w:lineRule="atLeast"/>
      <w:jc w:val="center"/>
    </w:pPr>
    <w:rPr>
      <w:b/>
      <w:bCs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Revision">
    <w:name w:val="Revision"/>
    <w:hidden/>
    <w:uiPriority w:val="99"/>
    <w:semiHidden/>
    <w:rPr>
      <w:sz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/>
    </w:pPr>
    <w:rPr>
      <w:rFonts w:eastAsiaTheme="minorHAnsi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</w:pPr>
  </w:style>
  <w:style w:type="character" w:customStyle="1" w:styleId="HeaderCoverPageChar">
    <w:name w:val="Header Cover Page Char"/>
    <w:basedOn w:val="DefaultParagraphFont"/>
    <w:link w:val="HeaderCoverPage"/>
    <w:rPr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index heading" w:uiPriority="0"/>
    <w:lsdException w:name="caption" w:semiHidden="0" w:uiPriority="0" w:unhideWhenUsed="0" w:qFormat="1"/>
    <w:lsdException w:name="table of figures" w:uiPriority="0"/>
    <w:lsdException w:name="envelope address" w:uiPriority="0"/>
    <w:lsdException w:name="envelope return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aliases w:val="MyFootnote,Schriftart: 9 pt,Schriftart: 10 pt,Schriftart: 8 pt,Podrozdział,Footnote,o,Footnote Text Char2,Footnote Text Char1 Char,Footnote Text Char2 Char Char,Footnote Text Char1 Char Char Char,Footnote Text Char2 Char Char Char Char"/>
    <w:basedOn w:val="Normal"/>
    <w:link w:val="FootnoteTextChar"/>
    <w:uiPriority w:val="99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FooterChar">
    <w:name w:val="Footer Char"/>
    <w:link w:val="Footer"/>
    <w:uiPriority w:val="99"/>
    <w:rPr>
      <w:rFonts w:ascii="Arial" w:hAnsi="Arial"/>
      <w:sz w:val="16"/>
      <w:lang w:eastAsia="mt-MT"/>
    </w:rPr>
  </w:style>
  <w:style w:type="character" w:customStyle="1" w:styleId="DateChar">
    <w:name w:val="Date Char"/>
    <w:link w:val="Date"/>
    <w:uiPriority w:val="99"/>
    <w:rPr>
      <w:sz w:val="24"/>
      <w:lang w:eastAsia="mt-MT"/>
    </w:rPr>
  </w:style>
  <w:style w:type="character" w:customStyle="1" w:styleId="SignatureChar">
    <w:name w:val="Signature Char"/>
    <w:link w:val="Signature"/>
    <w:uiPriority w:val="99"/>
    <w:rPr>
      <w:sz w:val="24"/>
      <w:lang w:eastAsia="mt-MT"/>
    </w:rPr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link w:val="Header"/>
    <w:uiPriority w:val="99"/>
    <w:rPr>
      <w:sz w:val="24"/>
      <w:lang w:eastAsia="mt-M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mt-MT" w:eastAsia="mt-MT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link w:val="CommentText"/>
    <w:semiHidden/>
    <w:rPr>
      <w:lang w:eastAsia="mt-MT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mt-M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/>
      <w:lang w:eastAsia="mt-MT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0">
    <w:name w:val="Heading #1_"/>
    <w:link w:val="Heading11"/>
    <w:rPr>
      <w:rFonts w:ascii="Arial" w:eastAsia="Arial" w:hAnsi="Arial" w:cs="Arial"/>
      <w:b/>
      <w:bCs/>
      <w:sz w:val="26"/>
      <w:szCs w:val="26"/>
      <w:shd w:val="clear" w:color="auto" w:fill="FFFFFF"/>
      <w:lang w:val="mt-MT" w:eastAsia="mt-MT" w:bidi="mt-MT"/>
    </w:rPr>
  </w:style>
  <w:style w:type="paragraph" w:customStyle="1" w:styleId="Heading11">
    <w:name w:val="Heading #1"/>
    <w:basedOn w:val="Normal"/>
    <w:link w:val="Heading10"/>
    <w:pPr>
      <w:widowControl w:val="0"/>
      <w:shd w:val="clear" w:color="auto" w:fill="FFFFFF"/>
      <w:spacing w:before="8220" w:after="0" w:line="48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Pr>
      <w:b/>
      <w:smallCaps/>
      <w:sz w:val="24"/>
      <w:lang w:eastAsia="mt-MT"/>
    </w:rPr>
  </w:style>
  <w:style w:type="character" w:styleId="FootnoteReference">
    <w:name w:val="footnote reference"/>
    <w:aliases w:val="Footnote reference number,Footnote symbol,note TESI,Times 10 Point,Exposant 3 Point,EN Footnote Reference,-E Fußnotenzeichen,Footnote Reference/,number,Footnote Reference Number,ftref,Voetnootverwijzing,Fußnotenzeichen2,BVI fnr"/>
    <w:uiPriority w:val="99"/>
    <w:rPr>
      <w:shd w:val="clear" w:color="auto" w:fill="auto"/>
      <w:vertAlign w:val="superscript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szCs w:val="24"/>
    </w:rPr>
  </w:style>
  <w:style w:type="character" w:customStyle="1" w:styleId="FootnoteTextChar">
    <w:name w:val="Footnote Text Char"/>
    <w:aliases w:val="MyFootnote Char,Schriftart: 9 pt Char,Schriftart: 10 pt Char,Schriftart: 8 pt Char,Podrozdział Char,Footnote Char,o Char,Footnote Text Char2 Char,Footnote Text Char1 Char Char,Footnote Text Char2 Char Char Char"/>
    <w:link w:val="FootnoteText"/>
    <w:uiPriority w:val="99"/>
    <w:rPr>
      <w:lang w:eastAsia="mt-MT"/>
    </w:rPr>
  </w:style>
  <w:style w:type="character" w:customStyle="1" w:styleId="Heading30">
    <w:name w:val="Heading #3_"/>
    <w:link w:val="Heading31"/>
    <w:rPr>
      <w:shd w:val="clear" w:color="auto" w:fill="FFFFFF"/>
    </w:rPr>
  </w:style>
  <w:style w:type="character" w:customStyle="1" w:styleId="Headerorfooter">
    <w:name w:val="Header or footer_"/>
    <w:link w:val="Headerorfooter0"/>
    <w:rPr>
      <w:b/>
      <w:bCs/>
      <w:spacing w:val="10"/>
      <w:sz w:val="17"/>
      <w:szCs w:val="17"/>
      <w:shd w:val="clear" w:color="auto" w:fill="FFFFFF"/>
    </w:rPr>
  </w:style>
  <w:style w:type="character" w:customStyle="1" w:styleId="HeaderorfooterItalicSpacing0ptScaling60">
    <w:name w:val="Header or footer + Italic;Spacing 0 pt;Scaling 60%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17"/>
      <w:szCs w:val="17"/>
      <w:u w:val="none"/>
      <w:lang w:val="mt-MT" w:eastAsia="mt-MT" w:bidi="mt-MT"/>
    </w:rPr>
  </w:style>
  <w:style w:type="character" w:customStyle="1" w:styleId="Bodytext20">
    <w:name w:val="Body text (2)_"/>
    <w:link w:val="Bodytext21"/>
    <w:rPr>
      <w:shd w:val="clear" w:color="auto" w:fill="FFFFFF"/>
    </w:rPr>
  </w:style>
  <w:style w:type="character" w:customStyle="1" w:styleId="Bodytext5">
    <w:name w:val="Body text (5)_"/>
    <w:link w:val="Bodytext50"/>
    <w:rPr>
      <w:sz w:val="28"/>
      <w:szCs w:val="28"/>
      <w:shd w:val="clear" w:color="auto" w:fill="FFFFFF"/>
    </w:rPr>
  </w:style>
  <w:style w:type="character" w:customStyle="1" w:styleId="Bodytext6">
    <w:name w:val="Body text (6)_"/>
    <w:link w:val="Bodytext60"/>
    <w:rPr>
      <w:i/>
      <w:iCs/>
      <w:shd w:val="clear" w:color="auto" w:fill="FFFFFF"/>
    </w:rPr>
  </w:style>
  <w:style w:type="character" w:customStyle="1" w:styleId="Bodytext5Italic">
    <w:name w:val="Body text (5)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mt-MT" w:eastAsia="mt-MT" w:bidi="mt-MT"/>
    </w:rPr>
  </w:style>
  <w:style w:type="paragraph" w:customStyle="1" w:styleId="Heading31">
    <w:name w:val="Heading #3"/>
    <w:basedOn w:val="Normal"/>
    <w:link w:val="Heading30"/>
    <w:pPr>
      <w:widowControl w:val="0"/>
      <w:shd w:val="clear" w:color="auto" w:fill="FFFFFF"/>
      <w:spacing w:after="340" w:line="266" w:lineRule="exact"/>
      <w:jc w:val="center"/>
      <w:outlineLvl w:val="2"/>
    </w:pPr>
    <w:rPr>
      <w:sz w:val="20"/>
    </w:rPr>
  </w:style>
  <w:style w:type="paragraph" w:customStyle="1" w:styleId="Headerorfooter0">
    <w:name w:val="Header or footer"/>
    <w:basedOn w:val="Normal"/>
    <w:link w:val="Headerorfooter"/>
    <w:pPr>
      <w:widowControl w:val="0"/>
      <w:shd w:val="clear" w:color="auto" w:fill="FFFFFF"/>
      <w:spacing w:after="0" w:line="188" w:lineRule="exact"/>
      <w:jc w:val="left"/>
    </w:pPr>
    <w:rPr>
      <w:b/>
      <w:bCs/>
      <w:spacing w:val="10"/>
      <w:sz w:val="17"/>
      <w:szCs w:val="17"/>
    </w:rPr>
  </w:style>
  <w:style w:type="paragraph" w:customStyle="1" w:styleId="Bodytext21">
    <w:name w:val="Body text (2)"/>
    <w:basedOn w:val="Normal"/>
    <w:link w:val="Bodytext20"/>
    <w:pPr>
      <w:widowControl w:val="0"/>
      <w:shd w:val="clear" w:color="auto" w:fill="FFFFFF"/>
      <w:spacing w:before="340" w:after="1480" w:line="266" w:lineRule="exact"/>
      <w:ind w:hanging="900"/>
      <w:jc w:val="center"/>
    </w:pPr>
    <w:rPr>
      <w:sz w:val="20"/>
    </w:rPr>
  </w:style>
  <w:style w:type="paragraph" w:customStyle="1" w:styleId="Bodytext50">
    <w:name w:val="Body text (5)"/>
    <w:basedOn w:val="Normal"/>
    <w:link w:val="Bodytext5"/>
    <w:pPr>
      <w:widowControl w:val="0"/>
      <w:shd w:val="clear" w:color="auto" w:fill="FFFFFF"/>
      <w:spacing w:before="200" w:after="200" w:line="310" w:lineRule="exact"/>
    </w:pPr>
    <w:rPr>
      <w:sz w:val="28"/>
      <w:szCs w:val="28"/>
    </w:rPr>
  </w:style>
  <w:style w:type="paragraph" w:customStyle="1" w:styleId="Bodytext60">
    <w:name w:val="Body text (6)"/>
    <w:basedOn w:val="Normal"/>
    <w:link w:val="Bodytext6"/>
    <w:pPr>
      <w:widowControl w:val="0"/>
      <w:shd w:val="clear" w:color="auto" w:fill="FFFFFF"/>
      <w:spacing w:before="340" w:after="200" w:line="266" w:lineRule="exact"/>
      <w:jc w:val="center"/>
    </w:pPr>
    <w:rPr>
      <w:i/>
      <w:iCs/>
      <w:sz w:val="20"/>
    </w:rPr>
  </w:style>
  <w:style w:type="paragraph" w:customStyle="1" w:styleId="doc-ti2">
    <w:name w:val="doc-ti2"/>
    <w:basedOn w:val="Normal"/>
    <w:pPr>
      <w:spacing w:before="240" w:after="120" w:line="312" w:lineRule="atLeast"/>
      <w:jc w:val="center"/>
    </w:pPr>
    <w:rPr>
      <w:b/>
      <w:bCs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Revision">
    <w:name w:val="Revision"/>
    <w:hidden/>
    <w:uiPriority w:val="99"/>
    <w:semiHidden/>
    <w:rPr>
      <w:sz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/>
    </w:pPr>
    <w:rPr>
      <w:rFonts w:eastAsiaTheme="minorHAnsi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</w:pPr>
  </w:style>
  <w:style w:type="character" w:customStyle="1" w:styleId="HeaderCoverPageChar">
    <w:name w:val="Header Cover Page Char"/>
    <w:basedOn w:val="DefaultParagraphFont"/>
    <w:link w:val="HeaderCoverPage"/>
    <w:rPr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42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193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1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4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69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://appsso.eurostat.ec.europa.eu/nui/show.do?query=BOOKMARK_DS-054722_QID_2FF0DF29_UID_-3F171EB0&amp;layout=TIME,C,X,0;GEO,L,Y,0;INDIC_DE,L,Z,0;INDICATORS,C,Z,1;&amp;zSelection=DS-054722INDICATORS,OBS_FLAG;DS-054722INDIC_DE,JAN;&amp;rankName1=TIME_1_0_0" TargetMode="External"/><Relationship Id="rId13" Type="http://schemas.openxmlformats.org/officeDocument/2006/relationships/hyperlink" Target="http://ec.europa.eu/eurostat/statistics-explained/index.php/Eurostat_regional_yearbook" TargetMode="External"/><Relationship Id="rId3" Type="http://schemas.openxmlformats.org/officeDocument/2006/relationships/hyperlink" Target="http://ec.europa.eu/eurostat/documents/3217494/6917833/KE-BM-15-003-EN-N.pdf/" TargetMode="External"/><Relationship Id="rId7" Type="http://schemas.openxmlformats.org/officeDocument/2006/relationships/hyperlink" Target="http://ec.europa.eu/eurostat/tgm/table.do?tab=table&amp;init=1&amp;language=en&amp;pcode=tps00001&amp;plugin=1" TargetMode="External"/><Relationship Id="rId12" Type="http://schemas.openxmlformats.org/officeDocument/2006/relationships/hyperlink" Target="http://ec.europa.eu/eurostat/web/population-demography-migration-projections/population-data" TargetMode="External"/><Relationship Id="rId17" Type="http://schemas.openxmlformats.org/officeDocument/2006/relationships/hyperlink" Target="http://www.unece.org/fileadmin/DAM/stats/publications/2015/ECECES41_EN.pdf" TargetMode="External"/><Relationship Id="rId2" Type="http://schemas.openxmlformats.org/officeDocument/2006/relationships/hyperlink" Target="http://ec.europa.eu/regional_policy/mt/information/cohesion-report/" TargetMode="External"/><Relationship Id="rId16" Type="http://schemas.openxmlformats.org/officeDocument/2006/relationships/hyperlink" Target="http://ec.europa.eu/eurostat/documents/64157/4392716/ESS-QAF-V1-2final.pdf/bbf5970c-1adf-46c8-afc3-58ce177a0646" TargetMode="External"/><Relationship Id="rId1" Type="http://schemas.openxmlformats.org/officeDocument/2006/relationships/hyperlink" Target="http://ec.europa.eu/eurostat/web/products-manuals-and-guidelines/-/KS-32-11-955" TargetMode="External"/><Relationship Id="rId6" Type="http://schemas.openxmlformats.org/officeDocument/2006/relationships/hyperlink" Target="http://ec.europa.eu/eurostat/web/population-demography-migration-projections" TargetMode="External"/><Relationship Id="rId11" Type="http://schemas.openxmlformats.org/officeDocument/2006/relationships/hyperlink" Target="http://ec.europa.eu/eurostat/web/population-demography-migration-projections" TargetMode="External"/><Relationship Id="rId5" Type="http://schemas.openxmlformats.org/officeDocument/2006/relationships/hyperlink" Target="https://ec.europa.eu/info/publications/economy-finance/2018-ageing-report-underlying-assumptions-and-projection-methodologies_en" TargetMode="External"/><Relationship Id="rId15" Type="http://schemas.openxmlformats.org/officeDocument/2006/relationships/hyperlink" Target="http://ec.europa.eu/eurostat/statistics-explained/index.php/Population" TargetMode="External"/><Relationship Id="rId10" Type="http://schemas.openxmlformats.org/officeDocument/2006/relationships/hyperlink" Target="http://ec.europa.eu/eurostat/data/database" TargetMode="External"/><Relationship Id="rId4" Type="http://schemas.openxmlformats.org/officeDocument/2006/relationships/hyperlink" Target="http://ec.europa.eu/eurostat/web/population-demography-migration-projections/population-projections-data" TargetMode="External"/><Relationship Id="rId9" Type="http://schemas.openxmlformats.org/officeDocument/2006/relationships/hyperlink" Target="http://ec.europa.eu/eurostat" TargetMode="External"/><Relationship Id="rId14" Type="http://schemas.openxmlformats.org/officeDocument/2006/relationships/hyperlink" Target="https://ec.europa.eu/eurostat/documents/2995521/9063738/3-10072018-BP-EN.pdf/ccdfc838-d909-4fd8-b3f9-db0d65ea457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1B1F-0DF2-487A-B887-4E8D3352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3619</Words>
  <Characters>27114</Characters>
  <Application>Microsoft Office Word</Application>
  <DocSecurity>0</DocSecurity>
  <PresentationFormat>Microsoft Word 14.0</PresentationFormat>
  <Lines>392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16</cp:revision>
  <cp:lastPrinted>2018-11-06T09:05:00Z</cp:lastPrinted>
  <dcterms:created xsi:type="dcterms:W3CDTF">2018-11-16T08:02:00Z</dcterms:created>
  <dcterms:modified xsi:type="dcterms:W3CDTF">2018-12-11T08:36:00Z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using">
    <vt:lpwstr>LW 6.0.1, Build 20180503</vt:lpwstr>
  </property>
  <property fmtid="{D5CDD505-2E9C-101B-9397-08002B2CF9AE}" pid="3" name="Last edited using">
    <vt:lpwstr>LW 6.0.1, Build 20180503</vt:lpwstr>
  </property>
  <property fmtid="{D5CDD505-2E9C-101B-9397-08002B2CF9AE}" pid="4" name="Level of sensitivity">
    <vt:lpwstr>Standard treatment</vt:lpwstr>
  </property>
  <property fmtid="{D5CDD505-2E9C-101B-9397-08002B2CF9AE}" pid="5" name="Part">
    <vt:lpwstr>1</vt:lpwstr>
  </property>
  <property fmtid="{D5CDD505-2E9C-101B-9397-08002B2CF9AE}" pid="6" name="Total parts">
    <vt:lpwstr>1</vt:lpwstr>
  </property>
  <property fmtid="{D5CDD505-2E9C-101B-9397-08002B2CF9AE}" pid="7" name="DocStatus">
    <vt:lpwstr>Green</vt:lpwstr>
  </property>
  <property name="OP_sanitized" fmtid="{D5CDD505-2E9C-101B-9397-08002B2CF9AE}" pid="8">
    <vt:lpwstr>True</vt:lpwstr>
  </property>
</Properties>
</file>