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66CD8296-8210-4A5D-A45D-54209DF4D696" style="width:449.85pt;height:361.75pt">
            <v:imagedata r:id="rId7" o:title=""/>
          </v:shape>
        </w:pict>
      </w:r>
    </w:p>
    <w:bookmarkEnd w:id="0"/>
    <w:p>
      <w:pPr>
        <w:rPr>
          <w:noProof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jc w:val="center"/>
        <w:rPr>
          <w:rFonts w:ascii="Times New Roman Bold" w:hAnsi="Times New Roman Bold" w:cs="Times New Roman"/>
          <w:b/>
          <w:smallCaps/>
          <w:noProof/>
          <w:sz w:val="24"/>
        </w:rPr>
      </w:pPr>
      <w:bookmarkStart w:id="1" w:name="_GoBack"/>
      <w:bookmarkEnd w:id="1"/>
      <w:r>
        <w:rPr>
          <w:rFonts w:ascii="Times New Roman Bold" w:hAnsi="Times New Roman Bold"/>
          <w:b/>
          <w:smallCaps/>
          <w:noProof/>
          <w:sz w:val="24"/>
        </w:rPr>
        <w:lastRenderedPageBreak/>
        <w:t>Rapport tal-Kummissjoni lill-Parlament Ewropew u lill-Kunsill</w:t>
      </w:r>
    </w:p>
    <w:p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dwar l-eżerċizzju tad-delega mogħtija lill-Kummissjoni skont ir-Regolament (UE) Nru 649/2012 tal-Parlament Ewropew u tal-Kunsill tal-4 ta’ Lulju 2012 dwar l-esportazzjoni u l-importazzjoni ta’ sustanzi kimiċi perikolużi</w:t>
      </w:r>
    </w:p>
    <w:p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>
      <w:pPr>
        <w:keepNext/>
        <w:tabs>
          <w:tab w:val="num" w:pos="480"/>
        </w:tabs>
        <w:spacing w:before="300" w:after="180" w:line="240" w:lineRule="auto"/>
        <w:ind w:left="480" w:hanging="480"/>
        <w:jc w:val="both"/>
        <w:outlineLvl w:val="0"/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</w:pPr>
      <w:r>
        <w:rPr>
          <w:rFonts w:ascii="Times New Roman" w:hAnsi="Times New Roman"/>
          <w:b/>
          <w:smallCaps/>
          <w:noProof/>
          <w:sz w:val="24"/>
        </w:rPr>
        <w:t>1. Introduzzjoni u Bażi Ġuridika</w:t>
      </w:r>
    </w:p>
    <w:p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Ir-Regolament (UE) Nru 649/2012</w:t>
      </w:r>
      <w:r>
        <w:rPr>
          <w:rFonts w:ascii="Times New Roman" w:hAnsi="Times New Roman"/>
          <w:noProof/>
          <w:sz w:val="24"/>
          <w:vertAlign w:val="superscript"/>
        </w:rPr>
        <w:footnoteReference w:id="1"/>
      </w:r>
      <w:r>
        <w:rPr>
          <w:rFonts w:ascii="Times New Roman" w:hAnsi="Times New Roman"/>
          <w:noProof/>
          <w:sz w:val="24"/>
        </w:rPr>
        <w:t xml:space="preserve"> (minn issa ’l quddiem, “ir-Regolament PIC”) jimplimenta l-Konvenzjoni ta’ Rotterdam dwar il-Proċedura ta’ Kunsens Infurmat Minn Qabel għal ċerti kimiċi u pestiċidi perikolużi fil-kummerċ internazzjonali (“il-Konvenzjoni ta’ Rotterdam”), iffirmata fil-11 ta’ Settembru 1998 u approvata, f’isem il-Komunità Ewropea, permezz tad-Deċiżjoni tal-Kunsill 2003/106/KE</w:t>
      </w:r>
      <w:r>
        <w:rPr>
          <w:rFonts w:ascii="Times New Roman" w:hAnsi="Times New Roman"/>
          <w:noProof/>
          <w:sz w:val="24"/>
          <w:vertAlign w:val="superscript"/>
        </w:rPr>
        <w:footnoteReference w:id="2"/>
      </w:r>
      <w:r>
        <w:rPr>
          <w:rFonts w:ascii="Times New Roman" w:hAnsi="Times New Roman"/>
          <w:noProof/>
          <w:sz w:val="24"/>
        </w:rPr>
        <w:t xml:space="preserve">. Ir-rekwiżiti u l-proċeduri għall-esportazzjoni u l-importazzjoni ta’ ċerti kimiċi perikolużi, b’mod partikolari dawk li huma soġġetti għall-proċedura ta’ kunsens infurmat minn qabel skont il-Konvenzjoni ta’ Rotterdam, huma stabbiliti fir-Regolament PIC. </w:t>
      </w:r>
    </w:p>
    <w:p>
      <w:pPr>
        <w:pStyle w:val="CM4"/>
        <w:spacing w:after="120"/>
        <w:jc w:val="both"/>
        <w:rPr>
          <w:rFonts w:eastAsia="Times New Roman"/>
          <w:noProof/>
          <w:szCs w:val="20"/>
        </w:rPr>
      </w:pPr>
      <w:r>
        <w:rPr>
          <w:noProof/>
        </w:rPr>
        <w:t>L-Artikolu 23(4) tar-Regolament PIC jagħti s-setgħa lill-Kummissjoni li tadotta atti delegati soġġett għall-kundizzjonijiet stabbiliti fl-Artikolu 26 sabiex: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- tinkludi sustanza kimika fil-Partijiet 1 jew 2 tal-Anness I skont il-paragrafu 2 tal-Artikolu 23 wara azzjoni regolatorja finali fil-livell tal-Unjoni, u emendi oħrajn tal-Anness I, inkluż modifiki għall-entrati eżistenti [l-Artikolu 23(4)(a)],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- tinkludi sustanza kimika li hija soġġetta għar-Regolament (KE) Nru 850/2004 tal-Parlament Ewropew u tal-Kunsill tad-29 ta’ April 2004 dwar pollutanti organiċi persistenti</w:t>
      </w:r>
      <w:r>
        <w:rPr>
          <w:noProof/>
          <w:vertAlign w:val="superscript"/>
        </w:rPr>
        <w:footnoteReference w:id="3"/>
      </w:r>
      <w:r>
        <w:rPr>
          <w:rFonts w:ascii="Times New Roman" w:hAnsi="Times New Roman"/>
          <w:noProof/>
          <w:sz w:val="24"/>
        </w:rPr>
        <w:t xml:space="preserve"> fil-Parti 1 tal-Anness V [l-Artikolu 23(4)(b)],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- tinkludi sustanza kimika li diġà hija soġġetta għal projbizzjoni ta’ esportazzjoni fil-livell tal-Unjoni fil-Parti 2 tal-Anness V [l-Artikolu 23(4)(c)],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- timmodifika l-entrati eżistenti fl-Anness V [l-Artikolu 23(4)(d)],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- temenda l-Annessi II, III, IV u VI [l-Artikolu 23(4)(e)]. 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Dan ir-rapport qed isir b’konformità mal-obbligu tal-Kummissjoni li hemm stabbilit fl-Artikolu 26(2) tar-Regolament PIC. L-Artikolu 26(2) jirrikjedi li l-Kummissjoni tippreżenta lill-Parlament Ewropew u lill-Kunsill rapport dwar l-eżerċizzju tad-delega mogħtija lill-Kummissjoni permezz tar-Regolament PIC. Ir-rapport għandu jitfassal sa mhux aktar tard minn disa' xhur qabel ma jintemm il-perjodu ta' ħames snin tad-delega, li ilu għaddej mill-1 ta' Marzu 2014.</w:t>
      </w:r>
      <w:r>
        <w:rPr>
          <w:rFonts w:ascii="Times New Roman" w:hAnsi="Times New Roman"/>
          <w:noProof/>
          <w:color w:val="000000"/>
          <w:sz w:val="24"/>
        </w:rPr>
        <w:t xml:space="preserve"> Id-delega tas-setgħa għandha tiġi estiża b'mod taċitu għal perjodi ta' żmien identiċi, sakemm il-Parlament Ewropew jew il-Kunsill ma jopponux għal din l-estensjoni sa mhux aktar tard minn tliet xhur qabel it-tmiem ta' kull perjodu.</w:t>
      </w:r>
    </w:p>
    <w:p>
      <w:pPr>
        <w:keepNext/>
        <w:tabs>
          <w:tab w:val="num" w:pos="480"/>
        </w:tabs>
        <w:spacing w:before="300" w:after="180" w:line="240" w:lineRule="auto"/>
        <w:ind w:left="480" w:hanging="480"/>
        <w:jc w:val="both"/>
        <w:outlineLvl w:val="0"/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</w:pPr>
      <w:r>
        <w:rPr>
          <w:rFonts w:ascii="Times New Roman" w:hAnsi="Times New Roman"/>
          <w:b/>
          <w:smallCaps/>
          <w:noProof/>
          <w:sz w:val="24"/>
        </w:rPr>
        <w:t>2. Eżerċitar tad-delega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Matul il-perjodu kkonċernat minn dan ir-rapport, il-Kummissjoni adottat tliet atti delegati sabiex temenda ċerti elementi mhux essenzjali tar-Regolament PIC. Dawk l-atti delegati ġew adottati abbażi tal-Artikolu 23(4)(a) tar-Regolament PIC li jispeċifika: </w:t>
      </w:r>
      <w:r>
        <w:rPr>
          <w:rFonts w:ascii="Times New Roman" w:hAnsi="Times New Roman"/>
          <w:i/>
          <w:noProof/>
          <w:sz w:val="24"/>
        </w:rPr>
        <w:t>“Sabiex dan ir-Regolament jiġi adattat għall-progress tekniku, il-Kummissjoni għandha tingħata s-setgħa li tadotta atti delegati skont l-Artikolu 26 rigward l-inklużjoni ta’ sustanza kimika fil-Partijiet 1 jew 2 tal-Anness I skont il-paragrafu 2 tal-Artikolu 23 wara l-azzjoni regolatorja finali fil-livell tal-Unjoni, u l-emendi oħrajn tal-Anness I, inkluż modifiki għall-entrati eżistenti”</w:t>
      </w:r>
      <w:r>
        <w:rPr>
          <w:rFonts w:ascii="Times New Roman" w:hAnsi="Times New Roman"/>
          <w:noProof/>
          <w:sz w:val="24"/>
        </w:rPr>
        <w:t xml:space="preserve"> u abbażi tal-Artikolu 23(4)(b), li jispeċifika: </w:t>
      </w:r>
      <w:r>
        <w:rPr>
          <w:rFonts w:ascii="Times New Roman" w:hAnsi="Times New Roman"/>
          <w:i/>
          <w:noProof/>
          <w:sz w:val="24"/>
        </w:rPr>
        <w:t>“Sabiex dan ir-Regolament jiġi adattat għall-progress tekniku, il-Kummissjoni għandha tingħata s-setgħa li tadotta atti ddelegati skont l-Artikolu 26 rigward l-inklużjoni ta’ sustanza kimika li hija soġġetta għar-Regolament (KE) Nru 850/2004 tal-Parlament Ewropew u tal-Kunsill tad-29 ta’ April 2004 dwar pollutanti organiċi persistenti fil-Parti 1 tal-Anness V”</w:t>
      </w:r>
      <w:r>
        <w:rPr>
          <w:rFonts w:ascii="Times New Roman" w:hAnsi="Times New Roman"/>
          <w:noProof/>
          <w:sz w:val="24"/>
        </w:rPr>
        <w:t>.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L-atti li ġejjin ġew adottati:</w:t>
      </w:r>
    </w:p>
    <w:p>
      <w:pPr>
        <w:keepNext/>
        <w:numPr>
          <w:ilvl w:val="1"/>
          <w:numId w:val="0"/>
        </w:numPr>
        <w:tabs>
          <w:tab w:val="num" w:pos="1200"/>
        </w:tabs>
        <w:spacing w:before="300" w:after="180" w:line="240" w:lineRule="auto"/>
        <w:ind w:left="1200" w:hanging="720"/>
        <w:jc w:val="both"/>
        <w:outlineLvl w:val="1"/>
        <w:rPr>
          <w:rFonts w:ascii="Times New Roman" w:eastAsia="Times New Roman" w:hAnsi="Times New Roman" w:cs="Times New Roman"/>
          <w:b/>
          <w:noProof/>
          <w:sz w:val="24"/>
          <w:szCs w:val="20"/>
        </w:rPr>
      </w:pPr>
      <w:r>
        <w:rPr>
          <w:rFonts w:ascii="Times New Roman" w:hAnsi="Times New Roman"/>
          <w:b/>
          <w:noProof/>
          <w:sz w:val="24"/>
        </w:rPr>
        <w:t>2.1. Ir-Regolament ta’ Delega tal-Kummissjoni (UE) Nru 1078/2014</w:t>
      </w:r>
      <w:r>
        <w:rPr>
          <w:rStyle w:val="FootnoteReference"/>
          <w:rFonts w:ascii="Times New Roman" w:hAnsi="Times New Roman"/>
          <w:b/>
          <w:noProof/>
          <w:sz w:val="24"/>
        </w:rPr>
        <w:footnoteReference w:id="4"/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 xml:space="preserve">Dan l-att legali ġie adottat abbażi tal-Artikolu 23(4)(a) tar-Regolament PIC. L-approċċ segwit fl-att delegat biex jiġi ddeterminat liema sustanzi kimiċi jenħtieġ li jiġu elenkati fl-Anness I u f’liema parti tiegħu, kien soġġett għal diskussjonijiet u konsultazzjonijiet fi ħdan grupp ta’ esperti li kien jikkonsisti minn rappreżentanti tal-awtoritajiet nazzjonali nnominati tal-Istati Membri għar-Regolament PIC, tal-Aġenzija Ewropea għas-Sustanzi Kimiċi, tal-industrija u tas-soċjetà ċivili (minn hawn’ il quddiem, “Grupp ta’ Esperti PIC DNA”) fil-laqgħat tal-11 ta’ Ottubru 2013 u tas-7 ta’ April 2014. Il-grupp ta’ Esperti PIC DNA ġie kkonsultat dwar l-abbozz tar-Regolament Delegat tal-Kummissjoni, li kien disponibbli qabel ma saru l-laqgħat. Il-Kummissjoni adottat l-att delegat fis-7 ta’ Awwissu 2014 u nnotifikat lill-Parlament Ewropew u lill-Kunsill dwaru. Ebda waħda miż-żewġ istituzzjonijiet ma oġġezzjonat għall-att delegat fi ħdan il-perjodu ta' xahrejn previst fl-Artikolu 26(5) tar-Regolament PIC. Ir-Regolament Delegat tal-Kummissjoni (UE) Nru 178/2014 ġie adottat fil-15 ta’ Ottubru 2014 u ġie ppubblikat fl-1 ta’ Diċembru 2014. </w:t>
      </w:r>
    </w:p>
    <w:p>
      <w:pPr>
        <w:keepNext/>
        <w:numPr>
          <w:ilvl w:val="1"/>
          <w:numId w:val="0"/>
        </w:numPr>
        <w:tabs>
          <w:tab w:val="num" w:pos="1200"/>
        </w:tabs>
        <w:spacing w:before="300" w:after="180" w:line="240" w:lineRule="auto"/>
        <w:ind w:left="1200" w:hanging="720"/>
        <w:jc w:val="both"/>
        <w:outlineLvl w:val="1"/>
        <w:rPr>
          <w:rFonts w:ascii="Times New Roman" w:eastAsia="Times New Roman" w:hAnsi="Times New Roman" w:cs="Times New Roman"/>
          <w:b/>
          <w:noProof/>
          <w:sz w:val="24"/>
          <w:szCs w:val="20"/>
        </w:rPr>
      </w:pPr>
      <w:r>
        <w:rPr>
          <w:rFonts w:ascii="Times New Roman" w:hAnsi="Times New Roman"/>
          <w:b/>
          <w:noProof/>
          <w:sz w:val="24"/>
        </w:rPr>
        <w:t>2.2. Regolament ta’ Delega tal-Kummissjoni (UE) 2015/2229</w:t>
      </w:r>
      <w:r>
        <w:rPr>
          <w:rStyle w:val="FootnoteReference"/>
          <w:rFonts w:ascii="Times New Roman" w:hAnsi="Times New Roman"/>
          <w:b/>
          <w:noProof/>
          <w:sz w:val="24"/>
        </w:rPr>
        <w:footnoteReference w:id="5"/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 xml:space="preserve">Dan l-att legali ġie adottat abbażi tal-Artikolu 23(4)(a) tar-Regolament PIC. L-approċċ segwit f’att delegat biex jiġi ddeterminat liema sustanzi kimiċi jenħtieġ li jiġu elenkati fl-Anness I u f’liema parti tiegħu, kien soġġett għal diskussjonijiet u konsultazzjonijiet fi ħdan il-Grupp ta’ Esperti PIC DNA fil-laqgħat tal-1 ta’ Ottubru 2014 u tal-21 ta’ April 2015. Il-grupp ta’ Esperti PIC DNA ġie kkonsultat dwar l-abbozz tar-Regolament Delegat tal-Kummissjoni, li kien disponibbli qabel ma saru l-laqgħat. Il-Kummissjoni adottat l-att delegat fid-29 ta’ Settembru 2015 u nnotifikatu lill-Parlament Ewropew u lill-Kunsill. Ebda waħda miż-żewġ istituzzjonijiet ma oġġezzjonat għall-att delegat fi ħdan il-perjodu ta' xahrejn previst fl-Artikolu 26(5) tar-Regolament PIC. Ir-Regolament ta' Delega tal-Kummissjoni (UE) Nru 2015/2229 ġie ppublikat fit-3 ta’ Diċembru 2015 u japplika mill-1 ta’ Frar 2016.  </w:t>
      </w:r>
    </w:p>
    <w:p>
      <w:pPr>
        <w:keepNext/>
        <w:numPr>
          <w:ilvl w:val="1"/>
          <w:numId w:val="0"/>
        </w:numPr>
        <w:tabs>
          <w:tab w:val="num" w:pos="1200"/>
        </w:tabs>
        <w:spacing w:before="300" w:after="180" w:line="240" w:lineRule="auto"/>
        <w:ind w:left="1200" w:hanging="720"/>
        <w:jc w:val="both"/>
        <w:outlineLvl w:val="1"/>
        <w:rPr>
          <w:rFonts w:ascii="Times New Roman" w:eastAsia="Times New Roman" w:hAnsi="Times New Roman" w:cs="Times New Roman"/>
          <w:b/>
          <w:noProof/>
          <w:sz w:val="24"/>
          <w:szCs w:val="20"/>
        </w:rPr>
      </w:pPr>
      <w:r>
        <w:rPr>
          <w:rFonts w:ascii="Times New Roman" w:hAnsi="Times New Roman"/>
          <w:b/>
          <w:noProof/>
          <w:sz w:val="24"/>
        </w:rPr>
        <w:t>2.3. Ir-Regolament Delegat tal-Kummissjoni (UE) Nru 2018/172</w:t>
      </w:r>
      <w:r>
        <w:rPr>
          <w:rStyle w:val="FootnoteReference"/>
          <w:rFonts w:ascii="Times New Roman" w:hAnsi="Times New Roman"/>
          <w:b/>
          <w:noProof/>
          <w:sz w:val="24"/>
        </w:rPr>
        <w:footnoteReference w:id="6"/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Dan l-att legali ġie adottat abbażi tal-Artikolu 23(4)(a) tar-Regolament PIC u abbażi tal-Artikolu 23(4)(b). L-approċċ segwit fl-att delegat biex jiġi ddeterminat liema sustanzi kimiċi jenħtieġ li jiġu elenkati fl-Anness I u f’liema parti tiegħu, kien soġġett għal diskussjonijiet u konsultazzjonijiet fi ħdan il-Grupp ta’ Esperti PIC DNA fil-laqgħa tas-26 ta’ April 2016. F’dik il-laqgħa tal-grupp ta’ esperti ġie diskuss ukoll l-elenkar ta’ ċerti sustanzi kimiċi fil-Parti tal-Anness V. Il-grupp ta’ Esperti PIC DNA ġie kkonsultat dwar l-abbozz tar-Regolament Delegat tal-Kummissjoni, li kien disponibbli qabel ma saru l-laqgħat. Barra minn hekk, il-Grupp ta’ Esperti PIC DNA ġie kkonsultat bil-miktub wara dik il-laqgħa. Il-Kummissjoni adottat l-att delegat fit-28 ta’ Novembru 2017 u nnotifikat lill-Parlament Ewropew u lill-Kunsill dwaru. Ebda waħda miż-żewġ istituzzjonijiet ma oġġezzjonat għall-att delegat fi ħdan il-perjodu ta' xahrejn previst fl-Artikolu 26(5) tar-Regolament PIC. Ir-Regolament Delegat tal-Kummissjoni (UE) Nru 2018/172 ġie ppublikat fis-6 ta’ Frar 2018 u beda japplika mill-1 ta’ April 2018 .</w:t>
      </w:r>
    </w:p>
    <w:p>
      <w:pPr>
        <w:keepNext/>
        <w:numPr>
          <w:ilvl w:val="1"/>
          <w:numId w:val="0"/>
        </w:numPr>
        <w:tabs>
          <w:tab w:val="num" w:pos="1200"/>
        </w:tabs>
        <w:spacing w:before="300" w:after="180" w:line="240" w:lineRule="auto"/>
        <w:ind w:left="1200" w:hanging="720"/>
        <w:jc w:val="both"/>
        <w:outlineLvl w:val="1"/>
        <w:rPr>
          <w:rFonts w:ascii="Times New Roman" w:eastAsia="Times New Roman" w:hAnsi="Times New Roman" w:cs="Times New Roman"/>
          <w:b/>
          <w:noProof/>
          <w:sz w:val="24"/>
          <w:szCs w:val="20"/>
        </w:rPr>
      </w:pPr>
      <w:r>
        <w:rPr>
          <w:rFonts w:ascii="Times New Roman" w:hAnsi="Times New Roman"/>
          <w:b/>
          <w:noProof/>
          <w:sz w:val="24"/>
        </w:rPr>
        <w:t>2.4 Setgħat delegati mhux użati matul il-perjodu ta’ rappurtar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 xml:space="preserve">Is-setgħat delegati tar-Regolament PIC għall-adozzjoni ta’ atti delegati skont l-Artikoli 23(4)(c), 23(4)(d) u 23(4)(e) ma ġewx eżerċitati matul il-perjodu ta’ rappurtar peress li ma kienx hemm bidliet fil-liġi tal-Unjoni jew skont il-Konvenzjoni li jeħtieġu dan. Billi dawn il-bidliet jistgħu jseħħu fi kwalunkwe ħin, huwa importanti li l-Kummissjoni jkollha s-setgħa li tadotta atti delegati li jadattaw ir-Regolament PIC għall-progress tekniku f’konformità ma’ dawk il-bidliet. F’dan il-kuntest għandu jiġi nnotat li att delegat ieħor qed jiġi ppreparat bħalissa u li qed juża wkoll l-Artikoli 23(4)(c) u 23(4)(d) bħala bażi ġuridika. </w:t>
      </w:r>
    </w:p>
    <w:p>
      <w:pPr>
        <w:keepNext/>
        <w:tabs>
          <w:tab w:val="num" w:pos="480"/>
        </w:tabs>
        <w:spacing w:before="300" w:after="180" w:line="240" w:lineRule="auto"/>
        <w:ind w:left="480" w:hanging="480"/>
        <w:jc w:val="both"/>
        <w:outlineLvl w:val="0"/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</w:pPr>
      <w:r>
        <w:rPr>
          <w:rFonts w:ascii="Times New Roman" w:hAnsi="Times New Roman"/>
          <w:b/>
          <w:smallCaps/>
          <w:noProof/>
          <w:sz w:val="24"/>
        </w:rPr>
        <w:t>3. Konklużjoni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>Sal-lum il-Kummissjoni eżerċitat is-setgħat delegati previsti fir-Regolament PIC fi tliet okkażjonijiet u skont iż-żewġ bażijiet ġuridiċi msemmija hawn fuq. Il-Kummissjoni hija tal-fehma li s-setgħat delegati mogħtija permezz tal-Artikolu 23(4) għandhom jiġu estiżi awtomatikament, inkluż dawk li jkunu għadhom ma ġewx eżerċitati minħabba li l-bżonn li jiġi adattat ir-Regolament PIC għall-progress tekniku skont l-Artikoli 23(4)(c), 23(4)(d) u 23(4)(e) jista’ jinqala’ fi kwalunkwe ħin. L-implimentazzjoni tar-Regolament PIC qed tavanza u qed iseħħ kemm progress tekniku u kif ukoll xjentifiku. L-iżviluppi fil-liġi tal-Unjoni u dawk skont il-Konvenzjoni hemm bżonn li jiġu riflessi u jeħtieġu adattamenti fl-Annessi tar-Regolament PIC. Għalhekk se jkun hemm bżonn li l-Kummissjoni tadotta atti delegati oħrajn fil-futur sabiex iżżomm il-qafas legali aġġornat.</w:t>
      </w:r>
    </w:p>
    <w:p>
      <w:pPr>
        <w:spacing w:after="24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</w:rPr>
      </w:pPr>
      <w:r>
        <w:rPr>
          <w:rFonts w:ascii="Times New Roman" w:hAnsi="Times New Roman"/>
          <w:noProof/>
          <w:sz w:val="24"/>
        </w:rPr>
        <w:t xml:space="preserve">Il-Kummissjoni tikkonforma mar-rekwiżit tar-rappurtar skont l-Artikolu 26(2) tar-Regolament PIC u tistieden lill-Parlament Ewropew u lill-Kunsill jieħdu nota ta’ dan ir-rapport. </w:t>
      </w:r>
    </w:p>
    <w:p>
      <w:pPr>
        <w:rPr>
          <w:noProof/>
        </w:rPr>
      </w:pPr>
    </w:p>
    <w:sectPr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846647" w15:done="0"/>
  <w15:commentEx w15:paraId="1A0E957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4949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(KE) Nru 649/2012 tal-Parlament Ewropew u tal-Kunsill tal-4 ta' Lulju 2012 dwar l-esportazzjoni u l-importazzjoni ta' sustanzi kimiċi perikolużi (ĠU L 201, 27.7.2012, p. 60).</w:t>
      </w:r>
    </w:p>
  </w:footnote>
  <w:footnote w:id="2">
    <w:p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Id-Deċiżjoni tal-Kunsill 2003/106/KE tad-19 ta' Diċembru 2002 li tikkonċerna l-approvazzjoni, f'isem il-Komunità Ewropea tal-Konvenzjoni ta' Rotterdam dwar il-Proċedura għall-Kunsens Infurmat bil-Quddiem għal ċerti kemikali u pestiċidi perikolużi fil-kummerċ internazzjonali (ĠU L 63, 6.3.2003, p. 27).</w:t>
      </w:r>
    </w:p>
  </w:footnote>
  <w:footnote w:id="3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(KE) Nru 850/2004 tal-Parlament Ewropew u tal-Kunsill tad-29 ta’ April 2004 dwar pollutanti organiċi persistenti u li jemenda d-Direttiva 79/117/KEE (ĠU L 158, 30.4.2004, p. 7).</w:t>
      </w:r>
    </w:p>
  </w:footnote>
  <w:footnote w:id="4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ta' Delega tal-Kummissjoni (UE) Nru 1078/2014 tas-7 ta' Awwissu 2014 li jemenda l-Anness I tar-Regolament (UE) Nru 649/2012 tal-Parlament Ewropew u tal-Kunsill dwar l-esportazzjoni u l-importazzjoni ta' sustanzi kimiċi perikolużi (ĠU L 297, 15.10.2014, p. 1).</w:t>
      </w:r>
    </w:p>
  </w:footnote>
  <w:footnote w:id="5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ta' Delega tal-Kummissjoni (UE) Nru 2015/2229 tad-29 ta' Settembru 2015 li jemenda l-Annessi I tar-Regolament (UE) Nru 649/2012 tal-Parlament Ewropew u tal-Kunsill dwar l-esportazzjoni u l-importazzjoni ta’ sustanzi kimiċi perikolużi (ĠU L 317, 3.12.2015, p. 13).</w:t>
      </w:r>
    </w:p>
  </w:footnote>
  <w:footnote w:id="6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Delegat tal-Kummissjoni (UE) 2018/172 tat-28 ta' Novembru 2017 li jemenda l-Annessi I u V tar-Regolament (UE) Nru 649/2012 tal-Parlament Ewropew u tal-Kunsill dwar l-esportazzjoni u l-importazzjoni ta' sustanzi kimiċi perikolużi (ĠU L 32, 6.2.2018, p. 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INDENTHAL Robert (SJ)">
    <w15:presenceInfo w15:providerId="None" w15:userId="LINDENTHAL Robert (SJ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hideSpellingErrors/>
  <w:hideGrammaticalErrors/>
  <w:revisionView w:markup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66CD8296-8210-4A5D-A45D-54209DF4D696"/>
    <w:docVar w:name="LW_COVERPAGE_TYPE" w:val="1"/>
    <w:docVar w:name="LW_CROSSREFERENCE" w:val="&lt;UNUSED&gt;"/>
    <w:docVar w:name="LW_DocType" w:val="NORMAL"/>
    <w:docVar w:name="LW_EMISSION" w:val="17.8.2018"/>
    <w:docVar w:name="LW_EMISSION_ISODATE" w:val="2018-08-17"/>
    <w:docVar w:name="LW_EMISSION_LOCATION" w:val="BRX"/>
    <w:docVar w:name="LW_EMISSION_PREFIX" w:val="Brussell, "/>
    <w:docVar w:name="LW_EMISSION_SUFFIX" w:val="&lt;EMPTY&gt;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8) 59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ITRE.OBJ.CP" w:val="&lt;FMT:Bold&gt;dwar l-e\u380?er\u267?izzju tad-delega mog\u295?tija lill-Kummissjoni skont ir-Regolament (UE) Nru 649/2012 tal-Parlament Ewropew u tal-Kunsill tal-4 ta\u8217? Lulju 2012 dwar l-esportazzjoni u l-importazzjoni ta\u8217? sustanzi kimi\u267?i perikolu\u380?i_x000b_&lt;/FMT&gt;_x000b_"/>
    <w:docVar w:name="LW_TYPE.DOC.CP" w:val="RAPPORT TAL-KUMMISSJONI LILL-PARLAMENT EWROPEW U LIL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customStyle="1" w:styleId="CM4">
    <w:name w:val="CM4"/>
    <w:basedOn w:val="Normal"/>
    <w:next w:val="Norma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">
    <w:name w:val="Do"/>
    <w:basedOn w:val="Normal"/>
    <w:pPr>
      <w:keepNext/>
      <w:spacing w:after="48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0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customStyle="1" w:styleId="CM4">
    <w:name w:val="CM4"/>
    <w:basedOn w:val="Normal"/>
    <w:next w:val="Norma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">
    <w:name w:val="Do"/>
    <w:basedOn w:val="Normal"/>
    <w:pPr>
      <w:keepNext/>
      <w:spacing w:after="48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0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microsoft.com/office/2011/relationships/commentsExtended" Target="commentsExtended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1145</Words>
  <Characters>7667</Characters>
  <Application>Microsoft Office Word</Application>
  <DocSecurity>0</DocSecurity>
  <Lines>111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24</cp:revision>
  <dcterms:created xsi:type="dcterms:W3CDTF">2018-05-22T14:26:00Z</dcterms:created>
  <dcterms:modified xsi:type="dcterms:W3CDTF">2018-08-07T11:42:00Z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name="OP_sanitized" fmtid="{D5CDD505-2E9C-101B-9397-08002B2CF9AE}" pid="6">
    <vt:lpwstr>True</vt:lpwstr>
  </property>
</Properties>
</file>