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alt="D5872AFF-EEEC-4D8C-90EF-C9A43E4A3CB4" style="width:450.55pt;height:334.35pt">
            <v:imagedata r:id="rId13" o:title=""/>
          </v:shape>
        </w:pict>
      </w:r>
    </w:p>
    <w:bookmarkEnd w:id="0"/>
    <w:p>
      <w:pPr>
        <w:rPr>
          <w:rFonts w:ascii="Times New Roman" w:hAnsi="Times New Roman" w:cs="Times New Roman"/>
          <w:noProof/>
        </w:rPr>
        <w:sectPr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1) Introduzzjoni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L-innovazzjoni mmexxija mid-dejta hi mutur ewlieni tat-tkabbir u tal-impjiegi li jista’ jagħti spinta ġmielha lill-kompetittività Ewropea fis-suq dinji. Jekk jinħolqu l-kundizzjonijiet ta’ qafas it-tajba, l-ekonomija tad-dejta Ewropea tista’ tirdoppja sal-2020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Il-Kummissjoni diġà implimentat għadd ta’ miżuri ewlenin biex ittejjeb il-kundizzjonijiet ta’ qafas għall-industriji intensivi fid-dejta. Skont ir-Regolament Ġenerali dwar il-Protezzjoni tad-Dejta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footnoteReference w:id="3"/>
      </w:r>
      <w:r>
        <w:rPr>
          <w:rFonts w:ascii="Times New Roman" w:hAnsi="Times New Roman" w:cs="Times New Roman"/>
          <w:noProof/>
          <w:sz w:val="24"/>
          <w:szCs w:val="24"/>
        </w:rPr>
        <w:t>, l-UE ħolqot qafas sod għall-fiduċja diġitali li jservi ta’ prekundizzjoni għall-iżvilupp sostenibbli tal-ekonomija tad-dejta. Ir-Regolament Ġenerali dwar il-Protezzjoni tad-Dejta jiżgura livell għoli ta’ protezzjoni tad-dejta. Dawk kollha affettwati mir-regoli l-ġodda, li se jidħlu fis-seħħ fil-25 ta’ Mejju 2018, jeħtieġ jiżguraw konformità sħiħa. Biex jinfirxu l-pedamenti għal vantaġġ kompetittiv futur li jissejjes fuq teknoloġiji tad-dejta ta’ fiduċja u aċċettati, il-moviment liberu tad-dejta personali fi ħdan l-UE previst mir-regoli tal-UE dwar il-protezzjoni tad-dejta se jiġi kkumplimentat bil-fluss liberu tad-dejta mhux personali permezz ta’ proposta għal Regolament ippreżentata f’Settembru 2017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"/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Iżda hemm bżonn tittieħed aktar azzjoni biex jitjieb l-użu effiċjenti tad-dejta madwar l-UE. Bħala parti mill-istrateġija tagħha għal Suq Uniku Diġitali, il-Kummissjoni ħadet passi importanti f’din id-direzzjoni. F’Jannar 2017, il-Kummissjoni ppubblikat il-Komunikazzjoni “Il-ħolqien ta’ ekonomija Ewropea bbażata fuq id-dejta”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footnoteReference w:id="5"/>
      </w:r>
      <w:r>
        <w:rPr>
          <w:rFonts w:ascii="Times New Roman" w:hAnsi="Times New Roman" w:cs="Times New Roman"/>
          <w:noProof/>
          <w:sz w:val="24"/>
          <w:szCs w:val="24"/>
        </w:rPr>
        <w:t xml:space="preserve"> li nediet konsultazzjoni wiesgħa mal-partijiet konċernati, inkluż konsultazzjoni online pubblika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"/>
      </w:r>
      <w:r>
        <w:rPr>
          <w:rFonts w:ascii="Times New Roman" w:hAnsi="Times New Roman" w:cs="Times New Roman"/>
          <w:noProof/>
          <w:sz w:val="24"/>
          <w:szCs w:val="24"/>
        </w:rPr>
        <w:t>. Ir-rieżami nofsani sussegwenti tal-istrateġija tas-Suq Uniku Diġitali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"/>
      </w:r>
      <w:r>
        <w:rPr>
          <w:rFonts w:ascii="Times New Roman" w:hAnsi="Times New Roman" w:cs="Times New Roman"/>
          <w:noProof/>
          <w:sz w:val="24"/>
          <w:szCs w:val="24"/>
        </w:rPr>
        <w:t xml:space="preserve"> ħareġ b’inizjattivi dwar il-fluss liberu tad-dejta mhux personali u dwar l-aċċessibbiltà u l-użu mill-ġdid tad-dejta pubblika u ffinanzjata mis-settur pubbliku. Dan indika wkoll xi miżuri oħrajn fil-qasam tad-dejta tas-settur privat li għandhom interess pubbliku.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Filwaqt li tibni fuq il-leġiżlazzjoni dwar il-protezzjoni tad-dejta fis-seħħ, il-Kummissjoni issa qed tipproponi pakkett ta’ miżuri bħala pass importanti għal </w:t>
      </w:r>
      <w:r>
        <w:rPr>
          <w:rFonts w:ascii="Times New Roman" w:hAnsi="Times New Roman" w:cs="Times New Roman"/>
          <w:b/>
          <w:noProof/>
          <w:sz w:val="24"/>
          <w:szCs w:val="24"/>
        </w:rPr>
        <w:t>spazju komuni tad-dejta fl-UE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– żona diġitali bla interruzzjonijiet u bi skala li tippermetti l-iżvilupp ta’ prodotti u servizzi ġodda bbażati fuq id-dejta. Fost il-miżuri mressqa flimkien ma’ din il-Komunikazzjoni hemm: </w:t>
      </w:r>
    </w:p>
    <w:p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proposta għal reviżjoni tad-Direttiva dwar l-użu mill-ġdid tal-informazzjoni tas-settur pubbliku (id-Direttiva PSI)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8"/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aġġornament tar-Rakkomandazzjoni dwar l-aċċess għall-informazzjoni xjentifika u l-konservazzjoni tagħha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9"/>
      </w:r>
      <w:r>
        <w:rPr>
          <w:rFonts w:ascii="Times New Roman" w:hAnsi="Times New Roman" w:cs="Times New Roman"/>
          <w:noProof/>
          <w:sz w:val="24"/>
          <w:szCs w:val="24"/>
        </w:rPr>
        <w:t>; u</w:t>
      </w:r>
    </w:p>
    <w:p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gwida dwar il-qsim tad-dejta tas-settur privat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0"/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Din il-gwida hi bbażata fuq il-prinċipji għall-qsim tad-dejta bejn in-negozji, u bejn in-negozji u s-settur pubbliku, li huma stabbiliti f’din il-Komunikazzjoni. Il-miżuri previsti jkopru tipi differenti ta’ dejta u għalhekk għandhom livelli differenti ta’ intensità. Fl-istess ħin, dawn ilkoll jaħdmu għall-għan usa’ li d-dejta tinġieb flimkien, bħala sors ewlieni tal-innovazzjoni u tat-tkabbir, mingħand diversi setturi, pajjiżi u dixxiplini fi spazju komuni tad-dejta. </w:t>
      </w:r>
    </w:p>
    <w:p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2) Naħsdu l-benefiċċji soċjoekonomiċi tal-innovazzjoni mmexxija mid-dejta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Id-dejta hi l-materja prima tas-Suq Uniku Diġitali. Din tista’ toħloq rivoluzzjoni f’ħajjitna u tiftaħ bibien ġodda ta’ opportunitajiet għal tkabbir, inkluż għall-intrapriżi żgħar u medji. Id-disponibbiltà ta’ kwantitajiet kbar ħafna ta’ dejta, li ħafna minnha tiġi ġġenerata minn magni u sensuri, tħalli impatt fuqna lkoll. Fil-fatt, hemm uħud mill-oqsma ta’ ħajjitna li għadhom ma ġewx affettwati mir-rivoluzzjoni tad-dejta li qed issir. Jekk id-dejta nużawha bl-aqwa mod, dan jista’ jgħinna ngħixu ħajja itwal u aktar b’saħħitha, b’inqas stress u b’aktar rispett lejn l-ambjent. Dan jista’ jgħin ukoll lix-xjenzati tagħna biex jiżviluppaw mudelli li jbassru aħjar it-tibdil fil-klima u l-katastrofi naturali.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L-użu intelliġenti tad-dejta jħalli effett trasformattiv fuq kull settur tal-ekonomija u fuq is-settur pubbliku: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Ngħidu aħna, fis-settur agrikolu, analiżi aġġornata tad-dejta dwar it-temp jew l-umdità fil-ħamrija tista’ tgħin biex tiżdied kemm jista’ jkun il-produzzjoni tal-ħxejjex. Fil-manifattura, id-dejta mis-sensuri f’ħin reali tgħin lill-manutenzjoni mbassra.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L-innovazzjoni mmexxija mid-dejta tista’ ttejjeb ukoll it-tfassil tal-politika pubblika, il-provvista tas-servizz pubbliku u ttaffi l-piż amministrattiv. Din tista’ tgħin fil-ġestjoni tal-kriżijiet u fl-iżvilupp ta’ politiki ambjentali u finanzjarji. Bil-qsim tad-dejta tar-riċerka dwar it-tifqigħat ta’ epidemiji, ir-riċerka rilevanti tista’ tagħmel avvanz aktar malajr u tkun tista’ tittieħed reazzjoni aktar f’waqtha.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Id-dejta satellitari ta’ riżoluzzjoni kbira mis-satelliti Sentinel ta’ Copernicus tikkontribwixxi għall-monitoraġġ f’ħin reali tar-riżorsi naturali tal-ilma biex issir prevenzjoni min-nixfa jew mit-tniġġis. Din id-dejta hi ta’ ġid konsiderevoli għall-awtoritajiet pubbliċi, għar-riċerkaturi u għall-kumpaniji privati fejn tidħol il-provvista ta’ servizzi innovattivi.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L-impatt ekonomiku tad-dejta hu enormi. Fl-2016 kien hemm 254 850 kumpanija tad-dejta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1"/>
      </w:r>
      <w:r>
        <w:rPr>
          <w:rFonts w:ascii="Times New Roman" w:hAnsi="Times New Roman" w:cs="Times New Roman"/>
          <w:noProof/>
          <w:sz w:val="24"/>
          <w:szCs w:val="24"/>
        </w:rPr>
        <w:t xml:space="preserve"> madwar l-UE, iżda din iċ-ċifra tista’ tiżdied għal madwar 360 000 sal-2020 f’xenarju ta’ tkabbir qawwi.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B’mod ġenerali, il-kapaċità li nanalizzaw id-dejta u nitgħallmu minnha qed issir malajr ingredjent ewlieni għas-suċċess fin-negozju u għall-effiċjenza governattiva. Il-kumpaniji li għandhom ammont enormi ta’ dejta u l-kapaċità teknika u l-impjegati kwalifikati biex janalizzaw id-dejta, se jkollhom vantaġġ kompetittiv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2"/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Minbarra dan, id-dejta qed kulma jmur titqies aktar bħala assi kruċjali biex jiġu żviluppati teknoloġiji ġodda bħall-Intelliġenza Artifiċjali (AI) u l-Internet tal-Oġġetti (IoT). Is-soluzzjonijiet tal-Intelliġenza Artifiċjali għandhom potenzjal qawwi ta’ benefiċċji għas-settur pubbliku u privat. L-użu tat-teknoloġiji tal-Intelliġenza Artifiċjali jappoġġa l-produttività u l-kompetittività f’firxa wiesgħa ta’ setturi. L-Intelliġenza Artifiċjali tgħin anki biex jingħelbu l-isfidi soċjetali u ambjentali, filwaqt li tindirizza l-isfidi tagħha wkoll fl-istess ħin. F’dan il-kuntest, paripassu ma’ dan il-pakkett dwar id-dejta, il-Kummissjoni qed tadotta l-Komunikazzjoni “Nimmassimizzaw il-benefiċċji tal-Intelliġenza Artifiċjali għall-Ewropa”, li tispjega l-istrateġija tal-UE dwar l-Intelliġenza Artifiċjali. L-istrateġija għandha tliet dimensjonijiet: tixpruna l-kapaċità industrijali u teknoloġika Ewropea, tħejji għall-bidliet soċjoekonomiċi, u tiżgura qafas etiku u ġuridiku xierqa. Wieħed mill-għanijiet ewlenin hu li tiġi demokratizzata t-teknoloġija tal-Intelliġenza Artifiċjali ħalli ma jitwiżnux biss in-negozji ġodda tal-Intelliġenza Artifiċjali iżda anki l-utenti tal-Intelliġenza Artifiċjali, fosthom il-kumpaniji mhux teknoloġiċi ta’ kull daqs. Fl-2019, il-Kummissjoni se tniedi pjattaforma AI-on-demand biex il-kumpaniji u r-riċerkaturi Ewropej isibuha eħfef jaċċessaw għodod, dejta u servizzi tal-Intelliġenza Artifiċjali ta’ kwalità għolja.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Ma’ dan il-pakkett dwar id-dejta, il-Kummissjoni qed tadotta wkoll inizjattiva oħra li hi importanti għall-ekonomija tad-dejta – il-“Komunikazzjoni dwar l-iffaċilitar tat-trasformazzjoni diġitali tal-kura u tas-saħħa fis-Suq Uniku Diġitali, l-għoti tas-setgħa liċ-ċittadini u l-bini ta’ soċjetà aktar b’saħħitha”, li tittratta l-potenzjal tad-dejta bħala xprunatur ewlieni għat-trasformazzjoni diġitali fl-oqsma tas-saħħa u tal-kura. Id-dejta ttejjeb il-benessri ta’ miljuni ta’ ċittadini u tbiddel il-mod kif jingħataw is-servizzi tas-saħħa u tal-kura, inkluż il-mediċina personalizzata, l-identifikazzjoni bikrija tat-tifqigħat infettivi u l-iżvilupp imħaffef ta’ mediċini u tagħmir mediku. </w:t>
      </w:r>
    </w:p>
    <w:p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Biex jiġi sfruttat dan il-potenzjal fl-ekonomija tad-dejta, l-UE trid taħtaf l-opportunitajiet biex tħeġġeġ l-innovazzjoni fis-soluzzjonijiet tal-kura tas-saħħa bħalma huma t-telemediċina u l-applikazzjonijiet tas-saħħa mobbli, kif dikjarat fir-rieżami nofsani tas-Suq Uniku Diġitali, u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b’konformità sħiħa mal-leġiżlazzjoni dwar il-protezzjoni tad-dejta. Ġew identifikati tliet oqsma ewlenin:</w:t>
      </w:r>
    </w:p>
    <w:p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l-aċċess sigur taċ-ċittadini għad-dejta dwar is-saħħa u l-qsim ta’ din id-dejta;</w:t>
      </w:r>
    </w:p>
    <w:p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dejta aħjar li tippromwovi r-riċerka, il-prevenzjoni tal-mard, u l-kura u s-saħħa personalizzata;</w:t>
      </w:r>
    </w:p>
    <w:p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għodod diġitali għal għoti tas-setgħa liċ-ċittadini u għal kura li tiffoka fuq il-pazjent.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Fil-Komunikazzjoni msemmija hawn fuq, il-Kummissjoni ddeskriviet l-azzjonijiet li jridu jittieħdu f’kull waħda mit-tliet oqsma. Dawn jinkludu rakkomandazzjoni dwar format ta’ skambju Ewropew għar-rekords elettroniċi tas-saħħa, mekkaniżmu għal koordinazzjoni volontarja fil-qsim tad-dejta, inkluż id-dejta ġenomika għall-prevenzjoni u għar-riċerka dwar il-mediċina personalizzata, kif ukoll proposti dwar l-iskambju ta’ kontributi innovattivi u l-aqwa prattiki, it-tiswir tal-kapaċità u l-assistenza teknika tal-awtoritajiet tas-saħħa u tal-kura.</w:t>
      </w:r>
    </w:p>
    <w:p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Mal-miżuri msemmija hawn fuq qed tinhemeż ukoll analiżi preliminari tal-kwistjonijiet li tqajmu fir-rigward tas-sikurezza u r-responsabbiltà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3"/>
      </w:r>
      <w:r>
        <w:rPr>
          <w:rFonts w:ascii="Times New Roman" w:hAnsi="Times New Roman" w:cs="Times New Roman"/>
          <w:noProof/>
          <w:sz w:val="24"/>
          <w:szCs w:val="24"/>
        </w:rPr>
        <w:t xml:space="preserve"> li jġibu magħhom it-teknoloġiji diġitali ġodda mmexxija mid-dejta, ħalli jkun żgurat ambjent ta’ fiduċja u kontabbiltà permezz ta’ ambjent ġuridiku prevedibbli għan-negozji u għall-investituri u lqugħ li jħares id-drittijiet tal-konsumaturi u taċ-ċittadini. Flimkien mal-inizjattivi rilevanti stabbiliti bl-istrateġija tas-Suq Uniku Diġitali s’issa, dawn il-miżuri se jwasslu biex l-UE tikseb pożizzjoni unika li tgawdi mill-frott tar-rivoluzzjoni tad-dejta u li tiżviluppa ekonomija tad-dejta ta’ suċċess, sostenibbli u sigura, imsejsa fuq l-iskala tas-suq intern, il-kapaċità innovattiva tal-kumpaniji Ewropej, u b’rispett sħiħ tal-valuri Ewropej.</w:t>
      </w:r>
    </w:p>
    <w:p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3) Dejta pubblika u ffinanzjata mis-settur pubbliku għas-servizz ta’ innovazzjoni mmexxija mid-dejta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L-aċċess għad-dejta pubblika u ffinanzjata mis-settur pubbliku u l-użu mill-ġdid tagħha jibnu l-pedamenti l-kbar ta’ spazju tad-dejta Ewropew komuni. Fir-rieżami nofsani tal-istrateġija tas-Suq Uniku Diġitali, il-Kummissjoni ħabbret li, abbażi ta’ evalwazzjoni tal-leġislazzjoni eżistenti u soġġetta għal valutazzjoni tal-impatt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4"/>
      </w:r>
      <w:r>
        <w:rPr>
          <w:rFonts w:ascii="Times New Roman" w:hAnsi="Times New Roman" w:cs="Times New Roman"/>
          <w:noProof/>
          <w:sz w:val="24"/>
          <w:szCs w:val="24"/>
        </w:rPr>
        <w:t xml:space="preserve">, se tħejji inizjattiva dwar l-aċċessibbiltà u l-użu mill-ġdid tad-dejta pubblika u ffinanzjata mis-settur pubbliku. Din it-taqsima tiddeskrivi l-elementi ta’ din l-inizjattiva. </w:t>
      </w:r>
    </w:p>
    <w:p>
      <w:pPr>
        <w:keepNext/>
        <w:jc w:val="both"/>
        <w:rPr>
          <w:rFonts w:ascii="Times New Roman" w:hAnsi="Times New Roman" w:cs="Times New Roman"/>
          <w:b/>
          <w:noProof/>
          <w:sz w:val="24"/>
          <w:szCs w:val="24"/>
          <w:highlight w:val="green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a) L-użu mill-ġdid tal-informazzjoni tas-settur pubbliku </w:t>
      </w:r>
    </w:p>
    <w:p>
      <w:pPr>
        <w:keepNext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Il-korpi tas-settur pubbliku jipproduċu u jiġbru kwantitajiet kbar ta’ dejta li jsawru materja prima prezzjuża għall-iżvilupp ta’ servizzi diġitali innovattivi u tfassil ta’ politika aħjar.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L-informazzjoni tas-settur pubbliku tista’ tintuża bħala l-bażi għal firxa wiesgħa ta’ prodotti u servizzi. Pereżempju, l-applikazzjoni </w:t>
      </w:r>
      <w:hyperlink r:id="rId20">
        <w:r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iMar</w:t>
        </w:r>
      </w:hyperlink>
      <w:r>
        <w:rPr>
          <w:rFonts w:ascii="Times New Roman" w:hAnsi="Times New Roman" w:cs="Times New Roman"/>
          <w:i/>
          <w:noProof/>
          <w:sz w:val="24"/>
          <w:szCs w:val="24"/>
        </w:rPr>
        <w:t xml:space="preserve"> tuża informazzjoni li ppubblikaw portijiet Spanjoli li huma proprjetà tal-Istat u tgħaqqadha ma’ previżjonijiet tar-riħ mogħtija mis-servizzi nazzjonali tat-temp Spanjoli. B’hekk, l-utenti tal-applikazzjoni jiksbu informazzjoni f’ħin reali u kif ukoll previżjonijiet tat-tbaħħir biex ikunu jistgħu jippjanaw il-vjaġġi tagħhom bil-baħar b’mod sikur.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noProof/>
          <w:sz w:val="24"/>
          <w:szCs w:val="24"/>
        </w:rPr>
        <w:t>Bl-istess mod, id-dejta batimetrika li nġabret oriġinarjament minn aġenziji idrografiċi nazzjonali għan-navigazzjoni sikura reġgħet intużat f’mapep topografiċi mis-sħubija EMODnet biex jitjiebu ferm il-previżjonijiet tal-maltempati qawwija fil-Baħar tat-Tramuntana.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L-UE diġà ħadet għadd ta’ miżuri biex tagħmel id-dejta tal-gvern aċċessibbli madwar l-Unjoni bħala assi ewlieni għall-ekonomija tad-dejta. Id-Direttiva 2003/98/KE dwar l-użu mill-ġdid tal-Informazzjoni tas-Settur Pubbliku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5"/>
      </w:r>
      <w:r>
        <w:rPr>
          <w:rFonts w:ascii="Times New Roman" w:hAnsi="Times New Roman" w:cs="Times New Roman"/>
          <w:noProof/>
          <w:sz w:val="24"/>
          <w:szCs w:val="24"/>
        </w:rPr>
        <w:t xml:space="preserve"> ħolqot qafas mifrux mal-UE kollha li jħeġġeġ l-użu transfruntier tad-dejta ffinanzjata mis-settur pubbliku u jgħin fl-iżvilupp ta’ servizzi u prodotti tad-dejta pan-Ewropej. Biex jikkumplimentawh, ittieħdu miżuri biex ikun aktar faċli li d-dejta tas-settur pubbliku tinstab u tintuża bejn il-fruntieri u lingwi differenti, fosthom bit-tnedija tal-Portal Ewropew tad-Dejta Miftuħa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6"/>
      </w:r>
      <w:r>
        <w:rPr>
          <w:rFonts w:ascii="Times New Roman" w:hAnsi="Times New Roman" w:cs="Times New Roman"/>
          <w:noProof/>
          <w:sz w:val="24"/>
          <w:szCs w:val="24"/>
        </w:rPr>
        <w:t>. Il-Kummissjoni tagħti l-eżempju permezz ta’ qafas ġuridiku għall-użu mill-ġdid tad-dejta tagħha stess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7"/>
      </w:r>
      <w:r>
        <w:rPr>
          <w:rFonts w:ascii="Times New Roman" w:hAnsi="Times New Roman" w:cs="Times New Roman"/>
          <w:noProof/>
          <w:sz w:val="24"/>
          <w:szCs w:val="24"/>
        </w:rPr>
        <w:t>. Dan hu kkumplimentat bil-Portal tad-Dejta Miftuħa li jagħti aċċess għal dejta mill-istituzzjonijiet tal-UE u korpi oħra tal-UE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8"/>
      </w:r>
      <w:r>
        <w:rPr>
          <w:rFonts w:ascii="Times New Roman" w:hAnsi="Times New Roman" w:cs="Times New Roman"/>
          <w:noProof/>
          <w:sz w:val="24"/>
          <w:szCs w:val="24"/>
        </w:rPr>
        <w:t>. Dan il-qafas hu wieħed mill-aktar reġimi avvanzati fid-dinja fejn jidħol l-użu mill-ġdid, b’regola prestabbilita biex id-dejta tal-Kummissjoni tkun tista’ tintuża mill-ġdid għal skopijiet kummerċjali u mhux kummerċjali mingħajr il-ħtieġa ta’ applikazzjoni individwali, mingħajr tariffi għall-utenti li jużaw mill</w:t>
      </w:r>
      <w:r>
        <w:rPr>
          <w:rFonts w:ascii="Times New Roman" w:hAnsi="Times New Roman" w:cs="Times New Roman"/>
          <w:noProof/>
          <w:sz w:val="24"/>
          <w:szCs w:val="24"/>
        </w:rPr>
        <w:noBreakHyphen/>
        <w:t xml:space="preserve">ġdid, mingħajr kundizzjonijiet fuq l-użu mill-ġdid u mingħajr diskriminazzjoni bejn l-utenti li jużaw mill-ġdid, għajr xi ftit eċċezzjonijiet ġustifikati kif xieraq.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Ir-</w:t>
      </w:r>
      <w:r>
        <w:rPr>
          <w:rFonts w:ascii="Times New Roman" w:hAnsi="Times New Roman" w:cs="Times New Roman"/>
          <w:b/>
          <w:noProof/>
          <w:sz w:val="24"/>
          <w:szCs w:val="24"/>
        </w:rPr>
        <w:t>reviżjoni tad-Direttiva dwar l-użu mill-ġdid tal-Informazzjoni tas-Settur Pubbliku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9"/>
      </w:r>
      <w:r>
        <w:rPr>
          <w:rFonts w:ascii="Times New Roman" w:hAnsi="Times New Roman" w:cs="Times New Roman"/>
          <w:noProof/>
          <w:sz w:val="24"/>
          <w:szCs w:val="24"/>
        </w:rPr>
        <w:t xml:space="preserve"> tinsab fil-qalba ta’ dan il-pakkett dwar id-dejta. Il-bidliet proposti se jagħmlu differenza reali għax aktar dejta se ssir disponibbli u għax id-dejta se ssir aktar riutilizzabbli. Ir-reviżjoni għandha l-għan li:</w:t>
      </w:r>
    </w:p>
    <w:p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tnaqqas ix-xkiel għad-dħul fis-suq, l-aktar għall-intrapriżi żgħar u medji, billi tnaqqas it-tariffi għall-użu mill-ġdid tal-informazzjoni tas-settur pubbliku;</w:t>
      </w:r>
    </w:p>
    <w:p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iżżid id-disponibbiltà tad-dejta billi tinkludi tipi ġodda ta’ dejta pubblika u ffinanzjata mis-settur pubbliku fil-kamp ta’ applikazzjoni tad-Direttiva: (i) dejta miżmuma minn impriżi pubbliċi fis-setturi tat-trasport u tal-utilitajiet, u (ii) dejta tar-riċerka;</w:t>
      </w:r>
    </w:p>
    <w:p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tnaqqas kemm jista’ jkun ir-riskju ta’ vantaġġi eċċessivi tal-innovatur, u dan hu ta’ benefiċċju għall-kumpaniji kbar u b’hekk jillimita l-għadd ta’ utenti potenzjali li jużaw id-dejta inkwistjoni mill-ġdid, billi teżiġi proċess aktar trasparenti għall-istabbiliment ta’ arranġamenti pubbliċi privati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0"/>
      </w:r>
      <w:r>
        <w:rPr>
          <w:rFonts w:ascii="Times New Roman" w:hAnsi="Times New Roman" w:cs="Times New Roman"/>
          <w:noProof/>
          <w:sz w:val="24"/>
          <w:szCs w:val="24"/>
        </w:rPr>
        <w:t>;</w:t>
      </w:r>
    </w:p>
    <w:p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iżżid l-opportunitajiet tan-negozju billi tħeġġeġ il-pubblikazzjoni ta’ dejta dinamika u l-adozzjoni ta’ interfaċċi tal-ipprogrammar tal-applikazzjonijiet (APIs).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Hu partikolarment importanti li jingħata aċċess għad-dejta dinamika permezz tal-interfaċċi tal-ipprogrammar tal-applikazzjonijiet, għax dan jappoġġa l-ekosistema tad-dejta miftuħa, jiffranka l-ħin u l-ispejjeż b’awtomazzjoni tal-proċess tad-download, u jħaffef bil-qawwa l-użu mill-ġdid tad-dejta għal firxa wiesgħa ta’ prodotti u servizzi ġodda. Il-qsim tad-dejta bl-użu tajjeb u sigur tal-interfaċċi tal-ipprogrammar tal-applikazzjonijiet jista’ joħloq valur miżjud sinifikanti lil atturi differenti fil-katina tal-valur tad-dejta. Dan jista’ jikkontribwixxi wkoll biex jitwaqqfu ekosistemi ta’ valur madwar assi tad-dejta li l-potenzjal tagħhom ħafna drabi ma jiġix sfruttat mid-detenturi tad-dejta. 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Daż-żmien, il-korpi tas-settur pubbliku mhumiex qed jużaw l-interfaċċi tal-ipprogrammar tal-applikazzjonijiet biżżejjed, u bosta dokumenti għadhom disponibbli bħala PDFs. Dan iwassal għal użu subottimu tad-dejta dinamika mis-settur pubbliku għall-ħolqien ta’ servizzi tal-valur miżjud. Il-bidliet proposti fid-Direttiva dwar l-użu mill-ġdid tal-Informazzjoni tas-Settur Pubbliku għandhom l-għan li jħaffu t-tranżizzjoni tal-korpi tas-settur pubbliku madwar l-Ewropa lejn funzjonalitajiet ibbażati fuq l-internet u lejn pubblikazzjoni aktar mifruxa tad-dejta dinamika u l-użu tal-interfaċċi tal-ipprogrammar tal-applikazzjonijiet.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Il-pakkett fih ukoll ir-riżultati tal-evalwazzjoni tad-</w:t>
      </w:r>
      <w:r>
        <w:rPr>
          <w:rFonts w:ascii="Times New Roman" w:hAnsi="Times New Roman" w:cs="Times New Roman"/>
          <w:b/>
          <w:noProof/>
          <w:sz w:val="24"/>
          <w:szCs w:val="24"/>
        </w:rPr>
        <w:t>Direttiva dwar id-Databases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1"/>
      </w:r>
      <w:r>
        <w:rPr>
          <w:rFonts w:ascii="Times New Roman" w:hAnsi="Times New Roman" w:cs="Times New Roman"/>
          <w:noProof/>
          <w:sz w:val="24"/>
          <w:szCs w:val="24"/>
        </w:rPr>
        <w:t>. L-evalwazzjoni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2"/>
      </w:r>
      <w:r>
        <w:rPr>
          <w:rFonts w:ascii="Times New Roman" w:hAnsi="Times New Roman" w:cs="Times New Roman"/>
          <w:noProof/>
          <w:sz w:val="24"/>
          <w:szCs w:val="24"/>
        </w:rPr>
        <w:t xml:space="preserve"> tkopri l-funzjonament ġenerali taż-żewġ partijiet tad-Direttiva, id-drittijiet tal-awtur u l-protezzjoni tal-bażijiet tad-dejta bi dritt </w:t>
      </w:r>
      <w:r>
        <w:rPr>
          <w:rFonts w:ascii="Times New Roman" w:hAnsi="Times New Roman" w:cs="Times New Roman"/>
          <w:i/>
          <w:noProof/>
          <w:sz w:val="24"/>
          <w:szCs w:val="24"/>
        </w:rPr>
        <w:t>sui generis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b’aktar enfasi fuq il-valutazzjoni tal-prestazzjoni ta’ dawn tal-aħħar. Din tinkludi analiżi tar-relazzjoni bejn id-dritt </w:t>
      </w:r>
      <w:r>
        <w:rPr>
          <w:rFonts w:ascii="Times New Roman" w:hAnsi="Times New Roman" w:cs="Times New Roman"/>
          <w:i/>
          <w:noProof/>
          <w:sz w:val="24"/>
          <w:szCs w:val="24"/>
        </w:rPr>
        <w:t>sui generis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stabbilit fid-Direttiva u l-ekonomija tad-dejta.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Waħda mill-konklużjonijiet ewlenin tal-evalwazzjoni hi li d-dritt </w:t>
      </w:r>
      <w:r>
        <w:rPr>
          <w:rFonts w:ascii="Times New Roman" w:hAnsi="Times New Roman" w:cs="Times New Roman"/>
          <w:i/>
          <w:noProof/>
          <w:sz w:val="24"/>
          <w:szCs w:val="24"/>
        </w:rPr>
        <w:t>sui generis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ma għandux ikopri sistematikament is-sitwazzjonijiet tal-big data u l-bażijiet tad-dejta bħala sors wieħed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3"/>
      </w:r>
      <w:r>
        <w:rPr>
          <w:rFonts w:ascii="Times New Roman" w:hAnsi="Times New Roman" w:cs="Times New Roman"/>
          <w:noProof/>
          <w:sz w:val="24"/>
          <w:szCs w:val="24"/>
        </w:rPr>
        <w:t xml:space="preserve">, biex b’hekk ma jimpedix każijiet problematiċi meta ċerti detenturi tad-drittijiet jistgħu jiddikjaraw drittijiet ta’ proprjetà indiretta fuq dejta diġitali. Madankollu, l-evalwazzjoni tindika li din is-suppożizzjoni jenħtieġ tiġi segwita mill-qrib fil-futur għax iċ-ċrieki akkademiċi u tal-partijiet konċernati għamlu mistoqsijiet, imnebbħa minn kawżi okkażjonali quddiem il-qrati, dwar jekk id-dritt </w:t>
      </w:r>
      <w:r>
        <w:rPr>
          <w:rFonts w:ascii="Times New Roman" w:hAnsi="Times New Roman" w:cs="Times New Roman"/>
          <w:i/>
          <w:noProof/>
          <w:sz w:val="24"/>
          <w:szCs w:val="24"/>
        </w:rPr>
        <w:t>sui generis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jistax fil-fatt jiġi applikat b’mod usa’ minn kif inhu preżunt ġeneralment, pereżempju għad-dejta ġġenerata mill-magni. L-evalwazzjoni tad-Direttiva dwar id-Databases tindirizza wkoll l-interazzjonijiet possibbli bejn id-dritt </w:t>
      </w:r>
      <w:r>
        <w:rPr>
          <w:rFonts w:ascii="Times New Roman" w:hAnsi="Times New Roman" w:cs="Times New Roman"/>
          <w:i/>
          <w:noProof/>
          <w:sz w:val="24"/>
          <w:szCs w:val="24"/>
        </w:rPr>
        <w:t>sui generis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 d-Direttiva dwar l-użu mill-ġdid tal-Informazzjoni tas-Settur Pubbliku, kwistjoni li kienet ġiet koperta wkoll fl-evalwazzjoni tad-Direttiva dwar l-użu mill-ġdid tal-Informazzjoni tas-Settur Pubbliku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4"/>
      </w:r>
      <w:r>
        <w:rPr>
          <w:rFonts w:ascii="Times New Roman" w:hAnsi="Times New Roman" w:cs="Times New Roman"/>
          <w:noProof/>
          <w:sz w:val="24"/>
          <w:szCs w:val="24"/>
        </w:rPr>
        <w:t>. Filwaqt li tikkunsidra li din l-interazzjoni tista’ sseħħ fil-prattika, ir-reviżjoni proposta tad-Direttiva dwar l-użu mill-ġdid tal-Informazzjoni tas-Settur Pubbliku għandha l-għan li tiċċara l-allinjament tad-dispożizzjonijiet taż-żewġ strumenti.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w:t>Ir-reviżjoni proposta fiha wkoll kjarifiki dwar ir-relazzjoni bejn id-Direttiva dwar l-użu mill-ġdid tal-Informazzjoni tas-Settur Pubbliku u d-Direttiva li tistabbilixxi Infrastruttura għall-Informazzjoni Ġeografika (INSPIRE)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5"/>
      </w:r>
      <w:r>
        <w:rPr>
          <w:rFonts w:ascii="Times New Roman" w:hAnsi="Times New Roman" w:cs="Times New Roman"/>
          <w:noProof/>
          <w:sz w:val="24"/>
          <w:szCs w:val="24"/>
        </w:rPr>
        <w:t xml:space="preserve"> biex tiżgura koerenza sħiħa bejn dawn iż-żewġ strumenti legali.</w:t>
      </w:r>
    </w:p>
    <w:p>
      <w:pPr>
        <w:keepNext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Minbarra dan, permezz tal-programm Faċilità Nikkollegaw l-Ewropa, il-Kummissjoni se tibqa’ tappoġġa l-iskjerament ta’ infrastruttura tad-dejta miftuħa u mgħammra b’kollox bħala segwitu tal-iskjerament tal-Portal Ewropew tad-Dejta Miftuħa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footnoteReference w:id="26"/>
      </w:r>
      <w:r>
        <w:rPr>
          <w:rFonts w:ascii="Times New Roman" w:hAnsi="Times New Roman" w:cs="Times New Roman"/>
          <w:noProof/>
          <w:sz w:val="24"/>
          <w:szCs w:val="24"/>
        </w:rPr>
        <w:t>. Dan l-ambjent jista’ jagħmel disponibbli għodod u dejta interoperabbli, kif ukoll għarfien u appoġġ, ħalli kemm jista’ jkun id-dejta miftuħa terġa’ tintuża mill-ġdid mill-amministrazzjonijiet pubbliċi Ewropej u min-negozji, l-aktar l-intrapriżi żgħar u medji, u biex tinbena l-kapaċità tal-kontenut għall-iżvilupp tal-Intelliġenza Artifiċjali Ewropea. Il-Kummissjoni pproponiet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7"/>
      </w:r>
      <w:r>
        <w:rPr>
          <w:rFonts w:ascii="Times New Roman" w:hAnsi="Times New Roman" w:cs="Times New Roman"/>
          <w:noProof/>
          <w:sz w:val="24"/>
          <w:szCs w:val="24"/>
        </w:rPr>
        <w:t xml:space="preserve"> li l-qsim tad-dejta mis-settur pubbliku se jitwieżen bl-għajnuna ta’ </w:t>
      </w:r>
      <w:r>
        <w:rPr>
          <w:rFonts w:ascii="Times New Roman" w:hAnsi="Times New Roman" w:cs="Times New Roman"/>
          <w:b/>
          <w:noProof/>
          <w:sz w:val="24"/>
          <w:szCs w:val="24"/>
        </w:rPr>
        <w:t>Ċentru ta’ Appoġġ għall-qsim tad-dejta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permezz tal-programm Faċilità Nikkollegaw l-Ewropa mill-2019 ’il quddiem.</w:t>
      </w:r>
    </w:p>
    <w:p>
      <w:pPr>
        <w:keepNext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Il-Kummissjoni qed tikkunsidra wkoll aktar azzjonijiet ta’ finanzjament biex tappoġġa d-disponibbiltà ta’ dejta tas-settur pubbliku għall-użu mill-ġdid wara l-2020, bil-għan li jitwaqqaf spazju tad-dejta Ewropew komuni u komprensiv.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Fl-aħħar nett, il-prinċipji dwar l-użu mill-ġdid tal-informazzjoni tas-settur pubbliku qed jitqiesu wkoll meta l-Fondi Strutturali u ta’ Investiment Ewropej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8"/>
      </w:r>
      <w:r>
        <w:rPr>
          <w:rFonts w:ascii="Times New Roman" w:hAnsi="Times New Roman" w:cs="Times New Roman"/>
          <w:noProof/>
          <w:sz w:val="24"/>
          <w:szCs w:val="24"/>
        </w:rPr>
        <w:t xml:space="preserve"> (SIE) jintużaw biex jappoġġaw u jikkumplimentaw il-ħtiġijiet lokali u dan iwassal għal gwadann fejn tidħol l-effiċjenza bis-saħħa ta’ soluzzjonijiet tal-gvern elettroniku u l-immodernizzar tas-sistemi tal-informazzjoni pubblika u tal-amministrazzjoni.</w:t>
      </w:r>
    </w:p>
    <w:p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b) Aċċess għall-informazzjoni xjentifika u l-konservazzjoni tagħha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Ix-Xjenza Miftuħa ġie identifikata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9"/>
      </w:r>
      <w:r>
        <w:rPr>
          <w:rFonts w:ascii="Times New Roman" w:hAnsi="Times New Roman" w:cs="Times New Roman"/>
          <w:noProof/>
          <w:sz w:val="24"/>
          <w:szCs w:val="24"/>
        </w:rPr>
        <w:t>, fil-kuntest tal-aċċess għar-riżultati tar-riċerka ffinanzjata mis-settur pubbliku, u l-użu mill-ġdid tagħha, l-aktar bħala ingredjent kruċjali biex ix-xjenza tavvanza u biex is-soċjetà tibbenefika. Dan saħquh il-Konklużjonijiet tal-Kunsill dwar it-tranżizzjoni lejn sistema ta’ Xjenza Miftuħa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0"/>
      </w:r>
      <w:r>
        <w:rPr>
          <w:rFonts w:ascii="Times New Roman" w:hAnsi="Times New Roman" w:cs="Times New Roman"/>
          <w:noProof/>
          <w:sz w:val="24"/>
          <w:szCs w:val="24"/>
        </w:rPr>
        <w:t>, li fihom il-Kunsill stieden lill-Kummissjoni biex b’koperazzjoni mal-Pjattaforma tal-Politika tax-Xjenza Miftuħa u b’koperazzjoni mill-qrib mal-Istati Membri u l-partijiet konċernati, tiżviluppa aktar l-Aġenda Ewropea tax-Xjenza Miftuħa.  Ix-Xjenza Miftuħa tħeġġeġ lil kull tip ta’ riċerkatur (inkluż lix-xjentisti ċittadini) biex il-proċessi tar-riċerka tagħhom jagħmluhom miftuħa f’kull stadju, mid-disinn, il-metodoloġiji u l-flussi tal-proġett, sad-disseminazzjoni tar-riżultati, ħalli r-riċerka tkun tista’ tinbena fuq ir-riċerka preċedenti aktar faċilment. Din iżżid il-kwalità, tevita d-duplikazzjoni u tagħmel l-użu mill-ġdid eħfef, li fl-aħħar mill-aħħar isaħħu l-impatt tax-xjenza fuq is-soċjetà. Il-Kummissjoni jidhrilha li wasal iż-żmien biex jingħata aċċess għall-informazzjoni xjentifika u tiġi konservata fil-kuntest ta’ Xjenza Miftuħa, b’mod li ssejjes fuq il-politika tagħha dwar l-aċċess miftuħ mill-2012.</w:t>
      </w:r>
    </w:p>
    <w:p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Il-Kummissjoni tagħti l-eżempju dwar il-politika tal-aċċess miftuħ permezz tar-regoli tal-programm Orizzont 2020. Din tappoġġa wkoll l-iżvilupp ta’ għodod u servizzi li jirfdu x-Xjenza Miftuħa, permezz ta’ finanzjament ta’ portal pan-Ewropew għall-Cloud Ewropew tax-Xjenza Miftuħa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1"/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Fl-2012, il-Kummissjoni adottat pakkett ta’ politika li jinkludi serje ta’ miżuri li jtejbu l-aċċess għall-informazzjoni xjentifika ġġenerata fl-Unjoni. Bħala parti minn dan il-pakkett, ir-Rakkomandazzjoni tal-Kummissjoni 2012/417/UE dwar l-aċċess għall-informazzjoni xjentifika u l-konservazzjoni tagħha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2"/>
      </w:r>
      <w:r>
        <w:rPr>
          <w:rFonts w:ascii="Times New Roman" w:hAnsi="Times New Roman" w:cs="Times New Roman"/>
          <w:noProof/>
          <w:sz w:val="24"/>
          <w:szCs w:val="24"/>
        </w:rPr>
        <w:t xml:space="preserve"> tistrieħ fuq il-premessa li l-informazzjoni xjentifika li tiġi ġġenerata bil-fondi pubbliċi jenħtieġ tkun aċċessibbli u tista’ terġa’ tintuża mill-ġdid bl-inqas restrizzjonijiet possibbli. </w:t>
      </w:r>
    </w:p>
    <w:p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L-evalwazzjoni tar-Rakkomandazzjoni tikkonferma li din kienet għodda prezzjuża u ħalliet impatt u għalhekk tibqa’ rilevanti għall-politika. Iżda biex tkun valida għall-ġejjieni, hemm bżonn issir reviżjoni li tirrifletti l-iżviluppi riċenti fil-prattiki tar-riċerka u anki l-iżviluppi politiċi riċenti tal-UE. Kif tħabbar fl-Inizjattiva Ewropea tal-Cloud Computing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3"/>
      </w:r>
      <w:r>
        <w:rPr>
          <w:rFonts w:ascii="Times New Roman" w:hAnsi="Times New Roman" w:cs="Times New Roman"/>
          <w:noProof/>
          <w:sz w:val="24"/>
          <w:szCs w:val="24"/>
        </w:rPr>
        <w:t>, bħala parti mill-Cloud Ewropew tax-Xjenza Miftuħa u mir-rieżami nofsani tal-istrateġija tas-Suq Uniku Diġitali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4"/>
      </w:r>
      <w:r>
        <w:rPr>
          <w:rFonts w:ascii="Times New Roman" w:hAnsi="Times New Roman" w:cs="Times New Roman"/>
          <w:noProof/>
          <w:sz w:val="24"/>
          <w:szCs w:val="24"/>
        </w:rPr>
        <w:t>, il-pakkett attwali dwar id-dejta jinkludi reviżjoni tar-Rakkomandazzjoni dwar l-aċċess għall-informazzjoni xjentifika u l-konservazzjoni tagħha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5"/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Ir-reviżjoni tar-Rakkomandazzjoni hi ppreżentata fl-istess waqt mar-reviżjoni tad-Direttiva dwar l-użu mill-ġdid tal-informazzjoni tas-settur pubbliku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6"/>
      </w:r>
      <w:r>
        <w:rPr>
          <w:rFonts w:ascii="Times New Roman" w:hAnsi="Times New Roman" w:cs="Times New Roman"/>
          <w:noProof/>
          <w:sz w:val="24"/>
          <w:szCs w:val="24"/>
        </w:rPr>
        <w:t xml:space="preserve">, li tipproponi li l-kamp ta’ applikazzjoni tad-Direttiva jiġi estiż għad-dejta tar-riċerka, u li bejn il-politiki tal-UE dwar l-aċċess miftuħ u dwar id-dejta miftuħa jkunu żgurati l-koerenza u l-kumplimentarjetà. Għalhekk din tisfrutta l-potenzjal tal-informazzjoni tas-settur pubbliku u tad-dejta tar-riċerka ffinanzjata mis-settur pubbliku fl-istess ħin. Abbażi tar-reviżjoni proposta tad-Direttiva dwar l-użu mill-ġdid tal-informazzjoni tas-settur pubbliku, l-Istati Membri jkunu obbligati jiżviluppaw politiki li jindirizzaw il-qasam tal-aċċess miftuħ għad-dejta tar-riċerka pubblika u miżmuma pubblikament, filwaqt li r-Rakkomandazzjoni riveduta dwar l-aċċess għall-informazzjoni xjentifika u l-konservazzjoni tagħha tagħti gwida għall-implimentazzjoni tal-aċċess miftuħ għad-dejta tar-riċerka pubblika u miżmuma pubblikament.  </w:t>
      </w:r>
    </w:p>
    <w:p>
      <w:pPr>
        <w:keepNext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4) Id-dejta tas-settur privat bħala mutur ewlieni tal-innovazzjoni u tal-kompetittività fl-Ewropa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L-aċċess għad-dejta tas-settur privat u l-użu mill-ġdid tagħha jsawru aktar pedamenti kbar tal-ispazju tad-dejta Ewropew komuni. Skont ir-rieżami nofsani tal-istrateġija tas-Suq Uniku Diġitali, u abbażi tar-riżultati tal-konsultazzjoni mal-partijiet konċernati, jistgħu jiġu definiti għadd ta’ prinċipji għall-qsim tad-dejta tas-settur privat li għandhom jitqiesu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7"/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>
      <w:pPr>
        <w:keepNext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a) Il-qsim tad-dejta bejn in-negozji (B2B)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Il-Komunikazzjoni “Il-Bini ta’ Ekonomija Ewropea tad-Dejta” ħarġet b’għadd ta’ kwistjonijiet dwar l-ammont dejjem akbar ta’ dejta. Dan ħafna drabi jinħoloq b’mod awtomatiku b’magni jew bi proċessi bbażati fuq teknoloġiji emerġenti, bħall-Internet tal-Oġġetti. Biex jinkiseb il-valur massimu minn dan u minn tipi oħra ta’ dejta tas-settur privat, l-atturi tas-suq jeħtieġ ikunu kapaċi jaċċessaw u jużaw din id-dejta, anki bejn il-fruntieri f’xenarji differenti. Kif tidentifika dik il-Komunikazzjoni, id-dejta mhux personali ġġenerata minn oġġetti tal-Internet tal-Oġġetti b’mod awtomatizzat iġġib magħha mistoqsijiet speċifiċi, għax normalment il-manifatturi ta’ dawn l-oġġetti jinsabu f’pożizzjoni privileġġata biex jiddeterminaw l-aċċess għad-dejta ġġenerata u l-użu tagħha. Skont in-natura tas-suq rispettiv li jagħti jew ma jagħtix drittijiet tal-aċċess u l-użu lill-utent tal-oġġett li jaf isib ruħu miżmum milli juża d-dejta li jkun wassal għall-ġenerazzjoni tagħha.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Mid-djalogu tal-partijiet konċernati u mit-tweġibiet tal-istħarriġ online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8"/>
      </w:r>
      <w:r>
        <w:rPr>
          <w:rFonts w:ascii="Times New Roman" w:hAnsi="Times New Roman" w:cs="Times New Roman"/>
          <w:noProof/>
          <w:sz w:val="24"/>
          <w:szCs w:val="24"/>
        </w:rPr>
        <w:t xml:space="preserve"> ħareġ fid-dieher li ħafna mill-partijiet konċernati jaqblu li aktar qsim tad-dejta bejn in-negozji hu ta’ benefiċċju. Fl-istess waqt, dawn huma tal-fehma li f’dan l-istadju tal-iżvilupp tal-ekonomija tad-dejta, il-qafas regolatorju attwali hu adattat għall-iskop tiegħu u li għadu kmieni wisq għal leġiżlazzjoni orizzontali dwar il-qsim tad-dejta bejn in-negozji. Jenħtieġ li l-punt tat-tluq ikun li jiġi żgurat li s-swieq tad-dejta jkollhom l-aħjar kundizzjonijiet possibbli biex jiżviluppaw waħedhom, bil-libertà kuntrattwali bħala pedament. B’mod ġenerali, in-negozji jenħtieġ ikunu liberi biex jiddeċiedu lil min u b’liema kundizzjonijiet jista’ jingħata aċċess għad-dejta mhux personali tagħhom. B’mod ġenerali, il-partijiet konċernati ma jaqblux ma’ tip ta’ dritt ġdid għal “sjieda tad-dejta”, b’firxa ta’ kontributi li juru li l-kwistjoni kruċjali fil-qsim bejn in-negozji mhix daqstant dwar is-sjieda iżda dwar kif l-aċċess ikun organizzat.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Min-naħa l-oħra, hemm appoġġ qawwi mill-partijiet konċernati għal miżuri mhux regolatorji, bħal li (i) jitrawwem l-użu ta’ APIs għal aċċess aktar sempliċi u aktar awtomatizzat għas-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settijiet tad-dejta, u l-użu tagħhom; (ii) jinħolqu termini kuntrattwali standard rakkomandati; u (iii) tingħata gwida fil-livell tal-UE.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Filwaqt li tqis l-evidenza kollha disponibbli bħalissa u filwaqt li ssejjes fuq il-prinċipji żviluppati fil-Komunikazzjoni “Il-Bini ta’ Ekonomija Ewropea tad-Dejta”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9"/>
      </w:r>
      <w:r>
        <w:rPr>
          <w:rFonts w:ascii="Times New Roman" w:hAnsi="Times New Roman" w:cs="Times New Roman"/>
          <w:noProof/>
          <w:sz w:val="24"/>
          <w:szCs w:val="24"/>
        </w:rPr>
        <w:t xml:space="preserve">, il-Kummissjoni jidhrilha li importanti jingħaraf il-fatt li d-dejta tista’ terġa’ tintuża mingħajr telf fil-kwalità tad-dejta u, f’ħafna każijiet, mingħajr ma jitlef il-vantaġġ kompetittiv għax l-istess dejta tista’ tirfed jew ittejjeb bis-sħiħ il-prodotti jew is-servizzi differenti. Dan japplika b’mod partikolari f’li d-dejta rilevanti ssir disponibbli għat-taħriġ ta’ applikazzjonijiet tal-Intelliġenza Artifiċjali — sfida industrijali kbira fl-Ewropa. Aktar kumpaniji jistgħu jitħeġġu jieħdu sehem fi sħubijiet tad-dejta, jiġifieri f’arranġamenti ma’ kumpaniji oħra maħsuba biex isir l-aħjar użu tad-dejta mill-akbar għadd possibbli ta’ atturi kummerċjali.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Il-Kummissjoni jidhrilha wkoll li biex ikunu żgurati swieq ġusti u kompetittivi għall-oġġetti tal-IoT u għall-prodotti u s-servizzi li jistrieħu fuq </w:t>
      </w:r>
      <w:r>
        <w:rPr>
          <w:rFonts w:ascii="Times New Roman" w:hAnsi="Times New Roman" w:cs="Times New Roman"/>
          <w:b/>
          <w:noProof/>
          <w:sz w:val="24"/>
          <w:szCs w:val="24"/>
        </w:rPr>
        <w:t>dejta mhux personali ġġenerata mill-magni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maħluqa minn dawn l-oġġetti, il-ftehimiet kuntrattwali jenħtieġ jirrispettaw dawn </w:t>
      </w:r>
      <w:r>
        <w:rPr>
          <w:rFonts w:ascii="Times New Roman" w:hAnsi="Times New Roman" w:cs="Times New Roman"/>
          <w:b/>
          <w:noProof/>
          <w:sz w:val="24"/>
          <w:szCs w:val="24"/>
        </w:rPr>
        <w:t>il-prinċipji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ewlenin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li ġejjin: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a)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>It-trasparenza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: Il-ftehimiet kuntrattwali rilevanti jenħtieġ jidentifikaw b’mod trasparenti u li jinftiehem (i) il-persuni jew l-entitajiet li se jkollhom aċċess għad-dejta li tiġi ġġenerata mill-prodott jew mis-servizz, it-tip ta’ din id-dejta, u f’liema livell ta’ dettall; u (ii) l-iskopijiet għall-użu ta’ din id-dejta.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b)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>Insawru valur komuni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: Il-ftehimiet kuntrattwali rilevanti jenħtieġ jagħrfu li, meta d-dejta tiġi ġġenerata bħala prodott sekondarju tal-użu ta’ prodott jew servizz, ikun hemm diversi partijiet li taw kontribut tagħhom favur il-ħolqien tad-dejta.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c)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>Nirrispettaw l-interessi kummerċjali ta’ xulxin</w:t>
      </w:r>
      <w:r>
        <w:rPr>
          <w:rFonts w:ascii="Times New Roman" w:hAnsi="Times New Roman" w:cs="Times New Roman"/>
          <w:noProof/>
          <w:sz w:val="24"/>
          <w:szCs w:val="24"/>
        </w:rPr>
        <w:t>: Il-ftehimiet kuntrattwali rilevanti jenħtieġ jindirizzaw l-ħtieġa li jitħarsu l-interessi kummerċjali u s-sigrieti tad-detenturi tad-dejta u tal-utenti tad-dejta.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d)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>Niżguraw kompetizzjoni mhux imxekkla</w:t>
      </w:r>
      <w:r>
        <w:rPr>
          <w:rFonts w:ascii="Times New Roman" w:hAnsi="Times New Roman" w:cs="Times New Roman"/>
          <w:noProof/>
          <w:sz w:val="24"/>
          <w:szCs w:val="24"/>
        </w:rPr>
        <w:t>: Il-ftehimiet kuntrattwali rilevanti jeħtieġ li jindirizzaw il-ħtieġa li tkun żgurata kompetizzjoni mhux imxekkla waqt l-iskambju ta’ dejta kummerċjalment sensittiva.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e)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>Innaqqsu kemm jista’ jkun l-intrappolament tad-dejta</w:t>
      </w:r>
      <w:r>
        <w:rPr>
          <w:rFonts w:ascii="Times New Roman" w:hAnsi="Times New Roman" w:cs="Times New Roman"/>
          <w:noProof/>
          <w:sz w:val="24"/>
          <w:szCs w:val="24"/>
        </w:rPr>
        <w:t>: Il-kumpaniji li joffru prodott jew servizz li jiġġenera d-dejta bħala prodott sekondarju jenħtieġ jippermettu u jiffaċilitaw l-portabbiltà tad-dejta kemm jista’ jkun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0"/>
      </w:r>
      <w:r>
        <w:rPr>
          <w:rFonts w:ascii="Times New Roman" w:hAnsi="Times New Roman" w:cs="Times New Roman"/>
          <w:noProof/>
          <w:sz w:val="24"/>
          <w:szCs w:val="24"/>
        </w:rPr>
        <w:t xml:space="preserve">. Jenħtieġ li dawn iqisu wkoll, meta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possibbli u b’konformità mal-karatteristiċi tas-suq fejn joperaw, li joffru l-istess prodott jew servizz mingħajr trasferimenti tad-dejta jew bi trasferimenti limitati tad-dejta flimkien mal-prodotti jew mas-servizzi li jinkludu dawn it-trasferimenti tad-dejta.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Hekk kif għaddej id-dibattitu dwar il-qsim tad-dejta bejn negozji, u matul iż-żmien qed tinkiseb iżjed esperjenza, din il-Komunikazzjoni se tniedi proċess ta’ aktar konsultazzjoni mal-partijiet konċernati. Abbażi tal-analiżi tal-informazzjoni miġbura, dawn il-prinċipji jistgħu jevolvu aktar. Il-Kummissjoni se tibqa’ tivvaluta jekk dawn il-prinċipji emendati u l-kodiċijiet ta’ kondotta possibbli humiex biżżejjed biex jinżammu swieq ġusti u miftuħa u se tindirizza s-sitwazzjoni jekk ikun meħtieġ billi tieħu azzjoni xierqa. Minħabba d-differenza fl-istruttura tas-swieq individwali, dawn jaf ikollhom bżonn jiġu kkumplimentati b’miżuri speċifiċi għas-settur.</w:t>
      </w:r>
    </w:p>
    <w:p>
      <w:pPr>
        <w:keepNext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Bħala parti mill-inizjattiva dwar id-Diġitalizzazzjoni tal-Industrija Ewropea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1"/>
      </w:r>
      <w:r>
        <w:rPr>
          <w:rFonts w:ascii="Times New Roman" w:hAnsi="Times New Roman" w:cs="Times New Roman"/>
          <w:noProof/>
          <w:sz w:val="24"/>
          <w:szCs w:val="24"/>
        </w:rPr>
        <w:t>, il-Kummissjoni diġà ħadet azzjoni biex tappoġġa lill-industrija, fost l-oħrajn billi tagħti għajnuna finanzjarja lill-pjattaformi tad-dejta industrijali u liċ-ċentri tal-innovazzjoni permezz tal-programm Orizzont 2020. Biex jissoktaw dawn l-isforzi, il-miżuri tar-riċerka u l-innovazzjoni permezz tal-programm Orizzont 2020 fl-2020-2018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footnoteReference w:id="42"/>
      </w:r>
      <w:r>
        <w:rPr>
          <w:rFonts w:ascii="Times New Roman" w:hAnsi="Times New Roman" w:cs="Times New Roman"/>
          <w:noProof/>
          <w:sz w:val="24"/>
          <w:szCs w:val="24"/>
        </w:rPr>
        <w:t xml:space="preserve"> (b’mod partikolari “il-pjattaformi tad-dejta industrijali u personali”) jippromwovu l-iżvilupp ta’ pjattaformi fdati u siguri u metodi analtiċi li jirrispettaw il-privatezza għall-iskambju sigur tad-dejta tal-proprjetà industrijali u tad-dejta personali b’mod espliċitu, filwaqt li jiffaċilitaw il-konformità mal-leġiżlazzjoni rilevanti (bħal pereżempju l-leġiżlazzjoni dwar il-protezzjoni tad-dejta).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Iċ-</w:t>
      </w:r>
      <w:r>
        <w:rPr>
          <w:rFonts w:ascii="Times New Roman" w:hAnsi="Times New Roman" w:cs="Times New Roman"/>
          <w:b/>
          <w:noProof/>
          <w:sz w:val="24"/>
          <w:szCs w:val="24"/>
        </w:rPr>
        <w:t>Ċentru ta’ Appoġġ għall-qsim tad-dejta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permezz tal-programm Faċilità Nikkollegaw l-Ewropa (CEF) se jistabbilixxi sett ta’ miżuri biex jeħfief il-qsim tad-dejta tas-settur privat u tad-dejta tas-settur pubbliku. Dan se joffri għarfien u assistenza dwar il-qsim tad-dejta billi jipprovdi eżempji tal-aqwa prattika u informazzjoni dwar l-APIs, mudelli ta’ kuntratti eżistenti, u aspetti ġuridiċi u tekniċi oħrajn. Minbarra dan, din se tgħin biex tkompli tiġi żviluppata l-gwida li hemm fid-Dokument ta’ Ħidma tal-Persunal mehmuż ma’ din il-Komunikazzjoni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3"/>
      </w:r>
      <w:r>
        <w:rPr>
          <w:rFonts w:ascii="Times New Roman" w:hAnsi="Times New Roman" w:cs="Times New Roman"/>
          <w:noProof/>
          <w:sz w:val="24"/>
          <w:szCs w:val="24"/>
        </w:rPr>
        <w:t>; jistgħu jiġu żviluppati listi tal-kontroll u, jekk meqjus utli, mudelli ta’ klawżoli kuntrattwali. Il-ħidma se tqis ir-riżultati għall-perjodu 2016-2020 tal-Programm tal-Interoperabbiltà (ISA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>).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Il-Kummissjoni se tesplora wkoll aktar </w:t>
      </w:r>
      <w:r>
        <w:rPr>
          <w:rFonts w:ascii="Times New Roman" w:hAnsi="Times New Roman" w:cs="Times New Roman"/>
          <w:b/>
          <w:noProof/>
          <w:sz w:val="24"/>
          <w:szCs w:val="24"/>
        </w:rPr>
        <w:t>it-trawwim ta’ interfaċċi tal-ipprogrammar tal-applikazzjonijiet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pereżempju fil-gvern elettroniku u f’azzjonijiet b’rabta mal-użu tal-prinċipju ta’ darba biss. Fi żmienna, ħafna kumpaniji għandhom assi kbar ta’ dejta mhux użata u ma għandhomx ir-riżorsi jew il-kapaċità biex janalizzaw id-dejta jew biex joħolqu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servizzi interessanti kummerċjalment b’rabta mad-dejta tagħhom. B’użu xieraq tal-interfaċċi tal-ipprogrammar tal-applikazzjonijiet, dan jista’ jiftaħ opportunitajiet biex jinħolqu ekosistemi ta’ negozji ġodda, filwaqt li jinkiseb valur minn assi mhux użat u tingħata għajnuna lill-kumpaniji ospitanti biex jinħolqu servizzi u prodotti ġodda. Dan kien il-każ fis-settur finanzjarju għax l-aċċess għal ċerta dejta tal-banek, bl-użu ta’ interfaċċi tal-ipprogrammar tal-applikazzjonijiet imfassla sew, fetaħ il-bibien għal ekosistema sħiħa ġdida ta’ servizzi finanzjarji, fosthom il-konsulenza personalizzata fuq ix-xejriet tal-infiq ta’ kuljum, ilkoll fil-kontroll u bl-immaniġġar tal-istituzzjonijiet finanzjarji li, b’mod ieħor, ma joffrux dawn is-servizzi. It-twaqqif u l-użu tal-interfaċċi tal-ipprogrammar tal-applikazzjonijiet jeħtieġ jistrieħu fuq diversi prinċipji: l-istabbiltà, il-manutenzjoni tul iċ-ċiklu tal-ħajja, l-uniformità tal-użu u tal-istandards, il-faċilità tal-użu għall-utent, u s-sigurtà.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Fl-aħħar nett, il-Kummissjoni se tibqa’ tiffaċilita </w:t>
      </w:r>
      <w:r>
        <w:rPr>
          <w:rFonts w:ascii="Times New Roman" w:hAnsi="Times New Roman" w:cs="Times New Roman"/>
          <w:b/>
          <w:noProof/>
          <w:sz w:val="24"/>
          <w:szCs w:val="24"/>
        </w:rPr>
        <w:t>t-testijiet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 </w:t>
      </w:r>
      <w:r>
        <w:rPr>
          <w:rFonts w:ascii="Times New Roman" w:hAnsi="Times New Roman" w:cs="Times New Roman"/>
          <w:b/>
          <w:noProof/>
          <w:sz w:val="24"/>
          <w:szCs w:val="24"/>
        </w:rPr>
        <w:t>d-dimostrazzjonijiet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f’oqsma magħżula, pereżempju għall-iskjerament fuq skala kbira ta’ mobbiltà konnessa u awtomatizzata fuq kurituri transfruntieri diġitali. Il-ħidma fuq dawn il-kurituri toħroġ mill-Ittra ta’ Intenzjoni ffirmata minn 29 Stat Membru u pajjiżi taż-ŻEE, mill-Frankfurt Round Table mal-industrija u mal-Istati Membri, u mill-Jum Diġitali 2018, fejn dawn l-azzjonijiet ġew iffirmati mill-Istati Membri tal-UE, mill-pajjiżi taż-ŻEE u mill-partijiet konċernati rilevanti tal-industrija.  Fost l-oħrajn, l-esperjenza b’dawn il-kurituri se tittestja l-mezzi ġuridiċi u tekniċi għall-aċċess għad-dejta fil-vetturi u għal dejta kummerċjali rilevanti oħra, u għall-użu mill-ġdid tagħhom, fl-ekosistema tal-mobbiltà konnessa u awtomatizzata u l-esperjenzi jistgħu jikkontribwixxu għal aktar gwida mill-UE li tindirizza dan l-aspett tas-Suq Uniku Diġitali. </w:t>
      </w:r>
    </w:p>
    <w:p>
      <w:pPr>
        <w:keepNext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b) L-aċċess għad-dejta tas-settur privat għal finijiet ta’ interess pubbliku – il-qsim tad-dejta bejn in-negozji u l-gvern (B2G)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Il-Kummissjoni qed teżamina wkoll il-qsim tad-dejta bejn in-negozji u s-settur pubbliku. Il-korpi tas-settur pubbliku bdew jivvalutaw il-potenzjal ta’ analitika tad-dejta biex jiġu gwidati d-deċiżjonijiet politiċi jew jitjiebu s-servizzi pubbliċi billi jintużaw għadd sinifikanti ta’ proġetti pilota.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Id-dejta miżmuma mill-kumpaniji, bħall-operaturi tat-telekomunikazzjoni, il-pjattaformi online, il-manifatturi tal-karozzi, il-bejjiegħa bl-imnut jew il-midja soċjali hija rilevanti ħafna f’dan il-kuntest. Pereżempju l-użu tagħha jista’ jwassal għal rispons aktar immirat għall-epidemiji, ippjanar urban aħjar, aktar sikurezza fit-toroq u immaniġġar tat-traffiku aħjar, kif ukoll titjib fil-protezzjoni ambjentali, fis-sorveljanza tas-suq u fil-protezzjoni tal-konsumaturi.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Meta tkun qed tinġabar l-istatistika uffiċjali, l-analiżi ta’ din id-dejta tista’ tkun aktar kosteffiċjenti u tipproduċi riżultati aktar malajr fuq aspetti bħalma huma l-movimenti tal-popolazzjoni, il-prezzijiet, l-inflazzjoni, l-ekonomija tal-internet, l-enerġija jew it-traffiku. Din tista’ tnaqqas ukoll il-piż minn fuq il-kumpaniji u ċ-ċittadini għax tevita l-istħarriġiet bi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kwestjonarji. Il-Komunikazzjoni tal-2017 “Il-Bini ta’ Ekonomija Ewropea tad-Dejta”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4"/>
      </w:r>
      <w:r>
        <w:rPr>
          <w:rFonts w:ascii="Times New Roman" w:hAnsi="Times New Roman" w:cs="Times New Roman"/>
          <w:noProof/>
          <w:sz w:val="24"/>
          <w:szCs w:val="24"/>
        </w:rPr>
        <w:t xml:space="preserve"> tiddiskuti dawn l-opportunitajiet, u fir-rieżami nofsani tal-istrateġija tas-Suq Uniku Diġitali, il-Kummissjoni impenjat ruħha li tkompli tesplora din il-kwistjoni.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Ir-riżultati tal-konsultazzjoni li saret fil-kuntest tar-reviżjoni tad-Direttiva dwar l</w:t>
      </w:r>
      <w:r>
        <w:rPr>
          <w:rFonts w:ascii="Times New Roman" w:hAnsi="Times New Roman" w:cs="Times New Roman"/>
          <w:noProof/>
          <w:sz w:val="24"/>
          <w:szCs w:val="24"/>
        </w:rPr>
        <w:noBreakHyphen/>
        <w:t>użu mill-ġdid tal-informazzjoni tas-settur pubbliku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5"/>
      </w:r>
      <w:r>
        <w:rPr>
          <w:rFonts w:ascii="Times New Roman" w:hAnsi="Times New Roman" w:cs="Times New Roman"/>
          <w:noProof/>
          <w:sz w:val="24"/>
          <w:szCs w:val="24"/>
        </w:rPr>
        <w:t xml:space="preserve"> juru appoġġ għall-idea ta’ titjib fl-aċċess għad-dejta tas-settur privat għall-awtoritajiet pubbliċi u għal skopijiet xjentifiċi ġenerali. Iżda d-detenturi tad-dejta saħqu fuq il-ħtieġa li jiġu indirizzati għadd ta’ kwistjonijiet, fosthom il-kumpens, li permezz tagħhom ikunu jistgħu jiġu rkuprati l-investimenti li saru fil-ġbir u fl-adattament tad-dejta.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Kull azzjoni meħuda f’dan ir-rigward għandha tkun konformi bis-sħiħ mal-leġiżlazzjoni dwar il-protezzjoni tad-dejta personali.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Filwaqt li titqies l-esperjenza eżistenti u r-riżultati tal-konsultazzjoni tal-partijiet interessati, il-Kummissjoni hi tal-fehma li r-rispett lejn dawn li </w:t>
      </w:r>
      <w:r>
        <w:rPr>
          <w:rFonts w:ascii="Times New Roman" w:hAnsi="Times New Roman" w:cs="Times New Roman"/>
          <w:b/>
          <w:noProof/>
          <w:sz w:val="24"/>
          <w:szCs w:val="24"/>
        </w:rPr>
        <w:t>l-prinċipji ewlenin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li ġejjin jista’ jappoġġa l-forniment ta’ dejta tas-settur privat lil korpi tas-settur pubbliku b’kundizzjonijiet preferenzjali għall-użu mill-ġdid. </w:t>
      </w:r>
    </w:p>
    <w:p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a)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>Il-proporzjonalità fl-użu tad-dejta tas-settur privat: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It-talbiet għall-forniment ta’ dejta tas-settur privat b’kundizzjonijiet preferenzjali għall-użu mill-ġdid jenħtieġ jiġu ġġustifikati b’interess pubbliku ċar u dimostrabbli. It-talba għal dejta tas-settur privat jenħtieġ tkun adegwata u rilevanti għall-iskop maħsub ta’ interess pubbliku u tkun proporzjonat mil-lat ta’ dettalji, rilevanza u protezzjoni tad-dejta. L-ispiża u l-isforz meħtieġa għall-forniment u l-użu mill-ġdid tad-dejta tas-settur privat jenħtieġ ikunu raġonevoli meta mqabbla mal-benefiċċji pubbliċi mistennija.</w:t>
      </w:r>
    </w:p>
    <w:p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b)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>Limitazzjoni tal-iskop</w:t>
      </w:r>
      <w:r>
        <w:rPr>
          <w:rFonts w:ascii="Times New Roman" w:hAnsi="Times New Roman" w:cs="Times New Roman"/>
          <w:noProof/>
          <w:sz w:val="24"/>
          <w:szCs w:val="24"/>
        </w:rPr>
        <w:t>: L-użu tad-dejta tas-settur privat jenħtieġ jiġi limitat b’mod ċar għal wieħed jew diversi skopijiet li jridu jiġu speċifikati b’mod ċar kemm jista’ jkun fid-dispożizzjonijiet kuntrattwali li jistabbilixxu l-kollaborazzjoni bejn in-negozji u l-gvern. Dawn jistgħu jinkludu limitazzjoni b’rabta mat-tul taż-żmien għall-użu ta’ din id-dejta. Il-kumpanija tas-settur privat jenħtieġ tirċievi assigurazzjonijiet speċifiċi li d-dejta miksuba mhux se tintuża għal proċeduri amministrattivi jew ġudizzjarji mhux relatati;  id-dispożizzjonijiet legali u etiċi stretti li jirregolaw il-kunfidenzjalità tal-istatistika fis-Sistema Statistika Ewropea jistgħu jservu bħala mudell f’dan ir-rigward.</w:t>
      </w:r>
    </w:p>
    <w:p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c)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>“Tagħmilx ħsara”: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Kollaborazzjoni bejn negozju u l-gvern b’rabta mad-dejta jenħtieġ tiżgura li jiġu rispettati l-interessi leġittimi, l-aktar il-protezzjoni tas-sigrieti kummerċjali u informazzjoni oħra kummerċjalment sensittiva. Kollaborazzjoni bejn negozju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u l-gvern b’rabta mad-dejta jenħtieġ tippermetti li l-kumpaniji jibqgħu jkunu jistgħu jimmonetizzaw l-għarfien miksub mid-dejta inkwistjoni fir-rigward ta’ partijiet interessati oħrajn. </w:t>
      </w:r>
    </w:p>
    <w:p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d)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>Kundizzjonijiet għall-użu mill-ġdid tad-dejta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Kollaborazzjoni bejn negozju u l-gvern b’rabta mad-dejta jenħtieġ tara li tkun ta’ benefiċċju għaż-żewġ naħat filwaqt li tagħraf l-għan aħħari ta’ interess pubbliku billi tagħti trattament preferenzjali lill-korp tas-settur pubbliku fuq klijenti oħrajn. </w:t>
      </w:r>
    </w:p>
    <w:p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Jenħtieġ li din toħroġ fid-dieher b’mod partikolari fil-livell ta’ kumpens miftiehem billi dan ikun jista’ jintrabat mal-iskop maħsub ta’ interess pubbliku. </w:t>
      </w:r>
    </w:p>
    <w:p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Jenħtieġ li kollaborazzjoni bejn negozju u l-gvern li tinvolvi l-istess awtoritajiet pubbliċi li jwettqu l-istess funzjonijiet, tiġi trattata b’mod mhux diskriminatorju.</w:t>
      </w:r>
    </w:p>
    <w:p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Kollaborazzjoni bejn negozju u l-gvern jenħtieġ tnaqqas il-bżonn ta’ tipi oħra ta’ ġbir tad-dejta, bħall-istħarriġiet. Dan jenħtieġ inaqqas il-piż ġenerali minn fuq iċ-ċittadini u l-kumpaniji. </w:t>
      </w:r>
    </w:p>
    <w:p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e)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>Intaffu l-limitazzjonijiet tad-dejta tas-settur privat: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Biex jindirizzaw il-limitazzjonijiet potenzjali tad-dejta tas-settur privat, inkluż il-preġudizzju inerenti potenzjali, il-kumpaniji li jfornu d-dejta jenħtieġ jagħtu appoġġ raġonevoli u proporzjonat biex jgħinu fil-valutazzjoni tal-kwalità tad-dejta għall-iskopijiet speċifikati, inkluż permezz tal-possibbiltà li jawditjaw jew inkella jivverifikaw id-dejta, meta dan ikun xieraq. Jenħtieġ li l-kumpaniji ma jintalbux itejbu l-kwalità tad-dejta inkwistjoni. Min-naħa tagħhom, il-korpi pubbliċi jenħtieġ jiżguraw li d-dejta mingħand sorsi differenti tiġi pproċessata b’mod li tkun evitata l-possibbiltà ta’ “preġudizzju fl-għażla”. </w:t>
      </w:r>
    </w:p>
    <w:p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f)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>It-trasparenza u l-parteċipazzjoni tas-soċjetà: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Kollaborazzjoni bejn negozju u l-gvern jenħtieġ tkun trasparenti dwar il-partijiet għall-ftehim u l-għanijiet tagħhom. L-intwizzjonijiet tal-korpi pubbliċi u l-aqwa prattiki tal-kollaborazzjoni bejn negozju u l-gvern jenħtieġ ikunu disponibbli għall-pubbliku sakemm dawn ma jkunux jikkompromettu l-kunfidenzjalità tad-dejta.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Il-Kummissjoni se </w:t>
      </w:r>
      <w:r>
        <w:rPr>
          <w:rFonts w:ascii="Times New Roman" w:hAnsi="Times New Roman" w:cs="Times New Roman"/>
          <w:b/>
          <w:noProof/>
          <w:sz w:val="24"/>
          <w:szCs w:val="24"/>
        </w:rPr>
        <w:t>torganizza diskussjoni ta’ livell għoli dwar l-aċċess għad-dejta tas-settur privat għal raġunijiet ta’ interess pubbliku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li tirrifletti aktar dwar dan is-suġġett. F’ċerti oqsma se tingħata attenzjoni xierqa lil-livell avvanzat ta’ maturità tad-diskussjoni, pereżempju fejn jidħol l-użu mill-ġdid ta’din id-dejta għal statistika uffiċjali. Il-prinċipji msemmija hawn fuq se jiġu proposti bħala bażi għal aktar diskussjonijiet mal-partijiet konċernati. Il-Kummissjoni se tibqa’ tivvaluta jekk dawn il-miżuri jurux li huma biżżejjed biex jiffaċilitaw il-qsim tad-dejta bejn negozju u l-gvern u se tindirizza s-sitwazzjoni jekk ikun meħtieġ billi tieħu azzjoni xierqa, inkluż miżuri possibbli f’setturi speċifiċi.</w:t>
      </w:r>
    </w:p>
    <w:p>
      <w:pPr>
        <w:keepNext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5) Konklużjoni </w:t>
      </w:r>
    </w:p>
    <w:p>
      <w:pPr>
        <w:keepNext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F’din il-Komunikazzjoni, il-Kummissjoni ppreżentat miżuri li se jagħmluha eħfef għan-negozjanti u għas-settur pubbliku biex jaċċessaw u jużaw mill-ġdid id-dejta mingħand sorsi, setturi u dixxiplini differenti fl-UE. Flimkien mal-inizjattivi li diġà jeżistu, bħall-qafas regolatorju l-ġdid għall-protezzjoni tad-dejta personali li jidħol fis-seħħ f’Mejju 2018, mal-proposta dwar il-fluss liberu tad-dejta mhux personali u mal-inizjattivi li jagħtu spinta lill-konnettività u l-inkoraġġiment ta’ computing ta’ prestazzjoni għolja, dawn il-miżuri se joħolqu spazju tad-dejta komuni tassew Ewropew u mwieżen b’miżuri ta’ politika fil-livell tal-UE u b’finanzjament immirat tar-riċerka u l-innovazzjoni. Dawn hemm bżonnhom għat-tkabbir ekonomiku u għall-kompetittività tal-UE.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Il-Kummissjoni tappella lill-koleġiżlaturi biex jaħdmu għal adozzjoni malajr tal-element leġiżlattiv tal-pakkett dwar id-dejta propost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46"/>
      </w:r>
      <w:r>
        <w:rPr>
          <w:rFonts w:ascii="Times New Roman" w:hAnsi="Times New Roman" w:cs="Times New Roman"/>
          <w:noProof/>
          <w:sz w:val="24"/>
          <w:szCs w:val="24"/>
        </w:rPr>
        <w:t xml:space="preserve"> biex ikun żgurat li l-UE tkun tista’ tgawdi bis-sħiħ mill-opportunitajiet li toffri l-ekonomija tad-dejta. Tappella wkoll lill-Istati Membri u kull parti konċernata oħra biex jikkontribwixxu għall-miżuri u l-inizjattivi mħabbra.</w:t>
      </w:r>
    </w:p>
    <w:sectPr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920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Cond Pro">
    <w:charset w:val="00"/>
    <w:family w:val="swiss"/>
    <w:pitch w:val="variable"/>
    <w:sig w:usb0="A00002BF" w:usb1="500000D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7780906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Minn 1,99 % tal-PDG fl-2016 għal 4 % fl-2020, IDC 2017, ir-Rapport Finali tal-European Data Market Study. </w:t>
      </w:r>
    </w:p>
  </w:footnote>
  <w:footnote w:id="3">
    <w:p>
      <w:pPr>
        <w:pStyle w:val="FootnoteText"/>
        <w:rPr>
          <w:rFonts w:ascii="Times New Roman" w:hAnsi="Times New Roman" w:cs="Times New Roman"/>
          <w:lang w:val="pt-P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ĠU L 119, 4.5.2016, p. 1.</w:t>
      </w:r>
    </w:p>
  </w:footnote>
  <w:footnote w:id="4">
    <w:p>
      <w:pPr>
        <w:pStyle w:val="FootnoteText"/>
        <w:rPr>
          <w:rFonts w:ascii="Times New Roman" w:hAnsi="Times New Roman" w:cs="Times New Roman"/>
          <w:lang w:val="pt-P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COM(2017) 495 final.</w:t>
      </w:r>
    </w:p>
  </w:footnote>
  <w:footnote w:id="5">
    <w:p>
      <w:pPr>
        <w:pStyle w:val="FootnoteText"/>
        <w:tabs>
          <w:tab w:val="left" w:pos="3662"/>
        </w:tabs>
        <w:rPr>
          <w:rFonts w:ascii="Times New Roman" w:hAnsi="Times New Roman" w:cs="Times New Roman"/>
          <w:lang w:val="pt-P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COM(2017) 9 final.</w:t>
      </w:r>
    </w:p>
  </w:footnote>
  <w:footnote w:id="6">
    <w:p>
      <w:pPr>
        <w:pStyle w:val="FootnoteText"/>
        <w:rPr>
          <w:rFonts w:ascii="Times New Roman" w:hAnsi="Times New Roman" w:cs="Times New Roman"/>
          <w:lang w:val="pt-P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1">
        <w:r>
          <w:rPr>
            <w:rStyle w:val="Hyperlink"/>
            <w:rFonts w:ascii="Times New Roman" w:hAnsi="Times New Roman" w:cs="Times New Roman"/>
          </w:rPr>
          <w:t>https://ec.europa.eu/digital-single-market/en/news/public-consultation-building-european-data-economy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7">
    <w:p>
      <w:pPr>
        <w:pStyle w:val="FootnoteText"/>
        <w:rPr>
          <w:rFonts w:ascii="Times New Roman" w:hAnsi="Times New Roman" w:cs="Times New Roman"/>
          <w:lang w:val="pt-P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COM(2017) 228 final.</w:t>
      </w:r>
    </w:p>
  </w:footnote>
  <w:footnote w:id="8">
    <w:p>
      <w:pPr>
        <w:pStyle w:val="FootnoteText"/>
        <w:rPr>
          <w:rFonts w:ascii="Times New Roman" w:hAnsi="Times New Roman" w:cs="Times New Roman"/>
          <w:lang w:val="pt-P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COM(2018) 234.</w:t>
      </w:r>
    </w:p>
  </w:footnote>
  <w:footnote w:id="9">
    <w:p>
      <w:pPr>
        <w:pStyle w:val="FootnoteText"/>
        <w:rPr>
          <w:rFonts w:ascii="Times New Roman" w:hAnsi="Times New Roman" w:cs="Times New Roman"/>
          <w:lang w:val="pt-P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C(2018) 2375.</w:t>
      </w:r>
    </w:p>
  </w:footnote>
  <w:footnote w:id="10">
    <w:p>
      <w:pPr>
        <w:pStyle w:val="FootnoteText"/>
        <w:rPr>
          <w:rFonts w:ascii="Times New Roman" w:hAnsi="Times New Roman" w:cs="Times New Roman"/>
          <w:lang w:val="pt-P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SWD(2018) 125.</w:t>
      </w:r>
    </w:p>
  </w:footnote>
  <w:footnote w:id="11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Organizzazzjonijiet li l-attività ewlenija tagħhom hi li jipproduċu prodotti, servizzi u teknoloġiji relatati mad-dejta.</w:t>
      </w:r>
    </w:p>
  </w:footnote>
  <w:footnote w:id="12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L-OECD, Data-driven innovation. Big Data for Growth and Well-being, 2015.</w:t>
      </w:r>
    </w:p>
  </w:footnote>
  <w:footnote w:id="13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Dokumenti ta’ Ħidma tal-Persunal dwar l-evalwazzjonijiet tad-Direttiva dwar il-Makkinarju u tad-Direttiva dwar ir-Responsabilità għall-Prodotti Difettużi, u Dokument ta’ Ħidma tal-Persunal dwar ir-responsabbiltà għal teknoloġiji diġitali emerġenti.</w:t>
      </w:r>
    </w:p>
  </w:footnote>
  <w:footnote w:id="14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SWD(2018) 127.</w:t>
      </w:r>
    </w:p>
  </w:footnote>
  <w:footnote w:id="15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2">
        <w:r>
          <w:rPr>
            <w:rStyle w:val="Hyperlink"/>
            <w:rFonts w:ascii="Times New Roman" w:hAnsi="Times New Roman" w:cs="Times New Roman"/>
          </w:rPr>
          <w:t>Id-Direttiva 2003/98/KE tal-Parlament Ewropew u tal-Kunsill tas-17 ta’ Novembru 2003 dwar l-użu mill-ġdid ta’ informazzjoni tas-settur pubbliku</w:t>
        </w:r>
      </w:hyperlink>
      <w:r>
        <w:rPr>
          <w:rFonts w:ascii="Times New Roman" w:hAnsi="Times New Roman" w:cs="Times New Roman"/>
        </w:rPr>
        <w:t>.</w:t>
      </w:r>
    </w:p>
  </w:footnote>
  <w:footnote w:id="16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3">
        <w:r>
          <w:rPr>
            <w:rStyle w:val="Hyperlink"/>
            <w:rFonts w:ascii="Times New Roman" w:hAnsi="Times New Roman" w:cs="Times New Roman"/>
          </w:rPr>
          <w:t>https://www.europeandataportal.eu/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17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4">
        <w:r>
          <w:rPr>
            <w:rStyle w:val="Hyperlink"/>
            <w:rFonts w:ascii="Times New Roman" w:hAnsi="Times New Roman" w:cs="Times New Roman"/>
          </w:rPr>
          <w:t>Id-Deċiżjoni tal-Kummissjoni 2011/833/UE dwar l-użu mill-ġdid ta’ dokumenti tal-Kummissjoni</w:t>
        </w:r>
      </w:hyperlink>
      <w:r>
        <w:rPr>
          <w:rFonts w:ascii="Times New Roman" w:hAnsi="Times New Roman" w:cs="Times New Roman"/>
        </w:rPr>
        <w:t>.</w:t>
      </w:r>
    </w:p>
  </w:footnote>
  <w:footnote w:id="18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5">
        <w:r>
          <w:rPr>
            <w:rStyle w:val="Hyperlink"/>
            <w:rFonts w:ascii="Times New Roman" w:hAnsi="Times New Roman" w:cs="Times New Roman"/>
          </w:rPr>
          <w:t>https://data.europa.eu/euodp/en/home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19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COM(2018) 234.</w:t>
      </w:r>
    </w:p>
  </w:footnote>
  <w:footnote w:id="20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Il-problema prinċipali ta’ dawn l-arranġamenti hi li fil-prattika dawn iwasslu biex ftit utenti jużaw id-dejta mill-ġdid, u għalhekk din il-limitazzjoni fl-użu mill-ġdid mhix dovuta għall-ispeċifiċitajiet tas-suq iżda għall-mod kif ikun ġie konkluż l-arranġament pubbliku privat. Iż-żieda fit-trasparenza tal-proċess għandha l-għan li tillimita “il-vantaġġ eċċessiv tal-innovatur” billi a) tippermetti li kull kumpanija tkun taf dwar id-dejta disponibbli u b) iżżid il-possibbiltà ta’ firxa usa’ ta’ utenti li jużaw id-dejta inkwistjoni mill-ġdid.</w:t>
      </w:r>
    </w:p>
  </w:footnote>
  <w:footnote w:id="21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6">
        <w:r>
          <w:rPr>
            <w:rStyle w:val="Hyperlink"/>
            <w:rFonts w:ascii="Times New Roman" w:hAnsi="Times New Roman" w:cs="Times New Roman"/>
          </w:rPr>
          <w:t>Id-Direttiva tal-Parlament Ewropew u tal-Kunsill 96/9/KE tal-11 ta’ Marzu 1996 dwar il-protezzjoni legali ta’ databases</w:t>
        </w:r>
      </w:hyperlink>
      <w:r>
        <w:rPr>
          <w:rFonts w:ascii="Times New Roman" w:hAnsi="Times New Roman" w:cs="Times New Roman"/>
        </w:rPr>
        <w:t>.</w:t>
      </w:r>
    </w:p>
  </w:footnote>
  <w:footnote w:id="22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SWD(2018) 146.</w:t>
      </w:r>
    </w:p>
  </w:footnote>
  <w:footnote w:id="23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Bażi tad-dejta bħala sors wieħed tfisser li ma jkun hemm l-ebda sors ieħor tad-dejta għajr bażi tad-dejta waħda.</w:t>
      </w:r>
    </w:p>
  </w:footnote>
  <w:footnote w:id="24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SWD(2018) 145.</w:t>
      </w:r>
    </w:p>
  </w:footnote>
  <w:footnote w:id="25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7">
        <w:r>
          <w:rPr>
            <w:rStyle w:val="Hyperlink"/>
            <w:rFonts w:ascii="Times New Roman" w:hAnsi="Times New Roman" w:cs="Times New Roman"/>
          </w:rPr>
          <w:t>Id-Direttiva 2007/2/KE tal-Parlament Ewropew u tal-Kunsill tal-14 ta’ Marzu 2007</w:t>
        </w:r>
      </w:hyperlink>
      <w:r>
        <w:rPr>
          <w:rFonts w:ascii="Times New Roman" w:hAnsi="Times New Roman" w:cs="Times New Roman"/>
        </w:rPr>
        <w:t>.</w:t>
      </w:r>
    </w:p>
  </w:footnote>
  <w:footnote w:id="26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8">
        <w:r>
          <w:rPr>
            <w:rStyle w:val="Hyperlink"/>
            <w:rFonts w:ascii="Times New Roman" w:hAnsi="Times New Roman" w:cs="Times New Roman"/>
          </w:rPr>
          <w:t>http://data.europa.eu/europeandataportal</w:t>
        </w:r>
      </w:hyperlink>
      <w:r>
        <w:rPr>
          <w:rStyle w:val="Hyperlink"/>
          <w:rFonts w:ascii="Times New Roman" w:hAnsi="Times New Roman" w:cs="Times New Roman"/>
        </w:rPr>
        <w:t>.</w:t>
      </w:r>
    </w:p>
  </w:footnote>
  <w:footnote w:id="27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9">
        <w:r>
          <w:rPr>
            <w:rStyle w:val="Hyperlink"/>
            <w:rFonts w:ascii="Times New Roman" w:hAnsi="Times New Roman" w:cs="Times New Roman"/>
          </w:rPr>
          <w:t>https://ec.europa.eu/digital-single-market/en/news/connecting-europe-facility-cef-telecom-work-programme-2018-adopted</w:t>
        </w:r>
      </w:hyperlink>
      <w:r>
        <w:rPr>
          <w:rFonts w:ascii="Times New Roman" w:hAnsi="Times New Roman" w:cs="Times New Roman"/>
        </w:rPr>
        <w:t>.</w:t>
      </w:r>
    </w:p>
  </w:footnote>
  <w:footnote w:id="28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10">
        <w:r>
          <w:rPr>
            <w:rStyle w:val="Hyperlink"/>
            <w:rFonts w:ascii="Times New Roman" w:hAnsi="Times New Roman" w:cs="Times New Roman"/>
          </w:rPr>
          <w:t>https://cohesiondata.ec.europa.eu</w:t>
        </w:r>
      </w:hyperlink>
      <w:r>
        <w:rPr>
          <w:rFonts w:ascii="Times New Roman" w:hAnsi="Times New Roman" w:cs="Times New Roman"/>
        </w:rPr>
        <w:t>.</w:t>
      </w:r>
    </w:p>
  </w:footnote>
  <w:footnote w:id="29">
    <w:p>
      <w:pPr>
        <w:pStyle w:val="FootnoteText"/>
        <w:rPr>
          <w:rFonts w:ascii="Times New Roman" w:hAnsi="Times New Roman" w:cs="Times New Roman"/>
          <w:lang w:val="pt-P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COM(2018) 22 final.</w:t>
      </w:r>
    </w:p>
  </w:footnote>
  <w:footnote w:id="30">
    <w:p>
      <w:pPr>
        <w:pStyle w:val="FootnoteText"/>
        <w:rPr>
          <w:rFonts w:ascii="Times New Roman" w:hAnsi="Times New Roman" w:cs="Times New Roman"/>
          <w:lang w:val="pt-P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http://data.consilium.europa.eu/doc/document/ST-9526-2016-INIT/en/pdf.</w:t>
      </w:r>
    </w:p>
  </w:footnote>
  <w:footnote w:id="31">
    <w:p>
      <w:pPr>
        <w:pStyle w:val="Default"/>
        <w:rPr>
          <w:rFonts w:ascii="Times New Roman" w:hAnsi="Times New Roman" w:cs="Times New Roman"/>
          <w:lang w:val="pt-PT"/>
        </w:rPr>
      </w:pPr>
      <w:r>
        <w:rPr>
          <w:rStyle w:val="FootnoteReference"/>
          <w:rFonts w:ascii="Times New Roman" w:hAnsi="Times New Roman" w:cs="Times New Roman"/>
          <w:color w:val="auto"/>
          <w:sz w:val="20"/>
        </w:rPr>
        <w:footnoteRef/>
      </w:r>
      <w:r>
        <w:rPr>
          <w:rStyle w:val="FootnoteReference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auto"/>
          <w:sz w:val="20"/>
        </w:rPr>
        <w:t>SWD(2018) 83 final.</w:t>
      </w:r>
    </w:p>
  </w:footnote>
  <w:footnote w:id="32">
    <w:p>
      <w:pPr>
        <w:pStyle w:val="FootnoteText"/>
        <w:rPr>
          <w:rFonts w:ascii="Times New Roman" w:hAnsi="Times New Roman" w:cs="Times New Roman"/>
          <w:lang w:val="pt-P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C(2012) 4890 final.</w:t>
      </w:r>
    </w:p>
  </w:footnote>
  <w:footnote w:id="33">
    <w:p>
      <w:pPr>
        <w:pStyle w:val="FootnoteText"/>
        <w:rPr>
          <w:rFonts w:ascii="Times New Roman" w:hAnsi="Times New Roman" w:cs="Times New Roman"/>
          <w:lang w:val="pt-P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COM(2016) 178 final.</w:t>
      </w:r>
    </w:p>
  </w:footnote>
  <w:footnote w:id="34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COM(2017) 228 final.</w:t>
      </w:r>
    </w:p>
  </w:footnote>
  <w:footnote w:id="35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C(2018) 2375.</w:t>
      </w:r>
    </w:p>
  </w:footnote>
  <w:footnote w:id="36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COM(2018) 234.</w:t>
      </w:r>
    </w:p>
  </w:footnote>
  <w:footnote w:id="37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SWD(2018) 125 “Gwida dwar il-kondiviżjoni tad-dejta fis-settur privat fl-ekonomija Ewropea tad-dejta” li fiha żewġ partijiet: waħda li tittratta l-qsim tad-dejta bejn in-negozji (B2B), u waħda li tindirizza l-qsim tad-dejta bejn in-negozji u l-gvern (B2G).</w:t>
      </w:r>
    </w:p>
  </w:footnote>
  <w:footnote w:id="38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11">
        <w:r>
          <w:rPr>
            <w:rStyle w:val="Hyperlink"/>
            <w:rFonts w:ascii="Times New Roman" w:hAnsi="Times New Roman" w:cs="Times New Roman"/>
          </w:rPr>
          <w:t>https://ec.europa.eu/digital-single-market/en/news/public-consultation-building-european-data-economy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39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COM(2017) 9 final, p. 11.</w:t>
      </w:r>
    </w:p>
  </w:footnote>
  <w:footnote w:id="40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Eż. Id-dejta ġġenerata mir-robots fil-kuntest tal-proċessi industrijali, rilevanti għall-forniment tas-servizzi ta’ wara l-bejgħ (eż. it-tiswija u l-manutenzjoni), jew id-dejta dwar l-għoti tar-rata tal-klassifika tal-fornituri tas-servizzi.</w:t>
      </w:r>
    </w:p>
  </w:footnote>
  <w:footnote w:id="41">
    <w:p>
      <w:pPr>
        <w:pStyle w:val="FootnoteText"/>
        <w:rPr>
          <w:rFonts w:ascii="Times New Roman" w:hAnsi="Times New Roman" w:cs="Times New Roman"/>
          <w:lang w:val="pt-P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COM(2016) 180 final.</w:t>
      </w:r>
    </w:p>
  </w:footnote>
  <w:footnote w:id="42">
    <w:p>
      <w:pPr>
        <w:pStyle w:val="FootnoteText"/>
        <w:rPr>
          <w:rFonts w:ascii="Times New Roman" w:hAnsi="Times New Roman" w:cs="Times New Roman"/>
          <w:lang w:val="pt-P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12">
        <w:r>
          <w:rPr>
            <w:rStyle w:val="Hyperlink"/>
            <w:rFonts w:ascii="Times New Roman" w:hAnsi="Times New Roman" w:cs="Times New Roman"/>
          </w:rPr>
          <w:t>http://ec.europa.eu/research/participants/data/ref/h2020/wp/2018-2020/main/h2020-wp1820-leit-ict_en.pdf</w:t>
        </w:r>
      </w:hyperlink>
      <w:r>
        <w:rPr>
          <w:rFonts w:ascii="Times New Roman" w:hAnsi="Times New Roman" w:cs="Times New Roman"/>
        </w:rPr>
        <w:t>.</w:t>
      </w:r>
    </w:p>
  </w:footnote>
  <w:footnote w:id="43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SWD(2018) 125.</w:t>
      </w:r>
    </w:p>
  </w:footnote>
  <w:footnote w:id="44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Ara wkoll: Id-Dokument ta’ Ħidma tal-Persunal tal-Kummissjoni, SWD(2017) 2 final.</w:t>
      </w:r>
    </w:p>
  </w:footnote>
  <w:footnote w:id="45">
    <w:p>
      <w:pPr>
        <w:pStyle w:val="FootnoteText"/>
        <w:rPr>
          <w:rFonts w:ascii="Times New Roman" w:hAnsi="Times New Roman" w:cs="Times New Roman"/>
          <w:lang w:val="pt-P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COM(2018) 234.</w:t>
      </w:r>
    </w:p>
  </w:footnote>
  <w:footnote w:id="46">
    <w:p>
      <w:pPr>
        <w:pStyle w:val="FootnoteText"/>
        <w:rPr>
          <w:rFonts w:ascii="Times New Roman" w:hAnsi="Times New Roman" w:cs="Times New Roman"/>
          <w:lang w:val="pt-PT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COM(2018) 234.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DD224C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bullet"/>
      <w:pStyle w:val="Heading4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sz w:val="24"/>
        <w:szCs w:val="24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80"/>
        </w:tabs>
        <w:ind w:left="2880" w:hanging="719"/>
      </w:pPr>
      <w:rPr>
        <w:rFonts w:ascii="Arial" w:hAnsi="Arial" w:cs="Arial" w:hint="default"/>
        <w:b w:val="0"/>
        <w:i w:val="0"/>
        <w:sz w:val="2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4296" w:hanging="708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004" w:hanging="708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5712" w:hanging="708"/>
      </w:pPr>
      <w:rPr>
        <w:rFonts w:hint="default"/>
      </w:rPr>
    </w:lvl>
  </w:abstractNum>
  <w:abstractNum w:abstractNumId="1">
    <w:nsid w:val="012A4457"/>
    <w:multiLevelType w:val="hybridMultilevel"/>
    <w:tmpl w:val="4F9A17D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8E6A48"/>
    <w:multiLevelType w:val="hybridMultilevel"/>
    <w:tmpl w:val="1DBC0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4E16"/>
    <w:multiLevelType w:val="hybridMultilevel"/>
    <w:tmpl w:val="CBE008A2"/>
    <w:lvl w:ilvl="0" w:tplc="08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61" w:hanging="360"/>
      </w:pPr>
    </w:lvl>
    <w:lvl w:ilvl="2" w:tplc="0809001B" w:tentative="1">
      <w:start w:val="1"/>
      <w:numFmt w:val="lowerRoman"/>
      <w:lvlText w:val="%3."/>
      <w:lvlJc w:val="right"/>
      <w:pPr>
        <w:ind w:left="459" w:hanging="180"/>
      </w:pPr>
    </w:lvl>
    <w:lvl w:ilvl="3" w:tplc="0809000F" w:tentative="1">
      <w:start w:val="1"/>
      <w:numFmt w:val="decimal"/>
      <w:lvlText w:val="%4."/>
      <w:lvlJc w:val="left"/>
      <w:pPr>
        <w:ind w:left="1179" w:hanging="360"/>
      </w:pPr>
    </w:lvl>
    <w:lvl w:ilvl="4" w:tplc="08090019" w:tentative="1">
      <w:start w:val="1"/>
      <w:numFmt w:val="lowerLetter"/>
      <w:lvlText w:val="%5."/>
      <w:lvlJc w:val="left"/>
      <w:pPr>
        <w:ind w:left="1899" w:hanging="360"/>
      </w:pPr>
    </w:lvl>
    <w:lvl w:ilvl="5" w:tplc="0809001B" w:tentative="1">
      <w:start w:val="1"/>
      <w:numFmt w:val="lowerRoman"/>
      <w:lvlText w:val="%6."/>
      <w:lvlJc w:val="right"/>
      <w:pPr>
        <w:ind w:left="2619" w:hanging="180"/>
      </w:pPr>
    </w:lvl>
    <w:lvl w:ilvl="6" w:tplc="0809000F" w:tentative="1">
      <w:start w:val="1"/>
      <w:numFmt w:val="decimal"/>
      <w:lvlText w:val="%7."/>
      <w:lvlJc w:val="left"/>
      <w:pPr>
        <w:ind w:left="3339" w:hanging="360"/>
      </w:pPr>
    </w:lvl>
    <w:lvl w:ilvl="7" w:tplc="08090019" w:tentative="1">
      <w:start w:val="1"/>
      <w:numFmt w:val="lowerLetter"/>
      <w:lvlText w:val="%8."/>
      <w:lvlJc w:val="left"/>
      <w:pPr>
        <w:ind w:left="4059" w:hanging="360"/>
      </w:pPr>
    </w:lvl>
    <w:lvl w:ilvl="8" w:tplc="080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4">
    <w:nsid w:val="0BB26B5F"/>
    <w:multiLevelType w:val="hybridMultilevel"/>
    <w:tmpl w:val="E708D1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57DC2"/>
    <w:multiLevelType w:val="hybridMultilevel"/>
    <w:tmpl w:val="98A45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7F6B3E"/>
    <w:multiLevelType w:val="hybridMultilevel"/>
    <w:tmpl w:val="1012CD62"/>
    <w:lvl w:ilvl="0" w:tplc="49B631B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9106A"/>
    <w:multiLevelType w:val="hybridMultilevel"/>
    <w:tmpl w:val="9296FE22"/>
    <w:lvl w:ilvl="0" w:tplc="56880A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0879FD"/>
    <w:multiLevelType w:val="hybridMultilevel"/>
    <w:tmpl w:val="D76E5618"/>
    <w:lvl w:ilvl="0" w:tplc="56880A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3B2E30"/>
    <w:multiLevelType w:val="hybridMultilevel"/>
    <w:tmpl w:val="5816D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C6947"/>
    <w:multiLevelType w:val="hybridMultilevel"/>
    <w:tmpl w:val="275C47AA"/>
    <w:lvl w:ilvl="0" w:tplc="E29637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F5FBD"/>
    <w:multiLevelType w:val="hybridMultilevel"/>
    <w:tmpl w:val="5766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906CDF"/>
    <w:multiLevelType w:val="hybridMultilevel"/>
    <w:tmpl w:val="96084F2E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4F7EAB"/>
    <w:multiLevelType w:val="hybridMultilevel"/>
    <w:tmpl w:val="1632DC8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24398E"/>
    <w:multiLevelType w:val="hybridMultilevel"/>
    <w:tmpl w:val="75F81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D94993"/>
    <w:multiLevelType w:val="hybridMultilevel"/>
    <w:tmpl w:val="8294061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6576A"/>
    <w:multiLevelType w:val="hybridMultilevel"/>
    <w:tmpl w:val="6A7813AA"/>
    <w:lvl w:ilvl="0" w:tplc="E29637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A06B3F"/>
    <w:multiLevelType w:val="hybridMultilevel"/>
    <w:tmpl w:val="56AC7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805631"/>
    <w:multiLevelType w:val="hybridMultilevel"/>
    <w:tmpl w:val="08E6DD5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3D2780"/>
    <w:multiLevelType w:val="hybridMultilevel"/>
    <w:tmpl w:val="1C728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82587"/>
    <w:multiLevelType w:val="hybridMultilevel"/>
    <w:tmpl w:val="D33A1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C782E"/>
    <w:multiLevelType w:val="hybridMultilevel"/>
    <w:tmpl w:val="B720F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F30B8A"/>
    <w:multiLevelType w:val="hybridMultilevel"/>
    <w:tmpl w:val="BBD443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BB3DC7"/>
    <w:multiLevelType w:val="hybridMultilevel"/>
    <w:tmpl w:val="58448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F7521"/>
    <w:multiLevelType w:val="hybridMultilevel"/>
    <w:tmpl w:val="B2AE7432"/>
    <w:lvl w:ilvl="0" w:tplc="8408D04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D0F4BB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AC0B55"/>
    <w:multiLevelType w:val="hybridMultilevel"/>
    <w:tmpl w:val="F020C23E"/>
    <w:lvl w:ilvl="0" w:tplc="08090017">
      <w:start w:val="1"/>
      <w:numFmt w:val="lowerLetter"/>
      <w:lvlText w:val="%1)"/>
      <w:lvlJc w:val="left"/>
      <w:pPr>
        <w:ind w:left="1288" w:hanging="360"/>
      </w:p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>
    <w:nsid w:val="5B3973BF"/>
    <w:multiLevelType w:val="hybridMultilevel"/>
    <w:tmpl w:val="767AAFDE"/>
    <w:lvl w:ilvl="0" w:tplc="D0F4BB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E732505"/>
    <w:multiLevelType w:val="hybridMultilevel"/>
    <w:tmpl w:val="E37CC0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44431"/>
    <w:multiLevelType w:val="hybridMultilevel"/>
    <w:tmpl w:val="AE5EF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FE2D66"/>
    <w:multiLevelType w:val="hybridMultilevel"/>
    <w:tmpl w:val="CBC834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44FE3"/>
    <w:multiLevelType w:val="hybridMultilevel"/>
    <w:tmpl w:val="ECAC2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7472CC9"/>
    <w:multiLevelType w:val="hybridMultilevel"/>
    <w:tmpl w:val="49467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475421"/>
    <w:multiLevelType w:val="hybridMultilevel"/>
    <w:tmpl w:val="79728134"/>
    <w:lvl w:ilvl="0" w:tplc="50C4C618">
      <w:start w:val="1"/>
      <w:numFmt w:val="bullet"/>
      <w:lvlText w:val="‒"/>
      <w:lvlJc w:val="left"/>
      <w:pPr>
        <w:ind w:left="36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BEF5024"/>
    <w:multiLevelType w:val="hybridMultilevel"/>
    <w:tmpl w:val="90A69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6507A6"/>
    <w:multiLevelType w:val="hybridMultilevel"/>
    <w:tmpl w:val="A5ECD776"/>
    <w:lvl w:ilvl="0" w:tplc="E29637B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7"/>
  </w:num>
  <w:num w:numId="4">
    <w:abstractNumId w:val="10"/>
  </w:num>
  <w:num w:numId="5">
    <w:abstractNumId w:val="8"/>
  </w:num>
  <w:num w:numId="6">
    <w:abstractNumId w:val="26"/>
  </w:num>
  <w:num w:numId="7">
    <w:abstractNumId w:val="18"/>
  </w:num>
  <w:num w:numId="8">
    <w:abstractNumId w:val="13"/>
  </w:num>
  <w:num w:numId="9">
    <w:abstractNumId w:val="24"/>
  </w:num>
  <w:num w:numId="10">
    <w:abstractNumId w:val="12"/>
  </w:num>
  <w:num w:numId="11">
    <w:abstractNumId w:val="5"/>
  </w:num>
  <w:num w:numId="12">
    <w:abstractNumId w:val="14"/>
  </w:num>
  <w:num w:numId="13">
    <w:abstractNumId w:val="31"/>
  </w:num>
  <w:num w:numId="14">
    <w:abstractNumId w:val="27"/>
  </w:num>
  <w:num w:numId="15">
    <w:abstractNumId w:val="32"/>
  </w:num>
  <w:num w:numId="16">
    <w:abstractNumId w:val="25"/>
  </w:num>
  <w:num w:numId="17">
    <w:abstractNumId w:val="20"/>
  </w:num>
  <w:num w:numId="18">
    <w:abstractNumId w:val="21"/>
  </w:num>
  <w:num w:numId="19">
    <w:abstractNumId w:val="1"/>
  </w:num>
  <w:num w:numId="20">
    <w:abstractNumId w:val="9"/>
  </w:num>
  <w:num w:numId="21">
    <w:abstractNumId w:val="29"/>
  </w:num>
  <w:num w:numId="22">
    <w:abstractNumId w:val="15"/>
  </w:num>
  <w:num w:numId="23">
    <w:abstractNumId w:val="16"/>
  </w:num>
  <w:num w:numId="24">
    <w:abstractNumId w:val="6"/>
  </w:num>
  <w:num w:numId="25">
    <w:abstractNumId w:val="2"/>
  </w:num>
  <w:num w:numId="26">
    <w:abstractNumId w:val="17"/>
  </w:num>
  <w:num w:numId="27">
    <w:abstractNumId w:val="30"/>
  </w:num>
  <w:num w:numId="28">
    <w:abstractNumId w:val="22"/>
  </w:num>
  <w:num w:numId="29">
    <w:abstractNumId w:val="4"/>
  </w:num>
  <w:num w:numId="30">
    <w:abstractNumId w:val="19"/>
  </w:num>
  <w:num w:numId="31">
    <w:abstractNumId w:val="33"/>
  </w:num>
  <w:num w:numId="32">
    <w:abstractNumId w:val="11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ENIER Patrick (RTD)">
    <w15:presenceInfo w15:providerId="None" w15:userId="BRENIER Patrick (RTD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hideSpellingErrors/>
  <w:hideGrammaticalErrors/>
  <w:activeWritingStyle w:appName="MSWord" w:lang="pt-P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BE" w:vendorID="64" w:dllVersion="131078" w:nlCheck="1" w:checkStyle="0"/>
  <w:activeWritingStyle w:appName="MSWord" w:lang="fr-FR" w:vendorID="64" w:dllVersion="131078" w:nlCheck="1" w:checkStyle="1"/>
  <w:activeWritingStyle w:appName="MSWord" w:lang="de-CH" w:vendorID="64" w:dllVersion="131078" w:nlCheck="1" w:checkStyle="1"/>
  <w:revisionView w:markup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D5872AFF-EEEC-4D8C-90EF-C9A43E4A3CB4"/>
    <w:docVar w:name="LW_COVERPAGE_TYPE" w:val="1"/>
    <w:docVar w:name="LW_CROSSREFERENCE" w:val="{SWD(2018) 125 final}"/>
    <w:docVar w:name="LW_DocType" w:val="NORMAL"/>
    <w:docVar w:name="LW_EMISSION" w:val="25.4.2018"/>
    <w:docVar w:name="LW_EMISSION_ISODATE" w:val="2018-04-25"/>
    <w:docVar w:name="LW_EMISSION_LOCATION" w:val="BRX"/>
    <w:docVar w:name="LW_EMISSION_PREFIX" w:val="Brussell, "/>
    <w:docVar w:name="LW_EMISSION_SUFFIX" w:val=" "/>
    <w:docVar w:name="LW_ID_DOCTYPE_NONLW" w:val="CP-014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8) 23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ITRE.OBJ.CP" w:val="Komunikazzjoni \u8220?G\u295?al spazju tad-dejta komuni Ewropew\u8221?"/>
    <w:docVar w:name="LW_TYPE.DOC.CP" w:val="KOMUNIKAZZJONI TAL-KUMMISSJONI LILL-PARLAMENT EWROPEW, LILL-KUNSILL, LILL-KUMITAT EKONOMIKU U SO\u266?JALI EWROPEW U LILL-KUMITAT TAR-RE\u288?JUNI"/>
    <w:docVar w:name="LW_TYPE.DOC.CP.USERTEXT" w:val="&lt;EMPTY&gt;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footnote reference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34"/>
      </w:numPr>
      <w:overflowPunct w:val="0"/>
      <w:autoSpaceDE w:val="0"/>
      <w:autoSpaceDN w:val="0"/>
      <w:adjustRightInd w:val="0"/>
      <w:spacing w:after="270" w:line="240" w:lineRule="exact"/>
      <w:textAlignment w:val="baseline"/>
      <w:outlineLvl w:val="0"/>
    </w:pPr>
    <w:rPr>
      <w:rFonts w:ascii="Times New Roman" w:eastAsia="Times New Roman" w:hAnsi="Times New Roman" w:cs="Arial"/>
      <w:b/>
      <w:kern w:val="28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34"/>
      </w:numPr>
      <w:overflowPunct w:val="0"/>
      <w:autoSpaceDE w:val="0"/>
      <w:autoSpaceDN w:val="0"/>
      <w:adjustRightInd w:val="0"/>
      <w:spacing w:after="270" w:line="240" w:lineRule="exact"/>
      <w:jc w:val="both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34"/>
      </w:numPr>
      <w:overflowPunct w:val="0"/>
      <w:autoSpaceDE w:val="0"/>
      <w:autoSpaceDN w:val="0"/>
      <w:adjustRightInd w:val="0"/>
      <w:spacing w:after="270" w:line="240" w:lineRule="exact"/>
      <w:jc w:val="both"/>
      <w:textAlignment w:val="baseline"/>
      <w:outlineLvl w:val="4"/>
    </w:pPr>
    <w:rPr>
      <w:rFonts w:ascii="Arial" w:eastAsia="Times New Roman" w:hAnsi="Arial" w:cs="Arial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34"/>
      </w:numPr>
      <w:overflowPunct w:val="0"/>
      <w:autoSpaceDE w:val="0"/>
      <w:autoSpaceDN w:val="0"/>
      <w:adjustRightInd w:val="0"/>
      <w:spacing w:after="270" w:line="240" w:lineRule="exact"/>
      <w:jc w:val="both"/>
      <w:textAlignment w:val="baseline"/>
      <w:outlineLvl w:val="5"/>
    </w:pPr>
    <w:rPr>
      <w:rFonts w:ascii="Arial" w:eastAsia="Times New Roman" w:hAnsi="Arial" w:cs="Arial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34"/>
      </w:numPr>
      <w:overflowPunct w:val="0"/>
      <w:autoSpaceDE w:val="0"/>
      <w:autoSpaceDN w:val="0"/>
      <w:adjustRightInd w:val="0"/>
      <w:spacing w:before="240" w:after="60" w:line="240" w:lineRule="exact"/>
      <w:jc w:val="both"/>
      <w:textAlignment w:val="baseline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34"/>
      </w:numPr>
      <w:overflowPunct w:val="0"/>
      <w:autoSpaceDE w:val="0"/>
      <w:autoSpaceDN w:val="0"/>
      <w:adjustRightInd w:val="0"/>
      <w:spacing w:before="240" w:after="60" w:line="240" w:lineRule="exact"/>
      <w:jc w:val="both"/>
      <w:textAlignment w:val="baseline"/>
      <w:outlineLvl w:val="7"/>
    </w:pPr>
    <w:rPr>
      <w:rFonts w:ascii="Arial" w:eastAsia="Times New Roman" w:hAnsi="Arial" w:cs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34"/>
      </w:numPr>
      <w:overflowPunct w:val="0"/>
      <w:autoSpaceDE w:val="0"/>
      <w:autoSpaceDN w:val="0"/>
      <w:adjustRightInd w:val="0"/>
      <w:spacing w:before="240" w:after="60" w:line="240" w:lineRule="exact"/>
      <w:jc w:val="both"/>
      <w:textAlignment w:val="baseline"/>
      <w:outlineLvl w:val="8"/>
    </w:pPr>
    <w:rPr>
      <w:rFonts w:ascii="Arial" w:eastAsia="Times New Roman" w:hAnsi="Arial" w:cs="Arial"/>
      <w:b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ListParagraph">
    <w:name w:val="List Paragraph"/>
    <w:aliases w:val="Normal bullet 2,Bullet list,Numbered List,List Paragraph1,1st level - Bullet List Paragraph,Lettre d'introduction,Paragrafo elenco,Fiche List Paragraph,Task Body,Viñetas (Inicio Parrafo),3 Txt tabla,Zerrenda-paragrafoa,Dot pt"/>
    <w:basedOn w:val="Normal"/>
    <w:link w:val="ListParagraphChar"/>
    <w:uiPriority w:val="34"/>
    <w:qFormat/>
    <w:pPr>
      <w:ind w:left="720"/>
      <w:contextualSpacing/>
    </w:pPr>
  </w:style>
  <w:style w:type="paragraph" w:styleId="FootnoteText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ußnotentextf"/>
    <w:basedOn w:val="Normal"/>
    <w:link w:val="Foot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har Char,Fußnote Char,Carattere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qFormat/>
    <w:rPr>
      <w:sz w:val="20"/>
      <w:szCs w:val="20"/>
    </w:rPr>
  </w:style>
  <w:style w:type="character" w:styleId="FootnoteReference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FR"/>
    <w:basedOn w:val="DefaultParagraphFont"/>
    <w:link w:val="FootnotesymbolCarZchn"/>
    <w:uiPriority w:val="99"/>
    <w:unhideWhenUsed/>
    <w:qFormat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qFormat/>
    <w:pPr>
      <w:spacing w:after="160" w:line="240" w:lineRule="exact"/>
      <w:jc w:val="both"/>
    </w:pPr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EC Square Sans Cond Pro" w:hAnsi="EC Square Sans Cond Pro" w:cs="EC Square Sans Cond Pro"/>
      <w:color w:val="000000"/>
      <w:sz w:val="24"/>
      <w:szCs w:val="24"/>
    </w:rPr>
  </w:style>
  <w:style w:type="paragraph" w:customStyle="1" w:styleId="Source">
    <w:name w:val="Source"/>
    <w:basedOn w:val="Normal"/>
    <w:link w:val="SourceChar"/>
    <w:qFormat/>
    <w:pPr>
      <w:spacing w:before="60" w:after="110" w:line="220" w:lineRule="exact"/>
      <w:ind w:left="357" w:right="2160"/>
      <w:jc w:val="both"/>
    </w:pPr>
    <w:rPr>
      <w:rFonts w:ascii="Arial" w:hAnsi="Arial" w:cs="Arial"/>
      <w:sz w:val="18"/>
      <w:szCs w:val="18"/>
    </w:rPr>
  </w:style>
  <w:style w:type="character" w:customStyle="1" w:styleId="SourceChar">
    <w:name w:val="Source Char"/>
    <w:basedOn w:val="DefaultParagraphFont"/>
    <w:link w:val="Source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white-space">
    <w:name w:val="white-space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umpedfont15">
    <w:name w:val="bumpedfont15"/>
    <w:basedOn w:val="DefaultParagraphFont"/>
  </w:style>
  <w:style w:type="paragraph" w:styleId="ListBullet">
    <w:name w:val="List Bullet"/>
    <w:basedOn w:val="Normal"/>
    <w:uiPriority w:val="9"/>
    <w:unhideWhenUsed/>
    <w:qFormat/>
    <w:pPr>
      <w:numPr>
        <w:numId w:val="10"/>
      </w:numPr>
      <w:spacing w:after="120" w:line="256" w:lineRule="auto"/>
    </w:pPr>
    <w:rPr>
      <w:color w:val="595959" w:themeColor="text1" w:themeTint="A6"/>
      <w:sz w:val="30"/>
      <w:szCs w:val="30"/>
    </w:rPr>
  </w:style>
  <w:style w:type="paragraph" w:customStyle="1" w:styleId="FootnotesymbolCharCharCharChar">
    <w:name w:val="Footnote symbol Char Char Char Char"/>
    <w:aliases w:val="Voetnootverwijzing Char Char Char Char,Times 10 Point Char Char Char Char,Exposant 3 Point Char Char Char Char,Footnote Reference Superscript Char Char Char Cha"/>
    <w:basedOn w:val="Normal"/>
    <w:uiPriority w:val="99"/>
    <w:pPr>
      <w:spacing w:after="160" w:line="240" w:lineRule="exact"/>
    </w:pPr>
    <w:rPr>
      <w:vertAlign w:val="superscrip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customStyle="1" w:styleId="FootnoteReferenceSuperscriptZchn">
    <w:name w:val="Footnote Reference Superscript Zchn"/>
    <w:aliases w:val="BVI fnr Zchn, BVI fnr Zchn,Footnote symbol Zchn,Footnote reference number Zchn,note TESI Zchn,Appel note de bas de p Zchn,Nota Zchn,SUPERS Zchn,Footnote number Zchn,EN Footnote Reference Zchn"/>
    <w:basedOn w:val="Normal"/>
    <w:uiPriority w:val="99"/>
    <w:pPr>
      <w:spacing w:after="160" w:line="240" w:lineRule="exact"/>
      <w:jc w:val="both"/>
    </w:pPr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5Normal">
    <w:name w:val="5 Normal"/>
    <w:basedOn w:val="Normal"/>
    <w:link w:val="5NormalChar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ind w:right="57"/>
      <w:jc w:val="both"/>
    </w:pPr>
    <w:rPr>
      <w:rFonts w:ascii="Verdana" w:eastAsia="Times New Roman" w:hAnsi="Verdana" w:cs="Times New Roman"/>
      <w:spacing w:val="-2"/>
      <w:sz w:val="20"/>
      <w:szCs w:val="24"/>
    </w:rPr>
  </w:style>
  <w:style w:type="character" w:customStyle="1" w:styleId="5NormalChar">
    <w:name w:val="5 Normal Char"/>
    <w:link w:val="5Normal"/>
    <w:locked/>
    <w:rPr>
      <w:rFonts w:ascii="Verdana" w:eastAsia="Times New Roman" w:hAnsi="Verdana" w:cs="Times New Roman"/>
      <w:spacing w:val="-2"/>
      <w:sz w:val="20"/>
      <w:szCs w:val="24"/>
      <w:lang w:eastAsia="mt-MT"/>
    </w:rPr>
  </w:style>
  <w:style w:type="paragraph" w:customStyle="1" w:styleId="Declassification">
    <w:name w:val="Declassification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ListParagraphChar">
    <w:name w:val="List Paragraph Char"/>
    <w:aliases w:val="Normal bullet 2 Char,Bullet list Char,Numbered List Char,List Paragraph1 Char,1st level - Bullet List Paragraph Char,Lettre d'introduction Char,Paragrafo elenco Char,Fiche List Paragraph Char,Task Body Char,3 Txt tabla Char"/>
    <w:basedOn w:val="DefaultParagraphFont"/>
    <w:link w:val="ListParagraph"/>
    <w:uiPriority w:val="34"/>
    <w:qFormat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character" w:customStyle="1" w:styleId="st1">
    <w:name w:val="st1"/>
    <w:basedOn w:val="DefaultParagraphFont"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Arial"/>
      <w:b/>
      <w:kern w:val="28"/>
      <w:sz w:val="28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Arial"/>
      <w:sz w:val="20"/>
      <w:szCs w:val="20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sz w:val="20"/>
      <w:szCs w:val="20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Arial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b/>
      <w:i/>
      <w:sz w:val="18"/>
      <w:szCs w:val="20"/>
    </w:rPr>
  </w:style>
  <w:style w:type="paragraph" w:customStyle="1" w:styleId="Titreobjet">
    <w:name w:val="Titre objet"/>
    <w:basedOn w:val="Normal"/>
    <w:next w:val="Normal"/>
    <w:pPr>
      <w:spacing w:before="360" w:after="360" w:line="240" w:lineRule="auto"/>
      <w:jc w:val="center"/>
    </w:pPr>
    <w:rPr>
      <w:rFonts w:ascii="Times New Roman" w:hAnsi="Times New Roman" w:cs="Times New Roman"/>
      <w:b/>
      <w:sz w:val="24"/>
      <w:lang w:eastAsia="en-US" w:bidi="ar-SA"/>
    </w:rPr>
  </w:style>
  <w:style w:type="paragraph" w:customStyle="1" w:styleId="TitreobjetPagedecouverture">
    <w:name w:val="Titre objet (Page de couverture)"/>
    <w:basedOn w:val="Titreobjet"/>
    <w:next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footnote reference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34"/>
      </w:numPr>
      <w:overflowPunct w:val="0"/>
      <w:autoSpaceDE w:val="0"/>
      <w:autoSpaceDN w:val="0"/>
      <w:adjustRightInd w:val="0"/>
      <w:spacing w:after="270" w:line="240" w:lineRule="exact"/>
      <w:textAlignment w:val="baseline"/>
      <w:outlineLvl w:val="0"/>
    </w:pPr>
    <w:rPr>
      <w:rFonts w:ascii="Times New Roman" w:eastAsia="Times New Roman" w:hAnsi="Times New Roman" w:cs="Arial"/>
      <w:b/>
      <w:kern w:val="28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34"/>
      </w:numPr>
      <w:overflowPunct w:val="0"/>
      <w:autoSpaceDE w:val="0"/>
      <w:autoSpaceDN w:val="0"/>
      <w:adjustRightInd w:val="0"/>
      <w:spacing w:after="270" w:line="240" w:lineRule="exact"/>
      <w:jc w:val="both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34"/>
      </w:numPr>
      <w:overflowPunct w:val="0"/>
      <w:autoSpaceDE w:val="0"/>
      <w:autoSpaceDN w:val="0"/>
      <w:adjustRightInd w:val="0"/>
      <w:spacing w:after="270" w:line="240" w:lineRule="exact"/>
      <w:jc w:val="both"/>
      <w:textAlignment w:val="baseline"/>
      <w:outlineLvl w:val="4"/>
    </w:pPr>
    <w:rPr>
      <w:rFonts w:ascii="Arial" w:eastAsia="Times New Roman" w:hAnsi="Arial" w:cs="Arial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34"/>
      </w:numPr>
      <w:overflowPunct w:val="0"/>
      <w:autoSpaceDE w:val="0"/>
      <w:autoSpaceDN w:val="0"/>
      <w:adjustRightInd w:val="0"/>
      <w:spacing w:after="270" w:line="240" w:lineRule="exact"/>
      <w:jc w:val="both"/>
      <w:textAlignment w:val="baseline"/>
      <w:outlineLvl w:val="5"/>
    </w:pPr>
    <w:rPr>
      <w:rFonts w:ascii="Arial" w:eastAsia="Times New Roman" w:hAnsi="Arial" w:cs="Arial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34"/>
      </w:numPr>
      <w:overflowPunct w:val="0"/>
      <w:autoSpaceDE w:val="0"/>
      <w:autoSpaceDN w:val="0"/>
      <w:adjustRightInd w:val="0"/>
      <w:spacing w:before="240" w:after="60" w:line="240" w:lineRule="exact"/>
      <w:jc w:val="both"/>
      <w:textAlignment w:val="baseline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34"/>
      </w:numPr>
      <w:overflowPunct w:val="0"/>
      <w:autoSpaceDE w:val="0"/>
      <w:autoSpaceDN w:val="0"/>
      <w:adjustRightInd w:val="0"/>
      <w:spacing w:before="240" w:after="60" w:line="240" w:lineRule="exact"/>
      <w:jc w:val="both"/>
      <w:textAlignment w:val="baseline"/>
      <w:outlineLvl w:val="7"/>
    </w:pPr>
    <w:rPr>
      <w:rFonts w:ascii="Arial" w:eastAsia="Times New Roman" w:hAnsi="Arial" w:cs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34"/>
      </w:numPr>
      <w:overflowPunct w:val="0"/>
      <w:autoSpaceDE w:val="0"/>
      <w:autoSpaceDN w:val="0"/>
      <w:adjustRightInd w:val="0"/>
      <w:spacing w:before="240" w:after="60" w:line="240" w:lineRule="exact"/>
      <w:jc w:val="both"/>
      <w:textAlignment w:val="baseline"/>
      <w:outlineLvl w:val="8"/>
    </w:pPr>
    <w:rPr>
      <w:rFonts w:ascii="Arial" w:eastAsia="Times New Roman" w:hAnsi="Arial" w:cs="Arial"/>
      <w:b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ListParagraph">
    <w:name w:val="List Paragraph"/>
    <w:aliases w:val="Normal bullet 2,Bullet list,Numbered List,List Paragraph1,1st level - Bullet List Paragraph,Lettre d'introduction,Paragrafo elenco,Fiche List Paragraph,Task Body,Viñetas (Inicio Parrafo),3 Txt tabla,Zerrenda-paragrafoa,Dot pt"/>
    <w:basedOn w:val="Normal"/>
    <w:link w:val="ListParagraphChar"/>
    <w:uiPriority w:val="34"/>
    <w:qFormat/>
    <w:pPr>
      <w:ind w:left="720"/>
      <w:contextualSpacing/>
    </w:pPr>
  </w:style>
  <w:style w:type="paragraph" w:styleId="FootnoteText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ußnotentextf"/>
    <w:basedOn w:val="Normal"/>
    <w:link w:val="Foot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har Char,Fußnote Char,Carattere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qFormat/>
    <w:rPr>
      <w:sz w:val="20"/>
      <w:szCs w:val="20"/>
    </w:rPr>
  </w:style>
  <w:style w:type="character" w:styleId="FootnoteReference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FR"/>
    <w:basedOn w:val="DefaultParagraphFont"/>
    <w:link w:val="FootnotesymbolCarZchn"/>
    <w:uiPriority w:val="99"/>
    <w:unhideWhenUsed/>
    <w:qFormat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qFormat/>
    <w:pPr>
      <w:spacing w:after="160" w:line="240" w:lineRule="exact"/>
      <w:jc w:val="both"/>
    </w:pPr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EC Square Sans Cond Pro" w:hAnsi="EC Square Sans Cond Pro" w:cs="EC Square Sans Cond Pro"/>
      <w:color w:val="000000"/>
      <w:sz w:val="24"/>
      <w:szCs w:val="24"/>
    </w:rPr>
  </w:style>
  <w:style w:type="paragraph" w:customStyle="1" w:styleId="Source">
    <w:name w:val="Source"/>
    <w:basedOn w:val="Normal"/>
    <w:link w:val="SourceChar"/>
    <w:qFormat/>
    <w:pPr>
      <w:spacing w:before="60" w:after="110" w:line="220" w:lineRule="exact"/>
      <w:ind w:left="357" w:right="2160"/>
      <w:jc w:val="both"/>
    </w:pPr>
    <w:rPr>
      <w:rFonts w:ascii="Arial" w:hAnsi="Arial" w:cs="Arial"/>
      <w:sz w:val="18"/>
      <w:szCs w:val="18"/>
    </w:rPr>
  </w:style>
  <w:style w:type="character" w:customStyle="1" w:styleId="SourceChar">
    <w:name w:val="Source Char"/>
    <w:basedOn w:val="DefaultParagraphFont"/>
    <w:link w:val="Source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white-space">
    <w:name w:val="white-space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umpedfont15">
    <w:name w:val="bumpedfont15"/>
    <w:basedOn w:val="DefaultParagraphFont"/>
  </w:style>
  <w:style w:type="paragraph" w:styleId="ListBullet">
    <w:name w:val="List Bullet"/>
    <w:basedOn w:val="Normal"/>
    <w:uiPriority w:val="9"/>
    <w:unhideWhenUsed/>
    <w:qFormat/>
    <w:pPr>
      <w:numPr>
        <w:numId w:val="10"/>
      </w:numPr>
      <w:spacing w:after="120" w:line="256" w:lineRule="auto"/>
    </w:pPr>
    <w:rPr>
      <w:color w:val="595959" w:themeColor="text1" w:themeTint="A6"/>
      <w:sz w:val="30"/>
      <w:szCs w:val="30"/>
    </w:rPr>
  </w:style>
  <w:style w:type="paragraph" w:customStyle="1" w:styleId="FootnotesymbolCharCharCharChar">
    <w:name w:val="Footnote symbol Char Char Char Char"/>
    <w:aliases w:val="Voetnootverwijzing Char Char Char Char,Times 10 Point Char Char Char Char,Exposant 3 Point Char Char Char Char,Footnote Reference Superscript Char Char Char Cha"/>
    <w:basedOn w:val="Normal"/>
    <w:uiPriority w:val="99"/>
    <w:pPr>
      <w:spacing w:after="160" w:line="240" w:lineRule="exact"/>
    </w:pPr>
    <w:rPr>
      <w:vertAlign w:val="superscrip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customStyle="1" w:styleId="FootnoteReferenceSuperscriptZchn">
    <w:name w:val="Footnote Reference Superscript Zchn"/>
    <w:aliases w:val="BVI fnr Zchn, BVI fnr Zchn,Footnote symbol Zchn,Footnote reference number Zchn,note TESI Zchn,Appel note de bas de p Zchn,Nota Zchn,SUPERS Zchn,Footnote number Zchn,EN Footnote Reference Zchn"/>
    <w:basedOn w:val="Normal"/>
    <w:uiPriority w:val="99"/>
    <w:pPr>
      <w:spacing w:after="160" w:line="240" w:lineRule="exact"/>
      <w:jc w:val="both"/>
    </w:pPr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5Normal">
    <w:name w:val="5 Normal"/>
    <w:basedOn w:val="Normal"/>
    <w:link w:val="5NormalChar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ind w:right="57"/>
      <w:jc w:val="both"/>
    </w:pPr>
    <w:rPr>
      <w:rFonts w:ascii="Verdana" w:eastAsia="Times New Roman" w:hAnsi="Verdana" w:cs="Times New Roman"/>
      <w:spacing w:val="-2"/>
      <w:sz w:val="20"/>
      <w:szCs w:val="24"/>
    </w:rPr>
  </w:style>
  <w:style w:type="character" w:customStyle="1" w:styleId="5NormalChar">
    <w:name w:val="5 Normal Char"/>
    <w:link w:val="5Normal"/>
    <w:locked/>
    <w:rPr>
      <w:rFonts w:ascii="Verdana" w:eastAsia="Times New Roman" w:hAnsi="Verdana" w:cs="Times New Roman"/>
      <w:spacing w:val="-2"/>
      <w:sz w:val="20"/>
      <w:szCs w:val="24"/>
      <w:lang w:eastAsia="mt-MT"/>
    </w:rPr>
  </w:style>
  <w:style w:type="paragraph" w:customStyle="1" w:styleId="Declassification">
    <w:name w:val="Declassification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ListParagraphChar">
    <w:name w:val="List Paragraph Char"/>
    <w:aliases w:val="Normal bullet 2 Char,Bullet list Char,Numbered List Char,List Paragraph1 Char,1st level - Bullet List Paragraph Char,Lettre d'introduction Char,Paragrafo elenco Char,Fiche List Paragraph Char,Task Body Char,3 Txt tabla Char"/>
    <w:basedOn w:val="DefaultParagraphFont"/>
    <w:link w:val="ListParagraph"/>
    <w:uiPriority w:val="34"/>
    <w:qFormat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character" w:customStyle="1" w:styleId="st1">
    <w:name w:val="st1"/>
    <w:basedOn w:val="DefaultParagraphFont"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Arial"/>
      <w:b/>
      <w:kern w:val="28"/>
      <w:sz w:val="28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Arial"/>
      <w:sz w:val="20"/>
      <w:szCs w:val="20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sz w:val="20"/>
      <w:szCs w:val="20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Arial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b/>
      <w:i/>
      <w:sz w:val="18"/>
      <w:szCs w:val="20"/>
    </w:rPr>
  </w:style>
  <w:style w:type="paragraph" w:customStyle="1" w:styleId="Titreobjet">
    <w:name w:val="Titre objet"/>
    <w:basedOn w:val="Normal"/>
    <w:next w:val="Normal"/>
    <w:pPr>
      <w:spacing w:before="360" w:after="360" w:line="240" w:lineRule="auto"/>
      <w:jc w:val="center"/>
    </w:pPr>
    <w:rPr>
      <w:rFonts w:ascii="Times New Roman" w:hAnsi="Times New Roman" w:cs="Times New Roman"/>
      <w:b/>
      <w:sz w:val="24"/>
      <w:lang w:eastAsia="en-US" w:bidi="ar-SA"/>
    </w:rPr>
  </w:style>
  <w:style w:type="paragraph" w:customStyle="1" w:styleId="TitreobjetPagedecouverture">
    <w:name w:val="Titre objet (Page de couverture)"/>
    <w:basedOn w:val="Titreobjet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play.google.com/store/apps/details?id=es.nologin.imar.android&amp;hl=e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fontTable" Target="fontTable.xml"/><Relationship Id="rId30" Type="http://schemas.microsoft.com/office/2011/relationships/people" Target="people.xml"/></Relationships>
</file>

<file path=word/_rels/footnotes.xml.rels><?xml version='1.0' encoding='UTF-8' standalone='yes'?>
<Relationships xmlns="http://schemas.openxmlformats.org/package/2006/relationships"><Relationship Id="rId8" Type="http://schemas.openxmlformats.org/officeDocument/2006/relationships/hyperlink" Target="http://data.europa.eu/europeandataportal" TargetMode="External"/><Relationship Id="rId3" Type="http://schemas.openxmlformats.org/officeDocument/2006/relationships/hyperlink" Target="https://www.europeandataportal.eu/" TargetMode="External"/><Relationship Id="rId7" Type="http://schemas.openxmlformats.org/officeDocument/2006/relationships/hyperlink" Target="http://eur-lex.europa.eu/legal-content/MT/ALL/?uri=CELEX:32007L0002" TargetMode="External"/><Relationship Id="rId12" Type="http://schemas.openxmlformats.org/officeDocument/2006/relationships/hyperlink" Target="http://ec.europa.eu/research/participants/data/ref/h2020/wp/2018-2020/main/h2020-wp1820-leit-ict_en.pdf" TargetMode="External"/><Relationship Id="rId2" Type="http://schemas.openxmlformats.org/officeDocument/2006/relationships/hyperlink" Target="http://eur-lex.europa.eu/legal-content/MT/TXT/?uri=celex:32003L0098" TargetMode="External"/><Relationship Id="rId1" Type="http://schemas.openxmlformats.org/officeDocument/2006/relationships/hyperlink" Target="https://ec.europa.eu/digital-single-market/en/news/public-consultation-building-european-data-economy" TargetMode="External"/><Relationship Id="rId6" Type="http://schemas.openxmlformats.org/officeDocument/2006/relationships/hyperlink" Target="http://eur-lex.europa.eu/legal-content/MT/TXT/?uri=celex:31996L0009" TargetMode="External"/><Relationship Id="rId11" Type="http://schemas.openxmlformats.org/officeDocument/2006/relationships/hyperlink" Target="https://ec.europa.eu/digital-single-market/en/news/public-consultation-building-european-data-economy" TargetMode="External"/><Relationship Id="rId5" Type="http://schemas.openxmlformats.org/officeDocument/2006/relationships/hyperlink" Target="https://data.europa.eu/euodp/en/home" TargetMode="External"/><Relationship Id="rId10" Type="http://schemas.openxmlformats.org/officeDocument/2006/relationships/hyperlink" Target="https://cohesiondata.ec.europa.eu/" TargetMode="External"/><Relationship Id="rId4" Type="http://schemas.openxmlformats.org/officeDocument/2006/relationships/hyperlink" Target="http://eur-lex.europa.eu/legal-content/MT/TXT/?uri=CELEX:32011D0833" TargetMode="External"/><Relationship Id="rId9" Type="http://schemas.openxmlformats.org/officeDocument/2006/relationships/hyperlink" Target="https://ec.europa.eu/digital-single-market/en/news/connecting-europe-facility-cef-telecom-work-programme-2018-adop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33CE8E76DF1EC14FB803D6FF12E6DEFF" ma:contentTypeVersion="9" ma:contentTypeDescription="Create a new document." ma:contentTypeScope="" ma:versionID="bce2b482114eb32cf30f053350693ec4">
  <xsd:schema xmlns:xsd="http://www.w3.org/2001/XMLSchema" xmlns:xs="http://www.w3.org/2001/XMLSchema" xmlns:p="http://schemas.microsoft.com/office/2006/metadata/properties" xmlns:ns3="8a4779a7-a821-41bc-9264-6a7285c3b1da" xmlns:ns4="866aabb8-7ec2-447a-a7ff-f911015037e7" targetNamespace="http://schemas.microsoft.com/office/2006/metadata/properties" ma:root="true" ma:fieldsID="4838d94350bd37eefc22bf8610b88a32" ns3:_="" ns4:_="">
    <xsd:import namespace="8a4779a7-a821-41bc-9264-6a7285c3b1da"/>
    <xsd:import namespace="866aabb8-7ec2-447a-a7ff-f911015037e7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779a7-a821-41bc-9264-6a7285c3b1da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nillable="true" ma:displayName="Language" ma:default="EN" ma:internalName="EC_Collab_DocumentLanguage" ma:readOnly="fals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abb8-7ec2-447a-a7ff-f911015037e7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Reference xmlns="8a4779a7-a821-41bc-9264-6a7285c3b1da" xsi:nil="true"/>
    <EC_Collab_DocumentLanguage xmlns="8a4779a7-a821-41bc-9264-6a7285c3b1da">EN</EC_Collab_DocumentLanguage>
    <_dlc_DocId xmlns="866aabb8-7ec2-447a-a7ff-f911015037e7">UVNUSV5RWJH5-815657195-503</_dlc_DocId>
    <_dlc_DocIdUrl xmlns="866aabb8-7ec2-447a-a7ff-f911015037e7">
      <Url>https://myintracomm-collab.ec.europa.eu/dg/CONNECT/directorateG/UnitG1/_layouts/15/DocIdRedir.aspx?ID=UVNUSV5RWJH5-815657195-503</Url>
      <Description>UVNUSV5RWJH5-815657195-503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175B-C149-40B3-A97B-D9F93F906C9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CD2F0BA-B41C-4C3C-B73C-F014F74B3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779a7-a821-41bc-9264-6a7285c3b1da"/>
    <ds:schemaRef ds:uri="866aabb8-7ec2-447a-a7ff-f91101503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181C55-F920-42E5-B66B-4364D8B0A6E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8a4779a7-a821-41bc-9264-6a7285c3b1da"/>
    <ds:schemaRef ds:uri="http://schemas.openxmlformats.org/package/2006/metadata/core-properties"/>
    <ds:schemaRef ds:uri="866aabb8-7ec2-447a-a7ff-f911015037e7"/>
  </ds:schemaRefs>
</ds:datastoreItem>
</file>

<file path=customXml/itemProps4.xml><?xml version="1.0" encoding="utf-8"?>
<ds:datastoreItem xmlns:ds="http://schemas.openxmlformats.org/officeDocument/2006/customXml" ds:itemID="{BEF28479-C5C3-4AE8-A148-DC00C9BFFD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DB0951-A1E1-45F6-A00C-1AC3BB29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4788</Words>
  <Characters>35672</Characters>
  <Application>Microsoft Office Word</Application>
  <DocSecurity>0</DocSecurity>
  <Lines>488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Chapeau COM version for ISC</vt:lpstr>
      <vt:lpstr>Chapeau COM - version 02 08 2017 - with tc</vt:lpstr>
    </vt:vector>
  </TitlesOfParts>
  <Manager/>
  <Company/>
  <LinksUpToDate>false</LinksUpToDate>
  <CharactersWithSpaces>40361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Chapeau COM version for ISC</dc:title>
  <dc:creator/>
  <cp:lastModifiedBy/>
  <cp:revision>23</cp:revision>
  <cp:lastPrinted>2018-03-13T08:42:00Z</cp:lastPrinted>
  <dcterms:created xsi:type="dcterms:W3CDTF">2018-04-20T09:32:00Z</dcterms:created>
  <dcterms:modified xsi:type="dcterms:W3CDTF">2018-05-03T11:26:00Z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DocStatus">
    <vt:lpwstr>Green</vt:lpwstr>
  </property>
  <property fmtid="{D5CDD505-2E9C-101B-9397-08002B2CF9AE}" pid="5" name="ContentTypeId">
    <vt:lpwstr>0x010100258AA79CEB83498886A3A086811232500033CE8E76DF1EC14FB803D6FF12E6DEFF</vt:lpwstr>
  </property>
  <property fmtid="{D5CDD505-2E9C-101B-9397-08002B2CF9AE}" pid="6" name="_dlc_DocIdItemGuid">
    <vt:lpwstr>90c1aa1b-79ed-4819-9e3d-6884d86b8a5c</vt:lpwstr>
  </property>
  <property fmtid="{D5CDD505-2E9C-101B-9397-08002B2CF9AE}" pid="7" name="Level of sensitivity">
    <vt:lpwstr>Standard treatment</vt:lpwstr>
  </property>
  <property name="OP_sanitized" fmtid="{D5CDD505-2E9C-101B-9397-08002B2CF9AE}" pid="8">
    <vt:lpwstr>True</vt:lpwstr>
  </property>
</Properties>
</file>