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CCCA89C1-6328-4EBF-839E-87939538016D" style="width:450.5pt;height:347.5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134" w:right="1417" w:bottom="1134" w:left="1417" w:header="709" w:footer="709" w:gutter="0"/>
          <w:pgNumType w:start="0"/>
          <w:cols w:space="720"/>
          <w:docGrid w:linePitch="326"/>
        </w:sectPr>
      </w:pPr>
    </w:p>
    <w:p>
      <w:pPr>
        <w:pStyle w:val="ManualHeading1"/>
        <w:rPr>
          <w:noProof/>
        </w:rPr>
      </w:pPr>
      <w:bookmarkStart w:id="1" w:name="_Toc532705923"/>
      <w:bookmarkStart w:id="2" w:name="_Toc3883272"/>
      <w:bookmarkStart w:id="3" w:name="_GoBack"/>
      <w:bookmarkEnd w:id="3"/>
      <w:r>
        <w:lastRenderedPageBreak/>
        <w:t>1.</w:t>
      </w:r>
      <w:r>
        <w:tab/>
      </w:r>
      <w:r>
        <w:rPr>
          <w:noProof/>
        </w:rPr>
        <w:t>Introduzzjoni</w:t>
      </w:r>
      <w:bookmarkEnd w:id="1"/>
      <w:bookmarkEnd w:id="2"/>
    </w:p>
    <w:p>
      <w:pPr>
        <w:pStyle w:val="Text1"/>
        <w:ind w:left="0"/>
        <w:rPr>
          <w:noProof/>
        </w:rPr>
      </w:pPr>
      <w:r>
        <w:rPr>
          <w:noProof/>
        </w:rPr>
        <w:t>Il-futur tal-Ewropa jiddependi mill-ħila tan-nies tagħha li jħaddnu l-valuri komuni li jgħaqqduhom flimkien: id-demokrazija, l-istat tad-dritt u d-drittijiet fundamentali. L-elezzjonijiet liberi u ġusti huma espressjoni bażika tad-demokrazija, u l-elezzjonijiet fl-UE jridu jsegwu l-ogħla standards demokratiċi. Bħala President tal-Kummissjoni, Juncker iddikjara fid-diskors tiegħu dwar l-Istat tal-Unjoni f’Settembru 2017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li issa wasal iż-żmien biex tinbena Ewropa aktar magħquda, b'saħħitha u demokratika għall-2025.</w:t>
      </w:r>
    </w:p>
    <w:p>
      <w:pPr>
        <w:pStyle w:val="Text1"/>
        <w:ind w:left="0"/>
        <w:rPr>
          <w:noProof/>
        </w:rPr>
      </w:pPr>
      <w:r>
        <w:rPr>
          <w:noProof/>
        </w:rPr>
        <w:t>Il-gvern muniċipali u lokali hu l-livell ta’ governanza li hu l-eqreb għaċ-ċittadini Ewropej u parti essenzjali mill-ħajja politika Ewropea li taffettwa lin-nies direttament. Il-parteċipazzjoni demokratika fl-elezzjonijiet muniċipali tirrifletti involviment akbar fil-komunità lokali. Din hi marbuta wkoll ma’ inklużjoni aħjar fis-soċjetà, ma’ sens ta’ appartenenza u ma’ involviment demokratiku akbar. Madankollu, iċ-ċittadini tal-UE li eżerċitaw id-dritt tagħhom li jmorru u jirresjedu liberament fi ħdan it-territorju tal-Istati Membri (“ċittadini mobbli tal-UE”) jissugraw li jinqatgħu mill-kultura politika lokali meta jbiddlu l-pajjiż fejn jgħixu.</w:t>
      </w:r>
    </w:p>
    <w:p>
      <w:pPr>
        <w:pStyle w:val="Heading2"/>
        <w:rPr>
          <w:noProof/>
        </w:rPr>
      </w:pPr>
      <w:r>
        <w:rPr>
          <w:noProof/>
        </w:rPr>
        <w:t>Id-dritt tal-vot fl-elezzjonijiet muniċipali</w:t>
      </w:r>
    </w:p>
    <w:p>
      <w:pPr>
        <w:pStyle w:val="Text1"/>
        <w:ind w:left="0"/>
        <w:rPr>
          <w:noProof/>
        </w:rPr>
      </w:pPr>
      <w:r>
        <w:rPr>
          <w:noProof/>
        </w:rPr>
        <w:t>Iċ-ċittadinanza tal-UE tagħti lil kull ċittadin tal-UE d-dritt tal-vot u tal-kandidatura fl-elezzjonijiet muniċipali u tal-Parlament Ewropew irrispettivament minn jekk dan ikunx ċittadin tal-pajjiż tal-UE fejn jirresjedi, u dan bl-istess kundizzjonijiet bħaċ-ċittadini nazzjonali. Din l-inizjattiva hi mnaqqxa fl-Artikolu 22(1) tat-Trattat dwar il-Funzjonament tal-Unjoni Ewropea</w:t>
      </w:r>
      <w:r>
        <w:rPr>
          <w:rStyle w:val="FootnoteReference"/>
          <w:noProof/>
        </w:rPr>
        <w:footnoteReference w:id="2"/>
      </w:r>
      <w:r>
        <w:rPr>
          <w:noProof/>
        </w:rPr>
        <w:t>. L-arranġamenti dettaljati għall-eżerċizzju ta’ dan id-dritt huma stabbiliti mid-Direttiva tal-Kunsill 94/80/KE (“id-Direttiva”)</w:t>
      </w:r>
      <w:r>
        <w:rPr>
          <w:rStyle w:val="FootnoteReference"/>
          <w:noProof/>
        </w:rPr>
        <w:footnoteReference w:id="3"/>
      </w:r>
      <w:r>
        <w:rPr>
          <w:noProof/>
        </w:rPr>
        <w:t xml:space="preserve">. </w:t>
      </w:r>
    </w:p>
    <w:p>
      <w:pPr>
        <w:pStyle w:val="Text1"/>
        <w:ind w:left="0"/>
        <w:rPr>
          <w:noProof/>
        </w:rPr>
      </w:pPr>
      <w:r>
        <w:rPr>
          <w:noProof/>
        </w:rPr>
        <w:t>Madankollu, jeżistu żewġ restrizzjonijiet. L-ewwel nett, Stat Membru jista’ jiddeċiedi li ċ-ċittadini tiegħu stess biss huma eliġibbli li joħorġu bħala kandidati għal mexxejja tal-korp eżekuttiv ta’ unità tal-gvern lokali bażika</w:t>
      </w:r>
      <w:r>
        <w:rPr>
          <w:rStyle w:val="FootnoteReference"/>
          <w:noProof/>
        </w:rPr>
        <w:footnoteReference w:id="4"/>
      </w:r>
      <w:r>
        <w:rPr>
          <w:noProof/>
        </w:rPr>
        <w:t>. It-tieni, jekk aktar minn 20 % tal-popolazzjoni eliġibbli tivvota jkunu barranin, Stat Membru jista’ jitlob perjodu addizzjonali ta’ residenza biex wieħed jieħu sehem fl-elezzjonijiet muniċipali.</w:t>
      </w:r>
    </w:p>
    <w:p>
      <w:pPr>
        <w:pStyle w:val="Heading2"/>
        <w:rPr>
          <w:noProof/>
        </w:rPr>
      </w:pPr>
      <w:r>
        <w:rPr>
          <w:noProof/>
        </w:rPr>
        <w:t>Kontenut tar-rapport</w:t>
      </w:r>
    </w:p>
    <w:p>
      <w:pPr>
        <w:pStyle w:val="Text1"/>
        <w:ind w:left="0"/>
        <w:rPr>
          <w:bCs/>
          <w:noProof/>
        </w:rPr>
      </w:pPr>
      <w:r>
        <w:rPr>
          <w:noProof/>
        </w:rPr>
        <w:t>B’dan it-tielet rapport</w:t>
      </w:r>
      <w:r>
        <w:rPr>
          <w:rStyle w:val="FootnoteReference"/>
          <w:noProof/>
        </w:rPr>
        <w:footnoteReference w:id="5"/>
      </w:r>
      <w:r>
        <w:rPr>
          <w:noProof/>
        </w:rPr>
        <w:t>, li jagħti segwitu għar-rapport tal-2017 dwar iċ-ċittadinanza tal-UE, il-Kummissjoni tieħu inkonsiderazzjoni kemm fil-fatt iċ-ċittadini tal-UE eżerċitaw id-dritt tal-vot tagħhom fl-elezzjonijiet muniċipali fl-Istat Membru ta’ residenza mill-2012 ’l hawn.</w:t>
      </w:r>
    </w:p>
    <w:p>
      <w:pPr>
        <w:pStyle w:val="Text1"/>
        <w:ind w:left="0"/>
        <w:rPr>
          <w:noProof/>
        </w:rPr>
      </w:pPr>
      <w:r>
        <w:rPr>
          <w:noProof/>
        </w:rPr>
        <w:t xml:space="preserve">Fil-parti l-kbira tiegħu r-rapport hu bbażat fuq data li l-Istati Membri pprovdew direttament fi kwestjonarju mibgħut lill-awtoritajiet nazzjonali rilevanti. Il-kwestjonarju fittex li jsib informazzjoni dwar id-daqs tal-elettorat mobbli fost iċ-ċittadini tal-UE f’kull Stat Membru u dwar ir-rappreżentazzjoni ta’ dawn fir-reġistri elettorali għall-elezzjonijiet muniċipali fl-Istat Membru ta’ residenza tagħhom. Tfittxet ukoll informazzjoni dwar kemm ħarġu jivvutaw minn dawn iċ-ċittadini fl-aktar elezzjonijiet muniċipali riċenti u dwar x’sar biex it-tali ammont ta’ nies jiġu mħeġġa biex jivvutaw. Din l-informazzjoni ngħaqdet u ġiet ikkomplimentata ma’ data oħra tal-Kummissjoni. Peress li r-reġistri elettorali u tal-popolazzjoni nazzjonali u muniċipali lkoll għandhom il-karatteristiċi speċifiċi tagħhom, ma kienx hemm data disponibbli fil-każijiet kollha. </w:t>
      </w:r>
    </w:p>
    <w:p>
      <w:pPr>
        <w:pStyle w:val="ManualHeading1"/>
        <w:rPr>
          <w:noProof/>
        </w:rPr>
      </w:pPr>
      <w:r>
        <w:t>2.</w:t>
      </w:r>
      <w:r>
        <w:tab/>
      </w:r>
      <w:r>
        <w:rPr>
          <w:noProof/>
        </w:rPr>
        <w:t>Is-sensibilizzazzjoni u l-parteċipazzjoni</w:t>
      </w:r>
    </w:p>
    <w:p>
      <w:pPr>
        <w:pStyle w:val="Text1"/>
        <w:ind w:left="0"/>
        <w:rPr>
          <w:noProof/>
        </w:rPr>
      </w:pPr>
      <w:r>
        <w:rPr>
          <w:noProof/>
        </w:rPr>
        <w:t>Mindu l-moviment liberu tnaqqax għall-ewwel darba fit-Trattati, sar ferm aktar faċli li wieħed jgħix, jaħdem, jistudja u jivvjaġġa fl-Unjoni Ewropea. L-akbar numru assolut ta’ ċittadini mobbli tal-UE nstab fil-Ġermanja, fir-Renju Unit, fi Franza, fi Spanja u fl-Italja. L-akbar ishma mill-popolazzjoni totali rrappreżentati minn ċittadini mobbli tal-UE kienu fil-Lussemburgu, f’Ċipru, fl-Irlanda, fil-Belġju u fl-Awstrija.</w:t>
      </w:r>
    </w:p>
    <w:p>
      <w:pPr>
        <w:rPr>
          <w:noProof/>
        </w:rPr>
      </w:pPr>
      <w:r>
        <w:rPr>
          <w:noProof/>
        </w:rPr>
        <w:br w:type="page"/>
      </w:r>
    </w:p>
    <w:p>
      <w:pPr>
        <w:pStyle w:val="Text1"/>
        <w:ind w:left="0"/>
        <w:rPr>
          <w:noProof/>
        </w:rPr>
      </w:pPr>
    </w:p>
    <w:p>
      <w:pPr>
        <w:rPr>
          <w:b/>
          <w:noProof/>
        </w:rPr>
      </w:pPr>
      <w:r>
        <w:rPr>
          <w:b/>
          <w:noProof/>
        </w:rPr>
        <w:t>Illustrazzjoni 1: Il-popolazzjoni fl-01.01.2016 ta’ ċittadini mobbli tal-UE ta’ età eliġibbli għall-vot (15-il sena u akbar) għal kull Stat Membru</w:t>
      </w:r>
      <w:r>
        <w:rPr>
          <w:rStyle w:val="FootnoteReference"/>
          <w:noProof/>
          <w:sz w:val="20"/>
        </w:rPr>
        <w:footnoteReference w:id="6"/>
      </w:r>
    </w:p>
    <w:p>
      <w:pPr>
        <w:rPr>
          <w:b/>
          <w:noProof/>
        </w:rPr>
      </w:pPr>
    </w:p>
    <w:p>
      <w:pPr>
        <w:pStyle w:val="Text1"/>
        <w:ind w:left="0"/>
        <w:rPr>
          <w:i/>
          <w:noProof/>
          <w:sz w:val="20"/>
        </w:rPr>
      </w:pPr>
      <w:r>
        <w:rPr>
          <w:i/>
          <w:noProof/>
          <w:sz w:val="20"/>
          <w:lang w:val="en-US" w:eastAsia="en-US" w:bidi="ar-SA"/>
        </w:rPr>
        <w:drawing>
          <wp:inline distT="0" distB="0" distL="0" distR="0">
            <wp:extent cx="5794745" cy="6400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 citizens voting_20017.12_update_ok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726" cy="641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1"/>
        <w:ind w:left="0"/>
        <w:rPr>
          <w:i/>
          <w:noProof/>
          <w:sz w:val="20"/>
        </w:rPr>
      </w:pPr>
      <w:r>
        <w:rPr>
          <w:i/>
          <w:noProof/>
        </w:rPr>
        <w:t>Data tal-Eurostat għall-2016 dwar il-popolazzjoni skont il-grupp ta’ età, is-sess u ċ-ċittadinanza [migr_pop1ctz], meħuda fil-31.10.17.</w:t>
      </w:r>
      <w:r>
        <w:rPr>
          <w:i/>
          <w:noProof/>
          <w:sz w:val="20"/>
        </w:rPr>
        <w:t xml:space="preserve"> </w:t>
      </w:r>
    </w:p>
    <w:p>
      <w:pPr>
        <w:pStyle w:val="Text1"/>
        <w:ind w:left="0"/>
        <w:rPr>
          <w:noProof/>
        </w:rPr>
      </w:pPr>
      <w:r>
        <w:rPr>
          <w:noProof/>
        </w:rPr>
        <w:t>Ħafna minn dawn iċ-ċittadini mobbli tal-UE jirresjedu f’ċentri urbani, iżda anki barra l-ibliet ewlenin, fejn l-opportunitajiet tax-xogħol jaġixxu bħala fattur deċiżiv</w:t>
      </w:r>
      <w:r>
        <w:rPr>
          <w:rStyle w:val="FootnoteReference"/>
          <w:noProof/>
        </w:rPr>
        <w:footnoteReference w:id="7"/>
      </w:r>
      <w:r>
        <w:rPr>
          <w:noProof/>
        </w:rPr>
        <w:t>. Il-pajjiżi ewlenin tan-nazzjonalità taċ-ċittadini mobbli huma diversi u jvarjaw minn pajjiż għal ieħor u minn post għal ieħor. F’ċerti postijiet, bħaż-żoni tal-fruntieri, nazzjonalità waħda jew ftit nazzjonalitajiet biss huma rrappreżentati; f’postijiet oħra l-istampa hi aktar kumplessa.</w:t>
      </w:r>
    </w:p>
    <w:p>
      <w:pPr>
        <w:pStyle w:val="Text1"/>
        <w:ind w:left="0"/>
        <w:rPr>
          <w:rFonts w:eastAsiaTheme="minorHAnsi"/>
          <w:noProof/>
          <w:szCs w:val="24"/>
        </w:rPr>
      </w:pPr>
      <w:r>
        <w:rPr>
          <w:noProof/>
        </w:rPr>
        <w:t>Iċ-ċittadini tal-UE jeżerċitaw id-dritt tagħhom li jirresjedu fi Stati Membri oħra, speċjalment biex jaħdmu. Dawn ibiddlu l-pajjiż ukoll biex jistudjaw, jirtiraw jew jingħaqdu ma’ membri tal-familja. Ħafna ċittadini mobbli tal-UE ma jiħdux iċ-ċittadinanza tal-Istat Membru ospitanti</w:t>
      </w:r>
      <w:r>
        <w:rPr>
          <w:rStyle w:val="FootnoteReference"/>
          <w:noProof/>
        </w:rPr>
        <w:footnoteReference w:id="8"/>
      </w:r>
      <w:r>
        <w:rPr>
          <w:noProof/>
        </w:rPr>
        <w:t xml:space="preserve"> iżda jistgħu jinvestu ħafna minn ħajjithom u mir-riżorsi tagħhom hemmhekk.</w:t>
      </w:r>
    </w:p>
    <w:p>
      <w:pPr>
        <w:pStyle w:val="Heading2"/>
        <w:rPr>
          <w:noProof/>
        </w:rPr>
      </w:pPr>
      <w:r>
        <w:rPr>
          <w:noProof/>
        </w:rPr>
        <w:t>Sensibilizzazzjoni dwar id-dritt tal-vot jew tal-kandidatura fl-elezzjonijiet muniċipali</w:t>
      </w:r>
    </w:p>
    <w:p>
      <w:pPr>
        <w:autoSpaceDE w:val="0"/>
        <w:autoSpaceDN w:val="0"/>
        <w:rPr>
          <w:rFonts w:ascii="ECSquareSansPro" w:hAnsi="ECSquareSansPro"/>
          <w:noProof/>
          <w:sz w:val="22"/>
          <w:szCs w:val="22"/>
        </w:rPr>
      </w:pPr>
      <w:r>
        <w:rPr>
          <w:noProof/>
        </w:rPr>
        <w:t>Stħarriġiet riċenti tal-Ewrobarometru jindikaw li 87 % taċ-ċittadini tal-UE mhumiex familjari mat-terminu “Ċittadin tal-Unjoni Ewropea”</w:t>
      </w:r>
      <w:r>
        <w:rPr>
          <w:rStyle w:val="FootnoteReference"/>
          <w:noProof/>
        </w:rPr>
        <w:footnoteReference w:id="9"/>
      </w:r>
      <w:r>
        <w:rPr>
          <w:noProof/>
        </w:rPr>
        <w:t>. Bħala medja, 54 % taċ-ċittadini tal-UE jafu dwar id-dritt tagħhom li jivvutaw u li joħorġu bħala kandidati fl-elezzjonijiet muniċipali fl-Istat Membru ta’ residenza tagħhom. Dan hu tnaqqis sinifikanti meta mqabbel mal-2012</w:t>
      </w:r>
      <w:r>
        <w:rPr>
          <w:rStyle w:val="FootnoteReference"/>
          <w:noProof/>
        </w:rPr>
        <w:footnoteReference w:id="10"/>
      </w:r>
      <w:r>
        <w:rPr>
          <w:noProof/>
        </w:rPr>
        <w:t xml:space="preserve"> u jista’ jiġi osservat fl-Istati Membri kollha (ħlief fil-Kroazja, li għaliha ma hemm ebda data disponibbli għall-2012). Filwaqt li l-għarfien dwar dan id-dritt hu sostanzjalment ogħla issa milli kien fl-2007, meta kien fl-anqas livell tiegħu (37 %), dan naqas f’aktar minn nofs tal-Istati Membri mill-2010 ’l hawn.</w:t>
      </w:r>
    </w:p>
    <w:p>
      <w:pPr>
        <w:pStyle w:val="Text1"/>
        <w:ind w:left="0"/>
        <w:rPr>
          <w:b/>
          <w:noProof/>
        </w:rPr>
      </w:pPr>
      <w:r>
        <w:rPr>
          <w:b/>
          <w:noProof/>
        </w:rPr>
        <w:t>Illustrazzjoni 2: Sensibilizzazzjoni dwar id-drittijiet elettorali fl-UE fost iċ-ċittadini, 2007-2015</w:t>
      </w:r>
    </w:p>
    <w:p>
      <w:pPr>
        <w:suppressAutoHyphens/>
        <w:ind w:left="567"/>
        <w:rPr>
          <w:i/>
          <w:noProof/>
          <w:sz w:val="20"/>
        </w:rPr>
      </w:pPr>
      <w:r>
        <w:rPr>
          <w:i/>
          <w:noProof/>
          <w:sz w:val="20"/>
          <w:lang w:val="en-US" w:eastAsia="en-US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440690</wp:posOffset>
            </wp:positionV>
            <wp:extent cx="4289425" cy="414020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barometer 2015 awareness 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9425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sz w:val="20"/>
        </w:rPr>
        <w:t>Ċittadin tal-UE li jgħix f’[PAJJIŻNA], għandu d-dritt li jivvota jew li jikkandida ruħu fl-elezzjonijiet muniċipali — Veru</w:t>
      </w:r>
    </w:p>
    <w:p>
      <w:pPr>
        <w:suppressAutoHyphens/>
        <w:ind w:left="567"/>
        <w:rPr>
          <w:i/>
          <w:noProof/>
          <w:sz w:val="20"/>
        </w:rPr>
      </w:pPr>
      <w:r>
        <w:rPr>
          <w:i/>
          <w:noProof/>
          <w:sz w:val="20"/>
        </w:rPr>
        <w:t>Sors: Ewrobarometru Flash Nru 430 dwar iċ-Ċittadinanza tal-Unjoni Ewropea (Marzu 2016)</w:t>
      </w:r>
    </w:p>
    <w:p>
      <w:pPr>
        <w:pStyle w:val="Heading2"/>
        <w:rPr>
          <w:noProof/>
        </w:rPr>
      </w:pPr>
      <w:r>
        <w:rPr>
          <w:noProof/>
        </w:rPr>
        <w:t>Parteċipazzjoni fl-elezzjonijiet muniċipali</w:t>
      </w:r>
    </w:p>
    <w:p>
      <w:pPr>
        <w:pStyle w:val="Text1"/>
        <w:ind w:left="0"/>
        <w:rPr>
          <w:i/>
          <w:noProof/>
          <w:sz w:val="20"/>
        </w:rPr>
      </w:pPr>
      <w:r>
        <w:rPr>
          <w:noProof/>
        </w:rPr>
        <w:t xml:space="preserve">Fost aktar minn 16-il miljun ċittadin mobbli tal-UE fl-2016, kważi 14-il miljun għalqu l-età tal-vot u huma eliġibbli biex jivvtaw. Dawn kienu jirrappreżentaw 3,25 % tal-popolazzjoni eliġibbli għall-vot. </w:t>
      </w:r>
    </w:p>
    <w:p>
      <w:pPr>
        <w:pStyle w:val="Text1"/>
        <w:ind w:left="0"/>
        <w:rPr>
          <w:noProof/>
        </w:rPr>
      </w:pPr>
      <w:r>
        <w:rPr>
          <w:noProof/>
        </w:rPr>
        <w:t>L-għadd ta’ ċittadini mobbli tal-UE ta’ età tal-vot żdied b’mod sinifikanti f’ħafna Stati Membri mindu ħareġ ir-rapport tal-2012. Mill-2014 ’l hawn</w:t>
      </w:r>
      <w:r>
        <w:rPr>
          <w:rStyle w:val="FootnoteReference"/>
          <w:noProof/>
        </w:rPr>
        <w:footnoteReference w:id="11"/>
      </w:r>
      <w:r>
        <w:rPr>
          <w:noProof/>
        </w:rPr>
        <w:t>, l-Istati Membri esperjenzaw żieda f’dan il-grupp tal-popolazzjoni, u n-numru ġenerali żdied bi 11,1 % (minn 12,6 għal kważi 14-il miljun)</w:t>
      </w:r>
      <w:r>
        <w:rPr>
          <w:rStyle w:val="FootnoteReference"/>
          <w:noProof/>
        </w:rPr>
        <w:footnoteReference w:id="12"/>
      </w:r>
      <w:r>
        <w:rPr>
          <w:noProof/>
        </w:rPr>
        <w:t>.</w:t>
      </w:r>
    </w:p>
    <w:p>
      <w:pPr>
        <w:pStyle w:val="Text1"/>
        <w:ind w:left="0"/>
        <w:rPr>
          <w:noProof/>
        </w:rPr>
      </w:pPr>
      <w:r>
        <w:rPr>
          <w:noProof/>
        </w:rPr>
        <w:t>Biex jieħu sehem f'elezzjoni muniċipali, ċittadin irid ikun irreġistrat fir-reġistru elettorali. Madankollu, huma ftit iċ-ċittadini mobbli li jidhru li eżerċitaw id-drittijiet elettorali tagħhom fl-elezzjonijiet muniċipali fis-snin riċenti fl-istati ta’ residenza tagħhom — filwaqt li ċ-ċifri relatati mal-ammont ta’ votanti fl-elezzjonijiet muniċipali kienu disponibbli biss għall-ftit stati li jiġbru din id-data, ir-rati baxxi ta’ reġistrazzjoni tal-votanti fl-istati li pprovdew id-data jissuġġerixxu li dan hu l-każ</w:t>
      </w:r>
      <w:r>
        <w:rPr>
          <w:rStyle w:val="FootnoteReference"/>
          <w:noProof/>
        </w:rPr>
        <w:footnoteReference w:id="13"/>
      </w:r>
      <w:r>
        <w:rPr>
          <w:noProof/>
        </w:rPr>
        <w:t>. In-numru baxx ta’ Stati Membri li jistgħu jipprovdu data jagħmilha diffiċli li jinħarġu konklużjonijiet ulterjuri. L-Illustrazzjonijiet 3 u 4 jippruvaw jipprovdu l-aktar stampa sħiħa possibbli tar-reġistrazzjoni billi jużaw data tal-Eurostat u t-tweġibiet tal-kwestjonarju bħala bażi.</w:t>
      </w:r>
    </w:p>
    <w:p>
      <w:pPr>
        <w:pStyle w:val="Text1"/>
        <w:ind w:left="0"/>
        <w:rPr>
          <w:noProof/>
        </w:rPr>
      </w:pPr>
      <w:r>
        <w:rPr>
          <w:noProof/>
        </w:rPr>
        <w:t>Il-formalitajiet biex iċ-ċittadini mobbli tal-UE jirreġistraw fuq ir-reġistru elettorali jvarjaw</w:t>
      </w:r>
      <w:r>
        <w:rPr>
          <w:rStyle w:val="FootnoteReference"/>
          <w:noProof/>
        </w:rPr>
        <w:footnoteReference w:id="14"/>
      </w:r>
      <w:r>
        <w:rPr>
          <w:noProof/>
        </w:rPr>
        <w:t xml:space="preserve">. Fuq il-portal tal-Kummissjoni </w:t>
      </w:r>
      <w:r>
        <w:rPr>
          <w:i/>
          <w:noProof/>
        </w:rPr>
        <w:t>L-Ewropa Tiegħek</w:t>
      </w:r>
      <w:r>
        <w:rPr>
          <w:noProof/>
        </w:rPr>
        <w:t>, iċ-ċittadini mobbli faċilment jistgħu jsibu informazzjoni aċċessibbli dwar dawn il-formalitajiet elettorali fl-Istat Membru ta’ residenza tagħhom.</w:t>
      </w:r>
    </w:p>
    <w:p>
      <w:pPr>
        <w:pStyle w:val="Text1"/>
        <w:ind w:left="0"/>
        <w:rPr>
          <w:noProof/>
        </w:rPr>
      </w:pPr>
      <w:r>
        <w:rPr>
          <w:noProof/>
        </w:rPr>
        <w:t>Fl-Istati Membri fejn ir-reġistrazzjoni fir-reġistru elettorali mhix awtomatika, id-data pprovduta wriet li 18,5 % biss miċ-ċittadini mobbli tal-UE li kienu residenti talbu li jiddaħħlu fir-reġistri elettorali. Il-perċentwal ta’ ċittadini mobbli tal-UE fuq ir-reġistru elettorali jiżdied b'aktar mid-doppju għal 51,2% fl-Istati Membri li jużaw ir-reġistrazzjoni awtomatika. Ċerti Stati Membri li jipprattikaw ir-reġistrazzjoni awtomatika jobbligaw liċ-ċittadini mobbli jirreġistraw ir-residenza tagħhom, filwaqt li oħrajn ma jagħmlux dan. Għaldaqstant, fl-Istati Membri fejn ir-reġistrazzjoni mhix obbligatorja, l-għadd ta’ ċittadini mobbli tal-UE fir-reġistru elettorali jvarja mill-għadd ta’ ċittadini mobbli tal-UE li huma residenti.</w:t>
      </w:r>
    </w:p>
    <w:p>
      <w:pPr>
        <w:rPr>
          <w:noProof/>
        </w:rPr>
      </w:pPr>
      <w:r>
        <w:rPr>
          <w:noProof/>
        </w:rPr>
        <w:br w:type="page"/>
      </w:r>
    </w:p>
    <w:p>
      <w:pPr>
        <w:pStyle w:val="Text1"/>
        <w:ind w:left="0"/>
        <w:rPr>
          <w:b/>
          <w:noProof/>
        </w:rPr>
      </w:pPr>
      <w:r>
        <w:rPr>
          <w:b/>
          <w:noProof/>
        </w:rPr>
        <w:t>Illustrazzjoni 3: Il-perċentwal ta’ ċittadini mobbli tal-UE rreġistrati biex jivvutaw fl-elezzjonijiet muniċipali (l-Istati Membri bl-abjad ma jirreġistrawx iċ-ċittadini b’mod awtomatiku)</w:t>
      </w:r>
    </w:p>
    <w:p>
      <w:pPr>
        <w:pStyle w:val="Text1"/>
        <w:ind w:left="0"/>
        <w:rPr>
          <w:noProof/>
          <w:szCs w:val="24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889101</wp:posOffset>
                </wp:positionH>
                <wp:positionV relativeFrom="paragraph">
                  <wp:posOffset>2307481</wp:posOffset>
                </wp:positionV>
                <wp:extent cx="4723029" cy="908790"/>
                <wp:effectExtent l="0" t="0" r="20955" b="24765"/>
                <wp:wrapNone/>
                <wp:docPr id="10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3029" cy="908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  <w:lang w:val="mt-MT"/>
                              </w:rPr>
                              <w:t>Din it-tabella tħejjiet bid-data tal-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</w:rPr>
                              <w:t xml:space="preserve">Eurostat 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  <w:lang w:val="mt-MT"/>
                              </w:rPr>
                              <w:t>għall-popolazzjoni taċ-ċittadini tal-UE mobbli b'et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  <w:lang w:val="en-US"/>
                              </w:rPr>
                              <w:t>à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  <w:lang w:val="mt-MT"/>
                              </w:rPr>
                              <w:t xml:space="preserve"> tal-vot għal kull Stat Membru, minħabba li  f'bosta każijiet, id-data tal-popolazzjonijiet tal-vot irrappurtati għall-kwestjonarju tagħna ma kinitx konsistenti mad-data tal-Eurostat.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  <w:lang w:val="mt-MT"/>
                              </w:rPr>
                              <w:t>Madankollu, dan ta riżultati irrazzjonali f'erba' każijiet. Hawn taħt hawn ukoll graff li tuża d-data tal-popolazzjoni oriġinali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sz w:val="20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wrap="square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0pt;margin-top:181.7pt;width:371.9pt;height:7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14/AEAAA0EAAAOAAAAZHJzL2Uyb0RvYy54bWysU8tu2zAQvBfoPxC811KUuokNy0GbwL0U&#10;TYGkH0BTlEWA4rIkbcn9+g7pRxr3UhTVgSKXy9nZ2d3F3dgbtlM+aLI1v5qUnCkrqdF2U/Pvz6t3&#10;t5yFKGwjDFlV870K/G759s1icHNVUUemUZ4BxIb54GrexejmRRFkp3oRJuSUxWVLvhcRR78pGi8G&#10;oPemqMryQzGQb5wnqUKA9eFwyZcZv22VjI9tG1RkpubgFvPq87pOa7FciPnGC9dpeaQh/oFFL7RF&#10;0DPUg4iCbb3+A6rX0lOgNk4k9QW1rZYq54BsrsqLbJ464VTOBeIEd5Yp/D9Y+XX3zTPdoHaQx4oe&#10;NXpWY/xEI7tO6gwuzOH05OAWR5jhebIHGFPSY+v79Ec6DPcA2p+1BRaTML6/qa7LasaZxN2svL2Z&#10;ZfGLl9fOh/hZUc/SpuYetcuSit2XEMEErieXFCyQ0c1KG5MP+3BvPNsJlBnd0dDAmREhwljzVf4S&#10;aUC8emYsG8BmWk3Bq3dQIdhNDvrKLfwFembRiUYdSExLfKeQ+flldHAxNr1SuU2POSa5D7KmXRzX&#10;47EGa2r2KAFGLT5iaQ2BuTTacdaR/3lpG9DSyObHVnjFmY/mng4TIKyEf83XOU1LH7eRWp31TREP&#10;YcA1HdBzmfVxPlJT/37OXi9TvPwFAAD//wMAUEsDBBQABgAIAAAAIQBuPQid3wAAAAsBAAAPAAAA&#10;ZHJzL2Rvd25yZXYueG1sTI9NS8NAEIbvgv9hGcGL2N2aNoaYTZGCp4JgFLxOs2MS3I+Q3abpv3c8&#10;6fFlXt55nmq3OCtmmuIQvIb1SoEg3wYz+E7Dx/vLfQEiJvQGbfCk4UIRdvX1VYWlCWf/RnOTOsEj&#10;PpaooU9pLKWMbU8O4yqM5Pn2FSaHiePUSTPhmcedlQ9K5dLh4PlDjyPte2q/m5PTUDRkXz+VXe4O&#10;lwGztTzs1fyo9e3N8vwEItGS/srwi8/oUDPTMZy8icJy3ih2SRqyPNuA4EZRZCxz1LBV+RZkXcn/&#10;DvUPAAAA//8DAFBLAQItABQABgAIAAAAIQC2gziS/gAAAOEBAAATAAAAAAAAAAAAAAAAAAAAAABb&#10;Q29udGVudF9UeXBlc10ueG1sUEsBAi0AFAAGAAgAAAAhADj9If/WAAAAlAEAAAsAAAAAAAAAAAAA&#10;AAAALwEAAF9yZWxzLy5yZWxzUEsBAi0AFAAGAAgAAAAhAFOJnXj8AQAADQQAAA4AAAAAAAAAAAAA&#10;AAAALgIAAGRycy9lMm9Eb2MueG1sUEsBAi0AFAAGAAgAAAAhAG49CJ3fAAAACwEAAA8AAAAAAAAA&#10;AAAAAAAAVgQAAGRycy9kb3ducmV2LnhtbFBLBQYAAAAABAAEAPMAAABiBQAAAAA=&#10;" fillcolor="window" strokecolor="#bcbcbc">
                <v:textbox>
                  <w:txbxContent>
                    <w:p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2"/>
                        </w:rPr>
                      </w:pP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  <w:lang w:val="mt-MT"/>
                        </w:rPr>
                        <w:t>Din it-tabella tħejjiet bid-data tal-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</w:rPr>
                        <w:t xml:space="preserve">Eurostat 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  <w:lang w:val="mt-MT"/>
                        </w:rPr>
                        <w:t>għall-popolazzjoni taċ-ċittadini tal-UE mobbli b'et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  <w:lang w:val="en-US"/>
                        </w:rPr>
                        <w:t>à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  <w:lang w:val="mt-MT"/>
                        </w:rPr>
                        <w:t xml:space="preserve"> tal-vot għal kull Stat Membru, minħabba li  f'bosta każijiet, id-data tal-popolazzjonijiet tal-vot irrappurtati għall-kwestjonarju tagħna ma kinitx konsistenti mad-data tal-Eurostat.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  <w:lang w:val="mt-MT"/>
                        </w:rPr>
                        <w:t>Madankollu, dan ta riżultati irrazzjonali f'erba' każijiet. Hawn taħt hawn ukoll graff li tuża d-data tal-popolazzjoni oriġinali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sz w:val="20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 w:bidi="ar-SA"/>
        </w:rPr>
        <w:drawing>
          <wp:inline distT="0" distB="0" distL="0" distR="0">
            <wp:extent cx="5850255" cy="3485702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3485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Text1"/>
        <w:ind w:left="0"/>
        <w:rPr>
          <w:i/>
          <w:noProof/>
          <w:sz w:val="20"/>
        </w:rPr>
      </w:pPr>
      <w:r>
        <w:rPr>
          <w:i/>
          <w:noProof/>
          <w:sz w:val="20"/>
        </w:rPr>
        <w:t>Fuq il-bażi tad-data tal-Eurostat għall-2016 dwar il-popolazzjoni skont il-grupp ta’ età, is-sess u ċ-ċittadinanza [migr_pop1ctz], meħuda fil-31.10.17 u fuq id-data pprovduta mill-Istati Membri</w:t>
      </w:r>
    </w:p>
    <w:p>
      <w:pPr>
        <w:pStyle w:val="Text1"/>
        <w:ind w:left="0"/>
        <w:rPr>
          <w:b/>
          <w:i/>
          <w:noProof/>
          <w:szCs w:val="24"/>
        </w:rPr>
      </w:pPr>
      <w:r>
        <w:rPr>
          <w:b/>
          <w:noProof/>
        </w:rPr>
        <w:t>Illustrazzjoni 4: Il-perċentwal ta’ ċittadini mobbli tal-UE rreġistrati biex jivvutaw fl-elezzjonijiet muniċipali (l-Istati Membri bl-abjad ma jirreġistrawx iċ-ċittadini b’mod awtomatiku — id-data tal-Istati Membri biss)</w:t>
      </w:r>
    </w:p>
    <w:p>
      <w:pPr>
        <w:pStyle w:val="Text1"/>
        <w:ind w:left="0"/>
        <w:rPr>
          <w:i/>
          <w:noProof/>
          <w:sz w:val="20"/>
        </w:rPr>
      </w:pPr>
      <w:r>
        <w:rPr>
          <w:noProof/>
        </w:rPr>
        <w:t xml:space="preserve"> </w:t>
      </w:r>
      <w:r>
        <w:rPr>
          <w:noProof/>
          <w:lang w:val="en-US" w:eastAsia="en-US" w:bidi="ar-SA"/>
        </w:rPr>
        <w:drawing>
          <wp:inline distT="0" distB="0" distL="0" distR="0">
            <wp:extent cx="5851038" cy="33546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335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Text1"/>
        <w:ind w:left="0"/>
        <w:rPr>
          <w:i/>
          <w:noProof/>
          <w:sz w:val="20"/>
        </w:rPr>
      </w:pPr>
      <w:r>
        <w:rPr>
          <w:i/>
          <w:noProof/>
          <w:sz w:val="20"/>
        </w:rPr>
        <w:t>Fuq il-bażi tad-data tal-Istati Membri biss (Data dwar ir-reġistrazzjoni biss ġiet ipprovduta għall-Portugall).</w:t>
      </w:r>
    </w:p>
    <w:p>
      <w:pPr>
        <w:pStyle w:val="Text1"/>
        <w:ind w:left="0"/>
        <w:rPr>
          <w:noProof/>
        </w:rPr>
      </w:pPr>
      <w:r>
        <w:rPr>
          <w:noProof/>
        </w:rPr>
        <w:t>Ftit li xejn hemm data disponibbli dwar l-għadd ta’ ċittadini tal-UE li huma barranin li joħorġu bħala kandidati. Mal-20 Stat Membru indikaw li t-tali data mhix miġbura jew diffiċli li tinkiseb.</w:t>
      </w:r>
    </w:p>
    <w:p>
      <w:pPr>
        <w:pStyle w:val="Text1"/>
        <w:ind w:left="0"/>
        <w:rPr>
          <w:noProof/>
        </w:rPr>
      </w:pPr>
      <w:r>
        <w:rPr>
          <w:noProof/>
        </w:rPr>
        <w:t>Spanja rrapportat l-akbar numru ta’ ċittadini tal-UE li huma barranin li joħorġu bħala kandidati: Mal-1 913-il ċittadin mobbli tal-UE ħarġu għall-elezzjoni hemmhekk.</w:t>
      </w:r>
    </w:p>
    <w:p>
      <w:pPr>
        <w:pStyle w:val="Text1"/>
        <w:ind w:left="0"/>
        <w:jc w:val="left"/>
        <w:rPr>
          <w:b/>
          <w:noProof/>
        </w:rPr>
      </w:pPr>
    </w:p>
    <w:p>
      <w:pPr>
        <w:pStyle w:val="Text1"/>
        <w:ind w:left="0"/>
        <w:jc w:val="left"/>
        <w:rPr>
          <w:b/>
          <w:noProof/>
        </w:rPr>
      </w:pPr>
      <w:r>
        <w:rPr>
          <w:b/>
          <w:noProof/>
        </w:rPr>
        <w:t>Illustrazzjoni 5: Ċittadini mobbli tal-UE li ħarġu bħala kandidati u li ġew eletti fl-Istat ta’ residenza tagħhom</w:t>
      </w:r>
    </w:p>
    <w:p>
      <w:pPr>
        <w:pStyle w:val="Text1"/>
        <w:ind w:left="0"/>
        <w:jc w:val="left"/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850255" cy="2952075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295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noProof/>
          <w:sz w:val="20"/>
        </w:rPr>
        <w:t>Abbażi tad-data pprovduta mill-Istati Membri. (Mhix disponibbli d-data għall-kandidati eletti fi Spanja)</w:t>
      </w:r>
    </w:p>
    <w:p>
      <w:pPr>
        <w:pStyle w:val="Text1"/>
        <w:ind w:left="0"/>
        <w:rPr>
          <w:noProof/>
        </w:rPr>
      </w:pPr>
      <w:r>
        <w:rPr>
          <w:noProof/>
        </w:rPr>
        <w:t>L-akbar perċentwali ta’ ċittadini mobbli tal-UE eletti meta mqabbla ma’ dawk li ħarġu bħala kandidati kienu f’Malta (22,2 %) u fl-Iżvezja (20,8 %). Bħala medja, ġew eletti 15,5 % taċ-ċittadini tal-UE li ppreżentaw il-kandidatura tagħhom fl-elezzjonijiet muniċipali tal-Istat Membru ospitanti tagħhom.</w:t>
      </w:r>
    </w:p>
    <w:p>
      <w:pPr>
        <w:pStyle w:val="ManualHeading1"/>
        <w:rPr>
          <w:noProof/>
        </w:rPr>
      </w:pPr>
      <w:r>
        <w:t>3.</w:t>
      </w:r>
      <w:r>
        <w:tab/>
      </w:r>
      <w:r>
        <w:rPr>
          <w:noProof/>
        </w:rPr>
        <w:t>Implimentazzjoni tad-Direttiva</w:t>
      </w:r>
    </w:p>
    <w:p>
      <w:pPr>
        <w:pStyle w:val="Heading2"/>
        <w:rPr>
          <w:noProof/>
        </w:rPr>
      </w:pPr>
      <w:r>
        <w:rPr>
          <w:noProof/>
        </w:rPr>
        <w:t>Aġġornament dwar it-traspożizzjoni</w:t>
      </w:r>
    </w:p>
    <w:p>
      <w:pPr>
        <w:pStyle w:val="Text1"/>
        <w:ind w:left="0"/>
        <w:rPr>
          <w:noProof/>
        </w:rPr>
      </w:pPr>
      <w:r>
        <w:rPr>
          <w:noProof/>
        </w:rPr>
        <w:t>Seba’ Stati Membri adottaw leġiżlazzjoni ġdida dwar it-traspożizzjoni mindu ħareġ l-aħħar rapport</w:t>
      </w:r>
      <w:r>
        <w:rPr>
          <w:rStyle w:val="FootnoteReference"/>
          <w:noProof/>
        </w:rPr>
        <w:footnoteReference w:id="15"/>
      </w:r>
      <w:r>
        <w:rPr>
          <w:noProof/>
        </w:rPr>
        <w:t>. Il-livell ta’ traspożizzjoni tad-Direttiva fl-Istati Membri kollha jidher li hu ġeneralment sodisfaċenti. Kważi l-kwistjonijiet kollha relatati mat-traspożizzjoni tad-Direttiva ġew riżolti b’suċċess, minkejja li hemm xi kwistjonijiet relatati mat-traspożizzjoni mhux korretta jew mhux kompluta, li jistgħu jirrappreżentaw ostaklu għall-eżerċizzju sħiħ tad-drittijiet elettorali, li għadhom qed jiġu diskussi ma’ Stati Membri speċifiċi.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>Definizzjonijiet u prinċipji komuni</w:t>
      </w:r>
    </w:p>
    <w:p>
      <w:pPr>
        <w:pStyle w:val="Text1"/>
        <w:ind w:left="0"/>
        <w:rPr>
          <w:b/>
          <w:i/>
          <w:noProof/>
        </w:rPr>
      </w:pPr>
      <w:r>
        <w:rPr>
          <w:noProof/>
        </w:rPr>
        <w:t>L-Istati Membri ttrasponew b’mod effettiv id-definizzjonijiet tat-termini fl-Artikolu 2</w:t>
      </w:r>
      <w:r>
        <w:rPr>
          <w:rStyle w:val="FootnoteReference"/>
          <w:noProof/>
        </w:rPr>
        <w:footnoteReference w:id="16"/>
      </w:r>
      <w:r>
        <w:rPr>
          <w:noProof/>
        </w:rPr>
        <w:t xml:space="preserve"> tad-Direttiva. Ġew adottati prattiki differenti fil-livell nazzjonali, primarjament għad-definizzjoni ta’ “reġistru elettorali”. Il-leġiżlazzjoni ta’ ċerti Stati Membri tistabbilixxi reġistru separat (Ċipru) jew parti mir-reġistru (il-Bulgarija, il-Polonja, Franza, l-Italja, ir-Repubblika Ċeka u r-Rumanija) għaċ-ċittadini mobbli tal-UE.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>Il-benefiċjarji tad-dritt tal-vot</w:t>
      </w:r>
    </w:p>
    <w:p>
      <w:pPr>
        <w:pStyle w:val="Text1"/>
        <w:ind w:left="0"/>
        <w:rPr>
          <w:noProof/>
        </w:rPr>
      </w:pPr>
      <w:r>
        <w:rPr>
          <w:noProof/>
        </w:rPr>
        <w:t>Ċerti Stati Membri kienu ttrasponew b’mod mhux korrett l-Artikolu 3 tad-Direttiva u kienu jirrikjedu li ċ-ċittadini mobbli tal-UE jkollhom residenza permanenti għal ħames (5) snin biex jivvutaw jew joħorġu bħala kandidati fl-elezzjonijiet muniċipali. Minn dak iż-żmien ’l hawn, l-Istati Membri kollha emendaw il-leġiżlazzjoni nazzjonali tagħhom u neħħew kwalunkwe rekwiżit bħal dan</w:t>
      </w:r>
      <w:r>
        <w:rPr>
          <w:rStyle w:val="FootnoteReference"/>
          <w:noProof/>
        </w:rPr>
        <w:footnoteReference w:id="17"/>
      </w:r>
      <w:r>
        <w:rPr>
          <w:noProof/>
        </w:rPr>
        <w:t>. Fi Stat Membru partikolari, iċ-ċittadini mobbli tal-UE mingħajr indirizz fiss ma setgħux jirreġistraw biex jivvutaw, anki jekk iċ-ċittadini ta’ dan l-Istat Membru setgħu. Il-leġiżlazzjoni nazzjonali tbiddlet u l-kwistjoni ġiet solvuta.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>Il-kundizzjonijiet tar-residenza</w:t>
      </w:r>
    </w:p>
    <w:p>
      <w:pPr>
        <w:pStyle w:val="Text1"/>
        <w:ind w:left="0"/>
        <w:rPr>
          <w:noProof/>
        </w:rPr>
      </w:pPr>
      <w:r>
        <w:rPr>
          <w:noProof/>
        </w:rPr>
        <w:t>L-Artikolu 4 tad-Direttiva jistabbilixxi li meta ċ-ċittadini ta’ Stat Membru jkollhom jirresjedu fit-territorju ta’ dak l-Istat għal ċertu perjodu minimu biex jivvutaw u joħorġu għall-elezzjoni, dawn jitqiesu li ssodisfaw dik il-kundizzjoni jekk ikunu rrisjedew għal perjodu ekwivalenti fi Stati Membri oħra. Il-Kummissjoni għadha qed tivvaluta kif din id-dispożizzjoni qed tiġi implimentata minn Stat Membru partikolari.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>Esklużjonijiet speċfiċi</w:t>
      </w:r>
    </w:p>
    <w:p>
      <w:pPr>
        <w:pStyle w:val="Text1"/>
        <w:ind w:left="0"/>
        <w:rPr>
          <w:b/>
          <w:i/>
          <w:noProof/>
        </w:rPr>
      </w:pPr>
      <w:r>
        <w:rPr>
          <w:noProof/>
        </w:rPr>
        <w:t>Id-Direttiva tippermetti li l-Istati Membri jċaħħdu liċ-ċittadini mid-dritt tagħhom li joħroġu bħala kandidati fl-elezzjonijiet muniċipali jekk, permezz ta’ deċiżjoni individwali, dawn ikunu ġew imċaħħda mid-dritt tagħhom li joħorġu bħala kandidati skont il-liġi tal-Istat Membru tad-domiċilju tagħhom.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>L-inkompatibilità tal-mandati</w:t>
      </w:r>
    </w:p>
    <w:p>
      <w:pPr>
        <w:pStyle w:val="Text1"/>
        <w:ind w:left="0"/>
        <w:rPr>
          <w:b/>
          <w:i/>
          <w:noProof/>
        </w:rPr>
      </w:pPr>
      <w:r>
        <w:rPr>
          <w:noProof/>
        </w:rPr>
        <w:t>Il-persuni li joħorġu bħala kandidati huma soġġetti għall-istess kundizzjonijiet dwar l-inkompatibilità bħal dawk li japplikaw għaċ-ċittadini tal-Istat Membru ta’ residenza. Din id-dispożizzjoni tidher li ġiet trasposta kif suppost fl-Istati Membri kollha.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>Il-kundizzjonijiet ġenerali għall-eżerċizzju tad-dritt tal-vot</w:t>
      </w:r>
    </w:p>
    <w:p>
      <w:pPr>
        <w:pStyle w:val="Text1"/>
        <w:ind w:left="0"/>
        <w:rPr>
          <w:noProof/>
        </w:rPr>
      </w:pPr>
      <w:r>
        <w:rPr>
          <w:noProof/>
        </w:rPr>
        <w:t>L-Artikolu 7 jipprevedi li ċ-ċittadini tal-UE jistgħu jeżerċitaw id-dritt tal-vot tagħhom fl-elezzjonijiet muniċipali fl-Istat Membru ta’ residenza jekk dawn jitolbu hekk. Ħafna mill-Istati Membri jadottaw sistema favorevoli ta’ reġistrazzjoni awtomatika fuq ir-reġistru elettorali</w:t>
      </w:r>
      <w:r>
        <w:rPr>
          <w:rStyle w:val="FootnoteReference"/>
          <w:noProof/>
        </w:rPr>
        <w:footnoteReference w:id="18"/>
      </w:r>
      <w:r>
        <w:rPr>
          <w:noProof/>
        </w:rPr>
        <w:t xml:space="preserve">. 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>It-tniżżil fir-reġistru elettorali</w:t>
      </w:r>
    </w:p>
    <w:p>
      <w:pPr>
        <w:pStyle w:val="Text1"/>
        <w:ind w:left="0"/>
        <w:rPr>
          <w:noProof/>
        </w:rPr>
      </w:pPr>
      <w:r>
        <w:rPr>
          <w:noProof/>
        </w:rPr>
        <w:t>L-Istati Membri jridu jissodisfaw ċerti obbligi stabbiliti mid-Direttiva biex jagħmluha faċli għaċ-ċittadini mobbli tal-UE biex jirreġistraw fir-reġistru elettorali.</w:t>
      </w:r>
    </w:p>
    <w:p>
      <w:pPr>
        <w:pStyle w:val="Text1"/>
        <w:ind w:left="0"/>
        <w:rPr>
          <w:noProof/>
        </w:rPr>
      </w:pPr>
      <w:r>
        <w:rPr>
          <w:noProof/>
        </w:rPr>
        <w:t>B’mod partikolari, l-Istati Membri jridu jieħdu l-miżuri neċessarji biex il-votanti jkunu jistgħu jiddaħħlu fir-reġistru elettorali minn biżżejjed żmien qabel jum il-votazzjoni. Barra minn hekk, ċittadini barranin li jitolbu li jiddaħħlu fir-reġistru elettorali jenħtieġ li jkollhom jipprovdu biss l-istess dokumenti bħal ċittadin nazzjonali. Madankollu, l-Istati Membri jistgħu jitolbu lil ċittadin barrani biex jipproduċi dokument tal-identità validu, flimkien ma’ dikjarazzjoni formali li tiddikjara ċ-ċittadinanza tiegħu, u l-indirizz tiegħu fl-Istat Membru ta’ residenza.</w:t>
      </w:r>
    </w:p>
    <w:p>
      <w:pPr>
        <w:pStyle w:val="Text1"/>
        <w:ind w:left="0"/>
        <w:rPr>
          <w:noProof/>
          <w:highlight w:val="yellow"/>
        </w:rPr>
      </w:pPr>
      <w:r>
        <w:rPr>
          <w:b/>
          <w:i/>
          <w:noProof/>
        </w:rPr>
        <w:t>Id-dokumenti ta’ sostenn għall-kandidatura</w:t>
      </w:r>
    </w:p>
    <w:p>
      <w:pPr>
        <w:pStyle w:val="Text1"/>
        <w:ind w:left="0"/>
        <w:rPr>
          <w:noProof/>
        </w:rPr>
      </w:pPr>
      <w:r>
        <w:rPr>
          <w:noProof/>
        </w:rPr>
        <w:t>Iċ-ċittadini tal-UE intitolati li joħorġu bħala kandidati jenħtieġ li jkollhom jipproduċu biss l-istess dokumenti ta’ sostenn bħaċ-ċittadini nazzjonali. Numru limitat ta’ dokumenti fakultattivi jistgħu jkunu meħtieġa mill-Istati Membri apparti dikjarazzjoni formali li tiddikjara n-nazzjonalità u l-indirizz fl-Istat Membru ta’ residenza.</w:t>
      </w:r>
    </w:p>
    <w:p>
      <w:pPr>
        <w:autoSpaceDE w:val="0"/>
        <w:autoSpaceDN w:val="0"/>
        <w:adjustRightInd w:val="0"/>
        <w:spacing w:before="0" w:after="0"/>
        <w:rPr>
          <w:rFonts w:eastAsiaTheme="minorHAnsi"/>
          <w:noProof/>
          <w:szCs w:val="24"/>
        </w:rPr>
      </w:pPr>
      <w:r>
        <w:rPr>
          <w:noProof/>
        </w:rPr>
        <w:t>Ma tkunx konformi mad-Direttiva leġiżlazzjoni nazzjonali li tirrikjedi s-sottomissjoni ta’ ċertifikat mill-Istat Membru tad-domiċilju li jikkonferma li ċ-ċittadin ma ġiex imċaħħad mid-dritt li joħroġ bħala kandidat. Ċertifikat bħal dan jista’ jintalab biss jekk ikun hemm dubju dwar l-awtentiċità tad-dikjarazzjoni. Inkella, dan ikun jikkostitwixxi piż addizzjonali fuq iċ-ċittadini mobbli tal-UE. Ir-rekwiżit tan-numru ta’ referenza ta’ ċertifikat ta’ residenza lanqas ma tkun konformi mad-Direttiva. Il-Kummissjoni fetħet proċedimenti ta’ ksur kontra Stat Membru li impona rekwiżiti addizzjonali bħal dawn, li warajhom il-leġiżlazzjoni nazzjonali ġiet emendata u saret konformi mad-Direttiva.</w:t>
      </w:r>
    </w:p>
    <w:p>
      <w:pPr>
        <w:pStyle w:val="Text1"/>
        <w:ind w:left="0"/>
        <w:rPr>
          <w:b/>
          <w:noProof/>
        </w:rPr>
      </w:pPr>
      <w:r>
        <w:rPr>
          <w:b/>
          <w:i/>
          <w:noProof/>
        </w:rPr>
        <w:t>Ir-rekwiżiti ta’ informazzjoni għall-Istati Membri</w:t>
      </w:r>
    </w:p>
    <w:p>
      <w:pPr>
        <w:pStyle w:val="Text1"/>
        <w:ind w:left="0"/>
        <w:rPr>
          <w:noProof/>
        </w:rPr>
      </w:pPr>
      <w:r>
        <w:rPr>
          <w:noProof/>
        </w:rPr>
        <w:t>Id-Direttiva tirrikjedi li l-Istat Membru tar-residenza jgħarraf liċ-ċittadini mobbli tal-UE dwar il-kundizzjonijiet u l-arranġamenti ddettaljati biex jeżerċitaw id-drittijiet elettorali fl-elezzjonijiet muniċipali “fi żmien adegewat u b’mod xieraq”. In-Netherlands, bħala membru tal-grupp ta’ esperti tal-Kummissjoni dwar kwistjonijiet elettorali, ipproponew formola multilingwi biex tagħmel dan l-iskambju tal-informazzjoni eħfef. Bħalissa l-formola qed tiġi kkunsidrata minn esperti ta' Stati Membri oħra.</w:t>
      </w:r>
    </w:p>
    <w:p>
      <w:pPr>
        <w:pStyle w:val="Text1"/>
        <w:ind w:left="0"/>
        <w:rPr>
          <w:noProof/>
        </w:rPr>
      </w:pPr>
      <w:r>
        <w:rPr>
          <w:noProof/>
        </w:rPr>
        <w:t>B’mod partikolari, iċ-ċittadini mobbli għandhom id-dritt li jiġu infurmati dwar l-azzjoni meħuda fuq l-applikazzjonijiet tagħhom biex jiddaħħlu fir-reġistru elettorali jew joħorġu bħala kandidati. Jekk talba għat-tniżżil fir-reġistru elettorali jew għall-kandidatura tiġi miċħuda mill-Istat Membru ta’ residenza, id-Direttiva tirrikjedi li ċ-ċittadini mobbli jingħataw l-istess rimedji legali bħaċ-ċittadini nazzjonali.</w:t>
      </w:r>
    </w:p>
    <w:p>
      <w:pPr>
        <w:pStyle w:val="Text1"/>
        <w:ind w:left="0"/>
        <w:rPr>
          <w:b/>
          <w:i/>
          <w:noProof/>
        </w:rPr>
      </w:pPr>
      <w:r>
        <w:rPr>
          <w:noProof/>
        </w:rPr>
        <w:t>L-Istati Membri kollha kkomunikaw azzjonijiet u inizjattivi istituzzjonali biex jinfurmaw liċ-ċittadini dwar id-drittijiet elettorali tagħhom, u b’hekk implimentaw dawk id-dispożizzjonijiet tad-Direttiva.</w:t>
      </w:r>
    </w:p>
    <w:p>
      <w:pPr>
        <w:pStyle w:val="Text1"/>
        <w:ind w:left="0"/>
        <w:rPr>
          <w:b/>
          <w:i/>
          <w:noProof/>
        </w:rPr>
      </w:pPr>
      <w:r>
        <w:rPr>
          <w:b/>
          <w:i/>
          <w:noProof/>
        </w:rPr>
        <w:t xml:space="preserve">Derogi, fejn iġġustifikati mis-sitwazzjoni speċifika ta’ Stat Membru </w:t>
      </w:r>
    </w:p>
    <w:p>
      <w:pPr>
        <w:pStyle w:val="Text1"/>
        <w:ind w:left="0"/>
        <w:rPr>
          <w:noProof/>
        </w:rPr>
      </w:pPr>
      <w:r>
        <w:rPr>
          <w:noProof/>
        </w:rPr>
        <w:t>L-Artikolu 12 tad-Direttiva jippermetti eċċezzjonijiet għall-prinċipju tat-trattament ugwali fejn dan ikun iġġustifikat minn problemi speċifiċi għal Stat Membru. Stat Membru fejn is-sehem ta’ ċittadini mobbli tal-UE ta’ età eliġibbli għall-vot jaqbeż l-20 % tal-elettorat totali jista’ jenħtieġ li kemm il-votanti kif ukoll il-kandidati jkollhom perjodu minimu ta’ residenza. Jista’ jieħu wkoll miżuri biex jimmodifika s-sura tal-listi ta’ kandidati. Jagħmel dan biex jintegra aħjar lill-barranin u jevita l-polarizzazzjoni bejn il-listi ta’ kandidati “nazzjonali” u “barranin”.</w:t>
      </w:r>
    </w:p>
    <w:p>
      <w:pPr>
        <w:autoSpaceDE w:val="0"/>
        <w:autoSpaceDN w:val="0"/>
        <w:adjustRightInd w:val="0"/>
        <w:rPr>
          <w:noProof/>
        </w:rPr>
      </w:pPr>
      <w:r>
        <w:rPr>
          <w:noProof/>
        </w:rPr>
        <w:t>Il-Lussemburgu hu l-uniku Stat Membru li juża din id-deroga. Dan jagħti d-dritt tal-vot biss lil ċittadini mobbli tal-UE li kellhom id-domiċilju legali tagħhom fil-Lussemburgu u li rrisjedew hemm mill-inqas ħames (5) snin qabel ir-reġistrazzjoni. Il-Lussemburgu jirrikjedi ukoll li ċ-ċittadini mobbli tal-UE jkunu rrisjedew hemm mill-inqas ħames (5) snin qabel ma japplikaw biex joħorġu bħala kandidati. Skont il-proċedura stabbilita fid-Direttiva, il-Lussemburgu kkomunika lill-Kummissjoni x-xewqa tiegħu li jkompli juża din id-deroga. Skont id-data pprovduta mill-awtoritajiet tal-Lussumburgu, l-għadd ta’ ċittadini barranin tal-UE ta’ età eliġibbli għall-vot li bħalissa jgħixu fil-Lussumburgu kien ta’ 159 485. In-numru totali ta’ ċittadini tal-UE ta’ età eliġibbli għall-vot li jgħixu hemmhekk kien ta’ 481 358. Jirriżulta li l-proporzjon bejn tal-ewwel u tal-aħħar kien ta’ 33,1 %, lil hinn mil-limitu ta’ 20 % stipulat mid-Direttiva. Għalhekk, l-għotja ta’ deroga lil-Lussemburgu għadha ġustifikata.</w:t>
      </w:r>
    </w:p>
    <w:p>
      <w:pPr>
        <w:pStyle w:val="Heading2"/>
        <w:rPr>
          <w:b w:val="0"/>
          <w:noProof/>
        </w:rPr>
      </w:pPr>
      <w:r>
        <w:rPr>
          <w:rStyle w:val="Heading2Char"/>
          <w:b/>
          <w:noProof/>
        </w:rPr>
        <w:t>Restrizzjoni ta’ wħud mill-funzjonijiet għaċ-ċittadini nazzjonal</w:t>
      </w:r>
      <w:r>
        <w:rPr>
          <w:b w:val="0"/>
          <w:noProof/>
        </w:rPr>
        <w:t>i</w:t>
      </w:r>
    </w:p>
    <w:p>
      <w:pPr>
        <w:autoSpaceDE w:val="0"/>
        <w:autoSpaceDN w:val="0"/>
        <w:adjustRightInd w:val="0"/>
        <w:rPr>
          <w:noProof/>
        </w:rPr>
      </w:pPr>
      <w:r>
        <w:rPr>
          <w:noProof/>
        </w:rPr>
        <w:t>Id-Direttiva tippermetti li l-Istati Membri jirrestrinġu għadd ta’ karigi fl-amministrazzjoni lokali għaċ-ċittadini proprji tagħhom, jiġifieri għal kap, deputat jew membru tal-kulleġġ governattiv tal-eżekuttiv ta’ unità tal-gvern lokali bażika. Dan japplika jekk iċ-ċittadin tal-Istat Membru jiġi elett b’mandat għal terminu sħiħ jew għall-eżekuzzjoni temporanja jew interim tal-funzjonijiet.</w:t>
      </w:r>
    </w:p>
    <w:p>
      <w:pPr>
        <w:pStyle w:val="Text1"/>
        <w:ind w:left="0"/>
        <w:rPr>
          <w:noProof/>
        </w:rPr>
      </w:pPr>
      <w:r>
        <w:rPr>
          <w:noProof/>
        </w:rPr>
        <w:t>Fi żmien l-aħħar rapport fl-2012, 14-il Stat Membru</w:t>
      </w:r>
      <w:r>
        <w:rPr>
          <w:rStyle w:val="FootnoteReference"/>
          <w:noProof/>
          <w:sz w:val="20"/>
        </w:rPr>
        <w:footnoteReference w:id="19"/>
      </w:r>
      <w:r>
        <w:rPr>
          <w:noProof/>
        </w:rPr>
        <w:t xml:space="preserve"> ma rrestrinġew l-ebda kariga fl-amministrazzjoni lokali tagħhom għaċ-ċittadini proprji tagħhom, u tliet (3) Stati Membri</w:t>
      </w:r>
      <w:r>
        <w:rPr>
          <w:rStyle w:val="FootnoteReference"/>
          <w:noProof/>
          <w:sz w:val="20"/>
        </w:rPr>
        <w:footnoteReference w:id="20"/>
      </w:r>
      <w:r>
        <w:rPr>
          <w:noProof/>
        </w:rPr>
        <w:t xml:space="preserve"> imponew restrizzjonijiet għall-kapijiet fl-amministrazzjoni lokali tagħhom biss. Sitt Stati Membri rrestrinġew il-karigi kollha f’livell ogħla minn dak ta’ membru tal-kumitat eżekuttiv</w:t>
      </w:r>
      <w:r>
        <w:rPr>
          <w:rStyle w:val="FootnoteReference"/>
          <w:noProof/>
        </w:rPr>
        <w:footnoteReference w:id="21"/>
      </w:r>
      <w:r>
        <w:rPr>
          <w:noProof/>
        </w:rPr>
        <w:t>, u żewġ (2) Stati Membri adottaw ir-restrizzjonijiet permessi kollha</w:t>
      </w:r>
      <w:r>
        <w:rPr>
          <w:rStyle w:val="FootnoteReference"/>
          <w:noProof/>
        </w:rPr>
        <w:footnoteReference w:id="22"/>
      </w:r>
      <w:r>
        <w:rPr>
          <w:noProof/>
        </w:rPr>
        <w:t>. Mindu ħareġ dak ir-rapport, l-Ungerija u r-Rumanija nnotifikaw lill-Kummissjoni dwar tibdil fil-leġiżlazzjoni ta’ implimentazzjoni tagħhom li jneħħi r-restrizzjonijiet preċedenti.</w:t>
      </w:r>
    </w:p>
    <w:p>
      <w:pPr>
        <w:autoSpaceDE w:val="0"/>
        <w:autoSpaceDN w:val="0"/>
        <w:adjustRightInd w:val="0"/>
        <w:rPr>
          <w:noProof/>
        </w:rPr>
      </w:pPr>
      <w:r>
        <w:rPr>
          <w:noProof/>
        </w:rPr>
        <w:t>Il-Kummissjoni evalwat l-attitudnijiet taċ-ċittadini dwar din il-kwistjoni. F’Ewrobarometru u f’konsultazzjoni pubblika mwettqa fl-2015</w:t>
      </w:r>
      <w:r>
        <w:rPr>
          <w:rStyle w:val="FootnoteReference"/>
          <w:noProof/>
        </w:rPr>
        <w:footnoteReference w:id="23"/>
      </w:r>
      <w:r>
        <w:rPr>
          <w:noProof/>
        </w:rPr>
        <w:t>, il-Kummissjoni talbet liċ-ċittadini biex jagħtu l-fehmiet tagħhom. Iċ-ċifri tal-Ewrobarometru juru li nofs jaqblu u nofs ma jaqblux li ċ-ċittadini mobbli tal-UE jingħataw id-dritt li joħorġu bħala kandidati għal ċerti karigi eżekuttivi f’pajjiżhom: Mas-47 % jaħsbu li jenħtieġ li jingħataw u mat-48 % jaħsbu li ma għandhomx jingħataw.</w:t>
      </w:r>
    </w:p>
    <w:p>
      <w:pPr>
        <w:autoSpaceDE w:val="0"/>
        <w:autoSpaceDN w:val="0"/>
        <w:adjustRightInd w:val="0"/>
        <w:rPr>
          <w:b/>
          <w:noProof/>
        </w:rPr>
      </w:pPr>
      <w:r>
        <w:rPr>
          <w:b/>
          <w:noProof/>
        </w:rPr>
        <w:t>Illustrazzjoni 6: Karigi li jistgħu jiġu eletti għalihom iċ-ċittadini tal-UE f’unitajiet tal-gvern lokali bażiċi</w:t>
      </w:r>
    </w:p>
    <w:p>
      <w:pPr>
        <w:autoSpaceDE w:val="0"/>
        <w:autoSpaceDN w:val="0"/>
        <w:adjustRightInd w:val="0"/>
        <w:spacing w:before="0" w:after="0"/>
        <w:ind w:left="360"/>
        <w:jc w:val="left"/>
        <w:rPr>
          <w:i/>
          <w:noProof/>
          <w:sz w:val="20"/>
        </w:rPr>
      </w:pPr>
      <w:r>
        <w:rPr>
          <w:rFonts w:ascii="Arial" w:hAnsi="Arial" w:cs="Arial"/>
          <w:noProof/>
          <w:color w:val="0000FF"/>
          <w:sz w:val="22"/>
          <w:szCs w:val="22"/>
          <w:lang w:val="en-US" w:eastAsia="en-US" w:bidi="ar-SA"/>
        </w:rPr>
        <w:drawing>
          <wp:inline distT="0" distB="0" distL="0" distR="0">
            <wp:extent cx="5517746" cy="2682815"/>
            <wp:effectExtent l="0" t="0" r="698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204" cy="2683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before="0" w:after="0"/>
        <w:ind w:left="360"/>
        <w:jc w:val="left"/>
        <w:rPr>
          <w:rFonts w:ascii="Arial" w:hAnsi="Arial" w:cs="Arial"/>
          <w:noProof/>
          <w:color w:val="0000FF"/>
          <w:sz w:val="22"/>
          <w:szCs w:val="22"/>
        </w:rPr>
      </w:pPr>
      <w:r>
        <w:rPr>
          <w:i/>
          <w:noProof/>
          <w:sz w:val="20"/>
        </w:rPr>
        <w:t>* L-Awstrija u l-Ġermanja huma repubbliki federali — id-dispożizzjonijiet ivarjaw skont l-istat federali.</w:t>
      </w:r>
    </w:p>
    <w:p>
      <w:pPr>
        <w:autoSpaceDE w:val="0"/>
        <w:autoSpaceDN w:val="0"/>
        <w:adjustRightInd w:val="0"/>
        <w:rPr>
          <w:b/>
          <w:noProof/>
        </w:rPr>
      </w:pPr>
      <w:r>
        <w:rPr>
          <w:noProof/>
        </w:rPr>
        <w:t>Madankollu, aktar minn tmien rispondenti minn kull 10 (83 %) fil-konsultazzjoni pubblika mnedija mill-Kummissjoni fl-2015 dwar iċ-ċittadinanza tal-UE kienu jaħsbu li ċ-ċittadini tal-UE li jgħixu f’pajjiż ieħor tal-UE jenħtieġ li jkunu jistgħu jsiru membri tal-korpi eżekuttivi ta’ muniċipalità.</w:t>
      </w:r>
    </w:p>
    <w:p>
      <w:pPr>
        <w:autoSpaceDE w:val="0"/>
        <w:autoSpaceDN w:val="0"/>
        <w:adjustRightInd w:val="0"/>
        <w:rPr>
          <w:b/>
          <w:noProof/>
        </w:rPr>
      </w:pPr>
      <w:r>
        <w:rPr>
          <w:b/>
          <w:noProof/>
        </w:rPr>
        <w:t>Illustrazzjoni 7: Il-fehmiet taċ-ċittadini — jenħtieġ li ċ-ċittadini mobbli tal-UE jkunu jistgħu jsiru membri tal-korpi eżekuttivi ta’ muniċipalità fl-Istat Membru li jospitahom</w:t>
      </w:r>
    </w:p>
    <w:p>
      <w:pPr>
        <w:autoSpaceDE w:val="0"/>
        <w:autoSpaceDN w:val="0"/>
        <w:adjustRightInd w:val="0"/>
        <w:rPr>
          <w:b/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847906" cy="2721935"/>
            <wp:effectExtent l="0" t="0" r="63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906" cy="272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Heading2"/>
        <w:rPr>
          <w:noProof/>
        </w:rPr>
      </w:pPr>
      <w:r>
        <w:rPr>
          <w:noProof/>
        </w:rPr>
        <w:t>Id-dritt ta' sħubija jew ta' twaqqif ta' partiti politiċi fl-Istat ta’ residenza</w:t>
      </w:r>
    </w:p>
    <w:p>
      <w:pPr>
        <w:pStyle w:val="Text1"/>
        <w:ind w:left="0"/>
        <w:rPr>
          <w:noProof/>
        </w:rPr>
      </w:pPr>
      <w:r>
        <w:rPr>
          <w:noProof/>
        </w:rPr>
        <w:t xml:space="preserve">Skont il-prinċipju tan-nondiskriminazzjoni, jenħtieġ li ċ-ċittadini tal-UE jgawdu minn drittijiet elettorali bl-istess kundizzjonijiet bħaċ-ċittadini tal-Istat Membru fejn jirresjedu. Dan jirrikjedi, pereżempju, l-aċċess għall-istess proċeduri ta’ appell għal kwalunkwe omissjoni jew żball fir-reġistru elettorali jew fid-dikjarazzjoni tal-kandidatura jew fl-estensjoni tal-votazzjoni obbligatorja lill-barranin. Il-prinċipju tan-nondiskriminazzjoni jfisser ukoll li jenħtieġ li ċ-ċittadini tal-UE jkunu jistgħu jieħdu sehem fil-ħajja politika tal-Istat Membru ta’ residenza u jissieħbu f’partiti politiċi fil-pajjiż ta’ residenza tagħhom.  </w:t>
      </w:r>
    </w:p>
    <w:p>
      <w:pPr>
        <w:pStyle w:val="Text1"/>
        <w:ind w:left="0"/>
        <w:rPr>
          <w:noProof/>
        </w:rPr>
      </w:pPr>
      <w:r>
        <w:rPr>
          <w:noProof/>
        </w:rPr>
        <w:t xml:space="preserve">Il-Kummissjoni daħlet f’kuntatt mal-Istati Membri u għadha qed tiddjaloga ma’ ċerti Stati Membri fejn il-leġiżlazzjoni nazzjonali ma tippermettix li ċ-ċittadini mobbli tal-UE jkollhom l-istess drittijiet għall-partiti politiċi. Għadd ta’ Stati Membri diġà emendaw il-leġiżlazzjoni tagħhom. Għaddejjin diskussjonijiet ma’ oħrajn.  </w:t>
      </w:r>
    </w:p>
    <w:p>
      <w:pPr>
        <w:pStyle w:val="Heading2"/>
        <w:rPr>
          <w:noProof/>
        </w:rPr>
      </w:pPr>
      <w:r>
        <w:rPr>
          <w:noProof/>
        </w:rPr>
        <w:t>“Unitajiet tal-gvern lokali bażiċi” — id-definizzjoni tal-kamp ta’ applikazzjoni tad-Direttiva</w:t>
      </w:r>
    </w:p>
    <w:p>
      <w:pPr>
        <w:pStyle w:val="Text1"/>
        <w:ind w:left="0"/>
        <w:rPr>
          <w:noProof/>
        </w:rPr>
      </w:pPr>
      <w:r>
        <w:rPr>
          <w:noProof/>
        </w:rPr>
        <w:t>Id-Direttiva tinkludi Anness b'lista ta’ definizzjonijiet nazzjonali ta’ “unità tal-gvern lokali bażika”</w:t>
      </w:r>
      <w:r>
        <w:rPr>
          <w:rStyle w:val="FootnoteReference"/>
          <w:noProof/>
        </w:rPr>
        <w:footnoteReference w:id="24"/>
      </w:r>
      <w:r>
        <w:rPr>
          <w:noProof/>
        </w:rPr>
        <w:t>, li huwa l-mod li bih id-Direttiva tistabbilixxi x’inhi elezzjoni muniċipali fil-kamp ta’ applikazzjoni tagħha. Il-Kummissjoni ġiet infurmata mid-Danimarka, l-Ungerija, l-Irlanda, ir-Renju Unit u in-Netherlands</w:t>
      </w:r>
      <w:r>
        <w:rPr>
          <w:rStyle w:val="FootnoteReference"/>
          <w:noProof/>
        </w:rPr>
        <w:footnoteReference w:id="25"/>
      </w:r>
      <w:r>
        <w:rPr>
          <w:noProof/>
        </w:rPr>
        <w:t xml:space="preserve"> li huma meħtieġa emendi u qed tħejji l-azzjoni neċessarja.</w:t>
      </w:r>
    </w:p>
    <w:p>
      <w:pPr>
        <w:pStyle w:val="ManualHeading1"/>
        <w:rPr>
          <w:noProof/>
        </w:rPr>
      </w:pPr>
      <w:r>
        <w:t>4.</w:t>
      </w:r>
      <w:r>
        <w:tab/>
      </w:r>
      <w:r>
        <w:rPr>
          <w:noProof/>
        </w:rPr>
        <w:t>L-iżgurar tal-appoġġ għall-eżerċizzju tad-dritt tal-vot</w:t>
      </w:r>
    </w:p>
    <w:p>
      <w:pPr>
        <w:pStyle w:val="Text1"/>
        <w:ind w:left="0"/>
        <w:rPr>
          <w:noProof/>
        </w:rPr>
      </w:pPr>
      <w:r>
        <w:rPr>
          <w:noProof/>
        </w:rPr>
        <w:t>Għalkemm b’mezzi differenti, ħafna Stati Membri jwettqu attivitajiet biex jinfurmaw liċ-ċittadini mobbli tal-UE dwar id-drittijiet elettorali tagħhom fl-elezzjonijiet muniċipali</w:t>
      </w:r>
      <w:r>
        <w:rPr>
          <w:rStyle w:val="FootnoteReference"/>
          <w:noProof/>
        </w:rPr>
        <w:footnoteReference w:id="26"/>
      </w:r>
      <w:r>
        <w:rPr>
          <w:noProof/>
        </w:rPr>
        <w:t>. Pereżempju, 10 Stati Membri jibagħtu skedi informattivi dwar il-votazzjoni jew ittri individwali li jinfurmaw liċ-ċittadini mobbli tal-UE dwar il-proċess elettorali. Għaxar Stati Membri jipprovdu informazzjoni elettorali fuq sit web uffiċjali. Il-Lussemburgu, Spanja u Malta jorganizzaw kampanji mmirati b’mod speċifiku għaċ-ċittadini barranin biex iqajmu s-sensibilizzazzjoni tal-elettorat. Il-Latvja u r-Renju Unit iddedikaw “linji telefoniċi għall-għajnuna”. Ħames stati jipprovdu informazzjoni f’fuljetti jew fil-gazzetti lokali.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0"/>
        <w:rPr>
          <w:noProof/>
        </w:rPr>
      </w:pPr>
      <w:r>
        <w:rPr>
          <w:noProof/>
        </w:rPr>
        <w:t>Pereżempju, fl-Irlanda, l-awtoritajiet lokali f’Dublin ipprovdew appoġġ liċ-ċittadini mobbli tal-UE biex jivvutaw fl-elezzjonijiet muniċipali tal-2014. Dawn kienu elezzjonijiet muniċipali u tal-Parlament Ewropew ikkombinati. Dawn użaw diversi tipi ta’ reklamar barra d-dar u ta’ informazzjoni online. Kampanja online mmirata lejn ir-residenti kollha — jiġifieri Irlandiżi u mhux Irlandiżi — biex tħeġġeġ liż-żgħażagħ fl-Irlanda jirreġistraw għall-vot. Il-fuljetti ġew ippubblikati wkoll fi 17-il lingwa biex jiġu spjegati r-reġistru u s-sistemi elettorali għar-reġistrazzjoni fil-pajjiż.</w:t>
      </w:r>
    </w:p>
    <w:p>
      <w:pPr>
        <w:pStyle w:val="Text1"/>
        <w:ind w:left="0"/>
        <w:rPr>
          <w:noProof/>
        </w:rPr>
      </w:pPr>
      <w:r>
        <w:rPr>
          <w:noProof/>
        </w:rPr>
        <w:t>Ċerti Stati Membri għandhom prattiki speċifiċi biex gruppi speċifiċi joħorġu jivvutaw. F’Malta hemm faċilitajiet biex tkun eħfef għall-votanti b’diżabilità biex jivvutaw, inklużi ċittadini mobbli tal-UE (mudelli bil-braille tal-polza tal-votazzjoni, awdjorikorders fil-kabina tal-vot, u struzzjonijiet dwar il-votazzjoni miktubin u moqrijin bil-Malti u bl-Ingliż). L-Att dwar il-Kunsilli Lokali ġie emendat biex iċ-ċittadini nazzjonali u mobbli tal-UE li jirrisjedu fi djar tal-anzjani jivvutaw fid-djar tagħhom u biex il-pazjenti fl-isptarijiet jivvutaw mill-isptar tagħhom. Barra minn hekk, jekk dan ikun iġġustifikat, iċ-ċittadini tal-UE jistgħu jivvutaw ġimgħa qabel Jum l-Elezzjoni</w:t>
      </w:r>
      <w:r>
        <w:rPr>
          <w:rStyle w:val="FootnoteReference"/>
          <w:noProof/>
        </w:rPr>
        <w:footnoteReference w:id="27"/>
      </w:r>
      <w:r>
        <w:rPr>
          <w:noProof/>
        </w:rPr>
        <w:t>.</w:t>
      </w:r>
    </w:p>
    <w:p>
      <w:pPr>
        <w:pStyle w:val="Text1"/>
        <w:ind w:left="0"/>
        <w:rPr>
          <w:noProof/>
        </w:rPr>
      </w:pPr>
      <w:r>
        <w:rPr>
          <w:noProof/>
        </w:rPr>
        <w:t xml:space="preserve">Il-Kummissjoni ħadet ukoll inizjattivi speċifiċi biex ittejjeb l-għarfien dwar id-drittijiet elettorali wkoll. Dawn jinkludu l-għoti ta’ informazzjoni liċ-ċittadini tal-UE permezz tal-portal </w:t>
      </w:r>
      <w:r>
        <w:rPr>
          <w:i/>
          <w:noProof/>
        </w:rPr>
        <w:t>L-Ewropa Tiegħek</w:t>
      </w:r>
      <w:r>
        <w:rPr>
          <w:noProof/>
        </w:rPr>
        <w:t>, li bħalissa jirċievi aktar minn 1,4 miljun żjara fix-xahar</w:t>
      </w:r>
      <w:r>
        <w:rPr>
          <w:rStyle w:val="FootnoteReference"/>
          <w:noProof/>
        </w:rPr>
        <w:footnoteReference w:id="28"/>
      </w:r>
      <w:r>
        <w:rPr>
          <w:noProof/>
        </w:rPr>
        <w:t>.</w:t>
      </w:r>
    </w:p>
    <w:p>
      <w:pPr>
        <w:pStyle w:val="Text1"/>
        <w:ind w:left="0"/>
        <w:rPr>
          <w:noProof/>
        </w:rPr>
      </w:pPr>
      <w:r>
        <w:rPr>
          <w:noProof/>
        </w:rPr>
        <w:t>Permezz tal-</w:t>
      </w:r>
      <w:r>
        <w:rPr>
          <w:i/>
          <w:noProof/>
        </w:rPr>
        <w:t>Programm ta' Drittijiet, Ugwaljanza u Ċittadinanza</w:t>
      </w:r>
      <w:r>
        <w:rPr>
          <w:noProof/>
        </w:rPr>
        <w:t>, il-Kummissjoni allokat b’kollox EUR 3,5 miljuni f’għotjiet għal azzjoni għal proġetti fl-2014, fl-2016 u fl-2017 biex trawwem l-inklużjoni u l-parteċipazzjoni b’suċċess taċ-ċittadini mobbli tal-UE fil-pajjiżi ospitanti tagħhom, inkluża l-parteċipazzjoni fl-elezzjonijiet muniċipali. Il-proġetti twettqu minn organizzazzjonijiet madwar l-UE kollha u laħqu lil eluf kbar ta’ ċittadini mobbli tal-UE. .</w:t>
      </w:r>
    </w:p>
    <w:p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Style w:val="A5"/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Pereżempju, il-proġett “Welcome Europe” għaqqad il-bliet ta’ Amsterdam, ta’ Brussell, ta’ Copenhagen, ta’ Dublin, ta’ Gothernburg u ta’ Hamburg flimkien ma’ universitajiet u mas-settur mhux governattiv. Il-proġett, li sar bejn Jannar 2015 u Diċembru 2016, fittex li jħeġġeġ l-iskambju ta’ prattiki tajba dwar it-tfassil ta’ “politiki ta’ akkoljenza” għaċ-ċittadini mobbli tal-UE. Ir-riżultati tal-proġetti xxerrdu permezz ta’ sensiela ta’ konferenzi transnazzjonali u permezz tal-produzzjoni ta’ sett ta’ għodod</w:t>
      </w:r>
      <w:r>
        <w:rPr>
          <w:rStyle w:val="FootnoteReference"/>
          <w:rFonts w:ascii="Times New Roman" w:hAnsi="Times New Roman"/>
          <w:noProof/>
        </w:rPr>
        <w:footnoteReference w:id="29"/>
      </w:r>
      <w:r>
        <w:rPr>
          <w:rFonts w:ascii="Times New Roman" w:hAnsi="Times New Roman"/>
          <w:noProof/>
        </w:rPr>
        <w:t xml:space="preserve">. </w:t>
      </w:r>
    </w:p>
    <w:p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noProof/>
        </w:rPr>
      </w:pPr>
      <w:r>
        <w:rPr>
          <w:rStyle w:val="A5"/>
          <w:rFonts w:ascii="Times New Roman" w:hAnsi="Times New Roman"/>
          <w:noProof/>
          <w:sz w:val="24"/>
        </w:rPr>
        <w:t xml:space="preserve">Il-proġett wera li kien importanti biex </w:t>
      </w:r>
      <w:r>
        <w:rPr>
          <w:rFonts w:ascii="Times New Roman" w:hAnsi="Times New Roman"/>
          <w:noProof/>
        </w:rPr>
        <w:t xml:space="preserve">l-awtoritajiet muniċipali jinfurmaw attivament liċ-ċittadini mobbli tal-UE dwar id-drittijiet, id-drittijiet u d-dmirijiet tagħhom u dwar il-prattikalitajiet tal-ħajja fil-komunità l-ġdida tagħhom. Dan jista’ jsir, pereżempju, permezz ta’ punt uniku ta’ kuntatt u permezz ta’ fuljetti. Jenħtieġ li l-mezzi ta’ komunikazzjoni tal-awtoritajiet muniċipali jsiru aċċessibbli għal nies li ma jkollhomx ħiliet perfetti fil-lingwa lokali. Jenħtieġ li l-awtoritajiet muniċipali jippruvaw jinkludu wkoll </w:t>
      </w:r>
      <w:r>
        <w:rPr>
          <w:rStyle w:val="A5"/>
          <w:rFonts w:ascii="Times New Roman" w:hAnsi="Times New Roman"/>
          <w:noProof/>
          <w:sz w:val="24"/>
        </w:rPr>
        <w:t xml:space="preserve">rappreżentanti ta’ gruppi ta’ ċittadini mobbli tal-UE f’korpi konsultattivi u fi gruppi ta’ diskussjoni lokali. </w:t>
      </w:r>
      <w:r>
        <w:rPr>
          <w:rFonts w:ascii="Times New Roman" w:hAnsi="Times New Roman"/>
          <w:noProof/>
        </w:rPr>
        <w:t>Finalment, jenħtieġ li l-popolazzjoni lokali tkun imħeġġa tinteraġixxi maċ-ċittadini mobbli tal-UE li jgħixu fil-belt.</w:t>
      </w:r>
    </w:p>
    <w:p>
      <w:pPr>
        <w:pStyle w:val="ManualHeading1"/>
        <w:rPr>
          <w:noProof/>
        </w:rPr>
      </w:pPr>
      <w:r>
        <w:t>5.</w:t>
      </w:r>
      <w:r>
        <w:tab/>
      </w:r>
      <w:r>
        <w:rPr>
          <w:noProof/>
        </w:rPr>
        <w:t>Konklużjonijiet</w:t>
      </w:r>
    </w:p>
    <w:p>
      <w:pPr>
        <w:pStyle w:val="Text1"/>
        <w:ind w:left="0"/>
        <w:rPr>
          <w:noProof/>
        </w:rPr>
      </w:pPr>
      <w:r>
        <w:rPr>
          <w:noProof/>
        </w:rPr>
        <w:t>Elezzjonijiet liberi u universali huma l-pedament ta’ governanza demokratika leġittima, u l-għoti ta’ appoġġ biex in-nies joħorġu jivvutaw f’kull livell tal-poter hu prijorità. Fir-rapport tal-2017 tagħha dwar iċ-ċittadinanza tal-UE, il-Kummissjoni stiednet lill-Istati Membri biex jippromwovu l-parteċipazzjoni fil-ħajja demokratika billi jinfurmaw aħjar liċ-ċittadini dwar id-drittijiet elettorali tagħhom u billi jneħħu l-ostakli għall-parteċipazzjoni tagħhom. Dan kien appoġġat fil-Konklużjonijiet maħruġa mill-Kunsill tal-Unjoni Ewropea fil-11 ta’ Mejju 2017</w:t>
      </w:r>
      <w:r>
        <w:rPr>
          <w:rStyle w:val="FootnoteReference"/>
          <w:noProof/>
        </w:rPr>
        <w:footnoteReference w:id="30"/>
      </w:r>
      <w:r>
        <w:rPr>
          <w:noProof/>
        </w:rPr>
        <w:t>. Il-Parlament Ewropew u l-Kumitat tar-Reġjuni huma mistennija jadottaw l-opinjoni tagħhom fuq ir-rapport dwar iċ-ċittadinanza tard fl-2017.</w:t>
      </w:r>
    </w:p>
    <w:p>
      <w:pPr>
        <w:rPr>
          <w:noProof/>
        </w:rPr>
      </w:pPr>
      <w:r>
        <w:rPr>
          <w:noProof/>
        </w:rPr>
        <w:t>Iċ-ċittadini tal-UE qed imorru u jirresjedu dejjem aktar fi Stati Membri oħra. Mindu ħarġu ż-żewġ rapporti preċedenti, il-popolazzjoni taċ-ċittadini mobbli tal-UE rdoppjat, b’madwar 14-il miljun b’età eliġibbli għall-vot fl-2016, iżda l-livelli ta’ reġistrazzjoni tal-votanti għaċ-ċittadini mobbli tal-UE fl-elezzjonijiet muniċipali għadhom baxxi. In-numru ta’ nies li joħorġu jivvutaw hu sfida kontinwa għad-demokraziji kollha. In-numru baxx ħafna ta' dawk li ħarġu jivvutaw fost iċ-ċittadini mobbli hu inkwetanti peress li hemm periklu reali li dawn ma jeżerċitawx id-drittijiet elettorali tagħhom kemm fil-pajjiżi ta’ oriġini u ospitanti tagħhom. Dan jeskludihom għalkollox minn kwalunkwe parteċipazzjoni demokratika. Il-votazzjoni hija drawwa li jenħtieġ li tiġi mħeġġa</w:t>
      </w:r>
      <w:r>
        <w:rPr>
          <w:rStyle w:val="FootnoteReference"/>
          <w:noProof/>
        </w:rPr>
        <w:footnoteReference w:id="31"/>
      </w:r>
      <w:r>
        <w:rPr>
          <w:noProof/>
        </w:rPr>
        <w:t>.</w:t>
      </w:r>
    </w:p>
    <w:p>
      <w:pPr>
        <w:rPr>
          <w:noProof/>
        </w:rPr>
      </w:pPr>
      <w:r>
        <w:rPr>
          <w:noProof/>
        </w:rPr>
        <w:t xml:space="preserve">Jidher li hemm bżonn ta’ ġbir aħjar ta’ data. Data aktar kwantitattiva u kwalitattiva dwar l-għarfien u l-eżerċitar miċ-ċittadini mobbli tal-UE tad-drittijiet politiċi, u dwar kwalunkwe diffikultà li jesperjenzaw waqt il-parteċipazzjoni fil-komunitajiet lokali tagħhom tgħin biex jiġi indirizzat l-ammont baxx ta’ ċittadini mobbli tal-UE li joħorġu jivvutaw. Id-data dwar in-numru ta’ ċittadini mobbli spiss tinġabar biss f’livell nazzjonali, u mhux f’livell reġjonali jew lokali. Minkejja dan, data reġjonali u lokali bħal din hi meħtieġa biex tassisti fit-tfassil immirat ta’ politiki tal-UE u tiżdied il-viżibilità taċ-ċittadini mobbli tal-UE fost il-partijiet ikkonċernati lokali.  </w:t>
      </w:r>
    </w:p>
    <w:p>
      <w:pPr>
        <w:autoSpaceDE w:val="0"/>
        <w:autoSpaceDN w:val="0"/>
        <w:adjustRightInd w:val="0"/>
        <w:rPr>
          <w:noProof/>
        </w:rPr>
      </w:pPr>
      <w:r>
        <w:rPr>
          <w:noProof/>
        </w:rPr>
        <w:t>Filwaqt li ġew solvuti ħafna kwistjonijiet, il-Kummissjoni qed tkompli tissorvelja l-implimentazzjoni tad-Direttiva u għadha tiddjaloga ma’ xi Stati Membri.</w:t>
      </w:r>
    </w:p>
    <w:p>
      <w:pPr>
        <w:autoSpaceDE w:val="0"/>
        <w:autoSpaceDN w:val="0"/>
        <w:adjustRightInd w:val="0"/>
        <w:rPr>
          <w:noProof/>
        </w:rPr>
      </w:pPr>
      <w:r>
        <w:rPr>
          <w:noProof/>
        </w:rPr>
        <w:t>Ir-restrizzjonijiet fuq iċ-ċittadini mobbli tal-UE li jkollhom karigi eżekuttivi fl-amministrazzjonijiet lokali tagħhom qed jonqsu bil-mod fl-Istati Membri.</w:t>
      </w:r>
    </w:p>
    <w:p>
      <w:pPr>
        <w:autoSpaceDE w:val="0"/>
        <w:autoSpaceDN w:val="0"/>
        <w:adjustRightInd w:val="0"/>
        <w:rPr>
          <w:noProof/>
        </w:rPr>
      </w:pPr>
      <w:r>
        <w:rPr>
          <w:noProof/>
        </w:rPr>
        <w:t>Il-Kummissjoni tqis li t-talba tal-Lussemburgu biex ikompli bid-deroga tiegħu skont id-Direttiva għadha ġġustifikata. Din se tieħu wkoll il-passi neċessarji biex temenda l-Anness tad-Direttiva, filwaqt li taġġorna l-lista ta’ definizzjonijiet nazzjonali ta’ unità tal-gvern lokali bażika fid-dawl tat-tibdiliet riċenti f’ċerti Stati Membri.</w:t>
      </w:r>
    </w:p>
    <w:p>
      <w:pPr>
        <w:rPr>
          <w:noProof/>
        </w:rPr>
      </w:pPr>
      <w:r>
        <w:rPr>
          <w:noProof/>
        </w:rPr>
        <w:t>L-involviment imsaħħaħ taċ-ċittadini mobbli tal-UE fl-elezzjonijiet muniċipali u b’mod aktar ġenerali fil-ħajja politika Ewropea hu sfida li teħtieġ sforz konġunt mill-Istati Membri, inklużi l-awtoritajiet lokali u reġjonali tagħhom, mill-istituzzjonijiet tal-UE, mis-soċjetà ċivili u mill-partiti politiċi. Dan hu essenzjali biex tiġi żgurata l-inklużjoni taċ-ċittadini mobbli tal-UE fil-ħajja soċjali u politika tal-komunitajiet ospitanti tagħhom.</w:t>
      </w: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t>Il-Kummissjoni se timplimenta l-azzjonijiet li ġejjin:</w:t>
      </w:r>
    </w:p>
    <w:p>
      <w:pPr>
        <w:rPr>
          <w:b/>
          <w:noProof/>
        </w:rPr>
      </w:pPr>
    </w:p>
    <w:p>
      <w:pPr>
        <w:rPr>
          <w:b/>
          <w:noProof/>
        </w:rPr>
      </w:pPr>
      <w:r>
        <w:rPr>
          <w:b/>
          <w:noProof/>
        </w:rPr>
        <w:t>Għarfien aħjar</w:t>
      </w:r>
    </w:p>
    <w:p>
      <w:pPr>
        <w:rPr>
          <w:noProof/>
        </w:rPr>
      </w:pPr>
      <w:r>
        <w:rPr>
          <w:noProof/>
        </w:rPr>
        <w:t>B’ħarsa lejn il-ġejjieni għall-parteċipazzjoni taċ-ċittadini tal-UE fl-elezzjonijiet muniċipali fl-Istati Membri u fl-elezzjonijiet Ewropej tal-2019, fl-2018 il-Kummissjoni se tagħmel stħarriġ speċjali tal-Ewrobarometru dwar il-parteċipazzjoni demokratika taċ-ċittadini mobbli tal-UE. L-għan se jkun li jittejbu l-eżerċitar tad-drittijiet elettorali u l-istandards demokratiċi fl-Unjoni. Il-Kummissjoni se tfittex li ttejjeb il-ġbir ta’ data demografika fil-livell reġjonali għaċ-ċittadini mobbli tal-UE. Se tinkariga wkoll lin-netwerk ta’ akkademiċi dwar id-drittijiet taċ-ċittadinanza tal-UE biex jikkompila aktar evidenza kwalitattiva dwar x’jeħtieġu ċ-ċittadini mobbli biex jieħdu sehem politikament fl-elezzjonijiet muniċipali u Ewropej u dwar il-kuntest demokratiku, u dwar il-prattiki biex tiġi sostnuta l-parteċipazzjoni.</w:t>
      </w:r>
    </w:p>
    <w:p>
      <w:pPr>
        <w:rPr>
          <w:b/>
          <w:noProof/>
        </w:rPr>
      </w:pPr>
    </w:p>
    <w:p>
      <w:pPr>
        <w:rPr>
          <w:b/>
          <w:noProof/>
        </w:rPr>
      </w:pPr>
      <w:r>
        <w:rPr>
          <w:b/>
          <w:noProof/>
        </w:rPr>
        <w:t>L-infurmar u s-sensibilizzazzjoni</w:t>
      </w:r>
    </w:p>
    <w:p>
      <w:pPr>
        <w:rPr>
          <w:noProof/>
        </w:rPr>
      </w:pPr>
      <w:r>
        <w:rPr>
          <w:noProof/>
        </w:rPr>
        <w:t>Bi tħejjija għall-elezzjonijiet Ewropej li jmiss, il-Kummissjoni se tinkorpora informazzjoni dwar id-drittijiet taċ-ċittadinanza tal-UE, inklużi d-drittijiet elettorali fil-kampanji ta’ informazzjoni tagħha. Se jsiru wkoll attivitajiet ta’ sensibilizzazzjoni sabiex tiġi promossa r-registrazzjoni tal-votanti u l-parteċipazzjoni taċ-ċittadini mobbli fl-Istati Membri fejn għandhom isiru l-elezzjonijiet muniċipali</w:t>
      </w:r>
      <w:r>
        <w:rPr>
          <w:rStyle w:val="FootnoteReference"/>
          <w:noProof/>
        </w:rPr>
        <w:footnoteReference w:id="32"/>
      </w:r>
      <w:r>
        <w:rPr>
          <w:noProof/>
        </w:rPr>
        <w:t xml:space="preserve">. </w:t>
      </w: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t>Il-Kummissjoni se tippromwovi l-portal “L-Ewropa Tiegħek” b’mod attiv, fejn iċ-ċittadini tal-UE se jsibu informazzjoni faċilment aċċessibbli dwar il-formalitajiet elettorali fl-Istat Membru ta’ residenza tagħhom.</w:t>
      </w:r>
    </w:p>
    <w:p>
      <w:pPr>
        <w:pStyle w:val="Text1"/>
        <w:ind w:left="0"/>
        <w:rPr>
          <w:noProof/>
        </w:rPr>
      </w:pPr>
    </w:p>
    <w:p>
      <w:pPr>
        <w:rPr>
          <w:noProof/>
        </w:rPr>
      </w:pPr>
      <w:r>
        <w:rPr>
          <w:b/>
          <w:noProof/>
        </w:rPr>
        <w:t>L-iffaċilitar tal-proċess tal-votazzjoni</w:t>
      </w:r>
    </w:p>
    <w:p>
      <w:pPr>
        <w:pStyle w:val="Text1"/>
        <w:ind w:left="0"/>
        <w:rPr>
          <w:noProof/>
        </w:rPr>
      </w:pPr>
      <w:r>
        <w:rPr>
          <w:noProof/>
        </w:rPr>
        <w:t>L-iffaċilitar tar-reġistrazzjoni u tal-votazzjoni għall-votanti hu partikolarment importanti. L-istudji juru li ċ-ċittadini tal-UE nfushom, b’mod partikolari dawk li jivvutaw f’pajjiż li mhuwiex il-pajjiż tan-nazzjonalità tagħhom, jilqgħu prattiki li jagħmluha aktar faċli għalihom biex jivvutaw f’dawn l-elezzjonijiet bħala barranin (pereż. ittri individwali, reġistrazzjoni onlajn fir-reġistru elettorali, eċċ.)</w:t>
      </w:r>
      <w:r>
        <w:rPr>
          <w:rStyle w:val="FootnoteReference"/>
          <w:noProof/>
        </w:rPr>
        <w:footnoteReference w:id="33"/>
      </w:r>
      <w:r>
        <w:rPr>
          <w:noProof/>
        </w:rPr>
        <w:t xml:space="preserve">.  </w:t>
      </w:r>
    </w:p>
    <w:p>
      <w:pPr>
        <w:rPr>
          <w:noProof/>
        </w:rPr>
      </w:pPr>
      <w:r>
        <w:rPr>
          <w:noProof/>
        </w:rPr>
        <w:t>Se tiġi promossa r-reġistrazzjoni awtomatika tal-votanti, inkluż permezz tan-netwerk ta’ esperti tal-Istati Membri fi kwistjonijiet elettorali.</w:t>
      </w:r>
    </w:p>
    <w:p>
      <w:pPr>
        <w:rPr>
          <w:noProof/>
        </w:rPr>
      </w:pPr>
      <w:r>
        <w:rPr>
          <w:noProof/>
        </w:rPr>
        <w:t>Fl-2018 se jitlesta studju dwar il-votazzjoni mill-bogħod (inkluża votazzjoni postali u elettronika). Se tikkunsidra modi oħra kif tiffaċilita r-reġistrazzjoni tal-votanti u l-votazzjoni fit-tipi kollha ta’ elezzjonijiet.</w:t>
      </w:r>
    </w:p>
    <w:p>
      <w:pPr>
        <w:pStyle w:val="Text1"/>
        <w:ind w:left="0"/>
        <w:rPr>
          <w:noProof/>
        </w:rPr>
      </w:pPr>
      <w:r>
        <w:rPr>
          <w:noProof/>
        </w:rPr>
        <w:t>Finalment, fl-2018 se jiġi organizzat atività ta’ livell għoli dwar il-parteċipazzjoni demokratika b’enfasi partikolari fuq it-tħeġġiġ tal-aħjar prattiki biex tiżdied il-parteċipazzjoni taż-żgħażagħ u ta’ gruppi vulnerabbli u sottorappreżentati.</w:t>
      </w:r>
    </w:p>
    <w:p>
      <w:pPr>
        <w:spacing w:before="0" w:after="200" w:line="276" w:lineRule="auto"/>
        <w:jc w:val="left"/>
        <w:rPr>
          <w:noProof/>
        </w:rPr>
      </w:pPr>
    </w:p>
    <w:p>
      <w:pPr>
        <w:rPr>
          <w:b/>
          <w:noProof/>
        </w:rPr>
      </w:pPr>
      <w:r>
        <w:rPr>
          <w:b/>
          <w:noProof/>
        </w:rPr>
        <w:t>L-involviment tal-partijiet ikkonċernati</w:t>
      </w:r>
    </w:p>
    <w:p>
      <w:pPr>
        <w:rPr>
          <w:noProof/>
        </w:rPr>
      </w:pPr>
      <w:r>
        <w:rPr>
          <w:noProof/>
        </w:rPr>
        <w:t>Il-Kummissjoni biħsiebha tikkoopera mal-Kumitat tar-Reġjuni (permezz tal-Kummissjoni CIVEX tiegħu</w:t>
      </w:r>
      <w:r>
        <w:rPr>
          <w:rStyle w:val="FootnoteReference"/>
          <w:noProof/>
        </w:rPr>
        <w:footnoteReference w:id="34"/>
      </w:r>
      <w:r>
        <w:rPr>
          <w:noProof/>
        </w:rPr>
        <w:t>) u man-netwerk tagħha ta’ awtoritajiet reġjonali u lokali. L-għan hu li tippromwovi l-attivitajiet li jżidu l-parteċipazzjoni fil-ħajja politika billi tiġbor informazzjoni dwar l-esperjenza tal-awtoritajiet lokali u tippromwovi l-aħjar prattiki fil-livell lokali. Il-Kummissjoni se tikkoordina din il-ħidma man-netwerk tagħha ta’ esperti tal-Istati Membri fi kwistjonijiet elettorali.</w:t>
      </w:r>
    </w:p>
    <w:p>
      <w:pPr>
        <w:rPr>
          <w:noProof/>
        </w:rPr>
      </w:pPr>
      <w:r>
        <w:rPr>
          <w:noProof/>
        </w:rPr>
        <w:t>Il-Kummissjoni se tindirizza l-kwistjoni ta’ parteċipazzjoni politika taċ-ċittadini mobbli tal-UE, inklużi dawk b’diżabilitajiet jew li jappartjenu għal minoranzi, bħala parti mill-avveniment ta’ livell għoli tagħha tal-2018 dwar kwistjonijiet demografiċi. Il-Kummissjoni organizzat ukoll sessjoni ta’ ħidma dwar “id-dimensjoni tas-sessi fid-demokraziji tagħna” matul il-Kollokju annwali tagħha dwar id-Drittijiet Fundamentali f’Novembru 2017. Hawnhekk l-għan kien li ssir kontribuzzjoni għall-prattiki biex jitrawwem impenn politiku fost in-nisa u impenn għal ugwaljanza akbar bejn is-sessi u t-tisħiħ tal-pożizzjoni tan-nisa fl-elezzjonijiet Ewropej.</w:t>
      </w:r>
    </w:p>
    <w:p>
      <w:pPr>
        <w:rPr>
          <w:noProof/>
        </w:rPr>
      </w:pPr>
      <w:r>
        <w:rPr>
          <w:noProof/>
        </w:rPr>
        <w:t>Il-Kummissjoni se tkompli tuża l-</w:t>
      </w:r>
      <w:r>
        <w:rPr>
          <w:i/>
          <w:noProof/>
        </w:rPr>
        <w:t>programm ta’ drittijiet, ugwaljanza u ċittadinanza</w:t>
      </w:r>
      <w:r>
        <w:rPr>
          <w:noProof/>
        </w:rPr>
        <w:t xml:space="preserve"> biex tiffinanzja proġetti li jippromwovu l-inklużjoni u l-parteċipazzjoni b’suċċess taċ-ċittadini mobbli tal-UE fil-pajjiżi ospitanti tagħhom, inkluża l-parteċipazzjoni fl-elezzjonijiet muniċipali. Dawn il-proġetti jitwettqu minn organizzazzjonijiet madwar l-UE u jilħqu lil ħafna ċittadini mobbli tal-UE.</w:t>
      </w:r>
    </w:p>
    <w:p>
      <w:pPr>
        <w:spacing w:before="0" w:after="200" w:line="276" w:lineRule="auto"/>
        <w:jc w:val="left"/>
        <w:rPr>
          <w:noProof/>
        </w:rPr>
      </w:pPr>
      <w:r>
        <w:rPr>
          <w:noProof/>
        </w:rPr>
        <w:br w:type="page"/>
      </w:r>
    </w:p>
    <w:p>
      <w:pPr>
        <w:pStyle w:val="Text1"/>
        <w:ind w:left="0"/>
        <w:rPr>
          <w:b/>
          <w:noProof/>
        </w:rPr>
      </w:pPr>
      <w:r>
        <w:rPr>
          <w:b/>
          <w:noProof/>
        </w:rPr>
        <w:t>ANNESS</w:t>
      </w:r>
    </w:p>
    <w:p>
      <w:pPr>
        <w:pStyle w:val="Text1"/>
        <w:ind w:left="0"/>
        <w:rPr>
          <w:b/>
          <w:noProof/>
        </w:rPr>
      </w:pPr>
      <w:r>
        <w:rPr>
          <w:b/>
          <w:noProof/>
        </w:rPr>
        <w:t>Tabelli bid-data</w:t>
      </w:r>
    </w:p>
    <w:p>
      <w:pPr>
        <w:pStyle w:val="Text1"/>
        <w:ind w:left="0"/>
        <w:rPr>
          <w:b/>
          <w:noProof/>
        </w:rPr>
      </w:pPr>
      <w:r>
        <w:rPr>
          <w:b/>
          <w:noProof/>
        </w:rPr>
        <w:t>Tabella 1.1: Reġistrazzjoni taċ-ċittadini tal-UE għall-elezzjonijiet muniċipali*</w:t>
      </w:r>
    </w:p>
    <w:p>
      <w:pPr>
        <w:pStyle w:val="Text1"/>
        <w:ind w:left="0"/>
        <w:rPr>
          <w:noProof/>
        </w:rPr>
      </w:pPr>
    </w:p>
    <w:tbl>
      <w:tblPr>
        <w:tblW w:w="9870" w:type="dxa"/>
        <w:tblInd w:w="108" w:type="dxa"/>
        <w:tblLook w:val="04A0" w:firstRow="1" w:lastRow="0" w:firstColumn="1" w:lastColumn="0" w:noHBand="0" w:noVBand="1"/>
      </w:tblPr>
      <w:tblGrid>
        <w:gridCol w:w="1328"/>
        <w:gridCol w:w="1159"/>
        <w:gridCol w:w="1217"/>
        <w:gridCol w:w="1017"/>
        <w:gridCol w:w="1044"/>
        <w:gridCol w:w="1044"/>
        <w:gridCol w:w="1150"/>
        <w:gridCol w:w="1044"/>
        <w:gridCol w:w="1106"/>
      </w:tblGrid>
      <w:tr>
        <w:trPr>
          <w:trHeight w:val="2025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 xml:space="preserve">L-Istat Membru rrapporta li japplika r-reġistrazzjoni awtomatika għall-elezzjonijiet muniċipali </w:t>
            </w:r>
            <w:r>
              <w:rPr>
                <w:rFonts w:ascii="Arial" w:hAnsi="Arial"/>
                <w:b/>
                <w:noProof/>
                <w:color w:val="000000"/>
                <w:sz w:val="16"/>
              </w:rPr>
              <w:t>(data tal-Istati Membri)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 xml:space="preserve">Il-popolazzjoni tal-Istat Membru b’età eliġibbli għall-vot (15-il sena jew aktar) fl-01.01.2016 </w:t>
            </w:r>
            <w:r>
              <w:rPr>
                <w:rFonts w:ascii="Arial" w:hAnsi="Arial"/>
                <w:b/>
                <w:noProof/>
                <w:color w:val="000000"/>
                <w:sz w:val="16"/>
              </w:rPr>
              <w:t>(data tal-Eurostat tal-2016)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 xml:space="preserve">L-għadd ta’ ċittadini tal-UE (15-il sena jew aktar) residenti fl-Istat Membru fl-01.01.2016 </w:t>
            </w:r>
            <w:r>
              <w:rPr>
                <w:rFonts w:ascii="Arial" w:hAnsi="Arial"/>
                <w:b/>
                <w:noProof/>
                <w:color w:val="000000"/>
                <w:sz w:val="16"/>
              </w:rPr>
              <w:t>(data tal-Eurostat tal-2016)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>L-għadd ta’ ċittadini tal-UE rrappurtati bħala intitolati biex jivvutaw fl-elezzjonijiet muniċipali</w:t>
            </w:r>
            <w:r>
              <w:rPr>
                <w:rFonts w:ascii="Arial" w:hAnsi="Arial"/>
                <w:b/>
                <w:noProof/>
                <w:color w:val="000000"/>
                <w:sz w:val="16"/>
              </w:rPr>
              <w:t xml:space="preserve"> (data tal-Istati Membri)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>L-għadd ta’ ċittadini tal-UE rreġistrati biex jivvutaw fl-elezzjonijiet muniċipali</w:t>
            </w:r>
            <w:r>
              <w:rPr>
                <w:rFonts w:ascii="Arial" w:hAnsi="Arial"/>
                <w:b/>
                <w:noProof/>
                <w:color w:val="000000"/>
                <w:sz w:val="16"/>
              </w:rPr>
              <w:t xml:space="preserve"> (data tal-Istati Membri)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>Il-perċentwal ta’ ċittadini tal-UE (15-il sena jew aktar) irreġistrati biex jivvutaw fl-elezzjonijiet muniċipali fl-01.01.2016</w:t>
            </w:r>
            <w:r>
              <w:rPr>
                <w:rFonts w:ascii="Arial" w:hAnsi="Arial"/>
                <w:b/>
                <w:noProof/>
                <w:color w:val="000000"/>
                <w:sz w:val="16"/>
              </w:rPr>
              <w:t xml:space="preserve"> (data tal-Eurostat u tal-Istati Membri)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>Il-perċentwal ta’ ċittadini tal-UE rreġistrati biex jivvutaw fl-elezzjonijiet muniċipali</w:t>
            </w:r>
            <w:r>
              <w:rPr>
                <w:rFonts w:ascii="Arial" w:hAnsi="Arial"/>
                <w:b/>
                <w:noProof/>
                <w:color w:val="000000"/>
                <w:sz w:val="16"/>
              </w:rPr>
              <w:t xml:space="preserve"> (data tal-Istati Membri)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</w:rPr>
              <w:t>Il-popolazzjoni eliġibbli għall-vot tal-Istati Membri apparagun tal-età tal-vot taċ-ċittadini tal-UE (%)</w:t>
            </w:r>
          </w:p>
        </w:tc>
      </w:tr>
      <w:tr>
        <w:trPr>
          <w:trHeight w:val="36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Il-Finlandja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x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4 591 285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80 608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81 062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81 062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100.0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1,76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Il-Latvja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x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1 668 697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5 523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15 452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15 452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100.0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0,33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In-Netherlands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x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14 179 348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405 499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430 985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430 985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2,86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L-Ungerija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(x)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8 406 037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79 865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105 061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104 805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99,8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0,95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Malta     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x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372 514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14 021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14 021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14 021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100.0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100.0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3,76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Il-Litwanja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x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2 464 811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4 528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4 870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4 524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99,9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92,9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0,18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Id-Danimarka    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x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4 746 977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168 754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178 909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113 773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67,4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63,6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3,55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L-Irlanda 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3 687 782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318 565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323 460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78 648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24,7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8,64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Franza 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54 431 181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1 328 334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1 248 807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279 488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21,0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2,44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Il-Lussemburgu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481 358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189 921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159 485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28 342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14,9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39,46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Il-Belġju   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9 389 775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744 658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765 490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104 683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14,1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7,93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Il-Portugall        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 xml:space="preserve">x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8 880 498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96 391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12 992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13,5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1,09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Il-Ġreċja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9 226 985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180 025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19 413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19 413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10,8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w:t>1,95</w:t>
            </w:r>
          </w:p>
        </w:tc>
      </w:tr>
    </w:tbl>
    <w:p>
      <w:pPr>
        <w:pStyle w:val="Text1"/>
        <w:ind w:left="0"/>
        <w:rPr>
          <w:i/>
          <w:noProof/>
          <w:sz w:val="20"/>
        </w:rPr>
      </w:pPr>
      <w:r>
        <w:rPr>
          <w:noProof/>
        </w:rPr>
        <w:t>*</w:t>
      </w:r>
      <w:r>
        <w:rPr>
          <w:i/>
          <w:noProof/>
          <w:sz w:val="20"/>
        </w:rPr>
        <w:t xml:space="preserve"> Fuq il-bażi tad-data tal-Eurostat għall-2016 dwar il-popolazzjoni skont il-grupp ta’ età, is-sess u ċ-ċittadinanza [migr_pop1ctz], meħuda fil-31.10.17 u fuq id-data pprovduta mill-Istati Membri</w:t>
      </w:r>
    </w:p>
    <w:p>
      <w:pPr>
        <w:rPr>
          <w:noProof/>
        </w:rPr>
      </w:pPr>
    </w:p>
    <w:p>
      <w:pPr>
        <w:rPr>
          <w:noProof/>
        </w:rPr>
      </w:pPr>
    </w:p>
    <w:p>
      <w:pPr>
        <w:spacing w:before="0" w:after="200" w:line="276" w:lineRule="auto"/>
        <w:jc w:val="left"/>
        <w:rPr>
          <w:noProof/>
        </w:rPr>
      </w:pPr>
      <w:r>
        <w:rPr>
          <w:noProof/>
        </w:rPr>
        <w:br w:type="page"/>
      </w:r>
    </w:p>
    <w:p>
      <w:pPr>
        <w:rPr>
          <w:b/>
          <w:noProof/>
        </w:rPr>
      </w:pPr>
      <w:r>
        <w:rPr>
          <w:b/>
          <w:noProof/>
        </w:rPr>
        <w:t>Tabella 1.2 Ħarsa ġenerali lejn id-data dwar iċ-ċittadini mobbli tal-UE**</w:t>
      </w:r>
    </w:p>
    <w:p>
      <w:pPr>
        <w:rPr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noProof/>
        </w:rPr>
        <w:fldChar w:fldCharType="begin"/>
      </w:r>
      <w:r>
        <w:rPr>
          <w:noProof/>
        </w:rPr>
        <w:instrText xml:space="preserve"> LINK Excel.Sheet.12 "\\\\net1.cec.eu.int\\JUST\\D\\3\\ELECTIONS\\MUNICIPAL elections\\2017 report on local elections\\26102017 Table MS replies.xlsx" Sheet2!R3C3:R34C11 \a \f 4 \h  \* MERGEFORMAT </w:instrText>
      </w:r>
      <w:r>
        <w:rPr>
          <w:noProof/>
        </w:rPr>
        <w:fldChar w:fldCharType="separate"/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28"/>
        <w:gridCol w:w="1106"/>
        <w:gridCol w:w="1252"/>
        <w:gridCol w:w="992"/>
        <w:gridCol w:w="1134"/>
        <w:gridCol w:w="1276"/>
        <w:gridCol w:w="1072"/>
        <w:gridCol w:w="1080"/>
        <w:gridCol w:w="966"/>
      </w:tblGrid>
      <w:tr>
        <w:trPr>
          <w:trHeight w:val="180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L-għadd ta' ċittadini tal-UE (b'età ta' 15-il sena u aktar) residenti fl-Istat Membru fl-01.01.2016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(Data tal-Eurostat tal-2016)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L-għadd ta’ ċittadini tal-UE murija bħala intitolati biex jivvutaw fl-elezzjonijiet muniċipali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(data tal-Istati Membri)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L-għadd ta’ ċittadini tal-UE rreġistrati biex jivvutaw fl-elezzjonijiet muniċipali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(data tal-Istati Membri)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Il-perċentwal ta’ ċittadini tal-UE rreġistrati biex jivvutaw fl-elezzjonijiet muniċipali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(data tal-Istati Membri)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Il-popolazzjoni tal-Istati Membri bl-età tal-vot (b'età ta' 15-il sena u aktar) fl-01.01.2016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(data tal-Eurostat tal-2016)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Il-popolazzjoni eliġibbli għall-vot tal-Istati Membri apparagun tal-età tal-vot taċ-ċittadini tal-UE (%)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L-għadd ta' ċittadini tal-UE rreġistrati biex joħorġu bħala kandidati fl-elezzjonijiet muniċipali </w:t>
            </w: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  <w:t>(data tal-Istati Membri)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>
            <w:pPr>
              <w:spacing w:before="0"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Il-perċentwal ta' ċittadini tal-UE li joħorġu bħala kandidati eletti fl-elezzjonijiet muniċipali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Pajjiż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Calibri" w:hAnsi="Calibri"/>
                <w:noProof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Calibri" w:hAnsi="Calibri"/>
                <w:noProof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Calibri" w:hAnsi="Calibri"/>
                <w:noProof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Il-Belġju 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744,658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765,490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104,683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9,389,775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7,93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Il-Bulgarija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12,544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6,155,578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51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Ir-Repubblika Ċeka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183,497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8,930,127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Id-Danimarka   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168,754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178,909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113,773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4,746,977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65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9,2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Il-Ġermanja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3,437,834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1,885,464*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71,294,558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5,33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L-Estonja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14,188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1,104,499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L-Irlanda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318,565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323,460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78,648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3,687,782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8,64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Il-Greċja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180,025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19,413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19,413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9,226,985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Spanja 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1,731,468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2,074,248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39,414,699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1,913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Franza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1,328,334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1,248,807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279,488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54,431,181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Il-Kroazja 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12,438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3,579,197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L-Italja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1,281,928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52,383,692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Ċipru   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96,362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708,781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Il-Latvja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5,523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15,452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15,452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279,8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1,668,697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20,0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Il-Litwanja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4,528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2,464,811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20,0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Il-Lussemburgu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189,921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159,485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28,342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481,358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39,46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225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7,6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L-Ungerija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79,865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105,061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104,805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8,406,037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12,2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Malta    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14,021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14,021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14,021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372,514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3,76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22,2</w:t>
            </w:r>
          </w:p>
        </w:tc>
      </w:tr>
      <w:tr>
        <w:trPr>
          <w:trHeight w:val="375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In-Netherlands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405,499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430,985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430,985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14,179,348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2,86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L-Awstrija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525,361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7,444,897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7,06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Il-Polonja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21,898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32,258,354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Il-Portugall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96,391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12,992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8,880,498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Ir-Rumanija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46,434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40,846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16,695,321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53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15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Is-Slovenja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16,697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1,757,798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Is-Slovakkja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47,747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4,594,209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Il-Finlandja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80,608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81,062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81,062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4,591,285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L-Iżvezja         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265,042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8,133,874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419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20,8</w:t>
            </w:r>
          </w:p>
        </w:tc>
      </w:tr>
      <w:tr>
        <w:trPr>
          <w:trHeight w:val="510"/>
        </w:trPr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spacing w:before="0" w:after="0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Ir-Renju Unit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2,677,936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53,795,166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spacing w:before="0" w:after="0"/>
              <w:jc w:val="right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 </w:t>
            </w:r>
          </w:p>
        </w:tc>
      </w:tr>
      <w:tr>
        <w:trPr>
          <w:trHeight w:val="300"/>
        </w:trPr>
        <w:tc>
          <w:tcPr>
            <w:tcW w:w="9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>
            <w:pPr>
              <w:spacing w:before="0" w:after="0"/>
              <w:jc w:val="left"/>
              <w:rPr>
                <w:rFonts w:ascii="Arial" w:hAnsi="Arial" w:cs="Arial"/>
                <w:noProof/>
                <w:color w:val="000000"/>
                <w:sz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>
            <w:pPr>
              <w:spacing w:before="0" w:after="0"/>
              <w:jc w:val="left"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</w:p>
        </w:tc>
      </w:tr>
    </w:tbl>
    <w:p>
      <w:pPr>
        <w:rPr>
          <w:noProof/>
          <w:szCs w:val="24"/>
        </w:rPr>
      </w:pPr>
      <w:r>
        <w:rPr>
          <w:noProof/>
        </w:rPr>
        <w:fldChar w:fldCharType="end"/>
      </w:r>
      <w:r>
        <w:rPr>
          <w:noProof/>
        </w:rPr>
        <w:t>*</w:t>
      </w:r>
      <w:r>
        <w:rPr>
          <w:i/>
          <w:noProof/>
          <w:color w:val="000000"/>
          <w:sz w:val="20"/>
        </w:rPr>
        <w:t>Tmintax-il sena u aktar fil-Ländern Bayern, Berlin, Brandenburg, Bremen, Hessen, Niedersachsen, Mecklenburg-Vorpommern, Rheinland-Pfalz, Sachsen u Sachsen-Anhalt</w:t>
      </w:r>
    </w:p>
    <w:p>
      <w:pPr>
        <w:rPr>
          <w:b/>
          <w:noProof/>
        </w:rPr>
      </w:pPr>
      <w:r>
        <w:rPr>
          <w:noProof/>
        </w:rPr>
        <w:t>**</w:t>
      </w:r>
      <w:r>
        <w:rPr>
          <w:i/>
          <w:noProof/>
          <w:sz w:val="20"/>
        </w:rPr>
        <w:t xml:space="preserve"> Fuq il-bażi tad-data tal-Eurostat għall-2016 dwar il-popolazzjoni skont il-grupp tal-età, is-sess u ċ-ċittadinanza [migr_pop1ctz], maħruġa fil-31.10.17 u fuq id-data pprovduta mill-Istati Membri</w:t>
      </w:r>
      <w:r>
        <w:rPr>
          <w:noProof/>
        </w:rPr>
        <w:br w:type="page"/>
      </w:r>
    </w:p>
    <w:p>
      <w:pPr>
        <w:spacing w:before="0" w:after="200" w:line="276" w:lineRule="auto"/>
        <w:jc w:val="left"/>
        <w:rPr>
          <w:b/>
          <w:noProof/>
        </w:rPr>
      </w:pPr>
      <w:r>
        <w:rPr>
          <w:b/>
          <w:noProof/>
        </w:rPr>
        <w:t>Tabella 1.3 Ħarsa ġenerali lejn it-tweġibiet kwalitattivi sottomessi mill-Istati Membri għall-kwestjonarju użat biex jitħejja dan ir-rapport</w:t>
      </w:r>
      <w:r>
        <w:rPr>
          <w:noProof/>
          <w:lang w:val="en-US" w:eastAsia="en-US" w:bidi="ar-SA"/>
        </w:rPr>
        <w:drawing>
          <wp:inline distT="0" distB="0" distL="0" distR="0">
            <wp:extent cx="5850255" cy="8452758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45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7" w:h="16840" w:code="9"/>
      <w:pgMar w:top="1134" w:right="1276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Light">
    <w:altName w:val="Proxima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CSquareSans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MT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>
      <w:rPr>
        <w:rFonts w:ascii="Arial" w:hAnsi="Arial"/>
        <w:b/>
        <w:sz w:val="48"/>
      </w:rPr>
      <w:t>MT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>
        <w:r>
          <w:rPr>
            <w:rStyle w:val="Hyperlink"/>
          </w:rPr>
          <w:t>http://europa.eu/rapid/press-release_SPEECH-17-3165_mt.htm</w:t>
        </w:r>
      </w:hyperlink>
      <w:r>
        <w:t xml:space="preserve"> </w:t>
      </w:r>
    </w:p>
  </w:footnote>
  <w:footnote w:id="2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Din hi wkoll id-dritt fundamentali stabbilit mill-Artikolu 40 tal-Karta tad-drittijiet fundamentali tal-Unjoni Ewropea.</w:t>
      </w:r>
    </w:p>
  </w:footnote>
  <w:footnote w:id="3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Id-Direttiva tal-Kunsill 94/80/KE tad-19 ta' Diċembru 1994 li tistipula arranġamenti dettaljati għall-eżerċizzju tad-dritt tal-vot u tal-kandidatura f'elezzjonijiet muniċipali minn ċittadini tal-Unjoni li jgħixu fi Stat Membru li tiegħu mhumiex ċittadini (ĠU L 368, 31.12.1994, p. 38).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Dawn it-termini huma ddefiniti fid-Direttiva, u jkunu pereżempju s-sindku ta’ belt żgħira.</w:t>
      </w:r>
    </w:p>
  </w:footnote>
  <w:footnote w:id="5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L-ewwel rapport dwar it-traspożizzjoni u l-implimentazzjoni tad-Direttiva skont l-Artikolu 13 ġie adottat mill-Kummissjoni fl-2002 (COM(2002) final, 260). It-tieni rapport ġie adottat fl-2012 (COM(2012) 99, 9.3.2012). Dan ivvaluta l-istat tat-traspożizzjoni u tal-implimentazzjoni fl-Istati Membri li kienu ssieħbu fl-UE mill-2002 u rrapporta dwar il-valutazzjoni tal-Kummissjoni tad-dikjarazzjonijiet għad-Direttiva skont l-Artikolu 14.</w:t>
      </w:r>
    </w:p>
  </w:footnote>
  <w:footnote w:id="6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Id-data rilevanti tal-Eurostat dwar il-popolazzjoni hi disponibbli skont it-tliet gruppi ta’ età (0-14, 15-64 u 65+). Għall-finijiet ta’ dan ir-rapport, il-popolazzjoni ta’ età eliġibbli għall-vot tingħadd minn 15-il sena ’l quddiem.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Mhux dejjem tkun tista’ tinkiseb id-data eżatta dwar ir-reġjuni u l-muniċipalitajiet fejn jgħixu ċ-ċittadini mobbli tal-UE.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>
        <w:r>
          <w:rPr>
            <w:rStyle w:val="Hyperlink"/>
          </w:rPr>
          <w:t>http://ec.europa.eu/eurostat/statistics-explained/index.php/Migration_and_migrant_population_statistics</w:t>
        </w:r>
      </w:hyperlink>
      <w:r>
        <w:t xml:space="preserve"> .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Ewrobarometru Flash Nru 430 dwar iċ-Ċittadinanza tal-Unjoni Ewropea, 2016.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Mas-66 % kienu jafu bl-istess dritt fl-2012. Ewrobarometru Flash Nru 364 dwar id-Drittijiet Elettorali, 2012.</w:t>
      </w:r>
    </w:p>
  </w:footnote>
  <w:footnote w:id="11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L-aktar perjodu bikri li għalih id-data fil-parti l-kbira kompluta saret disponibbli mill-Eurostat għal dan il-grupp ta’ età ta’ ċittadini mobbli.</w:t>
      </w:r>
    </w:p>
  </w:footnote>
  <w:footnote w:id="12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Mat-13-il Stat Membru esperjenzaw żidiet fil-perċentwal b’ċifra doppja: ir-Repubblika Ċeka, id-Danimarka, il-Ġermanja, il-Kroazja, l-Estonja, Malta, in-Netherlands, il-Litwanja, l-Awstrija, ir-Rumanija, is-Slovakkja, il-Finlandja u r-Renju Unit.</w:t>
      </w:r>
    </w:p>
  </w:footnote>
  <w:footnote w:id="13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Dan hu rifless fl-istudju mħejji għar-rapport tal-2014 dwar l-elezzjonijiet Ewropej </w:t>
      </w:r>
      <w:hyperlink r:id="rId3">
        <w:r>
          <w:rPr>
            <w:rStyle w:val="Hyperlink"/>
          </w:rPr>
          <w:t>http://ec.europa.eu/justice/citizen/document/files/final_report_2014_ep_elections_study_cses_10_march_2015.pdf</w:t>
        </w:r>
      </w:hyperlink>
    </w:p>
  </w:footnote>
  <w:footnote w:id="14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Il-Bulgarija, ir-Repubblika Ċeka, il-Ġermanja, id-Danimarka, il-Finlandja, l-Ungerija, il-Litwanja, il-Latvja, Malta, in-Netherlands, il-Portugall, ir-Rumanija, l-Iżvezja u s-Slovenja jirreġistraw iċ-ċittadini tagħhom b’mod awtomatiku fir-reġistri elettorali.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Il-Finlandja, l-Ungerija, Malta, is-Slovenja, ir-Renju Unit, il-Lussemburgu u l-Iżvezja.</w:t>
      </w:r>
    </w:p>
  </w:footnote>
  <w:footnote w:id="16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L-Artikolu 2 jiddefinixxi “unità tal-gvern lokali bażika”, “elezzjonijiet muniċipali”, “Stat Membru ta’ residenza”, “Stat Membru ta’ oriġini”, “reġistru elettorali”, “data ta’ referenza”, “dikjarazzjoni formali”.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Minkejja dan, għal aktar referenza ara l-punt 3.3.</w:t>
      </w:r>
    </w:p>
  </w:footnote>
  <w:footnote w:id="18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Il-Bulgarija, ir-Repubblika Ċeka, il-Ġermanja, id-Danimarka, il-Finlandja, l-Ungerija, il-Litwanja, il-Latvja, Malta, in-Netherlands, il-Portugall, ir-Rumanija, l-Iżvezja u s-Slovenja.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Id-Danimarka, l-Estonja, il-Finlandja, l-Irlanda, il-Latvja, il-Lussemburgu, Malta, in-Netherlands, il-Portugall, ir-Rumanija,</w:t>
      </w:r>
    </w:p>
    <w:p>
      <w:pPr>
        <w:pStyle w:val="FootnoteText"/>
      </w:pPr>
      <w:r>
        <w:t>is-Slovakkja, Spanja, l-Iżvezja u r-Renju Unit.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L-Ungerija, il-Polonja u s-Slovenja.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Il-Belġju, Ċipru, ir-Repubblika Ċeka, Franza, l-Italja u l-Litwanja.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Il-Bulgarija u l-Greċja.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Ewrobarometru Flash Nru 431, id-Drittijiet Elettorali, 2015.</w:t>
      </w:r>
    </w:p>
  </w:footnote>
  <w:footnote w:id="24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L-Artikolu 2(1)(a) tad-Direttiva jiddefinixxi “unità tal-gvern lokali bażika” bħala l-entitajiet amministrattivi elenkati fl-Anness.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Il-kwestjonarju mqassam lill-grupp ta’ esperti tal-Kummissjoni dwar kwistjonijiet elettorali.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Sors: Il-kwestjonarju mqassam lill-grupp ta’ esperti tal-Kummissjoni dwar kwistjonijiet elettorali.</w:t>
      </w:r>
    </w:p>
  </w:footnote>
  <w:footnote w:id="27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Dawn iridu jiddikjaraw li jkunu jew barra l-pajjiż, jew tkun se ssirilhom operazzjoni medika, jew ikunu tqal u l-ħlas ikun mistenni f’Jum l-Elezzjoni. Sors: Il-kwestjonarju mqassam lill-grupp ta’ esperti tal-Kummissjoni dwar kwistjonijiet elettorali.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COM(2017) 30 final.</w:t>
      </w:r>
    </w:p>
  </w:footnote>
  <w:footnote w:id="29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Il-ħidma ta’ dan il-proġett, u dik ta’ oħrajn iffinanzjati permezz tas-sejħiet tal-2014 għal għotja għall-azzjoni tal-</w:t>
      </w:r>
      <w:r>
        <w:rPr>
          <w:i/>
        </w:rPr>
        <w:t>programm tad-drittjiet, l-ugwaljanza u ċ-ċittadinanza</w:t>
      </w:r>
      <w:r>
        <w:t>, ġiet murija riċentement matul il-Ġimgħa Ewropea tar-Reġjuni u tal-Bliet, koospitata mill-Kummissjoni u mill-Kumitat tar-Reġjuni. Il-kontributi kienu jinkludu: il-proġett ONTHEMOVE tas-Centre for European Constitutional Law (iċ-Ċentru għal-Liġi Kostituzzjonali Ewropea) — il-Fondazzjoni Themistocles &amp; Dimitris Tsatsos; il-proġett “Living Rights” tal-Law Centres Network (in-Netwerk taċ-Ċentri Legali); l-ACT Active Citizens Together tal-East of England and Local Government Association; u punti uniċi ta’ kuntatt għall-parteċipazzjoni politika ta’ ċittadini mobbli tal-UE mill-Migration Policy Group (il-Grupp għall-Politika ta' Migrazzjoni).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https://www.consilium.europa.eu/media/22130/st09008en17.pdf.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“Jien dejjem nivvota” ġiet irrapportata bħala l-ewwel raġuni assoluta għall-votazzjoni, skont studju tal-Parlament Ewropew.</w:t>
      </w:r>
    </w:p>
    <w:p>
      <w:pPr>
        <w:pStyle w:val="FootnoteText"/>
      </w:pPr>
      <w:hyperlink r:id="rId4">
        <w:r>
          <w:rPr>
            <w:rStyle w:val="Hyperlink"/>
          </w:rPr>
          <w:t>http://www.europarl.europa.eu/pdf/eurobarometre/2014/post/post_2014_survey_analitical_overview_mt.pdf</w:t>
        </w:r>
      </w:hyperlink>
      <w:r>
        <w:rPr>
          <w:rStyle w:val="Hyperlink"/>
        </w:rPr>
        <w:t>.</w:t>
      </w:r>
    </w:p>
  </w:footnote>
  <w:footnote w:id="32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L-elezzjonijiet muniċipali se jsiru fl-2018 fil-Belġju, fl-Ungerija, f’Malta, fil-Polonja, fis-Slovakkja, fis-Slovenja, fl-Iżvezja, fir-Repubblika Ċeka, fin-Netherlands u fir-Renju Unit. Fl-2019 se jsiru fil-Bulgarija, fil-Greċja, fl-Irlanda u fil-Litwanja.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Ara l-Ewrobarometru Flash 430 dwar iċ-ċittadinanza tal-UE, u l-konsultazzjoni pubblika tal-2015 rigward ir-rapport dwar iċ-ċittadinanza tal-UE.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Il-Kummissjoni għaċ-Ċittadinanza, il-Governanza u l-Affarijiet Istituzzjonali u Esterni, il-Kumitat tar-Reġjuni.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F8F0BC"/>
    <w:multiLevelType w:val="hybridMultilevel"/>
    <w:tmpl w:val="9EE1B8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F195F3A"/>
    <w:multiLevelType w:val="hybridMultilevel"/>
    <w:tmpl w:val="8B70E80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5DD1C34"/>
    <w:multiLevelType w:val="hybridMultilevel"/>
    <w:tmpl w:val="41FCC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4B0660"/>
    <w:multiLevelType w:val="hybridMultilevel"/>
    <w:tmpl w:val="DB54CD60"/>
    <w:lvl w:ilvl="0" w:tplc="20221FF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35F1E"/>
    <w:multiLevelType w:val="hybridMultilevel"/>
    <w:tmpl w:val="2B2D1B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5D669FC"/>
    <w:multiLevelType w:val="multilevel"/>
    <w:tmpl w:val="CB0898B6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6B3B9430"/>
    <w:multiLevelType w:val="hybridMultilevel"/>
    <w:tmpl w:val="DBC402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9CCEE97"/>
    <w:multiLevelType w:val="hybridMultilevel"/>
    <w:tmpl w:val="9AB919D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CCCA89C1-6328-4EBF-839E-87939538016D"/>
    <w:docVar w:name="LW_COVERPAGE_TYPE" w:val="1"/>
    <w:docVar w:name="LW_CROSSREFERENCE" w:val="&lt;UNUSED&gt;"/>
    <w:docVar w:name="LW_DocType" w:val="NORMAL"/>
    <w:docVar w:name="LW_EMISSION" w:val="25.1.2018"/>
    <w:docVar w:name="LW_EMISSION_ISODATE" w:val="2018-01-25"/>
    <w:docVar w:name="LW_EMISSION_LOCATION" w:val="BRX"/>
    <w:docVar w:name="LW_EMISSION_PREFIX" w:val="Brussell, "/>
    <w:docVar w:name="LW_EMISSION_SUFFIX" w:val="&lt;EMPTY&gt;"/>
    <w:docVar w:name="LW_ID_DOCTYPE_NONLW" w:val="CP-008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8) 44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UPERTITRE" w:val="&lt;UNUSED&gt;"/>
    <w:docVar w:name="LW_TITRE.OBJ.CP" w:val="&lt;FMT:Bold&gt;dwar l-applikazzjoni tad-Direttiva 94/80/KE dwar id-dritt tal-vot u tal-kandidatura f'elezzjonijiet muni\u267?ipali&lt;/FMT&gt;_x000b_"/>
    <w:docVar w:name="LW_TYPE.DOC.CP" w:val="RAPPORT TAL-KUMMISSJONI LILL-PARLAMENT EWROPEW, LILL-KUNSILL, LILL-KUMITAT EKONOMIKU U SO\u266?JALI EWROPEW U LILL-KUMITAT TAR-RE\u288?JUNI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footer" w:uiPriority="0"/>
    <w:lsdException w:name="caption" w:uiPriority="35" w:qFormat="1"/>
    <w:lsdException w:name="footnote reference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360"/>
      <w:outlineLvl w:val="0"/>
    </w:pPr>
    <w:rPr>
      <w:b/>
      <w:smallCaps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outlineLvl w:val="3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smallCaps/>
      <w:sz w:val="24"/>
      <w:szCs w:val="20"/>
      <w:lang w:eastAsia="mt-MT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sz w:val="24"/>
      <w:szCs w:val="20"/>
      <w:lang w:eastAsia="mt-MT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 w:cs="Times New Roman"/>
      <w:i/>
      <w:sz w:val="24"/>
      <w:szCs w:val="20"/>
      <w:lang w:eastAsia="mt-MT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sz w:val="24"/>
      <w:szCs w:val="20"/>
      <w:lang w:eastAsia="mt-MT"/>
    </w:rPr>
  </w:style>
  <w:style w:type="paragraph" w:customStyle="1" w:styleId="Text1">
    <w:name w:val="Text 1"/>
    <w:basedOn w:val="Normal"/>
    <w:pPr>
      <w:ind w:left="851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Times New Roman" w:eastAsia="Times New Roman" w:hAnsi="Times New Roman" w:cs="Times New Roman"/>
      <w:sz w:val="20"/>
      <w:szCs w:val="20"/>
      <w:lang w:eastAsia="mt-MT"/>
    </w:rPr>
  </w:style>
  <w:style w:type="paragraph" w:customStyle="1" w:styleId="Emission">
    <w:name w:val="Emission"/>
    <w:basedOn w:val="Normal"/>
    <w:next w:val="Normal"/>
    <w:pPr>
      <w:spacing w:before="0" w:after="0"/>
      <w:ind w:left="5103"/>
      <w:jc w:val="left"/>
    </w:pPr>
  </w:style>
  <w:style w:type="paragraph" w:customStyle="1" w:styleId="Typedudocument">
    <w:name w:val="Type du document"/>
    <w:basedOn w:val="Normal"/>
    <w:next w:val="Normal"/>
    <w:pPr>
      <w:spacing w:before="360" w:after="0"/>
      <w:jc w:val="center"/>
    </w:pPr>
    <w:rPr>
      <w:b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Sous-titreobjet">
    <w:name w:val="Sous-titre objet"/>
    <w:basedOn w:val="Titreobjet"/>
    <w:pPr>
      <w:spacing w:before="0" w:after="0"/>
    </w:p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  <w:spacing w:before="360" w:after="0"/>
      <w:jc w:val="left"/>
    </w:p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sz w:val="24"/>
      <w:szCs w:val="20"/>
      <w:lang w:eastAsia="mt-MT"/>
    </w:rPr>
  </w:style>
  <w:style w:type="character" w:styleId="FootnoteReference">
    <w:name w:val="footnote reference"/>
    <w:aliases w:val="Footnote Reference Superscript,BVI fnr,Footnote symbol,Footnote reference number,Footnotemark,FR,Footnotemark1,Footnotemark2,FR1,Footnotemark3,FR2,Footnotemark4,FR3,Footnotemark5,FR4,Footnotemark6,Footnotemark7,Footnotemark8,FR5,FR11"/>
    <w:basedOn w:val="DefaultParagraphFont"/>
    <w:uiPriority w:val="99"/>
    <w:semiHidden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spacing w:before="0" w:after="0"/>
      <w:ind w:left="720" w:hanging="72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eastAsia="Times New Roman" w:hAnsi="Times New Roman" w:cs="Times New Roman"/>
      <w:sz w:val="20"/>
      <w:szCs w:val="20"/>
      <w:lang w:eastAsia="mt-MT"/>
    </w:rPr>
  </w:style>
  <w:style w:type="paragraph" w:customStyle="1" w:styleId="Langue">
    <w:name w:val="Langue"/>
    <w:basedOn w:val="Normal"/>
    <w:next w:val="Normal"/>
    <w:link w:val="LangueChar"/>
    <w:pPr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/>
    </w:rPr>
  </w:style>
  <w:style w:type="paragraph" w:customStyle="1" w:styleId="ManualHeading1">
    <w:name w:val="Manual Heading 1"/>
    <w:basedOn w:val="Heading1"/>
    <w:next w:val="Text1"/>
  </w:style>
  <w:style w:type="paragraph" w:customStyle="1" w:styleId="Confidentialit">
    <w:name w:val="Confidentialité"/>
    <w:basedOn w:val="Normal"/>
    <w:next w:val="Normal"/>
    <w:pPr>
      <w:spacing w:before="240" w:after="240"/>
      <w:ind w:left="5103"/>
    </w:pPr>
    <w:rPr>
      <w:u w:val="single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mt-M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0"/>
      <w:lang w:eastAsia="mt-MT"/>
    </w:rPr>
  </w:style>
  <w:style w:type="character" w:customStyle="1" w:styleId="BodyTextChar">
    <w:name w:val="BodyText Char"/>
    <w:basedOn w:val="DefaultParagraphFont"/>
    <w:link w:val="BodyText"/>
    <w:locked/>
    <w:rPr>
      <w:sz w:val="20"/>
    </w:rPr>
  </w:style>
  <w:style w:type="paragraph" w:customStyle="1" w:styleId="BodyText">
    <w:name w:val="BodyText"/>
    <w:aliases w:val="Document,Doc,Body Text2,doc,Standard paragraph,(Norm),Body Text 12,bt,gl,uvlaka 2,heading3,Body Text - Level 2,1body,BodText,body text,Body Txt,Body Text-10,Body Text Char2,Text Char1,Τίτλος Μελέτης,- TF,Te,-,??t??? ?e??t??,Car"/>
    <w:basedOn w:val="Normal"/>
    <w:link w:val="BodyTextChar"/>
    <w:qFormat/>
    <w:pPr>
      <w:spacing w:before="0" w:after="160" w:line="252" w:lineRule="auto"/>
    </w:pPr>
    <w:rPr>
      <w:rFonts w:asciiTheme="minorHAnsi" w:eastAsiaTheme="minorHAnsi" w:hAnsiTheme="minorHAnsi" w:cstheme="minorBidi"/>
      <w:sz w:val="20"/>
      <w:szCs w:val="22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Proxima Nova Light" w:hAnsi="Proxima Nova Light" w:cs="Proxima Nova Light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Pr>
      <w:rFonts w:cs="Proxima Nova Light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  <w:rPr>
      <w:rFonts w:eastAsiaTheme="minorHAnsi"/>
      <w:szCs w:val="22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LangueChar">
    <w:name w:val="Langue Char"/>
    <w:basedOn w:val="DefaultParagraphFont"/>
    <w:link w:val="Langue"/>
    <w:rPr>
      <w:rFonts w:ascii="Times New Roman" w:eastAsia="Times New Roman" w:hAnsi="Times New Roman" w:cs="Times New Roman"/>
      <w:b/>
      <w:caps/>
      <w:sz w:val="24"/>
      <w:szCs w:val="20"/>
      <w:lang w:eastAsia="mt-MT"/>
    </w:rPr>
  </w:style>
  <w:style w:type="character" w:customStyle="1" w:styleId="FooterCoverPageChar">
    <w:name w:val="Footer Cover Page Char"/>
    <w:basedOn w:val="LangueChar"/>
    <w:link w:val="FooterCoverPage"/>
    <w:rPr>
      <w:rFonts w:ascii="Times New Roman" w:eastAsia="Times New Roman" w:hAnsi="Times New Roman" w:cs="Times New Roman"/>
      <w:b w:val="0"/>
      <w:caps w:val="0"/>
      <w:sz w:val="24"/>
      <w:szCs w:val="20"/>
      <w:lang w:eastAsia="mt-MT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LangueChar"/>
    <w:link w:val="FooterSensitivity"/>
    <w:rPr>
      <w:rFonts w:ascii="Times New Roman" w:eastAsia="Times New Roman" w:hAnsi="Times New Roman" w:cs="Times New Roman"/>
      <w:b/>
      <w:caps w:val="0"/>
      <w:sz w:val="32"/>
      <w:szCs w:val="20"/>
      <w:lang w:eastAsia="mt-M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LangueChar"/>
    <w:link w:val="HeaderCoverPage"/>
    <w:rPr>
      <w:rFonts w:ascii="Times New Roman" w:eastAsia="Times New Roman" w:hAnsi="Times New Roman" w:cs="Times New Roman"/>
      <w:b w:val="0"/>
      <w:caps w:val="0"/>
      <w:sz w:val="24"/>
      <w:szCs w:val="20"/>
      <w:lang w:eastAsia="mt-MT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LangueChar"/>
    <w:link w:val="HeaderSensitivity"/>
    <w:rPr>
      <w:rFonts w:ascii="Times New Roman" w:eastAsia="Times New Roman" w:hAnsi="Times New Roman" w:cs="Times New Roman"/>
      <w:b/>
      <w:caps w:val="0"/>
      <w:sz w:val="32"/>
      <w:szCs w:val="20"/>
      <w:lang w:eastAsia="mt-MT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left"/>
    </w:pPr>
    <w:rPr>
      <w:rFonts w:eastAsiaTheme="minorEastAsia"/>
      <w:szCs w:val="24"/>
      <w:lang w:val="en-GB" w:eastAsia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footer" w:uiPriority="0"/>
    <w:lsdException w:name="caption" w:uiPriority="35" w:qFormat="1"/>
    <w:lsdException w:name="footnote reference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360"/>
      <w:outlineLvl w:val="0"/>
    </w:pPr>
    <w:rPr>
      <w:b/>
      <w:smallCaps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outlineLvl w:val="3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smallCaps/>
      <w:sz w:val="24"/>
      <w:szCs w:val="20"/>
      <w:lang w:eastAsia="mt-MT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sz w:val="24"/>
      <w:szCs w:val="20"/>
      <w:lang w:eastAsia="mt-MT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 w:cs="Times New Roman"/>
      <w:i/>
      <w:sz w:val="24"/>
      <w:szCs w:val="20"/>
      <w:lang w:eastAsia="mt-MT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sz w:val="24"/>
      <w:szCs w:val="20"/>
      <w:lang w:eastAsia="mt-MT"/>
    </w:rPr>
  </w:style>
  <w:style w:type="paragraph" w:customStyle="1" w:styleId="Text1">
    <w:name w:val="Text 1"/>
    <w:basedOn w:val="Normal"/>
    <w:pPr>
      <w:ind w:left="851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Times New Roman" w:eastAsia="Times New Roman" w:hAnsi="Times New Roman" w:cs="Times New Roman"/>
      <w:sz w:val="20"/>
      <w:szCs w:val="20"/>
      <w:lang w:eastAsia="mt-MT"/>
    </w:rPr>
  </w:style>
  <w:style w:type="paragraph" w:customStyle="1" w:styleId="Emission">
    <w:name w:val="Emission"/>
    <w:basedOn w:val="Normal"/>
    <w:next w:val="Normal"/>
    <w:pPr>
      <w:spacing w:before="0" w:after="0"/>
      <w:ind w:left="5103"/>
      <w:jc w:val="left"/>
    </w:pPr>
  </w:style>
  <w:style w:type="paragraph" w:customStyle="1" w:styleId="Typedudocument">
    <w:name w:val="Type du document"/>
    <w:basedOn w:val="Normal"/>
    <w:next w:val="Normal"/>
    <w:pPr>
      <w:spacing w:before="360" w:after="0"/>
      <w:jc w:val="center"/>
    </w:pPr>
    <w:rPr>
      <w:b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Sous-titreobjet">
    <w:name w:val="Sous-titre objet"/>
    <w:basedOn w:val="Titreobjet"/>
    <w:pPr>
      <w:spacing w:before="0" w:after="0"/>
    </w:p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  <w:spacing w:before="360" w:after="0"/>
      <w:jc w:val="left"/>
    </w:p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sz w:val="24"/>
      <w:szCs w:val="20"/>
      <w:lang w:eastAsia="mt-MT"/>
    </w:rPr>
  </w:style>
  <w:style w:type="character" w:styleId="FootnoteReference">
    <w:name w:val="footnote reference"/>
    <w:aliases w:val="Footnote Reference Superscript,BVI fnr,Footnote symbol,Footnote reference number,Footnotemark,FR,Footnotemark1,Footnotemark2,FR1,Footnotemark3,FR2,Footnotemark4,FR3,Footnotemark5,FR4,Footnotemark6,Footnotemark7,Footnotemark8,FR5,FR11"/>
    <w:basedOn w:val="DefaultParagraphFont"/>
    <w:uiPriority w:val="99"/>
    <w:semiHidden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spacing w:before="0" w:after="0"/>
      <w:ind w:left="720" w:hanging="72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eastAsia="Times New Roman" w:hAnsi="Times New Roman" w:cs="Times New Roman"/>
      <w:sz w:val="20"/>
      <w:szCs w:val="20"/>
      <w:lang w:eastAsia="mt-MT"/>
    </w:rPr>
  </w:style>
  <w:style w:type="paragraph" w:customStyle="1" w:styleId="Langue">
    <w:name w:val="Langue"/>
    <w:basedOn w:val="Normal"/>
    <w:next w:val="Normal"/>
    <w:link w:val="LangueChar"/>
    <w:pPr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/>
    </w:rPr>
  </w:style>
  <w:style w:type="paragraph" w:customStyle="1" w:styleId="ManualHeading1">
    <w:name w:val="Manual Heading 1"/>
    <w:basedOn w:val="Heading1"/>
    <w:next w:val="Text1"/>
  </w:style>
  <w:style w:type="paragraph" w:customStyle="1" w:styleId="Confidentialit">
    <w:name w:val="Confidentialité"/>
    <w:basedOn w:val="Normal"/>
    <w:next w:val="Normal"/>
    <w:pPr>
      <w:spacing w:before="240" w:after="240"/>
      <w:ind w:left="5103"/>
    </w:pPr>
    <w:rPr>
      <w:u w:val="single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mt-M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0"/>
      <w:lang w:eastAsia="mt-MT"/>
    </w:rPr>
  </w:style>
  <w:style w:type="character" w:customStyle="1" w:styleId="BodyTextChar">
    <w:name w:val="BodyText Char"/>
    <w:basedOn w:val="DefaultParagraphFont"/>
    <w:link w:val="BodyText"/>
    <w:locked/>
    <w:rPr>
      <w:sz w:val="20"/>
    </w:rPr>
  </w:style>
  <w:style w:type="paragraph" w:customStyle="1" w:styleId="BodyText">
    <w:name w:val="BodyText"/>
    <w:aliases w:val="Document,Doc,Body Text2,doc,Standard paragraph,(Norm),Body Text 12,bt,gl,uvlaka 2,heading3,Body Text - Level 2,1body,BodText,body text,Body Txt,Body Text-10,Body Text Char2,Text Char1,Τίτλος Μελέτης,- TF,Te,-,??t??? ?e??t??,Car"/>
    <w:basedOn w:val="Normal"/>
    <w:link w:val="BodyTextChar"/>
    <w:qFormat/>
    <w:pPr>
      <w:spacing w:before="0" w:after="160" w:line="252" w:lineRule="auto"/>
    </w:pPr>
    <w:rPr>
      <w:rFonts w:asciiTheme="minorHAnsi" w:eastAsiaTheme="minorHAnsi" w:hAnsiTheme="minorHAnsi" w:cstheme="minorBidi"/>
      <w:sz w:val="20"/>
      <w:szCs w:val="22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Proxima Nova Light" w:hAnsi="Proxima Nova Light" w:cs="Proxima Nova Light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Pr>
      <w:rFonts w:cs="Proxima Nova Light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  <w:rPr>
      <w:rFonts w:eastAsiaTheme="minorHAnsi"/>
      <w:szCs w:val="22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LangueChar">
    <w:name w:val="Langue Char"/>
    <w:basedOn w:val="DefaultParagraphFont"/>
    <w:link w:val="Langue"/>
    <w:rPr>
      <w:rFonts w:ascii="Times New Roman" w:eastAsia="Times New Roman" w:hAnsi="Times New Roman" w:cs="Times New Roman"/>
      <w:b/>
      <w:caps/>
      <w:sz w:val="24"/>
      <w:szCs w:val="20"/>
      <w:lang w:eastAsia="mt-MT"/>
    </w:rPr>
  </w:style>
  <w:style w:type="character" w:customStyle="1" w:styleId="FooterCoverPageChar">
    <w:name w:val="Footer Cover Page Char"/>
    <w:basedOn w:val="LangueChar"/>
    <w:link w:val="FooterCoverPage"/>
    <w:rPr>
      <w:rFonts w:ascii="Times New Roman" w:eastAsia="Times New Roman" w:hAnsi="Times New Roman" w:cs="Times New Roman"/>
      <w:b w:val="0"/>
      <w:caps w:val="0"/>
      <w:sz w:val="24"/>
      <w:szCs w:val="20"/>
      <w:lang w:eastAsia="mt-MT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LangueChar"/>
    <w:link w:val="FooterSensitivity"/>
    <w:rPr>
      <w:rFonts w:ascii="Times New Roman" w:eastAsia="Times New Roman" w:hAnsi="Times New Roman" w:cs="Times New Roman"/>
      <w:b/>
      <w:caps w:val="0"/>
      <w:sz w:val="32"/>
      <w:szCs w:val="20"/>
      <w:lang w:eastAsia="mt-M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LangueChar"/>
    <w:link w:val="HeaderCoverPage"/>
    <w:rPr>
      <w:rFonts w:ascii="Times New Roman" w:eastAsia="Times New Roman" w:hAnsi="Times New Roman" w:cs="Times New Roman"/>
      <w:b w:val="0"/>
      <w:caps w:val="0"/>
      <w:sz w:val="24"/>
      <w:szCs w:val="20"/>
      <w:lang w:eastAsia="mt-MT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LangueChar"/>
    <w:link w:val="HeaderSensitivity"/>
    <w:rPr>
      <w:rFonts w:ascii="Times New Roman" w:eastAsia="Times New Roman" w:hAnsi="Times New Roman" w:cs="Times New Roman"/>
      <w:b/>
      <w:caps w:val="0"/>
      <w:sz w:val="32"/>
      <w:szCs w:val="20"/>
      <w:lang w:eastAsia="mt-MT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left"/>
    </w:pPr>
    <w:rPr>
      <w:rFonts w:eastAsiaTheme="minorEastAsia"/>
      <w:szCs w:val="24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4.emf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emf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image" Target="media/image9.emf"/><Relationship Id="rId28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image" Target="media/image5.emf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image" Target="media/image8.emf"/><Relationship Id="rId27" Type="http://schemas.openxmlformats.org/officeDocument/2006/relationships/footer" Target="footer5.xml"/><Relationship Id="rId30" Type="http://schemas.openxmlformats.org/officeDocument/2006/relationships/fontTable" Target="fontTable.xml"/></Relationships>
</file>

<file path=word/_rels/footnotes.xml.rels><?xml version='1.0' encoding='UTF-8' standalone='yes'?>
<Relationships xmlns="http://schemas.openxmlformats.org/package/2006/relationships"><Relationship Id="rId3" Type="http://schemas.openxmlformats.org/officeDocument/2006/relationships/hyperlink" Target="http://ec.europa.eu/justice/citizen/document/files/final_report_2014_ep_elections_study_cses_10_march_2015.pdf" TargetMode="External"/><Relationship Id="rId2" Type="http://schemas.openxmlformats.org/officeDocument/2006/relationships/hyperlink" Target="http://ec.europa.eu/eurostat/statistics-explained/index.php/Migration_and_migrant_population_statistics" TargetMode="External"/><Relationship Id="rId1" Type="http://schemas.openxmlformats.org/officeDocument/2006/relationships/hyperlink" Target="http://europa.eu/rapid/press-release_SPEECH-17-3165_mt.htm" TargetMode="External"/><Relationship Id="rId4" Type="http://schemas.openxmlformats.org/officeDocument/2006/relationships/hyperlink" Target="http://www.europarl.europa.eu/pdf/eurobarometre/2014/post/post_2014_survey_analitical_overview_m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41FE7-759E-4267-AD62-AFD76E73C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17</Pages>
  <Words>4741</Words>
  <Characters>34094</Characters>
  <Application>Microsoft Office Word</Application>
  <DocSecurity>0</DocSecurity>
  <Lines>1065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52</cp:revision>
  <cp:lastPrinted>2017-12-07T13:47:00Z</cp:lastPrinted>
  <dcterms:created xsi:type="dcterms:W3CDTF">2018-01-10T15:04:00Z</dcterms:created>
  <dcterms:modified xsi:type="dcterms:W3CDTF">2018-01-24T12:14:00Z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name="OP_sanitized" fmtid="{D5CDD505-2E9C-101B-9397-08002B2CF9AE}" pid="6">
    <vt:lpwstr>True</vt:lpwstr>
  </property>
</Properties>
</file>