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C4A46132124C47C0B560DBD3F55B09A8" style="width:450.75pt;height:402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Rfrenceinterinstitutionnelle"/>
        <w:rPr>
          <w:noProof/>
        </w:rPr>
      </w:pPr>
      <w:bookmarkStart w:id="0" w:name="_GoBack"/>
      <w:bookmarkEnd w:id="0"/>
      <w:r>
        <w:rPr>
          <w:noProof/>
        </w:rPr>
        <w:lastRenderedPageBreak/>
        <w:t>2013/0304 (COD)</w:t>
      </w:r>
    </w:p>
    <w:p>
      <w:pPr>
        <w:pStyle w:val="Typedudocument"/>
        <w:rPr>
          <w:noProof/>
        </w:rPr>
      </w:pPr>
      <w:r>
        <w:rPr>
          <w:noProof/>
        </w:rPr>
        <w:t>KOMUNIKAZZJONI TAL-KUMMISSJONI LILL-PARLAMENT EWROPEW</w:t>
      </w:r>
      <w:r>
        <w:rPr>
          <w:noProof/>
        </w:rPr>
        <w:br/>
      </w:r>
      <w:r>
        <w:rPr>
          <w:noProof/>
        </w:rPr>
        <w:br/>
        <w:t>skont l-Artikolu 294(6) tat-Trattat dwar il-Funzjonament tal-Unjoni Ewropea</w:t>
      </w:r>
      <w:r>
        <w:rPr>
          <w:noProof/>
        </w:rPr>
        <w:br/>
      </w:r>
      <w:r>
        <w:rPr>
          <w:noProof/>
        </w:rPr>
        <w:br/>
        <w:t>dwar</w:t>
      </w:r>
    </w:p>
    <w:p>
      <w:pPr>
        <w:pStyle w:val="Titreobjet"/>
        <w:rPr>
          <w:noProof/>
        </w:rPr>
      </w:pPr>
      <w:r>
        <w:rPr>
          <w:noProof/>
        </w:rPr>
        <w:t>il-pożizzjoni tal-Kunsill dwar l-adozzjoni ta’ Direttiva tal-Parlament Ewropew u tal-Kunsill li temenda d-Deċiżjoni Qafas tal-Kunsill 2004/757/ĠAI biex tinkludi sustanzi psikoattivi ġodda fid-definizzjoni ta’ ‘droga’ u li tħassar id-Deċiżjoni tal-Kunsill 2005/387/ĠAI</w:t>
      </w:r>
    </w:p>
    <w:p>
      <w:pPr>
        <w:pStyle w:val="ManualHeading1"/>
        <w:rPr>
          <w:noProof/>
          <w:sz w:val="22"/>
        </w:rPr>
      </w:pPr>
      <w:r>
        <w:rPr>
          <w:noProof/>
        </w:rPr>
        <w:t>1.</w:t>
      </w:r>
      <w:r>
        <w:rPr>
          <w:noProof/>
        </w:rPr>
        <w:tab/>
        <w:t>Sfond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04"/>
        <w:gridCol w:w="2483"/>
      </w:tblGrid>
      <w:tr>
        <w:tc>
          <w:tcPr>
            <w:tcW w:w="6804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Id-data li fiha ntbagħtet il-proposta lill-Parlament Ewropew u lill-Kunsill</w:t>
            </w:r>
            <w:r>
              <w:rPr>
                <w:noProof/>
              </w:rPr>
              <w:br/>
              <w:t>(id-dokument COM(2013) 618 final – 2013/0304 (COD):</w:t>
            </w:r>
          </w:p>
        </w:tc>
        <w:tc>
          <w:tcPr>
            <w:tcW w:w="2483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17.9.2013</w:t>
            </w:r>
            <w:r>
              <w:rPr>
                <w:noProof/>
                <w:color w:val="000000" w:themeColor="text1"/>
              </w:rPr>
              <w:t>.</w:t>
            </w:r>
          </w:p>
        </w:tc>
      </w:tr>
      <w:tr>
        <w:tc>
          <w:tcPr>
            <w:tcW w:w="680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Id-data tal-opinjoni tal-Kumitat Ekonomiku u Soċjali Ewropew (ĠU C 177, 11.6.2014, p. 52).</w:t>
            </w:r>
          </w:p>
        </w:tc>
        <w:tc>
          <w:tcPr>
            <w:tcW w:w="2483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21.1.2014.</w:t>
            </w:r>
          </w:p>
        </w:tc>
      </w:tr>
      <w:tr>
        <w:tc>
          <w:tcPr>
            <w:tcW w:w="680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Id-data tal-pożizzjoni tal-Parlament Ewropew, l-ewwel qari:</w:t>
            </w:r>
          </w:p>
        </w:tc>
        <w:tc>
          <w:tcPr>
            <w:tcW w:w="2483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17.4.2014.</w:t>
            </w:r>
          </w:p>
        </w:tc>
      </w:tr>
      <w:tr>
        <w:tc>
          <w:tcPr>
            <w:tcW w:w="680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Id-data tat-trażmissjoni tal-proposta emendata</w:t>
            </w:r>
          </w:p>
        </w:tc>
        <w:tc>
          <w:tcPr>
            <w:tcW w:w="2483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Mhux applikabbli</w:t>
            </w:r>
            <w:r>
              <w:rPr>
                <w:noProof/>
                <w:color w:val="000000" w:themeColor="text1"/>
              </w:rPr>
              <w:t>.</w:t>
            </w:r>
          </w:p>
        </w:tc>
      </w:tr>
      <w:tr>
        <w:tc>
          <w:tcPr>
            <w:tcW w:w="6804" w:type="dxa"/>
          </w:tcPr>
          <w:p>
            <w:pPr>
              <w:rPr>
                <w:noProof/>
              </w:rPr>
            </w:pPr>
            <w:r>
              <w:rPr>
                <w:noProof/>
              </w:rPr>
              <w:t>Id-data tal-adozzjoni tal-pożizzjoni tal-Kunsill</w:t>
            </w:r>
          </w:p>
        </w:tc>
        <w:tc>
          <w:tcPr>
            <w:tcW w:w="2483" w:type="dxa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25.9.2017.</w:t>
            </w:r>
          </w:p>
        </w:tc>
      </w:tr>
    </w:tbl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L-għan tal-proposta tal-Kummissjoni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Din id-direttiva hija parti minn pakkett ta’ żewġ proposti leġiżlattivi dwar is-sustanzi psikoattivi mressqa mill-Kummissjoni fis-17 ta’ Settembru 2013: proposta għal Regolament dwar sustanzi psikoattivi ġodda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u Direttiva li temenda d-Deċiżjoni Qafas tal-Kunsill 2004/757/ĠAI tal-25 ta’ Ottubru 2004 li tistabbilixxi dispożizzjonijiet minimi dwar l-elementi kostitwenti ta' atti kriminali u ta' pieni fil-qasam tat-traffikar illeċitu ta' drogi, rigward id-definizzjoni ta' droga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L-għan tal-pakkett kien li tonqos id-disponibbiltà ta’ sustanzi psikoattivi ġodda li joħolqu riskju permezz ta’ azzjoni aktar rapida u effettiva fil-livell tal-Unjoni b’paragun mas-sistema applikata attwalment li hija bbażata fuq id-Deċiżjoni tal-Kunsill 2005/387/ĠAI tal-10 ta’ Mejju 2005 dwar l-iskambju ta’ informazzjoni, il-valutazzjoni tar-riskju u l-kontroll fuq sustanzi psikoattivi ġodda</w:t>
      </w:r>
      <w:r>
        <w:rPr>
          <w:rStyle w:val="FootnoteReference"/>
          <w:noProof/>
        </w:rPr>
        <w:footnoteReference w:id="3"/>
      </w:r>
      <w:r>
        <w:rPr>
          <w:noProof/>
        </w:rPr>
        <w:t>.</w:t>
      </w:r>
    </w:p>
    <w:p>
      <w:pPr>
        <w:pStyle w:val="ManualHeading1"/>
        <w:rPr>
          <w:noProof/>
        </w:rPr>
      </w:pPr>
      <w:r>
        <w:rPr>
          <w:noProof/>
        </w:rPr>
        <w:lastRenderedPageBreak/>
        <w:t>3.</w:t>
      </w:r>
      <w:r>
        <w:rPr>
          <w:noProof/>
        </w:rPr>
        <w:tab/>
        <w:t>Kummenti dwar il-pożizzjoni tal-Kunsill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In-negozjati bejn l-istituzzjonijiet ta’ dan il-pakkett leġiżlattiv ilhom għaddejjin aktar minn erba’ snin. Fil-Kunsill, waqt l-eżami tal-proposti l-Istati Membri esprimew dubji dwar l-għażla tal-Artikolu 114 tat-Trattat dwar il-Funzjonament tal-Unjoni Ewropea (TFUE) bħala l-bażi legali għar-Regolament propost. Biex jikseb l-istess għan ta’ azzjoni tal-UE aktar rapida u effettiva dwar sustanzi psikoattivi ġodda, il-Kumitat tar-Rappreżentanti Permanenti (COREPER) fis-6 ta’ April 2016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għalhekk qabel mal-approċċ il-ġdid propost mill-Presidenza.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Fil-kuntest ta’ dan l-approċċ il-ġdid, il-kunċett tal-proposta tal-Kummissjoni għall-2013 għal Regolament dwar sustanzi psikoattivi ġodda bbażat fuq l-Artikolu 114 TFUE ġie abbandunat. Id-dispożizzjonijiet tal-proposta tal-Kummissjoni tal-2013 għal Regolament dwar sustanzi psikoattivi ġodda ġiew inklużi minn naħa waħda fit-test tad-Direttiva li temenda d-Deċiżjoni Qafas tal-Kunsill 2004/757/ĠAI, u min-naħa l-oħra fit-test ta’ proposta ġdida li jemenda r-Regolament kostituttiv taċ-Ċentru Ewropew għall-Monitoraġġ tad-Droga u d-Dipendenza fuq id-Droga (EMCDDA), ir-Regolament 1920/2006, li l-Kummissjoni ġiet mistiedna tippreżenta. Il-Kummissjoni adottat il-proposta li temenda r-Regolament 1920/2006 rigward l-iskambju ta’ informazzjoni, is-sistema ta’ twissija bikrija u l-proċedura tal-valutazzjoni tar-riskju dwar sustanzi psikoattivi ġodda fid-29 ta’ Awwissu 2016</w:t>
      </w:r>
      <w:r>
        <w:rPr>
          <w:rStyle w:val="FootnoteReference"/>
          <w:noProof/>
        </w:rPr>
        <w:footnoteReference w:id="5"/>
      </w:r>
      <w:r>
        <w:rPr>
          <w:noProof/>
        </w:rPr>
        <w:t>. Il-proposta tal-2013 dwar Regolament dwar sustanzi psikoattivi ġodda ġiet irtirata fil-kuntest tal-Programm ta’ Ħidma tal-Kummissjoni għall-2017.</w:t>
      </w:r>
    </w:p>
    <w:p>
      <w:pPr>
        <w:widowControl w:val="0"/>
        <w:rPr>
          <w:noProof/>
        </w:rPr>
      </w:pPr>
      <w:r>
        <w:rPr>
          <w:noProof/>
        </w:rPr>
        <w:t>Intlaħaq ftehim politiku bejn il-koleġiżlaturi fil-laqgħa tat-trilogi tad-29 ta’ Mejju 2017, u dan ġie approvat mill-COREPER fil-31 ta’ Mejju 2017 u mill-Kumitat LIBE fit-8 ta’ Ġunju 2017.</w:t>
      </w:r>
    </w:p>
    <w:p>
      <w:pPr>
        <w:widowControl w:val="0"/>
        <w:rPr>
          <w:noProof/>
        </w:rPr>
      </w:pPr>
      <w:r>
        <w:rPr>
          <w:noProof/>
        </w:rPr>
        <w:t>F’konformità mal-approċċ il-ġdid deskritti hawn fuq, it-test tad-Direttiva jinkludi emendi sinifikanti għall-proposta tal-Kummissjoni tal-2013 għal Direttiva li temenda d-Deċiżjoni Qafas tal-Kunsill 2004/757/ĠAI tal-25 ta’ Ottubru 2004. Id-Direttiva b’mod partikolari issa fiha wkoll dispożizzjonijiet dwar id-definizzjoni ta’ sustanzi psikoattivi ġodda u dwar teħid rapidu ta’ deċiżjonijiet fuq il-livell tal-UE dwar sustanzi psikoattivi ġodda. Is-Sustanzi li jikkwalifikaw bħala sustanzi psikoattivi huma elenkati f’Anness ġdid mad-Deċiżjoni Qafas 2004/757/ĠAI li l-Kummissjoni hija mogħtija s-setgħa li temenda permezz ta’ atti delegati sabiex is-sustanzi psikoattivi ġodda jkunu elenkati fid-definizzjoni ta’ "droga". Is-sustanzi kollha elenkati fl-Anness I huma koperti mid-dispożizzjonijiet tad-dritt kriminali stabbiliti fid-Deċiżjoni Qafas, f’konformità mal-bażi legali tagħha, l-Artikolu 83(1) TFUE. Madankollu, il-pakkett xorta jissodisfa l-objettiv oriġinali tal-Kummissjoni li tnaqqas id-disponibilità ta’ sustanzi psikoattivi ġodda li joħolqu riskju permezz ta’ azzjoni aktar rapida u aktar effettiva fuq il-livell tal-Unjoni meta mqabbla mas-sistema applikata attwalment.</w:t>
      </w:r>
    </w:p>
    <w:p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Konklużjoni</w:t>
      </w:r>
    </w:p>
    <w:p>
      <w:pPr>
        <w:rPr>
          <w:noProof/>
        </w:rPr>
      </w:pPr>
      <w:r>
        <w:rPr>
          <w:noProof/>
        </w:rPr>
        <w:t>Il-Kummissjoni tappoġġa bis-sħiħ il-pożizzjoni tal-Kunsill minħabba li xorta jissodisfa l-objettiv oriġinali tal-Kummissjoni.</w:t>
      </w:r>
    </w:p>
    <w:sectPr>
      <w:footerReference w:type="default" r:id="rId16"/>
      <w:footerReference w:type="first" r:id="rId17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ab/>
        <w:t>COM(2013) 619 final.</w:t>
      </w:r>
    </w:p>
  </w:footnote>
  <w:footnote w:id="2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ab/>
        <w:t>COM(2013) 618 final.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  <w:t>ĠU L 127, 10.5.2005, p. 32. L-għażliet politiċi differenti ġew analizzati fil-valutazzjoni tal-impatt li takkumpanja liż-żewġ proposti, SWD(2013) 319 final.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>Rekord sommarju, dokument tal-Kunsill 7908/1/16 REV 1 tas-27 ta’ Mejju 2016.</w:t>
      </w:r>
    </w:p>
  </w:footnote>
  <w:footnote w:id="5">
    <w:p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>
        <w:tab/>
        <w:t>COM(2016) 547 final.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295AAD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F72CD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4830AB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EBC3D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CBC15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1D0A3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3DB6E1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72879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7-09-25 14:03:27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1"/>
    <w:docVar w:name="LW_CONFIDENCE" w:val=" "/>
    <w:docVar w:name="LW_CONST_RESTREINT_UE" w:val="RESTREINT UE"/>
    <w:docVar w:name="LW_CORRIGENDUM" w:val="&lt;UNUSED&gt;"/>
    <w:docVar w:name="LW_COVERPAGE_GUID" w:val="C4A46132124C47C0B560DBD3F55B09A8"/>
    <w:docVar w:name="LW_CROSSREFERENCE" w:val="&lt;UNUSED&gt;"/>
    <w:docVar w:name="LW_DocType" w:val="COM"/>
    <w:docVar w:name="LW_EMISSION" w:val="27.9.2017"/>
    <w:docVar w:name="LW_EMISSION_ISODATE" w:val="2017-09-27"/>
    <w:docVar w:name="LW_EMISSION_LOCATION" w:val="BRX"/>
    <w:docVar w:name="LW_EMISSION_PREFIX" w:val="Brussell, "/>
    <w:docVar w:name="LW_EMISSION_SUFFIX" w:val=" "/>
    <w:docVar w:name="LW_ID_DOCMODEL" w:val="SJ-028"/>
    <w:docVar w:name="LW_ID_DOCSTRUCTURE" w:val="COM/PL/CODEC"/>
    <w:docVar w:name="LW_ID_DOCTYPE" w:val="SJ-028"/>
    <w:docVar w:name="LW_INTERETEEE.CP" w:val="&lt;UNUSED&gt;"/>
    <w:docVar w:name="LW_LANGUE" w:val="MT"/>
    <w:docVar w:name="LW_MARKING" w:val="&lt;UNUSED&gt;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304"/>
    <w:docVar w:name="LW_REF.II.NEW.CP_YEAR" w:val="2013"/>
    <w:docVar w:name="LW_REF.INST.NEW" w:val="COM"/>
    <w:docVar w:name="LW_REF.INST.NEW_ADOPTED" w:val="final"/>
    <w:docVar w:name="LW_REF.INST.NEW_TEXT" w:val="(2017) 560"/>
    <w:docVar w:name="LW_REF.INTERNE" w:val="&lt;UNUSED&gt;"/>
    <w:docVar w:name="LW_SOUS.TITRE.OBJ.CP" w:val="&lt;UNUSED&gt;"/>
    <w:docVar w:name="LW_SUPERTITRE" w:val="&lt;UNUSED&gt;"/>
    <w:docVar w:name="LW_TITRE.OBJ.CP" w:val="il-po\u380?izzjoni tal-Kunsill dwar l-adozzjoni ta\u8217? Direttiva tal-Parlament Ewropew u tal-Kunsill li temenda d-De\u267?i\u380?joni Qafas tal-Kunsill 2004/757/\u288?AI biex tinkludi sustanzi psikoattivi \u289?odda fid-definizzjoni ta\u8217? \u8216?droga\u8217? u li t\u295?assar id-De\u267?i\u380?joni tal-Kunsill 2005/387/\u288?AI"/>
    <w:docVar w:name="LW_TYPE.DOC.CP" w:val="KOMUNIKAZZJONI TAL-KUMMISSJONI LILL-PARLAMENT EWROPEW_x000b__x000b_skont l-Artikolu 294(6) tat-Trattat dwar il-Funzjonament tal-Unjoni Ewropea_x000b__x000b_dwar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mt-MT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mt-MT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43855-1899-4640-8EA7-1E5ABA79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3</Pages>
  <Words>576</Words>
  <Characters>4348</Characters>
  <Application>Microsoft Office Word</Application>
  <DocSecurity>0</DocSecurity>
  <Lines>76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16</cp:revision>
  <cp:lastPrinted>2017-09-11T09:24:00Z</cp:lastPrinted>
  <dcterms:created xsi:type="dcterms:W3CDTF">2017-09-20T09:37:00Z</dcterms:created>
  <dcterms:modified xsi:type="dcterms:W3CDTF">2017-09-25T12:03:00Z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COM/PL/CODEC</vt:lpwstr>
  </property>
  <property fmtid="{D5CDD505-2E9C-101B-9397-08002B2CF9AE}" pid="3" name="Classification">
    <vt:lpwstr> </vt:lpwstr>
  </property>
  <property fmtid="{D5CDD505-2E9C-101B-9397-08002B2CF9AE}" pid="4" name="Version">
    <vt:lpwstr>5.8.86.0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Part">
    <vt:lpwstr>1</vt:lpwstr>
  </property>
  <property fmtid="{D5CDD505-2E9C-101B-9397-08002B2CF9AE}" pid="8" name="Total parts">
    <vt:lpwstr>1</vt:lpwstr>
  </property>
  <property fmtid="{D5CDD505-2E9C-101B-9397-08002B2CF9AE}" pid="9" name="LWTemplateID">
    <vt:lpwstr>SJ-028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