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alt="3C0DA936-6564-4E41-AC3E-FFBC7F8999E8" style="width:450.75pt;height:320.25pt">
            <v:imagedata r:id="rId9" o:title=""/>
          </v:shape>
        </w:pict>
      </w:r>
    </w:p>
    <w:bookmarkEnd w:id="0"/>
    <w:p>
      <w:pPr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bookmarkStart w:id="1" w:name="_GoBack"/>
      <w:bookmarkEnd w:id="1"/>
      <w:r>
        <w:rPr>
          <w:rFonts w:ascii="Times New Roman" w:hAnsi="Times New Roman"/>
          <w:b/>
          <w:noProof/>
          <w:sz w:val="32"/>
        </w:rPr>
        <w:lastRenderedPageBreak/>
        <w:t>Rapport tal-Kummissjoni dwar is-segwitu għas-Sejħa għal Evidenza:</w:t>
      </w:r>
      <w:r>
        <w:rPr>
          <w:rFonts w:ascii="Times New Roman" w:hAnsi="Times New Roman" w:cs="Times New Roman"/>
          <w:b/>
          <w:noProof/>
          <w:sz w:val="32"/>
          <w:szCs w:val="32"/>
        </w:rPr>
        <w:br/>
      </w:r>
      <w:r>
        <w:rPr>
          <w:rFonts w:ascii="Times New Roman" w:hAnsi="Times New Roman"/>
          <w:b/>
          <w:noProof/>
          <w:sz w:val="32"/>
        </w:rPr>
        <w:t xml:space="preserve"> Qafas regolatorju tal-UE għas-servizzi finanzjarji</w:t>
      </w:r>
    </w:p>
    <w:p>
      <w:pPr>
        <w:pStyle w:val="Heading1"/>
        <w:spacing w:before="360" w:after="240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1. INTRODUZZJONI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Fit-30 ta’ Settembru 2015, il-Kummissjoni Ewropea nediet Sejħa għal Evidenza dwar il-qafas regolatorju tal-UE għas-servizzi finanzjarji. L-għan tagħha huwa li tivverifika jekk l-aktar minn 40 att leġiżlattiv tal-UE adottati mill-kriżi finanzjarji kinux qed jaħdmu bil-mod intenzjonat. 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Aktar minn 300 parti kkonċernata kkondividew l-esperjenza tagħhom bl-implimentazzjoni tar-regolamenti finanzjarji tal-UE u pprovdew il-valutazzjoni tagħhom tal-impatt individwali u kkombinat tar-regoli tal-UE. Is-Sejħa għal Evidenza, li kienet l-ewwel eżempju ta’ eżerċizzju bħal dan imwettaq internazzjonalment f'dan is-settur wara r-reazzjoni għall-kriżi finanzjarja, uriet l-impenn tal-Kummissjoni għal aġenda ta' Regolamentazzjoni Aħjar, bil-għan li tiżgura li l-leġiżlazzjoni tal-UE tipprovdi r-riżultati mistennija għaċ-ċittadini u għan-negozji b’mod effettiv, effiċjenti u b'kost minimu. 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L-eżerċizzju tas-Sejħa għal Evidenza wera li f’termini ġenerali, il-qafas tas-servizzi finanzjarji fl-UE qiegħed jaħdem tajjeb u li r-riformi li saru kienu meħtieġa. L-eżerċizzju wera li kien utli biex isostni l-appoġġ għal pożizzjoni regolatorja robusta li tissalvagwardja l-istabbiltà finanzjarja u tappoġġa l-impjiegi u t-tkabbir b’mod aktar sostenibbli.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L-impenn tal-Kummissjoni li tagħmel monitoraġġ tal-implimentazzjoni u tal-funzjonament tar-regoli l-ġodda, u li kienet lesta tikkunsidra bidliet xierqa jekk ma jkunux qegħdin jagħtu r-riżultati mistennija, kellu appoġġ wiesa’, b’mod partikolari mill-Parlament Ewropew u mill-Kunsill. Is-Sejħa għal Evidenza kkontribwiet għar-responsabbiltà demokratika billi għenet biex ikun żgurat li dawk li jintlaqtu mir-regoli, inklużi l-utenti aħħarin, ikollhom fiduċja fihom. </w:t>
      </w:r>
    </w:p>
    <w:p>
      <w:pPr>
        <w:pStyle w:val="Text1"/>
        <w:spacing w:after="120" w:line="276" w:lineRule="auto"/>
        <w:ind w:left="0"/>
        <w:rPr>
          <w:noProof/>
          <w:szCs w:val="24"/>
        </w:rPr>
      </w:pPr>
      <w:r>
        <w:rPr>
          <w:noProof/>
        </w:rPr>
        <w:t>F’Novembru 2016, il-Kummissjoni adottat Komunikazzjoni dwar is-segwitu tas-Sejħa għal Evidenza (“il-Komunikazzjoni”) u ppubblikat dokument ta’ ħidma tal-persunal  li jakkumpanja l-Komunikazzjoni. Il-Kummissjoni kkonkludiet li filwaqt li l-qafas tas-servizzi finanzjarji fl-UE b’mod ġenerali kien qiegħed jaħdem tajjeb, kienu ġġustifikati miżuri ta’ segwitu mmirati</w:t>
      </w:r>
      <w:r>
        <w:rPr>
          <w:b/>
          <w:noProof/>
        </w:rPr>
        <w:t xml:space="preserve"> </w:t>
      </w:r>
      <w:r>
        <w:rPr>
          <w:noProof/>
        </w:rPr>
        <w:t>f’erba’ oqsma:</w:t>
      </w:r>
    </w:p>
    <w:p>
      <w:pPr>
        <w:pStyle w:val="Text1"/>
        <w:numPr>
          <w:ilvl w:val="0"/>
          <w:numId w:val="2"/>
        </w:numPr>
        <w:spacing w:after="60" w:line="276" w:lineRule="auto"/>
        <w:rPr>
          <w:noProof/>
          <w:szCs w:val="24"/>
        </w:rPr>
      </w:pPr>
      <w:r>
        <w:rPr>
          <w:noProof/>
        </w:rPr>
        <w:t>it-tneħħija ta' limiti regolatorji mhux meħtieġa dwar il-finanzjament tal-ekonomija;</w:t>
      </w:r>
    </w:p>
    <w:p>
      <w:pPr>
        <w:pStyle w:val="Text1"/>
        <w:numPr>
          <w:ilvl w:val="0"/>
          <w:numId w:val="2"/>
        </w:numPr>
        <w:spacing w:after="60" w:line="276" w:lineRule="auto"/>
        <w:rPr>
          <w:noProof/>
          <w:szCs w:val="24"/>
        </w:rPr>
      </w:pPr>
      <w:r>
        <w:rPr>
          <w:noProof/>
        </w:rPr>
        <w:t>it-titjib tal-proporzjonalità tar-regoli filwaqt li jiġu miżmuma l-objettivi prudenzjali;</w:t>
      </w:r>
    </w:p>
    <w:p>
      <w:pPr>
        <w:pStyle w:val="Text1"/>
        <w:numPr>
          <w:ilvl w:val="0"/>
          <w:numId w:val="2"/>
        </w:numPr>
        <w:spacing w:after="60" w:line="276" w:lineRule="auto"/>
        <w:rPr>
          <w:noProof/>
          <w:szCs w:val="24"/>
        </w:rPr>
      </w:pPr>
      <w:r>
        <w:rPr>
          <w:noProof/>
        </w:rPr>
        <w:t>it-tnaqqis ta’ piżijiet regolatorji bla bżonn;</w:t>
      </w:r>
    </w:p>
    <w:p>
      <w:pPr>
        <w:pStyle w:val="Text1"/>
        <w:numPr>
          <w:ilvl w:val="0"/>
          <w:numId w:val="2"/>
        </w:numPr>
        <w:spacing w:after="60" w:line="276" w:lineRule="auto"/>
        <w:rPr>
          <w:noProof/>
          <w:szCs w:val="24"/>
        </w:rPr>
      </w:pPr>
      <w:r>
        <w:rPr>
          <w:noProof/>
        </w:rPr>
        <w:t>qafas regolatorju aktar konsistenti u li jħares ’il quddiem.</w:t>
      </w:r>
    </w:p>
    <w:p>
      <w:pPr>
        <w:pStyle w:val="Text1"/>
        <w:spacing w:before="240" w:line="276" w:lineRule="auto"/>
        <w:ind w:left="0"/>
        <w:rPr>
          <w:noProof/>
          <w:szCs w:val="24"/>
        </w:rPr>
      </w:pPr>
    </w:p>
    <w:p>
      <w:pPr>
        <w:pStyle w:val="Text1"/>
        <w:spacing w:before="240" w:line="276" w:lineRule="auto"/>
        <w:ind w:left="0"/>
        <w:rPr>
          <w:noProof/>
          <w:szCs w:val="24"/>
        </w:rPr>
      </w:pPr>
    </w:p>
    <w:p>
      <w:pPr>
        <w:pStyle w:val="Text1"/>
        <w:spacing w:before="240" w:line="276" w:lineRule="auto"/>
        <w:ind w:left="0"/>
        <w:rPr>
          <w:noProof/>
          <w:szCs w:val="24"/>
        </w:rPr>
      </w:pPr>
    </w:p>
    <w:p>
      <w:pPr>
        <w:pStyle w:val="Text1"/>
        <w:spacing w:before="240" w:line="276" w:lineRule="auto"/>
        <w:ind w:left="0"/>
        <w:rPr>
          <w:noProof/>
          <w:szCs w:val="24"/>
        </w:rPr>
      </w:pPr>
      <w:r>
        <w:rPr>
          <w:noProof/>
        </w:rPr>
        <w:t xml:space="preserve">Ħafna mill-miżuri ta’ segwitu kienu inklużi f’: </w:t>
      </w:r>
    </w:p>
    <w:p>
      <w:pPr>
        <w:pStyle w:val="Text1"/>
        <w:numPr>
          <w:ilvl w:val="0"/>
          <w:numId w:val="19"/>
        </w:numPr>
        <w:spacing w:before="240" w:line="276" w:lineRule="auto"/>
        <w:rPr>
          <w:noProof/>
          <w:szCs w:val="24"/>
        </w:rPr>
      </w:pPr>
      <w:r>
        <w:rPr>
          <w:noProof/>
        </w:rPr>
        <w:t>rieżamijiet tal-atti leġiżlattivi  individwali:</w:t>
      </w:r>
      <w:r>
        <w:rPr>
          <w:rFonts w:eastAsiaTheme="minorHAnsi"/>
          <w:noProof/>
          <w:sz w:val="22"/>
        </w:rPr>
        <w:t xml:space="preserve"> pereżempju, flimkien mal-kunsiderazzjoni tal-input mis-Sejħa għal Evidenza fir-</w:t>
      </w:r>
      <w:r>
        <w:rPr>
          <w:noProof/>
        </w:rPr>
        <w:t>Regolament dwar il-proposti tar-Rekwiżit ta’ Kapital (CRR)</w:t>
      </w:r>
      <w:r>
        <w:rPr>
          <w:rStyle w:val="FootnoteReference"/>
          <w:noProof/>
        </w:rPr>
        <w:footnoteReference w:id="2"/>
      </w:r>
      <w:r>
        <w:rPr>
          <w:noProof/>
        </w:rPr>
        <w:t xml:space="preserve"> / id-Direttiva dwar ir-Rekwiżiti ta’ Kapital tal-2014 (CRD IV)</w:t>
      </w:r>
      <w:r>
        <w:rPr>
          <w:rStyle w:val="FootnoteReference"/>
          <w:noProof/>
        </w:rPr>
        <w:footnoteReference w:id="3"/>
      </w:r>
      <w:r>
        <w:rPr>
          <w:noProof/>
        </w:rPr>
        <w:t xml:space="preserve"> </w:t>
      </w:r>
      <w:r>
        <w:rPr>
          <w:rFonts w:eastAsiaTheme="minorHAnsi"/>
          <w:noProof/>
          <w:sz w:val="22"/>
        </w:rPr>
        <w:t xml:space="preserve">, azzjonijiet ta’ segwitu kienu inklużi wkoll </w:t>
      </w:r>
      <w:r>
        <w:rPr>
          <w:noProof/>
        </w:rPr>
        <w:t>fl-emendi tar-Regolament dwar l-Infrastruttura tas-Suq Ewropew (EMIR)</w:t>
      </w:r>
      <w:r>
        <w:rPr>
          <w:rStyle w:val="FootnoteReference"/>
          <w:noProof/>
        </w:rPr>
        <w:footnoteReference w:id="4"/>
      </w:r>
      <w:r>
        <w:rPr>
          <w:noProof/>
        </w:rPr>
        <w:t xml:space="preserve"> u</w:t>
      </w:r>
      <w:r>
        <w:rPr>
          <w:rFonts w:eastAsiaTheme="minorHAnsi"/>
          <w:noProof/>
          <w:sz w:val="22"/>
        </w:rPr>
        <w:t xml:space="preserve"> r-Rieżami tal-Awtoriajiet Superviżorji Ewropej (ESA)</w:t>
      </w:r>
      <w:r>
        <w:rPr>
          <w:rStyle w:val="FootnoteReference"/>
          <w:rFonts w:eastAsiaTheme="minorHAnsi"/>
          <w:noProof/>
          <w:sz w:val="22"/>
        </w:rPr>
        <w:footnoteReference w:id="5"/>
      </w:r>
      <w:r>
        <w:rPr>
          <w:noProof/>
        </w:rPr>
        <w:t xml:space="preserve">; </w:t>
      </w:r>
    </w:p>
    <w:p>
      <w:pPr>
        <w:pStyle w:val="Text1"/>
        <w:numPr>
          <w:ilvl w:val="0"/>
          <w:numId w:val="19"/>
        </w:numPr>
        <w:spacing w:before="240" w:line="276" w:lineRule="auto"/>
        <w:rPr>
          <w:noProof/>
          <w:szCs w:val="24"/>
        </w:rPr>
      </w:pPr>
      <w:r>
        <w:rPr>
          <w:noProof/>
        </w:rPr>
        <w:t xml:space="preserve">l-implimentazzjoni ta’ ħidma ta’ politika li għadha għaddejja (eż. biex tkompli tiġi żviluppata l-Unjoni tas-Swieq Kapitali (CMU - Capital Markets Union); </w:t>
      </w:r>
    </w:p>
    <w:p>
      <w:pPr>
        <w:pStyle w:val="Text1"/>
        <w:numPr>
          <w:ilvl w:val="0"/>
          <w:numId w:val="19"/>
        </w:numPr>
        <w:spacing w:before="240" w:line="276" w:lineRule="auto"/>
        <w:rPr>
          <w:noProof/>
          <w:szCs w:val="24"/>
        </w:rPr>
      </w:pPr>
      <w:r>
        <w:rPr>
          <w:noProof/>
        </w:rPr>
        <w:t xml:space="preserve">il-kalibrar ta’ standards tekniċi ta’ “livell 2” u r-regolamenti u d-direttivi “livell 1” li jmiss; </w:t>
      </w:r>
    </w:p>
    <w:p>
      <w:pPr>
        <w:pStyle w:val="Text1"/>
        <w:numPr>
          <w:ilvl w:val="0"/>
          <w:numId w:val="19"/>
        </w:numPr>
        <w:spacing w:before="240" w:line="276" w:lineRule="auto"/>
        <w:rPr>
          <w:noProof/>
          <w:szCs w:val="24"/>
        </w:rPr>
      </w:pPr>
      <w:r>
        <w:rPr>
          <w:noProof/>
        </w:rPr>
        <w:t xml:space="preserve">l-input tal-UE f’fora globali. </w:t>
      </w:r>
    </w:p>
    <w:p>
      <w:pPr>
        <w:pStyle w:val="Text1"/>
        <w:spacing w:before="240" w:line="276" w:lineRule="auto"/>
        <w:ind w:left="0"/>
        <w:rPr>
          <w:noProof/>
          <w:szCs w:val="24"/>
        </w:rPr>
      </w:pPr>
      <w:r>
        <w:rPr>
          <w:rFonts w:ascii="Times" w:hAnsi="Times"/>
          <w:noProof/>
        </w:rPr>
        <w:t>L-indikazzjonijiet li nkisbu matul is-Sejħa għal Evidenza wrew li huma importanti ħafna, saħansitra lil hinn mill-miżuri ta’ segwitu ppreżentati fil-Komunikazzjoni f’Novembru 2016. Żviluppi riċenti fil-livell globali u f’dak tal-UE kkontribwew għal prijoritatjiet li qed jevolvu, bħal aktar enfasi fuq il-finanzjament sostenibbli u t-teknoloġiji innovattivi. Is-Sejħa għal Evidenza kellha rwol importanti fil-formulazzjoni u fl-irfinar tar-reazzjoni tal-Kummissjoni għal dawn l-iżviluppi. Hija enfasizzat ukoll oqsma fir-</w:t>
      </w:r>
      <w:r>
        <w:rPr>
          <w:noProof/>
        </w:rPr>
        <w:t xml:space="preserve">Rieżami ta’ Nofs it-Terminu dwar il-Pjan ta’ Azzjoni tal-Unjoni tas-Swieq Kapitali </w:t>
      </w:r>
      <w:r>
        <w:rPr>
          <w:rStyle w:val="FootnoteReference"/>
          <w:noProof/>
        </w:rPr>
        <w:footnoteReference w:id="6"/>
      </w:r>
      <w:r>
        <w:rPr>
          <w:noProof/>
        </w:rPr>
        <w:t>fejn approċċ aktar proporzjonali għar-regolamentazzjoni ikompli jsaħħaħ is-swieq kapitali tal-UE.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Sena wara l-adozzjoni tal-Komunikazzjoni, dan ir-rapport ta’ progress jipprovdi aġġornament dwar is-segwitu tas-Sejħa għal Evidenza. Hemm żewġ messaġġi prinċipali li jridu jiġu enfasizzati f’dan il-kuntest: </w:t>
      </w:r>
    </w:p>
    <w:p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il-Kummissjoni kienet attiva biex tindirizza l-kwistjonijiet identifikati mill-partijiet ikkonċernati fil-proċess tas-Sejħa għal Evidenza u tkompli tagħmel dan biex tiżgura li l-leġiżlazzjoni tal-UE tibqa’ adatta għall-iskop tagħha. </w:t>
      </w:r>
    </w:p>
    <w:p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il-Kummissjoni qiegħda taħdem biex tiżgura li l-qafas regolatorju ta’ konformità huwa adatt għall-era diġitali, fejn possibbli permezz ta’ awtomatizzazzjoni u standardizzazzjoni. Dan għandu finalment iwassal biex inaqqas il-piż għall-industrija u għandu jirriżulta f’superviżjoni finanzjarja aħjar.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B’mod aktar ġenerali, il-proċess għas-Sejħa għal Evidenza għen biex jiżgura li proposti leġiżlattivi individwali jitqiegħdu f’kuntest aktar wiesa’. Barra minn hekk, hemm bżonn  li jitqiesu wkoll l-iżviluppi fis-settur finanzjarju u fl-ekonomija b’mod aktar ġenerali, inkluża l-bidla teknoloġika rapida, biex jiġi żgurat li r-regoli għadhom adattati għar-realtajiet li qed jinbidlu. B’mod ġenerali, is-Sejħa għal Evidenza wriet li hija eżerċizzju sinifikanti b’impatt fit-tul li għandu jwassal għal titjib fil-leġiżlazzjoni fl-UE.</w:t>
      </w:r>
    </w:p>
    <w:p>
      <w:pPr>
        <w:pStyle w:val="Text1"/>
        <w:spacing w:before="240" w:line="276" w:lineRule="auto"/>
        <w:ind w:left="0"/>
        <w:rPr>
          <w:noProof/>
          <w:szCs w:val="24"/>
        </w:rPr>
      </w:pPr>
      <w:r>
        <w:rPr>
          <w:noProof/>
        </w:rPr>
        <w:t>It-</w:t>
      </w:r>
      <w:r>
        <w:rPr>
          <w:b/>
          <w:noProof/>
        </w:rPr>
        <w:t>Taqsima 2</w:t>
      </w:r>
      <w:r>
        <w:rPr>
          <w:noProof/>
        </w:rPr>
        <w:t xml:space="preserve"> ta’ dan ir-Rapport tiddiskuti l-progress miksub sa issa, fejn kważi nofs il-miżuri twettqu fit-12-il xahar wara l-adozzjoni tal-Komunikazzjoni dwar is-segwitu tas-Sejħa għal Evidenza. It-</w:t>
      </w:r>
      <w:r>
        <w:rPr>
          <w:b/>
          <w:noProof/>
        </w:rPr>
        <w:t xml:space="preserve">Taqsima 3 </w:t>
      </w:r>
      <w:r>
        <w:rPr>
          <w:noProof/>
        </w:rPr>
        <w:t>tipprovdi aktar dettall dwar l-impenn tal-Kummissjoni li twettaq valutazzjoni komprensiva tal-qafas ġenerali ta’ rapportar superviżorju. Din il-kwistjoni hija waħda mill-kwistjonijiet ewlenin enfasizzati mir-rispondenti u hija l-ewwel darba li l-kwistjoni qiegħda tiġi indirizzata b’mod komprensiv. It-</w:t>
      </w:r>
      <w:r>
        <w:rPr>
          <w:b/>
          <w:noProof/>
        </w:rPr>
        <w:t>Taqsima 4</w:t>
      </w:r>
      <w:r>
        <w:rPr>
          <w:noProof/>
        </w:rPr>
        <w:t xml:space="preserve"> tikkonkludi billi tikkonferma l-impenn kontinwu tal-Kummissjoni għal tfassil ta’ politika bbażata fuq l-evidenza.</w:t>
      </w:r>
    </w:p>
    <w:p>
      <w:pPr>
        <w:rPr>
          <w:rFonts w:ascii="Times New Roman" w:eastAsiaTheme="majorEastAsia" w:hAnsi="Times New Roman" w:cs="Times New Roman"/>
          <w:b/>
          <w:bCs/>
          <w:noProof/>
          <w:color w:val="365F91" w:themeColor="accent1" w:themeShade="BF"/>
          <w:sz w:val="28"/>
          <w:szCs w:val="28"/>
        </w:rPr>
      </w:pPr>
      <w:r>
        <w:rPr>
          <w:noProof/>
        </w:rPr>
        <w:br w:type="page"/>
      </w:r>
    </w:p>
    <w:p>
      <w:pPr>
        <w:pStyle w:val="Heading1"/>
        <w:spacing w:after="24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2. AZZJONIJIET TA' SEGWITU: DAK LI KSIBNA SA ISSA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Mis-sena li għaddiet, il-Kummissjoni diġà rċeviet għadd kbir ta’ miżuri ta’ segwitu deskritti fil-Komunikazzjoni. Flimkien, il-miżuri jikkontribwixxu għal qafas regolatorju li: </w:t>
      </w:r>
    </w:p>
    <w:p>
      <w:pPr>
        <w:pStyle w:val="ListParagraph"/>
        <w:numPr>
          <w:ilvl w:val="0"/>
          <w:numId w:val="21"/>
        </w:num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jkun aktar favorevoli għas-self u l-investiment; </w:t>
      </w:r>
    </w:p>
    <w:p>
      <w:pPr>
        <w:pStyle w:val="ListParagraph"/>
        <w:numPr>
          <w:ilvl w:val="0"/>
          <w:numId w:val="21"/>
        </w:num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jirrikonoxxi l-karatteristiċi uniċi ta’ ditti iżgħar u anqas riskjużi; </w:t>
      </w:r>
    </w:p>
    <w:p>
      <w:pPr>
        <w:pStyle w:val="ListParagraph"/>
        <w:numPr>
          <w:ilvl w:val="0"/>
          <w:numId w:val="21"/>
        </w:num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għandu l-għan li jżomm il-piż tal-konformità għall-minimu meħtieġ.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L-interazzjonijiet jew il-konsegwenzi mhux intenzjonati ġew indirizzati kemm jista’ jkun fil-proposti leġiżlattivi u fil-proposti biex jiġu riveduti l-liġijiet eżistenti kif ukoll fl-implimentazzjoni tar-regoli, filwaqt li jibqgħu jiġu ppreservati l-objettivi prudenzjali u tiġi żgurata l-istabbiltà tas-sistema finanzjarja.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Xi miżuri ta' segwitu għadhom għaddejjin. Il-parti l-kbira minnhom jirrigwardaw leġiżlazzjoni li għadha ma ġietx implimentata bis-sħiħ, filwaqt li xi wħud tħabbru b’referenza speċifika għal rieżamijiet futuri. Għal ċerti kwistjonijiet, il-Kummissjoni se tkompli tinvestiga l-evidenza disponibbli biex tivvaluta jekk il-bidliet humiex meħtieġa.</w:t>
      </w:r>
    </w:p>
    <w:p>
      <w:pPr>
        <w:pStyle w:val="Heading2"/>
        <w:rPr>
          <w:noProof/>
        </w:rPr>
      </w:pPr>
      <w:r>
        <w:rPr>
          <w:noProof/>
        </w:rPr>
        <w:t>2.1</w:t>
      </w:r>
      <w:r>
        <w:rPr>
          <w:noProof/>
        </w:rPr>
        <w:tab/>
        <w:t>Tneħħija ta' limiti regolatorji mhux meħtieġa dwar il-finanzjament tal-ekonomija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F’konformità mal-prijorità tagħha li tistimola l-ħolqien tax-xogħol, it-tkabbir u l-investiment, il-Kummissjoni tagħti attenzjoni partikolari lill-oqsma fejn jista’ jkun li r-regoli tal-UE qegħdin jimpedixxu l-aċċess għal finanzjament u tesplora jekk l-istess objettivi prudenzjali jistgħux jinkisbu b’xi mod ieħor. Il-Kummissjoni ffokat ukoll fuq sitwazzjonijiet fejn ir-regoli attwali jistgħu jkunu potenzjalment ta’ dannu għall-investiment u għat-tkabbir ekonomiku. 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Xi rispondenti tas-Sejħa għal Evidenza esprimew tħassib dwar l-impatt tal-qafas regolorju dwar l-abbiltà tal-banek li jiffinanzjaw l-ekonomija, inkluż il-finanzjament tal-SMEs, l-inċentivi għal investiment sostenibbli ta’ terminu twil, il-likwidità fis-suq u l-aċċess għall-ikklerjar. B’reazzjoni, il-Kummissjoni ppreżentat firxa ta’ miżuri ta’ segwitu f’dawn l-oqsma. Il-feedback kien inkluż ukoll fir-Rieżami ta' Nofs it-Terminu tal-Pjan ta’ Azzjoni tal-Unjoni tas-Swieq Kapitali, li rriżulta f'firxa ta’ miżuri biex jinkiseb approċċ aktar proporzjonat għar-regolamentazzjoni, anqas frizzjoni għal investiment transfruntier u l-iżvilupp ta’ ekosistema Pan-Ewropea tas-suq tal-kapital. 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Il-Kummissjoni issa </w:t>
      </w:r>
      <w:r>
        <w:rPr>
          <w:rFonts w:ascii="Times New Roman" w:hAnsi="Times New Roman"/>
          <w:b/>
          <w:noProof/>
          <w:sz w:val="24"/>
        </w:rPr>
        <w:t>wettqet</w:t>
      </w:r>
      <w:r>
        <w:rPr>
          <w:rFonts w:ascii="Times New Roman" w:hAnsi="Times New Roman"/>
          <w:noProof/>
          <w:sz w:val="24"/>
        </w:rPr>
        <w:t xml:space="preserve"> il-biċċa l-kbira tal-miżuri ta’ segwitu li ġejjin: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>
        <w:tc>
          <w:tcPr>
            <w:tcW w:w="9288" w:type="dxa"/>
          </w:tcPr>
          <w:p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Il-Kummissjoni pproponiet pakkett bankarju f’Novembru 2016 bħala parti mill-aġenda ġenerali tagħha għat-tnaqqis tar-riskji. Huwa stmat li, bħala riżultat, ir-riżorsi pubbliċi meħtieġa biex jappoġġaw is-sistema bankarja fil-każ ta’ kriżi finanzjarja ta’ dimensjoni simili għall-2007–2008 jonqsu bi 32% jew l-ekwivalenti ta’ EUR 17-il biljun</w:t>
            </w:r>
            <w:r>
              <w:rPr>
                <w:rStyle w:val="FootnoteReference"/>
                <w:rFonts w:ascii="Times New Roman" w:hAnsi="Times New Roman"/>
                <w:noProof/>
                <w:sz w:val="24"/>
              </w:rPr>
              <w:footnoteReference w:id="7"/>
            </w:r>
            <w:r>
              <w:rPr>
                <w:noProof/>
              </w:rPr>
              <w:t>.</w:t>
            </w:r>
            <w:r>
              <w:rPr>
                <w:rFonts w:ascii="Times New Roman" w:hAnsi="Times New Roman"/>
                <w:noProof/>
                <w:sz w:val="24"/>
              </w:rPr>
              <w:t xml:space="preserve"> Il-pakkett jinkludi inizjattivi ewlenin biex jippreservaw il-kapaċità tal-banek li jiffinanzjaw l-ekonomija, inklużi l-SMEs u l-infrastruttura:</w:t>
            </w:r>
          </w:p>
          <w:p>
            <w:pPr>
              <w:pStyle w:val="ListParagraph"/>
              <w:numPr>
                <w:ilvl w:val="1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Ġew introdotti aġġustamenti u perjodi ta’ introduzzjoni gradwali għall-implimentazzjoni tar-rieżami fundamentali tal-portafoll tan-negozjar u l-proporzjon nett ta’ finanzjament stabbli. Dan huwa sabiex jiġu evitati żidiet sproporzjonati fil-kapital u tiġi żgurata kontinwità fil-funzjonament tas-swieq finanzjarji tal-UE.</w:t>
            </w:r>
          </w:p>
          <w:p>
            <w:pPr>
              <w:pStyle w:val="ListParagraph"/>
              <w:numPr>
                <w:ilvl w:val="1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Biex tissalvagwardja l-kapaċità tal-banek li jipprovdu servizzi tal-ikklirjar skont l-EMIR, il-Kummissjoni tipproponi li taġġusta l-proporzjon ta’ ingranaġġ biex tippermetti li l-banek jikkumpensaw l-iskopertura futura potenzjali tat-tranżazzjonijiet derivattivi rilevanti mal-marġni inizjali.</w:t>
            </w:r>
          </w:p>
          <w:p>
            <w:pPr>
              <w:pStyle w:val="ListParagraph"/>
              <w:numPr>
                <w:ilvl w:val="1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It-tnaqqis kapitali regolatorju għal self lill-SMEs (fattur ta’ sostenn lill-SMEs) ġie estiż biex jipprovdi inċentivi kapitali għall-banek biex jipprovdu self lill-SMEs.</w:t>
            </w:r>
          </w:p>
          <w:p>
            <w:pPr>
              <w:pStyle w:val="ListParagraph"/>
              <w:numPr>
                <w:ilvl w:val="1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Biex ikompli jkun promoss l-investiment fi proġetti infrastrutturali,  ir-rekwiżiti ta’ kapital ta’ riskju għal investimenti ta’ banek fi proġetti eliġibbli tnaqqsu.</w:t>
            </w:r>
          </w:p>
          <w:p>
            <w:pPr>
              <w:pStyle w:val="ListParagraph"/>
              <w:numPr>
                <w:ilvl w:val="1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Biex ikunu appoġġati l-istituzzjonijiet ta’ kreditu li jaċċessaw finanzjament minn kredituri li mhumiex fl-UE, il-Kummissjoni pproponiet aġġustament għad-Direttiva dwar l-Irkupru u r-Riżoluzzjoni tal-Banek biex tiżgura li r-rekwiżit għal rikonoxximent kuntrattwali ta' dispożizzjonijiet ta' salvataġġ għal kredituri li mhumiex fl-UE jista' jiġi applikat b’mod pragmatiku.</w:t>
            </w:r>
          </w:p>
          <w:p>
            <w:pPr>
              <w:pStyle w:val="ListParagraph"/>
              <w:numPr>
                <w:ilvl w:val="1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Il-Kummissjoni pproponiet miżuri biex trawwem l-integrazzjoni ta’ bankjar transfruntier billi jippermettu li l-awtorità kompetenti teżenta l-applikazzjoni ta’ fondi proprji u ta' rekwiżiti ta’ kopertura tal-likwidità fejn hija tissupervizza kemm l-impriża omm kif ukoll is-sussidjarji tagħha stabbiliti fi Stati Membri differenti tal-Unjoni Bankarja. Biex tissalvagwardja l-istabbiltà finanzjarja, dan huwa possibbli biss fejn l-impriża omm tiggarantixxi l-ammont sħiħ tar-rekwiżit eżentat u fejn dik il-garanzija tkun kollateralizzat b’tal-anqas 50 %.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 xml:space="preserve">F’Mejju 2017, il-Kummissjoni adottat proposta fil-kuntest tal-programm </w:t>
            </w:r>
            <w:r>
              <w:rPr>
                <w:rFonts w:ascii="Times New Roman" w:hAnsi="Times New Roman"/>
                <w:b/>
                <w:noProof/>
                <w:sz w:val="24"/>
              </w:rPr>
              <w:t xml:space="preserve">REFIT </w:t>
            </w:r>
            <w:r>
              <w:rPr>
                <w:rFonts w:ascii="Times New Roman" w:hAnsi="Times New Roman"/>
                <w:noProof/>
                <w:sz w:val="24"/>
              </w:rPr>
              <w:t>tal-</w:t>
            </w:r>
            <w:r>
              <w:rPr>
                <w:rFonts w:ascii="Times New Roman" w:hAnsi="Times New Roman"/>
                <w:b/>
                <w:noProof/>
                <w:sz w:val="24"/>
              </w:rPr>
              <w:t>EMIR</w:t>
            </w:r>
            <w:r>
              <w:rPr>
                <w:rStyle w:val="FootnoteReference"/>
                <w:rFonts w:ascii="Times New Roman" w:hAnsi="Times New Roman"/>
                <w:b/>
                <w:noProof/>
                <w:sz w:val="24"/>
              </w:rPr>
              <w:footnoteReference w:id="8"/>
            </w:r>
            <w:r>
              <w:rPr>
                <w:rFonts w:ascii="Times New Roman" w:hAnsi="Times New Roman"/>
                <w:noProof/>
                <w:sz w:val="24"/>
              </w:rPr>
              <w:t xml:space="preserve"> biex tissimplifika u ttejjeb il-proporzjonalità ta’ xi wħud mir-regoli tad-derivattivi tal-UE. Biex ittejjeb l-aċċess għas-servizzi tal-ikklirjar, il-proposta tintroduċi rekwiżiti għal servizzi tal-ikklirjar biex dawn jiġu offruti fuq termini kummerċjali ġusti, raġonevoli u nondiskriminatorji. Hija teżenta wkoll l-iżgħar kontropartijiet finanzjarji mill-obbligu tal-ikklirjar u tintroduċi obbligu tal-ikklirjar aktar proporzjonat għal kontropartijiet mhux finanzjarji. L-istimi ta’ tfaddil potenzjali għal kontropartijiet finanzjarji u mhux finanzjarji iżgħar ivarjaw minn EUR 2,3 biljun sa EUR 6,9 biljun f'kostijiet fissi jew ta’ darba u minn EUR 1,1 biljun u EUR 2,66 biljun f'kostijiet operazzjonali</w:t>
            </w:r>
            <w:r>
              <w:rPr>
                <w:rStyle w:val="FootnoteReference"/>
                <w:rFonts w:ascii="Times New Roman" w:hAnsi="Times New Roman"/>
                <w:noProof/>
                <w:sz w:val="24"/>
              </w:rPr>
              <w:footnoteReference w:id="9"/>
            </w:r>
            <w:r>
              <w:rPr>
                <w:noProof/>
              </w:rPr>
              <w:t>.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F’Ġunju 2017, il-Kummissjoni adottat att delegat skont id-Direttiva Solvibbiltà II biex tbaxxi l-kalibrar tat-tariffi tar-riskju għal investimenti ta’ assiguraturi f’entitajiet jew gruppi korporattivi li jiksbu l-maġġoranza sostanzjali tad-dħul mis-sjieda, il-finanzjament, l-iżvilupp jew il-ġestjoni ta’ assi infrastrutturali (</w:t>
            </w:r>
            <w:r>
              <w:rPr>
                <w:rFonts w:ascii="Times New Roman" w:hAnsi="Times New Roman"/>
                <w:b/>
                <w:noProof/>
                <w:sz w:val="24"/>
              </w:rPr>
              <w:t>korporattivi infrastrutturali</w:t>
            </w:r>
            <w:r>
              <w:rPr>
                <w:rFonts w:ascii="Times New Roman" w:hAnsi="Times New Roman"/>
                <w:noProof/>
                <w:sz w:val="24"/>
              </w:rPr>
              <w:t>). Dan jikkumplimenta emenda preċedenti li tintroduċi tariffi aktar baxxi għal proġetti infrastrutturali kwalifikanti, adottata f’Settembru 2015. Riżultat ta’ din l-aħħar emenda ta’ kalibrar għar-rekwiżiti kapitali, il-kumpaniji tal-assigurazzjoni se jkunu jistgħu jżidu l-investiment tagħhom f’korporattivi infrastrutturali b’madwar 30 %</w:t>
            </w:r>
            <w:r>
              <w:rPr>
                <w:rStyle w:val="FootnoteReference"/>
                <w:rFonts w:ascii="Times New Roman" w:hAnsi="Times New Roman"/>
                <w:noProof/>
                <w:sz w:val="24"/>
              </w:rPr>
              <w:footnoteReference w:id="10"/>
            </w:r>
            <w:r>
              <w:rPr>
                <w:rFonts w:ascii="Times New Roman" w:hAnsi="Times New Roman"/>
                <w:noProof/>
                <w:sz w:val="24"/>
              </w:rPr>
              <w:t>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Biex jiġi indirizzat tħassib dwar tnaqqis tal-aspettattivi tal-likwidità fi swieq ta’ bonds korporattivi, ġie stabbilit grupp ta’ esperti biex jipprovdi lill-Kummissjoni b’analiżi tal-funzjonament tas-</w:t>
            </w:r>
            <w:r>
              <w:rPr>
                <w:rFonts w:ascii="Times New Roman" w:hAnsi="Times New Roman"/>
                <w:b/>
                <w:noProof/>
                <w:sz w:val="24"/>
              </w:rPr>
              <w:t>swieq ta’ bonds korporattivi tal-UE</w:t>
            </w:r>
            <w:r>
              <w:rPr>
                <w:rFonts w:ascii="Times New Roman" w:hAnsi="Times New Roman"/>
                <w:noProof/>
                <w:sz w:val="24"/>
              </w:rPr>
              <w:t xml:space="preserve"> u b’rakkomandazzjonijiet biex l-effiċjenza tagħhom fil-finanzjament tal-ekonomija titjieb. Ir-rapport tal-grupp ġie ppubblikat fl-20 ta’ Novembru 2017, fejn ir-rakkomandazzjonijiet jimmiraw li: (i) jiġi ffaċilitat il-ħruġ għall-kumpaniji; (ii) tiġi promossa bażi ta’ investituri diversi u ta’ esperjenza; (iii) jiġi appoġġat il-mudell tradizzjonali ta’ intermedjazzjoni permezz ta’ ġeneraturi tas-suq; (iv) tiġi kkunsidrata l-importanza dejjem tikber ta’ forom elettroniċi ta’ negozjar u ta’ ambjent effiċjenti ta’ wara n-negozjar; u (iv) jiġi żgurat livell xieraq ta’ informazzjoni u ta’ trasparenza. Abbażi ta’ dawn ir-rakkomandazzjonijiet, konsultazzjoni pubblika tinsab ippjanata għall-bidu tal-2018, li twassal għall-adozzjoni ta’ Komunikazzjoni aktar tard fis-sena.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noProof/>
              </w:rPr>
            </w:pPr>
            <w:r>
              <w:rPr>
                <w:rFonts w:ascii="Times" w:hAnsi="Times"/>
                <w:noProof/>
                <w:sz w:val="24"/>
              </w:rPr>
              <w:t>Il-Kummissjoni wettqet valutazzjoni inizjali tal-funzjonament tas-swieq fil-</w:t>
            </w:r>
            <w:r>
              <w:rPr>
                <w:rFonts w:ascii="Times" w:hAnsi="Times"/>
                <w:b/>
                <w:noProof/>
                <w:sz w:val="24"/>
              </w:rPr>
              <w:t>ftehimiet ta’ riakkwist</w:t>
            </w:r>
            <w:r>
              <w:rPr>
                <w:rFonts w:ascii="Times" w:hAnsi="Times"/>
                <w:noProof/>
                <w:sz w:val="24"/>
              </w:rPr>
              <w:t xml:space="preserve"> bħala parti mir-rapport dwar tranżazzjonijiet li jiffinanzjaw it-titoli ppubblikat fid-19 ta’ Ottubru 2017. Il-valutazzjoni tirrikonoxxi d-dinamika tas-suq li qed jinbidel matul l-aħħar ftit snin, kif ukoll it-tensjoni fil-provvista ta’ kollateral ta’ kwalità għolja minħabba domanda li qed tiżdied, speċjalment qrib id-dati li ġew stabbiliti għar-rapportar regolatorju.</w:t>
            </w:r>
          </w:p>
        </w:tc>
      </w:tr>
    </w:tbl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>
      <w:pPr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Miżuri ta’ segwitu oħrajn </w:t>
      </w:r>
      <w:r>
        <w:rPr>
          <w:rFonts w:ascii="Times" w:hAnsi="Times"/>
          <w:b/>
          <w:noProof/>
          <w:sz w:val="24"/>
        </w:rPr>
        <w:t>għadhom għaddejjin</w:t>
      </w:r>
      <w:r>
        <w:rPr>
          <w:rFonts w:ascii="Times" w:hAnsi="Times"/>
          <w:noProof/>
          <w:sz w:val="24"/>
        </w:rPr>
        <w:t xml:space="preserve"> u dawn qed jagħmlu progress f’konformità mal-iskeda prevista. Uħud mill-miżuri ta’ segwitu jikkonċernaw leġiżlazzjoni li għadha m’hijiex fis-seħħ jew jikkonċernaw rieżamijiet futuri. </w:t>
      </w:r>
      <w:r>
        <w:rPr>
          <w:noProof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>
        <w:trPr>
          <w:trHeight w:val="1700"/>
        </w:trPr>
        <w:tc>
          <w:tcPr>
            <w:tcW w:w="9288" w:type="dxa"/>
          </w:tcPr>
          <w:p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>Bħala parti mill-valutazzjoni tad-definizzjoni tal-eżenzjoni għal “attività ta’ ġenerazzjoni tas-suq” mir-</w:t>
            </w:r>
            <w:r>
              <w:rPr>
                <w:rFonts w:ascii="Times" w:hAnsi="Times"/>
                <w:b/>
                <w:noProof/>
                <w:sz w:val="24"/>
              </w:rPr>
              <w:t>Regolament dwar il-Bejgħ ta' Pożizzjoni Qasira</w:t>
            </w:r>
            <w:r>
              <w:rPr>
                <w:rFonts w:ascii="Times" w:hAnsi="Times"/>
                <w:noProof/>
                <w:sz w:val="24"/>
              </w:rPr>
              <w:t>, il-Kummissjoni bagħtet Talba għal Parir lill-Awtorità Ewropea dwar it-Titoli u s-Swieq (ESMA) f’Jannar 2017. Il-parir tal-ESMA huwa mistenni f’Diċembru 2017.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="276" w:lineRule="auto"/>
              <w:ind w:left="714" w:hanging="357"/>
              <w:jc w:val="both"/>
              <w:rPr>
                <w:rFonts w:ascii="Times" w:hAnsi="Times" w:cs="Times New Roman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>Wara l-ftehim bejn il-Parlament Ewropew u l-Kunsill dwar qafas għal titolizzazzjoni sempliċi, trasparenti u standardizzata (</w:t>
            </w:r>
            <w:r>
              <w:rPr>
                <w:rFonts w:ascii="Times" w:hAnsi="Times"/>
                <w:b/>
                <w:noProof/>
                <w:sz w:val="24"/>
              </w:rPr>
              <w:t>STS</w:t>
            </w:r>
            <w:r>
              <w:rPr>
                <w:rFonts w:ascii="Times" w:hAnsi="Times"/>
                <w:noProof/>
                <w:sz w:val="24"/>
              </w:rPr>
              <w:t xml:space="preserve">), il-Kummissjoni qed tħejji emenda għall-miżuri ta' implimentazzjoni ta' Solvibbiltà II biex tiżgura li l-assiguraturi jkun jista’ wkoll ikollhom ir-rwol tagħhom bħala investituri fuq żmien twil fis-suq tal-STS </w:t>
            </w:r>
            <w:r>
              <w:rPr>
                <w:rStyle w:val="FootnoteReference"/>
                <w:rFonts w:ascii="Times" w:hAnsi="Times"/>
                <w:noProof/>
                <w:sz w:val="24"/>
              </w:rPr>
              <w:footnoteReference w:id="11"/>
            </w:r>
            <w:r>
              <w:rPr>
                <w:noProof/>
              </w:rPr>
              <w:t>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Il-Kummissjoni qed tavvanza wkoll bil-ħidma preparatorja tagħha dwar emendi tar-Regolament Delegat li jissupplimenta Solvibbiltà II fl-2018. Il-ħidma tiffoka fuq rieżami tat-trattament prudenzjali ta’ </w:t>
            </w:r>
            <w:r>
              <w:rPr>
                <w:rFonts w:ascii="Times" w:hAnsi="Times"/>
                <w:b/>
                <w:noProof/>
                <w:sz w:val="24"/>
              </w:rPr>
              <w:t>ekwità privata u dejn pjazzat privatament</w:t>
            </w:r>
            <w:r>
              <w:rPr>
                <w:rFonts w:ascii="Times" w:hAnsi="Times"/>
                <w:noProof/>
                <w:sz w:val="24"/>
              </w:rPr>
              <w:t>, meta dan ikun ġustifikat prudenzjalment minn perspettiva superviżorja bbażata fuq ir-riskji. F’Lulju 2016, intbagħtet talba għal Parir lill-Awtorità Ewropea tal-Assigurazzjoni u l-Pensjonijiet tax-Xogħol (EIOPA - European Insurance and Occupational Pensions Authority)  u r-rispons tal-EIOPA huwa mistenni sa Frar 2018.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Bħala parti mill-ħidma usa' dwar il-finanzjament tal-SMEs, bħal dwar ir-rekwiżiti tal-elenkar, il-Kummissjoni se timmonitorja l-implimentazzjoni tar-regoli skont id-Direttiva dwar is-Swieq fl-Istrumenti Finanzjarji (MiFID II) </w:t>
            </w:r>
            <w:r>
              <w:rPr>
                <w:rFonts w:ascii="Times" w:hAnsi="Times"/>
                <w:b/>
                <w:noProof/>
                <w:sz w:val="24"/>
              </w:rPr>
              <w:t>dwar ir-riċerka tal-investiment</w:t>
            </w:r>
            <w:r>
              <w:rPr>
                <w:rFonts w:ascii="Times" w:hAnsi="Times"/>
                <w:noProof/>
                <w:sz w:val="24"/>
              </w:rPr>
              <w:t xml:space="preserve"> ladarba dawn ikunu japplikaw minn Jannar 2018. Bħala parti minn dan, ir-riċerka hija prevista tivvaluta l-impatt fuq ir-riċerka tal-ekwità tal-SMEs.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>Fil-kuntest tar-Rieżami ta’ Nofs it-Terminu tas-CMU, il-Kummissjoni impenjat ruħha li, fi Q2 2018, tesplora jekk emendi mmirati għal-leġiżlazzjoni rilevanti tal-UE (inkluż ir-Regolament dwar l-Abbuż tas-Suq u l-MiFID II) jistgħux jipprovdu ambjent regolatorju aktar proporzjonat iżda prudenti biex jappoġġa l-</w:t>
            </w:r>
            <w:r>
              <w:rPr>
                <w:rFonts w:ascii="Times" w:hAnsi="Times"/>
                <w:b/>
                <w:noProof/>
                <w:sz w:val="24"/>
              </w:rPr>
              <w:t>elenkar tal-SMEs fuq swieq pubbliċi</w:t>
            </w:r>
            <w:r>
              <w:rPr>
                <w:rFonts w:ascii="Times" w:hAnsi="Times"/>
                <w:noProof/>
                <w:sz w:val="24"/>
              </w:rPr>
              <w:t xml:space="preserve"> fis-“swieq ta’ tkabbir tal-SMEs” futuri.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Ir-Rieżami 2020 tad-Direttiva Solvibbiltà II se jipprovdi l-opportunità ta’ valutazzjoni tal-pakket ta’ garanziji ta’ terminu twil (LTG - long-term guarantees), sabiex jiġu esplorati aktar l-inċentivi fuq terminu twil mill-assiguraturi. L-ewwel rapport tal-EIOPA dwar din il-kwistjoni ġie ppubblikat f’Diċembru 2016 u serva biex jimmappja l-użu ta’ miżuri LTG minn impriżi tal-assigurazzjoni. It-tieni rapport preparatorju se jiġi ppubblikat mill-EIOPA qabel tmiem l-2017. </w:t>
            </w:r>
          </w:p>
        </w:tc>
      </w:tr>
    </w:tbl>
    <w:p>
      <w:pPr>
        <w:jc w:val="both"/>
        <w:rPr>
          <w:rFonts w:ascii="Times" w:hAnsi="Times" w:cs="Times"/>
          <w:noProof/>
          <w:sz w:val="24"/>
          <w:szCs w:val="24"/>
        </w:rPr>
      </w:pPr>
    </w:p>
    <w:p>
      <w:pPr>
        <w:pStyle w:val="Heading2"/>
        <w:rPr>
          <w:noProof/>
        </w:rPr>
      </w:pPr>
      <w:r>
        <w:rPr>
          <w:noProof/>
        </w:rPr>
        <w:t>2.2</w:t>
      </w:r>
      <w:r>
        <w:rPr>
          <w:noProof/>
        </w:rPr>
        <w:tab/>
        <w:t>Regoli li jkunu aktar proporzjonati filwaqt li jiġu ppreservati l-objettivi prudenzjali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Ir-Regolament irid jiġi applikat għad-ditti b’mod proporzjonat, li jkun jirrifletti l-mudell kummerċjali, id-daqs, l-importanza sistemika tagħhom, kif ukoll il-kumplessità u l-attività transfruntiera tagħhom. Aktar regoli proporzjonati jgħinu biex jippromwovu l-kompetizzjoni u jżidu r-reżiljenza tas-sistema finanzjarja billi jissalvagwardjaw id-diversità tagħha filwaqt li jippreservaw l-objettivi prudenzjali, l-istabbiltà finanzjarja u r-reżiljenza ġenerali. Ir-rispondenti għas-Sejħa għal Evidenza identifikaw diversi oqsma fejn il-proporzjonalità tar-regoli tista’ tissaħħaħ. Il-Kummissjoni impenjat ruħha li tindirizza dan it-tħassib permezz ta’ diversi miżuri ta’ segwitu fil-qasam tal-ibbankjar, tad-derivattivi, tal-assigurazzjoni, tal-ġestjoni tal-assi u tas-settur tal-klassifikazzjoni tal-kreditu.</w:t>
      </w:r>
    </w:p>
    <w:p>
      <w:pPr>
        <w:rPr>
          <w:rFonts w:ascii="Times" w:hAnsi="Times" w:cs="Times"/>
          <w:noProof/>
          <w:sz w:val="24"/>
          <w:szCs w:val="24"/>
        </w:rPr>
      </w:pPr>
    </w:p>
    <w:p>
      <w:pPr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Il-Kummissjoni </w:t>
      </w:r>
      <w:r>
        <w:rPr>
          <w:rFonts w:ascii="Times" w:hAnsi="Times"/>
          <w:b/>
          <w:noProof/>
          <w:sz w:val="24"/>
        </w:rPr>
        <w:t>tat riżultat</w:t>
      </w:r>
      <w:r>
        <w:rPr>
          <w:rFonts w:ascii="Times" w:hAnsi="Times"/>
          <w:noProof/>
          <w:sz w:val="24"/>
        </w:rPr>
        <w:t xml:space="preserve"> fuq għadd ta’ miżuri ta’ segwitu f’dan il-qasam: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>
        <w:tc>
          <w:tcPr>
            <w:tcW w:w="9288" w:type="dxa"/>
          </w:tcPr>
          <w:p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>Il-</w:t>
            </w:r>
            <w:r>
              <w:rPr>
                <w:rFonts w:ascii="Times" w:hAnsi="Times"/>
                <w:b/>
                <w:noProof/>
                <w:sz w:val="24"/>
              </w:rPr>
              <w:t>pakkett bankarju</w:t>
            </w:r>
            <w:r>
              <w:rPr>
                <w:rFonts w:ascii="Times" w:hAnsi="Times"/>
                <w:noProof/>
                <w:sz w:val="24"/>
              </w:rPr>
              <w:t xml:space="preserve"> msemmi hawn fuq, adottat mill-Kummissjoni f’Novembru 2016 inkluda firxa ta’ miżuri bil-għan li jżid il-proporzjonalità li dejjem qed tiżdied fir-regolament bankarju, inkluż billi: (i) inaqqas il-piż tar-rapportar u tad-divulgazzjoni għal istituzzjonijiet ta’ kreditu żgħar u mhux kumplessi; (ii) jeżenta lil isituzzjonijiet żgħar u mhux kumplessi u lil persunal li jirċievi remunerazzjoni varjabbli baxxa mir-regoli dwar il-paga differita u ħlas fi strumenti; u (iii) ineħħi l-kumplessità bla bżonn fit-trattament ta’ riskju tas-suq assoċjat mal-portafoll tan-negozjar u mar-riskju ta’ kreditu tal-kontroparti.</w:t>
            </w:r>
          </w:p>
          <w:p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Fin-nuqqas ta’ soluzzjonijiet speċifiċi għat-tħassib li fondi tal-pensjonijiet jistgħu jesperjenzaw diffikultajiet fil-valutazzjoni tal-kollateral fi flus, f’Mejju 2017 il-Kummissjoni pproponiet, bħala parti mill-programm </w:t>
            </w:r>
            <w:r>
              <w:rPr>
                <w:rFonts w:ascii="Times" w:hAnsi="Times"/>
                <w:b/>
                <w:noProof/>
                <w:sz w:val="24"/>
              </w:rPr>
              <w:t xml:space="preserve">REFIT </w:t>
            </w:r>
            <w:r>
              <w:rPr>
                <w:rFonts w:ascii="Times" w:hAnsi="Times"/>
                <w:noProof/>
                <w:sz w:val="24"/>
              </w:rPr>
              <w:t>tal-</w:t>
            </w:r>
            <w:r>
              <w:rPr>
                <w:rFonts w:ascii="Times" w:hAnsi="Times"/>
                <w:b/>
                <w:noProof/>
                <w:sz w:val="24"/>
              </w:rPr>
              <w:t>EMIR</w:t>
            </w:r>
            <w:r>
              <w:rPr>
                <w:rFonts w:ascii="Times" w:hAnsi="Times"/>
                <w:noProof/>
                <w:sz w:val="24"/>
              </w:rPr>
              <w:t>, li testendi l-eżenzjoni temporanja mill-ikklirjar ċentrali ta’ fondi ta’ pensjonijiet bi tliet (3) snin oħra, bil-possibbiltà li l-eżenzjoni tiġi estiża b’mod eċċezzjonali għal sentejn (2) oħra f’każ ta’ ċirkostanzi mhux previsti. Issa huwa urġenti li d-diversi partijiet involuti, inklużi l-fondi tal-pensjonijiet, il-kontropartijiet ċentrali u l-membri tal-ikklirjar li jipprovdu servizzi tal-ikklirjar jiżviluppaw soluzzjonijiet xierqa li jippermettu lill-fondi tal-pensjonijiet jipparteċipaw fl-ikklerjar ċentrali.</w:t>
            </w:r>
          </w:p>
          <w:p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Kif imħabbar mir-Rieżami ta’ Nofs it-Terminu tas-CMU, il-Kummissjoni daqt bi ħsiebha tadotta proposta leġislattiva li se tintroduċi </w:t>
            </w:r>
            <w:r>
              <w:rPr>
                <w:rFonts w:ascii="Times" w:hAnsi="Times"/>
                <w:b/>
                <w:noProof/>
                <w:sz w:val="24"/>
              </w:rPr>
              <w:t>reġim prudenzjali ġdid u aktar proporzjonat għal ditti tal-investiment iżgħar</w:t>
            </w:r>
            <w:r>
              <w:rPr>
                <w:rFonts w:ascii="Times" w:hAnsi="Times"/>
                <w:noProof/>
                <w:sz w:val="24"/>
              </w:rPr>
              <w:t xml:space="preserve"> li ma għandhom ebda rilevanza sistemika. Dan jindirizza t-tħassib li l-appilkazzjoni attwali tar-regoli tas-CRR imfassla għal banek mhijiex proporzjonata biżżejjed għar-riskji aktar baxxi li joffru xi ditti tal-investiment. </w:t>
            </w:r>
          </w:p>
        </w:tc>
      </w:tr>
    </w:tbl>
    <w:p>
      <w:pPr>
        <w:rPr>
          <w:rFonts w:ascii="Times" w:hAnsi="Times" w:cs="Times"/>
          <w:noProof/>
          <w:sz w:val="24"/>
          <w:szCs w:val="24"/>
        </w:rPr>
      </w:pP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Għadd ta’ miżuri ta’ segwitu </w:t>
      </w:r>
      <w:r>
        <w:rPr>
          <w:rFonts w:ascii="Times" w:hAnsi="Times"/>
          <w:b/>
          <w:noProof/>
          <w:sz w:val="24"/>
        </w:rPr>
        <w:t>għadhom għaddejjin</w:t>
      </w:r>
      <w:r>
        <w:rPr>
          <w:rFonts w:ascii="Times" w:hAnsi="Times"/>
          <w:noProof/>
          <w:sz w:val="24"/>
        </w:rPr>
        <w:t xml:space="preserve"> u jeħtieġu analiżi ulterjuri</w:t>
      </w:r>
      <w:r>
        <w:rPr>
          <w:rFonts w:ascii="Times" w:hAnsi="Times"/>
          <w:b/>
          <w:noProof/>
          <w:sz w:val="24"/>
        </w:rPr>
        <w:t xml:space="preserve"> </w:t>
      </w:r>
      <w:r>
        <w:rPr>
          <w:rFonts w:ascii="Times" w:hAnsi="Times"/>
          <w:noProof/>
          <w:sz w:val="24"/>
        </w:rPr>
        <w:t>qabel ma jkunu jistgħu jiġu introdotti l-bidliet.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>
        <w:tc>
          <w:tcPr>
            <w:tcW w:w="9288" w:type="dxa"/>
          </w:tcPr>
          <w:p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Kif propost fil-pakkett bankarju attwali, l-Awtorità Bankarja Ewropea (EBA) se tniedi </w:t>
            </w:r>
            <w:r>
              <w:rPr>
                <w:rFonts w:ascii="Times" w:hAnsi="Times"/>
                <w:b/>
                <w:noProof/>
                <w:sz w:val="24"/>
              </w:rPr>
              <w:t>strument tal-IT biex jippromwovi proporzjonalità ulterjuri</w:t>
            </w:r>
            <w:r>
              <w:rPr>
                <w:rFonts w:ascii="Times" w:hAnsi="Times"/>
                <w:noProof/>
                <w:sz w:val="24"/>
              </w:rPr>
              <w:t xml:space="preserve"> fir-regolament bankarju. Dan l-istrument tal-IT se jiggwida lill-banek permezz tad-dispożizzjonijiet regolatorji, standards u mudelli fid-dawl tad-daqs u tal-mudell kummerċjali speċifiċi tagħhom.</w:t>
            </w:r>
          </w:p>
          <w:p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>Bħala parti mir-rieżami tad-Direttiva dwar Maniġers ta’ Fondi ta’ Investiment Alternattivi (</w:t>
            </w:r>
            <w:r>
              <w:rPr>
                <w:rFonts w:ascii="Times" w:hAnsi="Times"/>
                <w:b/>
                <w:noProof/>
                <w:sz w:val="24"/>
              </w:rPr>
              <w:t>AIFMD</w:t>
            </w:r>
            <w:r>
              <w:rPr>
                <w:rFonts w:ascii="Times" w:hAnsi="Times"/>
                <w:noProof/>
                <w:sz w:val="24"/>
              </w:rPr>
              <w:t xml:space="preserve">), attwalment il-Kummissjoni qed tivvaluta l-proporzjonalità tar-regoli AIFMD (pereżempju, fir-rigward tal-allinjament ta’ reġimi ta’ remunerazzjoni u t-tnaqqis tal-piżijiet ta’ rapportar). Ġie kkummissjonat studju estern tal-AIFMD (li jrid jiġi finalizzat fl-2018) u li se jkopri wkoll il-kwistjoni tal-proporzjonalità. Il-Kummissjoni se tirrapporta lill-koleġiżlaturi dwar l-eżitu tar-rieżami tal-AIFDM fl-2018.  </w:t>
            </w:r>
          </w:p>
          <w:p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>Ir-Rieżami tal-2018 tar-</w:t>
            </w:r>
            <w:r>
              <w:rPr>
                <w:rFonts w:ascii="Times" w:hAnsi="Times"/>
                <w:b/>
                <w:noProof/>
                <w:sz w:val="24"/>
              </w:rPr>
              <w:t>Regolament Delegat Solvibbiltà II</w:t>
            </w:r>
            <w:r>
              <w:rPr>
                <w:rFonts w:ascii="Times" w:hAnsi="Times"/>
                <w:noProof/>
                <w:sz w:val="24"/>
              </w:rPr>
              <w:t xml:space="preserve"> se jesplora kif jiġu simplifikati l-metodi, l-assunzjonijiet u l-kalkoli ta’ ċerti moduli fil-formola standard u kif jiġi żviluppat il-qafas għall-użu tal-klassifikazzjonijiet alternattivi tal-kreditu, fuq il-bażi tal-konsulenza teknika mill-EIOPA. L-ewwel proposti mill-EIOPA għal simplifikazzjonijiet ġew irċevuti f’Ottubru 2017, filwaqt li aktar simplifikazzjonijiet isegwu fi Frar 2018. </w:t>
            </w:r>
          </w:p>
          <w:p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>Bħalissa l-Kummissjoni qed tivvaluta sa fejn ir-</w:t>
            </w:r>
            <w:r>
              <w:rPr>
                <w:rFonts w:ascii="Times" w:hAnsi="Times"/>
                <w:b/>
                <w:noProof/>
                <w:sz w:val="24"/>
              </w:rPr>
              <w:t>Regolament dwar Aġenziji ta' Klassifikazzjoni tal-kreditu</w:t>
            </w:r>
            <w:r>
              <w:rPr>
                <w:rFonts w:ascii="Times" w:hAnsi="Times"/>
                <w:noProof/>
                <w:sz w:val="24"/>
              </w:rPr>
              <w:t xml:space="preserve"> jista’ jiġi applikat b’mod aktar proporzjonat sabiex tittejjeb il-kompetizzjoni fis-settur. </w:t>
            </w:r>
          </w:p>
        </w:tc>
      </w:tr>
    </w:tbl>
    <w:p>
      <w:pPr>
        <w:jc w:val="both"/>
        <w:rPr>
          <w:rFonts w:ascii="Times" w:hAnsi="Times" w:cs="Times"/>
          <w:noProof/>
          <w:sz w:val="24"/>
          <w:szCs w:val="24"/>
        </w:rPr>
      </w:pPr>
    </w:p>
    <w:p>
      <w:pPr>
        <w:pStyle w:val="Heading2"/>
        <w:rPr>
          <w:noProof/>
        </w:rPr>
      </w:pPr>
      <w:r>
        <w:rPr>
          <w:noProof/>
        </w:rPr>
        <w:t>2.3</w:t>
      </w:r>
      <w:r>
        <w:rPr>
          <w:noProof/>
        </w:rPr>
        <w:tab/>
      </w:r>
      <w:r>
        <w:rPr>
          <w:noProof/>
        </w:rPr>
        <w:tab/>
        <w:t>Tnaqqis ta’ piżijiet regolatorji bla bżonn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Li żżomm il-piż regolatorju għall-minimu rikjest sabiex ir-regoli jiksbu l-objettivi tagħhom huwa wieħed mill-miri prinċipali tal-programm REFIT tal-Kummissjoni bħala parti mill-aġenda għal Regolamentazzjoni Aħjar. Xi partijiet ikkonċernati, minkejja dan, ħassew li xi rekwiżiti, pereżempju dwar ir-rapportar, ma kinux proporzjonati jew effiċjenti.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Il-Kummissjoni ħadet firxa ta’ miżuri dwar ir-rapportar superviżorju. Dawn jinkludu azzjonijiet immirati fuq il-leġiżlazzjoni settorjali, kif ukoll it-tnedija ta’ Kontroll tal-Idoneità fuq il-qafas kollu ta’ rapportar superviżorju tal-UE. It-</w:t>
      </w:r>
      <w:r>
        <w:rPr>
          <w:rFonts w:ascii="Times New Roman" w:hAnsi="Times New Roman"/>
          <w:b/>
          <w:noProof/>
          <w:sz w:val="24"/>
        </w:rPr>
        <w:t>Taqsima 3</w:t>
      </w:r>
      <w:r>
        <w:rPr>
          <w:rFonts w:ascii="Times New Roman" w:hAnsi="Times New Roman"/>
          <w:noProof/>
          <w:sz w:val="24"/>
        </w:rPr>
        <w:t xml:space="preserve"> ta’ dan ir-rapport tipprovdi aktar dettalji dwar l-approċċ tal-Kummissjoni għar-rapportar superviżorju. Barra l-miżuri li jiffokaw fuq ir-rapportar superviżorju, il-Kummissjoni hija impenjata wkoll li tieħu azzjoni dwar ir-rekwiżiti ta' divulgazzjoni pubblia, ostakli għad-dħul u għall-integrazzjoni tas-suq, kif ukoll dwar il-kostijiet ta' konformità b’mod aktar ġenerali. 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Il-Kummissjoni </w:t>
      </w:r>
      <w:r>
        <w:rPr>
          <w:rFonts w:ascii="Times" w:hAnsi="Times"/>
          <w:b/>
          <w:noProof/>
          <w:sz w:val="24"/>
        </w:rPr>
        <w:t>wettqet</w:t>
      </w:r>
      <w:r>
        <w:rPr>
          <w:rFonts w:ascii="Times" w:hAnsi="Times"/>
          <w:noProof/>
          <w:sz w:val="24"/>
        </w:rPr>
        <w:t xml:space="preserve"> għadd ta’ miżuri ta’ segwitu f’dan il-qasam, li jirriżultaw fi tnaqqis ta’ piżijiet regolatorji f’diversi oqsma ewlenin: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>
        <w:tc>
          <w:tcPr>
            <w:tcW w:w="9288" w:type="dxa"/>
          </w:tcPr>
          <w:p>
            <w:pPr>
              <w:pStyle w:val="ListParagraph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Bħala parti mill-Pjan ta’ Azzjoni tas-CMU, f’Marzu tal-2017 il-Kummissjoni adottat </w:t>
            </w:r>
            <w:r>
              <w:rPr>
                <w:rFonts w:ascii="Times" w:hAnsi="Times"/>
                <w:b/>
                <w:noProof/>
                <w:sz w:val="24"/>
              </w:rPr>
              <w:t>rapport dwar ostakli nazzjonali</w:t>
            </w:r>
            <w:r>
              <w:rPr>
                <w:rFonts w:ascii="Times" w:hAnsi="Times"/>
                <w:noProof/>
                <w:sz w:val="24"/>
              </w:rPr>
              <w:t xml:space="preserve"> għall-flussi kapitali</w:t>
            </w:r>
            <w:r>
              <w:rPr>
                <w:rStyle w:val="FootnoteReference"/>
                <w:rFonts w:ascii="Times" w:hAnsi="Times"/>
                <w:noProof/>
                <w:sz w:val="24"/>
              </w:rPr>
              <w:footnoteReference w:id="12"/>
            </w:r>
            <w:r>
              <w:rPr>
                <w:rFonts w:ascii="Times" w:hAnsi="Times"/>
                <w:noProof/>
                <w:sz w:val="24"/>
              </w:rPr>
              <w:t>, li jidentifika dispożizzjonijiet nazzjonali li joħolqu piż mhux ġustifikat jew sproporzjonat għall-moviment transfruntier tal-kapital. Dawn kienu jinkludu: (i) proċeduri diskriminatorji u ta’ piż għal ħelsien mit-taxxa minn ras il-għajn; (ii) ostakli għad-distribuzzjoni transfruntiera ta’ fondi ta’ investiment; u (iii) rekwiżiti ta’ residenza. F’Mejju 2017, sar qbil dwar Pjan Direzzjonali Konġunt ta’ azzjonijiet biex jindirizzaw l-ostakli identifikati mill-Kummissjoni u mill-Istati Membri.</w:t>
            </w:r>
            <w:r>
              <w:rPr>
                <w:noProof/>
              </w:rPr>
              <w:t xml:space="preserve"> </w:t>
            </w:r>
            <w:r>
              <w:rPr>
                <w:rFonts w:ascii="Times" w:hAnsi="Times"/>
                <w:noProof/>
                <w:sz w:val="24"/>
              </w:rPr>
              <w:t xml:space="preserve">Il-Kummissjoni waqqfet ukoll grupp ta’ proġett dwar it taxxa minn ras il-għajn bil-kompitu li jabbozza Kodiċi ta' Kondotta dwar il-proċeduri ta’ simplifikazzjoni u standardizzazzjoni ta’ ribass u ta’ abbon fis-sors. Il-Kodiċi ta' Kondotta għal taxxa minn ras il-għajn se tiġi ppubblikata sa tmiem l-2017. 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Diversi rispondenti għas-Sejħa għal Evidenza enfasizzaw ukoll li </w:t>
            </w:r>
            <w:r>
              <w:rPr>
                <w:rFonts w:ascii="Times" w:hAnsi="Times"/>
                <w:b/>
                <w:noProof/>
                <w:sz w:val="24"/>
              </w:rPr>
              <w:t>approċċi superviżorji diverġenti u inkonsistenti</w:t>
            </w:r>
            <w:r>
              <w:rPr>
                <w:rFonts w:ascii="Times" w:hAnsi="Times"/>
                <w:noProof/>
                <w:sz w:val="24"/>
              </w:rPr>
              <w:t xml:space="preserve"> kkontribwew għal piżijiet regolatorji mhux meħtieġa. Dan it-tħassib ġie indirizzat minn diversi inizjattivi maħsuba biex jiksbu konverġenza akbar bejn l-approċċi differenti għas-superviżjoni fil-livell tal-UE. Dawn l-inizjattivi jnaqqsu l-piż amministrattiv tan-negozju fis-suq uniku, filwaqt li jsaħħu s-superviżjoni u jiżguraw kondizzjonijiet ekwivalenti ta’ kompetizzjoni. Pereżempju, aktar reċenti, id-dokument ta’ riflessjoni dwar l-approfondiment tal-Unjoni Ekonomika u Monetarja</w:t>
            </w:r>
            <w:r>
              <w:rPr>
                <w:rStyle w:val="FootnoteReference"/>
                <w:rFonts w:ascii="Times" w:hAnsi="Times"/>
                <w:noProof/>
                <w:sz w:val="24"/>
              </w:rPr>
              <w:footnoteReference w:id="13"/>
            </w:r>
            <w:r>
              <w:rPr>
                <w:rFonts w:ascii="Times" w:hAnsi="Times"/>
                <w:noProof/>
                <w:sz w:val="24"/>
              </w:rPr>
              <w:t xml:space="preserve"> u r-Rieżami ta’ Nofs it-Terminu tas-CMU enfasizzaw li superviżjoni aktar effettiva u, ultimament, il-ħolqien ta’ Superviżur Uniku Ewropew tas-Swieq Kapitali, huma importanti għal CMU li jiffunzjona tajjeb. F’Settembru 2017, il-Kummissjoni pproponiet emendi għar-regolamenti li jistabbilixxu </w:t>
            </w:r>
            <w:r>
              <w:rPr>
                <w:rFonts w:ascii="Times" w:hAnsi="Times"/>
                <w:b/>
                <w:noProof/>
                <w:sz w:val="24"/>
              </w:rPr>
              <w:t>l-Awtoritajiet Superviżorji Ewropej</w:t>
            </w:r>
            <w:r>
              <w:rPr>
                <w:rFonts w:ascii="Times" w:hAnsi="Times"/>
                <w:noProof/>
                <w:sz w:val="24"/>
              </w:rPr>
              <w:t xml:space="preserve"> </w:t>
            </w:r>
            <w:r>
              <w:rPr>
                <w:rFonts w:ascii="Times" w:hAnsi="Times"/>
                <w:b/>
                <w:noProof/>
                <w:sz w:val="24"/>
              </w:rPr>
              <w:t>(ASE)</w:t>
            </w:r>
            <w:r>
              <w:rPr>
                <w:rFonts w:ascii="Times" w:hAnsi="Times"/>
                <w:noProof/>
                <w:sz w:val="24"/>
              </w:rPr>
              <w:t xml:space="preserve"> biex jippromwovu qafas superviżorju aktar konsistenti fl-UE kollha. F’oqsma mmirati, il-Kummissjoni pproponiet tisħiħ tas-setgħat tal-ASE fir-rigward tal-konverġenza superviżorja u l-għoti ta’ rwoli ġodda speċifiċi lill-ESMA bħala kontrollur dirett li jappoġġa l-funzjonament tas-CMU.</w:t>
            </w:r>
          </w:p>
          <w:p>
            <w:pPr>
              <w:pStyle w:val="ListParagraph"/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 </w:t>
            </w:r>
          </w:p>
        </w:tc>
      </w:tr>
    </w:tbl>
    <w:p>
      <w:pPr>
        <w:jc w:val="both"/>
        <w:rPr>
          <w:rFonts w:ascii="Times" w:hAnsi="Times" w:cs="Times"/>
          <w:noProof/>
          <w:sz w:val="24"/>
          <w:szCs w:val="24"/>
        </w:rPr>
      </w:pP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Miżuri ta’ segwitu oħrajn f’dan il-qasam </w:t>
      </w:r>
      <w:r>
        <w:rPr>
          <w:rFonts w:ascii="Times" w:hAnsi="Times"/>
          <w:b/>
          <w:noProof/>
          <w:sz w:val="24"/>
        </w:rPr>
        <w:t>għadhom għaddejjin</w:t>
      </w:r>
      <w:r>
        <w:rPr>
          <w:rFonts w:ascii="Times" w:hAnsi="Times"/>
          <w:noProof/>
          <w:sz w:val="24"/>
        </w:rPr>
        <w:t xml:space="preserve">. Xi miżuri ta' segwitu jikkonċernaw leġiżlazzjoni li ma għadhiex fis-seħħ, filwaqt li oħrajn jeħtieġu valutazzjoni aktar akkkurata biex jiġi evitat li l-kostijiet tal-konformità jiżdiedu b’mod mhux intenzjonat billi r-rekwiżiti jinbidlu malajr.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>
        <w:tc>
          <w:tcPr>
            <w:tcW w:w="9288" w:type="dxa"/>
          </w:tcPr>
          <w:p>
            <w:pPr>
              <w:pStyle w:val="ListParagraph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>Il-Kummissjoni lestiet l-eżerċizzju ta’ mmappjar ta’ miżura nazzjonali ta' traspożizzjoni għal 11-il Direttiva</w:t>
            </w:r>
            <w:r>
              <w:rPr>
                <w:rStyle w:val="FootnoteReference"/>
                <w:rFonts w:ascii="Times" w:hAnsi="Times"/>
                <w:noProof/>
                <w:sz w:val="24"/>
              </w:rPr>
              <w:footnoteReference w:id="14"/>
            </w:r>
            <w:r>
              <w:rPr>
                <w:rFonts w:ascii="Times" w:hAnsi="Times"/>
                <w:noProof/>
                <w:sz w:val="24"/>
              </w:rPr>
              <w:t xml:space="preserve"> u qed taħdem mal-Istati Membri biex tindirizza l-kwistjonijiet identifikati. Dawn il-miżuri se jikkontribwixxu biex jitneħħew uħud mid-</w:t>
            </w:r>
            <w:r>
              <w:rPr>
                <w:rFonts w:ascii="Times" w:hAnsi="Times"/>
                <w:b/>
                <w:noProof/>
                <w:sz w:val="24"/>
              </w:rPr>
              <w:t>diverġenzi fit-traspożizzjoni</w:t>
            </w:r>
            <w:r>
              <w:rPr>
                <w:rFonts w:ascii="Times" w:hAnsi="Times"/>
                <w:noProof/>
                <w:sz w:val="24"/>
              </w:rPr>
              <w:t xml:space="preserve"> tad-direttivi tal-UE fil-leġiżlazzjoni nazzjonali. Għal 10 Direttivi oħrajn</w:t>
            </w:r>
            <w:r>
              <w:rPr>
                <w:rStyle w:val="FootnoteReference"/>
                <w:rFonts w:ascii="Times" w:hAnsi="Times"/>
                <w:noProof/>
                <w:sz w:val="24"/>
              </w:rPr>
              <w:footnoteReference w:id="15"/>
            </w:r>
            <w:r>
              <w:rPr>
                <w:rFonts w:ascii="Times" w:hAnsi="Times"/>
                <w:noProof/>
                <w:sz w:val="24"/>
              </w:rPr>
              <w:t>, l-eżerċizzju tal-immappjar għadu għaddej u jenħtieġ li jitlesta fl-2018. Fl-2018, ġie prrevist ukoll l-eżerċizzju tal-immappjar se jkopri l-MiFID II u d-Direttiva ta’ Implimentazzjoni ta’ Livell 2 tagħha</w:t>
            </w:r>
            <w:r>
              <w:rPr>
                <w:rStyle w:val="FootnoteReference"/>
                <w:rFonts w:ascii="Times" w:hAnsi="Times"/>
                <w:noProof/>
                <w:sz w:val="24"/>
              </w:rPr>
              <w:footnoteReference w:id="16"/>
            </w:r>
            <w:r>
              <w:rPr>
                <w:rFonts w:ascii="Times" w:hAnsi="Times"/>
                <w:noProof/>
                <w:sz w:val="24"/>
              </w:rPr>
              <w:t>.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>Attwalment, il-Kummissjoni qed tivvaluta l-miżuri nazzjonali ta’ traspożizzjoni dwar id-</w:t>
            </w:r>
            <w:r>
              <w:rPr>
                <w:rFonts w:ascii="Times" w:hAnsi="Times"/>
                <w:b/>
                <w:noProof/>
                <w:sz w:val="24"/>
              </w:rPr>
              <w:t>Direttiva dwar it-Trasparenza</w:t>
            </w:r>
            <w:r>
              <w:rPr>
                <w:rFonts w:ascii="Times" w:hAnsi="Times"/>
                <w:noProof/>
                <w:sz w:val="24"/>
              </w:rPr>
              <w:t xml:space="preserve"> u d-</w:t>
            </w:r>
            <w:r>
              <w:rPr>
                <w:rFonts w:ascii="Times" w:hAnsi="Times"/>
                <w:b/>
                <w:noProof/>
                <w:sz w:val="24"/>
              </w:rPr>
              <w:t>Direttiva dwar il-Kontabbiltà</w:t>
            </w:r>
            <w:r>
              <w:rPr>
                <w:rFonts w:ascii="Times" w:hAnsi="Times"/>
                <w:noProof/>
                <w:sz w:val="24"/>
              </w:rPr>
              <w:t>. Dan jinkludi li jiġi vvalutat it-tħassib dwar il-fatt li hemm regoli diverġenti fir-rigward tan-notifika ta’ detenturi importanti ta’ drittijiet tal-vot. Il-Kummissjoni se tindirizza dawn il-kwistjonijiet bħala parti minn Kontroll tal-Idoneità aktar wiesa’ tal-leġiżlazzjoni tar-rapportar finanzjarju u tat-trasparenza tal-UE li se jitnieda sa tmiem l-2017.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Wara konsultazzjoni dwar </w:t>
            </w:r>
            <w:r>
              <w:rPr>
                <w:rFonts w:ascii="Times" w:hAnsi="Times"/>
                <w:b/>
                <w:noProof/>
                <w:sz w:val="24"/>
              </w:rPr>
              <w:t>ostakli transfruntiera għad-distribuzzjoni tal-fondi</w:t>
            </w:r>
            <w:r>
              <w:rPr>
                <w:rFonts w:ascii="Times" w:hAnsi="Times"/>
                <w:noProof/>
                <w:sz w:val="24"/>
              </w:rPr>
              <w:t>, u bħala parti mir-Rieżami ta' Nofs it-Terminu tas-CMU, il-Kummissjoni qed tħejji proposta għall-ewwel kwart tal-2018. L-inizjattiva timmira li ttejjeb il-funzjonament tas-suq uniku għall-fondi Ewropej tal-Investiment billi tnaqqas l-ostakli regolatorji għad-distribuzzjoni transfruntiera tal-fondi, filwaqt li żżomm livell għoli ta’ protezzjoni tal-investituri. L-oqsma rilevanti jinkludu rekwiżiti u prattiki tal-kummerċjalizzazzjoni, rekwiżiti amministrattivi, tariffi regolatorji, rekwiżiti ta’ notifika u distribuzzjoni onlajn.</w:t>
            </w:r>
          </w:p>
          <w:p>
            <w:pPr>
              <w:pStyle w:val="ListParagraph"/>
              <w:numPr>
                <w:ilvl w:val="0"/>
                <w:numId w:val="8"/>
              </w:numPr>
              <w:jc w:val="both"/>
              <w:rPr>
                <w:noProof/>
              </w:rPr>
            </w:pPr>
            <w:r>
              <w:rPr>
                <w:rFonts w:ascii="Times" w:hAnsi="Times"/>
                <w:noProof/>
                <w:sz w:val="24"/>
              </w:rPr>
              <w:t>Il-Kummissjoni se tagħmel monitoraġġ tal-applikazzjoni u tal-impatt tad-dispożizzjonijiet tal-esternalizzazzjoni li jinsabu fir-Regolament dwar il-</w:t>
            </w:r>
            <w:r>
              <w:rPr>
                <w:rFonts w:ascii="Times" w:hAnsi="Times"/>
                <w:b/>
                <w:noProof/>
                <w:sz w:val="24"/>
              </w:rPr>
              <w:t>Parametri Referenzjarji</w:t>
            </w:r>
            <w:r>
              <w:rPr>
                <w:rFonts w:ascii="Times" w:hAnsi="Times"/>
                <w:noProof/>
                <w:sz w:val="24"/>
              </w:rPr>
              <w:t xml:space="preserve"> ladarba tkun daħlet fl-applikazzjoni sħiħa fl-1 ta’ Jannar 2018.</w:t>
            </w:r>
          </w:p>
        </w:tc>
      </w:tr>
    </w:tbl>
    <w:p>
      <w:pPr>
        <w:jc w:val="both"/>
        <w:rPr>
          <w:rFonts w:ascii="Times" w:hAnsi="Times" w:cs="Times"/>
          <w:noProof/>
          <w:sz w:val="24"/>
          <w:szCs w:val="24"/>
        </w:rPr>
      </w:pPr>
    </w:p>
    <w:p>
      <w:pPr>
        <w:pStyle w:val="Heading2"/>
        <w:rPr>
          <w:noProof/>
        </w:rPr>
      </w:pPr>
      <w:r>
        <w:rPr>
          <w:noProof/>
        </w:rPr>
        <w:t>2.4</w:t>
      </w:r>
      <w:r>
        <w:rPr>
          <w:noProof/>
        </w:rPr>
        <w:tab/>
        <w:t>Qafas regolatorju aktar konsistenti u li jħares’ il quddiem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Is-Sejħa għal Evidenza enfasizzat ukoll il-ħtieġa li: (i) tiġi żgurata konsistenza fil-qafas regolatorju globali; (ii) tkompli tittejjeb il-protezzjoni tal-investituri u tal-konsumaturi; (iii) jiġu indirizzati r-riskji li fadal fis-sistema finanzjarja; u (iv) il-qafas regolatorju jinżamm aġġornat mal-iżviluppi teknoloġiċi. Il-partijiet ikkonċernati talbu wkoll lill-Kummissjoni tgħin fit-tfassil tad-definizzjonijiet, tippromwovi l-aħjar prattiki u tistabbilixxi inċentivi għal investiment sostenibbli ta’ terminu twil, u tiżviluppa s-suq f’finanzi sostenibbli. </w:t>
      </w:r>
    </w:p>
    <w:p>
      <w:pPr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Il-Kummissjoni </w:t>
      </w:r>
      <w:r>
        <w:rPr>
          <w:rFonts w:ascii="Times" w:hAnsi="Times"/>
          <w:b/>
          <w:noProof/>
          <w:sz w:val="24"/>
        </w:rPr>
        <w:t>waslet għal rżultati</w:t>
      </w:r>
      <w:r>
        <w:rPr>
          <w:rFonts w:ascii="Times" w:hAnsi="Times"/>
          <w:noProof/>
          <w:sz w:val="24"/>
        </w:rPr>
        <w:t xml:space="preserve"> fuq bosta miżuri ta’ segwitu f’dan il-qasam: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>
        <w:tc>
          <w:tcPr>
            <w:tcW w:w="9288" w:type="dxa"/>
          </w:tcPr>
          <w:p>
            <w:pPr>
              <w:pStyle w:val="ListParagraph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>Il-pakkett bankarju ta’ Novembru 2016 jipprova jnaqqas gradwalment l-effetti kapitali prudenzjali li jiġu mill-</w:t>
            </w:r>
            <w:r>
              <w:rPr>
                <w:rFonts w:ascii="Times" w:hAnsi="Times"/>
                <w:b/>
                <w:noProof/>
                <w:sz w:val="24"/>
              </w:rPr>
              <w:t>Istandard Internazzjonali tar-Rapportar Finanzjarju</w:t>
            </w:r>
            <w:r>
              <w:rPr>
                <w:rFonts w:ascii="Times" w:hAnsi="Times"/>
                <w:noProof/>
                <w:sz w:val="24"/>
              </w:rPr>
              <w:t xml:space="preserve"> (</w:t>
            </w:r>
            <w:r>
              <w:rPr>
                <w:rFonts w:ascii="Times" w:hAnsi="Times"/>
                <w:b/>
                <w:noProof/>
                <w:sz w:val="24"/>
              </w:rPr>
              <w:t>IFRS9</w:t>
            </w:r>
            <w:r>
              <w:rPr>
                <w:rFonts w:ascii="Times" w:hAnsi="Times"/>
                <w:noProof/>
                <w:sz w:val="24"/>
              </w:rPr>
              <w:t>) biex jiġi evitat impatt mhux mistenni fuq is-self mill-banek. F’Ġunju 2017, il-Kunsill Affarijiet Ekonomiċi u Finanzjarji (ECOFIN) adotta approċċ ġenerali li jimplimenta b’mod rapidu l-adozzjoni ta’ dawn il-miżuri tranżizzjonali.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F’Novembru 2016, il-Kummissjoni adottat proposta għal </w:t>
            </w:r>
            <w:r>
              <w:rPr>
                <w:rFonts w:ascii="Times" w:hAnsi="Times"/>
                <w:b/>
                <w:noProof/>
                <w:sz w:val="24"/>
              </w:rPr>
              <w:t>qafas ta’ rkupru u ta’ riżoluzzjoni għal kontropartijiet ċentrali</w:t>
            </w:r>
            <w:r>
              <w:rPr>
                <w:rFonts w:ascii="Times" w:hAnsi="Times"/>
                <w:noProof/>
                <w:sz w:val="24"/>
              </w:rPr>
              <w:t xml:space="preserve"> (CCPs). Ir-Regolament propost se jimplimenta l-istandards internazzjonali adottati f’dan il-qasam mill-Bord għall-Istabilità Finanzjarja (“FSB” - Financial Stability Board) u CPMI-IOSCO fid-dritt tal-UE</w:t>
            </w:r>
            <w:r>
              <w:rPr>
                <w:rStyle w:val="FootnoteReference"/>
                <w:rFonts w:ascii="Times" w:hAnsi="Times"/>
                <w:noProof/>
                <w:sz w:val="24"/>
              </w:rPr>
              <w:footnoteReference w:id="17"/>
            </w:r>
            <w:r>
              <w:rPr>
                <w:rFonts w:ascii="Times" w:hAnsi="Times"/>
                <w:noProof/>
                <w:sz w:val="24"/>
              </w:rPr>
              <w:t xml:space="preserve">. Huwa jikkunsidra l-importanza dejjem tiżdied tas-CCPs, li tirriżulta mir-rekwiżit li huma jikklerjaw derivattivi barra l-Borża standardizzati. Filwaqt li s-CCPs fl-UE jridu jissodisfaw standards għoljin (taħt l-EMIR) minħabba r-rwol ċentrali tagħhom fl-ekonomija u r-riskji li jġestixxu, din il-proposta se tintroduċi r-regoli armonizzati tal-UE u s-setgħat meħtieġa għal sitwazzjonijiet li fihom is-CCPs jistgħu jaffaċċaw problemi jew nuqqasijiet serji. 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="276" w:lineRule="auto"/>
              <w:ind w:left="714" w:hanging="357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F’Marzu 2017, il-Kummissjoni adottat </w:t>
            </w:r>
            <w:r>
              <w:rPr>
                <w:rFonts w:ascii="Times" w:hAnsi="Times"/>
                <w:b/>
                <w:noProof/>
                <w:sz w:val="24"/>
              </w:rPr>
              <w:t>Pjan ta’ Azzjoni għas-Servizzi Finanzjarji tal-Konsumaturi</w:t>
            </w:r>
            <w:r>
              <w:rPr>
                <w:rFonts w:ascii="Times" w:hAnsi="Times"/>
                <w:noProof/>
                <w:sz w:val="24"/>
              </w:rPr>
              <w:t xml:space="preserve">, li jistabbilixxi passi biex jinbena suq uniku aktar profond għal servizzi finanzjarji tal-konsumaturi. It-12-il azzjoni li ġew stabbiliti f’dan id-dokument se: </w:t>
            </w:r>
          </w:p>
          <w:p>
            <w:pPr>
              <w:pStyle w:val="ListParagraph"/>
              <w:numPr>
                <w:ilvl w:val="1"/>
                <w:numId w:val="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jżidu l-fiduċja tal-konsumaturi u jagħtu setgħa lill-konsumaturi; </w:t>
            </w:r>
          </w:p>
          <w:p>
            <w:pPr>
              <w:pStyle w:val="ListParagraph"/>
              <w:numPr>
                <w:ilvl w:val="1"/>
                <w:numId w:val="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iraħħsu l-pagamenti transfruntiera; </w:t>
            </w:r>
          </w:p>
          <w:p>
            <w:pPr>
              <w:pStyle w:val="ListParagraph"/>
              <w:numPr>
                <w:ilvl w:val="1"/>
                <w:numId w:val="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inaqqsu l-ostakli ġuridiċi u regolatorji għan-negozji meta joffru servizzi transfruntiera; </w:t>
            </w:r>
          </w:p>
          <w:p>
            <w:pPr>
              <w:pStyle w:val="ListParagraph"/>
              <w:numPr>
                <w:ilvl w:val="1"/>
                <w:numId w:val="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>jisfruttaw l-opportunitajiet ta’ dinja diġitali innovattiva għal suq uniku aktar profond għas-servizzi finanzjarji tal-konsumaturi.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" w:hAnsi="Times"/>
                <w:noProof/>
              </w:rPr>
            </w:pPr>
            <w:r>
              <w:rPr>
                <w:rFonts w:ascii="Times" w:hAnsi="Times"/>
                <w:noProof/>
                <w:sz w:val="24"/>
              </w:rPr>
              <w:t>F’Lulju 2017 il-Kummissjoni ppubblikat l-evalwazzjoni tagħha dwar ir-rilevanza,l-effikaċja, l-effiċjenza, il-koerenza u l-valur miżjud tal-qafas attwali previst mid-</w:t>
            </w:r>
            <w:r>
              <w:rPr>
                <w:rFonts w:ascii="Times" w:hAnsi="Times"/>
                <w:b/>
                <w:noProof/>
                <w:sz w:val="24"/>
              </w:rPr>
              <w:t>Direttiva dwar il-Konglomerati Finanzjarji</w:t>
            </w:r>
            <w:r>
              <w:rPr>
                <w:rFonts w:ascii="Times" w:hAnsi="Times"/>
                <w:noProof/>
                <w:sz w:val="24"/>
              </w:rPr>
              <w:t xml:space="preserve"> (</w:t>
            </w:r>
            <w:r>
              <w:rPr>
                <w:rFonts w:ascii="Times" w:hAnsi="Times"/>
                <w:b/>
                <w:noProof/>
                <w:sz w:val="24"/>
              </w:rPr>
              <w:t>FICOD</w:t>
            </w:r>
            <w:r>
              <w:rPr>
                <w:rFonts w:ascii="Times" w:hAnsi="Times"/>
                <w:noProof/>
                <w:sz w:val="24"/>
              </w:rPr>
              <w:t>)</w:t>
            </w:r>
            <w:r>
              <w:rPr>
                <w:rStyle w:val="FootnoteReference"/>
                <w:rFonts w:ascii="Times" w:hAnsi="Times"/>
                <w:noProof/>
                <w:sz w:val="24"/>
              </w:rPr>
              <w:footnoteReference w:id="18"/>
            </w:r>
            <w:r>
              <w:rPr>
                <w:noProof/>
              </w:rPr>
              <w:t>.</w:t>
            </w:r>
            <w:r>
              <w:rPr>
                <w:rFonts w:ascii="Times" w:hAnsi="Times"/>
                <w:noProof/>
                <w:sz w:val="24"/>
              </w:rPr>
              <w:t xml:space="preserve"> Il-konklużjonijiet ewlenin tagħha kienu li kien importanti li żżomm fis-seħħ qafas għas-superviżjoni ta’ gruppi finanzjarji b’attività mħallta u li b’mod ġenerali l-FICOD ffunzjonat tajjeb. 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="276" w:lineRule="auto"/>
              <w:ind w:left="714" w:hanging="357"/>
              <w:jc w:val="both"/>
              <w:rPr>
                <w:rFonts w:ascii="Times" w:hAnsi="Times"/>
                <w:noProof/>
              </w:rPr>
            </w:pPr>
            <w:r>
              <w:rPr>
                <w:rFonts w:ascii="Times" w:hAnsi="Times"/>
                <w:noProof/>
              </w:rPr>
              <w:t>F’Diċembru 2016, il-Kummissjoni stabbiliet grupp ta' esperti ta' livell għoli biex jiżviluppaw strateġija Ewropea komprensiva dwar il-</w:t>
            </w:r>
            <w:r>
              <w:rPr>
                <w:rFonts w:ascii="Times" w:hAnsi="Times"/>
                <w:b/>
                <w:noProof/>
              </w:rPr>
              <w:t>finanzjament sostenibbli</w:t>
            </w:r>
            <w:r>
              <w:rPr>
                <w:rFonts w:ascii="Times" w:hAnsi="Times"/>
                <w:noProof/>
              </w:rPr>
              <w:t>.</w:t>
            </w:r>
            <w:r>
              <w:rPr>
                <w:rFonts w:ascii="Times" w:hAnsi="Times"/>
                <w:noProof/>
                <w:sz w:val="24"/>
              </w:rPr>
              <w:t xml:space="preserve"> F’Ġunju 2017, il-Kummissjoni ppubblikat Linji Gwida dwar Rapportar Mhux Finanzjarju, li jappoġġaw trasparenza korporattiva akbar fir-rigward tal-miżuri li jittieħdu biex jiġi promoss il-finanzjament sostenibbli. Barra minn hekk, f’Settembru tal-2017, il-Kummissjoni pproponiet bħala parti mir-rieżami tal-Awtoritajiet Superviżorji Ewropej (ASE) li l-ASE jassumu rwol importanti fil-promozzjoni tal-finanzjament sostenibbli, filwaqt li jiżguraw stabbiltà finanzjarja. B’mod speċjali, fil-kompiti tagħhom l-ASE se jkollhom jikkunsidraw ir-riskji relatati ma’ karatteristiċi ambjentali, soċjali u ta’ governanza (ESG). </w:t>
            </w:r>
          </w:p>
        </w:tc>
      </w:tr>
    </w:tbl>
    <w:p>
      <w:pPr>
        <w:rPr>
          <w:noProof/>
        </w:rPr>
      </w:pPr>
    </w:p>
    <w:p>
      <w:pPr>
        <w:pStyle w:val="Text1"/>
        <w:ind w:left="0"/>
        <w:rPr>
          <w:rFonts w:ascii="Times" w:hAnsi="Times"/>
          <w:noProof/>
        </w:rPr>
      </w:pPr>
      <w:r>
        <w:rPr>
          <w:rFonts w:ascii="Times" w:hAnsi="Times"/>
          <w:noProof/>
        </w:rPr>
        <w:t xml:space="preserve">Diversi miżuri ta’ segwitu oħrajn </w:t>
      </w:r>
      <w:r>
        <w:rPr>
          <w:rFonts w:ascii="Times" w:hAnsi="Times"/>
          <w:b/>
          <w:noProof/>
        </w:rPr>
        <w:t>għadhom għaddejjin</w:t>
      </w:r>
      <w:r>
        <w:rPr>
          <w:rFonts w:ascii="Times" w:hAnsi="Times"/>
          <w:noProof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>
        <w:tc>
          <w:tcPr>
            <w:tcW w:w="9288" w:type="dxa"/>
          </w:tcPr>
          <w:p>
            <w:pPr>
              <w:pStyle w:val="ListParagraph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>Bħala parti mill-Pjan ta’ Azzjoni tas-CMU, il-Kummissjoni nediet riċerka biex tivvaluta l-mod kif il-prodotti ta’ investiment jiġu distribwiti lil investituri fil-livell tal-konsumatur fl-UE kollha, inklużi: (i) il-kundizzjonijiet li skonthom jiġu offruti prodotti fi Stati Membri differenti; (ii) l-aċċess għal pariri finanzjarji; (iii) l-impatt fuq id-distribuzzjoni online; (iv) ir-riskji u l-benefiċċji ta’ mudelli ta’ distribuzzjoni ġodda żviluppati minn FinTech. Is-sejbiet finali tar-riċerka huma mistennija fil-bidu tal-2018. Jekk ikun xieraq, is-sejbiet se jiġu integrati fil-politika potenzjali tal-Kummissjoni.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>Il-</w:t>
            </w:r>
            <w:r>
              <w:rPr>
                <w:rFonts w:ascii="Times" w:hAnsi="Times"/>
                <w:b/>
                <w:noProof/>
                <w:sz w:val="24"/>
              </w:rPr>
              <w:t>qafas makroprudenzjali</w:t>
            </w:r>
            <w:r>
              <w:rPr>
                <w:rFonts w:ascii="Times" w:hAnsi="Times"/>
                <w:noProof/>
                <w:sz w:val="24"/>
              </w:rPr>
              <w:t xml:space="preserve"> tal-UE jirrigwarda: (i) il-governanza, (ii) il-manwal tal-ibbankjar, u (iii) il-manwal lil hinn mis-settur bankarju.</w:t>
            </w:r>
          </w:p>
          <w:p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Fir-rigward tal-governanza, f’Settembru 2017 il-Kummissjoni ressqet proposta biex temenda r-Regolament tal-Bord Ewropew dwar ir-Riskju Sistemiku (BERS) b’mod immirat fir-rigward tal-governanza u l-istrumenti tiegħu.  </w:t>
            </w:r>
          </w:p>
          <w:p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>Fir-rigward tas-sett ta’ miżuri fl-ibbankjar, ir-rieżami tal-Kummissjoni wera li l-manwal makroprudenzjali huwa effettiv b’mod wiesa’, għalhekk ma ġie propost l-ebda tiġdid tal-manwal. Fil-pakkett bankarju tagħha ta’ Novembru 2016, il-Kummissjoni pproponiet li tiċċara li jenħtieġ li r-rekwiżiti ta’ kapital imposti bħala parti mill-proċess ta’ rieżami superviżorju (Pilastru 2) jiġu ristretti għal finijiet mikroprudenzjali.</w:t>
            </w:r>
          </w:p>
          <w:p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Fir-rigward tas-sett ta’ miżuri lil hinn mis-settur bankarju, il-Kummissjoni timmira li tivvaluta l-effikaċja tal-istrumenti u tad-dispożizzjonijiet eżistenti fil-leġiżlazzjoni settorjali qabel tiddeċiedi jekk humiex meħtieġa inizjattivi addizzjonali. Hija tappoġġa l-isforzi li  għaddejjin bħalissa mill-BERS, il-Bord għall-Istabilità Finanzjarja u l-ASE biex jimmonitorjawaw u jeliminaw lakuni fid-dejta. 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" w:hAnsi="Times" w:cs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>F'Lulju tal-2016, il-Kummissjoni bagħtet Sejħa għal proposti lill-EIOPA qabel ir-Rieżami tal-2018 tar-Regolament Delegat Solvibbiltà II. L-għan huwa li jiġi vvalutat il-qafas tal-</w:t>
            </w:r>
            <w:r>
              <w:rPr>
                <w:rFonts w:ascii="Times" w:hAnsi="Times"/>
                <w:b/>
                <w:noProof/>
                <w:sz w:val="24"/>
              </w:rPr>
              <w:t>mitigazzjoni tar-riskju ta’ kreditu tal-kontroparti</w:t>
            </w:r>
            <w:r>
              <w:rPr>
                <w:rFonts w:ascii="Times" w:hAnsi="Times"/>
                <w:noProof/>
                <w:sz w:val="24"/>
              </w:rPr>
              <w:t xml:space="preserve"> f’Solvibbiltà II u l-interazzjoni possibbli tiegħu mal-EMIR. Dan ir-Rieżami se jivvaluta wkoll kwalunkwe inkonsistenza bejn Solvibbiltà II u CRR dwar it-trattament tal-istrumenti finanzjarji maħruġa mill-gvernijiet reġjonali.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" w:hAnsi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 xml:space="preserve">Wara l-konsultazzjoni pubblika dwar </w:t>
            </w:r>
            <w:r>
              <w:rPr>
                <w:rFonts w:ascii="Times" w:hAnsi="Times"/>
                <w:b/>
                <w:noProof/>
                <w:sz w:val="24"/>
              </w:rPr>
              <w:t>FinTech</w:t>
            </w:r>
            <w:r>
              <w:rPr>
                <w:rStyle w:val="FootnoteReference"/>
                <w:rFonts w:ascii="Times" w:hAnsi="Times"/>
                <w:b/>
                <w:noProof/>
                <w:sz w:val="24"/>
              </w:rPr>
              <w:footnoteReference w:id="19"/>
            </w:r>
            <w:r>
              <w:rPr>
                <w:rFonts w:ascii="Times" w:hAnsi="Times"/>
                <w:noProof/>
                <w:sz w:val="24"/>
              </w:rPr>
              <w:t xml:space="preserve">, li għalqet f’Ġunju 2017, il-Kummissjoni attwalment qed tivvaluta x’hemm bżonn li jsir fil-livell tal-UE biex jingħata kontribut għall-approfondiment u t-twessigħ tas-swieq kapitali tal-UE mill-perspettiva ta’ FinTech. B’mod aktar speċifiku, il-Kummissjoni attwalment qed tivvaluta jekk arranġamenti ta’ liċenzjar ġodda aktar proporzjonati għal attivitajiet u ditti FinTech humiex ġustifikati, kif ukoll jekk ditti FinTech li jagħmlu negozju transfruntier għandhomx jibbenefikaw minn passaportar fl-UE kollha. 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" w:hAnsi="Times"/>
                <w:noProof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</w:rPr>
              <w:t>Fuq il-bażi tar-rakkomandazzjonijiet mill-grupp ta' esperti ta' livell għoli dwar il-</w:t>
            </w:r>
            <w:r>
              <w:rPr>
                <w:rFonts w:ascii="Times" w:hAnsi="Times"/>
                <w:b/>
                <w:noProof/>
                <w:sz w:val="24"/>
              </w:rPr>
              <w:t>finanzjament sostenibbli</w:t>
            </w:r>
            <w:r>
              <w:rPr>
                <w:rFonts w:ascii="Times" w:hAnsi="Times"/>
                <w:noProof/>
                <w:sz w:val="24"/>
              </w:rPr>
              <w:t xml:space="preserve">, il-Kummissjoni se tippreżenta Pjan ta' Azzjoni ambizzjuż dwar il-finanzjament sostenibbli b’miżuri regolatorji fil-bidu tal-2018.  </w:t>
            </w:r>
          </w:p>
          <w:p>
            <w:pPr>
              <w:pStyle w:val="ListParagraph"/>
              <w:spacing w:line="276" w:lineRule="auto"/>
              <w:jc w:val="both"/>
              <w:rPr>
                <w:rFonts w:ascii="Times" w:hAnsi="Times"/>
                <w:noProof/>
              </w:rPr>
            </w:pPr>
          </w:p>
        </w:tc>
      </w:tr>
    </w:tbl>
    <w:p>
      <w:pPr>
        <w:pStyle w:val="Text1"/>
        <w:ind w:left="0"/>
        <w:rPr>
          <w:rFonts w:ascii="Times" w:hAnsi="Times"/>
          <w:noProof/>
        </w:rPr>
      </w:pPr>
    </w:p>
    <w:p>
      <w:pPr>
        <w:rPr>
          <w:rFonts w:ascii="Times New Roman" w:eastAsiaTheme="majorEastAsia" w:hAnsi="Times New Roman" w:cs="Times New Roman"/>
          <w:b/>
          <w:bCs/>
          <w:noProof/>
          <w:color w:val="365F91" w:themeColor="accent1" w:themeShade="BF"/>
          <w:sz w:val="28"/>
          <w:szCs w:val="28"/>
        </w:rPr>
      </w:pPr>
      <w:r>
        <w:rPr>
          <w:noProof/>
        </w:rPr>
        <w:br w:type="page"/>
      </w:r>
    </w:p>
    <w:p>
      <w:pPr>
        <w:pStyle w:val="Heading1"/>
        <w:spacing w:after="240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3. ENFASI  FUQ IR-RAPPORTAR</w:t>
      </w:r>
    </w:p>
    <w:p>
      <w:pPr>
        <w:pStyle w:val="Heading2"/>
        <w:rPr>
          <w:noProof/>
        </w:rPr>
      </w:pPr>
      <w:r>
        <w:rPr>
          <w:noProof/>
        </w:rPr>
        <w:t xml:space="preserve">3.1 </w:t>
      </w:r>
      <w:r>
        <w:rPr>
          <w:noProof/>
        </w:rPr>
        <w:tab/>
        <w:t>Kuntest u deskrizzjoni tal-problema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Ir-rekwiżiti tar-rapportar superviżorju jipprovdu lill-awtoritajiet kompetenti u lis-superviżuri b’dejta dwar il-parteċipanti tas-suq u l-attivitajiet tagħhom. L-aċċess għad-dejta huwa essenzjali biex titwettaq superviżjoni tal-istituzzjonijiet finanzjarji, kif ukoll isir monitoraġġ tar-riskju sistemiku u jkunu żgurati swieq ordnati, protezzjoni tal-investituri u kompetizzjoni ġusta. Il-kriżi finanzjarja esponiet ċerti nuqqasijiet f’xi rekwiżiti ta’ rapportar superviżorju, li jistgħu ma jipprovdux informazzjoni suffiċjenti jew utli. Riżultat ta’ dan, il-leġiżlaturi kellhom jiżviluppaw għadd kbir ta’ rekwiżiti ġodda u aktar dettaljati ta’ rapportar superviżorju. Filwaqt li dawn ir-rekwiżiti ta’ rapportar addizzjonali indirizzaw xi wħud min-nuqqasijiet oriġinali, l-interazzjoni fosthom għadha mhijiex ċara, u huma jżidu l-kostijiet ta' konformità u l-piżijiet tar-rapportar fuq id-ditti.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Ir-rispondenti għas-Sejħa għal Evidenza esprimew xi tħassib dwar il-piż tal-konformità li joriġina mir-rekwiżiti ta’ rapportar f’diversi atti leġiżlattivi  tal-UE:</w:t>
      </w:r>
    </w:p>
    <w:p>
      <w:pPr>
        <w:pStyle w:val="ListParagraph"/>
        <w:numPr>
          <w:ilvl w:val="0"/>
          <w:numId w:val="11"/>
        </w:num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Hemm perċezzjoni li r-rekwiżiti ta’ rapportar superviżorju huma numerużi u kumplessi żżejjed. Il-kumplessità hija fil-biċċa l-kbira dovuta għal duplikazzjonijiet u trikkib fost oqfsa ta’ rapportar differenti, iżda wkoll minħabba standardizzazzjoni insuffiċjenti u nuqqas ta’ ċarezza dwar x’hemm bżonn li jiġi rraportat (eż. nuqqas ta’ definizzjonijiet armonizzati ta’ dejta finanzjarja, nuqqas ta’ referenzi għal standards internazzjonali eżistenti).</w:t>
      </w:r>
    </w:p>
    <w:p>
      <w:pPr>
        <w:pStyle w:val="ListParagraph"/>
        <w:numPr>
          <w:ilvl w:val="0"/>
          <w:numId w:val="11"/>
        </w:num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Bidliet ewlenin fil-leġiżlazzjoni tal-UE dwar ir-rapportar superviżorju spiss jirriżultaw f'kostijiet ta’ darba sostanzjali, b’mod partikolari fejn hemm bżonn li sistemi tal-IT jew proċeduri interni jiġu adatti. Il-partijiet ikkonċernati għalhekk jenfasizzaw l-importanza li titnaqqas il-frekwenza tal-bidliet f’rekwiżiti ta’ rapportar superviżorju, u li jitħalla ħin biżżejjed biex jiġu implimentati bidliet bħal dawn.</w:t>
      </w:r>
    </w:p>
    <w:p>
      <w:pPr>
        <w:pStyle w:val="ListParagraph"/>
        <w:numPr>
          <w:ilvl w:val="0"/>
          <w:numId w:val="11"/>
        </w:num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Rekwiżiti </w:t>
      </w:r>
      <w:r>
        <w:rPr>
          <w:rFonts w:ascii="Times" w:hAnsi="Times"/>
          <w:i/>
          <w:noProof/>
          <w:sz w:val="24"/>
        </w:rPr>
        <w:t>ad hoc</w:t>
      </w:r>
      <w:r>
        <w:rPr>
          <w:rFonts w:ascii="Times" w:hAnsi="Times"/>
          <w:noProof/>
          <w:sz w:val="24"/>
        </w:rPr>
        <w:t xml:space="preserve">, eż. talbiet minn superviżuri li jmorru lil hinn mir-rekwiżiti ta’ rapportar regolari dehru li kienu partikolarment ta’ tfixkil u li jqumu l-flus. 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Is-superviżuri jemmnu li l-kwalità tar-rapportar superviżorju tista’ tittejjeb aktar biex isiru deċiżjonijiet aktar infurmati u aktar f’waqthom dwar il-profil tar-riskju ta’ ditti jew ta’ setturi. Dan huwa parzjalment dovut għal-lakuni li fadal bejn l-oqfsa ta’ rapportar superviżorju. Fattur ieħor kontributorju huwa dak tal-kwalità ħażina tad-dejta rapportata. Dan min-naħa tiegħu jirriżulta fil-parti l-kbira minħabba diffikultajiet fl-aggregazzjoni tad-dejta minħabba standardizzazzjoni insuffiċjenti.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Bħala segwitu għas-Sejħa għal Evidenza, il-Kummissjoni kkonkludiet li hemm bżonn ta' approċċ doppju biex jiġu indirizzati l-problemi li jaffettwaw ir-rapportar superviżorju. L-ewwel nett, jenħtieġ li tittieħed azzjoni immedjata u mmirata biex l-oqsma problematiċi jiġu indirizzati safejn ikun possibbli. It-tieni nett, hemm bżonn ta’ approċċ aktar komprensiv, fuq terminu twil biex jiġu indirizzati l-kostijiet u l-benefiċċji tar-rapportar superviżorju. Il-Kummissjoni ħadet u qed tkompli tieħu azzjoni fiż-żewġ direzzjonijiet, kif diskuss hawn isfel.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</w:p>
    <w:p>
      <w:pPr>
        <w:pStyle w:val="Heading2"/>
        <w:rPr>
          <w:noProof/>
        </w:rPr>
      </w:pPr>
      <w:r>
        <w:rPr>
          <w:noProof/>
        </w:rPr>
        <w:t xml:space="preserve">3.2 </w:t>
      </w:r>
      <w:r>
        <w:rPr>
          <w:noProof/>
        </w:rPr>
        <w:tab/>
        <w:t>Azzjoni li ttieħdet minn Novembru 2016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Mill-adozzjoni tal-Komunikazzjoni f’Novembru 2016, il-Kummissjoni introduċiet diversi miżuri ta’ segwitu mmirati biex tipprovdi rispons immedjat għall-problemi enfasizzati hawn fuq. Dawn il-miżuri jiffokaw fuq l-aktar nuqqasijiet ovvji fil-qafas tar-rapportar superviżorju, li jistgħu jiġu mitigati mingħajr ma jinħolqu kostijiet amministrattivi jew ta’ konformità għad-ditti.</w:t>
      </w:r>
    </w:p>
    <w:p>
      <w:pPr>
        <w:pStyle w:val="ListParagraph"/>
        <w:numPr>
          <w:ilvl w:val="0"/>
          <w:numId w:val="12"/>
        </w:num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F’Mejju 2017, fl-inizjattiva </w:t>
      </w:r>
      <w:r>
        <w:rPr>
          <w:rFonts w:ascii="Times" w:hAnsi="Times"/>
          <w:b/>
          <w:noProof/>
          <w:sz w:val="24"/>
        </w:rPr>
        <w:t>REFIT tal-EMIR</w:t>
      </w:r>
      <w:r>
        <w:rPr>
          <w:rFonts w:ascii="Times" w:hAnsi="Times"/>
          <w:noProof/>
          <w:sz w:val="24"/>
        </w:rPr>
        <w:t xml:space="preserve"> ġie propost li jitnaqqas il-piż tar-rapportar fuq korporazzjonijiet mhux finanzjarji (NFCs) billi dawn jiġu eżentati mill-obbligu ta' rapportar fuq tranżazzjonijiet intragrupp u billi s-CCP jew il-kontroparti ċentrali jkunu meħtieġa jirrapportaw f’isem iż-żewġ kontropartijiet fil-każ ta’ tranżazzjonijiet ma’ NFCs</w:t>
      </w:r>
      <w:r>
        <w:rPr>
          <w:rStyle w:val="FootnoteReference"/>
          <w:rFonts w:ascii="Times" w:hAnsi="Times"/>
          <w:noProof/>
          <w:sz w:val="24"/>
        </w:rPr>
        <w:footnoteReference w:id="20"/>
      </w:r>
      <w:r>
        <w:rPr>
          <w:rFonts w:ascii="Times" w:hAnsi="Times"/>
          <w:noProof/>
          <w:sz w:val="24"/>
        </w:rPr>
        <w:t>.</w:t>
      </w:r>
    </w:p>
    <w:p>
      <w:pPr>
        <w:pStyle w:val="ListParagraph"/>
        <w:numPr>
          <w:ilvl w:val="0"/>
          <w:numId w:val="12"/>
        </w:num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Bħala parti mill-</w:t>
      </w:r>
      <w:r>
        <w:rPr>
          <w:rFonts w:ascii="Times" w:hAnsi="Times"/>
          <w:b/>
          <w:noProof/>
          <w:sz w:val="24"/>
        </w:rPr>
        <w:t>pakkett bankarju</w:t>
      </w:r>
      <w:r>
        <w:rPr>
          <w:rFonts w:ascii="Times" w:hAnsi="Times"/>
          <w:noProof/>
          <w:sz w:val="24"/>
        </w:rPr>
        <w:t xml:space="preserve">, il-Kummissjoni pproponiet li titnaqqas il-frekwenza li biha banek iżgħar u anqas kumplessi jkunu meħtieġa jirrappurtaw.  </w:t>
      </w:r>
    </w:p>
    <w:p>
      <w:pPr>
        <w:pStyle w:val="ListParagraph"/>
        <w:numPr>
          <w:ilvl w:val="0"/>
          <w:numId w:val="12"/>
        </w:num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Il-Kummissjoni se tħares lejn l-obbligi ta’ rapportar matul ir-rieżami tal-</w:t>
      </w:r>
      <w:r>
        <w:rPr>
          <w:rFonts w:ascii="Times" w:hAnsi="Times"/>
          <w:b/>
          <w:noProof/>
          <w:sz w:val="24"/>
        </w:rPr>
        <w:t>AIFMD</w:t>
      </w:r>
      <w:r>
        <w:rPr>
          <w:rFonts w:ascii="Times" w:hAnsi="Times"/>
          <w:noProof/>
          <w:sz w:val="24"/>
        </w:rPr>
        <w:t xml:space="preserve"> li beda f’Lulju 2017. Il-Kummissjoni se taħdem mill-qrib mal-ESMA u mas-superviżuri nazzjonali, kif xieraq. Barra minn hekk, il-kuntrattur estern li ngħata l-kompitu ta’ rapportar dwar il-funzjonament tal-AIFMD se janalizza wkoll b’mod speċifiku l-effiċjenza u l-effikaċja tar-rekwiżiti ta’ rapportar.</w:t>
      </w:r>
    </w:p>
    <w:p>
      <w:pPr>
        <w:pStyle w:val="ListParagraph"/>
        <w:numPr>
          <w:ilvl w:val="0"/>
          <w:numId w:val="12"/>
        </w:numPr>
        <w:jc w:val="both"/>
        <w:rPr>
          <w:rFonts w:ascii="Times" w:hAnsi="Times"/>
          <w:noProof/>
          <w:sz w:val="24"/>
        </w:rPr>
      </w:pPr>
      <w:r>
        <w:rPr>
          <w:rFonts w:ascii="Times" w:hAnsi="Times"/>
          <w:noProof/>
          <w:sz w:val="24"/>
        </w:rPr>
        <w:t>Fuq talba tal-Kummissjoni, l-ABE qiegħda tiffinalizza konsultazzjoni dwar sett ta’ proposti konkreti biex tkompli tnaqqas il-</w:t>
      </w:r>
      <w:r>
        <w:rPr>
          <w:rFonts w:ascii="Times" w:hAnsi="Times"/>
          <w:b/>
          <w:noProof/>
          <w:sz w:val="24"/>
        </w:rPr>
        <w:t>piż tar-rapportar fis-settur bankarju</w:t>
      </w:r>
      <w:r>
        <w:rPr>
          <w:rFonts w:ascii="Times" w:hAnsi="Times"/>
          <w:noProof/>
          <w:sz w:val="24"/>
        </w:rPr>
        <w:t>.</w:t>
      </w:r>
      <w:r>
        <w:rPr>
          <w:rFonts w:ascii="Times" w:hAnsi="Times"/>
          <w:b/>
          <w:noProof/>
          <w:sz w:val="24"/>
        </w:rPr>
        <w:t xml:space="preserve"> </w:t>
      </w:r>
      <w:r>
        <w:rPr>
          <w:rFonts w:ascii="Times" w:hAnsi="Times"/>
          <w:noProof/>
          <w:sz w:val="24"/>
        </w:rPr>
        <w:t>Dan ikun jinvolvi l-allinjament ta’ rekwiżiti ta’ rapportar superviżorju, statistiku u makroprudenzjali u li d-definizzjonijiet użati f’atti leġiżlattivi differenti jsiru aktar konsistenti.</w:t>
      </w:r>
    </w:p>
    <w:p>
      <w:pPr>
        <w:pStyle w:val="ListParagraph"/>
        <w:numPr>
          <w:ilvl w:val="0"/>
          <w:numId w:val="12"/>
        </w:numPr>
        <w:jc w:val="both"/>
        <w:rPr>
          <w:rFonts w:ascii="Times" w:hAnsi="Times"/>
          <w:noProof/>
          <w:sz w:val="24"/>
        </w:rPr>
      </w:pPr>
      <w:r>
        <w:rPr>
          <w:rFonts w:ascii="Times" w:hAnsi="Times"/>
          <w:noProof/>
          <w:sz w:val="24"/>
        </w:rPr>
        <w:t xml:space="preserve">Il-Kummissjoni dalwaqt se tirċievi pariri tekniċi mill-ESMA dwar il-fattibbiltà tal-introduzzjoni ta’ </w:t>
      </w:r>
      <w:r>
        <w:rPr>
          <w:rFonts w:ascii="Times" w:hAnsi="Times"/>
          <w:b/>
          <w:noProof/>
          <w:sz w:val="24"/>
        </w:rPr>
        <w:t>pjattaforma waħda ta’ rapportar dwar bejgħ qasir</w:t>
      </w:r>
      <w:r>
        <w:rPr>
          <w:rFonts w:ascii="Times" w:hAnsi="Times"/>
          <w:noProof/>
          <w:sz w:val="24"/>
        </w:rPr>
        <w:t>. Pjattaforma waħda ta’ rapportar tista’ tgħin issaħħaħ l-informazzjoni pprovduta lir-regolaturi, filwaqt li tnaqqas il-piż fuq ir-rapportar ta’ pożizzjonijiet qosra netti.</w:t>
      </w:r>
    </w:p>
    <w:p>
      <w:pPr>
        <w:pStyle w:val="ListParagraph"/>
        <w:numPr>
          <w:ilvl w:val="0"/>
          <w:numId w:val="12"/>
        </w:num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Bosta standards tekniċi dwar ir-rapportar (eż. dawk relatati mal-EMIR) ġew riveduti sabiex jagħmluha aktar ċara x’jenħtieġ li jiġi rrapportat u kif. Dan kien jinvolvi li wieħed jipprova jiżgura </w:t>
      </w:r>
      <w:r>
        <w:rPr>
          <w:rFonts w:ascii="Times" w:hAnsi="Times"/>
          <w:b/>
          <w:noProof/>
          <w:sz w:val="24"/>
        </w:rPr>
        <w:t>allinjament bejn l-oqfsa ta’ rapportar differenti</w:t>
      </w:r>
      <w:r>
        <w:rPr>
          <w:rFonts w:ascii="Times" w:hAnsi="Times"/>
          <w:noProof/>
          <w:sz w:val="24"/>
        </w:rPr>
        <w:t xml:space="preserve"> (eż. l-EMIR mal-MiFID / is-Swieq fir-Regolament dwar l-Istrumenti Finanzjarji (MiFIR)). Meta kien rilevanti, ġew inklużi referenzi għall-istandards internazzjonali</w:t>
      </w:r>
      <w:r>
        <w:rPr>
          <w:rStyle w:val="FootnoteReference"/>
          <w:rFonts w:ascii="Times" w:hAnsi="Times"/>
          <w:noProof/>
          <w:sz w:val="24"/>
        </w:rPr>
        <w:footnoteReference w:id="21"/>
      </w:r>
      <w:r>
        <w:rPr>
          <w:rFonts w:ascii="Times" w:hAnsi="Times"/>
          <w:noProof/>
          <w:sz w:val="24"/>
        </w:rPr>
        <w:t>.</w:t>
      </w:r>
    </w:p>
    <w:p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Ir-rispondenti għas-Sejħa għal Evidenza semmew li f’għadd ta’ każijiet, l-Istati Membri introduċew </w:t>
      </w:r>
      <w:r>
        <w:rPr>
          <w:rFonts w:ascii="Times New Roman" w:hAnsi="Times New Roman"/>
          <w:b/>
          <w:noProof/>
          <w:sz w:val="24"/>
        </w:rPr>
        <w:t>rekwiżiti ta’ rapportar superviżorju addizzjonali</w:t>
      </w:r>
      <w:r>
        <w:rPr>
          <w:rFonts w:ascii="Times New Roman" w:hAnsi="Times New Roman"/>
          <w:noProof/>
          <w:sz w:val="24"/>
        </w:rPr>
        <w:t xml:space="preserve"> lil hinn minn dawk li ngħataw mandat mil-leġiżlazzjoni tal-UE (l-hekk imsejħa “gold-plating”). Wara l-adozzjoni tar-rapport tal-Kummissjoni dwar ostakli nazzjonali għal flussi ta’ kapital f’Marzu 2017 (ara wkoll it-Taqsima 2.3), il-grupp ta’ esperti dwar l-ostakli għall-moviment liberu tal-kapital, li huwa kompost mill-Istati Membri kollha, talab biex issir ħidma ulterjuri biex jiġu indirizzati l-ostakli identifikati, inkluż l-evitar tar-rapportar doppju. </w:t>
      </w:r>
    </w:p>
    <w:p>
      <w:pPr>
        <w:pStyle w:val="ListParagraph"/>
        <w:jc w:val="both"/>
        <w:rPr>
          <w:rFonts w:ascii="Times" w:hAnsi="Times" w:cs="Times"/>
          <w:noProof/>
          <w:sz w:val="24"/>
          <w:szCs w:val="24"/>
        </w:rPr>
      </w:pPr>
    </w:p>
    <w:p>
      <w:pPr>
        <w:pStyle w:val="Heading2"/>
        <w:rPr>
          <w:noProof/>
        </w:rPr>
      </w:pPr>
      <w:r>
        <w:rPr>
          <w:noProof/>
        </w:rPr>
        <w:t xml:space="preserve">3.3 </w:t>
      </w:r>
      <w:r>
        <w:rPr>
          <w:noProof/>
        </w:rPr>
        <w:tab/>
        <w:t>L-approċċ komprensiv tal-Kummissjoni għar-rapportar superviżorju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Għalkemm il-miżuri ta’ segwitu ta’ terminu qasir deskritti hawn fuq jistgħu jtejbu l-effiċjenza tar-rapportar superviżorju, huma mmirati lejn atti leġiżlattivi individwali u ma jindirizzawx neċessarjament l-interazzjoni bejn oqfsa differenti ta’ rapportar superviżorju. Minħabba l-interkonnessjonijiet numerużi bejn ir-rekwiżiti ta’ rapportar f’atti leġiżlattivi differenti, huwa meħtieġ approċċ aktar komprensiv għar-rapportar superviżorju. Kif stabbilit fit-Taqsima 3.1, il-partijiet ikkonċernati enfasizzaw l-imporatanza li jiġu evitati bidliet frekwenti fir-rekwiżiti ta’ rapportar individwali minħabba l-kostijiet ta’ darba kbar assoċjati ma’ sistemi tal-IT li jinbidlu. Għal dawn ir-raġunijiet, il-Kummissjoni bi ħsiebha tieħu approċċ aktar komprensiv għall-oqfsa ta’ rapportar superviżorju tal-UE. Il-viżjoni globali hija li jiġi żgurat li r-rekwiżiti ta’ rapportar superviżorju stabbiliti fid-dritt tal-UE jipprovdu lis-superviżuri u lir-regolaturi b’informazzjoni ta’ kwalità għolja u f’waqtha biex tgħinhom jissalvagwardjaw l-istabbiltà tas-sistema finanzjarja, filwaqt li fl-istess ħin iżżomm il-kostijiet amministrattivi u ta’ konformità u l-piż għad-ditti għall-ammont minimu neċessarju. 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F’konformità ma’ din il-viżjoni, il-proġett għandu żewġ objettivi ewlenin:</w:t>
      </w:r>
    </w:p>
    <w:p>
      <w:pPr>
        <w:pStyle w:val="ListParagraph"/>
        <w:numPr>
          <w:ilvl w:val="0"/>
          <w:numId w:val="16"/>
        </w:num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Li jidentifika oqsma speċifiċi meta jeħtieġ li tittieħed azzjoni, jiġifieri leġiżlazzjoni tal-UE fejn ikun jidher li r-rekwiżiti tar-rapportar superviżorju huma mrikkbin jew joħolqu duplikazzjoni u fejn hemm nuqqas ta’ ċarezza dwar dak li jrid jiġi rapportat, standardizzazzjoni insuffiċjenti u lakuni jew inkonsistenzi.</w:t>
      </w:r>
    </w:p>
    <w:p>
      <w:pPr>
        <w:pStyle w:val="ListParagraph"/>
        <w:numPr>
          <w:ilvl w:val="0"/>
          <w:numId w:val="16"/>
        </w:num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Sabiex ifassal miżuri konkreti li jistgħu jgħinu biex jitnaqqsu il-kostijiet tal-konformità għad-ditti, filwaqt li jtejbu l-kwalità tal-informazzjoni pprovduta lis-superviżuri. Dan jimplika r-razzjonalizzazzjoni u l-issimplifikar tar-rekwiżiti tar-rapportar superviżorju, iżda wkoll kunsiderazzjoni ta’ approċċ kompletament ġdid u innovattiv għar-rapportar superviżorju. Wieħed mill-partijiet ewlenin ta’ dan huwa l-prinċipju ta’ “irrapporta darba”. L-idea hija li l-entitajiet jirrapportaw l-informazzjoni tagħhom darba biss, wara kull awtorità rilevanti tkun tista’ taċċessa din id-dejta fuq bażi ta’ “skont il-bżonn”. 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Iż-żewġ linji ta’ dan l-approċċ huma: (i) </w:t>
      </w:r>
      <w:r>
        <w:rPr>
          <w:rFonts w:ascii="Times" w:hAnsi="Times"/>
          <w:b/>
          <w:noProof/>
          <w:sz w:val="24"/>
        </w:rPr>
        <w:t>Kontroll tal-Idoneità</w:t>
      </w:r>
      <w:r>
        <w:rPr>
          <w:rFonts w:ascii="Times" w:hAnsi="Times"/>
          <w:noProof/>
          <w:sz w:val="24"/>
        </w:rPr>
        <w:t xml:space="preserve"> tar-rekwiżiti ta’ rapportar superviżorju; u (ii) proġett ta’ “</w:t>
      </w:r>
      <w:r>
        <w:rPr>
          <w:rFonts w:ascii="Times" w:hAnsi="Times"/>
          <w:b/>
          <w:noProof/>
          <w:sz w:val="24"/>
        </w:rPr>
        <w:t>standardizzazzjoni tad-dejta finanzjarja</w:t>
      </w:r>
      <w:r>
        <w:rPr>
          <w:rFonts w:ascii="Times" w:hAnsi="Times"/>
          <w:noProof/>
          <w:sz w:val="24"/>
        </w:rPr>
        <w:t>”. Dawn il-linji qed iseħħu b'mod simultanju biex jirrinforzaw lil xulxin b’mod reċiproku.</w:t>
      </w:r>
    </w:p>
    <w:p>
      <w:pPr>
        <w:pStyle w:val="Heading2"/>
        <w:rPr>
          <w:noProof/>
          <w:sz w:val="24"/>
          <w:szCs w:val="24"/>
        </w:rPr>
      </w:pPr>
      <w:r>
        <w:rPr>
          <w:noProof/>
          <w:sz w:val="24"/>
        </w:rPr>
        <w:t>3.3.1</w:t>
      </w:r>
      <w:r>
        <w:rPr>
          <w:noProof/>
        </w:rPr>
        <w:tab/>
      </w:r>
      <w:r>
        <w:rPr>
          <w:noProof/>
          <w:sz w:val="24"/>
        </w:rPr>
        <w:t>Linja 1 — il-Kontroll tal-Idoneità</w:t>
      </w:r>
    </w:p>
    <w:p>
      <w:pPr>
        <w:spacing w:before="100" w:beforeAutospacing="1" w:after="100" w:afterAutospacing="1"/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Il-Kontroll tal-idoneità, imniedi fis-sajf tal-2017, se jipprovdi valutazzjoni komprensiva ta’ livell għoli tal-effikaċja, l-effiċjenza, il-koerenza, ir-rilevanza u l-valur miżjud tal-UE tal-oqfsa ta’ rapportar superviżorju, b’enfasi partikolari fuq prodotti speċifiċi jew oqsma ta’ rapportar (eż. derivattivi). Huwa se jinkludi rieżami komprensiv tas-sorsi ewlenin tal-kostijiet u tal-piżijiet tar-rapportar superviżorju. Il-Kontroll tal-Idoneità se jidentifika l-oqsma potenzjali fejn il-kost tal-konformita u l-piż li joriġinaw mill-obbligi ta’ rapportar superviżorju jistgħu jitnaqqsu (pereżempju, billi jiġu razzjonalizzati jew simplifikati) mingħajr ma tiġi kompromessa l-istabbiltà finanzjarji, l-integrità tas-suq u l-objettivi tal-protezzjoni tal-konsumatur ta’ dawn l-obbligi. Ix-xogħol huwa skedat biex jitlesta sa tmiem l-2018, f’liema żmien ir-riżultati se jiġu ppubblikati f’dokument ta’ ħidma tal-persunal. </w:t>
      </w:r>
    </w:p>
    <w:p>
      <w:pPr>
        <w:spacing w:before="100" w:beforeAutospacing="1" w:after="100" w:afterAutospacing="1"/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Bħala input importanti għall-Kontroll tal-Idoneità, il-Kummissjoni qed tniedi konsultazzjoni pubblika biex tiġbor evidenza dwar il-kost tal-konformità ma’ rekwiżiti ta’ rapportar superviżorju, kif ukoll il-konsistenza u l-effiċjenza ta’ dawn ir-rekwiżiti. Il-konsultazzjoni se tibni fuq is-sejbiet tas-Sejħa għal Evidenza u rieżamijiet oħra aktar iffokati. Hija se jkollha l-għan li tiġbor informazzjoni aktar speċifika dwar, fost l-oħrajn, kwalunkwe investiment meħtieġ biex jissodisfa r-rekwiżiti ta’ rapportar, eżempji ta’ rapportar dupplikat u eżempji ta’ rapportar ta’ dejta żejda jew mhux meħtieġa. Hija se titlob ukoll input dwar kif l-użu ta’ strumenti tal-ICT aktar avvanzati u effiċjenti b'rabta ma’ standards tad-dejta jista’ jgħin biex inaqqas il-kost tal-konformità u jekk hemmx xi impedimenti għall-implimentazzjoni u l-użu ta’ teknoloġija u standards bħal dawn. Il-konsultazzjoni se tkun miftuħa għal 3 xhur. Ir-riżultati se jiġu ppreżentati u diskussi matul sessjoni ta' ħidma ddedikata skedata għas-26 ta’ Marzu 2018.</w:t>
      </w:r>
    </w:p>
    <w:p>
      <w:pPr>
        <w:jc w:val="both"/>
        <w:rPr>
          <w:rFonts w:ascii="Times" w:hAnsi="Times"/>
          <w:noProof/>
          <w:sz w:val="24"/>
        </w:rPr>
      </w:pPr>
      <w:r>
        <w:rPr>
          <w:rFonts w:ascii="Times" w:hAnsi="Times"/>
          <w:noProof/>
          <w:sz w:val="24"/>
        </w:rPr>
        <w:t xml:space="preserve">Aspetti oħra ta’ dan ix-xogħol jinkludu riċerka minn espert estern biex jivvaluta f’aktar dettall il-kost tal-konformità tar-rekwiżiti tar-rapportar superviżorju fis-settur finanzjarju. 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noProof/>
        </w:rPr>
        <w:t xml:space="preserve"> </w:t>
      </w:r>
      <w:r>
        <w:rPr>
          <w:rFonts w:ascii="Times" w:hAnsi="Times"/>
          <w:noProof/>
          <w:sz w:val="24"/>
        </w:rPr>
        <w:t>F’Ottubru 2017, il-Kummissjoni waqqfet grupp madwar mejda tal-partijiet ikkonċernati li laqqa’ lill-plejers rilevanti fil-qasam tar-rapportar mill-komunità superviżorja u regolatorja tal-UE. Il-membri tal-grupp se jappoġġaw il-Kummissjoni fil-valutazzjoni tagħha tal-kostijiet ta’ konformità mar-rekwiżiti ta’ rapportar superviżorju. Il-ħidma se tikkumplimenta l-konsultazzjoni pubblika u r-riċerka, u tenfasizza l-importanza ta’ approċċ koordinat.</w:t>
      </w:r>
    </w:p>
    <w:p>
      <w:pPr>
        <w:pStyle w:val="Heading2"/>
        <w:rPr>
          <w:noProof/>
          <w:sz w:val="24"/>
          <w:szCs w:val="24"/>
        </w:rPr>
      </w:pPr>
      <w:r>
        <w:rPr>
          <w:noProof/>
          <w:sz w:val="24"/>
        </w:rPr>
        <w:t>3.3.2</w:t>
      </w:r>
      <w:r>
        <w:rPr>
          <w:noProof/>
        </w:rPr>
        <w:tab/>
      </w:r>
      <w:r>
        <w:rPr>
          <w:noProof/>
          <w:sz w:val="24"/>
        </w:rPr>
        <w:t>Linja 2 — Standardizzazzjoni ta’ dejta finanzjarja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Il-proġett ta’ standardizzazzjoni tad-dejta finanzjarja (FDS) ġie mniedi fl-2016. Huwa ġie ffinanzjat mill-Programm tal-UE “Programm ISA</w:t>
      </w:r>
      <w:r>
        <w:rPr>
          <w:rFonts w:ascii="Times" w:hAnsi="Times"/>
          <w:noProof/>
          <w:sz w:val="24"/>
          <w:vertAlign w:val="superscript"/>
        </w:rPr>
        <w:t>2’</w:t>
      </w:r>
      <w:r>
        <w:rPr>
          <w:rFonts w:ascii="Times" w:hAnsi="Times"/>
          <w:noProof/>
          <w:sz w:val="24"/>
        </w:rPr>
        <w:t xml:space="preserve"> għal soluzzjonijiet ta’ interoperabbiltà għall-amministrazzjonijiet pubbliċi, in-negozji u ċ-ċittadini Ewropej</w:t>
      </w:r>
      <w:r>
        <w:rPr>
          <w:rStyle w:val="FootnoteReference"/>
          <w:rFonts w:ascii="Times" w:hAnsi="Times"/>
          <w:noProof/>
          <w:sz w:val="24"/>
        </w:rPr>
        <w:footnoteReference w:id="22"/>
      </w:r>
      <w:r>
        <w:rPr>
          <w:rFonts w:ascii="Times" w:hAnsi="Times"/>
          <w:noProof/>
          <w:sz w:val="24"/>
        </w:rPr>
        <w:t xml:space="preserve">. Ir-riżultati tiegħu se jidħlu direttament fil-Kontroll tal-idoneità, peress li </w:t>
      </w:r>
      <w:r>
        <w:rPr>
          <w:rFonts w:ascii="Times New Roman" w:hAnsi="Times New Roman"/>
          <w:noProof/>
          <w:sz w:val="24"/>
        </w:rPr>
        <w:t>għandu l-għan li:</w:t>
      </w:r>
    </w:p>
    <w:p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jimmappja r-rekwiżiti ta' rapportar superviżorju sal-livell tal-element tad-dejta bil-għan li jiġu identifikati l-lakuni, it-trikkib, l-affarijiet żejda u l-inkonsistenzi;</w:t>
      </w:r>
    </w:p>
    <w:p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jesplora modi li bihom definizzjonijiet armonizzati ta’ dejta (“lingwaġġ finanzjarju komuni tad-dejta”) jista’ jintuża biex jottimizza r-rapportar superviżorju mingħajr ma jikkomprometti l-objettivi tal-leġiżlazzjoni rilevanti. </w:t>
      </w:r>
    </w:p>
    <w:p>
      <w:pPr>
        <w:ind w:left="60"/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B’mod aktar speċifikui, il-proġett FDS se jidentifika oqsma speċifiċi fejn standardizzazzjoi ulterjuri tista’ tagħti beneffiċji u tagħmel proposti konkreti għar-razzjonalizzjoni u l-issimplifikar tar-rekwiżiti tar-rapportar. L-objettiv fuq żmien twil</w:t>
      </w:r>
      <w:r>
        <w:rPr>
          <w:rFonts w:ascii="Times" w:hAnsi="Times"/>
          <w:noProof/>
          <w:sz w:val="24"/>
        </w:rPr>
        <w:t xml:space="preserve"> huwa li l-entitajiet ta’ rapportar kollha jirrapportaw id-dejta tagħhom darba biss, filwaqt li jipprovdu aċċess għall-awtoritajiet rilevanti ( il-prinċipju ta’ rapportar ta’ darba”). L-eżami dettaljat tat-trikkib u tal-inkonsistenzi fl-oqfsa ta’ rapportar fil-livell tal-elementi tad-dejta se jitlesta sa tmiem l-2018. Huwa se jservi ta’ bażi għal azzjonijiet aktar tard biex jindirizzaw dawn b’mod koerenti u għal żmien twil. Sejbiet tal-proġett tal-FDS diġà wrew li wieħed mill-prerekwiżiti għal aktar standardizzazzjoni huwa dak tal-introduzzjoni ta’ definizzjonijiet ta’ dejta armonizzati (jiġifieri lingwaġġ komuni tad-dejta finanzjarja).  Dan jidher meħtieġ ukoll biex fir-rapport superviżorju jsir użu aħjar tal-ICT.</w:t>
      </w:r>
      <w:r>
        <w:rPr>
          <w:noProof/>
        </w:rPr>
        <w:t xml:space="preserve"> </w:t>
      </w:r>
      <w:r>
        <w:rPr>
          <w:rFonts w:ascii="Times" w:hAnsi="Times"/>
          <w:noProof/>
          <w:sz w:val="24"/>
        </w:rPr>
        <w:t>Dan ix-xogħol se jfittex ukoll li tinkiseb konsistenza mal-iżviluppi paralleli fir-rapportar finanzjarju, b’mod partikolari l-introduzzjoni ta’ format elettroniku uniku Ewropew ibbażat fuq XBLRL taħt id-Direttiva dwar it-Trasparenza.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Il-proġett tal-FDS se jiġi megħjun fl-isforzi tiegħu mid-diskussjonijiet bejn il-partijiet ikkonċernati u minn interazzjoni mill-qrib mal-Kontroll tal-Idoneità.</w:t>
      </w:r>
    </w:p>
    <w:p>
      <w:pPr>
        <w:pStyle w:val="Heading2"/>
        <w:rPr>
          <w:noProof/>
        </w:rPr>
      </w:pPr>
      <w:r>
        <w:rPr>
          <w:noProof/>
        </w:rPr>
        <w:t>3.4</w:t>
      </w:r>
      <w:r>
        <w:rPr>
          <w:noProof/>
        </w:rPr>
        <w:tab/>
        <w:t>Ħarsa ’l quddiem: it-teknoloġija fis-servizz tar-rapportar superviżorju</w:t>
      </w:r>
    </w:p>
    <w:p>
      <w:pPr>
        <w:spacing w:after="0"/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Il-Kummissjoni se tirrapporta dwar ir-riżultati tal-Kontroll tal-idoneità u dwar is-sejbiet ewlenin tal-proġett FDS sas-sajf tal-2019, kif ukoll tistabbilixxi xi ideat dwar mezzi possibbli kif jiġu indirizzati xi lakuni u inkonsistenzi li ġew identifikati u kif jiġu ottimizzati r-rekwiżiti tar-rapportar superviżorju. Dawn se jinkludu mezzi biex tinkiseb aktar standardizzazzjoni u biex jiġi sfruttat il-potenzjal li jistgħu joffru l-awtomatizzazzjoni u t-teknoloġija innovattiva tal-ICT biex ikomplu jirrazzjonalizzaw u jissimplifikaw il-proċess ta’ rapportar.</w:t>
      </w:r>
    </w:p>
    <w:p>
      <w:pPr>
        <w:spacing w:before="240" w:after="0"/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L-istandardizzazzjoni hija l-ewwel stadju u stadju indispensabbli għar-razzjonalizzazzjoni tar-rekwiżiti tar-rapportar superviżorju u finalment għall-ħolqien ta’ “lingwaġġ komuni” fir-rapportar. L-awtomatizzazzjoni tmur pass ulterjuri: wara li żviluppat reġim ta’ rapportar standardizzat, l-inizjattivi għall-promozzjoni tal-awtomatizzazzjoni bl-użu tat-teknoloġija innovattiva jistgħu jnaqqsu l-ħtieġa għall-intervent uman kemm fir-rapportar kif ukoll fl-analiżi tad-dejta. Dan se jissimplifika konsiderevolment u jħaffef il-pass tar-rapportar u tal-ipproċessar tad-dejta, u b'riżultat ta’ dan inaqqas b’mod drammatiku kemm il-kost u kif ukoll il-piż tar-rapportar superviżorju.</w:t>
      </w:r>
    </w:p>
    <w:p>
      <w:pPr>
        <w:spacing w:after="0"/>
        <w:jc w:val="both"/>
        <w:rPr>
          <w:rFonts w:ascii="Times" w:hAnsi="Times" w:cs="Times"/>
          <w:noProof/>
          <w:sz w:val="24"/>
          <w:szCs w:val="24"/>
        </w:rPr>
      </w:pP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Skont il-proċess ta’ </w:t>
      </w:r>
      <w:r>
        <w:rPr>
          <w:rFonts w:ascii="Times" w:hAnsi="Times"/>
          <w:b/>
          <w:noProof/>
          <w:sz w:val="24"/>
        </w:rPr>
        <w:t>standardizzazzjoni</w:t>
      </w:r>
      <w:r>
        <w:rPr>
          <w:rFonts w:ascii="Times" w:hAnsi="Times"/>
          <w:noProof/>
          <w:sz w:val="24"/>
        </w:rPr>
        <w:t>, hemm firxa ta’ inizjattivi li diġà ġew imnedija mill-proġett FDS:</w:t>
      </w:r>
    </w:p>
    <w:p>
      <w:pPr>
        <w:pStyle w:val="ListParagraph"/>
        <w:numPr>
          <w:ilvl w:val="0"/>
          <w:numId w:val="13"/>
        </w:num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Il-Kummissjoni tista’ tieħu ir-riedni f'idejha biex tiżgura l-implimentazzjoni ta’ </w:t>
      </w:r>
      <w:r>
        <w:rPr>
          <w:rFonts w:ascii="Times" w:hAnsi="Times"/>
          <w:b/>
          <w:noProof/>
          <w:sz w:val="24"/>
        </w:rPr>
        <w:t>lingwaġġ komuni tad-dejta finanzjarja</w:t>
      </w:r>
      <w:r>
        <w:rPr>
          <w:rFonts w:ascii="Times" w:hAnsi="Times"/>
          <w:noProof/>
          <w:sz w:val="24"/>
        </w:rPr>
        <w:t>. Il-lingwaġġ komuni se jindirizza l-kwistjoni ta’ definizzjonijiet mhux ċari, li qiegħed joħroġ bħala wieħed mill-kawżi prinċipali tal-piż tar-rapportar.</w:t>
      </w:r>
    </w:p>
    <w:p>
      <w:pPr>
        <w:pStyle w:val="ListParagraph"/>
        <w:numPr>
          <w:ilvl w:val="0"/>
          <w:numId w:val="13"/>
        </w:num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Il-Kummissjoni se tesplora wkoll il-merti tat-tnedija ta’ “Repożitorju tad-Dejta ta’ Referenza Ewropew” biex ikompli u jaċċellera l-armonizzazzjoni tal-identifikaturi tad-dejta finanzjarja u mudelli ta’ dejta ta’ referenza użati fl-industrija finanzjarja kollha. Dan se jagħmilha aktar faċli għad-ditti li jirrapportaw dejta lil diversi superviżuri differenti, u jgħin lis-superviżuri jaggregaw u janalizzaw id-dejta rapportata aktar malajr u b’mod aktar effiċjenti.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 xml:space="preserve">fil-proċess ta’ </w:t>
      </w:r>
      <w:r>
        <w:rPr>
          <w:rFonts w:ascii="Times" w:hAnsi="Times"/>
          <w:b/>
          <w:noProof/>
          <w:sz w:val="24"/>
        </w:rPr>
        <w:t>awtomatizzazzjoni</w:t>
      </w:r>
      <w:r>
        <w:rPr>
          <w:rFonts w:ascii="Times" w:hAnsi="Times"/>
          <w:noProof/>
          <w:sz w:val="24"/>
        </w:rPr>
        <w:t>, il-Kummissjoni se tesplora l-merti ta’ inizjattivi possibbli li jistgħu jippermettu li d-ditti jissodisfaw ir-rekwiżiti ta’ rapportar b’intervent uman minimu jew mingħajru u għalhekk ikomplu jnaqqsu l-kostijiet ta' konformità. Dan se jinkludi li wieħed iħares lejn teknoloġiji ICT innovattivi, li se jkollhom rwol fil-fażi li jmiss, pereżempju billi jaġġorna u fejn meħtieġ jarmonizza l-infrastrutturi tat-trasferiment tad-dejta  biex jiżgura flussi tad-dejta mingħajr xkiel. Dan jista’, fost affarijiet oħra, iwassal għal rapportar awtomatiku ta’ negozji li jiġu konklużi fis-swieq finanzjarji, li jkompli jnaqqas aktar il-kostijiet ta’ konformità. Għas-superviżuri, awtomatizzazzjoni bħal din tista’ tippermetti monitoraġġ aktar effettiv tar-riskju fis-sistema finanzjarja.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  <w:r>
        <w:rPr>
          <w:rFonts w:ascii="Times" w:hAnsi="Times"/>
          <w:noProof/>
          <w:sz w:val="24"/>
        </w:rPr>
        <w:t>B’mod kumplessiv, il-valutazzjoni estensiva u komprensiva ta’ rekwiżiti ta’ rapportar superviżorju se tistabbilixxi bażi solida ħafna għall-Kummissjoni biex tniedi azzjoni futura koordinata li tista’ tgħin biex tbiddel ir-rapportar mill-qiegħ u ttejjeb b’mod sinifikanti l-kwalità u l-aċċessibbiltà tad-dejta.</w:t>
      </w:r>
    </w:p>
    <w:p>
      <w:pPr>
        <w:rPr>
          <w:rFonts w:ascii="Times New Roman" w:eastAsiaTheme="majorEastAsia" w:hAnsi="Times New Roman" w:cs="Times New Roman"/>
          <w:b/>
          <w:bCs/>
          <w:noProof/>
          <w:color w:val="365F91" w:themeColor="accent1" w:themeShade="BF"/>
          <w:sz w:val="28"/>
          <w:szCs w:val="28"/>
        </w:rPr>
      </w:pPr>
      <w:r>
        <w:rPr>
          <w:noProof/>
        </w:rPr>
        <w:br w:type="page"/>
      </w:r>
    </w:p>
    <w:p>
      <w:pPr>
        <w:pStyle w:val="Heading1"/>
        <w:spacing w:after="240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4. KONKLUŻJONIJIET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Is-Sejħa għal Evidenza wriet l-impenn tal-Kummissjoni għal regolamentazzjoni aħjar bħala l-metodu ta’ ħidma bażiku tagħha. Hija kkonfermat li l-iżvilupp u l-aġġustament tal-politiki bbażati fuq evidenza fattwali, il-kunsiderazzjoni tal-interazzjonijiet possibbli mal-leġiżlazzjoni eżistenti u l-involviment tal-partijiet ikkonċernati jista’ joħloq regolamentazzjoni aħjar u aktar effettiva. Min-naħa tiegħu, dan irawwem il-ħolqien tal-impjiegi, it-tkabbir u l-investiment filwaqt li jissalvagwardja l-istabbiltà finanzjarja u l-protezzjoni kemm tal-konsumaturi kif ukoll tal-investituri.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Sena wara l-adozzjoni tal-Komunikazzjoni, il-Kummissjoni wettqet tat riżultati għal bosta mill-impenji tagħha u għadha impenjata lejn l-azzjonijiet li fadal, flimkien ma’ miżuri addizzjonali li l-ħtieġa tagħhom ħarġet matul l-aħħar sena. F'din il-ħidma, il-prinċipji ta’ Regolamentazzjoni Aħjar se jkomplu jiġu applikati b’mod rigoruż u komplut, inkluż fir-rigward tal-impatti ambjentali u soċjali potenzjali tal-leġiżlazzjoni finanzjarja tal-UE, f’konformità mal-ħidma li għadha għaddejja biex il-konsiderazzjonijiet ta’ sostenibbiltà jiġu integrati b’mod aktar sħiħ fis-sistema finanzjarja tal-UE. Meta tiżviluppa l-proposti leġiżlattivi, il-Kummissjoni hija impenjata tevalwa u tivvaluta l-għażliet u l-impatt potenzjali tagħhom biex jiġu minimizzati l-kostijiet ta' konformità u tiġi żgurata l-proporzjonalità. Barra minn hekk, il-Kummissjoni se tkompli timpenja ruħha mal-pubbliku ġenerali u mal-partijiet ikkonċernati rilevanti l-oħrajn permezz tad-diversi mekkaniżmi ta’ konsultazzjoni tagħha, biex b'hekk tagħtihom l-opportunità li jipprovdu aktar evidenza robusta u jikkontribwixxu għall-iżvilupp tal-politika.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Apparti dan, kif ikkonfermat mill-President Juncker fid-diskors tiegħu dwar l-Istat tal-Unjoni f’Settembru 2017, il-Kummissjoni hija impenjata bis-sħiħ biex tinteraġġixxi mal-Parlament Ewropew u mal-Kunsill, kif ukoll mal-Parlamenti nazzjonali tal-UE, taħt il-Ftehim qafas dwar ir-relazzjonijiet bejn il-Parlament Ewropew u l-Kummissjoni u l-Ftehim Interistituzzjonali dwar it-Tfassil Aħjar tal-Liġijiet. Fl-14 ta’ Novembru 2017, il-President stabbilixxa uffiċjalment it-Task Force dwar is-Sussidjarjetà, il-Proporzjonalità u biex "Nagħmlu anqas b'aktar effiċjenza"</w:t>
      </w:r>
      <w:r>
        <w:rPr>
          <w:rStyle w:val="FootnoteReference"/>
          <w:rFonts w:ascii="Times New Roman" w:hAnsi="Times New Roman"/>
          <w:noProof/>
          <w:sz w:val="24"/>
        </w:rPr>
        <w:footnoteReference w:id="23"/>
      </w:r>
      <w:r>
        <w:rPr>
          <w:noProof/>
        </w:rPr>
        <w:t>.</w:t>
      </w:r>
      <w:r>
        <w:rPr>
          <w:rFonts w:ascii="Times New Roman" w:hAnsi="Times New Roman"/>
          <w:noProof/>
          <w:sz w:val="24"/>
        </w:rPr>
        <w:t xml:space="preserve"> Din se tippreżenta rapport lill-President mhux aktar tard mill-15 ta’ Lulju 2018 b’rakkomandazzjonijiet dwar kif għandhom jiġu applikati aħjar il-prinċipji tas-sussidjarjetà u tal-proporzjonalità, billi tidentifika oqsma ta’ politika fejn, matul iż-żmien, it-teħid tad-deċiżjonijiet u/jew l-implimentazzjoni jkunu jistgħu jiġu ridelegati jew ritornati b’mod definittiv lejn l-Istati Membri, kif ukoll modi kif l-awtoritajiet reġjonali u lokali jkunu jistgħu jiġu involuti aħjar fit-tfassil u t-twettiq tal-politika tal-UE.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Fl-aħħar nett, il-Kummissjoni hija impenjata wkoll li tinjetta prinċipji ta’ Regolamentazzjoni aħjar fl-istabbiliment ta’ standards globali. Hija kkontribwiet b’mod attiv u fasslet mill-ġdid l-inizjattiva tal-FSB biex tevalwa l-effett ta’ riformi ta’ wara l-kriżi tal-G20. Riċentement, il-mexxejja tal-G20 approvaw qafas ta’ evalwazzjoni tal-FSB li ġie inspirat mill-esperjenza Ewropea. Il-Kummissjoni se tieħu rwol attiv fl-ewwel evalwazzjoni f’dan il-qafas, prinċipalment biex tivvaluta l-impatt tal-intermedjazzjoni finanzjarja dwar it-tkabbir ekonomiku sostenibbli u l-finanzjament tal-infrastruttura. Is-Sejħa għal Evidenza tal-Kummissjoni dwar il-qafas regolatorju tal-UE għas-servizzi finanzjarji hija eżempju konvinċenti tal-impenn tagħha li tuża evidenza fattwali vijabbli u rigoruża bħala bażi għat-tfassil tal-politika tagħha.</w:t>
      </w:r>
    </w:p>
    <w:p>
      <w:pPr>
        <w:jc w:val="both"/>
        <w:rPr>
          <w:rFonts w:ascii="Times" w:hAnsi="Times" w:cs="Times"/>
          <w:noProof/>
          <w:sz w:val="24"/>
          <w:szCs w:val="24"/>
        </w:rPr>
      </w:pPr>
    </w:p>
    <w:sectPr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276" w:left="1417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  <w:endnote w:type="continuationNotice" w:id="1">
    <w:p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8318738"/>
      <w:docPartObj>
        <w:docPartGallery w:val="Page Numbers (Bottom of Page)"/>
        <w:docPartUnique/>
      </w:docPartObj>
    </w:sdtPr>
    <w:sdtContent>
      <w:p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>
    <w:pPr>
      <w:pStyle w:val="Footer"/>
      <w:jc w:val="righ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type="continuationNotice" w:id="1">
    <w:p>
      <w:pPr>
        <w:spacing w:after="0" w:line="240" w:lineRule="auto"/>
      </w:pPr>
    </w:p>
  </w:footnote>
  <w:footnote w:id="2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t xml:space="preserve"> Ir-Regolament (UE) Nru 575/2013</w:t>
      </w:r>
    </w:p>
  </w:footnote>
  <w:footnote w:id="3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t xml:space="preserve"> Id-Direttiva 2013/36/UE</w:t>
      </w:r>
    </w:p>
  </w:footnote>
  <w:footnote w:id="4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t xml:space="preserve"> Ir-Regolament (UE) Nru 648/2012</w:t>
      </w:r>
    </w:p>
  </w:footnote>
  <w:footnote w:id="5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t xml:space="preserve"> Proposta għal regolament COM(2017)536/948972</w:t>
      </w:r>
    </w:p>
  </w:footnote>
  <w:footnote w:id="6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t xml:space="preserve"> COM(2017) 292 final</w:t>
      </w:r>
    </w:p>
  </w:footnote>
  <w:footnote w:id="7">
    <w:p>
      <w:pPr>
        <w:pStyle w:val="FootnoteText"/>
      </w:pPr>
      <w:r>
        <w:rPr>
          <w:rStyle w:val="FootnoteReference"/>
        </w:rPr>
        <w:footnoteRef/>
      </w:r>
      <w:r>
        <w:t xml:space="preserve"> MEMO/16/3840</w:t>
      </w:r>
    </w:p>
  </w:footnote>
  <w:footnote w:id="8">
    <w:p>
      <w:pPr>
        <w:pStyle w:val="FootnoteText"/>
      </w:pPr>
      <w:r>
        <w:rPr>
          <w:rStyle w:val="FootnoteReference"/>
        </w:rPr>
        <w:footnoteRef/>
      </w:r>
      <w:r>
        <w:t xml:space="preserve"> Il-Programm dwar l-Idoneità u l-Prestazzjoni tar-Regolamentazzjoni (REFIT) tal-Kummissjoni jiżgura li l-leġiżlazzjoni tal-UE tagħti riżultati liċ-ċittadini u lin-negozji b’mod effettiv, effiċjenti u b'kost minimu. REFIT għandu l-għan li jżomm id-dritt tal-UE sempliċi, jneħħi piżijiet mhux meħtieġa u jadatta l-leġiżlazzjoni eżistenti mingħajr ma jikkomprometti l-objettivi tal-politika.</w:t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Is-sommarju tat-tabella ta’ valutazzjoni tal-Programm dwar l-Idoneità u l-Prestazzjoni tar-Regolamentazzjoni REFIT (2017)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SWD(2017) 219 finali</w:t>
      </w:r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Kif imħabbar fir-Rieżami ta’ Nofs it-Terminu tas-CMU , COM(2017) 292 final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https://ec.europa.eu/info/sites/info/files/170227-report-capital-barriers_en.pdf</w:t>
      </w:r>
    </w:p>
  </w:footnote>
  <w:footnote w:id="13">
    <w:p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>
        <w:t xml:space="preserve"> https://ec.europa.eu/commission/publications/reflection-paper-deepening-economic-and-monetary-union_mt.</w:t>
      </w:r>
    </w:p>
  </w:footnote>
  <w:footnote w:id="14">
    <w:p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>
        <w:t xml:space="preserve"> 2010/78/UE Omnibus I; 2011/89/UE FICOD; 2011/61/UE AIFMD; 2013/36/UE CRDIV; 2014/59/UE BRRD; 2014/49/UE DGS; 2013/14/UE CRAs.</w:t>
      </w:r>
    </w:p>
  </w:footnote>
  <w:footnote w:id="15">
    <w:p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>
        <w:t xml:space="preserve"> 2009/138/KE Solvibbiltà II; 2014/51/UE Omnibus II; 2013/34/UE Kontabbiltà; 2013/50/UE Trasparenza; 2014/91/UE UCITS; 2014/17/UE Direttiva dwar il-Kreditu Ipotekarju; 2014/56/UE Awditjar statutorju; 2015/2392 Direttiva ta’ implimentazzjoni ta’ MAR; 2014/92/UE Direttiva dwar il-Kontijiet ta’ Pagament; 2014/95/UE dwar l-iżvelar ta’ informazzjoni mhux finanzjarja.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2014/65/UE dwar MiFID II; 2017/593 Direttiva ta’ implimentazzjoni ta’ MIFID II; 03/07/2017.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Kumitat dwar is-sistemi ta' pagament u saldu tal-banek ċentrali tal-pajjiżi tal-Grupp tal-Għaxra BIS - Organizzazzjoni Internazzjonali tal-Kummissjonijiet tat-Titoli.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SWD(2017) 272 finali</w:t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https://ec.europa.eu/info/finance-consultations-2017-fintech_en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https://ec.europa.eu/info/law/better-regulation/initiatives/com-2017-208_en.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Eż. ISO 2022, ISIN, l-UTI, eċċ.</w:t>
      </w:r>
    </w:p>
  </w:footnote>
  <w:footnote w:id="22">
    <w:p>
      <w:pPr>
        <w:pStyle w:val="FootnoteText"/>
      </w:pPr>
      <w:r>
        <w:rPr>
          <w:rStyle w:val="FootnoteReference"/>
        </w:rPr>
        <w:footnoteRef/>
      </w:r>
      <w:r>
        <w:t xml:space="preserve"> Il-Programm jippromwovi wkoll il-Qafas Ewropew għall-Interoperabbiltà (“EIF”- European Interoperability Frawework) biex: itejjeb il-governanza ta’ attivitajiet ta’ interoperabbiltà; jistabbilixxi relazzjonijiet transorganizzattivi; jirrazzjonalizza proċessi li jappoġġaw skambji diġitali minn tarf sa tarf; u jiżgura li kemm il-leġiżlazzjoni eżistenti kif ukoll il-ġdida jappoġġaw l-isforzi ta’ interoperabbiltà.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C(2017)7810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D4A0E"/>
    <w:multiLevelType w:val="hybridMultilevel"/>
    <w:tmpl w:val="E0325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1E3DF4"/>
    <w:multiLevelType w:val="hybridMultilevel"/>
    <w:tmpl w:val="12BE5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D5345D"/>
    <w:multiLevelType w:val="hybridMultilevel"/>
    <w:tmpl w:val="2CD67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C7262"/>
    <w:multiLevelType w:val="hybridMultilevel"/>
    <w:tmpl w:val="EBC8E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7174DE"/>
    <w:multiLevelType w:val="hybridMultilevel"/>
    <w:tmpl w:val="6810A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E15857"/>
    <w:multiLevelType w:val="hybridMultilevel"/>
    <w:tmpl w:val="BA3405A2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B517D34"/>
    <w:multiLevelType w:val="hybridMultilevel"/>
    <w:tmpl w:val="FBD26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C53D2B"/>
    <w:multiLevelType w:val="hybridMultilevel"/>
    <w:tmpl w:val="B726BE16"/>
    <w:lvl w:ilvl="0" w:tplc="08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CD11692"/>
    <w:multiLevelType w:val="hybridMultilevel"/>
    <w:tmpl w:val="0050532C"/>
    <w:lvl w:ilvl="0" w:tplc="A3EE8432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2E716E23"/>
    <w:multiLevelType w:val="hybridMultilevel"/>
    <w:tmpl w:val="FEAE1E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E5C53"/>
    <w:multiLevelType w:val="hybridMultilevel"/>
    <w:tmpl w:val="6BE8026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873F28"/>
    <w:multiLevelType w:val="hybridMultilevel"/>
    <w:tmpl w:val="494C3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AE244A"/>
    <w:multiLevelType w:val="hybridMultilevel"/>
    <w:tmpl w:val="B77C8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6619D2"/>
    <w:multiLevelType w:val="hybridMultilevel"/>
    <w:tmpl w:val="801E6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15672"/>
    <w:multiLevelType w:val="hybridMultilevel"/>
    <w:tmpl w:val="868E95AE"/>
    <w:lvl w:ilvl="0" w:tplc="F5F455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0F7497"/>
    <w:multiLevelType w:val="hybridMultilevel"/>
    <w:tmpl w:val="49FE17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CA0278"/>
    <w:multiLevelType w:val="hybridMultilevel"/>
    <w:tmpl w:val="DA06A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7C0F94"/>
    <w:multiLevelType w:val="hybridMultilevel"/>
    <w:tmpl w:val="20A0E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78B36A">
      <w:start w:val="3"/>
      <w:numFmt w:val="bullet"/>
      <w:lvlText w:val="•"/>
      <w:lvlJc w:val="left"/>
      <w:pPr>
        <w:ind w:left="1800" w:hanging="720"/>
      </w:pPr>
      <w:rPr>
        <w:rFonts w:ascii="Times" w:eastAsiaTheme="minorHAnsi" w:hAnsi="Times" w:cs="Time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050E70"/>
    <w:multiLevelType w:val="hybridMultilevel"/>
    <w:tmpl w:val="1584B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9"/>
    <w:lvlOverride w:ilvl="0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3"/>
  </w:num>
  <w:num w:numId="5">
    <w:abstractNumId w:val="18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7"/>
  </w:num>
  <w:num w:numId="13">
    <w:abstractNumId w:val="2"/>
  </w:num>
  <w:num w:numId="14">
    <w:abstractNumId w:val="6"/>
  </w:num>
  <w:num w:numId="15">
    <w:abstractNumId w:val="8"/>
  </w:num>
  <w:num w:numId="16">
    <w:abstractNumId w:val="13"/>
  </w:num>
  <w:num w:numId="17">
    <w:abstractNumId w:val="5"/>
  </w:num>
  <w:num w:numId="18">
    <w:abstractNumId w:val="7"/>
  </w:num>
  <w:num w:numId="19">
    <w:abstractNumId w:val="1"/>
  </w:num>
  <w:num w:numId="20">
    <w:abstractNumId w:val="10"/>
  </w:num>
  <w:num w:numId="21">
    <w:abstractNumId w:val="12"/>
  </w:num>
  <w:numIdMacAtCleanup w:val="8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OLUWE">
    <w15:presenceInfo w15:providerId="None" w15:userId="WOLUW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revisionView w:markup="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3C0DA936-6564-4E41-AC3E-FFBC7F8999E8"/>
    <w:docVar w:name="LW_COVERPAGE_TYPE" w:val="1"/>
    <w:docVar w:name="LW_CROSSREFERENCE" w:val="&lt;UNUSED&gt;"/>
    <w:docVar w:name="LW_DocType" w:val="NORMAL"/>
    <w:docVar w:name="LW_EMISSION" w:val="1.12.2017"/>
    <w:docVar w:name="LW_EMISSION_ISODATE" w:val="2017-12-01"/>
    <w:docVar w:name="LW_EMISSION_LOCATION" w:val="BRX"/>
    <w:docVar w:name="LW_EMISSION_PREFIX" w:val="Brussell, "/>
    <w:docVar w:name="LW_EMISSION_SUFFIX" w:val="&lt;EMPTY&gt;"/>
    <w:docVar w:name="LW_ID_DOCTYPE_NONLW" w:val="CP-008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17) 736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 xsi:nil=&quot;true&quot; /&gt;_x000d__x000a_  &lt;limited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footnote xsi:nil=&quot;true&quot; /&gt;_x000d__x000a_  &lt;isRestricted&gt;false&lt;/isRestricted&gt;_x000d__x000a_&lt;/SensitivityLevel&gt;"/>
    <w:docVar w:name="LW_SOUS.TITRE.OBJ.CP" w:val="&lt;UNUSED&gt;"/>
    <w:docVar w:name="LW_SUPERTITRE" w:val="&lt;UNUSED&gt;"/>
    <w:docVar w:name="LW_TITRE.OBJ.CP" w:val="Segwitu g\u295?as-Sej\u295?a g\u295?al Evidenza - Qafas regolatorju tal-UE g\u295?as-servizzi finanzjarji"/>
    <w:docVar w:name="LW_TYPE.DOC.CP" w:val="RAPPORT TAL-KUMMISSJONI LILL-PARLAMENT EWROPEW, LILL-KUNSILL, LILL-KUMITAT EKONOMIKU U SO\u266?JALI EWROPEW U LILL-KUMITAT TAR-RE\u288?JUNI"/>
    <w:docVar w:name="Stamp" w:val="\\dossiers.dgt.cec.eu.int\dossiers\FISMA\FISMA-2017-00453\FISMA-2017-00453-00-00-EN-REV-00.201710301135253798626.DOCX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pPr>
      <w:keepNext/>
      <w:keepLines/>
      <w:spacing w:before="360" w:after="120"/>
      <w:ind w:left="851" w:hanging="851"/>
      <w:outlineLvl w:val="1"/>
    </w:pPr>
    <w:rPr>
      <w:rFonts w:ascii="Times New Roman" w:eastAsiaTheme="majorEastAsia" w:hAnsi="Times New Roman" w:cs="Times New Roman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Arial" w:hAnsi="Arial" w:cs="Arial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Theme="majorEastAsia" w:hAnsi="Times New Roman" w:cs="Times New Roman"/>
      <w:b/>
      <w:bCs/>
      <w:color w:val="4F81BD" w:themeColor="accent1"/>
      <w:sz w:val="28"/>
      <w:szCs w:val="2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FootnoteText">
    <w:name w:val="footnote text"/>
    <w:basedOn w:val="Normal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Pr>
      <w:b/>
      <w:bCs/>
      <w:i w:val="0"/>
      <w:iCs w:val="0"/>
    </w:rPr>
  </w:style>
  <w:style w:type="character" w:customStyle="1" w:styleId="st1">
    <w:name w:val="st1"/>
    <w:basedOn w:val="DefaultParagraphFont"/>
  </w:style>
  <w:style w:type="paragraph" w:customStyle="1" w:styleId="Considrant">
    <w:name w:val="Considérant"/>
    <w:basedOn w:val="Normal"/>
    <w:pPr>
      <w:numPr>
        <w:numId w:val="1"/>
      </w:numPr>
      <w:spacing w:before="120" w:after="12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</w:rPr>
  </w:style>
  <w:style w:type="paragraph" w:styleId="ListBullet">
    <w:name w:val="List Bullet"/>
    <w:basedOn w:val="Normal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</w:style>
  <w:style w:type="paragraph" w:customStyle="1" w:styleId="Text1">
    <w:name w:val="Text 1"/>
    <w:basedOn w:val="Normal"/>
    <w:pPr>
      <w:spacing w:after="240" w:line="240" w:lineRule="auto"/>
      <w:ind w:left="482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classification">
    <w:name w:val="Declassification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 w:line="240" w:lineRule="auto"/>
      <w:ind w:left="-567" w:right="-567"/>
    </w:pPr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pPr>
      <w:keepNext/>
      <w:keepLines/>
      <w:spacing w:before="360" w:after="120"/>
      <w:ind w:left="851" w:hanging="851"/>
      <w:outlineLvl w:val="1"/>
    </w:pPr>
    <w:rPr>
      <w:rFonts w:ascii="Times New Roman" w:eastAsiaTheme="majorEastAsia" w:hAnsi="Times New Roman" w:cs="Times New Roman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Arial" w:hAnsi="Arial" w:cs="Arial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Theme="majorEastAsia" w:hAnsi="Times New Roman" w:cs="Times New Roman"/>
      <w:b/>
      <w:bCs/>
      <w:color w:val="4F81BD" w:themeColor="accent1"/>
      <w:sz w:val="28"/>
      <w:szCs w:val="2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FootnoteText">
    <w:name w:val="footnote text"/>
    <w:basedOn w:val="Normal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Pr>
      <w:b/>
      <w:bCs/>
      <w:i w:val="0"/>
      <w:iCs w:val="0"/>
    </w:rPr>
  </w:style>
  <w:style w:type="character" w:customStyle="1" w:styleId="st1">
    <w:name w:val="st1"/>
    <w:basedOn w:val="DefaultParagraphFont"/>
  </w:style>
  <w:style w:type="paragraph" w:customStyle="1" w:styleId="Considrant">
    <w:name w:val="Considérant"/>
    <w:basedOn w:val="Normal"/>
    <w:pPr>
      <w:numPr>
        <w:numId w:val="1"/>
      </w:numPr>
      <w:spacing w:before="120" w:after="12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</w:rPr>
  </w:style>
  <w:style w:type="paragraph" w:styleId="ListBullet">
    <w:name w:val="List Bullet"/>
    <w:basedOn w:val="Normal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</w:style>
  <w:style w:type="paragraph" w:customStyle="1" w:styleId="Text1">
    <w:name w:val="Text 1"/>
    <w:basedOn w:val="Normal"/>
    <w:pPr>
      <w:spacing w:after="240" w:line="240" w:lineRule="auto"/>
      <w:ind w:left="482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classification">
    <w:name w:val="Declassification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 w:line="240" w:lineRule="auto"/>
      <w:ind w:left="-567" w:right="-567"/>
    </w:pPr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43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36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6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15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96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548903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889431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05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07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239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7626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72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fontTable" Target="fontTable.xm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04373-E3BB-4DEC-8472-3424945CF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12</Pages>
  <Words>6354</Words>
  <Characters>47344</Characters>
  <Application>Microsoft Office Word</Application>
  <DocSecurity>0</DocSecurity>
  <Lines>706</Lines>
  <Paragraphs>160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53538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53</cp:revision>
  <cp:lastPrinted>2017-11-23T08:13:00Z</cp:lastPrinted>
  <dcterms:created xsi:type="dcterms:W3CDTF">2017-11-27T09:55:00Z</dcterms:created>
  <dcterms:modified xsi:type="dcterms:W3CDTF">2017-12-18T14:10:00Z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rt">
    <vt:lpwstr>1</vt:lpwstr>
  </property>
  <property fmtid="{D5CDD505-2E9C-101B-9397-08002B2CF9AE}" pid="3" name="Total parts">
    <vt:lpwstr>1</vt:lpwstr>
  </property>
  <property fmtid="{D5CDD505-2E9C-101B-9397-08002B2CF9AE}" pid="4" name="DocStatus">
    <vt:lpwstr>Green</vt:lpwstr>
  </property>
  <property fmtid="{D5CDD505-2E9C-101B-9397-08002B2CF9AE}" pid="5" name="Level of sensitivity">
    <vt:lpwstr>Standard treatment</vt:lpwstr>
  </property>
  <property name="OP_sanitized" fmtid="{D5CDD505-2E9C-101B-9397-08002B2CF9AE}" pid="6">
    <vt:lpwstr>True</vt:lpwstr>
  </property>
</Properties>
</file>