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44" w:rsidRDefault="00210B24">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528B14-B756-44F6-B044-E4DC3FA2D060" style="width:450.25pt;height:375.05pt">
            <v:imagedata r:id="rId9" o:title=""/>
          </v:shape>
        </w:pict>
      </w:r>
    </w:p>
    <w:bookmarkEnd w:id="0"/>
    <w:p w:rsidR="004B3B44" w:rsidRDefault="004B3B44">
      <w:pPr>
        <w:rPr>
          <w:rFonts w:ascii="Times New Roman" w:hAnsi="Times New Roman"/>
          <w:noProof/>
        </w:rPr>
        <w:sectPr w:rsidR="004B3B4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299"/>
        </w:sectPr>
      </w:pPr>
    </w:p>
    <w:p w:rsidR="004B3B44" w:rsidRDefault="00210B24">
      <w:pPr>
        <w:pStyle w:val="Heading1"/>
        <w:spacing w:before="0" w:line="240" w:lineRule="auto"/>
        <w:rPr>
          <w:noProof/>
        </w:rPr>
      </w:pPr>
      <w:r>
        <w:rPr>
          <w:noProof/>
        </w:rPr>
        <w:lastRenderedPageBreak/>
        <w:t>Introduzzjoni: biex l-Ewropa ssir mexxejja dinjija fid-dekarbonizzazzjoni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Bħalma ddikjara l-President tal-Kummissjoni f’Settembru 2017 waqt id-diskors tiegħu dwar l-Istat tal-Unjoni, l-Unjoni Ewropea (l-UE) jeħtieġ issir </w:t>
      </w:r>
      <w:r>
        <w:rPr>
          <w:rFonts w:ascii="Times New Roman" w:hAnsi="Times New Roman"/>
          <w:b/>
          <w:noProof/>
          <w:sz w:val="24"/>
        </w:rPr>
        <w:t>mexxejja dinjija fid-dekarbonizzazzjoni</w:t>
      </w:r>
      <w:r>
        <w:rPr>
          <w:rFonts w:ascii="Times New Roman" w:hAnsi="Times New Roman"/>
          <w:noProof/>
          <w:sz w:val="24"/>
        </w:rPr>
        <w:t>. Biex l-UE jirnexxilha twettaq l-impenji li għamlet waqt il-21 Konfer</w:t>
      </w:r>
      <w:r>
        <w:rPr>
          <w:rFonts w:ascii="Times New Roman" w:hAnsi="Times New Roman"/>
          <w:noProof/>
          <w:sz w:val="24"/>
        </w:rPr>
        <w:t>enza tal-Partijiet tal-Konvenzjoni Qafas tan-Nazzjonijiet Uniti dwar it-Tibdil fil-Klima, li saret f’Pariġi , trid titħaffef id-dekarbonizzazzjoni tas-settur tat-trasport biex ikun żgurat li l-emissjonijiet tal-gassijiet serra u tas-sustanzi li jniġġsu l-a</w:t>
      </w:r>
      <w:r>
        <w:rPr>
          <w:rFonts w:ascii="Times New Roman" w:hAnsi="Times New Roman"/>
          <w:noProof/>
          <w:sz w:val="24"/>
        </w:rPr>
        <w:t>rja jaqbdu t-triq it-tajba biex sa nofs is-seklu jixxejnu għalkollox.</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Bl-istrateġija tagħha għal mobbiltà b’emissjonijiet baxxi</w:t>
      </w:r>
      <w:r>
        <w:rPr>
          <w:rStyle w:val="FootnoteReference"/>
          <w:rFonts w:ascii="Times New Roman" w:hAnsi="Times New Roman"/>
          <w:noProof/>
          <w:sz w:val="24"/>
        </w:rPr>
        <w:footnoteReference w:id="2"/>
      </w:r>
      <w:r>
        <w:rPr>
          <w:rFonts w:ascii="Times New Roman" w:hAnsi="Times New Roman"/>
          <w:noProof/>
          <w:sz w:val="24"/>
        </w:rPr>
        <w:t>, il-Kummissjoni diġà stabbiliet kif l-UE tista’ tilħaq dan il-għan. Biex taqbel ma’ din l-istrateġija, il-Komunikazzjoni tal-Ku</w:t>
      </w:r>
      <w:r>
        <w:rPr>
          <w:rFonts w:ascii="Times New Roman" w:hAnsi="Times New Roman"/>
          <w:noProof/>
          <w:sz w:val="24"/>
        </w:rPr>
        <w:t>mmissjoni “Ewropa Attiva:</w:t>
      </w:r>
      <w:r>
        <w:rPr>
          <w:rFonts w:ascii="Times New Roman" w:eastAsiaTheme="minorHAnsi" w:hAnsi="Times New Roman"/>
          <w:i/>
          <w:noProof/>
          <w:sz w:val="24"/>
        </w:rPr>
        <w:t xml:space="preserve"> </w:t>
      </w:r>
      <w:r>
        <w:rPr>
          <w:rFonts w:ascii="Times New Roman" w:hAnsi="Times New Roman"/>
          <w:noProof/>
          <w:sz w:val="24"/>
        </w:rPr>
        <w:t>aġenda għal tranżizzjoni soċjalment ġusta lejn mobbiltà kompetittiva, konnessa u mingħajr ħsara għall-ambjent għal kulħadd” tagħraf li l-ambizzjoni tal-UE trid tkun li tagħmel passi mgħaġġla lejn sistema tal-mobbiltà aktar nadifa,</w:t>
      </w:r>
      <w:r>
        <w:rPr>
          <w:rFonts w:ascii="Times New Roman" w:hAnsi="Times New Roman"/>
          <w:noProof/>
          <w:sz w:val="24"/>
        </w:rPr>
        <w:t xml:space="preserve"> aktar kompetittiva u konnessa mingħajr qtugħ sal-2025</w:t>
      </w:r>
      <w:r>
        <w:rPr>
          <w:rStyle w:val="FootnoteReference"/>
          <w:rFonts w:ascii="Times New Roman" w:hAnsi="Times New Roman"/>
          <w:noProof/>
          <w:sz w:val="24"/>
        </w:rPr>
        <w:footnoteReference w:id="3"/>
      </w:r>
      <w:r>
        <w:rPr>
          <w:rFonts w:ascii="Times New Roman" w:hAnsi="Times New Roman"/>
          <w:noProof/>
          <w:sz w:val="24"/>
        </w:rPr>
        <w:t xml:space="preserve">. </w:t>
      </w:r>
    </w:p>
    <w:p w:rsidR="004B3B44" w:rsidRDefault="00210B24">
      <w:pPr>
        <w:pStyle w:val="Text1"/>
        <w:spacing w:line="240" w:lineRule="auto"/>
        <w:ind w:left="0"/>
        <w:jc w:val="both"/>
        <w:rPr>
          <w:rFonts w:ascii="Times New Roman" w:hAnsi="Times New Roman"/>
          <w:noProof/>
          <w:sz w:val="24"/>
          <w:szCs w:val="24"/>
        </w:rPr>
      </w:pPr>
      <w:r>
        <w:rPr>
          <w:rFonts w:ascii="Times New Roman" w:eastAsiaTheme="minorHAnsi" w:hAnsi="Times New Roman"/>
          <w:noProof/>
          <w:sz w:val="24"/>
        </w:rPr>
        <w:t>Dan il-pjan ta’ azzjoni hu parti mit-tieni pakkett ta’ proposti u inizjattivi tant meħtieġa għad-dekarbonizzazzjoni tas-settur tat-trasport. Kif ippreżentat fil-Komunikazzjoni tal-Kummissjoni “It-tw</w:t>
      </w:r>
      <w:r>
        <w:rPr>
          <w:rFonts w:ascii="Times New Roman" w:eastAsiaTheme="minorHAnsi" w:hAnsi="Times New Roman"/>
          <w:noProof/>
          <w:sz w:val="24"/>
        </w:rPr>
        <w:t>ettiq ta’ mobilità b’emissjonijiet baxxi – Unjoni Ewropea li tipproteġi l-pjaneta, tagħti s-setgħa lill-konsumaturi tagħha u tiddefendi l-industrija u lill-ħaddiema tagħha” – COM(2017) 675 final, it-tieni pakkett dwar il-mobbiltà fih taħlita ta’ miżuri orj</w:t>
      </w:r>
      <w:r>
        <w:rPr>
          <w:rFonts w:ascii="Times New Roman" w:eastAsiaTheme="minorHAnsi" w:hAnsi="Times New Roman"/>
          <w:noProof/>
          <w:sz w:val="24"/>
        </w:rPr>
        <w:t>entati lejn il-provvista u miżuri orjentati lejn id-domanda biex titħaffef it-tranżizzjoni lejn il-mobbiltà mingħajr emissjonijiet u b’emissjonijiet baxxi u biex tissaħħaħ il-kompetittività tal-mobbiltà Ewropea u tas-settur tat-trasport</w:t>
      </w:r>
      <w:r>
        <w:rPr>
          <w:rFonts w:ascii="Times New Roman" w:eastAsiaTheme="minorHAnsi" w:hAnsi="Times New Roman"/>
          <w:noProof/>
          <w:sz w:val="24"/>
          <w:vertAlign w:val="superscript"/>
        </w:rPr>
        <w:footnoteReference w:id="4"/>
      </w:r>
      <w:r>
        <w:rPr>
          <w:rFonts w:ascii="Times New Roman" w:eastAsiaTheme="minorHAnsi" w:hAnsi="Times New Roman"/>
          <w:noProof/>
          <w:sz w:val="24"/>
        </w:rPr>
        <w:t xml:space="preserve">.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Madwar 95 % tal-</w:t>
      </w:r>
      <w:r>
        <w:rPr>
          <w:rFonts w:ascii="Times New Roman" w:hAnsi="Times New Roman"/>
          <w:noProof/>
          <w:sz w:val="24"/>
        </w:rPr>
        <w:t>vetturi tat-triq għadhom jużaw fjuwil konvenzjonali, inkluż taħlitiet ta’ bijofjuwils rinnovabbli, u għalhekk l-għadd ta’ vetturi u bastimenti li jaħdmu b’enerġiji alternattivi</w:t>
      </w:r>
      <w:r>
        <w:rPr>
          <w:rStyle w:val="FootnoteReference"/>
          <w:rFonts w:ascii="Times New Roman" w:hAnsi="Times New Roman"/>
          <w:noProof/>
          <w:sz w:val="24"/>
        </w:rPr>
        <w:footnoteReference w:id="5"/>
      </w:r>
      <w:r>
        <w:rPr>
          <w:rFonts w:ascii="Times New Roman" w:hAnsi="Times New Roman"/>
          <w:noProof/>
          <w:sz w:val="24"/>
        </w:rPr>
        <w:t xml:space="preserve"> fl-UE għadu ftit wisq. Il-problemi persistenti jkomplu joħolqu </w:t>
      </w:r>
      <w:r>
        <w:rPr>
          <w:rFonts w:ascii="Times New Roman" w:hAnsi="Times New Roman"/>
          <w:b/>
          <w:noProof/>
          <w:sz w:val="24"/>
        </w:rPr>
        <w:t>ostakli għas-su</w:t>
      </w:r>
      <w:r>
        <w:rPr>
          <w:rFonts w:ascii="Times New Roman" w:hAnsi="Times New Roman"/>
          <w:b/>
          <w:noProof/>
          <w:sz w:val="24"/>
        </w:rPr>
        <w:t>q</w:t>
      </w:r>
      <w:r>
        <w:rPr>
          <w:rFonts w:ascii="Times New Roman" w:hAnsi="Times New Roman"/>
          <w:noProof/>
          <w:sz w:val="24"/>
        </w:rPr>
        <w:t xml:space="preserve"> għall-użu tagħhom. Dawn jinkludu n-nuqqas ta’ infrastruttura għall-iċċarġjar u r-riforniment tal-vetturi u l-bastimenti, in-nuqqas ta’ żvilupp biżżejjed ta’ grilji intelliġenti u d-diffikultajiet għall-konsumaturi biex jużaw faċilment l-infrastruttura. B</w:t>
      </w:r>
      <w:r>
        <w:rPr>
          <w:rFonts w:ascii="Times New Roman" w:hAnsi="Times New Roman"/>
          <w:noProof/>
          <w:sz w:val="24"/>
        </w:rPr>
        <w:t xml:space="preserve">iex l-UE tkun tista’ tagħmel it-tranżizzjoni lejn mobbiltà mingħajr emissjonijiet u b’emissjonijiet baxxi, </w:t>
      </w:r>
      <w:r>
        <w:rPr>
          <w:rFonts w:ascii="Times New Roman" w:hAnsi="Times New Roman"/>
          <w:b/>
          <w:noProof/>
          <w:sz w:val="24"/>
        </w:rPr>
        <w:t>hemm bżonn jitħaddem approċċ integrat</w:t>
      </w:r>
      <w:r>
        <w:rPr>
          <w:rFonts w:ascii="Times New Roman" w:hAnsi="Times New Roman"/>
          <w:noProof/>
          <w:sz w:val="24"/>
        </w:rPr>
        <w:t>. Dan jeħtieġ qafas ta’ politika komuni għall-vetturi, l-infrastrutturi, il-grilji elettriċi, l-inċentivi ekonom</w:t>
      </w:r>
      <w:r>
        <w:rPr>
          <w:rFonts w:ascii="Times New Roman" w:hAnsi="Times New Roman"/>
          <w:noProof/>
          <w:sz w:val="24"/>
        </w:rPr>
        <w:t xml:space="preserve">iċi u s-servizzi diġitali li jintużaw fil-livell tal-UE u fil-livelli nazzjonali, reġjonali u lokali.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Dan il-pjan ta’ azzjoni jenfasizza l-azzjonijiet li jikkumplimentaw u jimplimentaw aħjar l-oqfsa nazzjonali ta’ politika skont id-Direttiva 2014/94/UE d</w:t>
      </w:r>
      <w:r>
        <w:rPr>
          <w:rFonts w:ascii="Times New Roman" w:hAnsi="Times New Roman"/>
          <w:noProof/>
          <w:sz w:val="24"/>
        </w:rPr>
        <w:t xml:space="preserve">war l-installazzjoni ta’ infrastruttura tal-karburanti alternattivi, biex jgħinu fil-ħolqien ta’ </w:t>
      </w:r>
      <w:r>
        <w:rPr>
          <w:rFonts w:ascii="Times New Roman" w:hAnsi="Times New Roman"/>
          <w:b/>
          <w:noProof/>
          <w:sz w:val="24"/>
        </w:rPr>
        <w:t>infrastruttura bażi interoperabbli tal-UE sal-2025</w:t>
      </w:r>
      <w:r>
        <w:rPr>
          <w:rFonts w:ascii="Times New Roman" w:hAnsi="Times New Roman"/>
          <w:noProof/>
          <w:sz w:val="24"/>
        </w:rPr>
        <w:t>, b’mod partikolari għall-kurituri tan-Netwerk Ewlieni tan-netwerk trans-Ewropew tat-trasport (TEN-T) ħalli l-vetturi u l-bastimenti jkunu jistgħu jintużaw faċilment bejn il-fruntieri u għal distanzi twal. Għal dan il-għan hu importanti li jintlaħaq ftehim</w:t>
      </w:r>
      <w:r>
        <w:rPr>
          <w:rFonts w:ascii="Times New Roman" w:hAnsi="Times New Roman"/>
          <w:noProof/>
          <w:sz w:val="24"/>
        </w:rPr>
        <w:t xml:space="preserve"> malajr bejn l-atturi pubbliċi u privati rilevanti kollha fuq approċċ komuni għall-interoperabbiltà tas-servizzi.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L-installazzjoni tal-infrastruttura fil-futur se jkollha bżonn </w:t>
      </w:r>
      <w:r>
        <w:rPr>
          <w:rFonts w:ascii="Times New Roman" w:hAnsi="Times New Roman"/>
          <w:b/>
          <w:noProof/>
          <w:sz w:val="24"/>
        </w:rPr>
        <w:t>investiment pubbliku u privat sinifikanti</w:t>
      </w:r>
      <w:r>
        <w:rPr>
          <w:rFonts w:ascii="Times New Roman" w:hAnsi="Times New Roman"/>
          <w:noProof/>
          <w:sz w:val="24"/>
        </w:rPr>
        <w:t>. It-taħlit ta’ għotjiet mhux ripagab</w:t>
      </w:r>
      <w:r>
        <w:rPr>
          <w:rFonts w:ascii="Times New Roman" w:hAnsi="Times New Roman"/>
          <w:noProof/>
          <w:sz w:val="24"/>
        </w:rPr>
        <w:t>bli ma’ finanzjament tad-dejn ripagabbli jeħtieġ isir standard, meta jkun fattibbli. Hemm bżonn li bosta strumenti differenti ta’ finanzjament fil-livell tal-UE jaħdmu flimkien b’mod effettiv. Għal dan il-għan, il-Kummissjoni se ssaħħaħ il-koordinazzjoni t</w:t>
      </w:r>
      <w:r>
        <w:rPr>
          <w:rFonts w:ascii="Times New Roman" w:hAnsi="Times New Roman"/>
          <w:noProof/>
          <w:sz w:val="24"/>
        </w:rPr>
        <w:t>al-istrumenti ta’ finanzjament tal-UE u se taħdem qatigħ għal sinerġiji mal-azzjonijiet fil-livell nazzjonali u lokali biex jikber l-impatt tal-finanzjament tal-UE. Barra minn hekk, din se tindirizza kwistjonijiet oħrajn ta’ importanza kritika għall-instal</w:t>
      </w:r>
      <w:r>
        <w:rPr>
          <w:rFonts w:ascii="Times New Roman" w:hAnsi="Times New Roman"/>
          <w:noProof/>
          <w:sz w:val="24"/>
        </w:rPr>
        <w:t xml:space="preserve">lazzjoni tal-infrastruttura tal-fjuwils alternattivi, fosthom l-integrazzjoni tas-sistemi tat-trasport u tal-enerġija. </w:t>
      </w:r>
    </w:p>
    <w:p w:rsidR="004B3B44" w:rsidRDefault="00210B24">
      <w:pPr>
        <w:pStyle w:val="Heading1"/>
        <w:shd w:val="clear" w:color="auto" w:fill="FFFFFF" w:themeFill="background1"/>
        <w:spacing w:before="360" w:line="240" w:lineRule="auto"/>
        <w:ind w:left="482" w:hanging="482"/>
        <w:rPr>
          <w:noProof/>
        </w:rPr>
      </w:pPr>
      <w:r>
        <w:rPr>
          <w:noProof/>
        </w:rPr>
        <w:t>Fejn wasalna?</w:t>
      </w:r>
    </w:p>
    <w:p w:rsidR="004B3B44" w:rsidRDefault="00210B24">
      <w:pPr>
        <w:pStyle w:val="Heading2"/>
        <w:shd w:val="clear" w:color="auto" w:fill="FFFFFF" w:themeFill="background1"/>
        <w:rPr>
          <w:noProof/>
        </w:rPr>
      </w:pPr>
      <w:r>
        <w:rPr>
          <w:noProof/>
        </w:rPr>
        <w:t>Is-sitwazzjoni attwali u stima tal-ħtiġijiet</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Dan l-aħħar, l-installazzjoni tal-</w:t>
      </w:r>
      <w:r>
        <w:rPr>
          <w:rFonts w:ascii="Times New Roman" w:hAnsi="Times New Roman"/>
          <w:b/>
          <w:noProof/>
          <w:sz w:val="24"/>
        </w:rPr>
        <w:t xml:space="preserve">infrastruttura għall-fjuwils alternattivi </w:t>
      </w:r>
      <w:r>
        <w:rPr>
          <w:rFonts w:ascii="Times New Roman" w:hAnsi="Times New Roman"/>
          <w:b/>
          <w:noProof/>
          <w:sz w:val="24"/>
        </w:rPr>
        <w:t>qabdet ċertu ritmu</w:t>
      </w:r>
      <w:r>
        <w:rPr>
          <w:rFonts w:ascii="Times New Roman" w:hAnsi="Times New Roman"/>
          <w:noProof/>
          <w:sz w:val="24"/>
        </w:rPr>
        <w:t>. Fl-aħħar snin sar progress importanti bis-saħħa wkoll tal-finanzjament tal-UE. Skont l-Osservatorju Ewropew tal-Fjuwils Alternattivi, sal-aħħar ta’ Settembru 2017 inħolqu 118 000 punt tal-iċċarġjar aċċessibbli pubblikament għall-vetturi</w:t>
      </w:r>
      <w:r>
        <w:rPr>
          <w:rFonts w:ascii="Times New Roman" w:hAnsi="Times New Roman"/>
          <w:noProof/>
          <w:sz w:val="24"/>
        </w:rPr>
        <w:t xml:space="preserve"> elettriċi, 3 458 punt tar-riforniment tal-gass naturali kkompressat (CNG) jew tal-gass naturali likwifikat (LNG) għall-vetturi u l-bastimenti u 82 punt tar-riforniment għall-vetturi tal-idroġenu. </w:t>
      </w:r>
    </w:p>
    <w:p w:rsidR="004B3B44" w:rsidRDefault="00210B24">
      <w:pPr>
        <w:pStyle w:val="Text2"/>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 xml:space="preserve">Issa l-UE trid </w:t>
      </w:r>
      <w:r>
        <w:rPr>
          <w:rFonts w:ascii="Times New Roman" w:hAnsi="Times New Roman"/>
          <w:b/>
          <w:noProof/>
          <w:sz w:val="24"/>
        </w:rPr>
        <w:t>tħaffef l-installazzjoni f’żewġ oqsma</w:t>
      </w:r>
      <w:r>
        <w:rPr>
          <w:rFonts w:ascii="Times New Roman" w:hAnsi="Times New Roman"/>
          <w:noProof/>
          <w:sz w:val="24"/>
        </w:rPr>
        <w:t>: l-ew</w:t>
      </w:r>
      <w:r>
        <w:rPr>
          <w:rFonts w:ascii="Times New Roman" w:hAnsi="Times New Roman"/>
          <w:noProof/>
          <w:sz w:val="24"/>
        </w:rPr>
        <w:t xml:space="preserve">wel nett fin-Netwerk Ewlieni u Komprensiv tat-TEN-T. Għal dan il-għan, il-Komunikazzjoni “Ewropa Attiva” ta’ Mejju 2017 stabbiliet mira biex </w:t>
      </w:r>
      <w:r>
        <w:rPr>
          <w:rFonts w:ascii="Times New Roman" w:hAnsi="Times New Roman"/>
          <w:b/>
          <w:noProof/>
          <w:sz w:val="24"/>
        </w:rPr>
        <w:t>sa mhux aktar tard mill-2025 titwettaq infrastruttura bażi għan-netwerk ewlieni</w:t>
      </w:r>
      <w:r>
        <w:rPr>
          <w:rFonts w:ascii="Times New Roman" w:hAnsi="Times New Roman"/>
          <w:noProof/>
          <w:sz w:val="24"/>
        </w:rPr>
        <w:t xml:space="preserve">. </w:t>
      </w:r>
    </w:p>
    <w:p w:rsidR="004B3B44" w:rsidRDefault="00210B24">
      <w:pPr>
        <w:pStyle w:val="Text2"/>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It-tieni nett, l-infrastruttura j</w:t>
      </w:r>
      <w:r>
        <w:rPr>
          <w:rFonts w:ascii="Times New Roman" w:hAnsi="Times New Roman"/>
          <w:noProof/>
          <w:sz w:val="24"/>
        </w:rPr>
        <w:t xml:space="preserve">eħtieġ tingħata spinta </w:t>
      </w:r>
      <w:r>
        <w:rPr>
          <w:rFonts w:ascii="Times New Roman" w:hAnsi="Times New Roman"/>
          <w:b/>
          <w:noProof/>
          <w:sz w:val="24"/>
        </w:rPr>
        <w:t>fiż-żoni urbani u suburbani</w:t>
      </w:r>
      <w:r>
        <w:rPr>
          <w:rFonts w:ascii="Times New Roman" w:hAnsi="Times New Roman"/>
          <w:noProof/>
          <w:sz w:val="24"/>
        </w:rPr>
        <w:t xml:space="preserve">, fejn ħafna mid-drabi qed jintużaw il-vetturi. Il-Kummissjoni tistenna li l-investiment f’dawn iż-żewġ oqsma se jikkawża effetti indiretti fejn tidħol l-installazzjoni tal-infrastruttura f’żoni oħrajn. </w:t>
      </w:r>
    </w:p>
    <w:p w:rsidR="004B3B44" w:rsidRDefault="00210B24">
      <w:pPr>
        <w:pStyle w:val="Text2"/>
        <w:shd w:val="clear" w:color="auto" w:fill="FFFFFF" w:themeFill="background1"/>
        <w:spacing w:after="120" w:line="240" w:lineRule="auto"/>
        <w:ind w:left="0"/>
        <w:jc w:val="both"/>
        <w:rPr>
          <w:rFonts w:ascii="Times New Roman" w:hAnsi="Times New Roman"/>
          <w:noProof/>
          <w:sz w:val="24"/>
          <w:szCs w:val="24"/>
        </w:rPr>
      </w:pPr>
      <w:r>
        <w:rPr>
          <w:rFonts w:ascii="Times New Roman" w:hAnsi="Times New Roman"/>
          <w:noProof/>
          <w:sz w:val="24"/>
        </w:rPr>
        <w:t>Il</w:t>
      </w:r>
      <w:r>
        <w:rPr>
          <w:rFonts w:ascii="Times New Roman" w:hAnsi="Times New Roman"/>
          <w:noProof/>
          <w:sz w:val="24"/>
        </w:rPr>
        <w:t xml:space="preserve">-ħolqien ta’ infrastruttura bażi fil-kurituri tan-netwerk ewlieni tat-TEN-T jidher l-inqas ħaġa diffiċli. Hu stmat li </w:t>
      </w:r>
      <w:r>
        <w:rPr>
          <w:rFonts w:ascii="Times New Roman" w:hAnsi="Times New Roman"/>
          <w:b/>
          <w:noProof/>
          <w:sz w:val="24"/>
        </w:rPr>
        <w:t>hemm bżonn EUR 1,5 biljun sal-2025 biex jiġu armati l-kurituri</w:t>
      </w:r>
      <w:r>
        <w:rPr>
          <w:rFonts w:ascii="Times New Roman" w:hAnsi="Times New Roman"/>
          <w:noProof/>
          <w:sz w:val="24"/>
          <w:vertAlign w:val="superscript"/>
        </w:rPr>
        <w:footnoteReference w:id="6"/>
      </w:r>
      <w:r>
        <w:rPr>
          <w:rFonts w:ascii="Times New Roman" w:hAnsi="Times New Roman"/>
          <w:noProof/>
          <w:sz w:val="24"/>
        </w:rPr>
        <w:t>. Il-lakuni għandhom x’jaqsmu l-aktar mal-punti tal-iċċarġjar tal-vetturi e</w:t>
      </w:r>
      <w:r>
        <w:rPr>
          <w:rFonts w:ascii="Times New Roman" w:hAnsi="Times New Roman"/>
          <w:noProof/>
          <w:sz w:val="24"/>
        </w:rPr>
        <w:t>lettriċi, u f’xi żoni anki mal-punti tar-riforniment tal-vetturi tqal li jużaw il-gass naturali likwifikat (LNG).</w:t>
      </w:r>
    </w:p>
    <w:p w:rsidR="004B3B44" w:rsidRDefault="00210B24">
      <w:pPr>
        <w:pStyle w:val="Text2"/>
        <w:shd w:val="clear" w:color="auto" w:fill="FFFFFF" w:themeFill="background1"/>
        <w:spacing w:after="120" w:line="240" w:lineRule="auto"/>
        <w:ind w:left="0"/>
        <w:jc w:val="both"/>
        <w:rPr>
          <w:rFonts w:ascii="Times New Roman" w:hAnsi="Times New Roman"/>
          <w:b/>
          <w:noProof/>
          <w:sz w:val="24"/>
          <w:szCs w:val="24"/>
        </w:rPr>
      </w:pPr>
      <w:r>
        <w:rPr>
          <w:rFonts w:ascii="Times New Roman" w:hAnsi="Times New Roman"/>
          <w:b/>
          <w:noProof/>
          <w:sz w:val="24"/>
        </w:rPr>
        <w:t xml:space="preserve">Neħtieġu sforzi akbar biex nindirizzaw in-netwerk usa’ tat-trasport. </w:t>
      </w:r>
    </w:p>
    <w:p w:rsidR="004B3B44" w:rsidRDefault="00210B24">
      <w:pPr>
        <w:pStyle w:val="Text2"/>
        <w:shd w:val="clear" w:color="auto" w:fill="FFFFFF" w:themeFill="background1"/>
        <w:spacing w:after="120" w:line="240" w:lineRule="auto"/>
        <w:ind w:left="0"/>
        <w:jc w:val="both"/>
        <w:rPr>
          <w:rFonts w:ascii="Times New Roman" w:hAnsi="Times New Roman"/>
          <w:noProof/>
          <w:sz w:val="24"/>
          <w:szCs w:val="24"/>
        </w:rPr>
      </w:pPr>
      <w:r>
        <w:rPr>
          <w:rFonts w:ascii="Times New Roman" w:hAnsi="Times New Roman"/>
          <w:noProof/>
          <w:sz w:val="24"/>
        </w:rPr>
        <w:t xml:space="preserve">Il-livell tal-ambizzjoni fost l-Istati Membri differenti jvarja ġmielu. </w:t>
      </w:r>
    </w:p>
    <w:p w:rsidR="004B3B44" w:rsidRDefault="00210B24">
      <w:pPr>
        <w:pStyle w:val="Text2"/>
        <w:shd w:val="clear" w:color="auto" w:fill="FFFFFF" w:themeFill="background1"/>
        <w:spacing w:after="120" w:line="240" w:lineRule="auto"/>
        <w:ind w:left="0"/>
        <w:jc w:val="both"/>
        <w:rPr>
          <w:rFonts w:ascii="Times New Roman" w:eastAsia="Arial" w:hAnsi="Times New Roman"/>
          <w:noProof/>
          <w:spacing w:val="-1"/>
          <w:sz w:val="24"/>
          <w:szCs w:val="24"/>
        </w:rPr>
      </w:pPr>
      <w:r>
        <w:rPr>
          <w:rFonts w:ascii="Times New Roman" w:hAnsi="Times New Roman"/>
          <w:noProof/>
          <w:sz w:val="24"/>
        </w:rPr>
        <w:t xml:space="preserve">Ngħidu aħna, żewġ Stati Membri biss jipprovdu aktar minn 100 punt tal-iċċarġjar </w:t>
      </w:r>
      <w:r>
        <w:rPr>
          <w:rFonts w:ascii="Times New Roman" w:hAnsi="Times New Roman"/>
          <w:i/>
          <w:noProof/>
          <w:sz w:val="24"/>
        </w:rPr>
        <w:t>għall-vetturi elettriċi</w:t>
      </w:r>
      <w:r>
        <w:rPr>
          <w:rFonts w:ascii="Times New Roman" w:hAnsi="Times New Roman"/>
          <w:noProof/>
          <w:sz w:val="24"/>
        </w:rPr>
        <w:t xml:space="preserve"> għal kull 100 000 abitant tal-belt</w:t>
      </w:r>
      <w:r>
        <w:rPr>
          <w:rStyle w:val="FootnoteReference"/>
          <w:rFonts w:ascii="Times New Roman" w:hAnsi="Times New Roman"/>
          <w:noProof/>
          <w:sz w:val="24"/>
        </w:rPr>
        <w:footnoteReference w:id="7"/>
      </w:r>
      <w:r>
        <w:rPr>
          <w:rFonts w:ascii="Times New Roman" w:hAnsi="Times New Roman"/>
          <w:noProof/>
          <w:sz w:val="24"/>
        </w:rPr>
        <w:t xml:space="preserve">. </w:t>
      </w:r>
    </w:p>
    <w:p w:rsidR="004B3B44" w:rsidRDefault="00210B24">
      <w:pPr>
        <w:pStyle w:val="Text2"/>
        <w:shd w:val="clear" w:color="auto" w:fill="FFFFFF" w:themeFill="background1"/>
        <w:spacing w:after="120" w:line="240" w:lineRule="auto"/>
        <w:ind w:left="0"/>
        <w:jc w:val="both"/>
        <w:rPr>
          <w:rFonts w:ascii="Times New Roman" w:hAnsi="Times New Roman"/>
          <w:noProof/>
          <w:sz w:val="24"/>
          <w:szCs w:val="24"/>
        </w:rPr>
      </w:pPr>
      <w:r>
        <w:rPr>
          <w:rFonts w:ascii="Times New Roman" w:hAnsi="Times New Roman"/>
          <w:noProof/>
          <w:sz w:val="24"/>
        </w:rPr>
        <w:t xml:space="preserve">Fejn jidħol </w:t>
      </w:r>
      <w:r>
        <w:rPr>
          <w:rFonts w:ascii="Times New Roman" w:hAnsi="Times New Roman"/>
          <w:i/>
          <w:noProof/>
          <w:sz w:val="24"/>
        </w:rPr>
        <w:t>il-gass naturali</w:t>
      </w:r>
      <w:r>
        <w:rPr>
          <w:rFonts w:ascii="Times New Roman" w:hAnsi="Times New Roman"/>
          <w:noProof/>
          <w:sz w:val="24"/>
        </w:rPr>
        <w:t>, l-azzjonijiet ippjanati fl-oqfsa nazzjonali ta’ politika tal-Istati Membri jippreve</w:t>
      </w:r>
      <w:r>
        <w:rPr>
          <w:rFonts w:ascii="Times New Roman" w:hAnsi="Times New Roman"/>
          <w:noProof/>
          <w:sz w:val="24"/>
        </w:rPr>
        <w:t xml:space="preserve">du żieda ta’ 2 599 sa 2 634 punt addizzjonali tar-riforniment tas-CNG u 256 sa 431 punt tar-riforniment tal-LNG fl-2025, għalkemm il-kapaċità addizzjonali ppjanata fl-oqfsa nazzjonali ta’ politika se tkun ikkonċentrata fi ftit Stati Membri biss.  </w:t>
      </w:r>
    </w:p>
    <w:p w:rsidR="004B3B44" w:rsidRDefault="00210B24">
      <w:pPr>
        <w:pStyle w:val="Text2"/>
        <w:shd w:val="clear" w:color="auto" w:fill="FFFFFF" w:themeFill="background1"/>
        <w:spacing w:after="120" w:line="240" w:lineRule="auto"/>
        <w:ind w:left="0"/>
        <w:jc w:val="both"/>
        <w:rPr>
          <w:rFonts w:ascii="Times New Roman" w:hAnsi="Times New Roman"/>
          <w:noProof/>
          <w:sz w:val="24"/>
          <w:szCs w:val="24"/>
        </w:rPr>
      </w:pPr>
      <w:r>
        <w:rPr>
          <w:rFonts w:ascii="Times New Roman" w:hAnsi="Times New Roman"/>
          <w:noProof/>
          <w:sz w:val="24"/>
        </w:rPr>
        <w:t>Fejn jid</w:t>
      </w:r>
      <w:r>
        <w:rPr>
          <w:rFonts w:ascii="Times New Roman" w:hAnsi="Times New Roman"/>
          <w:noProof/>
          <w:sz w:val="24"/>
        </w:rPr>
        <w:t xml:space="preserve">ħol </w:t>
      </w:r>
      <w:r>
        <w:rPr>
          <w:rFonts w:ascii="Times New Roman" w:hAnsi="Times New Roman"/>
          <w:i/>
          <w:noProof/>
          <w:sz w:val="24"/>
        </w:rPr>
        <w:t>l-idroġenu</w:t>
      </w:r>
      <w:r>
        <w:rPr>
          <w:rFonts w:ascii="Times New Roman" w:hAnsi="Times New Roman"/>
          <w:noProof/>
          <w:sz w:val="24"/>
        </w:rPr>
        <w:t>, wara l-valutazzjoni tal-impatt għall-proposta dwar l-istandards tas-CO</w:t>
      </w:r>
      <w:r>
        <w:rPr>
          <w:rFonts w:ascii="Times New Roman" w:hAnsi="Times New Roman"/>
          <w:noProof/>
          <w:sz w:val="24"/>
          <w:vertAlign w:val="subscript"/>
        </w:rPr>
        <w:t>2</w:t>
      </w:r>
      <w:r>
        <w:rPr>
          <w:rFonts w:ascii="Times New Roman" w:hAnsi="Times New Roman"/>
          <w:noProof/>
          <w:sz w:val="24"/>
        </w:rPr>
        <w:t xml:space="preserve"> għall-karozzi u l-vannijiet wara l-2020, is-sehem tas-suq possibbli tal-vetturi tal-idroġenu fl-2025 hu stmat li se jkun bejn 0,3-0,4 % tal-istokk kollu tal-vetturi. It</w:t>
      </w:r>
      <w:r>
        <w:rPr>
          <w:rFonts w:ascii="Times New Roman" w:hAnsi="Times New Roman"/>
          <w:noProof/>
          <w:sz w:val="24"/>
        </w:rPr>
        <w:t>-820 sa 842 stazzjon tar-riforniment li ġew ippjanati fl-oqfsa nazzjonali ta’ politika huma mistennija jakkomodaw il-ħtiġijiet tar-riforniment ta’ 0,9-1,1 miljun vettura f’dan ix-xenarju</w:t>
      </w:r>
      <w:r>
        <w:rPr>
          <w:rStyle w:val="FootnoteReference"/>
          <w:rFonts w:ascii="Times New Roman" w:hAnsi="Times New Roman"/>
          <w:noProof/>
          <w:sz w:val="24"/>
        </w:rPr>
        <w:footnoteReference w:id="8"/>
      </w:r>
      <w:r>
        <w:rPr>
          <w:rFonts w:ascii="Times New Roman" w:hAnsi="Times New Roman"/>
          <w:noProof/>
          <w:sz w:val="24"/>
        </w:rPr>
        <w:t>.</w:t>
      </w:r>
    </w:p>
    <w:p w:rsidR="004B3B44" w:rsidRDefault="00210B24">
      <w:pPr>
        <w:pStyle w:val="Text2"/>
        <w:shd w:val="clear" w:color="auto" w:fill="FFFFFF" w:themeFill="background1"/>
        <w:spacing w:after="120" w:line="240" w:lineRule="auto"/>
        <w:ind w:left="0"/>
        <w:jc w:val="both"/>
        <w:rPr>
          <w:rFonts w:ascii="Times New Roman" w:hAnsi="Times New Roman"/>
          <w:noProof/>
          <w:sz w:val="24"/>
          <w:szCs w:val="24"/>
        </w:rPr>
      </w:pPr>
      <w:r>
        <w:rPr>
          <w:rFonts w:ascii="Times New Roman" w:hAnsi="Times New Roman"/>
          <w:noProof/>
          <w:sz w:val="24"/>
        </w:rPr>
        <w:t xml:space="preserve">Analiżi tal-oqfsa nazzjonali ta’ politika skont id-Direttiva 2014/94/UE tagħti dawn </w:t>
      </w:r>
      <w:r>
        <w:rPr>
          <w:rFonts w:ascii="Times New Roman" w:hAnsi="Times New Roman"/>
          <w:b/>
          <w:noProof/>
          <w:sz w:val="24"/>
        </w:rPr>
        <w:t>l-istimi tal-ħtiġijiet tal-investiment fl-infrastrutturi mill-Istati Membri</w:t>
      </w:r>
      <w:r>
        <w:rPr>
          <w:rFonts w:ascii="Times New Roman" w:hAnsi="Times New Roman"/>
          <w:noProof/>
          <w:sz w:val="24"/>
        </w:rPr>
        <w:t>, inkluż il-kurituri tan-netwerk ewlieni tat-TEN-T</w:t>
      </w:r>
      <w:r>
        <w:rPr>
          <w:rStyle w:val="FootnoteReference"/>
          <w:rFonts w:ascii="Times New Roman" w:hAnsi="Times New Roman"/>
          <w:noProof/>
          <w:sz w:val="24"/>
        </w:rPr>
        <w:footnoteReference w:id="9"/>
      </w:r>
      <w:r>
        <w:rPr>
          <w:rFonts w:ascii="Times New Roman" w:hAnsi="Times New Roman"/>
          <w:noProof/>
          <w:sz w:val="24"/>
        </w:rPr>
        <w:t xml:space="preserve">: </w:t>
      </w:r>
    </w:p>
    <w:p w:rsidR="004B3B44" w:rsidRDefault="00210B24">
      <w:pPr>
        <w:pStyle w:val="Text1"/>
        <w:numPr>
          <w:ilvl w:val="0"/>
          <w:numId w:val="45"/>
        </w:numPr>
        <w:shd w:val="clear" w:color="auto" w:fill="FFFFFF" w:themeFill="background1"/>
        <w:spacing w:after="0" w:line="240" w:lineRule="auto"/>
        <w:ind w:left="714" w:hanging="357"/>
        <w:jc w:val="both"/>
        <w:rPr>
          <w:rFonts w:ascii="Times New Roman" w:hAnsi="Times New Roman"/>
          <w:noProof/>
          <w:sz w:val="24"/>
          <w:szCs w:val="24"/>
        </w:rPr>
      </w:pPr>
      <w:r>
        <w:rPr>
          <w:rFonts w:ascii="Times New Roman" w:hAnsi="Times New Roman"/>
          <w:i/>
          <w:noProof/>
          <w:sz w:val="24"/>
        </w:rPr>
        <w:t xml:space="preserve">L-elettriku: </w:t>
      </w:r>
      <w:r>
        <w:rPr>
          <w:rFonts w:ascii="Times New Roman" w:hAnsi="Times New Roman"/>
          <w:noProof/>
          <w:sz w:val="24"/>
        </w:rPr>
        <w:t>sa EUR 904 miljun sal-2020</w:t>
      </w:r>
      <w:r>
        <w:rPr>
          <w:rStyle w:val="FootnoteReference"/>
          <w:rFonts w:ascii="Times New Roman" w:hAnsi="Times New Roman"/>
          <w:noProof/>
          <w:sz w:val="24"/>
        </w:rPr>
        <w:footnoteReference w:id="10"/>
      </w:r>
      <w:r>
        <w:rPr>
          <w:rFonts w:ascii="Times New Roman" w:hAnsi="Times New Roman"/>
          <w:noProof/>
          <w:sz w:val="24"/>
        </w:rPr>
        <w:t>.</w:t>
      </w:r>
    </w:p>
    <w:p w:rsidR="004B3B44" w:rsidRDefault="00210B24">
      <w:pPr>
        <w:pStyle w:val="Text1"/>
        <w:numPr>
          <w:ilvl w:val="0"/>
          <w:numId w:val="45"/>
        </w:numPr>
        <w:shd w:val="clear" w:color="auto" w:fill="FFFFFF" w:themeFill="background1"/>
        <w:spacing w:after="60" w:line="240" w:lineRule="auto"/>
        <w:ind w:left="714" w:hanging="357"/>
        <w:jc w:val="both"/>
        <w:rPr>
          <w:rFonts w:ascii="Times New Roman" w:hAnsi="Times New Roman"/>
          <w:noProof/>
          <w:sz w:val="24"/>
          <w:szCs w:val="24"/>
        </w:rPr>
      </w:pPr>
      <w:r>
        <w:rPr>
          <w:rFonts w:ascii="Times New Roman" w:hAnsi="Times New Roman"/>
          <w:i/>
          <w:noProof/>
          <w:sz w:val="24"/>
        </w:rPr>
        <w:t>Is-CNG:</w:t>
      </w:r>
      <w:r>
        <w:rPr>
          <w:rFonts w:ascii="Times New Roman" w:hAnsi="Times New Roman"/>
          <w:noProof/>
          <w:sz w:val="24"/>
        </w:rPr>
        <w:t xml:space="preserve"> sa EUR 357 miljun sal-2020 u sa EUR 600 miljun sal-2025 għall-vetturi tat-triq tas-CNG</w:t>
      </w:r>
      <w:r>
        <w:rPr>
          <w:rStyle w:val="FootnoteReference"/>
          <w:rFonts w:ascii="Times New Roman" w:hAnsi="Times New Roman"/>
          <w:noProof/>
          <w:sz w:val="24"/>
        </w:rPr>
        <w:footnoteReference w:id="11"/>
      </w:r>
      <w:r>
        <w:rPr>
          <w:rFonts w:ascii="Times New Roman" w:hAnsi="Times New Roman"/>
          <w:noProof/>
          <w:sz w:val="24"/>
        </w:rPr>
        <w:t xml:space="preserve">. </w:t>
      </w:r>
    </w:p>
    <w:p w:rsidR="004B3B44" w:rsidRDefault="00210B24">
      <w:pPr>
        <w:pStyle w:val="Text1"/>
        <w:numPr>
          <w:ilvl w:val="0"/>
          <w:numId w:val="45"/>
        </w:numPr>
        <w:shd w:val="clear" w:color="auto" w:fill="FFFFFF" w:themeFill="background1"/>
        <w:spacing w:after="60" w:line="240" w:lineRule="auto"/>
        <w:ind w:left="714" w:hanging="357"/>
        <w:jc w:val="both"/>
        <w:rPr>
          <w:rFonts w:ascii="Times New Roman" w:hAnsi="Times New Roman"/>
          <w:noProof/>
          <w:sz w:val="24"/>
          <w:szCs w:val="24"/>
        </w:rPr>
      </w:pPr>
      <w:r>
        <w:rPr>
          <w:rFonts w:ascii="Times New Roman" w:hAnsi="Times New Roman"/>
          <w:i/>
          <w:noProof/>
          <w:sz w:val="24"/>
        </w:rPr>
        <w:t>L-LNG</w:t>
      </w:r>
      <w:r>
        <w:rPr>
          <w:rFonts w:ascii="Times New Roman" w:hAnsi="Times New Roman"/>
          <w:noProof/>
          <w:sz w:val="24"/>
        </w:rPr>
        <w:t>: sa EUR 257 miljun sal-2025 għall-vetturi tat-triq tal-LNG. Għall-LNG għat-trasport fuq l-ilma, sa EUR 945 miljun fil-portijiet tal-Kurituri tan-Netwerk</w:t>
      </w:r>
      <w:r>
        <w:rPr>
          <w:rFonts w:ascii="Times New Roman" w:hAnsi="Times New Roman"/>
          <w:noProof/>
          <w:sz w:val="24"/>
        </w:rPr>
        <w:t xml:space="preserve"> Ewlieni tat-TEN-T sal-2025 u sa EUR 1 biljun fil-portijiet interni tal-Kurituri tan-Netwerk Ewlieni tat-TEN-T sal-2030.</w:t>
      </w:r>
    </w:p>
    <w:p w:rsidR="004B3B44" w:rsidRDefault="00210B24">
      <w:pPr>
        <w:pStyle w:val="Text1"/>
        <w:numPr>
          <w:ilvl w:val="0"/>
          <w:numId w:val="45"/>
        </w:numPr>
        <w:shd w:val="clear" w:color="auto" w:fill="FFFFFF" w:themeFill="background1"/>
        <w:spacing w:line="240" w:lineRule="auto"/>
        <w:ind w:left="714" w:hanging="357"/>
        <w:jc w:val="both"/>
        <w:rPr>
          <w:rFonts w:ascii="Times New Roman" w:hAnsi="Times New Roman"/>
          <w:noProof/>
          <w:sz w:val="24"/>
          <w:szCs w:val="24"/>
        </w:rPr>
      </w:pPr>
      <w:r>
        <w:rPr>
          <w:rFonts w:ascii="Times New Roman" w:hAnsi="Times New Roman"/>
          <w:i/>
          <w:noProof/>
          <w:sz w:val="24"/>
        </w:rPr>
        <w:t xml:space="preserve">L-idroġenu: </w:t>
      </w:r>
      <w:r>
        <w:rPr>
          <w:rFonts w:ascii="Times New Roman" w:hAnsi="Times New Roman"/>
          <w:noProof/>
          <w:sz w:val="24"/>
        </w:rPr>
        <w:t>sa EUR 707 miljun sal-2025.</w:t>
      </w:r>
    </w:p>
    <w:p w:rsidR="004B3B44" w:rsidRDefault="00210B24">
      <w:pPr>
        <w:pStyle w:val="Text1"/>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Għall-</w:t>
      </w:r>
      <w:r>
        <w:rPr>
          <w:rFonts w:ascii="Times New Roman" w:hAnsi="Times New Roman"/>
          <w:b/>
          <w:noProof/>
          <w:sz w:val="24"/>
        </w:rPr>
        <w:t>elettriku</w:t>
      </w:r>
      <w:r>
        <w:rPr>
          <w:rFonts w:ascii="Times New Roman" w:hAnsi="Times New Roman"/>
          <w:noProof/>
          <w:sz w:val="24"/>
        </w:rPr>
        <w:t>, dawn il-pjanijiet nazzjonali mhumiex qed ilaħħqu mal-istimi tal-Kummissjoni għ</w:t>
      </w:r>
      <w:r>
        <w:rPr>
          <w:rFonts w:ascii="Times New Roman" w:hAnsi="Times New Roman"/>
          <w:noProof/>
          <w:sz w:val="24"/>
        </w:rPr>
        <w:t>all-infrastruttura. Għall-vetturi elettriċi, il-valutazzjoni tal-impatt għad-Direttiva 2014/94/UE tqis il-parametru referenzjarju konservattiv ta’ 4 miljun vettura elettrika fit-toroq sal-2020. Dan jirrappreżenta żieda kbira meta mqabbel max-xenarju attwal</w:t>
      </w:r>
      <w:r>
        <w:rPr>
          <w:rFonts w:ascii="Times New Roman" w:hAnsi="Times New Roman"/>
          <w:noProof/>
          <w:sz w:val="24"/>
        </w:rPr>
        <w:t xml:space="preserve">i, iżda xorta jikkorrispondi biss għal madwar 1,5 % tal-istokk tal-vetturi tal-lum. </w:t>
      </w:r>
    </w:p>
    <w:p w:rsidR="004B3B44" w:rsidRDefault="00210B24">
      <w:pPr>
        <w:pStyle w:val="Text1"/>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Jekk iż-żieda fil-karozzi elettriċi ssir aktar malajr, dan iwassal għal sehem ta’ 7 % fl-2025, kif tassumi l-valutazzjoni tal-impatt għall-proposta għall-istandards tal-pr</w:t>
      </w:r>
      <w:r>
        <w:rPr>
          <w:rFonts w:ascii="Times New Roman" w:hAnsi="Times New Roman"/>
          <w:noProof/>
          <w:sz w:val="24"/>
        </w:rPr>
        <w:t>estazzjoni tal-emissjonijiet tas-CO</w:t>
      </w:r>
      <w:r>
        <w:rPr>
          <w:rFonts w:ascii="Times New Roman" w:hAnsi="Times New Roman"/>
          <w:noProof/>
          <w:sz w:val="24"/>
          <w:vertAlign w:val="subscript"/>
        </w:rPr>
        <w:t>2</w:t>
      </w:r>
      <w:r>
        <w:rPr>
          <w:rFonts w:ascii="Times New Roman" w:hAnsi="Times New Roman"/>
          <w:noProof/>
          <w:sz w:val="24"/>
        </w:rPr>
        <w:t xml:space="preserve"> għall-karozzi u l-vannijiet wara l-2020</w:t>
      </w:r>
      <w:r>
        <w:rPr>
          <w:rStyle w:val="FootnoteReference"/>
          <w:rFonts w:ascii="Times New Roman" w:hAnsi="Times New Roman"/>
          <w:noProof/>
          <w:sz w:val="24"/>
        </w:rPr>
        <w:footnoteReference w:id="12"/>
      </w:r>
      <w:r>
        <w:rPr>
          <w:rFonts w:ascii="Times New Roman" w:hAnsi="Times New Roman"/>
          <w:noProof/>
          <w:sz w:val="24"/>
        </w:rPr>
        <w:t xml:space="preserve">, li għandu jwassal għal aktar ħtiġijiet tal-investiment:  </w:t>
      </w:r>
    </w:p>
    <w:p w:rsidR="004B3B44" w:rsidRDefault="00210B24">
      <w:pPr>
        <w:pStyle w:val="Text1"/>
        <w:numPr>
          <w:ilvl w:val="0"/>
          <w:numId w:val="46"/>
        </w:numPr>
        <w:shd w:val="clear" w:color="auto" w:fill="FFFFFF" w:themeFill="background1"/>
        <w:spacing w:after="60" w:line="240" w:lineRule="auto"/>
        <w:ind w:left="777" w:hanging="357"/>
        <w:jc w:val="both"/>
        <w:rPr>
          <w:rFonts w:ascii="Times New Roman" w:hAnsi="Times New Roman"/>
          <w:noProof/>
          <w:sz w:val="24"/>
          <w:szCs w:val="24"/>
        </w:rPr>
      </w:pPr>
      <w:r>
        <w:rPr>
          <w:rFonts w:ascii="Times New Roman" w:hAnsi="Times New Roman"/>
          <w:noProof/>
          <w:sz w:val="24"/>
        </w:rPr>
        <w:t>Sal-</w:t>
      </w:r>
      <w:r>
        <w:rPr>
          <w:rFonts w:ascii="Times New Roman" w:hAnsi="Times New Roman"/>
          <w:i/>
          <w:noProof/>
          <w:sz w:val="24"/>
        </w:rPr>
        <w:t>2020</w:t>
      </w:r>
      <w:r>
        <w:rPr>
          <w:rFonts w:ascii="Times New Roman" w:hAnsi="Times New Roman"/>
          <w:noProof/>
          <w:sz w:val="24"/>
        </w:rPr>
        <w:t xml:space="preserve"> hemm bżonn 440 000 punt tal-iċċarġjar aċċessibbli pubblikament – żieda sinifikanti meta mqabbla max-xenarju at</w:t>
      </w:r>
      <w:r>
        <w:rPr>
          <w:rFonts w:ascii="Times New Roman" w:hAnsi="Times New Roman"/>
          <w:noProof/>
          <w:sz w:val="24"/>
        </w:rPr>
        <w:t>twali</w:t>
      </w:r>
      <w:r>
        <w:rPr>
          <w:rStyle w:val="FootnoteReference"/>
          <w:rFonts w:ascii="Times New Roman" w:hAnsi="Times New Roman"/>
          <w:noProof/>
          <w:sz w:val="24"/>
        </w:rPr>
        <w:footnoteReference w:id="13"/>
      </w:r>
      <w:r>
        <w:rPr>
          <w:rFonts w:ascii="Times New Roman" w:hAnsi="Times New Roman"/>
          <w:noProof/>
        </w:rPr>
        <w:t>.</w:t>
      </w:r>
      <w:r>
        <w:rPr>
          <w:rFonts w:ascii="Times New Roman" w:hAnsi="Times New Roman"/>
          <w:noProof/>
          <w:sz w:val="24"/>
        </w:rPr>
        <w:t xml:space="preserve"> Dan jaf ikun jeħtieġ investiment sa EUR 3,9 biljun f’punti tal-iċċarġjar aċċessibbli pubblikament. </w:t>
      </w:r>
    </w:p>
    <w:p w:rsidR="004B3B44" w:rsidRDefault="00210B24">
      <w:pPr>
        <w:pStyle w:val="Text1"/>
        <w:numPr>
          <w:ilvl w:val="0"/>
          <w:numId w:val="46"/>
        </w:numPr>
        <w:shd w:val="clear" w:color="auto" w:fill="FFFFFF" w:themeFill="background1"/>
        <w:spacing w:after="60" w:line="240" w:lineRule="auto"/>
        <w:ind w:left="777" w:hanging="357"/>
        <w:jc w:val="both"/>
        <w:rPr>
          <w:rFonts w:ascii="Times New Roman" w:hAnsi="Times New Roman"/>
          <w:noProof/>
          <w:sz w:val="24"/>
          <w:szCs w:val="24"/>
        </w:rPr>
      </w:pPr>
      <w:r>
        <w:rPr>
          <w:rFonts w:ascii="Times New Roman" w:hAnsi="Times New Roman"/>
          <w:noProof/>
          <w:sz w:val="24"/>
        </w:rPr>
        <w:t>Sal-2025 se jkun hemm bżonn madwar ħames darbiet aktar jew madwar 2 miljun punt tal-iċċarġjar aċċessibbli pubblikament. Jekk is-sehem tal-infrastrut</w:t>
      </w:r>
      <w:r>
        <w:rPr>
          <w:rFonts w:ascii="Times New Roman" w:hAnsi="Times New Roman"/>
          <w:noProof/>
          <w:sz w:val="24"/>
        </w:rPr>
        <w:t>tura tal-iċċarġjar malajr jiżdied għal 5-15 % tal-infrastrutturi ġenerali għall-iċċarġjar, kull sena mill-2021 jaf ikun hemm bżonn isiru investimenti ta’ bejn wieħed u ieħor EUR 2,7 sa 3,8 biljun</w:t>
      </w:r>
      <w:r>
        <w:rPr>
          <w:rStyle w:val="FootnoteReference"/>
          <w:rFonts w:ascii="Times New Roman" w:hAnsi="Times New Roman"/>
          <w:noProof/>
          <w:sz w:val="24"/>
        </w:rPr>
        <w:footnoteReference w:id="14"/>
      </w:r>
      <w:r>
        <w:rPr>
          <w:rFonts w:ascii="Times New Roman" w:hAnsi="Times New Roman"/>
          <w:noProof/>
          <w:sz w:val="24"/>
        </w:rPr>
        <w:t xml:space="preserve">. Il-maġġoranza ta’ dawn il-ħtiġijiet tal-investiment huma </w:t>
      </w:r>
      <w:r>
        <w:rPr>
          <w:rFonts w:ascii="Times New Roman" w:hAnsi="Times New Roman"/>
          <w:i/>
          <w:noProof/>
          <w:sz w:val="24"/>
        </w:rPr>
        <w:t>f</w:t>
      </w:r>
      <w:r>
        <w:rPr>
          <w:rFonts w:ascii="Times New Roman" w:hAnsi="Times New Roman"/>
          <w:i/>
          <w:noProof/>
          <w:sz w:val="24"/>
        </w:rPr>
        <w:t>iż-żoni urbani</w:t>
      </w:r>
      <w:r>
        <w:rPr>
          <w:rStyle w:val="FootnoteReference"/>
          <w:rFonts w:ascii="Times New Roman" w:hAnsi="Times New Roman"/>
          <w:noProof/>
          <w:sz w:val="24"/>
        </w:rPr>
        <w:footnoteReference w:id="15"/>
      </w:r>
      <w:r>
        <w:rPr>
          <w:rFonts w:ascii="Times New Roman" w:hAnsi="Times New Roman"/>
          <w:noProof/>
          <w:sz w:val="24"/>
        </w:rPr>
        <w:t xml:space="preserve">. </w:t>
      </w:r>
    </w:p>
    <w:p w:rsidR="004B3B44" w:rsidRDefault="004B3B44">
      <w:pPr>
        <w:pStyle w:val="Text1"/>
        <w:shd w:val="clear" w:color="auto" w:fill="FFFFFF" w:themeFill="background1"/>
        <w:spacing w:after="0" w:line="240" w:lineRule="auto"/>
        <w:ind w:left="0"/>
        <w:jc w:val="both"/>
        <w:rPr>
          <w:rFonts w:ascii="Times New Roman" w:hAnsi="Times New Roman"/>
          <w:noProof/>
          <w:sz w:val="24"/>
          <w:szCs w:val="24"/>
        </w:rPr>
      </w:pPr>
    </w:p>
    <w:p w:rsidR="004B3B44" w:rsidRDefault="00210B24">
      <w:pPr>
        <w:pStyle w:val="Text1"/>
        <w:shd w:val="clear" w:color="auto" w:fill="FFFFFF" w:themeFill="background1"/>
        <w:spacing w:after="0" w:line="240" w:lineRule="auto"/>
        <w:ind w:left="0"/>
        <w:jc w:val="both"/>
        <w:rPr>
          <w:rFonts w:ascii="Times New Roman" w:hAnsi="Times New Roman"/>
          <w:noProof/>
          <w:sz w:val="24"/>
          <w:szCs w:val="24"/>
        </w:rPr>
      </w:pPr>
      <w:r>
        <w:rPr>
          <w:rFonts w:ascii="Times New Roman" w:hAnsi="Times New Roman"/>
          <w:noProof/>
          <w:sz w:val="24"/>
        </w:rPr>
        <w:t>Għall-</w:t>
      </w:r>
      <w:r>
        <w:rPr>
          <w:rFonts w:ascii="Times New Roman" w:hAnsi="Times New Roman"/>
          <w:b/>
          <w:noProof/>
          <w:sz w:val="24"/>
        </w:rPr>
        <w:t>gass naturali u l-idroġenu</w:t>
      </w:r>
      <w:r>
        <w:rPr>
          <w:rFonts w:ascii="Times New Roman" w:hAnsi="Times New Roman"/>
          <w:noProof/>
          <w:sz w:val="24"/>
        </w:rPr>
        <w:t xml:space="preserve">, l-azzjonijiet ippjanati mill-Istati Membri fl-oqfsa nazzjonali ta’ politika u l-istimi tal-Kummissjoni huma kongruwenti. </w:t>
      </w:r>
    </w:p>
    <w:p w:rsidR="004B3B44" w:rsidRDefault="004B3B44">
      <w:pPr>
        <w:pStyle w:val="Text1"/>
        <w:shd w:val="clear" w:color="auto" w:fill="FFFFFF" w:themeFill="background1"/>
        <w:spacing w:after="0" w:line="240" w:lineRule="auto"/>
        <w:ind w:left="0"/>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8835"/>
      </w:tblGrid>
      <w:tr w:rsidR="004B3B44">
        <w:tc>
          <w:tcPr>
            <w:tcW w:w="8835" w:type="dxa"/>
            <w:shd w:val="clear" w:color="auto" w:fill="948A54" w:themeFill="background2" w:themeFillShade="80"/>
          </w:tcPr>
          <w:p w:rsidR="004B3B44" w:rsidRDefault="00210B24">
            <w:pPr>
              <w:pStyle w:val="Text1"/>
              <w:spacing w:after="0" w:line="240" w:lineRule="auto"/>
              <w:ind w:left="0"/>
              <w:jc w:val="both"/>
              <w:rPr>
                <w:rFonts w:ascii="Times New Roman" w:hAnsi="Times New Roman"/>
                <w:b/>
                <w:noProof/>
                <w:sz w:val="24"/>
                <w:szCs w:val="24"/>
              </w:rPr>
            </w:pPr>
            <w:r>
              <w:rPr>
                <w:rFonts w:ascii="Times New Roman" w:hAnsi="Times New Roman"/>
                <w:noProof/>
                <w:sz w:val="24"/>
              </w:rPr>
              <w:t>F’daqqa, il-</w:t>
            </w:r>
            <w:r>
              <w:rPr>
                <w:rFonts w:ascii="Times New Roman" w:hAnsi="Times New Roman"/>
                <w:b/>
                <w:noProof/>
                <w:sz w:val="24"/>
              </w:rPr>
              <w:t>ħtiġijiet stmati kollha tal-investiment</w:t>
            </w:r>
            <w:r>
              <w:rPr>
                <w:rFonts w:ascii="Times New Roman" w:hAnsi="Times New Roman"/>
                <w:noProof/>
                <w:sz w:val="24"/>
              </w:rPr>
              <w:t xml:space="preserve"> għall-infrastruttura tal-fju</w:t>
            </w:r>
            <w:r>
              <w:rPr>
                <w:rFonts w:ascii="Times New Roman" w:hAnsi="Times New Roman"/>
                <w:noProof/>
                <w:sz w:val="24"/>
              </w:rPr>
              <w:t xml:space="preserve">wils alternattivi aċċessibbli pubblikament fl-UE jammontaw għal madwar </w:t>
            </w:r>
            <w:r>
              <w:rPr>
                <w:rFonts w:ascii="Times New Roman" w:hAnsi="Times New Roman"/>
                <w:b/>
                <w:noProof/>
                <w:sz w:val="24"/>
              </w:rPr>
              <w:t>EUR 5,2 biljun sal-2020</w:t>
            </w:r>
            <w:r>
              <w:rPr>
                <w:rFonts w:ascii="Times New Roman" w:hAnsi="Times New Roman"/>
                <w:noProof/>
                <w:sz w:val="24"/>
              </w:rPr>
              <w:t xml:space="preserve"> u għal </w:t>
            </w:r>
            <w:r>
              <w:rPr>
                <w:rFonts w:ascii="Times New Roman" w:hAnsi="Times New Roman"/>
                <w:b/>
                <w:noProof/>
                <w:sz w:val="24"/>
              </w:rPr>
              <w:t>EUR 16-il biljun addizzjonali sa EUR 22 biljun sal-2025</w:t>
            </w:r>
            <w:r>
              <w:rPr>
                <w:rFonts w:ascii="Times New Roman" w:hAnsi="Times New Roman"/>
                <w:noProof/>
                <w:sz w:val="24"/>
              </w:rPr>
              <w:t>.</w:t>
            </w:r>
          </w:p>
          <w:p w:rsidR="004B3B44" w:rsidRDefault="004B3B44">
            <w:pPr>
              <w:pStyle w:val="Text1"/>
              <w:spacing w:after="0" w:line="240" w:lineRule="auto"/>
              <w:ind w:left="0"/>
              <w:jc w:val="both"/>
              <w:rPr>
                <w:rFonts w:ascii="Times New Roman" w:hAnsi="Times New Roman"/>
                <w:noProof/>
                <w:sz w:val="24"/>
                <w:szCs w:val="24"/>
              </w:rPr>
            </w:pPr>
          </w:p>
          <w:p w:rsidR="004B3B44" w:rsidRDefault="00210B24">
            <w:pPr>
              <w:pStyle w:val="Text1"/>
              <w:spacing w:after="0" w:line="240" w:lineRule="auto"/>
              <w:ind w:left="0"/>
              <w:jc w:val="both"/>
              <w:rPr>
                <w:rFonts w:ascii="Times New Roman" w:hAnsi="Times New Roman"/>
                <w:noProof/>
                <w:sz w:val="24"/>
                <w:szCs w:val="24"/>
              </w:rPr>
            </w:pPr>
            <w:r>
              <w:rPr>
                <w:rFonts w:ascii="Times New Roman" w:hAnsi="Times New Roman"/>
                <w:noProof/>
                <w:sz w:val="24"/>
              </w:rPr>
              <w:t xml:space="preserve">Biex jiġu indirizzati dawn il-ħtiġijiet sinifikanti, jenħtieġ jintuża appoġġ finanzjarju </w:t>
            </w:r>
            <w:r>
              <w:rPr>
                <w:rFonts w:ascii="Times New Roman" w:hAnsi="Times New Roman"/>
                <w:noProof/>
                <w:sz w:val="24"/>
              </w:rPr>
              <w:t>pubbliku biex joħloq investiment privat sinifikanti, inkluż permezz ta’ finanzjament innovattiv.</w:t>
            </w:r>
          </w:p>
        </w:tc>
      </w:tr>
    </w:tbl>
    <w:p w:rsidR="004B3B44" w:rsidRDefault="004B3B44">
      <w:pPr>
        <w:pStyle w:val="Text1"/>
        <w:spacing w:after="0" w:line="240" w:lineRule="auto"/>
        <w:ind w:left="0"/>
        <w:jc w:val="both"/>
        <w:rPr>
          <w:rFonts w:ascii="Times New Roman" w:hAnsi="Times New Roman"/>
          <w:noProof/>
          <w:sz w:val="24"/>
          <w:szCs w:val="24"/>
        </w:rPr>
      </w:pPr>
    </w:p>
    <w:p w:rsidR="004B3B44" w:rsidRDefault="00210B24">
      <w:pPr>
        <w:pStyle w:val="Text1"/>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Wieħed jinnota li kull stima tal-ħtiġijiet tal-investiment hi affettwata b’</w:t>
      </w:r>
      <w:r>
        <w:rPr>
          <w:rFonts w:ascii="Times New Roman" w:hAnsi="Times New Roman"/>
          <w:b/>
          <w:noProof/>
          <w:sz w:val="24"/>
        </w:rPr>
        <w:t>inċertezzi konsiderevoli</w:t>
      </w:r>
      <w:r>
        <w:rPr>
          <w:rFonts w:ascii="Times New Roman" w:hAnsi="Times New Roman"/>
          <w:noProof/>
          <w:sz w:val="24"/>
        </w:rPr>
        <w:t xml:space="preserve"> fejn jidħlu d-densità tal-infrastruttura futura tal-iċċarġjar bil-mod u malajr, id-domanda tal-vetturi u l-iżviluppi teknoloġiċi (eż il-potenza tal-batterija).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Għaldaqstant il-Kummissjoni tilqa’ l-wegħda riċenti tal-manifatturi l-kbar Ewropej tal-karozzi</w:t>
      </w:r>
      <w:r>
        <w:rPr>
          <w:rFonts w:ascii="Times New Roman" w:hAnsi="Times New Roman"/>
          <w:noProof/>
          <w:sz w:val="24"/>
        </w:rPr>
        <w:t xml:space="preserve"> li se jqiegħdu aktar vetturi elettriċi bil-batterija fis-suq sal-2020</w:t>
      </w:r>
      <w:r>
        <w:rPr>
          <w:rStyle w:val="FootnoteReference"/>
          <w:rFonts w:ascii="Times New Roman" w:hAnsi="Times New Roman"/>
          <w:noProof/>
          <w:sz w:val="24"/>
        </w:rPr>
        <w:footnoteReference w:id="16"/>
      </w:r>
      <w:r>
        <w:rPr>
          <w:rFonts w:ascii="Times New Roman" w:hAnsi="Times New Roman"/>
          <w:noProof/>
          <w:sz w:val="24"/>
        </w:rPr>
        <w:t xml:space="preserve">. Dan jagħti aktar ċertezza għall-investimenti fl-infrastruttura. Il-Kummissjoni tappella lis-settur tal-karozzi biex jissokta u jżid l-investiment ukoll f’teknoloġiji rilevanti oħrajn </w:t>
      </w:r>
      <w:r>
        <w:rPr>
          <w:rFonts w:ascii="Times New Roman" w:hAnsi="Times New Roman"/>
          <w:noProof/>
          <w:sz w:val="24"/>
        </w:rPr>
        <w:t xml:space="preserve">li jaħdmu mingħajr emissjonijiet jew b’emissjonijiet baxxi. </w:t>
      </w:r>
    </w:p>
    <w:p w:rsidR="004B3B44" w:rsidRDefault="00210B24">
      <w:pPr>
        <w:pStyle w:val="Text1"/>
        <w:spacing w:line="240" w:lineRule="auto"/>
        <w:ind w:left="0"/>
        <w:jc w:val="both"/>
        <w:rPr>
          <w:rFonts w:ascii="Times New Roman" w:eastAsia="Arial" w:hAnsi="Times New Roman"/>
          <w:noProof/>
          <w:spacing w:val="-1"/>
          <w:sz w:val="24"/>
          <w:szCs w:val="24"/>
        </w:rPr>
      </w:pPr>
      <w:r>
        <w:rPr>
          <w:rFonts w:ascii="Times New Roman" w:hAnsi="Times New Roman"/>
          <w:noProof/>
          <w:spacing w:val="-1"/>
          <w:sz w:val="24"/>
        </w:rPr>
        <w:t>Minħabba l-inċertezzi konsiderevoli, hu tassew importanti li jonqsu r-riskji għall-investituri privati permezz ta’ strumenti tal-mitigazzjoni mmirati apposta bħal pereżempju s-self iddedikat u l-</w:t>
      </w:r>
      <w:r>
        <w:rPr>
          <w:rFonts w:ascii="Times New Roman" w:hAnsi="Times New Roman"/>
          <w:noProof/>
          <w:spacing w:val="-1"/>
          <w:sz w:val="24"/>
        </w:rPr>
        <w:t xml:space="preserve">garanziji sottoskritti mis-settur pubbliku. Barra minn hekk, hemm bżonn orjentazzjoni ċara u fit-tul tal-politika. Skont id-Direttiva 2014/94/UE, l-oqfsa nazzjonali ta’ politika jaqdu rwol ċentrali f’dan ir-rigward.  </w:t>
      </w:r>
    </w:p>
    <w:p w:rsidR="004B3B44" w:rsidRDefault="00210B24">
      <w:pPr>
        <w:pStyle w:val="Heading2"/>
        <w:rPr>
          <w:noProof/>
        </w:rPr>
      </w:pPr>
      <w:r>
        <w:rPr>
          <w:noProof/>
        </w:rPr>
        <w:t>L-oqfsa nazzjonali ta’ politika għall-</w:t>
      </w:r>
      <w:r>
        <w:rPr>
          <w:noProof/>
        </w:rPr>
        <w:t>infrastruttura tal-fjuwils alternattivi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Id-Direttiva 2014/94/UE teżiġi li l-Istati Membri jistabbilixxu oqfsa nazzjonali ta’ politika biex jipprevedu kopertura minima tal-infrastruttura sal-2020, sal-2025 u sal-2030, li tkun dipendenti fuq il-fjuwil, u jin</w:t>
      </w:r>
      <w:r>
        <w:rPr>
          <w:rFonts w:ascii="Times New Roman" w:hAnsi="Times New Roman"/>
          <w:noProof/>
          <w:sz w:val="24"/>
        </w:rPr>
        <w:t>notifikaw l-oqfsa nazzjonali ta’ politika lill-Kummissjoni sat-18 ta’ Novembru 2016</w:t>
      </w:r>
      <w:r>
        <w:rPr>
          <w:rStyle w:val="FootnoteReference"/>
          <w:rFonts w:ascii="Times New Roman" w:hAnsi="Times New Roman"/>
          <w:noProof/>
          <w:sz w:val="24"/>
        </w:rPr>
        <w:footnoteReference w:id="17"/>
      </w:r>
      <w:r>
        <w:rPr>
          <w:rFonts w:ascii="Times New Roman" w:hAnsi="Times New Roman"/>
          <w:noProof/>
          <w:sz w:val="24"/>
        </w:rPr>
        <w:t xml:space="preserve">. B’konformità mal-Artikolu 3(1) tad-Direttiva, l-oqfsa nazzjonali ta’ politika għandhom </w:t>
      </w:r>
      <w:r>
        <w:rPr>
          <w:rFonts w:ascii="Times New Roman" w:hAnsi="Times New Roman"/>
          <w:b/>
          <w:noProof/>
          <w:sz w:val="24"/>
        </w:rPr>
        <w:t xml:space="preserve">jistabbilixxu sett ċar ta’ miri u għanijiet fit-tul u jistipulaw miżuri ta’ appoġġ </w:t>
      </w:r>
      <w:r>
        <w:rPr>
          <w:rFonts w:ascii="Times New Roman" w:hAnsi="Times New Roman"/>
          <w:b/>
          <w:noProof/>
          <w:sz w:val="24"/>
        </w:rPr>
        <w:t>xierqa</w:t>
      </w:r>
      <w:r>
        <w:rPr>
          <w:rFonts w:ascii="Times New Roman" w:hAnsi="Times New Roman"/>
          <w:noProof/>
          <w:sz w:val="24"/>
        </w:rPr>
        <w:t>, ħallu jagħtu ċertezza ta’ politika fit-tul lis-swieq.</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Kif jeżiġi l-Artikolu 10(2) tad-Direttiva, il-Kummissjoni vvalutat l-oqfsa nazzjonali ta’ politika u l-koerenza tagħhom fil-livell tal-Unjoni. Din ivvalutat jekk l-oqfsa nazzjonali ta’ politika </w:t>
      </w:r>
      <w:r>
        <w:rPr>
          <w:rFonts w:ascii="Times New Roman" w:hAnsi="Times New Roman"/>
          <w:noProof/>
          <w:sz w:val="24"/>
        </w:rPr>
        <w:t>jippermettux lill-Istat Membru inkwistjoni biex jilħaq il-miri u l-għanijiet li jkun stabbilixxa għalih kif jeżiġi l-Artikolu 3(1). Din il-Komunikazzjoni tirrapporta dwar din il-valutazzjoni fit-taqsimiet t’hawn taħt.</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b/>
          <w:noProof/>
          <w:sz w:val="24"/>
        </w:rPr>
        <w:t>Il-kompletezza, il-koerenza u l-ambizz</w:t>
      </w:r>
      <w:r>
        <w:rPr>
          <w:rFonts w:ascii="Times New Roman" w:hAnsi="Times New Roman"/>
          <w:b/>
          <w:noProof/>
          <w:sz w:val="24"/>
        </w:rPr>
        <w:t>joni</w:t>
      </w:r>
      <w:r>
        <w:rPr>
          <w:rFonts w:ascii="Times New Roman" w:hAnsi="Times New Roman"/>
          <w:noProof/>
          <w:sz w:val="24"/>
        </w:rPr>
        <w:t xml:space="preserve"> </w:t>
      </w:r>
      <w:r>
        <w:rPr>
          <w:rFonts w:ascii="Times New Roman" w:hAnsi="Times New Roman"/>
          <w:b/>
          <w:noProof/>
          <w:sz w:val="24"/>
        </w:rPr>
        <w:t>tal-oqfsa nazzjonali ta’ politika</w:t>
      </w:r>
      <w:r>
        <w:rPr>
          <w:rFonts w:ascii="Times New Roman" w:hAnsi="Times New Roman"/>
          <w:noProof/>
          <w:sz w:val="24"/>
        </w:rPr>
        <w:t xml:space="preserve"> </w:t>
      </w:r>
      <w:r>
        <w:rPr>
          <w:rFonts w:ascii="Times New Roman" w:hAnsi="Times New Roman"/>
          <w:b/>
          <w:noProof/>
          <w:sz w:val="24"/>
        </w:rPr>
        <w:t>jvarjaw ferm</w:t>
      </w:r>
      <w:r>
        <w:rPr>
          <w:rStyle w:val="FootnoteReference"/>
          <w:rFonts w:ascii="Times New Roman" w:hAnsi="Times New Roman"/>
          <w:noProof/>
          <w:sz w:val="24"/>
        </w:rPr>
        <w:footnoteReference w:id="18"/>
      </w:r>
      <w:r>
        <w:rPr>
          <w:rFonts w:ascii="Times New Roman" w:hAnsi="Times New Roman"/>
          <w:noProof/>
        </w:rPr>
        <w:t>.</w:t>
      </w:r>
      <w:r>
        <w:rPr>
          <w:rFonts w:ascii="Times New Roman" w:hAnsi="Times New Roman"/>
          <w:noProof/>
          <w:sz w:val="24"/>
        </w:rPr>
        <w:t xml:space="preserve"> Sas-6 ta’ Novembru 2017, kienu biss tmienja (8) l-oqfsa nazzjonali ta’ politika minn 25</w:t>
      </w:r>
      <w:r>
        <w:rPr>
          <w:rStyle w:val="FootnoteReference"/>
          <w:rFonts w:ascii="Times New Roman" w:hAnsi="Times New Roman"/>
          <w:noProof/>
          <w:sz w:val="24"/>
        </w:rPr>
        <w:footnoteReference w:id="19"/>
      </w:r>
      <w:r>
        <w:rPr>
          <w:rFonts w:ascii="Times New Roman" w:hAnsi="Times New Roman"/>
          <w:noProof/>
          <w:sz w:val="24"/>
        </w:rPr>
        <w:t xml:space="preserve"> li ssodisfaw għalkollox ir-rekwiżiti tal-oqfsa nazzjonali ta’ politika</w:t>
      </w:r>
      <w:r>
        <w:rPr>
          <w:rStyle w:val="FootnoteReference"/>
          <w:rFonts w:ascii="Times New Roman" w:hAnsi="Times New Roman"/>
          <w:noProof/>
          <w:sz w:val="24"/>
        </w:rPr>
        <w:footnoteReference w:id="20"/>
      </w:r>
      <w:r>
        <w:rPr>
          <w:rFonts w:ascii="Times New Roman" w:hAnsi="Times New Roman"/>
          <w:noProof/>
          <w:sz w:val="24"/>
        </w:rPr>
        <w:t>. Sal-lum, hemm żewġ (2) Stati Membri li g</w:t>
      </w:r>
      <w:r>
        <w:rPr>
          <w:rFonts w:ascii="Times New Roman" w:hAnsi="Times New Roman"/>
          <w:noProof/>
          <w:sz w:val="24"/>
        </w:rPr>
        <w:t>ħadhom ma ressqux l-oqfsa nazzjonali ta’ politika</w:t>
      </w:r>
      <w:r>
        <w:rPr>
          <w:rStyle w:val="FootnoteReference"/>
          <w:rFonts w:ascii="Times New Roman" w:hAnsi="Times New Roman"/>
          <w:noProof/>
          <w:sz w:val="24"/>
        </w:rPr>
        <w:footnoteReference w:id="21"/>
      </w:r>
      <w:r>
        <w:rPr>
          <w:rFonts w:ascii="Times New Roman" w:hAnsi="Times New Roman"/>
          <w:noProof/>
          <w:sz w:val="24"/>
        </w:rPr>
        <w:t>. L-oqfsa nazzjonali ta’ politika mhumiex koerenti minn perspettiva tal-UE mil-lat tal-prijoritajiet stabbiliti minnhom u kemm huma ambizzjużi fejn jidħlu l-fjuwils alternattivi differenti. L-ambizzjoni tal</w:t>
      </w:r>
      <w:r>
        <w:rPr>
          <w:rFonts w:ascii="Times New Roman" w:hAnsi="Times New Roman"/>
          <w:noProof/>
          <w:sz w:val="24"/>
        </w:rPr>
        <w:t>-Istati Membri biex tinbidel is-sitwazzjoni attwali tvarja ħafna, kemm mil-lat ta’ skjerament previst ta’ vetturi u bastimenti li jaħdmu bl-enerġija alternattiva u anki l-infrastruttura relatata. Fuq kollox, huma ftit l-oqfsa nazzjonali ta’ politika li jis</w:t>
      </w:r>
      <w:r>
        <w:rPr>
          <w:rFonts w:ascii="Times New Roman" w:hAnsi="Times New Roman"/>
          <w:noProof/>
          <w:sz w:val="24"/>
        </w:rPr>
        <w:t>tabbilixxu miri u għanijiet ċari u suffiċjenti u li jissuġġerixxu miżuri ta’ appoġġ</w:t>
      </w:r>
      <w:r>
        <w:rPr>
          <w:rStyle w:val="FootnoteReference"/>
          <w:rFonts w:ascii="Times New Roman" w:hAnsi="Times New Roman"/>
          <w:noProof/>
          <w:sz w:val="24"/>
        </w:rPr>
        <w:footnoteReference w:id="22"/>
      </w:r>
      <w:r>
        <w:rPr>
          <w:rFonts w:ascii="Times New Roman" w:hAnsi="Times New Roman"/>
          <w:noProof/>
          <w:sz w:val="24"/>
        </w:rPr>
        <w:t>. Qafas nazzjonali ta’ politika wieħed (1) ma fih l-ebda mira.</w:t>
      </w:r>
    </w:p>
    <w:p w:rsidR="004B3B44" w:rsidRDefault="00210B24">
      <w:pPr>
        <w:keepNext/>
        <w:spacing w:line="240" w:lineRule="auto"/>
        <w:jc w:val="both"/>
        <w:rPr>
          <w:rFonts w:ascii="Times New Roman" w:hAnsi="Times New Roman"/>
          <w:i/>
          <w:noProof/>
          <w:sz w:val="24"/>
          <w:szCs w:val="24"/>
        </w:rPr>
      </w:pPr>
      <w:r>
        <w:rPr>
          <w:rFonts w:ascii="Times New Roman" w:hAnsi="Times New Roman"/>
          <w:i/>
          <w:noProof/>
          <w:sz w:val="24"/>
        </w:rPr>
        <w:t>L-elettriku</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Kull qafas nazzjonali ta’ politika jistabbilixxi miri għall-infrastruttura tal-iċċarġjar għall-ve</w:t>
      </w:r>
      <w:r>
        <w:rPr>
          <w:rFonts w:ascii="Times New Roman" w:hAnsi="Times New Roman"/>
          <w:noProof/>
          <w:sz w:val="24"/>
        </w:rPr>
        <w:t xml:space="preserve">tturi elettriċi. </w:t>
      </w:r>
      <w:r>
        <w:rPr>
          <w:rFonts w:ascii="Times New Roman" w:hAnsi="Times New Roman"/>
          <w:b/>
          <w:noProof/>
          <w:sz w:val="24"/>
        </w:rPr>
        <w:t>Madankollu, il-livell tal-ambizzjoni u d-dettall ivarja ġmielu fost l-Istati Membri</w:t>
      </w:r>
      <w:r>
        <w:rPr>
          <w:rFonts w:ascii="Times New Roman" w:hAnsi="Times New Roman"/>
          <w:noProof/>
          <w:sz w:val="24"/>
        </w:rPr>
        <w:t>. Fl-ippjanar ta’ ħafna inqas minn 200 000 punt tal-iċċarġjar aċċessibbli pubblikament sal-2020, l-oqfsa nazzjonali ta’ politika ma jissodisfawx il-ħtieġa s</w:t>
      </w:r>
      <w:r>
        <w:rPr>
          <w:rFonts w:ascii="Times New Roman" w:hAnsi="Times New Roman"/>
          <w:noProof/>
          <w:sz w:val="24"/>
        </w:rPr>
        <w:t>tmata tal-Kummissjoni mogħtija fit-Taqsima 2.1. B’mod mill-inqas ambizzjuż, sitt (6) oqfsa nazzjonali ta’ politika jistabbilixxu miri li diġà kważi ntlaħqu. Filwaqt li oħrajn jistabbilixxu miri ambizzjużi li se jkun diffiċli biex jintlaħqu bil-miżuri ta’ p</w:t>
      </w:r>
      <w:r>
        <w:rPr>
          <w:rFonts w:ascii="Times New Roman" w:hAnsi="Times New Roman"/>
          <w:noProof/>
          <w:sz w:val="24"/>
        </w:rPr>
        <w:t>olitika ppjanati.</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 xml:space="preserve">Kull qafas nazzjonali ta’ politika jistabbilixxi </w:t>
      </w:r>
      <w:r>
        <w:rPr>
          <w:rFonts w:ascii="Times New Roman" w:hAnsi="Times New Roman"/>
          <w:b/>
          <w:noProof/>
          <w:sz w:val="24"/>
        </w:rPr>
        <w:t>firxa wiesgħa ta’ miżuri ta’ appoġġ, iżda għad hemm xi inċertezzi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Il-miżuri għadhom ma ġewx adottati jew inkella l-miżuri jidhru limitati wisq biex iħallu impatti tanġibbli fuq is-suq. Kul</w:t>
      </w:r>
      <w:r>
        <w:rPr>
          <w:rFonts w:ascii="Times New Roman" w:hAnsi="Times New Roman"/>
          <w:noProof/>
          <w:sz w:val="24"/>
        </w:rPr>
        <w:t>l qafas nazzjonali ta’ politika għajr tnejn (2) jistabbilixxu miri għall-punti tal-iċċarġjar aċċessibbli pubblikament, u 10 Stati Membri ma jikkunsidraw l-ebda miżura biex jiżdiedu l-punti tal-iċċarġjar aċċessibbli pubblikament. Il-kopertura tan-netwerk ew</w:t>
      </w:r>
      <w:r>
        <w:rPr>
          <w:rFonts w:ascii="Times New Roman" w:hAnsi="Times New Roman"/>
          <w:noProof/>
          <w:sz w:val="24"/>
        </w:rPr>
        <w:t>lieni tat-TEN-T qed tipprogressa, iżda hemm xi partijiet minnha li jistgħu jibqgħu mingħajr infrastruttura minima tal-iċċarġjar jekk ma tittieħed l-ebda azzjoni oħra</w:t>
      </w:r>
      <w:r>
        <w:rPr>
          <w:rStyle w:val="FootnoteReference"/>
          <w:rFonts w:ascii="Times New Roman" w:hAnsi="Times New Roman"/>
          <w:noProof/>
          <w:sz w:val="24"/>
        </w:rPr>
        <w:footnoteReference w:id="23"/>
      </w:r>
      <w:r>
        <w:rPr>
          <w:rFonts w:ascii="Times New Roman" w:hAnsi="Times New Roman"/>
          <w:noProof/>
          <w:sz w:val="24"/>
        </w:rPr>
        <w:t xml:space="preserve">. L-installazzjoni ta’ punti tal-iċċarġjar b’potenza kbira f’kull stazzjon tal-iċċarġjar </w:t>
      </w:r>
      <w:r>
        <w:rPr>
          <w:rFonts w:ascii="Times New Roman" w:hAnsi="Times New Roman"/>
          <w:noProof/>
          <w:sz w:val="24"/>
        </w:rPr>
        <w:t>tul in-netwerk ewlieni tat-TEN-T hija essenzjali. L-oqfsa nazzjonali ta’ politika ftit li xejn ikopru l-provvista tal-elettriku max-xtut u l-provvista tal-elettriku għall-ajruplani weqfin.</w:t>
      </w:r>
    </w:p>
    <w:tbl>
      <w:tblPr>
        <w:tblStyle w:val="TableGrid"/>
        <w:tblW w:w="0" w:type="auto"/>
        <w:shd w:val="clear" w:color="auto" w:fill="C4BC96" w:themeFill="background2" w:themeFillShade="BF"/>
        <w:tblLook w:val="04A0" w:firstRow="1" w:lastRow="0" w:firstColumn="1" w:lastColumn="0" w:noHBand="0" w:noVBand="1"/>
      </w:tblPr>
      <w:tblGrid>
        <w:gridCol w:w="8835"/>
      </w:tblGrid>
      <w:tr w:rsidR="004B3B44">
        <w:tc>
          <w:tcPr>
            <w:tcW w:w="8835" w:type="dxa"/>
            <w:shd w:val="clear" w:color="auto" w:fill="C4BC96" w:themeFill="background2" w:themeFillShade="BF"/>
          </w:tcPr>
          <w:p w:rsidR="004B3B44" w:rsidRDefault="00210B24">
            <w:pPr>
              <w:spacing w:line="240" w:lineRule="auto"/>
              <w:jc w:val="both"/>
              <w:rPr>
                <w:rFonts w:ascii="Times New Roman" w:hAnsi="Times New Roman"/>
                <w:noProof/>
                <w:sz w:val="24"/>
                <w:szCs w:val="24"/>
              </w:rPr>
            </w:pPr>
            <w:r>
              <w:rPr>
                <w:rFonts w:ascii="Times New Roman" w:hAnsi="Times New Roman"/>
                <w:noProof/>
              </w:rPr>
              <w:t xml:space="preserve">Il-qafas nazzjonali ta’ politika Pollakk hu eżempju tajjeb ta’ </w:t>
            </w:r>
            <w:r>
              <w:rPr>
                <w:rFonts w:ascii="Times New Roman" w:hAnsi="Times New Roman"/>
                <w:noProof/>
              </w:rPr>
              <w:t>analiżi tal-ħtiġijiet tal-agglomerazzjonijiet, taż-żoni b’popolazzjoni densa u tan-netwerk kollu tat-TEN-T fir-rigward tal-ħtiġijiet tal-infrastruttura tal-fjuwils alternattivi – inkluż il-ħtiġijiet tas-suq.</w:t>
            </w:r>
            <w:r>
              <w:rPr>
                <w:rFonts w:ascii="Times New Roman" w:hAnsi="Times New Roman"/>
                <w:noProof/>
                <w:sz w:val="24"/>
              </w:rPr>
              <w:t xml:space="preserve"> </w:t>
            </w:r>
            <w:r>
              <w:rPr>
                <w:rFonts w:ascii="Times New Roman" w:hAnsi="Times New Roman"/>
                <w:noProof/>
              </w:rPr>
              <w:t>Fil-Ġermanja, il-fornitur taż-żona ewlieni tas-s</w:t>
            </w:r>
            <w:r>
              <w:rPr>
                <w:rFonts w:ascii="Times New Roman" w:hAnsi="Times New Roman"/>
                <w:noProof/>
              </w:rPr>
              <w:t>ervizzi fl-awtostrada se jinstalla punti tal-iċċarġjar b’potenza kbira f’kull stazzjon tas-servizzi (f’kull pompa) tiegħu sal-aħħar ta’ din is-sena. Fir-Renju Unit, Highways England impenjat ruħha li tiżgura li tal-inqas ikun hemm punti tal-iċċarġjar b’pot</w:t>
            </w:r>
            <w:r>
              <w:rPr>
                <w:rFonts w:ascii="Times New Roman" w:hAnsi="Times New Roman"/>
                <w:noProof/>
              </w:rPr>
              <w:t xml:space="preserve">enza kbira f’kull 32 km tul 95 % tan-netwerk tat-toroq strateġiċi tal-Ingilterra. </w:t>
            </w:r>
          </w:p>
        </w:tc>
      </w:tr>
    </w:tbl>
    <w:p w:rsidR="004B3B44" w:rsidRDefault="00210B24">
      <w:pPr>
        <w:keepNext/>
        <w:spacing w:line="240" w:lineRule="auto"/>
        <w:jc w:val="both"/>
        <w:rPr>
          <w:rFonts w:ascii="Times New Roman" w:hAnsi="Times New Roman"/>
          <w:i/>
          <w:noProof/>
          <w:sz w:val="24"/>
          <w:szCs w:val="24"/>
        </w:rPr>
      </w:pPr>
      <w:r>
        <w:rPr>
          <w:rFonts w:ascii="Times New Roman" w:hAnsi="Times New Roman"/>
          <w:i/>
          <w:noProof/>
          <w:sz w:val="24"/>
          <w:szCs w:val="24"/>
        </w:rPr>
        <w:br/>
      </w:r>
      <w:r>
        <w:rPr>
          <w:rFonts w:ascii="Times New Roman" w:hAnsi="Times New Roman"/>
          <w:i/>
          <w:noProof/>
          <w:sz w:val="24"/>
        </w:rPr>
        <w:t>Il-gass naturali</w:t>
      </w:r>
    </w:p>
    <w:p w:rsidR="004B3B44" w:rsidRDefault="00210B24">
      <w:pPr>
        <w:spacing w:line="240" w:lineRule="auto"/>
        <w:jc w:val="both"/>
        <w:rPr>
          <w:rFonts w:ascii="Times New Roman" w:hAnsi="Times New Roman"/>
          <w:noProof/>
          <w:sz w:val="24"/>
          <w:szCs w:val="24"/>
        </w:rPr>
      </w:pPr>
      <w:r>
        <w:rPr>
          <w:rFonts w:ascii="Times New Roman" w:hAnsi="Times New Roman"/>
          <w:b/>
          <w:noProof/>
          <w:sz w:val="24"/>
        </w:rPr>
        <w:t>Il-maġġoranza tal-Istati Membri ma stabbilew l-ebda mira</w:t>
      </w:r>
      <w:r>
        <w:rPr>
          <w:rFonts w:ascii="Times New Roman" w:hAnsi="Times New Roman"/>
          <w:noProof/>
          <w:sz w:val="24"/>
        </w:rPr>
        <w:t xml:space="preserve"> </w:t>
      </w:r>
      <w:r>
        <w:rPr>
          <w:rFonts w:ascii="Times New Roman" w:hAnsi="Times New Roman"/>
          <w:b/>
          <w:noProof/>
          <w:sz w:val="24"/>
        </w:rPr>
        <w:t>għall-vetturi tas-CNG</w:t>
      </w:r>
      <w:r>
        <w:rPr>
          <w:rFonts w:ascii="Times New Roman" w:hAnsi="Times New Roman"/>
          <w:noProof/>
          <w:sz w:val="24"/>
        </w:rPr>
        <w:t>. Iżda huma ftit l-oqfsa nazzjonali ta’ politika</w:t>
      </w:r>
      <w:r>
        <w:rPr>
          <w:rStyle w:val="FootnoteReference"/>
          <w:rFonts w:ascii="Times New Roman" w:hAnsi="Times New Roman"/>
          <w:noProof/>
          <w:sz w:val="24"/>
        </w:rPr>
        <w:footnoteReference w:id="24"/>
      </w:r>
      <w:r>
        <w:rPr>
          <w:rFonts w:ascii="Times New Roman" w:hAnsi="Times New Roman"/>
          <w:noProof/>
          <w:sz w:val="24"/>
        </w:rPr>
        <w:t xml:space="preserve"> li jagħtu prijorità lill-i</w:t>
      </w:r>
      <w:r>
        <w:rPr>
          <w:rFonts w:ascii="Times New Roman" w:hAnsi="Times New Roman"/>
          <w:noProof/>
          <w:sz w:val="24"/>
        </w:rPr>
        <w:t xml:space="preserve">nstallazzjoni. Ħafna mill-oqfsa nazzjonali ta’ politika għandhom nuqqas ta’ stimi b’rabta mal-adozzjoni tal-vetturi fil-futur. Id-disponibbiltà tal-infrastruttura tista’ tkun problema fil-ġejjieni fl-Istati Membri li bħalissa għandhom għadd kbir ta’ punti </w:t>
      </w:r>
      <w:r>
        <w:rPr>
          <w:rFonts w:ascii="Times New Roman" w:hAnsi="Times New Roman"/>
          <w:noProof/>
          <w:sz w:val="24"/>
        </w:rPr>
        <w:t>tar-riforniment tas-CNG meta mqabbel mal-għadd ta’ vetturi tas-CNG fit-triq u ddikjaraw li ma għandhom l-ebda pjan biex jappoġġaw żieda ulterjuri fl-infrastruttura</w:t>
      </w:r>
      <w:r>
        <w:rPr>
          <w:rStyle w:val="FootnoteReference"/>
          <w:rFonts w:ascii="Times New Roman" w:hAnsi="Times New Roman"/>
          <w:noProof/>
          <w:sz w:val="24"/>
        </w:rPr>
        <w:footnoteReference w:id="25"/>
      </w:r>
      <w:r>
        <w:rPr>
          <w:rFonts w:ascii="Times New Roman" w:hAnsi="Times New Roman"/>
          <w:noProof/>
          <w:sz w:val="24"/>
        </w:rPr>
        <w:t>.</w:t>
      </w:r>
    </w:p>
    <w:p w:rsidR="004B3B44" w:rsidRDefault="00210B24">
      <w:pPr>
        <w:spacing w:line="240" w:lineRule="auto"/>
        <w:jc w:val="both"/>
        <w:rPr>
          <w:rFonts w:ascii="Times New Roman" w:hAnsi="Times New Roman"/>
          <w:noProof/>
          <w:sz w:val="24"/>
          <w:szCs w:val="24"/>
        </w:rPr>
      </w:pPr>
      <w:r>
        <w:rPr>
          <w:rFonts w:ascii="Times New Roman" w:hAnsi="Times New Roman"/>
          <w:b/>
          <w:noProof/>
          <w:sz w:val="24"/>
        </w:rPr>
        <w:t xml:space="preserve">F’19-il qafas nazzjonali ta’ politika hemm miri tal-LNG għall-vetturi tqal tat-triq </w:t>
      </w:r>
      <w:r>
        <w:rPr>
          <w:rFonts w:ascii="Times New Roman" w:hAnsi="Times New Roman"/>
          <w:noProof/>
          <w:sz w:val="24"/>
        </w:rPr>
        <w:t>, iżda</w:t>
      </w:r>
      <w:r>
        <w:rPr>
          <w:rFonts w:ascii="Times New Roman" w:hAnsi="Times New Roman"/>
          <w:noProof/>
          <w:sz w:val="24"/>
        </w:rPr>
        <w:t xml:space="preserve"> l-istabbiliment tal-miri u l-ippjanar tal-azzjoni mhumiex dejjem adattati u mhux se jwasslu għall-kopertura meħtieġa min-netwerk ewlieni tat-toroq tat-TEN-T. Kienu ħamsa (5) biss l-oqfsa nazzjonali ta’ politika li jistabbilixxu stimi dwar l-adozzjoni tal-</w:t>
      </w:r>
      <w:r>
        <w:rPr>
          <w:rFonts w:ascii="Times New Roman" w:hAnsi="Times New Roman"/>
          <w:noProof/>
          <w:sz w:val="24"/>
        </w:rPr>
        <w:t>vetturi tqal tal-LNG fil-ġejjieni.</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Xi ftit mill-oqfsa nazzjonali ta’ politika</w:t>
      </w:r>
      <w:r>
        <w:rPr>
          <w:rStyle w:val="FootnoteReference"/>
          <w:rFonts w:ascii="Times New Roman" w:hAnsi="Times New Roman"/>
          <w:noProof/>
          <w:sz w:val="24"/>
        </w:rPr>
        <w:footnoteReference w:id="26"/>
      </w:r>
      <w:r>
        <w:rPr>
          <w:rFonts w:ascii="Times New Roman" w:hAnsi="Times New Roman"/>
          <w:noProof/>
          <w:sz w:val="24"/>
        </w:rPr>
        <w:t xml:space="preserve"> jistabbilixxu miri ambizzjużi </w:t>
      </w:r>
      <w:r>
        <w:rPr>
          <w:rFonts w:ascii="Times New Roman" w:hAnsi="Times New Roman"/>
          <w:b/>
          <w:noProof/>
          <w:sz w:val="24"/>
        </w:rPr>
        <w:t>għall-installazzjoni tal-infrastruttura tal-LNG fil-portijiet marittimi u interni</w:t>
      </w:r>
      <w:r>
        <w:rPr>
          <w:rFonts w:ascii="Times New Roman" w:hAnsi="Times New Roman"/>
          <w:noProof/>
          <w:sz w:val="24"/>
        </w:rPr>
        <w:t>. Iżda ħafna minn dawn ma jindirizzawx il-ħtiġijiet tal-punti tar-</w:t>
      </w:r>
      <w:r>
        <w:rPr>
          <w:rFonts w:ascii="Times New Roman" w:hAnsi="Times New Roman"/>
          <w:noProof/>
          <w:sz w:val="24"/>
        </w:rPr>
        <w:t>riforniment tal-LNG fil-portijiet marittimi sal-2025 u fil-portijiet interni sal-2030. Għadd ta’ portijiet fin-netwerk ewlieni tat-TEN-T qed jirriskjaw li jibqgħu mingħajr soluzzjoni għall-punti tar-riforniment tal-LNG. Fil-każ tal-passaġġi fuq l-ilma inte</w:t>
      </w:r>
      <w:r>
        <w:rPr>
          <w:rFonts w:ascii="Times New Roman" w:hAnsi="Times New Roman"/>
          <w:noProof/>
          <w:sz w:val="24"/>
        </w:rPr>
        <w:t>rni fil-kurituri tat-TEN-T, mhi ppjanata l-ebda infrastruttura tar-riforniment tal-LNG li hi biżżejjed biex fl-UE tkun tista’ ssir ċirkolazzjoni wiesgħa ta’ bastimenti fil-passaġġi fuq l-ilma interni.</w:t>
      </w:r>
    </w:p>
    <w:p w:rsidR="004B3B44" w:rsidRDefault="00210B24">
      <w:pPr>
        <w:shd w:val="clear" w:color="auto" w:fill="C4BC96" w:themeFill="background2" w:themeFillShade="BF"/>
        <w:spacing w:line="240" w:lineRule="auto"/>
        <w:jc w:val="both"/>
        <w:rPr>
          <w:rFonts w:ascii="Times New Roman" w:hAnsi="Times New Roman"/>
          <w:noProof/>
        </w:rPr>
      </w:pPr>
      <w:r>
        <w:rPr>
          <w:rFonts w:ascii="Times New Roman" w:hAnsi="Times New Roman"/>
          <w:noProof/>
        </w:rPr>
        <w:t>Il-qafas nazzjonali ta’ politika Taljan iqis li hu kruċ</w:t>
      </w:r>
      <w:r>
        <w:rPr>
          <w:rFonts w:ascii="Times New Roman" w:hAnsi="Times New Roman"/>
          <w:noProof/>
        </w:rPr>
        <w:t>jali li tiġi żviluppata infrastruttura tal-LNG għall-applikazzjonijiet marittimi. Il-pjan għall-iżvilupp tagħha, inkluż it-tfassil tal-kwantitajiet tal-ħażna f’kull wieħed mill-14-il port marittimu tan-netwerk ewlieni TEN-T u lil hinn, hu eżempju ta’ ppjan</w:t>
      </w:r>
      <w:r>
        <w:rPr>
          <w:rFonts w:ascii="Times New Roman" w:hAnsi="Times New Roman"/>
          <w:noProof/>
        </w:rPr>
        <w:t>ar tajjeb tal-politika. Bosta oqfsa nazzjonali ta’ politika jinnotaw li parti sinifikanti mill-Faċilità Nikkollegaw l-Ewropa (is-CEF) u fondi oħrajn tal-UE jridu jagħtu sehemhom fl-appoġġ tal-iskjerament tar-riforniment tal-LNG għall-vetturi tqal u l-basti</w:t>
      </w:r>
      <w:r>
        <w:rPr>
          <w:rFonts w:ascii="Times New Roman" w:hAnsi="Times New Roman"/>
          <w:noProof/>
        </w:rPr>
        <w:t>menti.</w:t>
      </w:r>
    </w:p>
    <w:p w:rsidR="004B3B44" w:rsidRDefault="00210B24">
      <w:pPr>
        <w:keepNext/>
        <w:spacing w:line="240" w:lineRule="auto"/>
        <w:jc w:val="both"/>
        <w:rPr>
          <w:rFonts w:ascii="Times New Roman" w:hAnsi="Times New Roman"/>
          <w:i/>
          <w:noProof/>
          <w:sz w:val="24"/>
          <w:szCs w:val="24"/>
        </w:rPr>
      </w:pPr>
      <w:r>
        <w:rPr>
          <w:rFonts w:ascii="Times New Roman" w:hAnsi="Times New Roman"/>
          <w:i/>
          <w:noProof/>
          <w:sz w:val="24"/>
        </w:rPr>
        <w:t>L-idroġenu</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L-installazzjoni tal-</w:t>
      </w:r>
      <w:r>
        <w:rPr>
          <w:rFonts w:ascii="Times New Roman" w:hAnsi="Times New Roman"/>
          <w:b/>
          <w:noProof/>
          <w:sz w:val="24"/>
        </w:rPr>
        <w:t>infrastruttura tar-riforniment tal-vetturi elettriċi biċ-celloli tal-fjuwil li jaħdmu bl-idroġenu</w:t>
      </w:r>
      <w:r>
        <w:rPr>
          <w:rFonts w:ascii="Times New Roman" w:hAnsi="Times New Roman"/>
          <w:noProof/>
          <w:sz w:val="24"/>
        </w:rPr>
        <w:t xml:space="preserve"> mhix obbligatorja bid-Direttiva 2014/94/UE. 14-il Stat Membru jindirizzaw l-infrastruttura tal-idroġenu fl-oqfsa nazzjo</w:t>
      </w:r>
      <w:r>
        <w:rPr>
          <w:rFonts w:ascii="Times New Roman" w:hAnsi="Times New Roman"/>
          <w:noProof/>
          <w:sz w:val="24"/>
        </w:rPr>
        <w:t>nali ta’ politika tagħhom. Xi drabi l-oqfsa nazzjonali ta’ politika fihom miri ambizzjużi għall-intallazzjoni tal-infrastruttura</w:t>
      </w:r>
      <w:r>
        <w:rPr>
          <w:rStyle w:val="FootnoteReference"/>
          <w:rFonts w:ascii="Times New Roman" w:hAnsi="Times New Roman"/>
          <w:noProof/>
          <w:sz w:val="24"/>
        </w:rPr>
        <w:footnoteReference w:id="27"/>
      </w:r>
      <w:r>
        <w:rPr>
          <w:rFonts w:ascii="Times New Roman" w:hAnsi="Times New Roman"/>
          <w:noProof/>
          <w:sz w:val="24"/>
        </w:rPr>
        <w:t>. Dan it-tip ta’ ppjanar jixhed l-importanza li jsiru previżjonijiet affidabbli għall-iskjerament fis-suq ta’ vetturi elettriċi</w:t>
      </w:r>
      <w:r>
        <w:rPr>
          <w:rFonts w:ascii="Times New Roman" w:hAnsi="Times New Roman"/>
          <w:noProof/>
          <w:sz w:val="24"/>
        </w:rPr>
        <w:t xml:space="preserve"> biċ-ċelluli tal-fjuwil.  </w:t>
      </w:r>
    </w:p>
    <w:p w:rsidR="004B3B44" w:rsidRDefault="00210B24">
      <w:pPr>
        <w:keepNext/>
        <w:spacing w:line="240" w:lineRule="auto"/>
        <w:jc w:val="both"/>
        <w:rPr>
          <w:rFonts w:ascii="Times New Roman" w:hAnsi="Times New Roman"/>
          <w:i/>
          <w:noProof/>
          <w:sz w:val="24"/>
          <w:szCs w:val="24"/>
        </w:rPr>
      </w:pPr>
      <w:r>
        <w:rPr>
          <w:rFonts w:ascii="Times New Roman" w:hAnsi="Times New Roman"/>
          <w:i/>
          <w:noProof/>
          <w:sz w:val="24"/>
        </w:rPr>
        <w:t>Il-miżuri ta’ appoġġ</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 xml:space="preserve">L-Istati Membri jeħtieġ idaħħlu fis-seħħ </w:t>
      </w:r>
      <w:r>
        <w:rPr>
          <w:rFonts w:ascii="Times New Roman" w:hAnsi="Times New Roman"/>
          <w:b/>
          <w:noProof/>
          <w:sz w:val="24"/>
        </w:rPr>
        <w:t>miżuri ta’ appoġġ</w:t>
      </w:r>
      <w:r>
        <w:rPr>
          <w:rFonts w:ascii="Times New Roman" w:hAnsi="Times New Roman"/>
          <w:noProof/>
          <w:sz w:val="24"/>
        </w:rPr>
        <w:t xml:space="preserve"> biex jiżguraw li jintlaħqu l-miri u l-għanijiet tal-oqfsa nazzjonali ta’ politika. L-oqfsa nazzjonali ta’ politika fihom sett ta’ miżuri differenti ħ</w:t>
      </w:r>
      <w:r>
        <w:rPr>
          <w:rFonts w:ascii="Times New Roman" w:hAnsi="Times New Roman"/>
          <w:noProof/>
          <w:sz w:val="24"/>
        </w:rPr>
        <w:t>afna u li jvarjaw fost l-oħrajn fejn jidħlu l-maturità u l-iffissar tal-prijoritajiet (fjuwil alternattiv wieħed jew bosta). Minbarra dan, l-oqfsa nazzjonali ta’ politika jindirizzaw modi differenti tat-trasport, pereżempju l-ferroviji, ix-xaraanks, it-tax</w:t>
      </w:r>
      <w:r>
        <w:rPr>
          <w:rFonts w:ascii="Times New Roman" w:hAnsi="Times New Roman"/>
          <w:noProof/>
          <w:sz w:val="24"/>
        </w:rPr>
        <w:t>is, ir-roti u l-karozzi kondiviżi. Ħafna mill-oqfsa nazzjonali ta’ politika jiffukaw fuq it-trasport pubbliku, b’enfasi fuq ir-rwol li jista’ jkollu l-akkwist pubbliku biex tiġi appoġġata l-adozzjoni mis-suq.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tblGrid>
      <w:tr w:rsidR="004B3B44">
        <w:tc>
          <w:tcPr>
            <w:tcW w:w="8835" w:type="dxa"/>
            <w:shd w:val="clear" w:color="auto" w:fill="C4BC96" w:themeFill="background2" w:themeFillShade="BF"/>
          </w:tcPr>
          <w:p w:rsidR="004B3B44" w:rsidRDefault="00210B24">
            <w:pPr>
              <w:spacing w:after="0" w:line="240" w:lineRule="auto"/>
              <w:jc w:val="both"/>
              <w:rPr>
                <w:rFonts w:ascii="Times New Roman" w:hAnsi="Times New Roman"/>
                <w:noProof/>
              </w:rPr>
            </w:pPr>
            <w:r>
              <w:rPr>
                <w:rFonts w:ascii="Times New Roman" w:hAnsi="Times New Roman"/>
                <w:noProof/>
              </w:rPr>
              <w:t>Il-qafas nazzjonali ta’ politika Franċiż jelenk</w:t>
            </w:r>
            <w:r>
              <w:rPr>
                <w:rFonts w:ascii="Times New Roman" w:hAnsi="Times New Roman"/>
                <w:noProof/>
              </w:rPr>
              <w:t xml:space="preserve">a sett komprensiv ta’ miżuri ta’ appoġġ tal-elettromobbiltà. L-effett tal-miżuri f’daqqa bħalma huma s-sistema ta’ </w:t>
            </w:r>
            <w:r>
              <w:rPr>
                <w:rFonts w:ascii="Times New Roman" w:hAnsi="Times New Roman"/>
                <w:i/>
                <w:noProof/>
              </w:rPr>
              <w:t>bonus-malus</w:t>
            </w:r>
            <w:r>
              <w:rPr>
                <w:rFonts w:ascii="Times New Roman" w:hAnsi="Times New Roman"/>
                <w:noProof/>
              </w:rPr>
              <w:t xml:space="preserve"> tas-CO</w:t>
            </w:r>
            <w:r>
              <w:rPr>
                <w:rFonts w:ascii="Times New Roman" w:hAnsi="Times New Roman"/>
                <w:noProof/>
                <w:vertAlign w:val="subscript"/>
              </w:rPr>
              <w:t>2</w:t>
            </w:r>
            <w:r>
              <w:rPr>
                <w:rFonts w:ascii="Times New Roman" w:hAnsi="Times New Roman"/>
                <w:noProof/>
              </w:rPr>
              <w:t xml:space="preserve"> għall-vetturi u l-promozzjoni tal-infrastruttura tal-iċċarġjar hu mistenni jixpruna s-suq tal-vetturi elettriċi tat-trasp</w:t>
            </w:r>
            <w:r>
              <w:rPr>
                <w:rFonts w:ascii="Times New Roman" w:hAnsi="Times New Roman"/>
                <w:noProof/>
              </w:rPr>
              <w:t>ort bit-triq. L-Att Franċiż dwar it-Tranżizzjoni tal-Enerġija lejn Ekonomija Ekoloġika jistabbilixxi miri ċari u mandati minimi tal-akkwist għall-akkwist pubbliku tal-vetturi mingħajr emissjonijiet jew b’emissjonijiet baxxi. Il-qafas nazzjonali ta’ politik</w:t>
            </w:r>
            <w:r>
              <w:rPr>
                <w:rFonts w:ascii="Times New Roman" w:hAnsi="Times New Roman"/>
                <w:noProof/>
              </w:rPr>
              <w:t>a Netherlandiż jipprovdi eżempju ta’ prattika tajba għal djalogu mal-partijiet konċernati li jinvolvi direttament lill-partijiet konċernati rilevanti fl-implimentazzjoni tal-approċċ tal-Ftehimiet Ekoloġiċi.</w:t>
            </w:r>
          </w:p>
        </w:tc>
      </w:tr>
    </w:tbl>
    <w:p w:rsidR="004B3B44" w:rsidRDefault="00210B24">
      <w:pPr>
        <w:pStyle w:val="Heading2"/>
        <w:spacing w:before="240"/>
        <w:rPr>
          <w:noProof/>
        </w:rPr>
      </w:pPr>
      <w:r>
        <w:rPr>
          <w:noProof/>
        </w:rPr>
        <w:t>Mexjin kif ippjanat?</w:t>
      </w:r>
    </w:p>
    <w:p w:rsidR="004B3B44" w:rsidRDefault="00210B24">
      <w:pPr>
        <w:pStyle w:val="Text1"/>
        <w:shd w:val="clear" w:color="auto" w:fill="FFFFFF" w:themeFill="background1"/>
        <w:spacing w:line="240" w:lineRule="auto"/>
        <w:ind w:left="0"/>
        <w:jc w:val="both"/>
        <w:rPr>
          <w:rFonts w:ascii="Times New Roman" w:hAnsi="Times New Roman"/>
          <w:noProof/>
          <w:sz w:val="24"/>
          <w:szCs w:val="24"/>
        </w:rPr>
      </w:pPr>
      <w:r>
        <w:rPr>
          <w:rFonts w:ascii="Times New Roman" w:hAnsi="Times New Roman"/>
          <w:noProof/>
          <w:sz w:val="24"/>
        </w:rPr>
        <w:t xml:space="preserve">L-analiżi tal-oqfsa </w:t>
      </w:r>
      <w:r>
        <w:rPr>
          <w:rFonts w:ascii="Times New Roman" w:hAnsi="Times New Roman"/>
          <w:noProof/>
          <w:sz w:val="24"/>
        </w:rPr>
        <w:t xml:space="preserve">nazzjonali ta’ politika turi li l-lakuni fl-infrastruttura se jibqgħu fl-UE jekk ma tittieħed l-ebda azzjoni oħra. Dan jikkonċerna l-aktar lit-tipi kollha ta’ vetturi elettriċi ħfief u tqal. Meta mqabbel mal-istimi ppreżentati fit-Taqsima 2.1. għall-oqfsa </w:t>
      </w:r>
      <w:r>
        <w:rPr>
          <w:rFonts w:ascii="Times New Roman" w:hAnsi="Times New Roman"/>
          <w:noProof/>
          <w:sz w:val="24"/>
        </w:rPr>
        <w:t>nazzjonali ta’ politika, jeħtieġ li jiżdiedu ħafna l-impenji li jiġu skjerati punti tal-iċċarġjar aċċessibbli pubblikament fl-agglomerazzjonijiet urbani u suburbani fl-UE. Għad fadal ukoll lakuni fil-kurituri tan-netwerk ewlieni tat-TEN-T fejn jidħlu l-pun</w:t>
      </w:r>
      <w:r>
        <w:rPr>
          <w:rFonts w:ascii="Times New Roman" w:hAnsi="Times New Roman"/>
          <w:noProof/>
          <w:sz w:val="24"/>
        </w:rPr>
        <w:t>ti tal-iċċarġjar.</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Lakuna oħra fl-ippjanar għandha x’taqsam mal-punti tar-riforniment tal-LNG għall-vetturi tqal. Anki l-miri tal-oqfsa nazzjonali ta’ politika li jkopru l-portijiet b’punti tar-riforniment tal-LNG mhumiex biżżejjed biex tkun tista’ ssir iċ-</w:t>
      </w:r>
      <w:r>
        <w:rPr>
          <w:rFonts w:ascii="Times New Roman" w:hAnsi="Times New Roman"/>
          <w:noProof/>
          <w:sz w:val="24"/>
        </w:rPr>
        <w:t>ċ</w:t>
      </w:r>
      <w:r>
        <w:rPr>
          <w:rFonts w:ascii="Times New Roman" w:hAnsi="Times New Roman"/>
          <w:noProof/>
          <w:sz w:val="24"/>
        </w:rPr>
        <w:t>irkolazzjoni tal-bastimenti fil-passaġġi fuq l-ilma interni jew tal-vapuri tat-tbaħħir madwar in-netwerk ewlieni tat-TEN-T kif meħtieġ skont id-Direttiva 2014/94/UE. Jeżistu riskji simili għall-idroġenu: dan mhux obbligatorju bid-Direttiva 2014/94/UE filw</w:t>
      </w:r>
      <w:r>
        <w:rPr>
          <w:rFonts w:ascii="Times New Roman" w:hAnsi="Times New Roman"/>
          <w:noProof/>
          <w:sz w:val="24"/>
        </w:rPr>
        <w:t>aqt li l-Istati Membri jindirizzawh b’modi diverġenti, għalhekk hemm ċerta frammentazzjoni fl-infrastruttura. L-infrastruttura trid tinferex fil-wisa’ biex il-vetturi jkunu jistgħu jivvjaġġaw faċilment fl-UE (“il-kontinwità tas-servizz”).</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shd w:val="clear" w:color="auto" w:fill="FFFFFF" w:themeFill="background1"/>
        </w:rPr>
        <w:t>B’mod ġenerali, l</w:t>
      </w:r>
      <w:r>
        <w:rPr>
          <w:rFonts w:ascii="Times New Roman" w:hAnsi="Times New Roman"/>
          <w:noProof/>
          <w:sz w:val="24"/>
          <w:shd w:val="clear" w:color="auto" w:fill="FFFFFF" w:themeFill="background1"/>
        </w:rPr>
        <w:t>-analiżi tas-sitwazzjoni turi li l-oqfsa nazzjonali ta’ politika lkoll flimkien ma jiffurmawx l-istampa sħiħa li jeħtieġ is-suq għal ċertezza fit-tul. Barra minn hekk, jeżisti r-riskju li ħafna mill-miri u l-għanijiet tal-oqfsa nazzjonali ta’ politika ma j</w:t>
      </w:r>
      <w:r>
        <w:rPr>
          <w:rFonts w:ascii="Times New Roman" w:hAnsi="Times New Roman"/>
          <w:noProof/>
          <w:sz w:val="24"/>
          <w:shd w:val="clear" w:color="auto" w:fill="FFFFFF" w:themeFill="background1"/>
        </w:rPr>
        <w:t>intlaħqux, anki fejn l-ambizzjoni hi baxxa. Id-dokument</w:t>
      </w:r>
      <w:r>
        <w:rPr>
          <w:rFonts w:ascii="Times New Roman" w:hAnsi="Times New Roman"/>
          <w:noProof/>
          <w:sz w:val="24"/>
        </w:rPr>
        <w:t xml:space="preserve"> ta’ Ħidma tal-Persunal tal-Kummissjoni (SWD) mehmuż ma’ din il-Komunikazzjoni juri l-impatt limitat tal-oqfsa nazzjonali ta’ politika fuq l-għanijiet ewlenin ta’ politika, jekk ma tittieħed l-ebda azz</w:t>
      </w:r>
      <w:r>
        <w:rPr>
          <w:rFonts w:ascii="Times New Roman" w:hAnsi="Times New Roman"/>
          <w:noProof/>
          <w:sz w:val="24"/>
        </w:rPr>
        <w:t>joni oħra.</w:t>
      </w:r>
    </w:p>
    <w:tbl>
      <w:tblPr>
        <w:tblStyle w:val="TableGrid"/>
        <w:tblW w:w="8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8835"/>
      </w:tblGrid>
      <w:tr w:rsidR="004B3B44">
        <w:tc>
          <w:tcPr>
            <w:tcW w:w="8835" w:type="dxa"/>
            <w:shd w:val="clear" w:color="auto" w:fill="C4BC96" w:themeFill="background2" w:themeFillShade="BF"/>
          </w:tcPr>
          <w:p w:rsidR="004B3B44" w:rsidRDefault="00210B24">
            <w:pPr>
              <w:pStyle w:val="Text1"/>
              <w:spacing w:after="0" w:line="240" w:lineRule="auto"/>
              <w:ind w:left="0"/>
              <w:jc w:val="both"/>
              <w:rPr>
                <w:rFonts w:ascii="Times New Roman" w:hAnsi="Times New Roman"/>
                <w:noProof/>
              </w:rPr>
            </w:pPr>
            <w:r>
              <w:rPr>
                <w:rFonts w:ascii="Times New Roman" w:hAnsi="Times New Roman"/>
                <w:noProof/>
              </w:rPr>
              <w:t>Filwaqt li hu mistenni aktar tnaqqis fl-emissjonijiet fi wħud mill-Istati Membri b’oqfsa nazzjonali ta’ politika ambizzjużi, fil-livell tal-UE huma mistennija xi impatti marġinali fuq l-ispostament tal-fjuwils ibbażati fuq iż-żjut fossili: 0,4 %</w:t>
            </w:r>
            <w:r>
              <w:rPr>
                <w:rFonts w:ascii="Times New Roman" w:hAnsi="Times New Roman"/>
                <w:noProof/>
              </w:rPr>
              <w:t xml:space="preserve"> ta’ dawn il-fjuwils jistgħu jiġu spostati minn fjuwils alternattivi sal-2020, meta mqabbla max-xenarju mingħajr oqfsa nazzjonali ta’ politika</w:t>
            </w:r>
            <w:r>
              <w:rPr>
                <w:rStyle w:val="FootnoteReference"/>
                <w:rFonts w:ascii="Times New Roman" w:hAnsi="Times New Roman"/>
                <w:noProof/>
              </w:rPr>
              <w:footnoteReference w:id="28"/>
            </w:r>
            <w:r>
              <w:rPr>
                <w:rFonts w:ascii="Times New Roman" w:hAnsi="Times New Roman"/>
                <w:noProof/>
              </w:rPr>
              <w:t>, u 1,4 % sal-2030. L-emissjonijiet tas-CO</w:t>
            </w:r>
            <w:r>
              <w:rPr>
                <w:rFonts w:ascii="Times New Roman" w:hAnsi="Times New Roman"/>
                <w:noProof/>
                <w:vertAlign w:val="subscript"/>
              </w:rPr>
              <w:t>2</w:t>
            </w:r>
            <w:r>
              <w:rPr>
                <w:rFonts w:ascii="Times New Roman" w:hAnsi="Times New Roman"/>
                <w:noProof/>
              </w:rPr>
              <w:t xml:space="preserve"> mit-trasport jistgħu jonqsu b’0,4 % (jew b’madwar 3,2 Mt) sal-2020 u </w:t>
            </w:r>
            <w:r>
              <w:rPr>
                <w:rFonts w:ascii="Times New Roman" w:hAnsi="Times New Roman"/>
                <w:noProof/>
              </w:rPr>
              <w:t>b’1,4 % sal-2030 (jew b’madwar 11,5 Mt) meta mqabbla max-xenarju mingħajr oqfsa nazzjonali ta’ politika. It-tnaqqis tal-emissjonijiet tal-ossidu tan-nitroġenu (NO</w:t>
            </w:r>
            <w:r>
              <w:rPr>
                <w:rFonts w:ascii="Times New Roman" w:hAnsi="Times New Roman"/>
                <w:noProof/>
                <w:vertAlign w:val="subscript"/>
              </w:rPr>
              <w:t>x</w:t>
            </w:r>
            <w:r>
              <w:rPr>
                <w:rFonts w:ascii="Times New Roman" w:hAnsi="Times New Roman"/>
                <w:noProof/>
              </w:rPr>
              <w:t>) mit-trasport bħala riżultat tal-oqfsa nazzjonali ta’ politika hu stmat madwar 0,37 % sal-20</w:t>
            </w:r>
            <w:r>
              <w:rPr>
                <w:rFonts w:ascii="Times New Roman" w:hAnsi="Times New Roman"/>
                <w:noProof/>
              </w:rPr>
              <w:t>20 u 1,5 % sal-2030 meta mqabbel max-xenarju mingħajr oqfsa nazzjonali ta’ politika. Għall-PM</w:t>
            </w:r>
            <w:r>
              <w:rPr>
                <w:rFonts w:ascii="Times New Roman" w:hAnsi="Times New Roman"/>
                <w:noProof/>
                <w:vertAlign w:val="subscript"/>
              </w:rPr>
              <w:t>2.5</w:t>
            </w:r>
            <w:r>
              <w:rPr>
                <w:rFonts w:ascii="Times New Roman" w:hAnsi="Times New Roman"/>
                <w:noProof/>
              </w:rPr>
              <w:t>, l-oqfsa nazzjonali ta’ politika jwasslu għal tnaqqis ta’ 0,44 % fl-emissjonijiet tal-materja partikulata (PM</w:t>
            </w:r>
            <w:r>
              <w:rPr>
                <w:rFonts w:ascii="Times New Roman" w:hAnsi="Times New Roman"/>
                <w:noProof/>
                <w:vertAlign w:val="subscript"/>
              </w:rPr>
              <w:t xml:space="preserve">2,5 </w:t>
            </w:r>
            <w:r>
              <w:rPr>
                <w:rFonts w:ascii="Times New Roman" w:hAnsi="Times New Roman"/>
                <w:noProof/>
              </w:rPr>
              <w:t>) sal-2020 u 1,9 % sal-2030</w:t>
            </w:r>
            <w:r>
              <w:rPr>
                <w:rStyle w:val="FootnoteReference"/>
                <w:rFonts w:ascii="Times New Roman" w:hAnsi="Times New Roman"/>
                <w:noProof/>
              </w:rPr>
              <w:footnoteReference w:id="29"/>
            </w:r>
            <w:r>
              <w:rPr>
                <w:rFonts w:ascii="Times New Roman" w:hAnsi="Times New Roman"/>
                <w:noProof/>
              </w:rPr>
              <w:t>. Dan it-titjib ji</w:t>
            </w:r>
            <w:r>
              <w:rPr>
                <w:rFonts w:ascii="Times New Roman" w:hAnsi="Times New Roman"/>
                <w:noProof/>
              </w:rPr>
              <w:t>sta’ jwassal għal tnaqqis sa 5,8 % fil-konċentrazzjonijiet tal-NO</w:t>
            </w:r>
            <w:r>
              <w:rPr>
                <w:rFonts w:ascii="Times New Roman" w:hAnsi="Times New Roman"/>
                <w:noProof/>
                <w:vertAlign w:val="subscript"/>
              </w:rPr>
              <w:t>2</w:t>
            </w:r>
            <w:r>
              <w:rPr>
                <w:rFonts w:ascii="Times New Roman" w:hAnsi="Times New Roman"/>
                <w:noProof/>
              </w:rPr>
              <w:t xml:space="preserve"> u għal tnaqqis ta’ 2,1 % fil-konċentrazzjonijiet tal-PM</w:t>
            </w:r>
            <w:r>
              <w:rPr>
                <w:rFonts w:ascii="Times New Roman" w:hAnsi="Times New Roman"/>
                <w:noProof/>
                <w:vertAlign w:val="subscript"/>
              </w:rPr>
              <w:t>2,5</w:t>
            </w:r>
            <w:r>
              <w:rPr>
                <w:rFonts w:ascii="Times New Roman" w:hAnsi="Times New Roman"/>
                <w:noProof/>
              </w:rPr>
              <w:t xml:space="preserve"> f’ċerti żoni sal-2030.</w:t>
            </w:r>
            <w:r>
              <w:rPr>
                <w:rFonts w:ascii="Times New Roman" w:hAnsi="Times New Roman"/>
                <w:noProof/>
                <w:sz w:val="24"/>
              </w:rPr>
              <w:t xml:space="preserve"> </w:t>
            </w:r>
            <w:r>
              <w:rPr>
                <w:rFonts w:ascii="Times New Roman" w:hAnsi="Times New Roman"/>
                <w:noProof/>
              </w:rPr>
              <w:t>Skont l-ippjanar attwali tal-oqfsa nazzjonali ta’ politika, il-ħolqien tal-impjiegi minħabba l-bini, l-oper</w:t>
            </w:r>
            <w:r>
              <w:rPr>
                <w:rFonts w:ascii="Times New Roman" w:hAnsi="Times New Roman"/>
                <w:noProof/>
              </w:rPr>
              <w:t>at u l-manutenzjoni tal-infrastruttura mistenni jiżdied bi ftit.</w:t>
            </w:r>
          </w:p>
        </w:tc>
      </w:tr>
    </w:tbl>
    <w:p w:rsidR="004B3B44" w:rsidRDefault="00210B24">
      <w:pPr>
        <w:pStyle w:val="Text1"/>
        <w:spacing w:line="240" w:lineRule="auto"/>
        <w:ind w:left="0"/>
        <w:jc w:val="both"/>
        <w:rPr>
          <w:rFonts w:ascii="Times New Roman" w:hAnsi="Times New Roman"/>
          <w:b/>
          <w:noProof/>
          <w:sz w:val="24"/>
          <w:szCs w:val="24"/>
        </w:rPr>
      </w:pPr>
      <w:r>
        <w:rPr>
          <w:rFonts w:ascii="Times New Roman" w:hAnsi="Times New Roman"/>
          <w:noProof/>
          <w:sz w:val="24"/>
          <w:szCs w:val="24"/>
        </w:rPr>
        <w:br/>
      </w:r>
      <w:r>
        <w:rPr>
          <w:rFonts w:ascii="Times New Roman" w:hAnsi="Times New Roman"/>
          <w:b/>
          <w:noProof/>
          <w:sz w:val="24"/>
        </w:rPr>
        <w:t xml:space="preserve">Biex titħaffef it-tranżizzjoni lejn mobbiltà mingħajr emissjonijiet u b’emissjonijiet baxxi, hemm bżonn tittieħed azzjoni deċiżiva minnufih biex l-installazzjoni tal-infrastruttura tal-fjuwils alternattivi fl-Istati Membri kollha ssir b’ritmu mgħaġġel.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w:t>
      </w:r>
      <w:r>
        <w:rPr>
          <w:rFonts w:ascii="Times New Roman" w:hAnsi="Times New Roman"/>
          <w:noProof/>
          <w:sz w:val="24"/>
        </w:rPr>
        <w:t xml:space="preserve">n jeħtieġ iżjed rieda mill-atturi pubbliċi u privati biex jinvestu f’infrastruttura aċċessibbli faċilment għal tipi differenti ta’ vetturi u bastimenti. Il-Kummissjoni lesta tappoġġa dawn l-isforzi u għalhekk qed tipproponi dan il-pjan ta’ azzjoni. </w:t>
      </w:r>
    </w:p>
    <w:p w:rsidR="004B3B44" w:rsidRDefault="00210B24">
      <w:pPr>
        <w:pStyle w:val="Heading1"/>
        <w:rPr>
          <w:noProof/>
        </w:rPr>
      </w:pPr>
      <w:r>
        <w:rPr>
          <w:noProof/>
        </w:rPr>
        <w:t>Għall-</w:t>
      </w:r>
      <w:r>
        <w:rPr>
          <w:noProof/>
        </w:rPr>
        <w:t>akbar użu tal-fjuwils alternattivi: pjan ta’ azzjoni</w:t>
      </w:r>
    </w:p>
    <w:p w:rsidR="004B3B44" w:rsidRDefault="00210B24">
      <w:pPr>
        <w:pStyle w:val="Text1"/>
        <w:spacing w:line="240" w:lineRule="auto"/>
        <w:ind w:left="0"/>
        <w:jc w:val="both"/>
        <w:rPr>
          <w:rFonts w:ascii="Times New Roman" w:hAnsi="Times New Roman"/>
          <w:noProof/>
        </w:rPr>
      </w:pPr>
      <w:r>
        <w:rPr>
          <w:rFonts w:ascii="Times New Roman" w:hAnsi="Times New Roman"/>
          <w:noProof/>
          <w:sz w:val="24"/>
        </w:rPr>
        <w:t xml:space="preserve">L-azzjonijiet proposti f’dan il-pjan jista’ jkollhom benefiċċji sinifikanti għall-konsumaturi, għall-industriji u għall-awtoritajiet pubbliċi, jekk jiġu kkoordinati sew fil-livelli rilevanti kollha. </w:t>
      </w:r>
      <w:r>
        <w:rPr>
          <w:rFonts w:ascii="Times New Roman" w:hAnsi="Times New Roman"/>
          <w:b/>
          <w:noProof/>
          <w:sz w:val="24"/>
        </w:rPr>
        <w:t>L-aw</w:t>
      </w:r>
      <w:r>
        <w:rPr>
          <w:rFonts w:ascii="Times New Roman" w:hAnsi="Times New Roman"/>
          <w:b/>
          <w:noProof/>
          <w:sz w:val="24"/>
        </w:rPr>
        <w:t>toritajiet pubbliċi u s-settur privat iridu jagħrfu li lkoll għandhom biċċa responsibbiltà x’jerfgħu</w:t>
      </w:r>
      <w:r>
        <w:rPr>
          <w:rFonts w:ascii="Times New Roman" w:hAnsi="Times New Roman"/>
          <w:noProof/>
          <w:sz w:val="24"/>
        </w:rPr>
        <w:t xml:space="preserve">. Minbarra l-investiment pubbliku fl-infrastruttura jeħtieġ jingħataw </w:t>
      </w:r>
      <w:r>
        <w:rPr>
          <w:rFonts w:ascii="Times New Roman" w:hAnsi="Times New Roman"/>
          <w:b/>
          <w:noProof/>
          <w:sz w:val="24"/>
        </w:rPr>
        <w:t>offerti affidabbli ta’ vetturi u bastimenti</w:t>
      </w:r>
      <w:r>
        <w:rPr>
          <w:rFonts w:ascii="Times New Roman" w:hAnsi="Times New Roman"/>
          <w:noProof/>
          <w:sz w:val="24"/>
        </w:rPr>
        <w:t xml:space="preserve"> biex tonqas l-inċertezza dwar il-provvista</w:t>
      </w:r>
      <w:r>
        <w:rPr>
          <w:rFonts w:ascii="Times New Roman" w:hAnsi="Times New Roman"/>
          <w:noProof/>
          <w:sz w:val="24"/>
        </w:rPr>
        <w:t xml:space="preserve"> u d-domanda futuri.</w:t>
      </w:r>
    </w:p>
    <w:p w:rsidR="004B3B44" w:rsidRDefault="00210B24">
      <w:pPr>
        <w:pStyle w:val="Heading2"/>
        <w:rPr>
          <w:noProof/>
        </w:rPr>
      </w:pPr>
      <w:r>
        <w:rPr>
          <w:noProof/>
        </w:rPr>
        <w:t xml:space="preserve"> Inħeġġu t-tlestija u t-twettiq tal-oqfsa nazzjonali ta’ politika</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L-Istati Membri li għadhom ma ppreżentawx l-oqfsa nazzjonali ta’ politika lill-Kummissjoni jenħtieġ jagħmlu dan mill-aktar fis possibbli. L-Istati Membri li ppreżentaw l</w:t>
      </w:r>
      <w:r>
        <w:rPr>
          <w:rFonts w:ascii="Times New Roman" w:hAnsi="Times New Roman"/>
          <w:noProof/>
          <w:sz w:val="24"/>
        </w:rPr>
        <w:t>-oqfsa nazzjonali ta’ politika tagħhom huma mħeġġa biex iqisu l-konklużjonijiet tal-valutazzjoni u r-riżultati tal-evalwazzjoni stabbiliti fid-Dokument ta’ Ħidma tal-Persunal mehmuż.</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Dawk il-ftit oqfsa nazzjonali ta’ politika li jistabbilixxu miri u għanij</w:t>
      </w:r>
      <w:r>
        <w:rPr>
          <w:rFonts w:ascii="Times New Roman" w:hAnsi="Times New Roman"/>
          <w:noProof/>
          <w:sz w:val="24"/>
        </w:rPr>
        <w:t>iet ambizzjużi, flimkien ma’ taħlita komprensiva ta’ miżuri ta’ appoġġ għall-politika, jipprovdu rispons xieraq; l-oħrajn jenħtieġ isegwuhom għax dawn l-eżempji juru l-akbar benefiċċji soċjoekonomiċi u ambjentali.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Kull Stat Membru hu mħeġġeġ jikkollabora u jaħtaf </w:t>
      </w:r>
      <w:r>
        <w:rPr>
          <w:rFonts w:ascii="Times New Roman" w:hAnsi="Times New Roman"/>
          <w:b/>
          <w:noProof/>
          <w:sz w:val="24"/>
        </w:rPr>
        <w:t>l-appoġġ tal-Kummissjoni għal implimentazzjoni effettiva tal-oqfsa nazzjonali ta’ politika</w:t>
      </w:r>
      <w:r>
        <w:rPr>
          <w:rFonts w:ascii="Times New Roman" w:hAnsi="Times New Roman"/>
          <w:noProof/>
          <w:sz w:val="24"/>
        </w:rPr>
        <w:t>:</w:t>
      </w:r>
    </w:p>
    <w:p w:rsidR="004B3B44" w:rsidRDefault="00210B24">
      <w:pPr>
        <w:pStyle w:val="Text1"/>
        <w:numPr>
          <w:ilvl w:val="0"/>
          <w:numId w:val="35"/>
        </w:numPr>
        <w:spacing w:line="240" w:lineRule="auto"/>
        <w:jc w:val="both"/>
        <w:rPr>
          <w:rFonts w:ascii="Times New Roman" w:hAnsi="Times New Roman"/>
          <w:noProof/>
          <w:sz w:val="24"/>
          <w:szCs w:val="24"/>
        </w:rPr>
      </w:pPr>
      <w:r>
        <w:rPr>
          <w:rFonts w:ascii="Times New Roman" w:hAnsi="Times New Roman"/>
          <w:noProof/>
          <w:sz w:val="24"/>
        </w:rPr>
        <w:t xml:space="preserve">Il-Kummissjoni waqqfet </w:t>
      </w:r>
      <w:r>
        <w:rPr>
          <w:rFonts w:ascii="Times New Roman" w:hAnsi="Times New Roman"/>
          <w:b/>
          <w:noProof/>
          <w:sz w:val="24"/>
        </w:rPr>
        <w:t>il-Forum dwar it-Trasport Sostenibbli (l-STF)</w:t>
      </w:r>
      <w:r>
        <w:rPr>
          <w:rStyle w:val="FootnoteReference"/>
          <w:rFonts w:ascii="Times New Roman" w:hAnsi="Times New Roman"/>
          <w:b/>
          <w:noProof/>
          <w:sz w:val="24"/>
        </w:rPr>
        <w:footnoteReference w:id="30"/>
      </w:r>
      <w:r>
        <w:rPr>
          <w:rFonts w:ascii="Times New Roman" w:hAnsi="Times New Roman"/>
          <w:noProof/>
          <w:sz w:val="24"/>
        </w:rPr>
        <w:t xml:space="preserve"> li jiġbor flimkien rappreżentanti tal-Istati</w:t>
      </w:r>
      <w:r>
        <w:rPr>
          <w:rFonts w:ascii="Times New Roman" w:hAnsi="Times New Roman"/>
          <w:noProof/>
          <w:sz w:val="24"/>
        </w:rPr>
        <w:t xml:space="preserve"> Membri, is-settur tat-trasport u s-soċjetà ċivili. Il-ħidma tal-STF dwar l-implimentazzjoni tad-Direttiva 2014/94/UE għandha l-għan li tiżgura l-implimentazzjoni effettiva tal-oqfsa nazzjonali ta’ politika. Il-Kummissjoni tistieden lill-Istati Membri biex</w:t>
      </w:r>
      <w:r>
        <w:rPr>
          <w:rFonts w:ascii="Times New Roman" w:hAnsi="Times New Roman"/>
          <w:noProof/>
          <w:sz w:val="24"/>
        </w:rPr>
        <w:t xml:space="preserve"> jieħdu sehem b’mod attiv f’dan il-proċess. Ir-riżultati tal-ħidma tiegħu se jiġu rieżaminati waqt </w:t>
      </w:r>
      <w:r>
        <w:rPr>
          <w:rFonts w:ascii="Times New Roman" w:hAnsi="Times New Roman"/>
          <w:b/>
          <w:noProof/>
          <w:sz w:val="24"/>
        </w:rPr>
        <w:t>konferenza Ewropea annwali dwar it-trasport nadif u l-infrastruttura tal-fjuwils alternattivi</w:t>
      </w:r>
      <w:r>
        <w:rPr>
          <w:rFonts w:ascii="Times New Roman" w:hAnsi="Times New Roman"/>
          <w:noProof/>
          <w:sz w:val="24"/>
        </w:rPr>
        <w:t>, bl-ewwel waħda ssir lejn tmiem il-ħarifa tal-2018.</w:t>
      </w:r>
    </w:p>
    <w:p w:rsidR="004B3B44" w:rsidRDefault="00210B24">
      <w:pPr>
        <w:pStyle w:val="Text1"/>
        <w:numPr>
          <w:ilvl w:val="0"/>
          <w:numId w:val="35"/>
        </w:numPr>
        <w:spacing w:line="240" w:lineRule="auto"/>
        <w:jc w:val="both"/>
        <w:rPr>
          <w:rFonts w:ascii="Times New Roman" w:hAnsi="Times New Roman"/>
          <w:noProof/>
          <w:sz w:val="24"/>
          <w:szCs w:val="24"/>
        </w:rPr>
      </w:pPr>
      <w:r>
        <w:rPr>
          <w:rFonts w:ascii="Times New Roman" w:hAnsi="Times New Roman"/>
          <w:b/>
          <w:noProof/>
          <w:sz w:val="24"/>
        </w:rPr>
        <w:t>Il-Forum Ew</w:t>
      </w:r>
      <w:r>
        <w:rPr>
          <w:rFonts w:ascii="Times New Roman" w:hAnsi="Times New Roman"/>
          <w:b/>
          <w:noProof/>
          <w:sz w:val="24"/>
        </w:rPr>
        <w:t>ropew dwar Trasport Marittimu Sostenibbli (l-ESSF)</w:t>
      </w:r>
      <w:r>
        <w:rPr>
          <w:rStyle w:val="FootnoteReference"/>
          <w:rFonts w:ascii="Times New Roman" w:hAnsi="Times New Roman"/>
          <w:noProof/>
          <w:sz w:val="24"/>
        </w:rPr>
        <w:footnoteReference w:id="31"/>
      </w:r>
      <w:r>
        <w:rPr>
          <w:rFonts w:ascii="Times New Roman" w:hAnsi="Times New Roman"/>
          <w:noProof/>
          <w:sz w:val="24"/>
        </w:rPr>
        <w:t xml:space="preserve">, il-grupp ta’ esperti tal-Kummissjoni maħluq fl-2013 jaqdi rwol simili għall-STF iżda għas-settur tat-trasport marittimu. Dan hu pjattaforma għal djalogu strutturat, għall-iskambju tal-għarfien tekniku u </w:t>
      </w:r>
      <w:r>
        <w:rPr>
          <w:rFonts w:ascii="Times New Roman" w:hAnsi="Times New Roman"/>
          <w:noProof/>
          <w:sz w:val="24"/>
        </w:rPr>
        <w:t>għall-koperazzjoni u l-koordinazzjoni fost l-awtoritajiet rilevanti u l-partijiet konċernati marittimi biex jiġu indirizzati aħjar l-isfidi tas-sostenibbiltà li għandu s-settur, inkluż l-użu tal-LNG.</w:t>
      </w:r>
    </w:p>
    <w:p w:rsidR="004B3B44" w:rsidRDefault="00210B24">
      <w:pPr>
        <w:pStyle w:val="Text1"/>
        <w:numPr>
          <w:ilvl w:val="0"/>
          <w:numId w:val="35"/>
        </w:numPr>
        <w:spacing w:line="240" w:lineRule="auto"/>
        <w:jc w:val="both"/>
        <w:rPr>
          <w:rFonts w:ascii="Times New Roman" w:hAnsi="Times New Roman"/>
          <w:noProof/>
          <w:sz w:val="24"/>
          <w:szCs w:val="24"/>
        </w:rPr>
      </w:pPr>
      <w:r>
        <w:rPr>
          <w:rFonts w:ascii="Times New Roman" w:hAnsi="Times New Roman"/>
          <w:noProof/>
          <w:sz w:val="24"/>
        </w:rPr>
        <w:t>Fl-awspiċji tal-Aġenzija Ewropea għas-Sigurtà Marittima,</w:t>
      </w:r>
      <w:r>
        <w:rPr>
          <w:rFonts w:ascii="Times New Roman" w:hAnsi="Times New Roman"/>
          <w:noProof/>
          <w:sz w:val="24"/>
        </w:rPr>
        <w:t xml:space="preserve"> il-Kummissjoni se tħejji </w:t>
      </w:r>
      <w:r>
        <w:rPr>
          <w:rFonts w:ascii="Times New Roman" w:hAnsi="Times New Roman"/>
          <w:b/>
          <w:noProof/>
          <w:sz w:val="24"/>
        </w:rPr>
        <w:t>gwida mhux vinkolanti għall-UE kollha dwar il-bunkering tal-LNG</w:t>
      </w:r>
      <w:r>
        <w:rPr>
          <w:rFonts w:ascii="Times New Roman" w:hAnsi="Times New Roman"/>
          <w:noProof/>
          <w:sz w:val="24"/>
        </w:rPr>
        <w:t>. Din tal-aħħar tgħin għall-armonizzazzjoni tal-approċċ tal-awtoritajiet fl-Istati Membri biex ikun żgurat li l-operazzjonijiet tal-bunkering tal-LNG huma sikuri.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b/>
          <w:noProof/>
          <w:sz w:val="24"/>
        </w:rPr>
        <w:t>Anki</w:t>
      </w:r>
      <w:r>
        <w:rPr>
          <w:rFonts w:ascii="Times New Roman" w:hAnsi="Times New Roman"/>
          <w:b/>
          <w:noProof/>
          <w:sz w:val="24"/>
        </w:rPr>
        <w:t xml:space="preserve"> l-Istati Membri huma mistiedna jikkunsidraw dan li ġej: </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Jekk il-miżuri ta’ appoġġ fl-oqfsa nazzjonali ta’ politika huma kklassifikati bħala li qed jiġu kkunsidrati jew li qed jiġu adottati, il-Kummissjoni tħeġġeġ lill-Istati Membri biex joħolqu ċ-ċarezza</w:t>
      </w:r>
      <w:r>
        <w:rPr>
          <w:rFonts w:ascii="Times New Roman" w:hAnsi="Times New Roman"/>
          <w:noProof/>
          <w:sz w:val="24"/>
        </w:rPr>
        <w:t xml:space="preserve"> billi jadottaw jew ineħħu malajr il-miżuri. </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L-Istati Membri jenħtieġ jinvolvu b’mod attiv lil kull parti konċernata rilevanti biex jadattaw u jimplimentaw l-oqfsa nazzjonali ta’ politika, ħalli jiżguraw li l-iskjerament tal-vetturi jsir b’mod sinkronizza</w:t>
      </w:r>
      <w:r>
        <w:rPr>
          <w:rFonts w:ascii="Times New Roman" w:hAnsi="Times New Roman"/>
          <w:noProof/>
          <w:sz w:val="24"/>
        </w:rPr>
        <w:t xml:space="preserve">t mal-installazzjoni tal-infrastrutturi, jiżguraw l-integrazzjoni tas-sistemi tat-trasport u tal-enerġija, u l-użu min-naħa tal-konsumaturi. </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Il-koperazzjoni bejn l-Istati Membri jenħtieġ titqawwa ħalli tkun żgurata l-kontinwità transfruntiera għat-tipi ko</w:t>
      </w:r>
      <w:r>
        <w:rPr>
          <w:rFonts w:ascii="Times New Roman" w:hAnsi="Times New Roman"/>
          <w:noProof/>
          <w:sz w:val="24"/>
        </w:rPr>
        <w:t>llha ta’ vetturi u bastimenti bi fjuwil alternattiv.</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Għal kuntratti fit-tul tal-forniment tas-servizzi fl-awtostradi, l-Istati Membri ma jridux jinsew iqisu d-dispożizzoni dwar l-infrastruttura alternattiva fil-kuntratti l-ġodda tal-forniment tas-servizzi.</w:t>
      </w:r>
      <w:r>
        <w:rPr>
          <w:rFonts w:ascii="Times New Roman" w:hAnsi="Times New Roman"/>
          <w:noProof/>
          <w:sz w:val="24"/>
        </w:rPr>
        <w:t xml:space="preserve"> Flimkien mal-fornituri tas-servizz, dawn jenħtieġ iqisu l-kundizzjonijiet tal-installazzjoni u l-operat, meta jkun possibbli, tal-infrastruttura skont il-kuntratti eżistenti.</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Għal ċirkolazzjoni sħiħa tal-vapuri u l-bastimenti li jaħdmu bl-LNG, l-Istati Me</w:t>
      </w:r>
      <w:r>
        <w:rPr>
          <w:rFonts w:ascii="Times New Roman" w:hAnsi="Times New Roman"/>
          <w:noProof/>
          <w:sz w:val="24"/>
        </w:rPr>
        <w:t>mbri huma mħeġġa jistabbilixxu jew jorqmu l-miri u l-għanijiet, u jadottaw miżuri finanzjarji u mhux finanzjarji għall-forniment ta’ punti tar-riforniment tal-LNG fil-portijiet marittimi u interni.</w:t>
      </w:r>
    </w:p>
    <w:p w:rsidR="004B3B44" w:rsidRDefault="00210B24">
      <w:pPr>
        <w:pStyle w:val="Text1"/>
        <w:numPr>
          <w:ilvl w:val="0"/>
          <w:numId w:val="24"/>
        </w:numPr>
        <w:spacing w:line="240" w:lineRule="auto"/>
        <w:jc w:val="both"/>
        <w:rPr>
          <w:rFonts w:ascii="Times New Roman" w:hAnsi="Times New Roman"/>
          <w:noProof/>
          <w:sz w:val="24"/>
          <w:szCs w:val="24"/>
        </w:rPr>
      </w:pPr>
      <w:r>
        <w:rPr>
          <w:rFonts w:ascii="Times New Roman" w:hAnsi="Times New Roman"/>
          <w:noProof/>
          <w:sz w:val="24"/>
        </w:rPr>
        <w:t xml:space="preserve">L-Istati Membri huma mħeġġa jqawwu l-isforzi tagħhom biex </w:t>
      </w:r>
      <w:r>
        <w:rPr>
          <w:rFonts w:ascii="Times New Roman" w:hAnsi="Times New Roman"/>
          <w:noProof/>
          <w:sz w:val="24"/>
        </w:rPr>
        <w:t>jiżguraw il-provvista tal-elettriku max-xtut u l-provvista tal-elettriku għall-użu mill-ajruplani wieqfa, billi jneħħu l-ostakli tas-suq għal dawn is-sorsi alternattivi ta’ provvista tal-enerġija u jappoġġaw l-installazzjoni tal-infrastruttura relatata.</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Il</w:t>
      </w:r>
      <w:r>
        <w:rPr>
          <w:rFonts w:ascii="Times New Roman" w:hAnsi="Times New Roman"/>
          <w:noProof/>
          <w:sz w:val="24"/>
        </w:rPr>
        <w:t xml:space="preserve">-Kummissjoni tistieden </w:t>
      </w:r>
      <w:r>
        <w:rPr>
          <w:rFonts w:ascii="Times New Roman" w:hAnsi="Times New Roman"/>
          <w:b/>
          <w:noProof/>
          <w:sz w:val="24"/>
        </w:rPr>
        <w:t>lill-manifatturi tal-vetturi u l-bastimenti</w:t>
      </w:r>
      <w:r>
        <w:rPr>
          <w:rFonts w:ascii="Times New Roman" w:hAnsi="Times New Roman"/>
          <w:noProof/>
          <w:sz w:val="24"/>
        </w:rPr>
        <w:t xml:space="preserve"> biex jaqsmu bejniethom l-informazzjoni dwar l-iżvilupp futur tal-vetturi u tal-bastimenti u anki l-previżjonijiet tas-suq.</w:t>
      </w:r>
    </w:p>
    <w:tbl>
      <w:tblPr>
        <w:tblStyle w:val="TableGrid"/>
        <w:tblW w:w="0" w:type="auto"/>
        <w:tblLook w:val="04A0" w:firstRow="1" w:lastRow="0" w:firstColumn="1" w:lastColumn="0" w:noHBand="0" w:noVBand="1"/>
      </w:tblPr>
      <w:tblGrid>
        <w:gridCol w:w="8835"/>
      </w:tblGrid>
      <w:tr w:rsidR="004B3B44">
        <w:tc>
          <w:tcPr>
            <w:tcW w:w="8835" w:type="dxa"/>
          </w:tcPr>
          <w:p w:rsidR="004B3B44" w:rsidRDefault="00210B24">
            <w:pPr>
              <w:pStyle w:val="Text1"/>
              <w:spacing w:after="120" w:line="240" w:lineRule="auto"/>
              <w:ind w:left="0"/>
              <w:jc w:val="both"/>
              <w:rPr>
                <w:rFonts w:ascii="Times New Roman" w:hAnsi="Times New Roman"/>
                <w:b/>
                <w:noProof/>
                <w:sz w:val="24"/>
                <w:szCs w:val="24"/>
              </w:rPr>
            </w:pPr>
            <w:r>
              <w:rPr>
                <w:rFonts w:ascii="Times New Roman" w:hAnsi="Times New Roman"/>
                <w:b/>
                <w:noProof/>
                <w:sz w:val="24"/>
              </w:rPr>
              <w:t>L-azzjonijiet ewlenin</w:t>
            </w:r>
          </w:p>
          <w:p w:rsidR="004B3B44" w:rsidRDefault="00210B24">
            <w:pPr>
              <w:pStyle w:val="Text1"/>
              <w:numPr>
                <w:ilvl w:val="0"/>
                <w:numId w:val="36"/>
              </w:numPr>
              <w:spacing w:after="120" w:line="240" w:lineRule="auto"/>
              <w:jc w:val="both"/>
              <w:rPr>
                <w:rFonts w:ascii="Times New Roman" w:hAnsi="Times New Roman"/>
                <w:noProof/>
                <w:sz w:val="24"/>
                <w:szCs w:val="24"/>
              </w:rPr>
            </w:pPr>
            <w:r>
              <w:rPr>
                <w:rFonts w:ascii="Times New Roman" w:hAnsi="Times New Roman"/>
                <w:noProof/>
                <w:sz w:val="24"/>
              </w:rPr>
              <w:t xml:space="preserve">L-Istati Membri li għadhom ma ppreżentawx </w:t>
            </w:r>
            <w:r>
              <w:rPr>
                <w:rFonts w:ascii="Times New Roman" w:hAnsi="Times New Roman"/>
                <w:noProof/>
                <w:sz w:val="24"/>
              </w:rPr>
              <w:t>l-oqfsa nazzjonali ta’ politika huma mħeġġa jagħmlu dan mill-aktar fis possibbli.</w:t>
            </w:r>
          </w:p>
          <w:p w:rsidR="004B3B44" w:rsidRDefault="00210B24">
            <w:pPr>
              <w:pStyle w:val="Text1"/>
              <w:numPr>
                <w:ilvl w:val="0"/>
                <w:numId w:val="36"/>
              </w:numPr>
              <w:spacing w:after="120" w:line="240" w:lineRule="auto"/>
              <w:ind w:left="714" w:hanging="357"/>
              <w:jc w:val="both"/>
              <w:rPr>
                <w:rFonts w:ascii="Times New Roman" w:hAnsi="Times New Roman"/>
                <w:noProof/>
                <w:sz w:val="24"/>
                <w:szCs w:val="24"/>
              </w:rPr>
            </w:pPr>
            <w:r>
              <w:rPr>
                <w:rFonts w:ascii="Times New Roman" w:hAnsi="Times New Roman"/>
                <w:noProof/>
                <w:sz w:val="24"/>
              </w:rPr>
              <w:t>Meta meħtieġ, l-Istati Membri jenħtieġ isaħħu l-oqfsa nazzjonali ta’ politika tagħhom. Il-Kummissjoni se tappoġġa l-iskambju tal-informazzjoni u t-tagħlim reċiproku dwar l-im</w:t>
            </w:r>
            <w:r>
              <w:rPr>
                <w:rFonts w:ascii="Times New Roman" w:hAnsi="Times New Roman"/>
                <w:noProof/>
                <w:sz w:val="24"/>
              </w:rPr>
              <w:t>plimentazzjoni tal-oqfsa nazzjonali ta’ politika, l-ewwel permezz ta’ diskussjoni mal-grupp ta’ esperti fl-STF f’Marzu 2018 u mbagħad b’konferenzi annwali ta’ politika li l-ewwel edizzjoni tagħhom se ssir lejn tmiem il-ħarifa 2018</w:t>
            </w:r>
          </w:p>
          <w:p w:rsidR="004B3B44" w:rsidRDefault="00210B24">
            <w:pPr>
              <w:pStyle w:val="Text1"/>
              <w:numPr>
                <w:ilvl w:val="0"/>
                <w:numId w:val="36"/>
              </w:numPr>
              <w:spacing w:after="120" w:line="240" w:lineRule="auto"/>
              <w:ind w:left="714" w:hanging="357"/>
              <w:jc w:val="both"/>
              <w:rPr>
                <w:rFonts w:ascii="Times New Roman" w:hAnsi="Times New Roman"/>
                <w:noProof/>
                <w:sz w:val="24"/>
                <w:szCs w:val="24"/>
              </w:rPr>
            </w:pPr>
            <w:r>
              <w:rPr>
                <w:rFonts w:ascii="Times New Roman" w:hAnsi="Times New Roman"/>
                <w:noProof/>
                <w:sz w:val="24"/>
              </w:rPr>
              <w:t>Il-Kummissjoni se tikkuns</w:t>
            </w:r>
            <w:r>
              <w:rPr>
                <w:rFonts w:ascii="Times New Roman" w:hAnsi="Times New Roman"/>
                <w:noProof/>
                <w:sz w:val="24"/>
              </w:rPr>
              <w:t xml:space="preserve">idra kif l-aħjar tirrifletti l-prijoritajiet tal-oqfsa nazzjonali ta’ politika fl-allokazzjoni tal-finanzjament tal-proġetti tal-UE u fir-rappurtar tas-Semestru Ewropew. </w:t>
            </w:r>
          </w:p>
          <w:p w:rsidR="004B3B44" w:rsidRDefault="00210B24">
            <w:pPr>
              <w:pStyle w:val="Text1"/>
              <w:numPr>
                <w:ilvl w:val="0"/>
                <w:numId w:val="36"/>
              </w:numPr>
              <w:spacing w:after="120" w:line="240" w:lineRule="auto"/>
              <w:ind w:left="714" w:hanging="357"/>
              <w:jc w:val="both"/>
              <w:rPr>
                <w:rFonts w:ascii="Times New Roman" w:hAnsi="Times New Roman"/>
                <w:noProof/>
                <w:sz w:val="24"/>
                <w:szCs w:val="24"/>
              </w:rPr>
            </w:pPr>
            <w:r>
              <w:rPr>
                <w:rFonts w:ascii="Times New Roman" w:hAnsi="Times New Roman"/>
                <w:noProof/>
                <w:sz w:val="24"/>
              </w:rPr>
              <w:t xml:space="preserve">L-Istati Membri huma mistiedna jinvolvu mill-qrib lill-partijiet konċernati pubbliċi </w:t>
            </w:r>
            <w:r>
              <w:rPr>
                <w:rFonts w:ascii="Times New Roman" w:hAnsi="Times New Roman"/>
                <w:noProof/>
                <w:sz w:val="24"/>
              </w:rPr>
              <w:t xml:space="preserve">u privati rilevanti kollha fi djalogu biex jiddiskutu l-adattamenti fl-oqfsa nazzjonali ta’ politika, meta meħtieġ. </w:t>
            </w:r>
          </w:p>
        </w:tc>
      </w:tr>
    </w:tbl>
    <w:p w:rsidR="004B3B44" w:rsidRDefault="004B3B44">
      <w:pPr>
        <w:pStyle w:val="Text1"/>
        <w:spacing w:after="0" w:line="240" w:lineRule="auto"/>
        <w:ind w:left="0"/>
        <w:jc w:val="both"/>
        <w:rPr>
          <w:rFonts w:ascii="Times New Roman" w:hAnsi="Times New Roman"/>
          <w:noProof/>
          <w:sz w:val="24"/>
          <w:szCs w:val="24"/>
        </w:rPr>
      </w:pPr>
    </w:p>
    <w:p w:rsidR="004B3B44" w:rsidRDefault="00210B24">
      <w:pPr>
        <w:pStyle w:val="Heading2"/>
        <w:rPr>
          <w:noProof/>
        </w:rPr>
      </w:pPr>
      <w:r>
        <w:rPr>
          <w:noProof/>
        </w:rPr>
        <w:t>L-appoġġ għall-investiment</w:t>
      </w:r>
    </w:p>
    <w:p w:rsidR="004B3B44" w:rsidRDefault="00210B24">
      <w:pPr>
        <w:keepNext/>
        <w:spacing w:line="240" w:lineRule="auto"/>
        <w:jc w:val="both"/>
        <w:rPr>
          <w:rFonts w:ascii="Times New Roman" w:hAnsi="Times New Roman"/>
          <w:i/>
          <w:noProof/>
          <w:sz w:val="24"/>
          <w:szCs w:val="24"/>
        </w:rPr>
      </w:pPr>
      <w:r>
        <w:rPr>
          <w:rFonts w:ascii="Times New Roman" w:hAnsi="Times New Roman"/>
          <w:i/>
          <w:noProof/>
          <w:sz w:val="24"/>
        </w:rPr>
        <w:t>Nisfruttaw għalkollox l-approċċ tal-kurituri tan-netwerk TEN-T</w:t>
      </w:r>
    </w:p>
    <w:p w:rsidR="004B3B44" w:rsidRDefault="00210B2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In-netwerks ewlenin u komprensivi tat-TEN-T huma kruċjali għall-implimentazzjoni tal-għanijiet tal-politika tat-trasport tal-UE. </w:t>
      </w:r>
      <w:r>
        <w:rPr>
          <w:rFonts w:ascii="Times New Roman" w:hAnsi="Times New Roman"/>
          <w:b/>
          <w:noProof/>
          <w:sz w:val="24"/>
        </w:rPr>
        <w:t>L-approċċ TEN-T</w:t>
      </w:r>
      <w:r>
        <w:rPr>
          <w:rFonts w:ascii="Times New Roman" w:hAnsi="Times New Roman"/>
          <w:noProof/>
          <w:sz w:val="24"/>
        </w:rPr>
        <w:t xml:space="preserve"> </w:t>
      </w:r>
      <w:r>
        <w:rPr>
          <w:rFonts w:ascii="Times New Roman" w:hAnsi="Times New Roman"/>
          <w:b/>
          <w:noProof/>
          <w:sz w:val="24"/>
        </w:rPr>
        <w:t>jenħtieġ jintuża b’mod effettiv</w:t>
      </w:r>
      <w:r>
        <w:rPr>
          <w:rFonts w:ascii="Times New Roman" w:hAnsi="Times New Roman"/>
          <w:noProof/>
          <w:sz w:val="24"/>
        </w:rPr>
        <w:t xml:space="preserve"> ħalli tkun tista’ tissawwar il-bażi tal-infrastruttura tal-iċċarġjar u tar-rifo</w:t>
      </w:r>
      <w:r>
        <w:rPr>
          <w:rFonts w:ascii="Times New Roman" w:hAnsi="Times New Roman"/>
          <w:noProof/>
          <w:sz w:val="24"/>
        </w:rPr>
        <w:t>rniment għall-UE kollha sa mhux aktar tard mill-2025. Permezz tal-kunċett tal-kurituri jkunu jistgħu jinstabu l-lakuni fejn tidħol il-mobbiltà transfruntiera fuq distanzi twal filwaqt li l-partijiet konċernati rilevanti kollha jkunu jistgħu jiġu involuti f</w:t>
      </w:r>
      <w:r>
        <w:rPr>
          <w:rFonts w:ascii="Times New Roman" w:hAnsi="Times New Roman"/>
          <w:noProof/>
          <w:sz w:val="24"/>
        </w:rPr>
        <w:t xml:space="preserve">l-ippjanar u fit-twettiq tal-proġetti. </w:t>
      </w:r>
    </w:p>
    <w:p w:rsidR="004B3B44" w:rsidRDefault="00210B2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F’dan il-kuntest, dan il-pjan ta’ azzjoni jenfasizza r-rilevanza li sal-2025, l-Istati Membri jipprovdu </w:t>
      </w:r>
      <w:r>
        <w:rPr>
          <w:rFonts w:ascii="Times New Roman" w:hAnsi="Times New Roman"/>
          <w:b/>
          <w:noProof/>
          <w:sz w:val="24"/>
        </w:rPr>
        <w:t>kurituri tan-netwerk ewlieni tat-TEN-T ibbażati fuq infrastruttura sħiħa tal-fjuwils alternattivi</w:t>
      </w:r>
      <w:r>
        <w:rPr>
          <w:rFonts w:ascii="Times New Roman" w:hAnsi="Times New Roman"/>
          <w:noProof/>
          <w:sz w:val="24"/>
        </w:rPr>
        <w:t>. Jenħtieġ li l</w:t>
      </w:r>
      <w:r>
        <w:rPr>
          <w:rFonts w:ascii="Times New Roman" w:hAnsi="Times New Roman"/>
          <w:noProof/>
          <w:sz w:val="24"/>
        </w:rPr>
        <w:t>-ħtiġijiet u r-rekwiżiti relatati jiġu kkunsidrati waqt l-ippjanar tal-postijiet u fil-proċeduri tal-awtorizzazzjoni relatati. Jekk għallinqas in-nodi urbani tan-netwerk ewlieni u n-netwerk komprensiv tat-TEN-T jitgħammru b’għadd biżżejjed ta’ punti tal-iċ</w:t>
      </w:r>
      <w:r>
        <w:rPr>
          <w:rFonts w:ascii="Times New Roman" w:hAnsi="Times New Roman"/>
          <w:noProof/>
          <w:sz w:val="24"/>
        </w:rPr>
        <w:t>ċ</w:t>
      </w:r>
      <w:r>
        <w:rPr>
          <w:rFonts w:ascii="Times New Roman" w:hAnsi="Times New Roman"/>
          <w:noProof/>
          <w:sz w:val="24"/>
        </w:rPr>
        <w:t>arġjar u tar-riforniment aċċessibbli pubblikament, dan mistenni jsaħħaħ il-kunfidenza tal-investituri u tal-konsumaturi. Anki l-infrastruttura tal-iċċarġjar u tar-riforniment teħtieġ l-iżvilupp ta’ infrastruttura diġitali ta’ servizzi miftuħa u interopera</w:t>
      </w:r>
      <w:r>
        <w:rPr>
          <w:rFonts w:ascii="Times New Roman" w:hAnsi="Times New Roman"/>
          <w:noProof/>
          <w:sz w:val="24"/>
        </w:rPr>
        <w:t>bbli għall-ġid tal-konsumaturi.</w:t>
      </w:r>
    </w:p>
    <w:p w:rsidR="004B3B44" w:rsidRDefault="00210B24">
      <w:pPr>
        <w:spacing w:line="240" w:lineRule="auto"/>
        <w:jc w:val="both"/>
        <w:rPr>
          <w:rFonts w:ascii="Times New Roman" w:hAnsi="Times New Roman"/>
          <w:noProof/>
          <w:sz w:val="24"/>
          <w:szCs w:val="24"/>
        </w:rPr>
      </w:pPr>
      <w:r>
        <w:rPr>
          <w:rFonts w:ascii="Times New Roman" w:hAnsi="Times New Roman"/>
          <w:noProof/>
          <w:sz w:val="24"/>
        </w:rPr>
        <w:t xml:space="preserve">Għaldaqstant il-Kummissjoni qed tiffaċilita l-ħidma tal-partijiet konċernati pubbliċi u privati ewlenin biex jiżviluppaw </w:t>
      </w:r>
      <w:r>
        <w:rPr>
          <w:rFonts w:ascii="Times New Roman" w:hAnsi="Times New Roman"/>
          <w:b/>
          <w:noProof/>
          <w:sz w:val="24"/>
        </w:rPr>
        <w:t>azzjonijiet ewlenin b’rabta man-netwerks tat-TEN-T, fosthom l-infrastruttura tal-fjuwils alternattivi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Dawn l-azzjonijiet se jsiru bil-għan li jgħaqqdu l-proġetti u jimmobilizzaw firxa usa’ ta’ atturi. Il-Kummissjoni beħsiebha tħabbar dawn l-azzjonijiet ewlenin fil-kuntest tat-tielet pjan ta’ ħidma tal-kurituri tat-TEN-T sar-rebbiegħa tal-2018. L-implimenta</w:t>
      </w:r>
      <w:r>
        <w:rPr>
          <w:rFonts w:ascii="Times New Roman" w:hAnsi="Times New Roman"/>
          <w:noProof/>
          <w:sz w:val="24"/>
        </w:rPr>
        <w:t>zzjoni se tgawdi minn kollaborazzjoni bejn l-awtoritajiet pubbliċi u atturi oħrajn fil-fora tal-kurituri tat-TEN-T. It-tiswir tal-kapaċitajiet dwar in-netwerk tat-TEN-T se jitwieżen b’mekkaniżmi xierqa permezz tal-Faċilità Nikkollegaw l-Ewropa (is-CEF).</w:t>
      </w:r>
    </w:p>
    <w:p w:rsidR="004B3B44" w:rsidRDefault="00210B24">
      <w:pPr>
        <w:keepNext/>
        <w:spacing w:line="240" w:lineRule="auto"/>
        <w:jc w:val="both"/>
        <w:rPr>
          <w:rFonts w:ascii="Times New Roman" w:hAnsi="Times New Roman"/>
          <w:noProof/>
          <w:sz w:val="24"/>
          <w:szCs w:val="24"/>
        </w:rPr>
      </w:pPr>
      <w:r>
        <w:rPr>
          <w:rFonts w:ascii="Times New Roman" w:hAnsi="Times New Roman"/>
          <w:noProof/>
          <w:sz w:val="24"/>
        </w:rPr>
        <w:t>Kw</w:t>
      </w:r>
      <w:r>
        <w:rPr>
          <w:rFonts w:ascii="Times New Roman" w:hAnsi="Times New Roman"/>
          <w:noProof/>
          <w:sz w:val="24"/>
        </w:rPr>
        <w:t>istjonijiet ewlenin li jridu jiġu indirizzati:</w:t>
      </w:r>
    </w:p>
    <w:p w:rsidR="004B3B44" w:rsidRDefault="00210B24">
      <w:pPr>
        <w:pStyle w:val="ListParagraph"/>
        <w:numPr>
          <w:ilvl w:val="0"/>
          <w:numId w:val="25"/>
        </w:numPr>
        <w:spacing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rPr>
        <w:t>Għal sinerġiji massimi</w:t>
      </w:r>
      <w:r>
        <w:rPr>
          <w:rFonts w:ascii="Times New Roman" w:hAnsi="Times New Roman" w:cs="Times New Roman"/>
          <w:noProof/>
          <w:sz w:val="24"/>
        </w:rPr>
        <w:t xml:space="preserve"> bejn it-trasport, l-enerġija u t-teknoloġiji tal-informazzjoni u tal-komunikazzjoni fir-rigward tal-mobbiltà fuq distanzi twal u l-mobbiltà urbana. Hu essenzjali li jiġu integrati d-dekarbonizzazzjoni tat-trasport u tal-provvista tal-enerġija, il-grilji i</w:t>
      </w:r>
      <w:r>
        <w:rPr>
          <w:rFonts w:ascii="Times New Roman" w:hAnsi="Times New Roman" w:cs="Times New Roman"/>
          <w:noProof/>
          <w:sz w:val="24"/>
        </w:rPr>
        <w:t>ntelliġenti u s-soluzzjonijiet innovattivi għall-ħżin tal-enerġija.</w:t>
      </w:r>
    </w:p>
    <w:p w:rsidR="004B3B44" w:rsidRDefault="00210B24">
      <w:pPr>
        <w:pStyle w:val="ListParagraph"/>
        <w:numPr>
          <w:ilvl w:val="0"/>
          <w:numId w:val="25"/>
        </w:numPr>
        <w:shd w:val="clear" w:color="auto" w:fill="FFFFFF" w:themeFill="background1"/>
        <w:spacing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rPr>
        <w:t>Jenħtieġ li s-soluzzjonijiet tal-flotta jiġu promossi</w:t>
      </w:r>
      <w:r>
        <w:rPr>
          <w:rFonts w:ascii="Times New Roman" w:hAnsi="Times New Roman" w:cs="Times New Roman"/>
          <w:noProof/>
          <w:sz w:val="24"/>
        </w:rPr>
        <w:t xml:space="preserve"> flimkien ma’ infrastruttura tal-fjuwils alternattivi fin-netwerk tat-TEN-T u fin-nodi urbani. </w:t>
      </w:r>
    </w:p>
    <w:p w:rsidR="004B3B44" w:rsidRDefault="00210B24">
      <w:pPr>
        <w:pStyle w:val="ListParagraph"/>
        <w:numPr>
          <w:ilvl w:val="0"/>
          <w:numId w:val="25"/>
        </w:numPr>
        <w:shd w:val="clear" w:color="auto" w:fill="FFFFFF" w:themeFill="background1"/>
        <w:spacing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rPr>
        <w:t xml:space="preserve">Fin-nodi urbani jistgħu jiġu promossi </w:t>
      </w:r>
      <w:r>
        <w:rPr>
          <w:rFonts w:ascii="Times New Roman" w:hAnsi="Times New Roman" w:cs="Times New Roman"/>
          <w:b/>
          <w:noProof/>
          <w:sz w:val="24"/>
        </w:rPr>
        <w:t>l</w:t>
      </w:r>
      <w:r>
        <w:rPr>
          <w:rFonts w:ascii="Times New Roman" w:hAnsi="Times New Roman" w:cs="Times New Roman"/>
          <w:b/>
          <w:noProof/>
          <w:sz w:val="24"/>
        </w:rPr>
        <w:t>-linji ferrovjarji elettriċizzati</w:t>
      </w:r>
      <w:r>
        <w:rPr>
          <w:rFonts w:ascii="Times New Roman" w:hAnsi="Times New Roman" w:cs="Times New Roman"/>
          <w:noProof/>
          <w:sz w:val="24"/>
        </w:rPr>
        <w:t>; meta dan ma jkunx vijabbli, tista’ tiġi vvalutata l-opportunità għal qlib mid-diżil lejn l-LNG jew l-idroġenu.</w:t>
      </w:r>
    </w:p>
    <w:p w:rsidR="004B3B44" w:rsidRDefault="00210B24">
      <w:pPr>
        <w:pStyle w:val="ListParagraph"/>
        <w:numPr>
          <w:ilvl w:val="0"/>
          <w:numId w:val="25"/>
        </w:numPr>
        <w:spacing w:line="240" w:lineRule="auto"/>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rPr>
        <w:t xml:space="preserve">Jenħtieġ li l-atturi privati tas-suq imorru lil hinn fl-azzjoni li jieħdu. Dan jinkludi </w:t>
      </w:r>
      <w:r>
        <w:rPr>
          <w:rFonts w:ascii="Times New Roman" w:hAnsi="Times New Roman" w:cs="Times New Roman"/>
          <w:b/>
          <w:noProof/>
          <w:sz w:val="24"/>
        </w:rPr>
        <w:t>l-kummerċjalizzazzjoni</w:t>
      </w:r>
      <w:r>
        <w:rPr>
          <w:rFonts w:ascii="Times New Roman" w:hAnsi="Times New Roman" w:cs="Times New Roman"/>
          <w:b/>
          <w:noProof/>
          <w:sz w:val="24"/>
        </w:rPr>
        <w:t xml:space="preserve"> tat-trakkijiet li jaħdmu bl-LNG</w:t>
      </w:r>
      <w:r>
        <w:rPr>
          <w:rFonts w:ascii="Times New Roman" w:hAnsi="Times New Roman" w:cs="Times New Roman"/>
          <w:noProof/>
          <w:sz w:val="24"/>
        </w:rPr>
        <w:t xml:space="preserve"> permezz ta’ soluzzjonijiet tal-flotta bi stazzjonijiet tar-riforniment, li għalihom in-netwerk tat-TEN-T jista’ jservi ta’ test għal aktar soluzzjonijiet.</w:t>
      </w:r>
    </w:p>
    <w:p w:rsidR="004B3B44" w:rsidRDefault="00210B24">
      <w:pPr>
        <w:pStyle w:val="ListParagraph"/>
        <w:numPr>
          <w:ilvl w:val="0"/>
          <w:numId w:val="25"/>
        </w:numPr>
        <w:spacing w:line="240" w:lineRule="auto"/>
        <w:ind w:left="714" w:right="-28" w:hanging="357"/>
        <w:jc w:val="both"/>
        <w:rPr>
          <w:rFonts w:ascii="Times New Roman" w:eastAsia="Calibri" w:hAnsi="Times New Roman" w:cs="Times New Roman"/>
          <w:noProof/>
          <w:sz w:val="24"/>
          <w:szCs w:val="24"/>
        </w:rPr>
      </w:pPr>
      <w:r>
        <w:rPr>
          <w:rFonts w:ascii="Times New Roman" w:hAnsi="Times New Roman" w:cs="Times New Roman"/>
          <w:noProof/>
          <w:sz w:val="24"/>
        </w:rPr>
        <w:t xml:space="preserve">Minħabba </w:t>
      </w:r>
      <w:r>
        <w:rPr>
          <w:rFonts w:ascii="Times New Roman" w:hAnsi="Times New Roman" w:cs="Times New Roman"/>
          <w:b/>
          <w:noProof/>
          <w:sz w:val="24"/>
        </w:rPr>
        <w:t>n-nuqqas ta’ adozzjoni mis-suq ta’ vetturi li jaħdmu bl-LNG</w:t>
      </w:r>
      <w:r>
        <w:rPr>
          <w:rFonts w:ascii="Times New Roman" w:hAnsi="Times New Roman" w:cs="Times New Roman"/>
          <w:noProof/>
          <w:sz w:val="24"/>
        </w:rPr>
        <w:t xml:space="preserve"> fl-UE, l-operaturi tal-LNG jistgħu jibbenefikaw jekk jakkwistaw b’mod konġunt bastimenti li jaħdmu bl-LNG, bil-possibbiltà li ssir estensjoni tal-punti tar-riforniment tal-LNG. L-awtoritajiet jistgħu jikkunsidraw ukoll li jistabbilixxu żoni tal-kontroll t</w:t>
      </w:r>
      <w:r>
        <w:rPr>
          <w:rFonts w:ascii="Times New Roman" w:hAnsi="Times New Roman" w:cs="Times New Roman"/>
          <w:noProof/>
          <w:sz w:val="24"/>
        </w:rPr>
        <w:t>al-emissjonijiet tal-SO</w:t>
      </w:r>
      <w:r>
        <w:rPr>
          <w:rFonts w:ascii="Times New Roman" w:hAnsi="Times New Roman" w:cs="Times New Roman"/>
          <w:noProof/>
          <w:sz w:val="24"/>
          <w:vertAlign w:val="subscript"/>
        </w:rPr>
        <w:t>x</w:t>
      </w:r>
      <w:r>
        <w:rPr>
          <w:rFonts w:ascii="Times New Roman" w:hAnsi="Times New Roman" w:cs="Times New Roman"/>
          <w:noProof/>
          <w:sz w:val="24"/>
        </w:rPr>
        <w:t xml:space="preserve"> skont il-proċess tal-Organizzazzjoni Marittima Internazzjonali (l-IMO) fl-Anness VI tal-MARPOL, kif previst fid-Direttiva 2012/33/UE</w:t>
      </w:r>
      <w:r>
        <w:rPr>
          <w:rStyle w:val="FootnoteReference"/>
          <w:rFonts w:ascii="Times New Roman" w:hAnsi="Times New Roman" w:cs="Times New Roman"/>
          <w:noProof/>
          <w:sz w:val="24"/>
        </w:rPr>
        <w:footnoteReference w:id="32"/>
      </w:r>
      <w:r>
        <w:rPr>
          <w:rFonts w:ascii="Times New Roman" w:hAnsi="Times New Roman" w:cs="Times New Roman"/>
          <w:noProof/>
          <w:sz w:val="24"/>
        </w:rPr>
        <w:t>.</w:t>
      </w:r>
      <w:r>
        <w:rPr>
          <w:rFonts w:ascii="Times New Roman" w:hAnsi="Times New Roman" w:cs="Times New Roman"/>
          <w:noProof/>
        </w:rPr>
        <w:t xml:space="preserve"> </w:t>
      </w:r>
    </w:p>
    <w:p w:rsidR="004B3B44" w:rsidRDefault="004B3B44">
      <w:pPr>
        <w:pStyle w:val="ListParagraph"/>
        <w:spacing w:line="240" w:lineRule="auto"/>
        <w:ind w:left="714" w:right="-28"/>
        <w:jc w:val="both"/>
        <w:rPr>
          <w:rFonts w:ascii="Times New Roman" w:eastAsia="Calibri" w:hAnsi="Times New Roman" w:cs="Times New Roman"/>
          <w:noProof/>
          <w:sz w:val="24"/>
          <w:szCs w:val="24"/>
        </w:rPr>
      </w:pPr>
    </w:p>
    <w:p w:rsidR="004B3B44" w:rsidRDefault="00210B24">
      <w:pPr>
        <w:pStyle w:val="ListParagraph"/>
        <w:numPr>
          <w:ilvl w:val="0"/>
          <w:numId w:val="25"/>
        </w:numPr>
        <w:shd w:val="clear" w:color="auto" w:fill="FFFFFF" w:themeFill="background1"/>
        <w:spacing w:line="240" w:lineRule="auto"/>
        <w:ind w:left="714" w:right="-28" w:hanging="357"/>
        <w:jc w:val="both"/>
        <w:rPr>
          <w:rFonts w:ascii="Times New Roman" w:eastAsia="Calibri" w:hAnsi="Times New Roman" w:cs="Times New Roman"/>
          <w:noProof/>
          <w:sz w:val="24"/>
          <w:szCs w:val="24"/>
        </w:rPr>
      </w:pPr>
      <w:r>
        <w:rPr>
          <w:rFonts w:ascii="Times New Roman" w:hAnsi="Times New Roman" w:cs="Times New Roman"/>
          <w:noProof/>
          <w:sz w:val="24"/>
        </w:rPr>
        <w:t>Mill-2019, il-magni ġodda tal-</w:t>
      </w:r>
      <w:r>
        <w:rPr>
          <w:rFonts w:ascii="Times New Roman" w:hAnsi="Times New Roman" w:cs="Times New Roman"/>
          <w:b/>
          <w:noProof/>
          <w:sz w:val="24"/>
        </w:rPr>
        <w:t>bastimenti tal-passaġġi fuq l-ilma interni</w:t>
      </w:r>
      <w:r>
        <w:rPr>
          <w:rFonts w:ascii="Times New Roman" w:hAnsi="Times New Roman" w:cs="Times New Roman"/>
          <w:noProof/>
          <w:sz w:val="24"/>
        </w:rPr>
        <w:t xml:space="preserve"> se jkollhom jirrispet</w:t>
      </w:r>
      <w:r>
        <w:rPr>
          <w:rFonts w:ascii="Times New Roman" w:hAnsi="Times New Roman" w:cs="Times New Roman"/>
          <w:noProof/>
          <w:sz w:val="24"/>
        </w:rPr>
        <w:t>taw il-limiti l-ġodda tas-sustanzi li jniġġsu l-arja</w:t>
      </w:r>
      <w:r>
        <w:rPr>
          <w:rStyle w:val="FootnoteReference"/>
          <w:rFonts w:ascii="Times New Roman" w:hAnsi="Times New Roman" w:cs="Times New Roman"/>
          <w:noProof/>
        </w:rPr>
        <w:footnoteReference w:id="33"/>
      </w:r>
      <w:r>
        <w:rPr>
          <w:rFonts w:ascii="Times New Roman" w:hAnsi="Times New Roman" w:cs="Times New Roman"/>
          <w:noProof/>
          <w:sz w:val="24"/>
        </w:rPr>
        <w:t xml:space="preserve">. Hu kruċjali li jiġi adottat l-użu tal-magni tal-LNG. Ikun ta’ għajnuna jekk tiġi installata malajr l-infrastruttura tal-LNG meħtieġa fil-kurituri tan-netwerk ewlieni tat-TEN-T. Jenħtieġ jiġu eżaminati </w:t>
      </w:r>
      <w:r>
        <w:rPr>
          <w:rFonts w:ascii="Times New Roman" w:hAnsi="Times New Roman" w:cs="Times New Roman"/>
          <w:noProof/>
          <w:sz w:val="24"/>
        </w:rPr>
        <w:t>sinerġiji ma’ modi oħra tat-trasport, ngħidu aħna infrastruttura tal-LNG fil-portijiet marittimi jew għall-vetturi tqal.</w:t>
      </w:r>
    </w:p>
    <w:p w:rsidR="004B3B44" w:rsidRDefault="00210B24">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sz w:val="24"/>
        </w:rPr>
        <w:t xml:space="preserve">Anki l-Istati Membri u r-reġjuni huma mħeġġa </w:t>
      </w:r>
      <w:r>
        <w:rPr>
          <w:rFonts w:ascii="Times New Roman" w:hAnsi="Times New Roman"/>
          <w:b/>
          <w:noProof/>
          <w:sz w:val="24"/>
        </w:rPr>
        <w:t>jsaħħu l-użu tagħhom tal-appoġġ tal-politika ta’ koeżjoni</w:t>
      </w:r>
      <w:r>
        <w:rPr>
          <w:rFonts w:ascii="Times New Roman" w:hAnsi="Times New Roman"/>
          <w:noProof/>
          <w:sz w:val="24"/>
        </w:rPr>
        <w:t xml:space="preserve"> u, b’mod partikolari, tal-Progra</w:t>
      </w:r>
      <w:r>
        <w:rPr>
          <w:rFonts w:ascii="Times New Roman" w:hAnsi="Times New Roman"/>
          <w:noProof/>
          <w:sz w:val="24"/>
        </w:rPr>
        <w:t>mmi ta’ Koperazzjoni Territorjali Ewropea (“Interreg”) biex jiżguraw koordinazzjoni u koerenza tajbin fl-installazzjoni tal-infrastruttura tal-fjuwils alternattivi – mhux biss tul it-TEN-T iżda wkoll fil-livell reġjonali u lokali.</w:t>
      </w:r>
    </w:p>
    <w:p w:rsidR="004B3B44" w:rsidRDefault="00210B24">
      <w:pPr>
        <w:pStyle w:val="Heading2"/>
        <w:numPr>
          <w:ilvl w:val="0"/>
          <w:numId w:val="0"/>
        </w:numPr>
        <w:spacing w:line="240" w:lineRule="auto"/>
        <w:jc w:val="both"/>
        <w:rPr>
          <w:b w:val="0"/>
          <w:i/>
          <w:noProof/>
        </w:rPr>
      </w:pPr>
      <w:r>
        <w:rPr>
          <w:b w:val="0"/>
          <w:i/>
          <w:noProof/>
        </w:rPr>
        <w:t>Inżidu l-iskala u l-impat</w:t>
      </w:r>
      <w:r>
        <w:rPr>
          <w:b w:val="0"/>
          <w:i/>
          <w:noProof/>
        </w:rPr>
        <w:t>t tal-finanzjament</w:t>
      </w:r>
    </w:p>
    <w:p w:rsidR="004B3B44" w:rsidRDefault="00210B24">
      <w:pPr>
        <w:pStyle w:val="Heading2"/>
        <w:numPr>
          <w:ilvl w:val="0"/>
          <w:numId w:val="0"/>
        </w:numPr>
        <w:spacing w:line="240" w:lineRule="auto"/>
        <w:jc w:val="both"/>
        <w:rPr>
          <w:b w:val="0"/>
          <w:noProof/>
        </w:rPr>
      </w:pPr>
      <w:r>
        <w:rPr>
          <w:b w:val="0"/>
          <w:noProof/>
        </w:rPr>
        <w:t xml:space="preserve">Prijorità ewlenija hi li nżidu </w:t>
      </w:r>
      <w:r>
        <w:rPr>
          <w:noProof/>
        </w:rPr>
        <w:t>l-iskala u l-impatt tal-finanzjament</w:t>
      </w:r>
      <w:r>
        <w:rPr>
          <w:b w:val="0"/>
          <w:noProof/>
        </w:rPr>
        <w:t>. Jenħtieġ li l-appoġġ tal-UE jingrana aktar finanzjament pubbliku u privat sa fejn dan ikun possibbli. Il-valutazzjoni tal-ħtiġijiet finanzjarji u l-opportunitajiet rela</w:t>
      </w:r>
      <w:r>
        <w:rPr>
          <w:b w:val="0"/>
          <w:noProof/>
        </w:rPr>
        <w:t xml:space="preserve">tati mal-finanzjament innovattiv se jikkontribwixxu wkoll għat-tħejjija tal-qafas finanzjarju pluriennali ta’ wara l-2020. </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L-appoġġ għall-fjuwils alternattivi qiegħed kulma jmur ifisser l-użu ta’ soluzzjonijiet, mhux biss dwar l-innovazzjoni. </w:t>
      </w:r>
      <w:r>
        <w:rPr>
          <w:rFonts w:ascii="Times New Roman" w:hAnsi="Times New Roman"/>
          <w:b/>
          <w:noProof/>
          <w:sz w:val="24"/>
        </w:rPr>
        <w:t xml:space="preserve">Il-flus pubbliċi jenħtieġ jintużaw b’mod effiċjenti. </w:t>
      </w:r>
      <w:r>
        <w:rPr>
          <w:rFonts w:ascii="Times New Roman" w:hAnsi="Times New Roman"/>
          <w:noProof/>
          <w:sz w:val="24"/>
        </w:rPr>
        <w:t xml:space="preserve">F’xi każijiet, l-għotjiet għad hemm bżonnhom biex titħaffef l-installazzjoni tal-infrastruttura tal-fjuwils alternattivi, speċjalment għall-proġetti transfruntiera u interurbani u għal teknoloġiji inqas </w:t>
      </w:r>
      <w:r>
        <w:rPr>
          <w:rFonts w:ascii="Times New Roman" w:hAnsi="Times New Roman"/>
          <w:noProof/>
          <w:sz w:val="24"/>
        </w:rPr>
        <w:t xml:space="preserve">maturi. F’ħafna mill-każijiet, jenħtieġ li l-finanzjament privat jitħallat ma’ għotja pubblika, meta l-proġetti jkunu se jiġu ffinanzjati primarjament minn fondi oħra, pereżempju minn banek pubbliċi jew mis-settur privat, u meta l-għotja tkun tkopri parti </w:t>
      </w:r>
      <w:r>
        <w:rPr>
          <w:rFonts w:ascii="Times New Roman" w:hAnsi="Times New Roman"/>
          <w:noProof/>
          <w:sz w:val="24"/>
        </w:rPr>
        <w:t>iżgħar.</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b/>
          <w:noProof/>
          <w:sz w:val="24"/>
        </w:rPr>
        <w:t>L-investimenti jeħtieġu ċ-ċertezza politika</w:t>
      </w:r>
      <w:r>
        <w:rPr>
          <w:rFonts w:ascii="Times New Roman" w:hAnsi="Times New Roman"/>
          <w:noProof/>
          <w:sz w:val="24"/>
        </w:rPr>
        <w:t>. Il-proposta għall-istandards tal-prestazzjoni tal-emissjonijiet tas-CO</w:t>
      </w:r>
      <w:r>
        <w:rPr>
          <w:rFonts w:ascii="Times New Roman" w:hAnsi="Times New Roman"/>
          <w:noProof/>
          <w:sz w:val="24"/>
          <w:vertAlign w:val="subscript"/>
        </w:rPr>
        <w:t>2</w:t>
      </w:r>
      <w:r>
        <w:rPr>
          <w:rFonts w:ascii="Times New Roman" w:hAnsi="Times New Roman"/>
          <w:noProof/>
          <w:sz w:val="24"/>
        </w:rPr>
        <w:t xml:space="preserve"> għall-karozzi u l-vannijiet wara l-2020</w:t>
      </w:r>
      <w:r>
        <w:rPr>
          <w:rStyle w:val="FootnoteReference"/>
          <w:rFonts w:ascii="Times New Roman" w:hAnsi="Times New Roman"/>
          <w:noProof/>
          <w:sz w:val="24"/>
        </w:rPr>
        <w:footnoteReference w:id="34"/>
      </w:r>
      <w:r>
        <w:rPr>
          <w:rFonts w:ascii="Times New Roman" w:hAnsi="Times New Roman"/>
          <w:noProof/>
          <w:sz w:val="24"/>
        </w:rPr>
        <w:t xml:space="preserve"> ippubblikata flimkien ma’ dan il-pjan ta’ azzjoni, tindirizza dan l-ostaklu tas-suq, flimk</w:t>
      </w:r>
      <w:r>
        <w:rPr>
          <w:rFonts w:ascii="Times New Roman" w:hAnsi="Times New Roman"/>
          <w:noProof/>
          <w:sz w:val="24"/>
        </w:rPr>
        <w:t>ien ma’ proposti politiċi oħrajn bħal pereżempju r-reviżjoni tad-Direttiva dwar il-Vetturi Nodfa</w:t>
      </w:r>
      <w:r>
        <w:rPr>
          <w:rStyle w:val="FootnoteReference"/>
          <w:rFonts w:ascii="Times New Roman" w:hAnsi="Times New Roman"/>
          <w:noProof/>
          <w:sz w:val="24"/>
        </w:rPr>
        <w:footnoteReference w:id="35"/>
      </w:r>
      <w:r>
        <w:rPr>
          <w:rFonts w:ascii="Times New Roman" w:hAnsi="Times New Roman"/>
          <w:noProof/>
          <w:sz w:val="24"/>
        </w:rPr>
        <w:t xml:space="preserve">. </w:t>
      </w:r>
    </w:p>
    <w:p w:rsidR="004B3B44" w:rsidRDefault="00210B24">
      <w:pPr>
        <w:pStyle w:val="Text2"/>
        <w:spacing w:line="240" w:lineRule="auto"/>
        <w:ind w:left="0"/>
        <w:jc w:val="both"/>
        <w:rPr>
          <w:rFonts w:ascii="Times New Roman" w:hAnsi="Times New Roman"/>
          <w:b/>
          <w:noProof/>
          <w:sz w:val="24"/>
          <w:szCs w:val="24"/>
        </w:rPr>
      </w:pPr>
      <w:r>
        <w:rPr>
          <w:rFonts w:ascii="Times New Roman" w:hAnsi="Times New Roman"/>
          <w:noProof/>
          <w:sz w:val="24"/>
        </w:rPr>
        <w:t xml:space="preserve">Bħala regola, </w:t>
      </w:r>
      <w:r>
        <w:rPr>
          <w:rFonts w:ascii="Times New Roman" w:hAnsi="Times New Roman"/>
          <w:b/>
          <w:noProof/>
          <w:sz w:val="24"/>
        </w:rPr>
        <w:t>jenħtieġ li l-proġetti appoġġati bil-fondi tal-UE jkunu jissodisfaw ir-rekwiżiti tad-Direttiva 2014/94/UE u jirriflettu l-prijoritajiet stabbi</w:t>
      </w:r>
      <w:r>
        <w:rPr>
          <w:rFonts w:ascii="Times New Roman" w:hAnsi="Times New Roman"/>
          <w:b/>
          <w:noProof/>
          <w:sz w:val="24"/>
        </w:rPr>
        <w:t>liti fl-oqfsa nazzjonali ta’ politika</w:t>
      </w:r>
      <w:r>
        <w:rPr>
          <w:rFonts w:ascii="Times New Roman" w:hAnsi="Times New Roman"/>
          <w:noProof/>
          <w:sz w:val="24"/>
        </w:rPr>
        <w:t>. Il-Kummissjoni se tuża r-riżultati tal-valutazzjoni tal-oqfsa nazzjonali ta’ politika biex tinforma d-deċiżjonijiet ta’ finanzjament mill-Faċilità Nikkollegaw l-Ewropa (is-CEF), il-Fond ta’ Koeżjoni u l-Fond Ewropew g</w:t>
      </w:r>
      <w:r>
        <w:rPr>
          <w:rFonts w:ascii="Times New Roman" w:hAnsi="Times New Roman"/>
          <w:noProof/>
          <w:sz w:val="24"/>
        </w:rPr>
        <w:t>ħall-Iżvilupp Reġjonali (il-FEŻR).</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Il-Kummissjoni se tniedi </w:t>
      </w:r>
      <w:r>
        <w:rPr>
          <w:rFonts w:ascii="Times New Roman" w:hAnsi="Times New Roman"/>
          <w:b/>
          <w:noProof/>
          <w:sz w:val="24"/>
        </w:rPr>
        <w:t>roadshow fl-Istati Membri</w:t>
      </w:r>
      <w:r>
        <w:rPr>
          <w:rFonts w:ascii="Times New Roman" w:hAnsi="Times New Roman"/>
          <w:noProof/>
          <w:sz w:val="24"/>
        </w:rPr>
        <w:t xml:space="preserve"> biex tirrevedi b’mod komprensiv l-ambizzjoni tal-oqfsa nazzjonali ta’ politika u l-ħtiġijiet tal-investiment fil-mobbiltà mingħajr emissjonijiet u b’emissjonijiet baxxi u</w:t>
      </w:r>
      <w:r>
        <w:rPr>
          <w:rFonts w:ascii="Times New Roman" w:hAnsi="Times New Roman"/>
          <w:noProof/>
          <w:sz w:val="24"/>
        </w:rPr>
        <w:t xml:space="preserve"> biex tgħarbel l-opportunitajiet li joffru l-istrumenti finanzjarji u ta’ finanzjament differenti tal-UE, inkluż fil-kuntest tal-azzjonijiet ewlenin tat-TEN-T għall-infrastruttura tal-fjuwils alternattivi. Din se tinvolvi lis-servizzi kollha tal-Kummissjon</w:t>
      </w:r>
      <w:r>
        <w:rPr>
          <w:rFonts w:ascii="Times New Roman" w:hAnsi="Times New Roman"/>
          <w:noProof/>
          <w:sz w:val="24"/>
        </w:rPr>
        <w:t xml:space="preserve">i li jimmaniġġaw il-fondi rilevanti, lill-Bank Ewropew għall-Investiment (il-BEI) u lil banek promozzjonali nazzjonali, meta xieraq. </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Il-Kummissjoni se tipproponi pjan ta’ azzjoni dwar il-finanzi sostenibbli biex jipprovdi inċentivi lill-investituri u jtej</w:t>
      </w:r>
      <w:r>
        <w:rPr>
          <w:rFonts w:ascii="Times New Roman" w:hAnsi="Times New Roman"/>
          <w:noProof/>
          <w:sz w:val="24"/>
        </w:rPr>
        <w:t>jeb il-qafas legali u l-kundizzjonijiet ta’ faċilitazzjoni ħalli dawn jattiraw aktar investimenti privati fi proġetti sostenibbli u ekoloġiċi. L-installazzjoni tal-infrastruttura tal-fjuwils alternattivi jenħtieġ tibbenefika minn dan il-pjan.</w:t>
      </w:r>
    </w:p>
    <w:p w:rsidR="004B3B44" w:rsidRDefault="00210B24">
      <w:pPr>
        <w:keepNext/>
        <w:rPr>
          <w:rFonts w:ascii="Times New Roman" w:hAnsi="Times New Roman"/>
          <w:i/>
          <w:noProof/>
          <w:sz w:val="24"/>
          <w:szCs w:val="24"/>
        </w:rPr>
      </w:pPr>
      <w:r>
        <w:rPr>
          <w:rFonts w:ascii="Times New Roman" w:hAnsi="Times New Roman"/>
          <w:i/>
          <w:noProof/>
          <w:sz w:val="24"/>
        </w:rPr>
        <w:t>Nużaw aħjar l</w:t>
      </w:r>
      <w:r>
        <w:rPr>
          <w:rFonts w:ascii="Times New Roman" w:hAnsi="Times New Roman"/>
          <w:i/>
          <w:noProof/>
          <w:sz w:val="24"/>
        </w:rPr>
        <w:t>-appoġġ finanzjarju tal-UE</w:t>
      </w:r>
    </w:p>
    <w:p w:rsidR="004B3B44" w:rsidRDefault="00210B24">
      <w:pPr>
        <w:spacing w:line="240" w:lineRule="auto"/>
        <w:jc w:val="both"/>
        <w:rPr>
          <w:rFonts w:ascii="Times New Roman" w:hAnsi="Times New Roman"/>
          <w:noProof/>
          <w:sz w:val="24"/>
          <w:szCs w:val="24"/>
        </w:rPr>
      </w:pPr>
      <w:r>
        <w:rPr>
          <w:rFonts w:ascii="Times New Roman" w:hAnsi="Times New Roman"/>
          <w:b/>
          <w:noProof/>
          <w:sz w:val="24"/>
        </w:rPr>
        <w:t>Appoġġ konsiderevoli għall-infrastruttura tal-fjuwils alternattivi hu disponibbli permezz ta’ diversi strumenti finanzjarji appoġġati mill-baġit tal-UE.</w:t>
      </w:r>
    </w:p>
    <w:p w:rsidR="004B3B44" w:rsidRDefault="00210B24">
      <w:pPr>
        <w:spacing w:line="240" w:lineRule="auto"/>
        <w:jc w:val="both"/>
        <w:rPr>
          <w:rFonts w:ascii="Times New Roman" w:hAnsi="Times New Roman"/>
          <w:i/>
          <w:noProof/>
          <w:sz w:val="24"/>
          <w:szCs w:val="24"/>
        </w:rPr>
      </w:pPr>
      <w:r>
        <w:rPr>
          <w:rFonts w:ascii="Times New Roman" w:hAnsi="Times New Roman"/>
          <w:noProof/>
          <w:sz w:val="24"/>
        </w:rPr>
        <w:t>Il-</w:t>
      </w:r>
      <w:r>
        <w:rPr>
          <w:rFonts w:ascii="Times New Roman" w:hAnsi="Times New Roman"/>
          <w:b/>
          <w:noProof/>
          <w:sz w:val="24"/>
        </w:rPr>
        <w:t>Pjan ta’ Investiment għall-Ewropa</w:t>
      </w:r>
      <w:r>
        <w:rPr>
          <w:rFonts w:ascii="Times New Roman" w:hAnsi="Times New Roman"/>
          <w:noProof/>
          <w:sz w:val="24"/>
        </w:rPr>
        <w:t xml:space="preserve"> qiegħed kulma jmur jixpruna l-investiment fis-settur tat-trasport u fl-innovazzjoni, inkluż fil-vetturi mingħajr emissjonijiet jew b’emissjonijiet baxxi u fl-infrastruttura relatata</w:t>
      </w:r>
      <w:r>
        <w:rPr>
          <w:rStyle w:val="FootnoteReference"/>
          <w:rFonts w:ascii="Times New Roman" w:hAnsi="Times New Roman"/>
          <w:noProof/>
          <w:sz w:val="24"/>
        </w:rPr>
        <w:footnoteReference w:id="36"/>
      </w:r>
      <w:r>
        <w:rPr>
          <w:rFonts w:ascii="Times New Roman" w:hAnsi="Times New Roman"/>
          <w:noProof/>
          <w:sz w:val="24"/>
        </w:rPr>
        <w:t xml:space="preserve">. Il-programm </w:t>
      </w:r>
      <w:r>
        <w:rPr>
          <w:rFonts w:ascii="Times New Roman" w:hAnsi="Times New Roman"/>
          <w:b/>
          <w:noProof/>
          <w:sz w:val="24"/>
        </w:rPr>
        <w:t>Orizzont 2020</w:t>
      </w:r>
      <w:r>
        <w:rPr>
          <w:rFonts w:ascii="Times New Roman" w:hAnsi="Times New Roman"/>
          <w:noProof/>
          <w:sz w:val="24"/>
        </w:rPr>
        <w:t xml:space="preserve"> jipprovdi investiment kontinwu fir-riċerka u </w:t>
      </w:r>
      <w:r>
        <w:rPr>
          <w:rFonts w:ascii="Times New Roman" w:hAnsi="Times New Roman"/>
          <w:noProof/>
          <w:sz w:val="24"/>
        </w:rPr>
        <w:t>l-iżvilupp tat-trasport nadif, li jinkludi l-infrastruttura tal-fjuwils alternattivi u l-bijofjuwils avvanzati. L-inizjattivi bħall-Inizjattiva Ewropea għall-Vetturi Ekoloġiċi jew tal-Impriża Konġunta taċ-Ċelloli tal-Fjuwil u l-Idroġenu huma parti minn dan</w:t>
      </w:r>
      <w:r>
        <w:rPr>
          <w:rFonts w:ascii="Times New Roman" w:hAnsi="Times New Roman"/>
          <w:noProof/>
          <w:sz w:val="24"/>
        </w:rPr>
        <w:t xml:space="preserve"> l-appoġġ.</w:t>
      </w:r>
    </w:p>
    <w:tbl>
      <w:tblPr>
        <w:tblStyle w:val="TableGrid"/>
        <w:tblW w:w="0" w:type="auto"/>
        <w:tblInd w:w="108" w:type="dxa"/>
        <w:tblLook w:val="04A0" w:firstRow="1" w:lastRow="0" w:firstColumn="1" w:lastColumn="0" w:noHBand="0" w:noVBand="1"/>
      </w:tblPr>
      <w:tblGrid>
        <w:gridCol w:w="8727"/>
      </w:tblGrid>
      <w:tr w:rsidR="004B3B44">
        <w:tc>
          <w:tcPr>
            <w:tcW w:w="8727" w:type="dxa"/>
            <w:shd w:val="clear" w:color="auto" w:fill="C4BC96" w:themeFill="background2" w:themeFillShade="BF"/>
          </w:tcPr>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rPr>
              <w:t>Bejn wieħed u ieħor, l-investiment immobilizzat mill-għotja ta’ appoġġ tas-</w:t>
            </w:r>
            <w:r>
              <w:rPr>
                <w:rFonts w:ascii="Times New Roman" w:hAnsi="Times New Roman"/>
                <w:b/>
                <w:noProof/>
              </w:rPr>
              <w:t>CEF</w:t>
            </w:r>
            <w:r>
              <w:rPr>
                <w:rFonts w:ascii="Times New Roman" w:hAnsi="Times New Roman"/>
                <w:noProof/>
              </w:rPr>
              <w:t xml:space="preserve"> għall-fjuwils alternattivi fit-trasport bit-triq sal-lum hu aktar minn EUR 600 miljun, u dan jappoġġa kważi 60 proġett</w:t>
            </w:r>
            <w:r>
              <w:rPr>
                <w:rStyle w:val="FootnoteReference"/>
                <w:rFonts w:ascii="Times New Roman" w:hAnsi="Times New Roman"/>
                <w:noProof/>
              </w:rPr>
              <w:footnoteReference w:id="37"/>
            </w:r>
            <w:r>
              <w:rPr>
                <w:rFonts w:ascii="Times New Roman" w:hAnsi="Times New Roman"/>
                <w:noProof/>
              </w:rPr>
              <w:t>. Is-CEF ta wkoll kważi EUR 150 miljun bħala għ</w:t>
            </w:r>
            <w:r>
              <w:rPr>
                <w:rFonts w:ascii="Times New Roman" w:hAnsi="Times New Roman"/>
                <w:noProof/>
              </w:rPr>
              <w:t>otja ta’ appoġġ għall-provvista tal-elettriku max-xtut u t-terminals tal-LNG u għal teknoloġija innovattiva għal bastimenti aktar ekoloġiċi.</w:t>
            </w:r>
          </w:p>
          <w:p w:rsidR="004B3B44" w:rsidRDefault="00210B24">
            <w:pPr>
              <w:pStyle w:val="Text2"/>
              <w:spacing w:line="240" w:lineRule="auto"/>
              <w:ind w:left="0"/>
              <w:jc w:val="both"/>
              <w:rPr>
                <w:rFonts w:ascii="Times New Roman" w:hAnsi="Times New Roman"/>
                <w:noProof/>
              </w:rPr>
            </w:pPr>
            <w:r>
              <w:rPr>
                <w:rFonts w:ascii="Times New Roman" w:hAnsi="Times New Roman"/>
                <w:noProof/>
              </w:rPr>
              <w:t>Għall-perjodu 2014-2020, l-appoġġ tal-</w:t>
            </w:r>
            <w:r>
              <w:rPr>
                <w:rFonts w:ascii="Times New Roman" w:hAnsi="Times New Roman"/>
                <w:b/>
                <w:noProof/>
              </w:rPr>
              <w:t>politika ta’ koeżjoni</w:t>
            </w:r>
            <w:r>
              <w:rPr>
                <w:rFonts w:ascii="Times New Roman" w:hAnsi="Times New Roman"/>
                <w:noProof/>
              </w:rPr>
              <w:t xml:space="preserve"> għall-investiment fil-mobbiltà u t-trasport sostenibbli</w:t>
            </w:r>
            <w:r>
              <w:rPr>
                <w:rFonts w:ascii="Times New Roman" w:hAnsi="Times New Roman"/>
                <w:noProof/>
              </w:rPr>
              <w:t xml:space="preserve"> hu previst f’209 programmi operazzjonali u ta’ koperazzjoni territorjali Ewropea, b’parti pprogrammata b’mod speċifiku għall-infrastruttura tal-fjuwils alternattivi. Madwar EUR 70 biljun ġew ipprogrammati fl-appoġġ tat-trasport tal-Fond ta’ Koeżjoni u tal</w:t>
            </w:r>
            <w:r>
              <w:rPr>
                <w:rFonts w:ascii="Times New Roman" w:hAnsi="Times New Roman"/>
                <w:noProof/>
              </w:rPr>
              <w:t>-Fond Ewropew għall-Iżvilupp Reġjonali, fosthom EUR 35 biljun għan-netwerk TEN-T u EUR 12-il biljun għal mobbiltà urbana, sostenibbli, multimodali u b’livell baxx tal-karbonju. Bosta Stati Membri u reġjuni diġà qed jużaw tajjeb l-appoġġ tal-Politika ta’ Ko</w:t>
            </w:r>
            <w:r>
              <w:rPr>
                <w:rFonts w:ascii="Times New Roman" w:hAnsi="Times New Roman"/>
                <w:noProof/>
              </w:rPr>
              <w:t>eżjoni biex jimplimentaw l-oqfsa nazzjonali ta’ politika tagħhom u jinstallaw l-infrastruttura tal-fjuwils alternattivi.</w:t>
            </w:r>
          </w:p>
          <w:p w:rsidR="004B3B44" w:rsidRDefault="00210B24">
            <w:pPr>
              <w:pStyle w:val="Text2"/>
              <w:spacing w:line="240" w:lineRule="auto"/>
              <w:ind w:left="0"/>
              <w:jc w:val="both"/>
              <w:rPr>
                <w:rFonts w:ascii="Times New Roman" w:hAnsi="Times New Roman"/>
                <w:noProof/>
              </w:rPr>
            </w:pPr>
            <w:r>
              <w:rPr>
                <w:rFonts w:ascii="Times New Roman" w:hAnsi="Times New Roman"/>
                <w:noProof/>
              </w:rPr>
              <w:t>Pereżempju, il-kofinanzjament tal-UE mill-Fond ta’ Koeżjoni se jgħin fit-twettiq tal-akkwist ta’ 177 xarabank elettriku tal-batterija f</w:t>
            </w:r>
            <w:r>
              <w:rPr>
                <w:rFonts w:ascii="Times New Roman" w:hAnsi="Times New Roman"/>
                <w:noProof/>
              </w:rPr>
              <w:t>’Varsavja, Zielona Góra u Świnoujście fil-Polonja jew l-installazzjoni ta’ 150 stazzjon tal-iċċarġjar fil-Latvja sal-2020.</w:t>
            </w:r>
          </w:p>
        </w:tc>
      </w:tr>
    </w:tbl>
    <w:p w:rsidR="004B3B44" w:rsidRDefault="004B3B44">
      <w:pPr>
        <w:pStyle w:val="Text2"/>
        <w:spacing w:line="240" w:lineRule="auto"/>
        <w:ind w:left="0"/>
        <w:jc w:val="both"/>
        <w:rPr>
          <w:rFonts w:ascii="Times New Roman" w:hAnsi="Times New Roman"/>
          <w:noProof/>
          <w:sz w:val="24"/>
          <w:szCs w:val="24"/>
        </w:rPr>
      </w:pPr>
    </w:p>
    <w:p w:rsidR="004B3B44" w:rsidRDefault="00210B24">
      <w:pPr>
        <w:pStyle w:val="Text2"/>
        <w:spacing w:line="240" w:lineRule="auto"/>
        <w:ind w:left="0"/>
        <w:jc w:val="both"/>
        <w:rPr>
          <w:rFonts w:ascii="Times New Roman" w:hAnsi="Times New Roman"/>
          <w:noProof/>
          <w:sz w:val="24"/>
        </w:rPr>
      </w:pPr>
      <w:r>
        <w:rPr>
          <w:rFonts w:ascii="Times New Roman" w:hAnsi="Times New Roman"/>
          <w:b/>
          <w:noProof/>
          <w:sz w:val="24"/>
        </w:rPr>
        <w:t>It-taħlit ta’ għotjiet u self</w:t>
      </w:r>
      <w:r>
        <w:rPr>
          <w:rFonts w:ascii="Times New Roman" w:hAnsi="Times New Roman"/>
          <w:noProof/>
          <w:sz w:val="24"/>
        </w:rPr>
        <w:t xml:space="preserve"> hu opportunità kbira biex jiġi ingranat l-investiment pubbliku u privat. L-ewwel </w:t>
      </w:r>
      <w:r>
        <w:rPr>
          <w:rFonts w:ascii="Times New Roman" w:hAnsi="Times New Roman"/>
          <w:b/>
          <w:noProof/>
          <w:sz w:val="24"/>
        </w:rPr>
        <w:t>“Sejħa għat-Taħlit”</w:t>
      </w:r>
      <w:r>
        <w:rPr>
          <w:rFonts w:ascii="Times New Roman" w:hAnsi="Times New Roman"/>
          <w:noProof/>
          <w:sz w:val="24"/>
        </w:rPr>
        <w:t xml:space="preserve"> </w:t>
      </w:r>
      <w:r>
        <w:rPr>
          <w:rFonts w:ascii="Times New Roman" w:hAnsi="Times New Roman"/>
          <w:noProof/>
          <w:sz w:val="24"/>
        </w:rPr>
        <w:t xml:space="preserve">tas-CEF imnedija fl-2017 ipprovdiet EUR 150 miljun għall-installazzjoni tal-infrastruttura tal-fjuwils alternattivi tul il-kurituri tan-netwerk ewlieni tat-TEN-T. Fid-dawl tar-rispons pożittiv għal din is-sejħa, il-Kummissjoni ddeċidiet li </w:t>
      </w:r>
      <w:r>
        <w:rPr>
          <w:rFonts w:ascii="Times New Roman" w:hAnsi="Times New Roman"/>
          <w:b/>
          <w:noProof/>
          <w:sz w:val="24"/>
        </w:rPr>
        <w:t>żżid il-baġit ta</w:t>
      </w:r>
      <w:r>
        <w:rPr>
          <w:rFonts w:ascii="Times New Roman" w:hAnsi="Times New Roman"/>
          <w:b/>
          <w:noProof/>
          <w:sz w:val="24"/>
        </w:rPr>
        <w:t>għha b’ammont addizzjonali ta’ EUR 350 miljun</w:t>
      </w:r>
      <w:r>
        <w:rPr>
          <w:rFonts w:ascii="Times New Roman" w:hAnsi="Times New Roman"/>
          <w:noProof/>
          <w:sz w:val="24"/>
        </w:rPr>
        <w:t xml:space="preserve"> biex jitressqu proposti sar-rebbiegħa 2018, biex tantiċipa l-ingranaġġ ta’ investiment addizzjonali ta’ mill-inqas EUR 1,75 biljun.</w:t>
      </w:r>
    </w:p>
    <w:p w:rsidR="004B3B44" w:rsidRDefault="00210B24">
      <w:pPr>
        <w:pStyle w:val="Text2"/>
        <w:spacing w:line="240" w:lineRule="auto"/>
        <w:ind w:left="0"/>
        <w:jc w:val="both"/>
        <w:rPr>
          <w:rFonts w:ascii="Times New Roman" w:hAnsi="Times New Roman"/>
          <w:noProof/>
          <w:sz w:val="24"/>
        </w:rPr>
      </w:pPr>
      <w:r>
        <w:rPr>
          <w:rFonts w:ascii="Times New Roman" w:hAnsi="Times New Roman"/>
          <w:noProof/>
          <w:sz w:val="24"/>
        </w:rPr>
        <w:t>Dan l-investiment jista’ jiġi kkombinat ma’ appoġġ addizzjonali mogħti bl-istr</w:t>
      </w:r>
      <w:r>
        <w:rPr>
          <w:rFonts w:ascii="Times New Roman" w:hAnsi="Times New Roman"/>
          <w:noProof/>
          <w:sz w:val="24"/>
        </w:rPr>
        <w:t xml:space="preserve">ument tad-Dejn tas-CEF, fejn se jkun hemm disponibbli </w:t>
      </w:r>
      <w:r>
        <w:rPr>
          <w:rFonts w:ascii="Times New Roman" w:hAnsi="Times New Roman"/>
          <w:b/>
          <w:noProof/>
          <w:sz w:val="24"/>
        </w:rPr>
        <w:t>sa EUR 450 miljun</w:t>
      </w:r>
      <w:r>
        <w:rPr>
          <w:rFonts w:ascii="Times New Roman" w:hAnsi="Times New Roman"/>
          <w:noProof/>
          <w:sz w:val="24"/>
        </w:rPr>
        <w:t xml:space="preserve"> bit-tqassim mill-ġdid tad-dħul mhux imqassam mill-programm tar-</w:t>
      </w:r>
      <w:r>
        <w:rPr>
          <w:rFonts w:ascii="Times New Roman" w:hAnsi="Times New Roman"/>
          <w:b/>
          <w:noProof/>
          <w:sz w:val="24"/>
        </w:rPr>
        <w:t>Riżerva tal-UE għal Min Jidħol Ġdid (NER 300)</w:t>
      </w:r>
      <w:r>
        <w:rPr>
          <w:rFonts w:ascii="Times New Roman" w:hAnsi="Times New Roman"/>
          <w:noProof/>
          <w:sz w:val="24"/>
        </w:rPr>
        <w:t xml:space="preserve"> skont l-Iskema tal-UE għan-negozjar tal-emissjonijiet, biex jappoġġaw proġe</w:t>
      </w:r>
      <w:r>
        <w:rPr>
          <w:rFonts w:ascii="Times New Roman" w:hAnsi="Times New Roman"/>
          <w:noProof/>
          <w:sz w:val="24"/>
        </w:rPr>
        <w:t xml:space="preserve">tti innovattivi dwar l-enerġija rinnovabbli, fis-setturi tal-enerġija u tat-trasport. </w:t>
      </w:r>
    </w:p>
    <w:p w:rsidR="004B3B44" w:rsidRDefault="00210B24">
      <w:pPr>
        <w:pStyle w:val="Text2"/>
        <w:spacing w:line="240" w:lineRule="auto"/>
        <w:ind w:left="0"/>
        <w:jc w:val="both"/>
        <w:rPr>
          <w:rFonts w:ascii="Times New Roman" w:hAnsi="Times New Roman"/>
          <w:b/>
          <w:noProof/>
          <w:sz w:val="24"/>
        </w:rPr>
      </w:pPr>
      <w:r>
        <w:rPr>
          <w:rFonts w:ascii="Times New Roman" w:hAnsi="Times New Roman"/>
          <w:b/>
          <w:noProof/>
          <w:sz w:val="24"/>
        </w:rPr>
        <w:t>Minħabba f’hekk, b’dan il-pjan ta’ azzjoni qed jiġi disponibbli appoġġ finanzjarju addizzjonali tal-UE ta’ mhux aktar minn EUR 800 miljun mill-Faċilità Nikkollegaw l-Ewr</w:t>
      </w:r>
      <w:r>
        <w:rPr>
          <w:rFonts w:ascii="Times New Roman" w:hAnsi="Times New Roman"/>
          <w:b/>
          <w:noProof/>
          <w:sz w:val="24"/>
        </w:rPr>
        <w:t>opa u mill-programm NER300 għal investimenti fl-infrastruttura tal-fjuwils alternattivi.</w:t>
      </w:r>
    </w:p>
    <w:tbl>
      <w:tblPr>
        <w:tblStyle w:val="TableGrid"/>
        <w:tblW w:w="0" w:type="auto"/>
        <w:shd w:val="clear" w:color="auto" w:fill="C4BC96" w:themeFill="background2" w:themeFillShade="BF"/>
        <w:tblLook w:val="04A0" w:firstRow="1" w:lastRow="0" w:firstColumn="1" w:lastColumn="0" w:noHBand="0" w:noVBand="1"/>
      </w:tblPr>
      <w:tblGrid>
        <w:gridCol w:w="8835"/>
      </w:tblGrid>
      <w:tr w:rsidR="004B3B44">
        <w:tc>
          <w:tcPr>
            <w:tcW w:w="8835" w:type="dxa"/>
            <w:shd w:val="clear" w:color="auto" w:fill="C4BC96" w:themeFill="background2" w:themeFillShade="BF"/>
          </w:tcPr>
          <w:p w:rsidR="004B3B44" w:rsidRDefault="00210B24">
            <w:pPr>
              <w:keepNext/>
              <w:numPr>
                <w:ilvl w:val="2"/>
                <w:numId w:val="0"/>
              </w:numPr>
              <w:tabs>
                <w:tab w:val="num" w:pos="0"/>
              </w:tabs>
              <w:spacing w:line="240" w:lineRule="auto"/>
              <w:jc w:val="both"/>
              <w:outlineLvl w:val="2"/>
              <w:rPr>
                <w:rFonts w:ascii="Times New Roman" w:hAnsi="Times New Roman"/>
                <w:noProof/>
              </w:rPr>
            </w:pPr>
            <w:r>
              <w:rPr>
                <w:rFonts w:ascii="Times New Roman" w:hAnsi="Times New Roman"/>
                <w:noProof/>
              </w:rPr>
              <w:t xml:space="preserve">L-ewwel proġetti appoġġati mill-Fond Ewropew għall-Investimenti Strateġiċi (l-EFSI) u mis-CEF jikkonċernaw investimenti f’xarabanks tat-trasport pubbliku aktar nodfa </w:t>
            </w:r>
            <w:r>
              <w:rPr>
                <w:rFonts w:ascii="Times New Roman" w:hAnsi="Times New Roman"/>
                <w:noProof/>
              </w:rPr>
              <w:t>f’Riga, Las Palmas, Palma de Mallorca u fid-dipartiment ta’ Pas-de-Calais fit-Tramuntana ta’ Franza. Bħala parti mill-proġett Bulles f’Pas-de-Calais, il-kumpanija tat-trasport inkwistjoni se tbiddel mill-qiegħ il-flotta tax-xarabanks tagħha u taqleb mill-f</w:t>
            </w:r>
            <w:r>
              <w:rPr>
                <w:rFonts w:ascii="Times New Roman" w:hAnsi="Times New Roman"/>
                <w:noProof/>
              </w:rPr>
              <w:t>juwils konvenzjonali għall-potenza ibrida. Linja minnhom se ssir kollha kemm hi minn xarabanks elettriċi li jaħdmu bl-idroġenu.</w:t>
            </w:r>
          </w:p>
          <w:p w:rsidR="004B3B44" w:rsidRDefault="00210B24">
            <w:pPr>
              <w:keepNext/>
              <w:numPr>
                <w:ilvl w:val="2"/>
                <w:numId w:val="0"/>
              </w:numPr>
              <w:tabs>
                <w:tab w:val="num" w:pos="0"/>
              </w:tabs>
              <w:spacing w:line="240" w:lineRule="auto"/>
              <w:jc w:val="both"/>
              <w:outlineLvl w:val="2"/>
              <w:rPr>
                <w:rFonts w:ascii="Times New Roman" w:hAnsi="Times New Roman"/>
                <w:noProof/>
                <w:sz w:val="24"/>
                <w:szCs w:val="24"/>
              </w:rPr>
            </w:pPr>
            <w:r>
              <w:rPr>
                <w:rFonts w:ascii="Times New Roman" w:hAnsi="Times New Roman"/>
                <w:noProof/>
              </w:rPr>
              <w:t xml:space="preserve">L-iżvilupp ta’ mekkaniżmi tal-finanzjament innovattivi bħal pereżempju l-programm ta’ Garanzija għat-Tbaħħir Ekoloġiku </w:t>
            </w:r>
            <w:r>
              <w:rPr>
                <w:rFonts w:ascii="Times New Roman" w:hAnsi="Times New Roman"/>
                <w:noProof/>
              </w:rPr>
              <w:t>(il-GSGP), biex jappoġġaw l-industrija Ewropea tat-tbaħħir biex tħaffef l-investimenti f’teknoloġiji sostenibbli. Dan qed isir biex jingħataw garanziji għal investimenti fit-tbaħħir ekoloġiku sa EUR 3 biljun. Dan jista’ jintuża bħala appoġġ għall-investime</w:t>
            </w:r>
            <w:r>
              <w:rPr>
                <w:rFonts w:ascii="Times New Roman" w:hAnsi="Times New Roman"/>
                <w:noProof/>
              </w:rPr>
              <w:t>nti biex pereżempju jkun jista’ jintuża l-LNG. Il-BEI jimplimenta programm b’arranġamenti speċifiċi mal-Kummissjoni. Sa issa, ġew iffirmati żewġ ftehimiet qafas ma’ banek kummerċjali fi Franza u fin-Netherlands.</w:t>
            </w:r>
          </w:p>
        </w:tc>
      </w:tr>
    </w:tbl>
    <w:p w:rsidR="004B3B44" w:rsidRDefault="00210B24">
      <w:pPr>
        <w:keepNext/>
        <w:numPr>
          <w:ilvl w:val="2"/>
          <w:numId w:val="0"/>
        </w:numPr>
        <w:tabs>
          <w:tab w:val="num" w:pos="0"/>
        </w:tabs>
        <w:spacing w:line="240" w:lineRule="auto"/>
        <w:jc w:val="both"/>
        <w:outlineLvl w:val="2"/>
        <w:rPr>
          <w:rFonts w:ascii="Times New Roman" w:hAnsi="Times New Roman"/>
          <w:noProof/>
          <w:sz w:val="24"/>
          <w:szCs w:val="24"/>
        </w:rPr>
      </w:pPr>
      <w:r>
        <w:rPr>
          <w:rFonts w:ascii="Times New Roman" w:hAnsi="Times New Roman"/>
          <w:noProof/>
          <w:sz w:val="24"/>
          <w:szCs w:val="24"/>
        </w:rPr>
        <w:br/>
      </w:r>
      <w:r>
        <w:rPr>
          <w:rFonts w:ascii="Times New Roman" w:hAnsi="Times New Roman"/>
          <w:i/>
          <w:noProof/>
          <w:sz w:val="24"/>
        </w:rPr>
        <w:t>Insawru l-kapaċitajiet</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Il-Kummissjoni se t</w:t>
      </w:r>
      <w:r>
        <w:rPr>
          <w:rFonts w:ascii="Times New Roman" w:hAnsi="Times New Roman"/>
          <w:noProof/>
          <w:sz w:val="24"/>
        </w:rPr>
        <w:t xml:space="preserve">kompli </w:t>
      </w:r>
      <w:r>
        <w:rPr>
          <w:rFonts w:ascii="Times New Roman" w:hAnsi="Times New Roman"/>
          <w:b/>
          <w:noProof/>
          <w:sz w:val="24"/>
        </w:rPr>
        <w:t>tappoġġa t-tiswir tal-kapaċitajiet</w:t>
      </w:r>
      <w:r>
        <w:rPr>
          <w:rFonts w:ascii="Times New Roman" w:hAnsi="Times New Roman"/>
          <w:noProof/>
          <w:sz w:val="24"/>
        </w:rPr>
        <w:t xml:space="preserve"> fl-awtoritajiet pubbliċi, fil-kumpaniji u fl-istituzzjonijiet tal-finanzjament. Din wessgħet l-iskemi tagħha ta’ </w:t>
      </w:r>
      <w:r>
        <w:rPr>
          <w:rFonts w:ascii="Times New Roman" w:hAnsi="Times New Roman"/>
          <w:b/>
          <w:noProof/>
          <w:sz w:val="24"/>
        </w:rPr>
        <w:t>assistenza teknika</w:t>
      </w:r>
      <w:r>
        <w:rPr>
          <w:rFonts w:ascii="Times New Roman" w:hAnsi="Times New Roman"/>
          <w:noProof/>
          <w:sz w:val="24"/>
        </w:rPr>
        <w:t xml:space="preserve"> bħal JASPERS u ELENA</w:t>
      </w:r>
      <w:r>
        <w:rPr>
          <w:rStyle w:val="FootnoteReference"/>
          <w:rFonts w:ascii="Times New Roman" w:hAnsi="Times New Roman"/>
          <w:noProof/>
          <w:sz w:val="24"/>
        </w:rPr>
        <w:footnoteReference w:id="38"/>
      </w:r>
      <w:r>
        <w:rPr>
          <w:rFonts w:ascii="Times New Roman" w:hAnsi="Times New Roman"/>
          <w:noProof/>
          <w:sz w:val="24"/>
        </w:rPr>
        <w:t xml:space="preserve"> u l-esperjenza s’issa turi r-rilevanza ta’ din l-għamla ta’ </w:t>
      </w:r>
      <w:r>
        <w:rPr>
          <w:rFonts w:ascii="Times New Roman" w:hAnsi="Times New Roman"/>
          <w:noProof/>
          <w:sz w:val="24"/>
        </w:rPr>
        <w:t>tiswir tal-kapaċitajiet.</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Hemm bżonn kollaborazzjoni u koordinazzjoni aħjar tal-proġetti biex </w:t>
      </w:r>
      <w:r>
        <w:rPr>
          <w:rFonts w:ascii="Times New Roman" w:hAnsi="Times New Roman"/>
          <w:b/>
          <w:noProof/>
          <w:sz w:val="24"/>
        </w:rPr>
        <w:t>jinħolqu sensiela ta’ proġetti xierqa</w:t>
      </w:r>
      <w:r>
        <w:rPr>
          <w:rFonts w:ascii="Times New Roman" w:hAnsi="Times New Roman"/>
          <w:noProof/>
          <w:sz w:val="24"/>
        </w:rPr>
        <w:t xml:space="preserve"> fit-TEN-T u lil hinn, b’enfasi partikolari fuq iż-żoni urbani. Il-Kummissjoni tħeġġeġ lill-awtoritajiet pubbliċi, lill-atturi</w:t>
      </w:r>
      <w:r>
        <w:rPr>
          <w:rFonts w:ascii="Times New Roman" w:hAnsi="Times New Roman"/>
          <w:noProof/>
          <w:sz w:val="24"/>
        </w:rPr>
        <w:t xml:space="preserve"> privati u lill-banek privati u promozzjonali biex jużaw l-opportunitajiet eżistenti, b’mod partikolari fil-kuntest tal-azzjonijiet ewlenin tat-TEN-T. Għal din ir-raġuni, il-Kummissjoni se tappoġġa </w:t>
      </w:r>
      <w:r>
        <w:rPr>
          <w:rFonts w:ascii="Times New Roman" w:hAnsi="Times New Roman"/>
          <w:b/>
          <w:noProof/>
          <w:sz w:val="24"/>
        </w:rPr>
        <w:t>pjattaformi għall-iskambju tal-għarfien</w:t>
      </w:r>
      <w:r>
        <w:rPr>
          <w:rFonts w:ascii="Times New Roman" w:hAnsi="Times New Roman"/>
          <w:noProof/>
          <w:sz w:val="24"/>
        </w:rPr>
        <w:t xml:space="preserve"> dwar l-infrastrutt</w:t>
      </w:r>
      <w:r>
        <w:rPr>
          <w:rFonts w:ascii="Times New Roman" w:hAnsi="Times New Roman"/>
          <w:noProof/>
          <w:sz w:val="24"/>
        </w:rPr>
        <w:t>uri tal-fjuwils alternattivi, b’rabta mal-ħidma tal-Forum dwar it-Trasport Sostenibbli (l-STF).</w:t>
      </w:r>
    </w:p>
    <w:tbl>
      <w:tblPr>
        <w:tblStyle w:val="TableGrid"/>
        <w:tblW w:w="0" w:type="auto"/>
        <w:tblLook w:val="04A0" w:firstRow="1" w:lastRow="0" w:firstColumn="1" w:lastColumn="0" w:noHBand="0" w:noVBand="1"/>
      </w:tblPr>
      <w:tblGrid>
        <w:gridCol w:w="8835"/>
      </w:tblGrid>
      <w:tr w:rsidR="004B3B44">
        <w:tc>
          <w:tcPr>
            <w:tcW w:w="8835" w:type="dxa"/>
          </w:tcPr>
          <w:p w:rsidR="004B3B44" w:rsidRDefault="00210B24">
            <w:pPr>
              <w:pStyle w:val="Text2"/>
              <w:keepNext/>
              <w:spacing w:after="120" w:line="240" w:lineRule="auto"/>
              <w:ind w:left="0"/>
              <w:jc w:val="both"/>
              <w:rPr>
                <w:rFonts w:ascii="Times New Roman" w:hAnsi="Times New Roman"/>
                <w:b/>
                <w:noProof/>
                <w:sz w:val="24"/>
                <w:szCs w:val="24"/>
              </w:rPr>
            </w:pPr>
            <w:r>
              <w:rPr>
                <w:rFonts w:ascii="Times New Roman" w:hAnsi="Times New Roman"/>
                <w:b/>
                <w:noProof/>
                <w:sz w:val="24"/>
              </w:rPr>
              <w:t>L-azzjonijiet ewlenin</w:t>
            </w:r>
          </w:p>
          <w:p w:rsidR="004B3B44" w:rsidRDefault="00210B24">
            <w:pPr>
              <w:pStyle w:val="Text1"/>
              <w:numPr>
                <w:ilvl w:val="0"/>
                <w:numId w:val="37"/>
              </w:numPr>
              <w:spacing w:after="120" w:line="240" w:lineRule="auto"/>
              <w:jc w:val="both"/>
              <w:rPr>
                <w:rFonts w:ascii="Times New Roman" w:hAnsi="Times New Roman"/>
                <w:noProof/>
                <w:sz w:val="24"/>
                <w:szCs w:val="24"/>
              </w:rPr>
            </w:pPr>
            <w:r>
              <w:rPr>
                <w:rFonts w:ascii="Times New Roman" w:hAnsi="Times New Roman"/>
                <w:noProof/>
                <w:sz w:val="24"/>
              </w:rPr>
              <w:t>Il-partijiet konċernati pubbliċi u privati huma mistiedna jiffinalizzaw l-azzjonijiet ewlenin dwar l-infrastruttura tal-fjuwils alternatti</w:t>
            </w:r>
            <w:r>
              <w:rPr>
                <w:rFonts w:ascii="Times New Roman" w:hAnsi="Times New Roman"/>
                <w:noProof/>
                <w:sz w:val="24"/>
              </w:rPr>
              <w:t>vi fin-netwerk tat-TEN-T sal-bidu tal-2018.</w:t>
            </w:r>
          </w:p>
          <w:p w:rsidR="004B3B44" w:rsidRDefault="00210B24">
            <w:pPr>
              <w:pStyle w:val="Text1"/>
              <w:widowControl w:val="0"/>
              <w:numPr>
                <w:ilvl w:val="0"/>
                <w:numId w:val="37"/>
              </w:numPr>
              <w:spacing w:after="120" w:line="240" w:lineRule="auto"/>
              <w:jc w:val="both"/>
              <w:rPr>
                <w:rFonts w:ascii="Times New Roman" w:hAnsi="Times New Roman"/>
                <w:noProof/>
                <w:sz w:val="24"/>
                <w:szCs w:val="24"/>
              </w:rPr>
            </w:pPr>
            <w:r>
              <w:rPr>
                <w:rFonts w:ascii="Times New Roman" w:hAnsi="Times New Roman"/>
                <w:noProof/>
                <w:sz w:val="24"/>
              </w:rPr>
              <w:t>Mill-bidu ta' Novembru 2017 il-Kummissjoni se torganizza roadshows fl-Istati Membri biex tirrevedi b’mod komprensiv l-ambizzjoni tal-oqfsa nazzjonali ta’ politika u l-ħtiġijiet tal-investiment fil-mobbiltà mingħa</w:t>
            </w:r>
            <w:r>
              <w:rPr>
                <w:rFonts w:ascii="Times New Roman" w:hAnsi="Times New Roman"/>
                <w:noProof/>
                <w:sz w:val="24"/>
              </w:rPr>
              <w:t>jr emissjonijiet u b’emissjonijiet baxxi u biex tgħarbel l-opportunitajiet li joffru l-istrumenti finanzjarji u ta’ finanzjament differenti tal-UE.</w:t>
            </w:r>
          </w:p>
          <w:p w:rsidR="004B3B44" w:rsidRDefault="00210B24">
            <w:pPr>
              <w:pStyle w:val="Text1"/>
              <w:widowControl w:val="0"/>
              <w:numPr>
                <w:ilvl w:val="0"/>
                <w:numId w:val="37"/>
              </w:numPr>
              <w:spacing w:after="120" w:line="240" w:lineRule="auto"/>
              <w:jc w:val="both"/>
              <w:rPr>
                <w:rFonts w:ascii="Times New Roman" w:hAnsi="Times New Roman"/>
                <w:noProof/>
                <w:sz w:val="24"/>
                <w:szCs w:val="24"/>
              </w:rPr>
            </w:pPr>
            <w:r>
              <w:rPr>
                <w:rFonts w:ascii="Times New Roman" w:hAnsi="Times New Roman"/>
                <w:noProof/>
                <w:sz w:val="24"/>
              </w:rPr>
              <w:t xml:space="preserve">Flimkien mal-industrija, l-awtoritajiet pubbliċi huma mistiedna jħaffu l-iskjerament ta’ vetturi li jużaw </w:t>
            </w:r>
            <w:r>
              <w:rPr>
                <w:rFonts w:ascii="Times New Roman" w:hAnsi="Times New Roman"/>
                <w:noProof/>
                <w:sz w:val="24"/>
              </w:rPr>
              <w:t>fjuwils alternattivi u l-installazzjoni tal-infrastruttura fin-netwerk tat-TEN-T, inkluż kull nodu urban, bil-għan li jiksbu kopertura sal-2025, b’impatt viżibbli ta’ azzjoni sal-2020.</w:t>
            </w:r>
            <w:r>
              <w:rPr>
                <w:rFonts w:ascii="Times New Roman" w:hAnsi="Times New Roman"/>
                <w:noProof/>
              </w:rPr>
              <w:t xml:space="preserve"> </w:t>
            </w:r>
            <w:r>
              <w:rPr>
                <w:rFonts w:ascii="Times New Roman" w:hAnsi="Times New Roman"/>
                <w:noProof/>
                <w:sz w:val="24"/>
              </w:rPr>
              <w:t xml:space="preserve">Dan se jiddaħħal fil-pjanijiet ta’ ħidma li jmiss tat-TEN-T. </w:t>
            </w:r>
          </w:p>
          <w:p w:rsidR="004B3B44" w:rsidRDefault="00210B24">
            <w:pPr>
              <w:pStyle w:val="Text2"/>
              <w:widowControl w:val="0"/>
              <w:numPr>
                <w:ilvl w:val="0"/>
                <w:numId w:val="37"/>
              </w:numPr>
              <w:spacing w:after="120" w:line="240" w:lineRule="auto"/>
              <w:jc w:val="both"/>
              <w:rPr>
                <w:rFonts w:ascii="Times New Roman" w:hAnsi="Times New Roman"/>
                <w:b/>
                <w:noProof/>
                <w:sz w:val="24"/>
                <w:szCs w:val="24"/>
              </w:rPr>
            </w:pPr>
            <w:r>
              <w:rPr>
                <w:rFonts w:ascii="Times New Roman" w:hAnsi="Times New Roman"/>
                <w:noProof/>
                <w:sz w:val="24"/>
              </w:rPr>
              <w:t>Il-manifa</w:t>
            </w:r>
            <w:r>
              <w:rPr>
                <w:rFonts w:ascii="Times New Roman" w:hAnsi="Times New Roman"/>
                <w:noProof/>
                <w:sz w:val="24"/>
              </w:rPr>
              <w:t>tturi, l-operaturi tal-infrastruttura u l-awtoritajiet pubbliċi huma mħeġġa jaħtfu l-opportunitajiet ta’ proġetti integrati u ffinanzjar innovattiv.</w:t>
            </w:r>
          </w:p>
          <w:p w:rsidR="004B3B44" w:rsidRDefault="00210B24">
            <w:pPr>
              <w:pStyle w:val="Text2"/>
              <w:widowControl w:val="0"/>
              <w:numPr>
                <w:ilvl w:val="0"/>
                <w:numId w:val="37"/>
              </w:numPr>
              <w:spacing w:after="120" w:line="240" w:lineRule="auto"/>
              <w:jc w:val="both"/>
              <w:rPr>
                <w:rFonts w:ascii="Times New Roman" w:hAnsi="Times New Roman"/>
                <w:b/>
                <w:noProof/>
                <w:sz w:val="24"/>
                <w:szCs w:val="24"/>
              </w:rPr>
            </w:pPr>
            <w:r>
              <w:rPr>
                <w:rFonts w:ascii="Times New Roman" w:hAnsi="Times New Roman"/>
                <w:noProof/>
                <w:sz w:val="24"/>
              </w:rPr>
              <w:t xml:space="preserve">Il-Kummissjoni se żżid l-appoġġ finanzjarju tagħha sa </w:t>
            </w:r>
            <w:r>
              <w:rPr>
                <w:rFonts w:ascii="Times New Roman" w:hAnsi="Times New Roman"/>
                <w:b/>
                <w:noProof/>
                <w:sz w:val="24"/>
              </w:rPr>
              <w:t>EUR 800 miljun</w:t>
            </w:r>
            <w:r>
              <w:rPr>
                <w:rFonts w:ascii="Times New Roman" w:hAnsi="Times New Roman"/>
                <w:noProof/>
                <w:sz w:val="24"/>
              </w:rPr>
              <w:t xml:space="preserve"> billi: (i) iżżid it-tieni sejħa għat-t</w:t>
            </w:r>
            <w:r>
              <w:rPr>
                <w:rFonts w:ascii="Times New Roman" w:hAnsi="Times New Roman"/>
                <w:noProof/>
                <w:sz w:val="24"/>
              </w:rPr>
              <w:t>aħlit tas-CEF bi EUR 350 miljun għal proposti mressqa sar-rebbiegħa tal-2018; (ii) tippermetti t-tqassim malajr tad-dħul mhux minfuq tal-programm NER300 permezz tal-faċilità InnovFin tal-Proċedura ta’ Defiċit Eċċessiv u l-istrument tad-Dejn tal-Faċilità Ni</w:t>
            </w:r>
            <w:r>
              <w:rPr>
                <w:rFonts w:ascii="Times New Roman" w:hAnsi="Times New Roman"/>
                <w:noProof/>
                <w:sz w:val="24"/>
              </w:rPr>
              <w:t>kkollegaw l-Ewropa.</w:t>
            </w:r>
          </w:p>
        </w:tc>
      </w:tr>
    </w:tbl>
    <w:p w:rsidR="004B3B44" w:rsidRDefault="00210B24">
      <w:pPr>
        <w:pStyle w:val="Heading2"/>
        <w:spacing w:before="240"/>
        <w:rPr>
          <w:noProof/>
        </w:rPr>
      </w:pPr>
      <w:r>
        <w:rPr>
          <w:noProof/>
        </w:rPr>
        <w:t>Azzjonijiet ta’ faċilitazzjoni fiż-żoni urbani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Ħafna mill-bliet u r-reġjuni Ewropej jinsabu </w:t>
      </w:r>
      <w:r>
        <w:rPr>
          <w:rFonts w:ascii="Times New Roman" w:hAnsi="Times New Roman"/>
          <w:b/>
          <w:noProof/>
          <w:sz w:val="24"/>
        </w:rPr>
        <w:t>fuq quddiem nett fit-tranżizzjoni lejn mobbiltà mingħajr emissjonijiet u b’emissjonijiet baxxi</w:t>
      </w:r>
      <w:r>
        <w:rPr>
          <w:rFonts w:ascii="Times New Roman" w:hAnsi="Times New Roman"/>
          <w:noProof/>
          <w:sz w:val="24"/>
        </w:rPr>
        <w:t xml:space="preserve">. Proporzjon ġmielu tal-akkwist pubbliku għamluh </w:t>
      </w:r>
      <w:r>
        <w:rPr>
          <w:rFonts w:ascii="Times New Roman" w:hAnsi="Times New Roman"/>
          <w:noProof/>
          <w:sz w:val="24"/>
        </w:rPr>
        <w:t xml:space="preserve">awtoritajiet muniċipali u lokali. Iżda anki l-bliet qed iħabbtu wiċċhom </w:t>
      </w:r>
      <w:r>
        <w:rPr>
          <w:rFonts w:ascii="Times New Roman" w:hAnsi="Times New Roman"/>
          <w:b/>
          <w:noProof/>
          <w:sz w:val="24"/>
        </w:rPr>
        <w:t>ma’ sfidi uniċi</w:t>
      </w:r>
      <w:r>
        <w:rPr>
          <w:rFonts w:ascii="Times New Roman" w:hAnsi="Times New Roman"/>
          <w:noProof/>
          <w:sz w:val="24"/>
        </w:rPr>
        <w:t>. Bil-limitazzjonijiet fl-ispazju, l-infrastruttura tal-fjuwils alternattivi jeħtieġ tiġi allinjata mal-ħtiġijiet tal-infrastruttura ta’ modi oħra tat-trasport. Mhux pos</w:t>
      </w:r>
      <w:r>
        <w:rPr>
          <w:rFonts w:ascii="Times New Roman" w:hAnsi="Times New Roman"/>
          <w:noProof/>
          <w:sz w:val="24"/>
        </w:rPr>
        <w:t xml:space="preserve">sibbli li kull utent jiċċarġja l-vettura elettrika f’daru. Għalhekk hemm bżonn li jinstabu soluzzjonijiet għall-binjiet residenzjali u mhux residenzjali jew jiġu kkombinati l-faċilitajiet tal-iċċarġjar ma’ infrastrutturi oħrajn (eżempju l-arbli tad-dawl). </w:t>
      </w:r>
      <w:r>
        <w:rPr>
          <w:rFonts w:ascii="Times New Roman" w:hAnsi="Times New Roman"/>
          <w:noProof/>
          <w:sz w:val="24"/>
        </w:rPr>
        <w:t>Barra minn hekk, iridu jiġu vvalutati l-impatti tal-infrastruttura tal-iċċarġjar malajr u bil-mod fuq il-grilja.</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Hemm bżonn issir analiżi komprensiva tal-ħtiġijiet u l-ippjanar tal-lievi ta’ politika, finanzjarji u informattivi fil-livell urban. Ħafna blie</w:t>
      </w:r>
      <w:r>
        <w:rPr>
          <w:rFonts w:ascii="Times New Roman" w:hAnsi="Times New Roman"/>
          <w:noProof/>
          <w:sz w:val="24"/>
        </w:rPr>
        <w:t xml:space="preserve">t implimentaw </w:t>
      </w:r>
      <w:r>
        <w:rPr>
          <w:rFonts w:ascii="Times New Roman" w:hAnsi="Times New Roman"/>
          <w:b/>
          <w:noProof/>
          <w:sz w:val="24"/>
        </w:rPr>
        <w:t>pjanijiet ta’ mobbiltà urbana sostenibbli (SUMPs)</w:t>
      </w:r>
      <w:r>
        <w:rPr>
          <w:rFonts w:ascii="Times New Roman" w:hAnsi="Times New Roman"/>
          <w:noProof/>
          <w:sz w:val="24"/>
        </w:rPr>
        <w:t xml:space="preserve">. Il-kunċett wera l-valur tiegħu meta ġabar flimkien lil partijiet konċernati pubbliċi u privati differenti waqt l-ippjanar tal-mobbiltà urbana. Il-Kummissjoni hi impenjata li taħdem mal-bliet </w:t>
      </w:r>
      <w:r>
        <w:rPr>
          <w:rFonts w:ascii="Times New Roman" w:hAnsi="Times New Roman"/>
          <w:noProof/>
          <w:sz w:val="24"/>
        </w:rPr>
        <w:t>biex jadattaw il-pjanijiet tagħhom tal-mobbiltà urbana sostenibbli. Il-Kummissjoni se tipprova tfassal mill-ġdid il-kunċentt ġenerali tas-SUMPs biex dan ikun jirrifletti l-ħtiġijiet tal-infrastruttura u tal-fjuwils alternattivi u jiddiskuti l-esperjenzi ma</w:t>
      </w:r>
      <w:r>
        <w:rPr>
          <w:rFonts w:ascii="Times New Roman" w:hAnsi="Times New Roman"/>
          <w:noProof/>
          <w:sz w:val="24"/>
        </w:rPr>
        <w:t>l-partijiet konċernati fil-forum li jmiss tas-SUMPs tal-2018.</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Dan il-pjan ta’ azzjoni jidentifika wkoll dawn l-azzjonijiet li ġejjin:</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 xml:space="preserve">Meta fattibbli, l-awtoritajiet lokali u reġjonali jenħtieġ jużaw dejjem iżjed </w:t>
      </w:r>
      <w:r>
        <w:rPr>
          <w:rFonts w:ascii="Times New Roman" w:hAnsi="Times New Roman"/>
          <w:b/>
          <w:noProof/>
          <w:sz w:val="24"/>
        </w:rPr>
        <w:t>il-possibbiltajiet ta’ kofinanzjament tal-Fo</w:t>
      </w:r>
      <w:r>
        <w:rPr>
          <w:rFonts w:ascii="Times New Roman" w:hAnsi="Times New Roman"/>
          <w:b/>
          <w:noProof/>
          <w:sz w:val="24"/>
        </w:rPr>
        <w:t>nd ta’ Koeżjoni u tal-FEŻR għal mobbiltà urbana sostenibbli</w:t>
      </w:r>
      <w:r>
        <w:rPr>
          <w:rFonts w:ascii="Times New Roman" w:hAnsi="Times New Roman"/>
          <w:noProof/>
          <w:sz w:val="24"/>
        </w:rPr>
        <w:t xml:space="preserve">. Il-proġetti f’infrastruttura u fjuwils alternattivi joffru benefiċċji sinifikanti mil-lat ta’ assorbiment malajr tas-suq u impatt immedjat fuq il-kwalità tal-arja lokali. </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b/>
          <w:noProof/>
          <w:sz w:val="24"/>
        </w:rPr>
        <w:t>L-informazzjoni dwar l-</w:t>
      </w:r>
      <w:r>
        <w:rPr>
          <w:rFonts w:ascii="Times New Roman" w:hAnsi="Times New Roman"/>
          <w:b/>
          <w:noProof/>
          <w:sz w:val="24"/>
        </w:rPr>
        <w:t>iskemi tar-regolamentazzjoni tal-aċċess urban</w:t>
      </w:r>
      <w:r>
        <w:rPr>
          <w:rFonts w:ascii="Times New Roman" w:hAnsi="Times New Roman"/>
          <w:noProof/>
          <w:sz w:val="24"/>
        </w:rPr>
        <w:t xml:space="preserve"> jenħtieġ issir </w:t>
      </w:r>
      <w:r>
        <w:rPr>
          <w:rFonts w:ascii="Times New Roman" w:hAnsi="Times New Roman"/>
          <w:b/>
          <w:noProof/>
          <w:sz w:val="24"/>
        </w:rPr>
        <w:t>aktar trasparenti</w:t>
      </w:r>
      <w:r>
        <w:rPr>
          <w:rFonts w:ascii="Times New Roman" w:hAnsi="Times New Roman"/>
          <w:noProof/>
          <w:sz w:val="24"/>
        </w:rPr>
        <w:t>. Dan jinkludi soluzzjonijiet diġitali, bħal apps, għaċ-ċittadini u n-negozji. Il-Kummissjoni se tkompli ssegwi s-sitwazzjoni mill-qrib.</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 xml:space="preserve">Jenħtieġ li fil-bliet ikun hemm infrastruttura tal-iċċarġjar </w:t>
      </w:r>
      <w:r>
        <w:rPr>
          <w:rFonts w:ascii="Times New Roman" w:hAnsi="Times New Roman"/>
          <w:b/>
          <w:noProof/>
          <w:sz w:val="24"/>
        </w:rPr>
        <w:t>għat-tipi kollha ta’ vetturi</w:t>
      </w:r>
      <w:r>
        <w:rPr>
          <w:rFonts w:ascii="Times New Roman" w:hAnsi="Times New Roman"/>
          <w:noProof/>
          <w:sz w:val="24"/>
        </w:rPr>
        <w:t xml:space="preserve">, inkluż soluzzjonijiet għall-flotot tal-vetturi kondiviżi, ir-roti elettriċi, u r-roti bil-mutur. </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Jenħtieġ li l-awtoritajiet lokali u reġjonali fil-qafas tal-</w:t>
      </w:r>
      <w:r>
        <w:rPr>
          <w:rFonts w:ascii="Times New Roman" w:hAnsi="Times New Roman"/>
          <w:b/>
          <w:noProof/>
          <w:sz w:val="24"/>
        </w:rPr>
        <w:t>Patt ta</w:t>
      </w:r>
      <w:r>
        <w:rPr>
          <w:rFonts w:ascii="Times New Roman" w:hAnsi="Times New Roman"/>
          <w:b/>
          <w:noProof/>
          <w:sz w:val="24"/>
        </w:rPr>
        <w:t>s-Sindki dwar il-Klima u l-Enerġija</w:t>
      </w:r>
      <w:r>
        <w:rPr>
          <w:rFonts w:ascii="Times New Roman" w:hAnsi="Times New Roman"/>
          <w:noProof/>
          <w:sz w:val="24"/>
        </w:rPr>
        <w:t xml:space="preserve"> jagħmlu ħilithom biex jinkludu l-miżuri tagħhom li hemm fil-Pjanijiet għall-Enerġija Sostenibbli u l-Klima u li huma mmirati biex jonqsu l-emissjonijiet tal-gassijiet serra mit-trasport u biex jinkisbu r-riżultati fejn j</w:t>
      </w:r>
      <w:r>
        <w:rPr>
          <w:rFonts w:ascii="Times New Roman" w:hAnsi="Times New Roman"/>
          <w:noProof/>
          <w:sz w:val="24"/>
        </w:rPr>
        <w:t>idħol it-tnaqqis stmat kollettiv tal-emissjonijiet tas-CO</w:t>
      </w:r>
      <w:r>
        <w:rPr>
          <w:rFonts w:ascii="Times New Roman" w:hAnsi="Times New Roman"/>
          <w:noProof/>
          <w:sz w:val="24"/>
          <w:vertAlign w:val="subscript"/>
        </w:rPr>
        <w:t>2</w:t>
      </w:r>
      <w:r>
        <w:rPr>
          <w:rFonts w:ascii="Times New Roman" w:hAnsi="Times New Roman"/>
          <w:noProof/>
          <w:sz w:val="24"/>
        </w:rPr>
        <w:t xml:space="preserve"> b’19 % sal-2020.</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Bħalissa, il-Parlament Ewropew u l-Kunsill qed jeżaminaw il-proposta tal-Kummissjoni għal reviżjoni tad-Direttiva dwar ir-Rendiment tal-Bini fl-Użu tal-Enerġija. Jenħtieġ li r-rekw</w:t>
      </w:r>
      <w:r>
        <w:rPr>
          <w:rFonts w:ascii="Times New Roman" w:hAnsi="Times New Roman"/>
          <w:noProof/>
          <w:sz w:val="24"/>
        </w:rPr>
        <w:t xml:space="preserve">iżiti ambizzjużi għal </w:t>
      </w:r>
      <w:r>
        <w:rPr>
          <w:rFonts w:ascii="Times New Roman" w:hAnsi="Times New Roman"/>
          <w:b/>
          <w:noProof/>
          <w:sz w:val="24"/>
        </w:rPr>
        <w:t>tifrix minn qabel ta’ kejbils u punti tal-iċċarġjar fil-binjiet mhux residenzjali u residenzjali</w:t>
      </w:r>
      <w:r>
        <w:rPr>
          <w:rFonts w:ascii="Times New Roman" w:hAnsi="Times New Roman"/>
          <w:noProof/>
          <w:sz w:val="24"/>
        </w:rPr>
        <w:t xml:space="preserve"> previsti f’dan it-test iħeġġu l-użu aktar mifrux milli hu bħalissa.  </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 xml:space="preserve">Il-Kummissjoni se tkompli tiffaċilita l-iskambju tal-informazzjoni </w:t>
      </w:r>
      <w:r>
        <w:rPr>
          <w:rFonts w:ascii="Times New Roman" w:hAnsi="Times New Roman"/>
          <w:noProof/>
          <w:sz w:val="24"/>
        </w:rPr>
        <w:t>f’fora ewlenin, bħall-</w:t>
      </w:r>
      <w:r>
        <w:rPr>
          <w:rFonts w:ascii="Times New Roman" w:hAnsi="Times New Roman"/>
          <w:b/>
          <w:noProof/>
          <w:sz w:val="24"/>
        </w:rPr>
        <w:t>Forum Civitas</w:t>
      </w:r>
      <w:r>
        <w:rPr>
          <w:rFonts w:ascii="Times New Roman" w:hAnsi="Times New Roman"/>
          <w:noProof/>
          <w:sz w:val="24"/>
        </w:rPr>
        <w:t xml:space="preserve"> u s-</w:t>
      </w:r>
      <w:r>
        <w:rPr>
          <w:rFonts w:ascii="Times New Roman" w:hAnsi="Times New Roman"/>
          <w:b/>
          <w:noProof/>
          <w:sz w:val="24"/>
        </w:rPr>
        <w:t>Sħubija Ewropea għall-Innovazzjoni għal Bliet Intelliġenti</w:t>
      </w:r>
      <w:r>
        <w:rPr>
          <w:rStyle w:val="FootnoteReference"/>
          <w:rFonts w:ascii="Times New Roman" w:hAnsi="Times New Roman"/>
          <w:noProof/>
          <w:sz w:val="24"/>
        </w:rPr>
        <w:footnoteReference w:id="39"/>
      </w:r>
      <w:r>
        <w:rPr>
          <w:rFonts w:ascii="Times New Roman" w:hAnsi="Times New Roman"/>
          <w:noProof/>
          <w:sz w:val="24"/>
        </w:rPr>
        <w:t xml:space="preserve"> biex tippromwovi approċċi integrati għal trasport u enerġija nodfa. </w:t>
      </w:r>
    </w:p>
    <w:p w:rsidR="004B3B44" w:rsidRDefault="00210B24">
      <w:pPr>
        <w:pStyle w:val="Text1"/>
        <w:numPr>
          <w:ilvl w:val="0"/>
          <w:numId w:val="38"/>
        </w:numPr>
        <w:spacing w:line="240" w:lineRule="auto"/>
        <w:jc w:val="both"/>
        <w:rPr>
          <w:rFonts w:ascii="Times New Roman" w:hAnsi="Times New Roman"/>
          <w:noProof/>
          <w:sz w:val="24"/>
          <w:szCs w:val="24"/>
        </w:rPr>
      </w:pPr>
      <w:r>
        <w:rPr>
          <w:rFonts w:ascii="Times New Roman" w:hAnsi="Times New Roman"/>
          <w:noProof/>
          <w:sz w:val="24"/>
        </w:rPr>
        <w:t xml:space="preserve">Il-Kummissjoni qed teżamina l-opportunitajiet biex </w:t>
      </w:r>
      <w:r>
        <w:rPr>
          <w:rFonts w:ascii="Times New Roman" w:hAnsi="Times New Roman"/>
          <w:b/>
          <w:noProof/>
          <w:sz w:val="24"/>
        </w:rPr>
        <w:t>tippromwovi s-soluzzjonijiet tal-flo</w:t>
      </w:r>
      <w:r>
        <w:rPr>
          <w:rFonts w:ascii="Times New Roman" w:hAnsi="Times New Roman"/>
          <w:b/>
          <w:noProof/>
          <w:sz w:val="24"/>
        </w:rPr>
        <w:t>tta</w:t>
      </w:r>
      <w:r>
        <w:rPr>
          <w:rFonts w:ascii="Times New Roman" w:hAnsi="Times New Roman"/>
          <w:noProof/>
          <w:sz w:val="24"/>
        </w:rPr>
        <w:t xml:space="preserve"> għall-fjuwils alternativi  fiż-żoni urbani, fosthom il-finanzjament ta’ proġetti urbani b’enfasi fuq il-fjuwils alternattivi skont il-parti tal-innovazzjoni tas-sejħa għat-taħlit tas-CEF.</w:t>
      </w:r>
    </w:p>
    <w:tbl>
      <w:tblPr>
        <w:tblStyle w:val="TableGrid"/>
        <w:tblW w:w="0" w:type="auto"/>
        <w:tblLook w:val="04A0" w:firstRow="1" w:lastRow="0" w:firstColumn="1" w:lastColumn="0" w:noHBand="0" w:noVBand="1"/>
      </w:tblPr>
      <w:tblGrid>
        <w:gridCol w:w="8835"/>
      </w:tblGrid>
      <w:tr w:rsidR="004B3B44">
        <w:tc>
          <w:tcPr>
            <w:tcW w:w="8835" w:type="dxa"/>
          </w:tcPr>
          <w:p w:rsidR="004B3B44" w:rsidRDefault="00210B24">
            <w:pPr>
              <w:pStyle w:val="Text1"/>
              <w:keepNext/>
              <w:spacing w:line="240" w:lineRule="auto"/>
              <w:ind w:left="0"/>
              <w:jc w:val="both"/>
              <w:rPr>
                <w:rFonts w:ascii="Times New Roman" w:hAnsi="Times New Roman"/>
                <w:b/>
                <w:noProof/>
                <w:sz w:val="24"/>
                <w:szCs w:val="24"/>
              </w:rPr>
            </w:pPr>
            <w:r>
              <w:rPr>
                <w:rFonts w:ascii="Times New Roman" w:hAnsi="Times New Roman"/>
                <w:b/>
                <w:noProof/>
                <w:sz w:val="24"/>
              </w:rPr>
              <w:t>L-azzjonijiet ewlenin</w:t>
            </w:r>
          </w:p>
          <w:p w:rsidR="004B3B44" w:rsidRDefault="00210B24">
            <w:pPr>
              <w:pStyle w:val="Text1"/>
              <w:numPr>
                <w:ilvl w:val="0"/>
                <w:numId w:val="39"/>
              </w:numPr>
              <w:spacing w:line="240" w:lineRule="auto"/>
              <w:jc w:val="both"/>
              <w:rPr>
                <w:rFonts w:ascii="Times New Roman" w:hAnsi="Times New Roman"/>
                <w:noProof/>
                <w:sz w:val="24"/>
                <w:szCs w:val="24"/>
              </w:rPr>
            </w:pPr>
            <w:r>
              <w:rPr>
                <w:rFonts w:ascii="Times New Roman" w:hAnsi="Times New Roman"/>
                <w:noProof/>
                <w:sz w:val="24"/>
              </w:rPr>
              <w:t xml:space="preserve">Il-Kummissjoni se tuża l-forum annwali li </w:t>
            </w:r>
            <w:r>
              <w:rPr>
                <w:rFonts w:ascii="Times New Roman" w:hAnsi="Times New Roman"/>
                <w:noProof/>
                <w:sz w:val="24"/>
              </w:rPr>
              <w:t>jmiss tas-SUMPs biex taħdem mal-awtoritajiet pubbliċi dwar l-adattament tas-SUMP sar-rebbiegħa tal-2018.</w:t>
            </w:r>
          </w:p>
          <w:p w:rsidR="004B3B44" w:rsidRDefault="00210B24">
            <w:pPr>
              <w:pStyle w:val="Text1"/>
              <w:numPr>
                <w:ilvl w:val="0"/>
                <w:numId w:val="39"/>
              </w:numPr>
              <w:spacing w:line="240" w:lineRule="auto"/>
              <w:jc w:val="both"/>
              <w:rPr>
                <w:rFonts w:ascii="Times New Roman" w:hAnsi="Times New Roman"/>
                <w:noProof/>
                <w:sz w:val="24"/>
                <w:szCs w:val="24"/>
              </w:rPr>
            </w:pPr>
            <w:r>
              <w:rPr>
                <w:rFonts w:ascii="Times New Roman" w:hAnsi="Times New Roman"/>
                <w:noProof/>
                <w:sz w:val="24"/>
              </w:rPr>
              <w:t>Din se teżamina u tadatta wkoll il-finanzjament, meta jkun fattibbli, għall-fjuwils alternattivi fin-nodi urbani, inkluż għas-soluzzjonijiet tal-flotta</w:t>
            </w:r>
            <w:r>
              <w:rPr>
                <w:rFonts w:ascii="Times New Roman" w:hAnsi="Times New Roman"/>
                <w:noProof/>
                <w:sz w:val="24"/>
              </w:rPr>
              <w:t xml:space="preserve">, sa tmiem l-2017. </w:t>
            </w:r>
          </w:p>
        </w:tc>
      </w:tr>
    </w:tbl>
    <w:p w:rsidR="004B3B44" w:rsidRDefault="004B3B44">
      <w:pPr>
        <w:pStyle w:val="Text1"/>
        <w:spacing w:line="240" w:lineRule="auto"/>
        <w:ind w:left="0"/>
        <w:jc w:val="both"/>
        <w:rPr>
          <w:rFonts w:ascii="Times New Roman" w:hAnsi="Times New Roman"/>
          <w:noProof/>
          <w:sz w:val="24"/>
          <w:szCs w:val="24"/>
        </w:rPr>
      </w:pPr>
    </w:p>
    <w:p w:rsidR="004B3B44" w:rsidRDefault="00210B24">
      <w:pPr>
        <w:pStyle w:val="Heading2"/>
        <w:rPr>
          <w:noProof/>
        </w:rPr>
      </w:pPr>
      <w:r>
        <w:rPr>
          <w:noProof/>
        </w:rPr>
        <w:t>Aktar użu min-naħa tal-konsumaturi</w:t>
      </w:r>
    </w:p>
    <w:p w:rsidR="004B3B44" w:rsidRDefault="00210B24">
      <w:pPr>
        <w:pStyle w:val="Briefingtext"/>
        <w:spacing w:after="120"/>
        <w:rPr>
          <w:rFonts w:ascii="Times New Roman" w:hAnsi="Times New Roman" w:cs="Times New Roman"/>
          <w:noProof/>
          <w:sz w:val="24"/>
        </w:rPr>
      </w:pPr>
      <w:r>
        <w:rPr>
          <w:rFonts w:ascii="Times New Roman" w:hAnsi="Times New Roman" w:cs="Times New Roman"/>
          <w:noProof/>
          <w:sz w:val="24"/>
        </w:rPr>
        <w:t>L-adozzjoni tal-mobbiltà b’emissjonijiet baxxi tiddependi ħafna fuq l-użu min-naħa tal-konsumaturi, u dan jeħfief b’aċċess bla xkiel għall-infrastruttura u bl-affordabbiltà tiegħu. Għaldaqstant, rekw</w:t>
      </w:r>
      <w:r>
        <w:rPr>
          <w:rFonts w:ascii="Times New Roman" w:hAnsi="Times New Roman" w:cs="Times New Roman"/>
          <w:noProof/>
          <w:sz w:val="24"/>
        </w:rPr>
        <w:t xml:space="preserve">iżit importanti hu li l-konsumaturi jkunu jistgħu </w:t>
      </w:r>
      <w:r>
        <w:rPr>
          <w:rFonts w:ascii="Times New Roman" w:hAnsi="Times New Roman" w:cs="Times New Roman"/>
          <w:b/>
          <w:noProof/>
          <w:sz w:val="24"/>
        </w:rPr>
        <w:t>jesperjenzaw il-mobbiltà mingħajr qtugħ</w:t>
      </w:r>
      <w:r>
        <w:rPr>
          <w:rFonts w:ascii="Times New Roman" w:hAnsi="Times New Roman" w:cs="Times New Roman"/>
          <w:noProof/>
          <w:sz w:val="24"/>
        </w:rPr>
        <w:t xml:space="preserve"> bħalma huma mdorrijin jagħmlu bil-vetturi li jaħdmu bi fjuwils konvenzjonali.</w:t>
      </w:r>
    </w:p>
    <w:p w:rsidR="004B3B44" w:rsidRDefault="00210B24">
      <w:pPr>
        <w:pStyle w:val="Briefingtext"/>
        <w:spacing w:after="120"/>
        <w:rPr>
          <w:rFonts w:ascii="Times New Roman" w:hAnsi="Times New Roman" w:cs="Times New Roman"/>
          <w:noProof/>
          <w:sz w:val="24"/>
        </w:rPr>
      </w:pPr>
      <w:r>
        <w:rPr>
          <w:rFonts w:ascii="Times New Roman" w:hAnsi="Times New Roman" w:cs="Times New Roman"/>
          <w:noProof/>
          <w:sz w:val="24"/>
        </w:rPr>
        <w:t xml:space="preserve">Din hija r-raġuni għalfejn hemm bżonn li </w:t>
      </w:r>
      <w:r>
        <w:rPr>
          <w:rFonts w:ascii="Times New Roman" w:hAnsi="Times New Roman" w:cs="Times New Roman"/>
          <w:b/>
          <w:noProof/>
          <w:sz w:val="24"/>
        </w:rPr>
        <w:t>tiżdied il-kollaborazzjoni bejn l-atturi pubbli</w:t>
      </w:r>
      <w:r>
        <w:rPr>
          <w:rFonts w:ascii="Times New Roman" w:hAnsi="Times New Roman" w:cs="Times New Roman"/>
          <w:b/>
          <w:noProof/>
          <w:sz w:val="24"/>
        </w:rPr>
        <w:t>ċi u privati</w:t>
      </w:r>
      <w:r>
        <w:rPr>
          <w:rFonts w:ascii="Times New Roman" w:hAnsi="Times New Roman" w:cs="Times New Roman"/>
          <w:noProof/>
          <w:sz w:val="24"/>
        </w:rPr>
        <w:t>. Dan jikkonċerna l-aċċess għal informazzjoni affidabbli u fil-ħin dwar il-lokazzjoni u d-disponibbiltà tal-punti tal-iċċarġjar jew tar-riforniment. Anki s-servizzi ta’ ħlas integrati u interoperabbli se jħallu impatt kbir. Madankollu, dawn is-</w:t>
      </w:r>
      <w:r>
        <w:rPr>
          <w:rFonts w:ascii="Times New Roman" w:hAnsi="Times New Roman" w:cs="Times New Roman"/>
          <w:noProof/>
          <w:sz w:val="24"/>
        </w:rPr>
        <w:t>servizzi huma ’l bogħod milli jsiru realtà fl-UE, u kultant anki fi ħdan l-istess Stati Membri. Jeħtieġ li jsir progress b’mod partikolari fis-servizzi tal-mobbiltà elettronika u li għalihom qed jiġu installati għadd dejjem akbar ta’ punti tal-iċċarġjar.</w:t>
      </w:r>
    </w:p>
    <w:p w:rsidR="004B3B44" w:rsidRDefault="00210B24">
      <w:pPr>
        <w:pStyle w:val="Text3"/>
        <w:tabs>
          <w:tab w:val="clear" w:pos="2302"/>
          <w:tab w:val="left" w:pos="0"/>
        </w:tabs>
        <w:spacing w:line="240" w:lineRule="auto"/>
        <w:ind w:left="0"/>
        <w:jc w:val="both"/>
        <w:rPr>
          <w:rFonts w:ascii="Times New Roman" w:hAnsi="Times New Roman"/>
          <w:noProof/>
          <w:sz w:val="24"/>
          <w:szCs w:val="24"/>
        </w:rPr>
      </w:pPr>
      <w:r>
        <w:rPr>
          <w:rFonts w:ascii="Times New Roman" w:hAnsi="Times New Roman"/>
          <w:noProof/>
          <w:sz w:val="24"/>
        </w:rPr>
        <w:t>F</w:t>
      </w:r>
      <w:r>
        <w:rPr>
          <w:rFonts w:ascii="Times New Roman" w:hAnsi="Times New Roman"/>
          <w:noProof/>
          <w:sz w:val="24"/>
        </w:rPr>
        <w:t xml:space="preserve">l-aħħar nett, </w:t>
      </w:r>
      <w:r>
        <w:rPr>
          <w:rFonts w:ascii="Times New Roman" w:hAnsi="Times New Roman"/>
          <w:b/>
          <w:noProof/>
          <w:sz w:val="24"/>
        </w:rPr>
        <w:t>kull parti meħtieġa tal-infrastruttura jeħtieġ li tkun konnessa b’mod diġitali</w:t>
      </w:r>
      <w:r>
        <w:rPr>
          <w:rFonts w:ascii="Times New Roman" w:hAnsi="Times New Roman"/>
          <w:noProof/>
          <w:sz w:val="24"/>
        </w:rPr>
        <w:t xml:space="preserve"> (jiġifieri mill-bogħod u f’ħin reali għall-istazzjonijiet tal-iċċarġjar). Dan mhux biss se jagħmilha possibbli li jiġi ssorveljat kull punt tal-iċċarġjar innifsu. </w:t>
      </w:r>
      <w:r>
        <w:rPr>
          <w:rFonts w:ascii="Times New Roman" w:hAnsi="Times New Roman"/>
          <w:noProof/>
          <w:sz w:val="24"/>
        </w:rPr>
        <w:t>Iżda dan se jippermetti wkoll li jkunu jistgħu jitwettqu varjetà ta’ alternattivi tal-iċċarġjar permezz tal-ismartphones u (fil-futur) jingħataw servizzi b’valur miżjud (bħal pereżempju għar-riżervazzjoni) li jistgħu jagħtu lok għal negozju mill-investitur</w:t>
      </w:r>
      <w:r>
        <w:rPr>
          <w:rFonts w:ascii="Times New Roman" w:hAnsi="Times New Roman"/>
          <w:noProof/>
          <w:sz w:val="24"/>
        </w:rPr>
        <w:t>i u l-operaturi tal-infrastruttura.</w:t>
      </w:r>
    </w:p>
    <w:p w:rsidR="004B3B44" w:rsidRDefault="00210B24">
      <w:pPr>
        <w:pStyle w:val="Briefingtext"/>
        <w:spacing w:after="120"/>
        <w:rPr>
          <w:rFonts w:ascii="Times New Roman" w:hAnsi="Times New Roman" w:cs="Times New Roman"/>
          <w:noProof/>
          <w:sz w:val="24"/>
        </w:rPr>
      </w:pPr>
      <w:r>
        <w:rPr>
          <w:rFonts w:ascii="Times New Roman" w:hAnsi="Times New Roman" w:cs="Times New Roman"/>
          <w:noProof/>
          <w:sz w:val="24"/>
        </w:rPr>
        <w:t>Għadd ta’ rekwiżiti għall-</w:t>
      </w:r>
      <w:r>
        <w:rPr>
          <w:rFonts w:ascii="Times New Roman" w:hAnsi="Times New Roman" w:cs="Times New Roman"/>
          <w:b/>
          <w:noProof/>
          <w:sz w:val="24"/>
        </w:rPr>
        <w:t>aċċess, il-kondiviżjoni u l-użu mill-ġdid tad-dejta</w:t>
      </w:r>
      <w:r>
        <w:rPr>
          <w:rFonts w:ascii="Times New Roman" w:hAnsi="Times New Roman" w:cs="Times New Roman"/>
          <w:noProof/>
          <w:sz w:val="24"/>
        </w:rPr>
        <w:t xml:space="preserve"> diġà ġew miftiehma bħala parti mill-implimentazzjoni tad-Direttiva dwar is-Sistemi tat-Trasport Intelliġenti (ITS)</w:t>
      </w:r>
      <w:r>
        <w:rPr>
          <w:rStyle w:val="FootnoteReference"/>
          <w:rFonts w:ascii="Times New Roman" w:hAnsi="Times New Roman" w:cs="Times New Roman"/>
          <w:noProof/>
          <w:sz w:val="24"/>
        </w:rPr>
        <w:footnoteReference w:id="40"/>
      </w:r>
      <w:r>
        <w:rPr>
          <w:rFonts w:ascii="Times New Roman" w:hAnsi="Times New Roman" w:cs="Times New Roman"/>
          <w:noProof/>
          <w:sz w:val="24"/>
        </w:rPr>
        <w:t xml:space="preserve"> u mir-Regolamenti Delegati sussegwenti tagħha, fejn l-informazzjoni eżistenti dwar il-lokazzjoni u d-disponibbiltà tal-istazzjonijiet tal-iċċarġjar trid tingħata mill-punti tal-aċċess nazzjonali. L-Istati Membri, l-awtoritajiet tat-toroq u l-fornituri tas</w:t>
      </w:r>
      <w:r>
        <w:rPr>
          <w:rFonts w:ascii="Times New Roman" w:hAnsi="Times New Roman" w:cs="Times New Roman"/>
          <w:noProof/>
          <w:sz w:val="24"/>
        </w:rPr>
        <w:t>-servizzi issa jridu jiżguraw li jiġu implimentati malajr ir-Regolamenti Delegati rilevanti</w:t>
      </w:r>
      <w:r>
        <w:rPr>
          <w:rStyle w:val="FootnoteReference"/>
          <w:rFonts w:ascii="Times New Roman" w:hAnsi="Times New Roman" w:cs="Times New Roman"/>
          <w:noProof/>
          <w:sz w:val="24"/>
        </w:rPr>
        <w:footnoteReference w:id="41"/>
      </w:r>
      <w:r>
        <w:rPr>
          <w:rFonts w:ascii="Times New Roman" w:hAnsi="Times New Roman" w:cs="Times New Roman"/>
          <w:noProof/>
          <w:sz w:val="24"/>
        </w:rPr>
        <w:t xml:space="preserve"> skont id-Direttiva dwar is-Sistemi tat-Trasport Intelliġenti. Madankollu, f’ħafna każijiet, </w:t>
      </w:r>
      <w:r>
        <w:rPr>
          <w:rFonts w:ascii="Times New Roman" w:hAnsi="Times New Roman" w:cs="Times New Roman"/>
          <w:b/>
          <w:noProof/>
          <w:sz w:val="24"/>
        </w:rPr>
        <w:t>id-dejta għadha mhix disponibbli</w:t>
      </w:r>
      <w:r>
        <w:rPr>
          <w:rFonts w:ascii="Times New Roman" w:hAnsi="Times New Roman" w:cs="Times New Roman"/>
          <w:noProof/>
          <w:sz w:val="24"/>
        </w:rPr>
        <w:t xml:space="preserve"> u jeħtieġ tinġabar u tiġi pproċessata </w:t>
      </w:r>
      <w:r>
        <w:rPr>
          <w:rFonts w:ascii="Times New Roman" w:hAnsi="Times New Roman" w:cs="Times New Roman"/>
          <w:noProof/>
          <w:sz w:val="24"/>
        </w:rPr>
        <w:t>fl-Istati Membri. Li jiġu indirizzati dawn in-nuqqasijiet jenħtieġ tkun prijorità għall-awtoritajiet tal-Istati Membri.</w:t>
      </w:r>
    </w:p>
    <w:p w:rsidR="004B3B44" w:rsidRDefault="00210B24">
      <w:pPr>
        <w:pStyle w:val="Briefingtext"/>
        <w:spacing w:after="120"/>
        <w:rPr>
          <w:rFonts w:ascii="Times New Roman" w:hAnsi="Times New Roman" w:cs="Times New Roman"/>
          <w:noProof/>
          <w:sz w:val="24"/>
        </w:rPr>
      </w:pPr>
      <w:r>
        <w:rPr>
          <w:rFonts w:ascii="Times New Roman" w:hAnsi="Times New Roman" w:cs="Times New Roman"/>
          <w:noProof/>
          <w:sz w:val="24"/>
        </w:rPr>
        <w:t xml:space="preserve">Iżda biex jinħoloq suq miftuħ u kompetittiv – li jagħti l-aqwa riżultati possibbli għall-konsumaturi – hemm bżonn </w:t>
      </w:r>
      <w:r>
        <w:rPr>
          <w:rFonts w:ascii="Times New Roman" w:hAnsi="Times New Roman" w:cs="Times New Roman"/>
          <w:b/>
          <w:noProof/>
          <w:sz w:val="24"/>
        </w:rPr>
        <w:t>firxa usa’ ta’ standar</w:t>
      </w:r>
      <w:r>
        <w:rPr>
          <w:rFonts w:ascii="Times New Roman" w:hAnsi="Times New Roman" w:cs="Times New Roman"/>
          <w:b/>
          <w:noProof/>
          <w:sz w:val="24"/>
        </w:rPr>
        <w:t>ds bl-appoġġ tal-industrija, formati tad-dejta u protokolli tal-komunikazzjoni</w:t>
      </w:r>
      <w:r>
        <w:rPr>
          <w:rFonts w:ascii="Times New Roman" w:hAnsi="Times New Roman" w:cs="Times New Roman"/>
          <w:noProof/>
          <w:sz w:val="24"/>
        </w:rPr>
        <w:t>. L-atturi tas-suq pubbliċi u privati għamlu progress dwar dan fil-Forum dwar it-Trasport Sostenibbli, u nħoloq Memorandum ta’ Qbil (MtQ) li jiġbor rakkomandazzjonijiet important</w:t>
      </w:r>
      <w:r>
        <w:rPr>
          <w:rFonts w:ascii="Times New Roman" w:hAnsi="Times New Roman" w:cs="Times New Roman"/>
          <w:noProof/>
          <w:sz w:val="24"/>
        </w:rPr>
        <w:t>i dwar is-servizzi ta’ ħlas interoperabbli.</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Dawn jinkludu dan li ġej:</w:t>
      </w:r>
    </w:p>
    <w:p w:rsidR="004B3B44" w:rsidRDefault="00210B24">
      <w:pPr>
        <w:pStyle w:val="Text1"/>
        <w:numPr>
          <w:ilvl w:val="0"/>
          <w:numId w:val="42"/>
        </w:numPr>
        <w:spacing w:line="240" w:lineRule="auto"/>
        <w:jc w:val="both"/>
        <w:rPr>
          <w:rFonts w:ascii="Times New Roman" w:hAnsi="Times New Roman"/>
          <w:noProof/>
          <w:sz w:val="24"/>
          <w:szCs w:val="24"/>
        </w:rPr>
      </w:pPr>
      <w:r>
        <w:rPr>
          <w:rFonts w:ascii="Times New Roman" w:hAnsi="Times New Roman"/>
          <w:noProof/>
          <w:sz w:val="24"/>
        </w:rPr>
        <w:t xml:space="preserve">Biex ikun żgurat li s-servizzi tal-mobbiltà elettronika jkunu interoperabbli fl-UE kollha hemm bżonn li jiġu identifikati </w:t>
      </w:r>
      <w:r>
        <w:rPr>
          <w:rFonts w:ascii="Times New Roman" w:hAnsi="Times New Roman"/>
          <w:b/>
          <w:noProof/>
          <w:sz w:val="24"/>
        </w:rPr>
        <w:t>l-atturi tal-mobbiltà elettronika</w:t>
      </w:r>
      <w:r>
        <w:rPr>
          <w:rStyle w:val="FootnoteReference"/>
          <w:rFonts w:ascii="Times New Roman" w:hAnsi="Times New Roman"/>
          <w:noProof/>
          <w:sz w:val="24"/>
        </w:rPr>
        <w:footnoteReference w:id="42"/>
      </w:r>
      <w:r>
        <w:rPr>
          <w:rFonts w:ascii="Times New Roman" w:hAnsi="Times New Roman"/>
          <w:noProof/>
          <w:sz w:val="24"/>
        </w:rPr>
        <w:t xml:space="preserve"> b’mod uniku. Għalhekk jenħtie</w:t>
      </w:r>
      <w:r>
        <w:rPr>
          <w:rFonts w:ascii="Times New Roman" w:hAnsi="Times New Roman"/>
          <w:noProof/>
          <w:sz w:val="24"/>
        </w:rPr>
        <w:t>ġ</w:t>
      </w:r>
      <w:r>
        <w:rPr>
          <w:rFonts w:ascii="Times New Roman" w:hAnsi="Times New Roman"/>
          <w:noProof/>
          <w:sz w:val="24"/>
        </w:rPr>
        <w:t xml:space="preserve"> li fil-livell tal-UE jidħol fis-seħħ proċess tar-reġistrazzjoni bbażat fuq standards internazzjonali. Dan se jeżiġi li l-Istati Membri jaħtru awtorità kompetenti biex tirreġistra kodiċijiet uniċi tal-identifikazzjoni għall-mobbiltà elettronika. Il-Kummis</w:t>
      </w:r>
      <w:r>
        <w:rPr>
          <w:rFonts w:ascii="Times New Roman" w:hAnsi="Times New Roman"/>
          <w:noProof/>
          <w:sz w:val="24"/>
        </w:rPr>
        <w:t xml:space="preserve">sjoni se tgħarbel liema mekkaniżmu (pereżempju s-CEF) jixraq biex jgħin it-twaqqif ta’ dan il-proċess. Dan se jagħti appoġġ għall-ġbir tal-informazzjoni nieqsa relatata mal-implimentazzjoni tar-Regolamenti Delegati msemmija hawn fuq. Dan jista’ jqis ukoll </w:t>
      </w:r>
      <w:r>
        <w:rPr>
          <w:rFonts w:ascii="Times New Roman" w:hAnsi="Times New Roman"/>
          <w:noProof/>
          <w:sz w:val="24"/>
        </w:rPr>
        <w:t>il-ħtieġa li jiġi appoġġat l-iżvilupp ta’ soluzzjonijiet differenti tar-roaming.</w:t>
      </w:r>
    </w:p>
    <w:p w:rsidR="004B3B44" w:rsidRDefault="00210B24">
      <w:pPr>
        <w:pStyle w:val="Text1"/>
        <w:numPr>
          <w:ilvl w:val="0"/>
          <w:numId w:val="42"/>
        </w:numPr>
        <w:spacing w:line="240" w:lineRule="auto"/>
        <w:jc w:val="both"/>
        <w:rPr>
          <w:rFonts w:ascii="Times New Roman" w:hAnsi="Times New Roman"/>
          <w:noProof/>
          <w:sz w:val="24"/>
          <w:szCs w:val="24"/>
        </w:rPr>
      </w:pPr>
      <w:r>
        <w:rPr>
          <w:rFonts w:ascii="Times New Roman" w:hAnsi="Times New Roman"/>
          <w:noProof/>
          <w:sz w:val="24"/>
        </w:rPr>
        <w:t xml:space="preserve">Il-konsumaturi jeħtieġu </w:t>
      </w:r>
      <w:r>
        <w:rPr>
          <w:rFonts w:ascii="Times New Roman" w:hAnsi="Times New Roman"/>
          <w:b/>
          <w:noProof/>
          <w:sz w:val="24"/>
        </w:rPr>
        <w:t>servizzi ta’ ħlas integrati u interoperabbli tal-mobbiltà elettronika li jenħtieġ jiġu bbażati fuq standards miftuħa</w:t>
      </w:r>
      <w:r>
        <w:rPr>
          <w:rFonts w:ascii="Times New Roman" w:hAnsi="Times New Roman"/>
          <w:noProof/>
          <w:sz w:val="24"/>
        </w:rPr>
        <w:t xml:space="preserve"> u ħielsa minn drittijiet tal-propr</w:t>
      </w:r>
      <w:r>
        <w:rPr>
          <w:rFonts w:ascii="Times New Roman" w:hAnsi="Times New Roman"/>
          <w:noProof/>
          <w:sz w:val="24"/>
        </w:rPr>
        <w:t>jetà intellettwali u minn drittijiet dovuti għall-użu tal-proprjetà. Il-Kummissjoni se tibqa’ attenta għall-iżviluppi f’dan il-qasam. Din se tniedi konsultazzjoni pubblika dwar dan is-suġġett qabel tmiem l-2017. Jekk is-servizzi ta’ ħlas jibqgħu frammentat</w:t>
      </w:r>
      <w:r>
        <w:rPr>
          <w:rFonts w:ascii="Times New Roman" w:hAnsi="Times New Roman"/>
          <w:noProof/>
          <w:sz w:val="24"/>
        </w:rPr>
        <w:t>i, din se tikkunsidra l-adozzjoni ta’ approċċ leġiżlattiv biex tiżgura li s-servizzi jkunu interoperabbli.</w:t>
      </w:r>
    </w:p>
    <w:p w:rsidR="004B3B44" w:rsidRDefault="00210B24">
      <w:pPr>
        <w:pStyle w:val="Text1"/>
        <w:numPr>
          <w:ilvl w:val="0"/>
          <w:numId w:val="42"/>
        </w:numPr>
        <w:spacing w:line="240" w:lineRule="auto"/>
        <w:jc w:val="both"/>
        <w:rPr>
          <w:rFonts w:ascii="Times New Roman" w:hAnsi="Times New Roman"/>
          <w:noProof/>
          <w:sz w:val="24"/>
          <w:szCs w:val="24"/>
        </w:rPr>
      </w:pPr>
      <w:r>
        <w:rPr>
          <w:rFonts w:ascii="Times New Roman" w:hAnsi="Times New Roman"/>
          <w:b/>
          <w:noProof/>
          <w:sz w:val="24"/>
        </w:rPr>
        <w:t>Il-prevedibbiltà tal-kostijiet</w:t>
      </w:r>
      <w:r>
        <w:rPr>
          <w:rFonts w:ascii="Times New Roman" w:hAnsi="Times New Roman"/>
          <w:noProof/>
          <w:sz w:val="24"/>
        </w:rPr>
        <w:t xml:space="preserve"> hija fattur ewlieni. Dan ifisser li jinkiseb aċċess għal informazzjoni trasparenti, li tinftiehem faċilment u fil-ħin </w:t>
      </w:r>
      <w:r>
        <w:rPr>
          <w:rFonts w:ascii="Times New Roman" w:hAnsi="Times New Roman"/>
          <w:noProof/>
          <w:sz w:val="24"/>
        </w:rPr>
        <w:t>dwar il-prezz. It-tariffi tar-roaming jenħtieġ ikunu raġonevoli u limitati. Il-Kummissjoni tistenna li, apparti li jaħdmu minn lok ċentralizzat biex ikun jista’ jsir roaming, il-mekkaniżmi kompetituri (eż. il-blockchain) se jippermettu lis-suq jiżviluppa l</w:t>
      </w:r>
      <w:r>
        <w:rPr>
          <w:rFonts w:ascii="Times New Roman" w:hAnsi="Times New Roman"/>
          <w:noProof/>
          <w:sz w:val="24"/>
        </w:rPr>
        <w:t>-aqwa riżultati possibbli. Il-Kummissjoni se tissorvelja mill-qrib l-iżviluppi tas-suq, b’mod partikolari l-aċċess għall-informazzjoni dwar il-prezzijiet u t-tariffi tar-roaming, u se tevalwa l-qagħda attwali waqt il-konferenza annwali dwar it-trasport nad</w:t>
      </w:r>
      <w:r>
        <w:rPr>
          <w:rFonts w:ascii="Times New Roman" w:hAnsi="Times New Roman"/>
          <w:noProof/>
          <w:sz w:val="24"/>
        </w:rPr>
        <w:t>if u l-infrastruttura tal-fjuwils alternattivi li se tittella’ lejn tmiem il-ħarifa tal-2018.</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Il-Kummissjoni se tissokta tiġbor il-kontribut espert u tiffaċilita l-iskambju tiegħu.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Il-Kummissjoni qed taħdem ukoll mal-Istati Membri dwar </w:t>
      </w:r>
      <w:r>
        <w:rPr>
          <w:rFonts w:ascii="Times New Roman" w:hAnsi="Times New Roman"/>
          <w:b/>
          <w:noProof/>
          <w:sz w:val="24"/>
        </w:rPr>
        <w:t xml:space="preserve">metodoloġija li </w:t>
      </w:r>
      <w:r>
        <w:rPr>
          <w:rFonts w:ascii="Times New Roman" w:hAnsi="Times New Roman"/>
          <w:b/>
          <w:noProof/>
          <w:sz w:val="24"/>
        </w:rPr>
        <w:t>tippermetti lill-konsumaturi jqabblu l-prezzijiet</w:t>
      </w:r>
      <w:r>
        <w:rPr>
          <w:rFonts w:ascii="Times New Roman" w:hAnsi="Times New Roman"/>
          <w:noProof/>
          <w:sz w:val="24"/>
        </w:rPr>
        <w:t xml:space="preserve"> tal-fjuwils konvenzjonali u alternattivi f’unità komuni, biex b’hekk ikunu jistgħu jistmaw il-kost totali tas-sjieda ta’ tipi differenti ta’ vetturi. Din se tgħin ukoll lill-Istati Membri biex jagħmlu din l</w:t>
      </w:r>
      <w:r>
        <w:rPr>
          <w:rFonts w:ascii="Times New Roman" w:hAnsi="Times New Roman"/>
          <w:noProof/>
          <w:sz w:val="24"/>
        </w:rPr>
        <w:t>-informazzjoni disponibbli permezz tal-għodod diġitali.  </w:t>
      </w:r>
    </w:p>
    <w:p w:rsidR="004B3B44" w:rsidRDefault="00210B24">
      <w:pPr>
        <w:pStyle w:val="Text1"/>
        <w:spacing w:after="120" w:line="240" w:lineRule="auto"/>
        <w:ind w:left="0"/>
        <w:jc w:val="both"/>
        <w:rPr>
          <w:rFonts w:ascii="Times New Roman" w:hAnsi="Times New Roman"/>
          <w:noProof/>
          <w:sz w:val="24"/>
          <w:szCs w:val="24"/>
        </w:rPr>
      </w:pPr>
      <w:r>
        <w:rPr>
          <w:rFonts w:ascii="Times New Roman" w:hAnsi="Times New Roman"/>
          <w:noProof/>
          <w:sz w:val="24"/>
        </w:rPr>
        <w:t>L-evalwazzjoni riċenti tad-Direttiva 1999/94/KE</w:t>
      </w:r>
      <w:r>
        <w:rPr>
          <w:rStyle w:val="FootnoteReference"/>
          <w:rFonts w:ascii="Times New Roman" w:hAnsi="Times New Roman"/>
          <w:noProof/>
          <w:sz w:val="24"/>
        </w:rPr>
        <w:footnoteReference w:id="43"/>
      </w:r>
      <w:r>
        <w:rPr>
          <w:rFonts w:ascii="Times New Roman" w:hAnsi="Times New Roman"/>
          <w:noProof/>
          <w:sz w:val="24"/>
        </w:rPr>
        <w:t xml:space="preserve"> dwar it-tikkettar tal-karozzi, bil-għan li titjieb l-informazzjoni għall-konsumaturi dwar l-ekonomija tal-fjuwils u l-emissjonijiet tas-CO</w:t>
      </w:r>
      <w:r>
        <w:rPr>
          <w:rFonts w:ascii="Times New Roman" w:hAnsi="Times New Roman"/>
          <w:noProof/>
          <w:sz w:val="24"/>
          <w:vertAlign w:val="subscript"/>
        </w:rPr>
        <w:t>2</w:t>
      </w:r>
      <w:r>
        <w:rPr>
          <w:rFonts w:ascii="Times New Roman" w:hAnsi="Times New Roman"/>
          <w:noProof/>
          <w:sz w:val="24"/>
        </w:rPr>
        <w:t>, enfasizz</w:t>
      </w:r>
      <w:r>
        <w:rPr>
          <w:rFonts w:ascii="Times New Roman" w:hAnsi="Times New Roman"/>
          <w:noProof/>
          <w:sz w:val="24"/>
        </w:rPr>
        <w:t>at in-nuqqas ta’ rekwiżiti speċifiċi għall-vetturi li jaħdmu bil-fjuwils alternattivi, kwistjoni li teħtieġ aktar attenzjoni.</w:t>
      </w:r>
    </w:p>
    <w:p w:rsidR="004B3B44" w:rsidRDefault="00210B24">
      <w:pPr>
        <w:pStyle w:val="Text1"/>
        <w:spacing w:after="120" w:line="240" w:lineRule="auto"/>
        <w:ind w:left="0"/>
        <w:jc w:val="both"/>
        <w:rPr>
          <w:rFonts w:ascii="Times New Roman" w:hAnsi="Times New Roman"/>
          <w:noProof/>
          <w:sz w:val="24"/>
          <w:szCs w:val="24"/>
        </w:rPr>
      </w:pPr>
      <w:r>
        <w:rPr>
          <w:rFonts w:ascii="Times New Roman" w:hAnsi="Times New Roman"/>
          <w:noProof/>
          <w:sz w:val="24"/>
        </w:rPr>
        <w:t>Il-Kummissjoni se tappoġġa wkoll lill-Istati Membri fil-ġbir tad-dejta relatata mal-lokazzjoni u d-disponibbiltà tal-istazzjonijie</w:t>
      </w:r>
      <w:r>
        <w:rPr>
          <w:rFonts w:ascii="Times New Roman" w:hAnsi="Times New Roman"/>
          <w:noProof/>
          <w:sz w:val="24"/>
        </w:rPr>
        <w:t>t tal-fjuwils alternattivi</w:t>
      </w:r>
      <w:r>
        <w:rPr>
          <w:rStyle w:val="FootnoteReference"/>
          <w:rFonts w:ascii="Times New Roman" w:hAnsi="Times New Roman"/>
          <w:noProof/>
          <w:sz w:val="24"/>
        </w:rPr>
        <w:footnoteReference w:id="44"/>
      </w:r>
      <w:r>
        <w:rPr>
          <w:rFonts w:ascii="Times New Roman" w:hAnsi="Times New Roman"/>
          <w:noProof/>
          <w:sz w:val="24"/>
        </w:rPr>
        <w:t>. Imbagħad din id-dejta trid tkun aċċessibbli fil-punti tal-aċċess nazzjonali msemmija skont id-Direttiva 2010/40/UE.</w:t>
      </w:r>
    </w:p>
    <w:tbl>
      <w:tblPr>
        <w:tblStyle w:val="TableGrid"/>
        <w:tblW w:w="9042" w:type="dxa"/>
        <w:jc w:val="center"/>
        <w:tblLook w:val="04A0" w:firstRow="1" w:lastRow="0" w:firstColumn="1" w:lastColumn="0" w:noHBand="0" w:noVBand="1"/>
      </w:tblPr>
      <w:tblGrid>
        <w:gridCol w:w="9042"/>
      </w:tblGrid>
      <w:tr w:rsidR="004B3B44">
        <w:trPr>
          <w:jc w:val="center"/>
        </w:trPr>
        <w:tc>
          <w:tcPr>
            <w:tcW w:w="9042" w:type="dxa"/>
            <w:shd w:val="clear" w:color="auto" w:fill="auto"/>
            <w:vAlign w:val="center"/>
          </w:tcPr>
          <w:p w:rsidR="004B3B44" w:rsidRDefault="00210B24">
            <w:pPr>
              <w:pStyle w:val="Text1"/>
              <w:keepNext/>
              <w:spacing w:after="120" w:line="240" w:lineRule="auto"/>
              <w:ind w:left="0"/>
              <w:rPr>
                <w:rFonts w:ascii="Times New Roman" w:hAnsi="Times New Roman"/>
                <w:b/>
                <w:noProof/>
                <w:sz w:val="24"/>
                <w:szCs w:val="24"/>
              </w:rPr>
            </w:pPr>
            <w:r>
              <w:rPr>
                <w:rFonts w:ascii="Times New Roman" w:hAnsi="Times New Roman"/>
                <w:b/>
                <w:noProof/>
                <w:sz w:val="24"/>
              </w:rPr>
              <w:t>L-azzjonijiet ewlenin</w:t>
            </w:r>
          </w:p>
          <w:p w:rsidR="004B3B44" w:rsidRDefault="00210B24">
            <w:pPr>
              <w:pStyle w:val="Text1"/>
              <w:numPr>
                <w:ilvl w:val="0"/>
                <w:numId w:val="43"/>
              </w:numPr>
              <w:spacing w:after="120" w:line="240" w:lineRule="auto"/>
              <w:jc w:val="both"/>
              <w:rPr>
                <w:rFonts w:ascii="Times New Roman" w:hAnsi="Times New Roman"/>
                <w:noProof/>
                <w:sz w:val="24"/>
                <w:szCs w:val="24"/>
              </w:rPr>
            </w:pPr>
            <w:r>
              <w:rPr>
                <w:rFonts w:ascii="Times New Roman" w:hAnsi="Times New Roman"/>
                <w:noProof/>
                <w:sz w:val="24"/>
              </w:rPr>
              <w:t>L-Istati Membri jenħtieġ jaħtru awtoritajiet għar-reġistrazzjoni ta’ kodiċijiet uniċi tal</w:t>
            </w:r>
            <w:r>
              <w:rPr>
                <w:rFonts w:ascii="Times New Roman" w:hAnsi="Times New Roman"/>
                <w:noProof/>
                <w:sz w:val="24"/>
              </w:rPr>
              <w:t>-identifikazzjoni għall-mobbiltà elettronika. Il-Kummissjoni se tikkunsidra l-possibbiltà li jinħoloq mekkaniżmu ta’ appoġġ relatat.</w:t>
            </w:r>
          </w:p>
          <w:p w:rsidR="004B3B44" w:rsidRDefault="00210B24">
            <w:pPr>
              <w:pStyle w:val="Text1"/>
              <w:numPr>
                <w:ilvl w:val="0"/>
                <w:numId w:val="43"/>
              </w:numPr>
              <w:spacing w:after="120" w:line="240" w:lineRule="auto"/>
              <w:jc w:val="both"/>
              <w:rPr>
                <w:rFonts w:ascii="Times New Roman" w:hAnsi="Times New Roman"/>
                <w:noProof/>
                <w:sz w:val="24"/>
                <w:szCs w:val="24"/>
              </w:rPr>
            </w:pPr>
            <w:r>
              <w:rPr>
                <w:rFonts w:ascii="Times New Roman" w:hAnsi="Times New Roman"/>
                <w:noProof/>
                <w:sz w:val="24"/>
              </w:rPr>
              <w:t>Il-Kummissjoni se tniedi konsultazzjoni pubblika fl-2017 dwar servizzi integrati u interoperabbli, b’enfasi fuq il-mobbiltà</w:t>
            </w:r>
            <w:r>
              <w:rPr>
                <w:rFonts w:ascii="Times New Roman" w:hAnsi="Times New Roman"/>
                <w:noProof/>
                <w:sz w:val="24"/>
              </w:rPr>
              <w:t xml:space="preserve"> elettronika, u se tissorvelja mill-qrib l-iżviluppi tas-suq relatati mal-ipprezzar għall-iċċarġjar tal-vetturi elettriċi.</w:t>
            </w:r>
          </w:p>
          <w:p w:rsidR="004B3B44" w:rsidRDefault="00210B24">
            <w:pPr>
              <w:pStyle w:val="Text1"/>
              <w:numPr>
                <w:ilvl w:val="0"/>
                <w:numId w:val="43"/>
              </w:numPr>
              <w:spacing w:after="120" w:line="240" w:lineRule="auto"/>
              <w:jc w:val="both"/>
              <w:rPr>
                <w:rFonts w:ascii="Times New Roman" w:hAnsi="Times New Roman"/>
                <w:noProof/>
                <w:sz w:val="24"/>
                <w:szCs w:val="24"/>
              </w:rPr>
            </w:pPr>
            <w:r>
              <w:rPr>
                <w:rFonts w:ascii="Times New Roman" w:hAnsi="Times New Roman"/>
                <w:noProof/>
                <w:sz w:val="24"/>
              </w:rPr>
              <w:t xml:space="preserve">Il-Kummissjoni se tadotta att ta’ implimentazzjoni dwar it-tqabbil tal-prezzijiet tal-fjuwils fl-2018 u l-implimentazzjoni tiegħu se titħeġġeġ iżjed permezz ta’ miżuri ta’ appoġġ. </w:t>
            </w:r>
          </w:p>
        </w:tc>
      </w:tr>
    </w:tbl>
    <w:p w:rsidR="004B3B44" w:rsidRDefault="004B3B44">
      <w:pPr>
        <w:pStyle w:val="Briefingtext"/>
        <w:spacing w:after="200"/>
        <w:rPr>
          <w:rFonts w:ascii="Times New Roman" w:eastAsia="Calibri" w:hAnsi="Times New Roman" w:cs="Times New Roman"/>
          <w:noProof/>
          <w:sz w:val="24"/>
        </w:rPr>
      </w:pPr>
    </w:p>
    <w:p w:rsidR="004B3B44" w:rsidRDefault="00210B24">
      <w:pPr>
        <w:pStyle w:val="Heading2"/>
        <w:rPr>
          <w:noProof/>
        </w:rPr>
      </w:pPr>
      <w:r>
        <w:rPr>
          <w:noProof/>
        </w:rPr>
        <w:t>L-integrazzjoni tal-vetturi elettriċi fis-sistema tal-elettriku</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L-adozzjo</w:t>
      </w:r>
      <w:r>
        <w:rPr>
          <w:rFonts w:ascii="Times New Roman" w:hAnsi="Times New Roman"/>
          <w:noProof/>
          <w:sz w:val="24"/>
        </w:rPr>
        <w:t xml:space="preserve">ni usa’ tal-vetturi elettriċi se żżid </w:t>
      </w:r>
      <w:r>
        <w:rPr>
          <w:rFonts w:ascii="Times New Roman" w:hAnsi="Times New Roman"/>
          <w:b/>
          <w:noProof/>
          <w:sz w:val="24"/>
        </w:rPr>
        <w:t>id-domanda għan-netwerk tal-elettriku</w:t>
      </w:r>
      <w:r>
        <w:rPr>
          <w:rFonts w:ascii="Times New Roman" w:hAnsi="Times New Roman"/>
          <w:noProof/>
          <w:sz w:val="24"/>
        </w:rPr>
        <w:t xml:space="preserve"> li diġà hu ristrett f’ċerti ħinijiet tal-jum f’ċerti żoni. Biex jiġu evitati l-kostijiet u d-dewmien fl-adozzjoni tal-vetturi elettriċi minħabba investimenti għaljin u li jieħdu ħa</w:t>
      </w:r>
      <w:r>
        <w:rPr>
          <w:rFonts w:ascii="Times New Roman" w:hAnsi="Times New Roman"/>
          <w:noProof/>
          <w:sz w:val="24"/>
        </w:rPr>
        <w:t xml:space="preserve">fna ħin fl-aġġornament tal-infrastruttura tal-elettriku, l-iċċarġjar (bil-mod) tal-vetturi ħafna drabi jsir meta n-netwerks ma jkunux ristretti u jkun qed jiġi ġġenerat elettriku biżżejjed.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Iż-żieda fid-diġitalizzazzjoni tal-infrastruttura diġà tippermett</w:t>
      </w:r>
      <w:r>
        <w:rPr>
          <w:rFonts w:ascii="Times New Roman" w:hAnsi="Times New Roman"/>
          <w:noProof/>
          <w:sz w:val="24"/>
        </w:rPr>
        <w:t xml:space="preserve">i </w:t>
      </w:r>
      <w:r>
        <w:rPr>
          <w:rFonts w:ascii="Times New Roman" w:hAnsi="Times New Roman"/>
          <w:b/>
          <w:noProof/>
          <w:sz w:val="24"/>
        </w:rPr>
        <w:t>ġ</w:t>
      </w:r>
      <w:r>
        <w:rPr>
          <w:rFonts w:ascii="Times New Roman" w:hAnsi="Times New Roman"/>
          <w:b/>
          <w:noProof/>
          <w:sz w:val="24"/>
        </w:rPr>
        <w:t>estjoni intelliġenti tal-grilja</w:t>
      </w:r>
      <w:r>
        <w:rPr>
          <w:rFonts w:ascii="Times New Roman" w:hAnsi="Times New Roman"/>
          <w:noProof/>
          <w:sz w:val="24"/>
        </w:rPr>
        <w:t>, u b’hekk il-ġestjoni tal-punti tal-iċċarġjar. Dan jagħmel “l-iċċarġjar intelliġenti” possibbli: l-iċċarġjar fl-iżjed ħin konvenjenti għall-grilja tal-elettriku u bl-inqas kost għall-konsumaturi. Fil-ġejjieni, anki l-batt</w:t>
      </w:r>
      <w:r>
        <w:rPr>
          <w:rFonts w:ascii="Times New Roman" w:hAnsi="Times New Roman"/>
          <w:noProof/>
          <w:sz w:val="24"/>
        </w:rPr>
        <w:t>eriji tal-vetturi elettriċi se jintużaw għall-operazzjonijiet tas-sistema tal-elettriku (mill-vettura għall-grilja), u dan jgħin biex jinkiseb bilanċ fil-grilja tal-elettriku b’mod kosteffiċjenti. Id-dħul minn dawn is-servizzi lill-operaturi tan-netwerks j</w:t>
      </w:r>
      <w:r>
        <w:rPr>
          <w:rFonts w:ascii="Times New Roman" w:hAnsi="Times New Roman"/>
          <w:noProof/>
          <w:sz w:val="24"/>
        </w:rPr>
        <w:t xml:space="preserve">ista’ jintuża biex jiffinanzja mill-ġdid il-kost tal-investiment fl-infrastruttura, speċjalment għall-iċċarġjar fuq il-postijiet tax-xogħol.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Fil-proposta tagħha għal Direttiva dwar </w:t>
      </w:r>
      <w:r>
        <w:rPr>
          <w:rFonts w:ascii="Times New Roman" w:hAnsi="Times New Roman"/>
          <w:b/>
          <w:noProof/>
          <w:sz w:val="24"/>
        </w:rPr>
        <w:t>regoli komuni għas-suq intern fil-qasam tal-elettriku</w:t>
      </w:r>
      <w:r>
        <w:rPr>
          <w:rFonts w:ascii="Times New Roman" w:hAnsi="Times New Roman"/>
          <w:noProof/>
          <w:sz w:val="24"/>
        </w:rPr>
        <w:t xml:space="preserve"> (riformulazzjoni),</w:t>
      </w:r>
      <w:r>
        <w:rPr>
          <w:rStyle w:val="FootnoteReference"/>
          <w:rFonts w:ascii="Times New Roman" w:hAnsi="Times New Roman"/>
          <w:noProof/>
          <w:sz w:val="24"/>
        </w:rPr>
        <w:footnoteReference w:id="45"/>
      </w:r>
      <w:r>
        <w:rPr>
          <w:rFonts w:ascii="Times New Roman" w:hAnsi="Times New Roman"/>
          <w:noProof/>
          <w:sz w:val="24"/>
        </w:rPr>
        <w:t xml:space="preserve"> </w:t>
      </w:r>
      <w:r>
        <w:rPr>
          <w:rFonts w:ascii="Times New Roman" w:hAnsi="Times New Roman"/>
          <w:noProof/>
          <w:sz w:val="24"/>
        </w:rPr>
        <w:t>imsejsa fuq id-dispożizzjonijiet tad-</w:t>
      </w:r>
      <w:r>
        <w:rPr>
          <w:rFonts w:ascii="Times New Roman" w:hAnsi="Times New Roman"/>
          <w:b/>
          <w:noProof/>
          <w:sz w:val="24"/>
        </w:rPr>
        <w:t>Direttiva dwar l-Effiċjenza Enerġetika</w:t>
      </w:r>
      <w:r>
        <w:rPr>
          <w:rStyle w:val="FootnoteReference"/>
          <w:rFonts w:ascii="Times New Roman" w:hAnsi="Times New Roman"/>
          <w:noProof/>
          <w:sz w:val="24"/>
        </w:rPr>
        <w:footnoteReference w:id="46"/>
      </w:r>
      <w:r>
        <w:rPr>
          <w:rFonts w:ascii="Times New Roman" w:hAnsi="Times New Roman"/>
          <w:noProof/>
          <w:sz w:val="24"/>
        </w:rPr>
        <w:t xml:space="preserve">, il-Kummissjoni tipproponi qafas koerenti għal rispons għad-domanda li jippermetti iċċarġjar intelliġenti, jagħti inċentivi lill-konsumaturi biex jiċċarġjaw waqt perjodi kwieti u </w:t>
      </w:r>
      <w:r>
        <w:rPr>
          <w:rFonts w:ascii="Times New Roman" w:hAnsi="Times New Roman"/>
          <w:noProof/>
          <w:sz w:val="24"/>
        </w:rPr>
        <w:t>jagħti l-kapaċità lill-operaturi tas-sistema tad-distribuzzjoni biex jimmaniġġaw il-grilja b’mod attiv. Għaldaqstant, li jintlaħaq ftehim malajr dwar ir-riformulazzjoni tad-Direttivi proposti u t-traspożizzjoni korretta tagħha hu prerekwiżit għall-iċċarġja</w:t>
      </w:r>
      <w:r>
        <w:rPr>
          <w:rFonts w:ascii="Times New Roman" w:hAnsi="Times New Roman"/>
          <w:noProof/>
          <w:sz w:val="24"/>
        </w:rPr>
        <w:t xml:space="preserve">r intelliġenti u fl-aħħar mill-aħħar għall-użu fuq skala kbira tal-vetturi elettriċi. </w:t>
      </w:r>
    </w:p>
    <w:p w:rsidR="004B3B44" w:rsidRDefault="00210B24">
      <w:pPr>
        <w:pStyle w:val="Text1"/>
        <w:spacing w:line="240" w:lineRule="auto"/>
        <w:ind w:left="0"/>
        <w:jc w:val="both"/>
        <w:rPr>
          <w:rFonts w:ascii="Times New Roman" w:hAnsi="Times New Roman"/>
          <w:noProof/>
          <w:sz w:val="24"/>
          <w:szCs w:val="24"/>
        </w:rPr>
      </w:pPr>
      <w:r>
        <w:rPr>
          <w:rFonts w:ascii="Times New Roman" w:hAnsi="Times New Roman"/>
          <w:noProof/>
          <w:sz w:val="24"/>
        </w:rPr>
        <w:t xml:space="preserve">L-użu ta’ </w:t>
      </w:r>
      <w:r>
        <w:rPr>
          <w:rFonts w:ascii="Times New Roman" w:hAnsi="Times New Roman"/>
          <w:b/>
          <w:noProof/>
          <w:sz w:val="24"/>
        </w:rPr>
        <w:t>apparati u teknoloġiji tal-ħżin tal-enerġija</w:t>
      </w:r>
      <w:r>
        <w:rPr>
          <w:rFonts w:ascii="Times New Roman" w:hAnsi="Times New Roman"/>
          <w:noProof/>
          <w:sz w:val="24"/>
        </w:rPr>
        <w:t xml:space="preserve"> (eż. l-użu tat-tieni ħajja tal-batteriji tal-karozzi fl-istokk tal-bini u l-idroġenu ġġenerat b’mod rinnovabbli) j</w:t>
      </w:r>
      <w:r>
        <w:rPr>
          <w:rFonts w:ascii="Times New Roman" w:hAnsi="Times New Roman"/>
          <w:noProof/>
          <w:sz w:val="24"/>
        </w:rPr>
        <w:t xml:space="preserve">enħtieġ jitħeġġeġ b’mod aktar qawwi bħala kundizzjoni ta’ faċilitazzjoni għall-mobbiltà mingħajr emissjonijiet. </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It-trasparenza tal-prezzijiet hemm bżonnha biex tevita li jiżdiedu l-kostijiet u l-prezzijiet (tal-elettriku) minħabba l-aġġornament tal-vetturi elettriċi, fosthom għall-familji bi dħul aktar baxx. </w:t>
      </w:r>
    </w:p>
    <w:tbl>
      <w:tblPr>
        <w:tblStyle w:val="TableGrid"/>
        <w:tblW w:w="9042" w:type="dxa"/>
        <w:jc w:val="center"/>
        <w:tblLook w:val="04A0" w:firstRow="1" w:lastRow="0" w:firstColumn="1" w:lastColumn="0" w:noHBand="0" w:noVBand="1"/>
      </w:tblPr>
      <w:tblGrid>
        <w:gridCol w:w="9042"/>
      </w:tblGrid>
      <w:tr w:rsidR="004B3B44">
        <w:trPr>
          <w:jc w:val="center"/>
        </w:trPr>
        <w:tc>
          <w:tcPr>
            <w:tcW w:w="9042" w:type="dxa"/>
            <w:shd w:val="clear" w:color="auto" w:fill="auto"/>
            <w:vAlign w:val="center"/>
          </w:tcPr>
          <w:p w:rsidR="004B3B44" w:rsidRDefault="00210B24">
            <w:pPr>
              <w:pStyle w:val="Text1"/>
              <w:keepNext/>
              <w:spacing w:line="240" w:lineRule="auto"/>
              <w:ind w:left="0"/>
              <w:rPr>
                <w:rFonts w:ascii="Times New Roman" w:hAnsi="Times New Roman"/>
                <w:b/>
                <w:noProof/>
                <w:sz w:val="24"/>
                <w:szCs w:val="24"/>
              </w:rPr>
            </w:pPr>
            <w:r>
              <w:rPr>
                <w:rFonts w:ascii="Times New Roman" w:hAnsi="Times New Roman"/>
                <w:b/>
                <w:noProof/>
                <w:sz w:val="24"/>
              </w:rPr>
              <w:t>L-azzjonijiet ewlenin</w:t>
            </w:r>
          </w:p>
          <w:p w:rsidR="004B3B44" w:rsidRDefault="00210B24">
            <w:pPr>
              <w:pStyle w:val="Text1"/>
              <w:numPr>
                <w:ilvl w:val="0"/>
                <w:numId w:val="33"/>
              </w:numPr>
              <w:spacing w:line="240" w:lineRule="auto"/>
              <w:jc w:val="both"/>
              <w:rPr>
                <w:rFonts w:ascii="Times New Roman" w:hAnsi="Times New Roman"/>
                <w:noProof/>
                <w:sz w:val="24"/>
                <w:szCs w:val="24"/>
              </w:rPr>
            </w:pPr>
            <w:r>
              <w:rPr>
                <w:rFonts w:ascii="Times New Roman" w:hAnsi="Times New Roman"/>
                <w:noProof/>
                <w:sz w:val="24"/>
              </w:rPr>
              <w:t>Jenħtieġ li l-Istati Membri jipperm</w:t>
            </w:r>
            <w:r>
              <w:rPr>
                <w:rFonts w:ascii="Times New Roman" w:hAnsi="Times New Roman"/>
                <w:noProof/>
                <w:sz w:val="24"/>
              </w:rPr>
              <w:t>ettu bis-sħiħ rispons għad-domanda billi jittrasponu malajr id-dispożizzjonijiet rispettivi tad-Direttiva dwar l-Effiċjenza Enerġetika u t-tfassil tas-suq tal-elettriku relatat, u b’hekk jadottaw qafas leġiżlattiv li jappoġġa r-rispons għad-domanda u l-iċċ</w:t>
            </w:r>
            <w:r>
              <w:rPr>
                <w:rFonts w:ascii="Times New Roman" w:hAnsi="Times New Roman"/>
                <w:noProof/>
                <w:sz w:val="24"/>
              </w:rPr>
              <w:t>arġjar intelliġenti.</w:t>
            </w:r>
          </w:p>
          <w:p w:rsidR="004B3B44" w:rsidRDefault="00210B24">
            <w:pPr>
              <w:pStyle w:val="ListParagraph"/>
              <w:numPr>
                <w:ilvl w:val="0"/>
                <w:numId w:val="33"/>
              </w:numPr>
              <w:jc w:val="both"/>
              <w:rPr>
                <w:rFonts w:ascii="Times New Roman" w:eastAsia="Calibri" w:hAnsi="Times New Roman" w:cs="Times New Roman"/>
                <w:noProof/>
                <w:sz w:val="24"/>
                <w:szCs w:val="24"/>
              </w:rPr>
            </w:pPr>
            <w:r>
              <w:rPr>
                <w:rFonts w:ascii="Times New Roman" w:hAnsi="Times New Roman" w:cs="Times New Roman"/>
                <w:noProof/>
                <w:sz w:val="24"/>
              </w:rPr>
              <w:t xml:space="preserve">L-Istati Membri jenħtieġ jippromwovu l-iskjerament ta’ punti tal-iċċarġjar u t-tifrix minn qabel ta’ kejbils fl-ispazji tal-parkeġġi fil-binjiet residenzjali u mhux residenzjali.   </w:t>
            </w:r>
          </w:p>
          <w:p w:rsidR="004B3B44" w:rsidRDefault="00210B24">
            <w:pPr>
              <w:pStyle w:val="Text1"/>
              <w:numPr>
                <w:ilvl w:val="0"/>
                <w:numId w:val="33"/>
              </w:numPr>
              <w:spacing w:line="240" w:lineRule="auto"/>
              <w:jc w:val="both"/>
              <w:rPr>
                <w:rFonts w:ascii="Times New Roman" w:hAnsi="Times New Roman"/>
                <w:noProof/>
                <w:sz w:val="24"/>
                <w:szCs w:val="24"/>
              </w:rPr>
            </w:pPr>
            <w:r>
              <w:rPr>
                <w:rFonts w:ascii="Times New Roman" w:hAnsi="Times New Roman"/>
                <w:noProof/>
                <w:sz w:val="24"/>
              </w:rPr>
              <w:t>L-Istati Membri jenħtieġ jiżguraw li qed jiġu skjerat</w:t>
            </w:r>
            <w:r>
              <w:rPr>
                <w:rFonts w:ascii="Times New Roman" w:hAnsi="Times New Roman"/>
                <w:noProof/>
                <w:sz w:val="24"/>
              </w:rPr>
              <w:t xml:space="preserve">i t-teknoloġiji li jippermettu l-iċċarġjar intelliġenti, bħall-miters intelliġenti, u li qed jiġu applikati standards tal-iċċarġjar intelliġenti li diġà jew adottati jew emerġenti għall-vetturi elettriċi (eż. ISO 15118 u IEC 63110).   </w:t>
            </w:r>
          </w:p>
          <w:p w:rsidR="004B3B44" w:rsidRDefault="00210B24">
            <w:pPr>
              <w:pStyle w:val="Text1"/>
              <w:numPr>
                <w:ilvl w:val="0"/>
                <w:numId w:val="33"/>
              </w:numPr>
              <w:spacing w:line="240" w:lineRule="auto"/>
              <w:ind w:left="357" w:hanging="357"/>
              <w:rPr>
                <w:rFonts w:ascii="Times New Roman" w:hAnsi="Times New Roman"/>
                <w:noProof/>
                <w:sz w:val="24"/>
                <w:szCs w:val="24"/>
              </w:rPr>
            </w:pPr>
            <w:r>
              <w:rPr>
                <w:rFonts w:ascii="Times New Roman" w:hAnsi="Times New Roman"/>
                <w:noProof/>
                <w:sz w:val="24"/>
              </w:rPr>
              <w:t>Il-ħtiġijiet relatat</w:t>
            </w:r>
            <w:r>
              <w:rPr>
                <w:rFonts w:ascii="Times New Roman" w:hAnsi="Times New Roman"/>
                <w:noProof/>
                <w:sz w:val="24"/>
              </w:rPr>
              <w:t>i mal-elettromobbiltà se jiġu kkunsidrati fil-kuntest tal-programm Orizzont 2020 kif ukoll fil-kuntest tal-proċess tal-Pjan Strateġiku Ewropew għat-Teknoloġija tal-Enerġija (il-pjan SET) u fora oħrajn tal-partijiet konċernati.</w:t>
            </w:r>
          </w:p>
          <w:p w:rsidR="004B3B44" w:rsidRDefault="00210B24">
            <w:pPr>
              <w:pStyle w:val="Text1"/>
              <w:numPr>
                <w:ilvl w:val="0"/>
                <w:numId w:val="33"/>
              </w:numPr>
              <w:spacing w:line="240" w:lineRule="auto"/>
              <w:ind w:left="357" w:hanging="357"/>
              <w:jc w:val="both"/>
              <w:rPr>
                <w:rFonts w:ascii="Times New Roman" w:hAnsi="Times New Roman"/>
                <w:noProof/>
                <w:sz w:val="24"/>
                <w:szCs w:val="24"/>
              </w:rPr>
            </w:pPr>
            <w:r>
              <w:rPr>
                <w:rFonts w:ascii="Times New Roman" w:hAnsi="Times New Roman"/>
                <w:noProof/>
                <w:sz w:val="24"/>
              </w:rPr>
              <w:t>Il-Forum dwar it-Trasport Sos</w:t>
            </w:r>
            <w:r>
              <w:rPr>
                <w:rFonts w:ascii="Times New Roman" w:hAnsi="Times New Roman"/>
                <w:noProof/>
                <w:sz w:val="24"/>
              </w:rPr>
              <w:t xml:space="preserve">tenibbli se jiżviluppa aktar rakkomandazzjonijiet meħtieġa biex jiffaċilita l-implimentazzjoni effettiva tal-integrazzjoni bejn l-istazzjonijiet tal-iċċarġjar u l-grilja tal-elettriku u biex jiżgura l-interoperabbiltà mal-UE kollha. </w:t>
            </w:r>
          </w:p>
        </w:tc>
      </w:tr>
    </w:tbl>
    <w:p w:rsidR="004B3B44" w:rsidRDefault="00210B24">
      <w:pPr>
        <w:pStyle w:val="Heading2"/>
        <w:spacing w:before="240"/>
        <w:rPr>
          <w:noProof/>
        </w:rPr>
      </w:pPr>
      <w:r>
        <w:rPr>
          <w:noProof/>
        </w:rPr>
        <w:t>Kwistjonijiet emerġen</w:t>
      </w:r>
      <w:r>
        <w:rPr>
          <w:noProof/>
        </w:rPr>
        <w:t>ti</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Jenħtieġ jiżdied l-użu </w:t>
      </w:r>
      <w:r>
        <w:rPr>
          <w:rFonts w:ascii="Times New Roman" w:hAnsi="Times New Roman"/>
          <w:b/>
          <w:noProof/>
          <w:sz w:val="24"/>
        </w:rPr>
        <w:t>tal-bijometanu sostenibbli li jitħallat mal-gass naturali jew ma’ sostituzzjoni tiegħu</w:t>
      </w:r>
      <w:r>
        <w:rPr>
          <w:rFonts w:ascii="Times New Roman" w:hAnsi="Times New Roman"/>
          <w:noProof/>
          <w:sz w:val="24"/>
        </w:rPr>
        <w:t xml:space="preserve"> fil-vetturi li jaħdmu bil-gass naturali ħalli tissaħħaħ is-sostenibbiltà tal-vetturi li jaħdmu bil-gass naturali. Il-manifatturi u l-operaturi jistgħu jaqblu fuq għanijiet tat-taħlit ambizzjużi biex is-suq jingħata ċ-ċertezza.</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Minbarra li tiġi promossa l-provvista tal-elettriku fl-ajruporti għall-ajruplani wieqfa bħala parti mill-oqfsa nazzjonali ta’ politika skont id-Direttiva 2014/94/UE, hemm bżonn jiġi żviluppat aktar l-użu </w:t>
      </w:r>
      <w:r>
        <w:rPr>
          <w:rFonts w:ascii="Times New Roman" w:hAnsi="Times New Roman"/>
          <w:b/>
          <w:noProof/>
          <w:sz w:val="24"/>
        </w:rPr>
        <w:t>tal-fjuwils alternattivi fis-settur tal-avjazzjoni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Jenħtieġ li enfasi ewlenija ssir fuq il-bijofjuwils ta’ sostituzzjoni, fejn l-użu u l-kapaċità tal-produzzjoni għadhom limitati, u aktar fit-tul fuq it-teknoloġiji ta’ propulsjoni mingħajr karbonju. F’dan il-qasam, azzjoni multilaterali hi fundamentali wko</w:t>
      </w:r>
      <w:r>
        <w:rPr>
          <w:rFonts w:ascii="Times New Roman" w:hAnsi="Times New Roman"/>
          <w:noProof/>
          <w:sz w:val="24"/>
        </w:rPr>
        <w:t>ll. Il-ħidma tal-ICAO favur aktar allinjament tal-Organizzazzjoni tal-Avjazzjoni Ċivili Internazzjonali u r-regoli u l-istandards tal-UE dwar is-sostenibbiltà tal-fjuwils se tgħin biex jinħolqu kundizzjonijiet aħjar tas-suq.</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 xml:space="preserve">Il-Kummissjoni se tħeġġeġ għal </w:t>
      </w:r>
      <w:r>
        <w:rPr>
          <w:rFonts w:ascii="Times New Roman" w:hAnsi="Times New Roman"/>
          <w:noProof/>
          <w:sz w:val="24"/>
        </w:rPr>
        <w:t xml:space="preserve">aktar sforzi biex iżżid l-użu tal-fjuwils alternattivi bħall-idroġenu jew fjuwils rinnovabbli oħrajn flimkien ma’ ċelloli tal-fjuwils biex twessa’ l-firxa ta’ </w:t>
      </w:r>
      <w:r>
        <w:rPr>
          <w:rFonts w:ascii="Times New Roman" w:hAnsi="Times New Roman"/>
          <w:b/>
          <w:noProof/>
          <w:sz w:val="24"/>
        </w:rPr>
        <w:t>teknoloġiji nodfa ta’ propulsjoni ferrovjarja</w:t>
      </w:r>
      <w:r>
        <w:rPr>
          <w:rFonts w:ascii="Times New Roman" w:hAnsi="Times New Roman"/>
          <w:noProof/>
          <w:sz w:val="24"/>
        </w:rPr>
        <w:t>. Jeżistu wkoll sinerġiji bejn l-idroġenu u l-LNG fi</w:t>
      </w:r>
      <w:r>
        <w:rPr>
          <w:rFonts w:ascii="Times New Roman" w:hAnsi="Times New Roman"/>
          <w:noProof/>
          <w:sz w:val="24"/>
        </w:rPr>
        <w:t>s-settur tat-trasport fuq l-ilma, flimkien ma’ bijofjuwils avvanzati bħala soluzzjonijiet ta’ sostituzzjoni f’dan is-settur.</w:t>
      </w:r>
    </w:p>
    <w:p w:rsidR="004B3B44" w:rsidRDefault="00210B24">
      <w:pPr>
        <w:pStyle w:val="Heading1"/>
        <w:rPr>
          <w:noProof/>
        </w:rPr>
      </w:pPr>
      <w:r>
        <w:rPr>
          <w:noProof/>
        </w:rPr>
        <w:t>Konklużjonijiet</w:t>
      </w:r>
    </w:p>
    <w:p w:rsidR="004B3B44" w:rsidRDefault="00210B24">
      <w:pPr>
        <w:pStyle w:val="Text2"/>
        <w:spacing w:line="240" w:lineRule="auto"/>
        <w:ind w:left="0"/>
        <w:jc w:val="both"/>
        <w:rPr>
          <w:rFonts w:ascii="Times New Roman" w:eastAsiaTheme="minorHAnsi" w:hAnsi="Times New Roman"/>
          <w:noProof/>
          <w:sz w:val="24"/>
          <w:szCs w:val="24"/>
        </w:rPr>
      </w:pPr>
      <w:r>
        <w:rPr>
          <w:rFonts w:ascii="Times New Roman" w:eastAsiaTheme="minorHAnsi" w:hAnsi="Times New Roman"/>
          <w:noProof/>
          <w:sz w:val="24"/>
        </w:rPr>
        <w:t xml:space="preserve">Minn meta daħal fis-seħħ il-Ftehim ta’ Pariġi dwar it-Tibdil fil-Klima, </w:t>
      </w:r>
      <w:r>
        <w:rPr>
          <w:rFonts w:ascii="Times New Roman" w:eastAsiaTheme="minorHAnsi" w:hAnsi="Times New Roman"/>
          <w:b/>
          <w:noProof/>
          <w:sz w:val="24"/>
        </w:rPr>
        <w:t>se jkollha titħaffef it-tranżizzjoni lejn e</w:t>
      </w:r>
      <w:r>
        <w:rPr>
          <w:rFonts w:ascii="Times New Roman" w:eastAsiaTheme="minorHAnsi" w:hAnsi="Times New Roman"/>
          <w:b/>
          <w:noProof/>
          <w:sz w:val="24"/>
        </w:rPr>
        <w:t>konomija moderna b’livell baxx tal-karbonju</w:t>
      </w:r>
      <w:r>
        <w:rPr>
          <w:rFonts w:ascii="Times New Roman" w:eastAsiaTheme="minorHAnsi" w:hAnsi="Times New Roman"/>
          <w:noProof/>
          <w:sz w:val="24"/>
        </w:rPr>
        <w:t xml:space="preserve">. Il-Kunsill Ewropew ta’ Ġunju 2017 irrikonoxxa l-Ftehim ta’ Pariġi bħala “element prinċipali għall-modernizzazzjoni tal-industrija u l-ekonomija Ewropej”. </w:t>
      </w:r>
    </w:p>
    <w:p w:rsidR="004B3B44" w:rsidRDefault="00210B24">
      <w:pPr>
        <w:pStyle w:val="Text2"/>
        <w:spacing w:line="240" w:lineRule="auto"/>
        <w:ind w:left="0"/>
        <w:jc w:val="both"/>
        <w:rPr>
          <w:rFonts w:ascii="Times New Roman" w:eastAsiaTheme="minorHAnsi" w:hAnsi="Times New Roman"/>
          <w:noProof/>
          <w:sz w:val="24"/>
          <w:szCs w:val="24"/>
        </w:rPr>
      </w:pPr>
      <w:r>
        <w:rPr>
          <w:rFonts w:ascii="Times New Roman" w:eastAsiaTheme="minorHAnsi" w:hAnsi="Times New Roman"/>
          <w:noProof/>
          <w:sz w:val="24"/>
        </w:rPr>
        <w:t xml:space="preserve">Kulma jmur qed </w:t>
      </w:r>
      <w:r>
        <w:rPr>
          <w:rFonts w:ascii="Times New Roman" w:eastAsiaTheme="minorHAnsi" w:hAnsi="Times New Roman"/>
          <w:b/>
          <w:noProof/>
          <w:sz w:val="24"/>
        </w:rPr>
        <w:t>teqliel dejjem iżjed il-kompetizzjoni glo</w:t>
      </w:r>
      <w:r>
        <w:rPr>
          <w:rFonts w:ascii="Times New Roman" w:eastAsiaTheme="minorHAnsi" w:hAnsi="Times New Roman"/>
          <w:b/>
          <w:noProof/>
          <w:sz w:val="24"/>
        </w:rPr>
        <w:t>bali</w:t>
      </w:r>
      <w:r>
        <w:rPr>
          <w:rFonts w:ascii="Times New Roman" w:eastAsiaTheme="minorHAnsi" w:hAnsi="Times New Roman"/>
          <w:noProof/>
          <w:sz w:val="24"/>
        </w:rPr>
        <w:t xml:space="preserve"> għall-ishma tas-suq, it-teknoloġija u l-imħuħ li joħorġu bl-innovazzjonijiet futuri b’livell baxx tal-karbonju. Ma għandniex ħin għall-kompjaċenza.</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Dan il-pjan ta’ azzjoni jelenka għadd ta’ miżuri maħsuba biex jappoġġaw l-installazzjoni mgħaġġla tal-i</w:t>
      </w:r>
      <w:r>
        <w:rPr>
          <w:rFonts w:ascii="Times New Roman" w:hAnsi="Times New Roman"/>
          <w:noProof/>
          <w:sz w:val="24"/>
        </w:rPr>
        <w:t xml:space="preserve">nfrastruttura tal-fjuwils alternattivi fl-UE. Dawn huma parti minn </w:t>
      </w:r>
      <w:r>
        <w:rPr>
          <w:rFonts w:ascii="Times New Roman" w:hAnsi="Times New Roman"/>
          <w:b/>
          <w:noProof/>
          <w:sz w:val="24"/>
        </w:rPr>
        <w:t>pakkett ta’ politika dwar il-mobbiltà li jindirizza flimkien il-vetturi, l-infrastrutturi, il-grilja tal-elettriku u s-servizzi tal-utenti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Sal-2025, l-UE jenħtieġ tkun lestiet il-bażi tal-</w:t>
      </w:r>
      <w:r>
        <w:rPr>
          <w:rFonts w:ascii="Times New Roman" w:hAnsi="Times New Roman"/>
          <w:noProof/>
          <w:sz w:val="24"/>
        </w:rPr>
        <w:t>infrastruttura tal-iċċarġjar u tar-riforniment, biex tagħti kopertura sħiħa tal-kurituri tan-netwerk ewlieni tat-TEN-T.</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noProof/>
          <w:sz w:val="24"/>
        </w:rPr>
        <w:t>L-Ewropa ma tistax tibqa’ traqqa’ s-soluzzjonijiet tal-infrastruttura tal-fjuwils alternattivi, għax b’hekk tirriskja li wħud mir-reġjun</w:t>
      </w:r>
      <w:r>
        <w:rPr>
          <w:rFonts w:ascii="Times New Roman" w:hAnsi="Times New Roman"/>
          <w:noProof/>
          <w:sz w:val="24"/>
        </w:rPr>
        <w:t xml:space="preserve">i u l-konsumaturi jinqatgħu lura. Il-valutazzjoni tal-oqfsa nazzjonali ta’ politika skont id-Direttiva dwar l-Infrastruttura tal-Fjuwils Alternattivi toħroġ fid-dieher li hemm ħafna x’wieħed jitgħallem mill-esperjenzi pożittivi ta’ xi Stati Membri. Dak li </w:t>
      </w:r>
      <w:r>
        <w:rPr>
          <w:rFonts w:ascii="Times New Roman" w:hAnsi="Times New Roman"/>
          <w:noProof/>
          <w:sz w:val="24"/>
        </w:rPr>
        <w:t xml:space="preserve">hu meħtieġ issa biex tiżdied l-azzjoni f’dan il-qasam hu </w:t>
      </w:r>
      <w:r>
        <w:rPr>
          <w:rFonts w:ascii="Times New Roman" w:hAnsi="Times New Roman"/>
          <w:b/>
          <w:noProof/>
          <w:sz w:val="24"/>
        </w:rPr>
        <w:t>kollaborazzjoni transfruntiera u transsettorjali serja fost il-partijiet konċernati pubbliċi u privati kollha</w:t>
      </w:r>
      <w:r>
        <w:rPr>
          <w:rFonts w:ascii="Times New Roman" w:hAnsi="Times New Roman"/>
          <w:noProof/>
          <w:sz w:val="24"/>
        </w:rPr>
        <w:t>. Jeħtieġ jiġi evitat il-lock-in tat-teknoloġiji u tas-swieq. Biex is-swieq jikbru, l-infr</w:t>
      </w:r>
      <w:r>
        <w:rPr>
          <w:rFonts w:ascii="Times New Roman" w:hAnsi="Times New Roman"/>
          <w:noProof/>
          <w:sz w:val="24"/>
        </w:rPr>
        <w:t xml:space="preserve">astrutturi tal-fjuwils alternattivi u s-servizzi tagħhom jeħtieġ ikunu miftuħa, trasparenti u interoperabbli. Anki l-utenti jeħtieġ ikunu jistgħu jużaw in-netwerk tat-trasport kollu mingħajr qtugħ u b’mod faċli.  </w:t>
      </w:r>
    </w:p>
    <w:p w:rsidR="004B3B44" w:rsidRDefault="00210B24">
      <w:pPr>
        <w:pStyle w:val="Text2"/>
        <w:spacing w:line="240" w:lineRule="auto"/>
        <w:ind w:left="0"/>
        <w:jc w:val="both"/>
        <w:rPr>
          <w:rFonts w:ascii="Times New Roman" w:hAnsi="Times New Roman"/>
          <w:noProof/>
          <w:sz w:val="24"/>
          <w:szCs w:val="24"/>
        </w:rPr>
      </w:pPr>
      <w:r>
        <w:rPr>
          <w:rFonts w:ascii="Times New Roman" w:hAnsi="Times New Roman"/>
          <w:b/>
          <w:noProof/>
          <w:sz w:val="24"/>
        </w:rPr>
        <w:t>Il-Kummissjoni lesta tappoġġa</w:t>
      </w:r>
      <w:r>
        <w:rPr>
          <w:rFonts w:ascii="Times New Roman" w:hAnsi="Times New Roman"/>
          <w:noProof/>
          <w:sz w:val="24"/>
        </w:rPr>
        <w:t xml:space="preserve"> dan il-proċe</w:t>
      </w:r>
      <w:r>
        <w:rPr>
          <w:rFonts w:ascii="Times New Roman" w:hAnsi="Times New Roman"/>
          <w:noProof/>
          <w:sz w:val="24"/>
        </w:rPr>
        <w:t>ss permezz ta’ azzjoni mhux leġiżlattiva u leġiżlattiva kif imsemmi f’dan il-pjan ta’ azzjoni. Il-Kummissjoni se ssaħħaħ is-settur tat-trasport tal-Ewropa, tagħmlu aktar kompetittiv, u tiżgura li l-ebda konsumatur jew reġjun ma jinqata’ lura waqt li tkun q</w:t>
      </w:r>
      <w:r>
        <w:rPr>
          <w:rFonts w:ascii="Times New Roman" w:hAnsi="Times New Roman"/>
          <w:noProof/>
          <w:sz w:val="24"/>
        </w:rPr>
        <w:t>ed tmexxi l-ġlieda kontra t-tibdil fil-klima.</w:t>
      </w:r>
    </w:p>
    <w:sectPr w:rsidR="004B3B44">
      <w:headerReference w:type="even" r:id="rId16"/>
      <w:headerReference w:type="default" r:id="rId17"/>
      <w:footerReference w:type="even" r:id="rId18"/>
      <w:footerReference w:type="default" r:id="rId19"/>
      <w:headerReference w:type="first" r:id="rId20"/>
      <w:footerReference w:type="first" r:id="rId21"/>
      <w:pgSz w:w="11906" w:h="16838"/>
      <w:pgMar w:top="1020" w:right="1700" w:bottom="1020" w:left="1587" w:header="601" w:footer="1077" w:gutter="0"/>
      <w:pgNumType w:start="2"/>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BB47E9" w15:done="0"/>
  <w15:commentEx w15:paraId="75C29C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44" w:rsidRDefault="00210B24">
      <w:pPr>
        <w:spacing w:after="0" w:line="240" w:lineRule="auto"/>
      </w:pPr>
      <w:r>
        <w:separator/>
      </w:r>
    </w:p>
  </w:endnote>
  <w:endnote w:type="continuationSeparator" w:id="0">
    <w:p w:rsidR="004B3B44" w:rsidRDefault="00210B24">
      <w:pPr>
        <w:spacing w:after="0" w:line="240" w:lineRule="auto"/>
      </w:pPr>
      <w:r>
        <w:continuationSeparator/>
      </w:r>
    </w:p>
  </w:endnote>
  <w:endnote w:type="continuationNotice" w:id="1">
    <w:p w:rsidR="004B3B44" w:rsidRDefault="004B3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210B24">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210B24">
    <w:pPr>
      <w:pStyle w:val="Footer"/>
      <w:jc w:val="center"/>
    </w:pPr>
    <w:r>
      <w:fldChar w:fldCharType="begin"/>
    </w:r>
    <w:r>
      <w:instrText>PAGE</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910635"/>
      <w:docPartObj>
        <w:docPartGallery w:val="Page Numbers (Bottom of Page)"/>
        <w:docPartUnique/>
      </w:docPartObj>
    </w:sdtPr>
    <w:sdtEndPr>
      <w:rPr>
        <w:noProof/>
      </w:rPr>
    </w:sdtEndPr>
    <w:sdtContent>
      <w:p w:rsidR="004B3B44" w:rsidRDefault="00210B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3B44" w:rsidRDefault="004B3B4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44" w:rsidRDefault="00210B24">
      <w:pPr>
        <w:spacing w:after="0" w:line="240" w:lineRule="auto"/>
      </w:pPr>
      <w:r>
        <w:separator/>
      </w:r>
    </w:p>
  </w:footnote>
  <w:footnote w:type="continuationSeparator" w:id="0">
    <w:p w:rsidR="004B3B44" w:rsidRDefault="00210B24">
      <w:pPr>
        <w:spacing w:after="0" w:line="240" w:lineRule="auto"/>
      </w:pPr>
      <w:r>
        <w:continuationSeparator/>
      </w:r>
    </w:p>
  </w:footnote>
  <w:footnote w:type="continuationNotice" w:id="1">
    <w:p w:rsidR="004B3B44" w:rsidRDefault="004B3B44">
      <w:pPr>
        <w:spacing w:after="0" w:line="240" w:lineRule="auto"/>
      </w:pPr>
    </w:p>
  </w:footnote>
  <w:footnote w:id="2">
    <w:p w:rsidR="004B3B44" w:rsidRDefault="00210B24">
      <w:pPr>
        <w:pStyle w:val="FootnoteText"/>
        <w:spacing w:after="0" w:line="240" w:lineRule="auto"/>
        <w:ind w:left="284" w:hanging="284"/>
        <w:rPr>
          <w:rFonts w:ascii="Times New Roman" w:hAnsi="Times New Roman"/>
          <w:lang w:val="pt-PT"/>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COM(2016) 501 final.</w:t>
      </w:r>
    </w:p>
  </w:footnote>
  <w:footnote w:id="3">
    <w:p w:rsidR="004B3B44" w:rsidRDefault="00210B24">
      <w:pPr>
        <w:pStyle w:val="FootnoteText"/>
        <w:tabs>
          <w:tab w:val="left" w:pos="284"/>
        </w:tabs>
        <w:spacing w:after="0" w:line="240" w:lineRule="auto"/>
        <w:ind w:left="284" w:hanging="284"/>
        <w:rPr>
          <w:rFonts w:ascii="Times New Roman" w:hAnsi="Times New Roman"/>
          <w:szCs w:val="20"/>
          <w:lang w:val="pt-PT"/>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COM(2017) 283 final.</w:t>
      </w:r>
    </w:p>
  </w:footnote>
  <w:footnote w:id="4">
    <w:p w:rsidR="004B3B44" w:rsidRDefault="00210B24">
      <w:pPr>
        <w:pStyle w:val="FootnoteText"/>
        <w:spacing w:after="0" w:line="240" w:lineRule="auto"/>
        <w:ind w:left="284" w:hanging="284"/>
        <w:rPr>
          <w:rFonts w:ascii="Times New Roman" w:hAnsi="Times New Roman"/>
          <w:lang w:val="pt-PT"/>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COM(2017) 675 final.</w:t>
      </w:r>
    </w:p>
  </w:footnote>
  <w:footnote w:id="5">
    <w:p w:rsidR="004B3B44" w:rsidRDefault="00210B24">
      <w:pPr>
        <w:pStyle w:val="FootnoteText"/>
        <w:spacing w:after="0" w:line="240" w:lineRule="auto"/>
        <w:ind w:left="284" w:hanging="284"/>
        <w:rPr>
          <w:rFonts w:ascii="Times New Roman" w:hAnsi="Times New Roman"/>
          <w:szCs w:val="20"/>
          <w:lang w:val="pt-PT"/>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rPr>
        <w:t xml:space="preserve">B’referenza partikolari għall-elettriku, il-gass naturali (il-gass naturali kkompressat (CNG), il-gass naturali likwifikat (LNG), l-idroġenu u l-gass likwifikat miż-żejt (LPG), li jeħtieġu soluzzjonijiet speċifiċi tal-infrastruttura. </w:t>
      </w:r>
    </w:p>
  </w:footnote>
  <w:footnote w:id="6">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Wainwright, S. and</w:t>
      </w:r>
      <w:r>
        <w:rPr>
          <w:rFonts w:ascii="Times New Roman" w:hAnsi="Times New Roman"/>
        </w:rPr>
        <w:t xml:space="preserve"> Peters, J. (2016) “Clean Power for Transport Infrastructure Deployment”. Rapport finali għall-Kummissjoni Ewropea: Brussell.</w:t>
      </w:r>
    </w:p>
  </w:footnote>
  <w:footnote w:id="7">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Skont l-Osservatorju Ewropew tal-Fjuwils Alternattivi dawn huma n-Netherlands u d-Danimarka. </w:t>
      </w:r>
    </w:p>
  </w:footnote>
  <w:footnote w:id="8">
    <w:p w:rsidR="004B3B44" w:rsidRDefault="00210B24">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Wieħed iqis li kull stazzjon j</w:t>
      </w:r>
      <w:r>
        <w:rPr>
          <w:rFonts w:ascii="Times New Roman" w:hAnsi="Times New Roman"/>
        </w:rPr>
        <w:t xml:space="preserve">aqdi madwar 1 200 vettura. B’paragun ma’ dan, bħalissa hemm 256 miljun vettura fit-toroq tal-UE li qed jinqdew minn 115 700 stazzjon tal-fjuwils konvenzjonali. </w:t>
      </w:r>
    </w:p>
  </w:footnote>
  <w:footnote w:id="9">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SWD(2017) 365.</w:t>
      </w:r>
    </w:p>
  </w:footnote>
  <w:footnote w:id="10">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L-oqfsa nazzjonali ta’ politika jeżiġu miri għall-2020 biss.</w:t>
      </w:r>
    </w:p>
  </w:footnote>
  <w:footnote w:id="11">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Skont il-k</w:t>
      </w:r>
      <w:r>
        <w:rPr>
          <w:rFonts w:ascii="Times New Roman" w:hAnsi="Times New Roman"/>
        </w:rPr>
        <w:t>ost totali għad-937 punt ġdid tar-riforniment tas-CNG (2020 vs illum) u għall-1 575 punt ġdid tar-riforniment tas-CNG (2025 vs illum) li huma ppjanati li jinbnew skont l-oqfsa nazzjonali ta’ politika.</w:t>
      </w:r>
    </w:p>
  </w:footnote>
  <w:footnote w:id="12">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  SWD (2017) 650.</w:t>
      </w:r>
    </w:p>
  </w:footnote>
  <w:footnote w:id="13">
    <w:p w:rsidR="004B3B44" w:rsidRDefault="00210B24">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Dan hu msejjes fuq il-preżunzjo</w:t>
      </w:r>
      <w:r>
        <w:rPr>
          <w:rFonts w:ascii="Times New Roman" w:hAnsi="Times New Roman"/>
        </w:rPr>
        <w:t>ni li għal kull vettura hemm bżonn 1,1 punt tal-iċċarġjar. Minbarra dan, 1 minn 10 punti tal-iċċarġjar se jkun aċċessibbli għall-pubbliku. Minbarra l-punti tal-iċċarġjar aċċessibbli pubblikament, f’xenarju bħal dan se jkun hemm bżonn madwar 4 miljun punt t</w:t>
      </w:r>
      <w:r>
        <w:rPr>
          <w:rFonts w:ascii="Times New Roman" w:hAnsi="Times New Roman"/>
        </w:rPr>
        <w:t>al-iċċarġjar privat.</w:t>
      </w:r>
    </w:p>
  </w:footnote>
  <w:footnote w:id="14">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Bħala medja, l-istimi tal-kostijiet jassumu kost ta’ EUR 5 000 għall-istazzjonijiet tal-iċċarġjar regolari u kost ta’ EUR 30 000 għall-istazzjonijiet tal-iċċarġjar.</w:t>
      </w:r>
    </w:p>
  </w:footnote>
  <w:footnote w:id="15">
    <w:p w:rsidR="004B3B44" w:rsidRDefault="00210B24">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Jekk wieħed jassumi li 70 % tal-ħtiġijiet tal-infrastruttura jku</w:t>
      </w:r>
      <w:r>
        <w:rPr>
          <w:rFonts w:ascii="Times New Roman" w:hAnsi="Times New Roman"/>
        </w:rPr>
        <w:t xml:space="preserve">nu fiż-żoni urbani (flimkien mal-fatt li aktar minn 70 % </w:t>
      </w:r>
      <w:r>
        <w:rPr>
          <w:rFonts w:ascii="Times New Roman" w:hAnsi="Times New Roman"/>
        </w:rPr>
        <w:br/>
        <w:t>tal-popolazzjoni tal-UE tgħix fiż-żoni urbani), dan ifisser li hemm bżonn isir investiment ta’ EUR 2,7 biljun fl-2020. Wara l-2020 u sal-2025, jaf ikun hemm bżonn investiment annwali fiż-żoni urbani</w:t>
      </w:r>
      <w:r>
        <w:rPr>
          <w:rFonts w:ascii="Times New Roman" w:hAnsi="Times New Roman"/>
        </w:rPr>
        <w:t xml:space="preserve"> ta’ EUR 1,9 biljun sa EUR 2,7 biljun.</w:t>
      </w:r>
    </w:p>
  </w:footnote>
  <w:footnote w:id="16">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SWD(2017) 366</w:t>
      </w:r>
    </w:p>
  </w:footnote>
  <w:footnote w:id="17">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B’konformità mal-Artikolu 3(7) tad-Direttiva 2014/94/UE u skont il-kundizzjonijiet previsti fl-Artikoli 5, 6 u 7 tad-Direttiva 2014/94/UE.</w:t>
      </w:r>
    </w:p>
  </w:footnote>
  <w:footnote w:id="18">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Aktar informazzjoni dwar l-oqfsa nazzjonali ta’ politik</w:t>
      </w:r>
      <w:r>
        <w:rPr>
          <w:rFonts w:ascii="Times New Roman" w:hAnsi="Times New Roman"/>
        </w:rPr>
        <w:t>a tinsab fid-Dokument ta’ Ħidma tal-Persunal SWD(2017) 365.</w:t>
      </w:r>
    </w:p>
  </w:footnote>
  <w:footnote w:id="19">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Fil-każi rilevanti, il-Kummissjoni bdiet proċeduri ta’ ksur għan-nuqqas ta’ konformità mal-Artikolu 3 tad-Direttiva 2014/94/UE. Din se tissokta b’dawn il-proċeduri għall-falliment tan-notifiki.</w:t>
      </w:r>
    </w:p>
  </w:footnote>
  <w:footnote w:id="20">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L-Awstrija, il-Belġju, il-Finlandja, Franza, il-Ġermanja, l-Italja, in-Netherlands u r-Renju Unit. </w:t>
      </w:r>
    </w:p>
  </w:footnote>
  <w:footnote w:id="21">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Malta u r-Rumanija.</w:t>
      </w:r>
    </w:p>
  </w:footnote>
  <w:footnote w:id="22">
    <w:p w:rsidR="004B3B44" w:rsidRDefault="00210B24">
      <w:pPr>
        <w:pStyle w:val="Text1"/>
        <w:spacing w:after="0" w:line="240" w:lineRule="auto"/>
        <w:ind w:left="284" w:hanging="284"/>
        <w:jc w:val="both"/>
        <w:rPr>
          <w:rFonts w:ascii="Times New Roman" w:hAnsi="Times New Roman"/>
          <w:sz w:val="24"/>
          <w:szCs w:val="24"/>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sz w:val="20"/>
        </w:rPr>
        <w:t>Barra minn hekk, diversi Stati Membri għandhom taxxi baxxi fuq il-fjuwils konvenzjonali tal-magni, b’mod partikolari fuq id-di</w:t>
      </w:r>
      <w:r>
        <w:rPr>
          <w:rFonts w:ascii="Times New Roman" w:hAnsi="Times New Roman"/>
          <w:sz w:val="20"/>
        </w:rPr>
        <w:t>żil (żejt tal-gass), meta mqabbla mat-taxxi fuq ħafna fjuwils alternattivi, u meta wieħed iqis il-kostijiet esterni ogħla li jdgħajfu l-inċentiv għal qalba lejn il-fjuwils alternattivi.</w:t>
      </w:r>
    </w:p>
  </w:footnote>
  <w:footnote w:id="23">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Għal aktar dettalji ara d-Dokument ta’ Ħidma tal-Persunal SWD(2017)</w:t>
      </w:r>
      <w:r>
        <w:rPr>
          <w:rFonts w:ascii="Times New Roman" w:hAnsi="Times New Roman"/>
        </w:rPr>
        <w:t xml:space="preserve"> 365.</w:t>
      </w:r>
    </w:p>
  </w:footnote>
  <w:footnote w:id="24">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Il-Belġju, ir-Repubblika Ċeka, l-Ungerija u l-Italja.</w:t>
      </w:r>
    </w:p>
  </w:footnote>
  <w:footnote w:id="25">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L-Awstrija, il-Ġermanja, il-Lussemburgu u n-Netherlands.</w:t>
      </w:r>
    </w:p>
  </w:footnote>
  <w:footnote w:id="26">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Il-Finlandja, l-Ungerija u l-Italja.</w:t>
      </w:r>
    </w:p>
  </w:footnote>
  <w:footnote w:id="27">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L-Awstrija, il-Belġju, il-Bulgarija, ir-Repubblika Ċeka, il-Ġermanja, l-Estonja, Spanja, i</w:t>
      </w:r>
      <w:r>
        <w:rPr>
          <w:rFonts w:ascii="Times New Roman" w:hAnsi="Times New Roman"/>
        </w:rPr>
        <w:t>l-Finlandja, Franza, l-Ungerija, l-Italja, in-Netherlands, l-Iżvezja u r-Renju Unit. Il-qafas nazzjonali ta’ politika Daniż jiddiskuti l-idroġenu iżda ma jistabbilixxi l-ebda mira tal-infrastruttura. Il-Ġermanja, l-Italja u r-Renju Unit stabbilew miri ambi</w:t>
      </w:r>
      <w:r>
        <w:rPr>
          <w:rFonts w:ascii="Times New Roman" w:hAnsi="Times New Roman"/>
        </w:rPr>
        <w:t>zzjużi għalihom infushom.</w:t>
      </w:r>
    </w:p>
  </w:footnote>
  <w:footnote w:id="28">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Ix-xenarju mingħajr oqfsa nazzjonali ta’ politika jibni fuq ix-xenarju bażi tal-valutazzjoni tal-impatt mehmuża mal-Proposta għal Direttiva tal-Parlament Ewropew u tal-Kunsill li temenda d-Direttiva 1999/62/KE dwar il-ħlas li j</w:t>
      </w:r>
      <w:r>
        <w:rPr>
          <w:rFonts w:ascii="Times New Roman" w:hAnsi="Times New Roman"/>
        </w:rPr>
        <w:t>rid isir minn vetturi ta’ merkanzija tqila għall-użu ta’ ċerti infrastrutturianzija (SWD(2017) 180), jiġifieri fuq ix-xenarju bażi tal-UE 2016. Madankollu, dan iħalli barra l-inċentivi tal-Istati Membri għall-fjuwils alternattivi. ICCS-E3M Lab żviluppah pe</w:t>
      </w:r>
      <w:r>
        <w:rPr>
          <w:rFonts w:ascii="Times New Roman" w:hAnsi="Times New Roman"/>
        </w:rPr>
        <w:t>rmezz tal-mudell PRIMES-TREMOVE (l-istess mudell li jintuża għax-xenarju bażi tal-UE 2016).</w:t>
      </w:r>
    </w:p>
  </w:footnote>
  <w:footnote w:id="29">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Għall-aktar Stati Membri ambizzjużi (l-Awstrija u l-Irlanda), it-tnaqqis fl-emissjonijiet tal-NO</w:t>
      </w:r>
      <w:r>
        <w:rPr>
          <w:rFonts w:ascii="Times New Roman" w:hAnsi="Times New Roman"/>
          <w:vertAlign w:val="subscript"/>
        </w:rPr>
        <w:t>2</w:t>
      </w:r>
      <w:r>
        <w:rPr>
          <w:rFonts w:ascii="Times New Roman" w:hAnsi="Times New Roman"/>
        </w:rPr>
        <w:t xml:space="preserve"> jista’ jilħaq bejn is-7 u l-10 % u t-tnaqqis fl-emissjonijiet t</w:t>
      </w:r>
      <w:r>
        <w:rPr>
          <w:rFonts w:ascii="Times New Roman" w:hAnsi="Times New Roman"/>
        </w:rPr>
        <w:t>al-PM</w:t>
      </w:r>
      <w:r>
        <w:rPr>
          <w:rFonts w:ascii="Times New Roman" w:hAnsi="Times New Roman"/>
          <w:vertAlign w:val="subscript"/>
        </w:rPr>
        <w:t>2,5</w:t>
      </w:r>
      <w:r>
        <w:rPr>
          <w:rFonts w:ascii="Times New Roman" w:hAnsi="Times New Roman"/>
        </w:rPr>
        <w:t xml:space="preserve"> jista’ jilħaq bejn it-8 u t-12 %, meta mqabbla max-xenarju mingħajr oqfsa nazzjonali ta’ politika.</w:t>
      </w:r>
    </w:p>
  </w:footnote>
  <w:footnote w:id="30">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https://ec.europa.eu/transport/themes/urban/cpt/stf_mt</w:t>
        </w:r>
      </w:hyperlink>
      <w:r>
        <w:rPr>
          <w:rFonts w:ascii="Times New Roman" w:hAnsi="Times New Roman"/>
        </w:rPr>
        <w:t>.</w:t>
      </w:r>
    </w:p>
  </w:footnote>
  <w:footnote w:id="31">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http://ec.europa.eu/transparency/regexpert/index.cfm?do=groupDetail.groupDetail&amp;groupID=2869&amp;Lang=MT</w:t>
        </w:r>
      </w:hyperlink>
      <w:r>
        <w:rPr>
          <w:rFonts w:ascii="Times New Roman" w:hAnsi="Times New Roman"/>
        </w:rPr>
        <w:t>.</w:t>
      </w:r>
    </w:p>
  </w:footnote>
  <w:footnote w:id="32">
    <w:p w:rsidR="004B3B44" w:rsidRDefault="00210B24">
      <w:pPr>
        <w:pStyle w:val="FootnoteText"/>
        <w:spacing w:after="0" w:line="240" w:lineRule="auto"/>
        <w:ind w:left="284" w:hanging="284"/>
        <w:jc w:val="both"/>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Anki d-dispożizzjonijiet il-ġodda dwar il-lim</w:t>
      </w:r>
      <w:r>
        <w:rPr>
          <w:rFonts w:ascii="Times New Roman" w:hAnsi="Times New Roman"/>
        </w:rPr>
        <w:t>iti tal-kubrit li se jidħlu fis-seħħ fl-1 ta’ Jannar 2020 se jħallu impatt fuq l-użu tal-fjuwils alternattivi, b’mod partikolari fuq l-użu tal-LNG. Il-Kummissjoni tirrakkomanda li l-infrastruttura tar-riforniment tal-LNG tiġi pprovduta fil-portijiet tan-ne</w:t>
      </w:r>
      <w:r>
        <w:rPr>
          <w:rFonts w:ascii="Times New Roman" w:hAnsi="Times New Roman"/>
        </w:rPr>
        <w:t>twerk ewlieni tat-TEN-T qabel l-2025.</w:t>
      </w:r>
    </w:p>
  </w:footnote>
  <w:footnote w:id="33">
    <w:p w:rsidR="004B3B44" w:rsidRDefault="00210B24">
      <w:pPr>
        <w:pStyle w:val="FootnoteText"/>
        <w:spacing w:after="0" w:line="240" w:lineRule="auto"/>
        <w:ind w:left="284" w:hanging="284"/>
        <w:rPr>
          <w:rFonts w:ascii="Times New Roman" w:hAnsi="Times New Roman"/>
          <w:szCs w:val="20"/>
          <w:lang w:val="pt-PT"/>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Ir-Regolament (UE) 2016/1628.</w:t>
      </w:r>
    </w:p>
  </w:footnote>
  <w:footnote w:id="34">
    <w:p w:rsidR="004B3B44" w:rsidRDefault="00210B24">
      <w:pPr>
        <w:pStyle w:val="FootnoteText"/>
        <w:spacing w:after="0" w:line="240" w:lineRule="auto"/>
        <w:ind w:left="284" w:hanging="284"/>
        <w:rPr>
          <w:rFonts w:ascii="Times New Roman" w:hAnsi="Times New Roman"/>
          <w:szCs w:val="20"/>
          <w:lang w:val="pt-PT"/>
        </w:rPr>
      </w:pPr>
      <w:r>
        <w:rPr>
          <w:rStyle w:val="FootnoteReference"/>
          <w:rFonts w:ascii="Times New Roman" w:hAnsi="Times New Roman"/>
        </w:rPr>
        <w:footnoteRef/>
      </w:r>
      <w:r>
        <w:rPr>
          <w:rFonts w:ascii="Times New Roman" w:hAnsi="Times New Roman"/>
        </w:rPr>
        <w:t xml:space="preserve"> </w:t>
      </w:r>
      <w:r>
        <w:rPr>
          <w:rStyle w:val="Hyperlink"/>
          <w:rFonts w:ascii="Times New Roman" w:hAnsi="Times New Roman"/>
          <w:color w:val="auto"/>
          <w:u w:val="none"/>
        </w:rPr>
        <w:t>COM(2017) 676 final.</w:t>
      </w:r>
    </w:p>
  </w:footnote>
  <w:footnote w:id="35">
    <w:p w:rsidR="004B3B44" w:rsidRDefault="00210B24">
      <w:pPr>
        <w:pStyle w:val="FootnoteText"/>
        <w:spacing w:after="0" w:line="240" w:lineRule="auto"/>
        <w:ind w:left="284" w:hanging="284"/>
        <w:rPr>
          <w:rFonts w:ascii="Times New Roman" w:hAnsi="Times New Roman"/>
          <w:szCs w:val="20"/>
          <w:lang w:val="pt-PT"/>
        </w:rPr>
      </w:pPr>
      <w:r>
        <w:rPr>
          <w:rStyle w:val="FootnoteReference"/>
          <w:rFonts w:ascii="Times New Roman" w:hAnsi="Times New Roman"/>
        </w:rPr>
        <w:footnoteRef/>
      </w:r>
      <w:r>
        <w:rPr>
          <w:rFonts w:ascii="Times New Roman" w:hAnsi="Times New Roman"/>
        </w:rPr>
        <w:t xml:space="preserve"> COM(2017) 653 final.</w:t>
      </w:r>
    </w:p>
  </w:footnote>
  <w:footnote w:id="36">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https://e</w:t>
        </w:r>
        <w:r>
          <w:rPr>
            <w:rStyle w:val="Hyperlink"/>
            <w:rFonts w:ascii="Times New Roman" w:hAnsi="Times New Roman"/>
          </w:rPr>
          <w:t>c.europa.eu/commission/priorities/jobs-growth-and-investment/investment-plan-europe-juncker-plan_mt</w:t>
        </w:r>
      </w:hyperlink>
      <w:r>
        <w:rPr>
          <w:rStyle w:val="Hyperlink"/>
          <w:rFonts w:ascii="Times New Roman" w:hAnsi="Times New Roman"/>
          <w:color w:val="auto"/>
          <w:u w:val="none"/>
        </w:rPr>
        <w:t xml:space="preserve"> u għall-eżempji ara </w:t>
      </w:r>
      <w:r>
        <w:rPr>
          <w:rFonts w:ascii="Times New Roman" w:hAnsi="Times New Roman"/>
        </w:rPr>
        <w:t>SWD(2017) 177 final.</w:t>
      </w:r>
    </w:p>
  </w:footnote>
  <w:footnote w:id="37">
    <w:p w:rsidR="004B3B44" w:rsidRDefault="00210B24">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Ara l-mapep tat-TENtec fuq </w:t>
      </w:r>
      <w:hyperlink r:id="rId4" w:history="1">
        <w:r>
          <w:rPr>
            <w:rStyle w:val="Hyperlink"/>
            <w:rFonts w:ascii="Times New Roman" w:hAnsi="Times New Roman"/>
          </w:rPr>
          <w:t>http://ec.europa.eu/transport/infrastructure/tentec/tentec-portal/map/maps.html</w:t>
        </w:r>
      </w:hyperlink>
      <w:r>
        <w:rPr>
          <w:rFonts w:ascii="Times New Roman" w:hAnsi="Times New Roman"/>
        </w:rPr>
        <w:t>.</w:t>
      </w:r>
    </w:p>
  </w:footnote>
  <w:footnote w:id="38">
    <w:p w:rsidR="004B3B44" w:rsidRDefault="00210B24">
      <w:pPr>
        <w:pStyle w:val="FootnoteText"/>
        <w:spacing w:after="0" w:line="240" w:lineRule="auto"/>
        <w:ind w:left="284" w:hanging="284"/>
        <w:jc w:val="both"/>
        <w:rPr>
          <w:rFonts w:ascii="Times New Roman" w:hAnsi="Times New Roman"/>
          <w:szCs w:val="20"/>
          <w:lang w:val="nn-NO"/>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JASPERS: </w:t>
      </w:r>
      <w:hyperlink r:id="rId5">
        <w:r>
          <w:rPr>
            <w:rStyle w:val="Hyperlink"/>
            <w:rFonts w:ascii="Times New Roman" w:hAnsi="Times New Roman"/>
          </w:rPr>
          <w:t>http://www.eib.org/products/advising/jaspers/index.htm?f=search&amp;media=search</w:t>
        </w:r>
      </w:hyperlink>
      <w:r>
        <w:rPr>
          <w:rFonts w:ascii="Times New Roman" w:hAnsi="Times New Roman"/>
        </w:rPr>
        <w:t xml:space="preserve">. ELENA: </w:t>
      </w:r>
      <w:hyperlink r:id="rId6" w:history="1">
        <w:r>
          <w:rPr>
            <w:rStyle w:val="Hyperlink"/>
            <w:rFonts w:ascii="Times New Roman" w:hAnsi="Times New Roman"/>
          </w:rPr>
          <w:t>http://www.eib.org/products/advising/elena/index.htm?f=search&amp;media=search</w:t>
        </w:r>
      </w:hyperlink>
      <w:r>
        <w:rPr>
          <w:rFonts w:ascii="Times New Roman" w:hAnsi="Times New Roman"/>
        </w:rPr>
        <w:t>.</w:t>
      </w:r>
    </w:p>
  </w:footnote>
  <w:footnote w:id="39">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Ar</w:t>
      </w:r>
      <w:r>
        <w:rPr>
          <w:rFonts w:ascii="Times New Roman" w:hAnsi="Times New Roman"/>
        </w:rPr>
        <w:t xml:space="preserve">a </w:t>
      </w:r>
      <w:hyperlink r:id="rId7">
        <w:r>
          <w:rPr>
            <w:rStyle w:val="Hyperlink"/>
            <w:rFonts w:ascii="Times New Roman" w:hAnsi="Times New Roman"/>
          </w:rPr>
          <w:t>http://civitas.eu/</w:t>
        </w:r>
      </w:hyperlink>
      <w:r>
        <w:rPr>
          <w:rFonts w:ascii="Times New Roman" w:hAnsi="Times New Roman"/>
        </w:rPr>
        <w:t xml:space="preserve"> u </w:t>
      </w:r>
      <w:hyperlink r:id="rId8">
        <w:r>
          <w:rPr>
            <w:rStyle w:val="Hyperlink"/>
            <w:rFonts w:ascii="Times New Roman" w:hAnsi="Times New Roman"/>
          </w:rPr>
          <w:t>http://beta.eu-smartcities.eu/</w:t>
        </w:r>
      </w:hyperlink>
      <w:r>
        <w:rPr>
          <w:rFonts w:ascii="Times New Roman" w:hAnsi="Times New Roman"/>
        </w:rPr>
        <w:t>.</w:t>
      </w:r>
    </w:p>
  </w:footnote>
  <w:footnote w:id="40">
    <w:p w:rsidR="004B3B44" w:rsidRDefault="00210B24">
      <w:pPr>
        <w:pStyle w:val="FootnoteText"/>
        <w:spacing w:after="0" w:line="240" w:lineRule="auto"/>
        <w:ind w:left="284" w:hanging="284"/>
        <w:rPr>
          <w:rFonts w:ascii="Times New Roman" w:hAnsi="Times New Roman"/>
          <w:szCs w:val="20"/>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Id-Direttiva 2010/40/UE.</w:t>
      </w:r>
    </w:p>
  </w:footnote>
  <w:footnote w:id="41">
    <w:p w:rsidR="004B3B44" w:rsidRDefault="00210B24">
      <w:pPr>
        <w:pStyle w:val="FootnoteText"/>
        <w:spacing w:after="0" w:line="240" w:lineRule="auto"/>
        <w:ind w:left="284" w:hanging="284"/>
        <w:jc w:val="both"/>
        <w:rPr>
          <w:rFonts w:ascii="Times New Roman" w:hAnsi="Times New Roman"/>
          <w:i/>
          <w:iCs/>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Ir-Regolament ta’ Delega tal-Kummissjoni (UE) 2015/962 tat-18 ta’ Diċembru 2014 li</w:t>
      </w:r>
      <w:r>
        <w:rPr>
          <w:rFonts w:ascii="Times New Roman" w:hAnsi="Times New Roman"/>
        </w:rPr>
        <w:t xml:space="preserve"> jissupplimenta d-Direttiva 2010/40/UE tal-Parlament Ewropew u tal-Kunsill fir-rigward tal-forniment tas-servizzi ta’ informazzjoni dwar it-traffiku f’ħin reali fl-UE kollha, ĠU L 157, 23.6.2015.</w:t>
      </w:r>
    </w:p>
    <w:p w:rsidR="004B3B44" w:rsidRDefault="00210B24">
      <w:pPr>
        <w:pStyle w:val="FootnoteText"/>
        <w:spacing w:after="0" w:line="240" w:lineRule="auto"/>
        <w:ind w:left="284" w:hanging="284"/>
        <w:jc w:val="both"/>
        <w:rPr>
          <w:rFonts w:ascii="Times New Roman" w:hAnsi="Times New Roman"/>
          <w:szCs w:val="20"/>
        </w:rPr>
      </w:pPr>
      <w:r>
        <w:rPr>
          <w:rFonts w:ascii="Times New Roman" w:hAnsi="Times New Roman"/>
        </w:rPr>
        <w:t xml:space="preserve"> </w:t>
      </w:r>
      <w:r>
        <w:rPr>
          <w:rFonts w:ascii="Times New Roman" w:hAnsi="Times New Roman"/>
        </w:rPr>
        <w:tab/>
        <w:t xml:space="preserve">Ir-Regolament Delegat tal-Kummissjoni (UE) .../... tal-31 </w:t>
      </w:r>
      <w:r>
        <w:rPr>
          <w:rFonts w:ascii="Times New Roman" w:hAnsi="Times New Roman"/>
        </w:rPr>
        <w:t>ta’ Mejju 2017 li jissupplimenta d-Direttiva 2010/40/UE tal-Parlament Ewropew u tal-Kunsill fir-rigward tal-forniment tas-servizzi ta’ informazzjoni dwar l-ivvjaġġar multimodali fl-UE kollha.</w:t>
      </w:r>
    </w:p>
  </w:footnote>
  <w:footnote w:id="42">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Eż. il-punti tal-iċċarġjar, il-ġabriet ta’ punti tal-iċċarġja</w:t>
      </w:r>
      <w:r>
        <w:rPr>
          <w:rFonts w:ascii="Times New Roman" w:hAnsi="Times New Roman"/>
        </w:rPr>
        <w:t>r u l-kontijiet tal-utenti finali tal-mobbiltà elettronika.</w:t>
      </w:r>
    </w:p>
  </w:footnote>
  <w:footnote w:id="43">
    <w:p w:rsidR="004B3B44" w:rsidRDefault="00210B24">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ab/>
        <w:t>Id-Direttiva 1999/94/KE tal-Parlament Ewropew u tal-Kunsill tat-13 ta’ Diċembru 1999 relatata mad-disponibbiltà ta’ tagħrif għall-konsumatur dwar l-ekonomija tal-karburanti u emissjonijiet tas-C</w:t>
      </w:r>
      <w:r>
        <w:rPr>
          <w:rFonts w:ascii="Times New Roman" w:hAnsi="Times New Roman"/>
        </w:rPr>
        <w:t>O</w:t>
      </w:r>
      <w:r>
        <w:rPr>
          <w:rFonts w:ascii="Times New Roman" w:hAnsi="Times New Roman"/>
          <w:noProof/>
          <w:sz w:val="24"/>
          <w:vertAlign w:val="subscript"/>
        </w:rPr>
        <w:t>2</w:t>
      </w:r>
      <w:r>
        <w:rPr>
          <w:rFonts w:ascii="Times New Roman" w:hAnsi="Times New Roman"/>
        </w:rPr>
        <w:t xml:space="preserve"> rigward il-marketing ta’ karozzi tal-passiġġieri ġodda.</w:t>
      </w:r>
    </w:p>
  </w:footnote>
  <w:footnote w:id="44">
    <w:p w:rsidR="004B3B44" w:rsidRDefault="00210B24">
      <w:pPr>
        <w:pStyle w:val="FootnoteText"/>
        <w:spacing w:after="0" w:line="240" w:lineRule="auto"/>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Abbażi wkoll tal-ħidma mwettqa skont l-Osservatorju Ewropew tal-Fjuwils Alternattivi. </w:t>
      </w:r>
    </w:p>
  </w:footnote>
  <w:footnote w:id="45">
    <w:p w:rsidR="004B3B44" w:rsidRDefault="00210B24">
      <w:pPr>
        <w:pStyle w:val="FootnoteText"/>
        <w:spacing w:after="0" w:line="240" w:lineRule="auto"/>
        <w:ind w:left="284" w:hanging="284"/>
        <w:rPr>
          <w:rFonts w:ascii="Times New Roman" w:hAnsi="Times New Roman"/>
          <w:szCs w:val="20"/>
        </w:rPr>
      </w:pPr>
      <w:r>
        <w:rPr>
          <w:rStyle w:val="FootnoteReference"/>
          <w:rFonts w:ascii="Times New Roman" w:hAnsi="Times New Roman"/>
        </w:rPr>
        <w:footnoteRef/>
      </w:r>
      <w:r>
        <w:rPr>
          <w:rFonts w:ascii="Times New Roman" w:hAnsi="Times New Roman"/>
        </w:rPr>
        <w:t xml:space="preserve"> COM(2016) 864 final tat-30.11.2016.</w:t>
      </w:r>
    </w:p>
  </w:footnote>
  <w:footnote w:id="46">
    <w:p w:rsidR="004B3B44" w:rsidRDefault="00210B24">
      <w:pPr>
        <w:pStyle w:val="FootnoteText"/>
        <w:spacing w:after="0"/>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COM 2012/27/EU.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44" w:rsidRDefault="004B3B4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6E3B3D"/>
    <w:multiLevelType w:val="hybridMultilevel"/>
    <w:tmpl w:val="A59A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14083"/>
    <w:multiLevelType w:val="hybridMultilevel"/>
    <w:tmpl w:val="36D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1608C9"/>
    <w:multiLevelType w:val="hybridMultilevel"/>
    <w:tmpl w:val="9438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734306"/>
    <w:multiLevelType w:val="multilevel"/>
    <w:tmpl w:val="4128EE0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429"/>
        </w:tabs>
        <w:ind w:left="1429"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6D2061F"/>
    <w:multiLevelType w:val="hybridMultilevel"/>
    <w:tmpl w:val="E6D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5B6810"/>
    <w:multiLevelType w:val="hybridMultilevel"/>
    <w:tmpl w:val="1C7E7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CEF774A"/>
    <w:multiLevelType w:val="hybridMultilevel"/>
    <w:tmpl w:val="61EC02A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503DC4"/>
    <w:multiLevelType w:val="hybridMultilevel"/>
    <w:tmpl w:val="A87E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3F485E9A"/>
    <w:multiLevelType w:val="hybridMultilevel"/>
    <w:tmpl w:val="FD74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EB139B"/>
    <w:multiLevelType w:val="hybridMultilevel"/>
    <w:tmpl w:val="5D1C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BD1A93"/>
    <w:multiLevelType w:val="hybridMultilevel"/>
    <w:tmpl w:val="67988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6C402D9"/>
    <w:multiLevelType w:val="hybridMultilevel"/>
    <w:tmpl w:val="C89C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C77CB"/>
    <w:multiLevelType w:val="hybridMultilevel"/>
    <w:tmpl w:val="091E16BE"/>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50144F3"/>
    <w:multiLevelType w:val="hybridMultilevel"/>
    <w:tmpl w:val="D708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2A4040"/>
    <w:multiLevelType w:val="hybridMultilevel"/>
    <w:tmpl w:val="61962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B147D3"/>
    <w:multiLevelType w:val="hybridMultilevel"/>
    <w:tmpl w:val="5FB0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nsid w:val="5FB9176A"/>
    <w:multiLevelType w:val="hybridMultilevel"/>
    <w:tmpl w:val="DF2E7A38"/>
    <w:lvl w:ilvl="0" w:tplc="17D8246C">
      <w:start w:val="1"/>
      <w:numFmt w:val="bullet"/>
      <w:lvlText w:val="•"/>
      <w:lvlJc w:val="left"/>
      <w:pPr>
        <w:tabs>
          <w:tab w:val="num" w:pos="720"/>
        </w:tabs>
        <w:ind w:left="720" w:hanging="360"/>
      </w:pPr>
      <w:rPr>
        <w:rFonts w:ascii="Arial" w:hAnsi="Arial" w:hint="default"/>
      </w:rPr>
    </w:lvl>
    <w:lvl w:ilvl="1" w:tplc="B4662098" w:tentative="1">
      <w:start w:val="1"/>
      <w:numFmt w:val="bullet"/>
      <w:lvlText w:val="•"/>
      <w:lvlJc w:val="left"/>
      <w:pPr>
        <w:tabs>
          <w:tab w:val="num" w:pos="1440"/>
        </w:tabs>
        <w:ind w:left="1440" w:hanging="360"/>
      </w:pPr>
      <w:rPr>
        <w:rFonts w:ascii="Arial" w:hAnsi="Arial" w:hint="default"/>
      </w:rPr>
    </w:lvl>
    <w:lvl w:ilvl="2" w:tplc="D37CFBA0" w:tentative="1">
      <w:start w:val="1"/>
      <w:numFmt w:val="bullet"/>
      <w:lvlText w:val="•"/>
      <w:lvlJc w:val="left"/>
      <w:pPr>
        <w:tabs>
          <w:tab w:val="num" w:pos="2160"/>
        </w:tabs>
        <w:ind w:left="2160" w:hanging="360"/>
      </w:pPr>
      <w:rPr>
        <w:rFonts w:ascii="Arial" w:hAnsi="Arial" w:hint="default"/>
      </w:rPr>
    </w:lvl>
    <w:lvl w:ilvl="3" w:tplc="F468D306">
      <w:start w:val="1"/>
      <w:numFmt w:val="bullet"/>
      <w:lvlText w:val="•"/>
      <w:lvlJc w:val="left"/>
      <w:pPr>
        <w:tabs>
          <w:tab w:val="num" w:pos="2880"/>
        </w:tabs>
        <w:ind w:left="2880" w:hanging="360"/>
      </w:pPr>
      <w:rPr>
        <w:rFonts w:ascii="Arial" w:hAnsi="Arial" w:hint="default"/>
      </w:rPr>
    </w:lvl>
    <w:lvl w:ilvl="4" w:tplc="102CEB04" w:tentative="1">
      <w:start w:val="1"/>
      <w:numFmt w:val="bullet"/>
      <w:lvlText w:val="•"/>
      <w:lvlJc w:val="left"/>
      <w:pPr>
        <w:tabs>
          <w:tab w:val="num" w:pos="3600"/>
        </w:tabs>
        <w:ind w:left="3600" w:hanging="360"/>
      </w:pPr>
      <w:rPr>
        <w:rFonts w:ascii="Arial" w:hAnsi="Arial" w:hint="default"/>
      </w:rPr>
    </w:lvl>
    <w:lvl w:ilvl="5" w:tplc="85BAABC8" w:tentative="1">
      <w:start w:val="1"/>
      <w:numFmt w:val="bullet"/>
      <w:lvlText w:val="•"/>
      <w:lvlJc w:val="left"/>
      <w:pPr>
        <w:tabs>
          <w:tab w:val="num" w:pos="4320"/>
        </w:tabs>
        <w:ind w:left="4320" w:hanging="360"/>
      </w:pPr>
      <w:rPr>
        <w:rFonts w:ascii="Arial" w:hAnsi="Arial" w:hint="default"/>
      </w:rPr>
    </w:lvl>
    <w:lvl w:ilvl="6" w:tplc="CC8A6846" w:tentative="1">
      <w:start w:val="1"/>
      <w:numFmt w:val="bullet"/>
      <w:lvlText w:val="•"/>
      <w:lvlJc w:val="left"/>
      <w:pPr>
        <w:tabs>
          <w:tab w:val="num" w:pos="5040"/>
        </w:tabs>
        <w:ind w:left="5040" w:hanging="360"/>
      </w:pPr>
      <w:rPr>
        <w:rFonts w:ascii="Arial" w:hAnsi="Arial" w:hint="default"/>
      </w:rPr>
    </w:lvl>
    <w:lvl w:ilvl="7" w:tplc="D73C9954" w:tentative="1">
      <w:start w:val="1"/>
      <w:numFmt w:val="bullet"/>
      <w:lvlText w:val="•"/>
      <w:lvlJc w:val="left"/>
      <w:pPr>
        <w:tabs>
          <w:tab w:val="num" w:pos="5760"/>
        </w:tabs>
        <w:ind w:left="5760" w:hanging="360"/>
      </w:pPr>
      <w:rPr>
        <w:rFonts w:ascii="Arial" w:hAnsi="Arial" w:hint="default"/>
      </w:rPr>
    </w:lvl>
    <w:lvl w:ilvl="8" w:tplc="C7AEE1C6" w:tentative="1">
      <w:start w:val="1"/>
      <w:numFmt w:val="bullet"/>
      <w:lvlText w:val="•"/>
      <w:lvlJc w:val="left"/>
      <w:pPr>
        <w:tabs>
          <w:tab w:val="num" w:pos="6480"/>
        </w:tabs>
        <w:ind w:left="6480" w:hanging="360"/>
      </w:pPr>
      <w:rPr>
        <w:rFonts w:ascii="Arial" w:hAnsi="Arial" w:hint="default"/>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nsid w:val="6273270C"/>
    <w:multiLevelType w:val="hybridMultilevel"/>
    <w:tmpl w:val="F34C6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272BB7"/>
    <w:multiLevelType w:val="hybridMultilevel"/>
    <w:tmpl w:val="8C9A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215536"/>
    <w:multiLevelType w:val="hybridMultilevel"/>
    <w:tmpl w:val="9274FCD4"/>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start w:val="1"/>
      <w:numFmt w:val="bullet"/>
      <w:lvlText w:val=""/>
      <w:lvlJc w:val="left"/>
      <w:pPr>
        <w:ind w:left="3362" w:hanging="360"/>
      </w:pPr>
      <w:rPr>
        <w:rFonts w:ascii="Wingdings" w:hAnsi="Wingdings" w:hint="default"/>
      </w:rPr>
    </w:lvl>
    <w:lvl w:ilvl="3" w:tplc="0809000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7">
    <w:nsid w:val="68BB1E26"/>
    <w:multiLevelType w:val="hybridMultilevel"/>
    <w:tmpl w:val="89BEDE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6A550BBC"/>
    <w:multiLevelType w:val="hybridMultilevel"/>
    <w:tmpl w:val="DDA0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0F690A"/>
    <w:multiLevelType w:val="hybridMultilevel"/>
    <w:tmpl w:val="0914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nsid w:val="71523670"/>
    <w:multiLevelType w:val="hybridMultilevel"/>
    <w:tmpl w:val="4D0E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43F67C2"/>
    <w:multiLevelType w:val="hybridMultilevel"/>
    <w:tmpl w:val="AACC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33133B"/>
    <w:multiLevelType w:val="hybridMultilevel"/>
    <w:tmpl w:val="F8149A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nsid w:val="7BFE1857"/>
    <w:multiLevelType w:val="hybridMultilevel"/>
    <w:tmpl w:val="10AE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9"/>
  </w:num>
  <w:num w:numId="5">
    <w:abstractNumId w:val="11"/>
  </w:num>
  <w:num w:numId="6">
    <w:abstractNumId w:val="18"/>
  </w:num>
  <w:num w:numId="7">
    <w:abstractNumId w:val="33"/>
  </w:num>
  <w:num w:numId="8">
    <w:abstractNumId w:val="40"/>
  </w:num>
  <w:num w:numId="9">
    <w:abstractNumId w:val="16"/>
  </w:num>
  <w:num w:numId="10">
    <w:abstractNumId w:val="32"/>
  </w:num>
  <w:num w:numId="11">
    <w:abstractNumId w:val="30"/>
  </w:num>
  <w:num w:numId="12">
    <w:abstractNumId w:val="23"/>
  </w:num>
  <w:num w:numId="13">
    <w:abstractNumId w:val="26"/>
  </w:num>
  <w:num w:numId="14">
    <w:abstractNumId w:val="8"/>
  </w:num>
  <w:num w:numId="15">
    <w:abstractNumId w:val="17"/>
  </w:num>
  <w:num w:numId="16">
    <w:abstractNumId w:val="5"/>
  </w:num>
  <w:num w:numId="17">
    <w:abstractNumId w:val="12"/>
  </w:num>
  <w:num w:numId="18">
    <w:abstractNumId w:val="42"/>
  </w:num>
  <w:num w:numId="19">
    <w:abstractNumId w:val="14"/>
  </w:num>
  <w:num w:numId="20">
    <w:abstractNumId w:val="36"/>
  </w:num>
  <w:num w:numId="21">
    <w:abstractNumId w:val="4"/>
  </w:num>
  <w:num w:numId="22">
    <w:abstractNumId w:val="25"/>
  </w:num>
  <w:num w:numId="23">
    <w:abstractNumId w:val="9"/>
  </w:num>
  <w:num w:numId="24">
    <w:abstractNumId w:val="38"/>
  </w:num>
  <w:num w:numId="25">
    <w:abstractNumId w:val="45"/>
  </w:num>
  <w:num w:numId="26">
    <w:abstractNumId w:val="3"/>
  </w:num>
  <w:num w:numId="27">
    <w:abstractNumId w:val="44"/>
  </w:num>
  <w:num w:numId="28">
    <w:abstractNumId w:val="34"/>
  </w:num>
  <w:num w:numId="29">
    <w:abstractNumId w:val="28"/>
  </w:num>
  <w:num w:numId="30">
    <w:abstractNumId w:val="41"/>
  </w:num>
  <w:num w:numId="31">
    <w:abstractNumId w:val="20"/>
  </w:num>
  <w:num w:numId="32">
    <w:abstractNumId w:val="31"/>
  </w:num>
  <w:num w:numId="33">
    <w:abstractNumId w:val="10"/>
  </w:num>
  <w:num w:numId="34">
    <w:abstractNumId w:val="13"/>
  </w:num>
  <w:num w:numId="35">
    <w:abstractNumId w:val="21"/>
  </w:num>
  <w:num w:numId="36">
    <w:abstractNumId w:val="39"/>
  </w:num>
  <w:num w:numId="37">
    <w:abstractNumId w:val="6"/>
  </w:num>
  <w:num w:numId="38">
    <w:abstractNumId w:val="43"/>
  </w:num>
  <w:num w:numId="39">
    <w:abstractNumId w:val="27"/>
  </w:num>
  <w:num w:numId="40">
    <w:abstractNumId w:val="29"/>
  </w:num>
  <w:num w:numId="41">
    <w:abstractNumId w:val="22"/>
  </w:num>
  <w:num w:numId="42">
    <w:abstractNumId w:val="35"/>
  </w:num>
  <w:num w:numId="43">
    <w:abstractNumId w:val="2"/>
  </w:num>
  <w:num w:numId="44">
    <w:abstractNumId w:val="15"/>
  </w:num>
  <w:num w:numId="45">
    <w:abstractNumId w:val="24"/>
  </w:num>
  <w:num w:numId="46">
    <w:abstractNumId w:val="3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ea Maria Julea">
    <w15:presenceInfo w15:providerId="AD" w15:userId="S-1-5-21-2507177388-3982217149-145561031-2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0528B14-B756-44F6-B044-E4DC3FA2D060"/>
    <w:docVar w:name="LW_COVERPAGE_TYPE" w:val="1"/>
    <w:docVar w:name="LW_CROSSREFERENCE" w:val="{SWD(2017) 365 final}"/>
    <w:docVar w:name="LW_DocType" w:val="REP"/>
    <w:docVar w:name="LW_EMISSION" w:val="8.11.2017"/>
    <w:docVar w:name="LW_EMISSION_ISODATE" w:val="2017-11-08"/>
    <w:docVar w:name="LW_EMISSION_LOCATION" w:val="BRX"/>
    <w:docVar w:name="LW_EMISSION_PREFIX" w:val="Brussell, "/>
    <w:docVar w:name="LW_EMISSION_SUFFIX" w:val="&lt;EMPTY&gt;"/>
    <w:docVar w:name="LW_ID_DOCTYPE_NONLW" w:val="CP-014"/>
    <w:docVar w:name="LW_LANGUE" w:val="MT"/>
    <w:docVar w:name="LW_LEVEL_OF_SENSITIVITY" w:val="Standard treatmen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17)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G\u295?all-akbar u\u380?u tal-fjuwils alternattivi: Pjan ta\u8217? Azzjoni g\u295?all-Infrastruttura tal-Fjuwils Alternattivi skont l-Artikolu 10(6) tad-Direttiva 2014/94/UE, li jinkludi valutazzjoni tal-oqfsa nazzjonali ta\u8217? politika skont l-Artikolu 10(2) tad-Direttiva 2014/94/UE"/>
    <w:docVar w:name="LW_TYPE.DOC.CP" w:val="KOMUNIKAZZJONI TAL-KUMMISSJONI LILL-PARLAMENT EWROPEW, LILL-KUNSILL, LILL-KUMITAT EKONOMIKU U SO\u266?JALI EWROPEW U LILL-KUMITAT TAR-RE\u288?JUNI"/>
    <w:docVar w:name="LW_TYPE.DOC.CP.USERTEXT" w:val="&lt;EMPTY&gt;"/>
    <w:docVar w:name="Stamp" w:val="\\dossiers.dgt.cec.eu.int\dossiers\MOVE\MOVE-2017-01064\MOVE-2017-01064-00-01-EN-REV-00.201710091540495301474.DOCX"/>
  </w:docVars>
  <w:rsids>
    <w:rsidRoot w:val="004B3B44"/>
    <w:rsid w:val="00210B24"/>
    <w:rsid w:val="004B3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t-MT" w:eastAsia="mt-MT" w:bidi="mt-M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Text1"/>
    <w:qFormat/>
    <w:pPr>
      <w:keepNext/>
      <w:numPr>
        <w:numId w:val="3"/>
      </w:numPr>
      <w:spacing w:before="240"/>
      <w:outlineLvl w:val="0"/>
    </w:pPr>
    <w:rPr>
      <w:rFonts w:ascii="Times New Roman" w:hAnsi="Times New Roman"/>
      <w:b/>
      <w:smallCaps/>
      <w:sz w:val="24"/>
      <w:szCs w:val="24"/>
    </w:rPr>
  </w:style>
  <w:style w:type="paragraph" w:styleId="Heading2">
    <w:name w:val="heading 2"/>
    <w:basedOn w:val="Normal"/>
    <w:next w:val="Text2"/>
    <w:link w:val="Heading2Char"/>
    <w:qFormat/>
    <w:pPr>
      <w:keepNext/>
      <w:numPr>
        <w:ilvl w:val="1"/>
        <w:numId w:val="3"/>
      </w:numPr>
      <w:tabs>
        <w:tab w:val="clear" w:pos="1429"/>
        <w:tab w:val="num" w:pos="862"/>
      </w:tabs>
      <w:ind w:left="862"/>
      <w:outlineLvl w:val="1"/>
    </w:pPr>
    <w:rPr>
      <w:rFonts w:ascii="Times New Roman" w:hAnsi="Times New Roman"/>
      <w:b/>
      <w:sz w:val="24"/>
      <w:szCs w:val="24"/>
    </w:rPr>
  </w:style>
  <w:style w:type="paragraph" w:styleId="Heading3">
    <w:name w:val="heading 3"/>
    <w:basedOn w:val="Normal"/>
    <w:next w:val="Text3"/>
    <w:qFormat/>
    <w:pPr>
      <w:keepNext/>
      <w:numPr>
        <w:ilvl w:val="2"/>
        <w:numId w:val="3"/>
      </w:numPr>
      <w:tabs>
        <w:tab w:val="clear" w:pos="720"/>
        <w:tab w:val="num" w:pos="1560"/>
      </w:tabs>
      <w:ind w:left="156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paragraph" w:styleId="FootnoteText">
    <w:name w:val="footnote text"/>
    <w:aliases w:val="Footnote text,Footnote Text Char3,Footnote Text Char2 Char,Footnote Text Char Char Char1 Char,Footnote Text Char1 Char1 Char,Footnote Text Char Char Char2,fn,Fußnote,Fotnotstext1,Footnote Text Char2,9 pt,ft,foot note te,foot note tex,Car,9"/>
    <w:basedOn w:val="Normal"/>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pPr>
    <w:rPr>
      <w:rFonts w:eastAsiaTheme="minorHAnsi"/>
    </w:rPr>
  </w:style>
  <w:style w:type="paragraph" w:customStyle="1" w:styleId="LegalNumPar2">
    <w:name w:val="LegalNumPar2"/>
    <w:basedOn w:val="Normal"/>
    <w:pPr>
      <w:numPr>
        <w:ilvl w:val="1"/>
        <w:numId w:val="19"/>
      </w:numPr>
      <w:spacing w:line="360" w:lineRule="auto"/>
      <w:ind w:left="952" w:hanging="476"/>
    </w:pPr>
    <w:rPr>
      <w:rFonts w:eastAsiaTheme="minorHAnsi"/>
    </w:rPr>
  </w:style>
  <w:style w:type="paragraph" w:customStyle="1" w:styleId="LegalNumPar3">
    <w:name w:val="LegalNumPar3"/>
    <w:basedOn w:val="Normal"/>
    <w:pPr>
      <w:numPr>
        <w:ilvl w:val="2"/>
        <w:numId w:val="19"/>
      </w:numPr>
      <w:spacing w:line="360" w:lineRule="auto"/>
    </w:pPr>
    <w:rPr>
      <w:rFonts w:eastAsiaTheme="minorHAnsi"/>
    </w:rPr>
  </w:style>
  <w:style w:type="character" w:customStyle="1" w:styleId="FooterChar">
    <w:name w:val="Footer Char"/>
    <w:basedOn w:val="DefaultParagraphFont"/>
    <w:link w:val="Footer"/>
    <w:uiPriority w:val="99"/>
    <w:rPr>
      <w:rFonts w:eastAsiaTheme="minorHAnsi"/>
      <w:sz w:val="24"/>
      <w:szCs w:val="22"/>
      <w:lang w:eastAsia="mt-MT"/>
    </w:rPr>
  </w:style>
  <w:style w:type="character" w:customStyle="1" w:styleId="HeaderChar">
    <w:name w:val="Header Char"/>
    <w:basedOn w:val="DefaultParagraphFont"/>
    <w:link w:val="Header"/>
    <w:uiPriority w:val="99"/>
    <w:rPr>
      <w:rFonts w:eastAsiaTheme="minorHAnsi"/>
      <w:sz w:val="24"/>
      <w:szCs w:val="22"/>
      <w:lang w:eastAsia="mt-MT"/>
    </w:rPr>
  </w:style>
  <w:style w:type="paragraph" w:styleId="ListParagraph">
    <w:name w:val="List Paragraph"/>
    <w:basedOn w:val="Normal"/>
    <w:uiPriority w:val="34"/>
    <w:qFormat/>
    <w:pPr>
      <w:ind w:left="720"/>
      <w:contextualSpacing/>
    </w:pPr>
    <w:rPr>
      <w:rFonts w:asciiTheme="minorHAnsi" w:eastAsiaTheme="minorHAnsi" w:hAnsiTheme="minorHAnsi" w:cstheme="minorBidi"/>
    </w:rPr>
  </w:style>
  <w:style w:type="character" w:customStyle="1" w:styleId="FootnoteTextChar">
    <w:name w:val="Footnote Text Char"/>
    <w:aliases w:val="Footnote text Char,Footnote Text Char3 Char,Footnote Text Char2 Char Char,Footnote Text Char Char Char1 Char Char,Footnote Text Char1 Char1 Char Char,Footnote Text Char Char Char2 Char,fn Char,Fußnote Char,Fotnotstext1 Char,9 pt Char"/>
    <w:basedOn w:val="DefaultParagraphFont"/>
    <w:uiPriority w:val="99"/>
    <w:qFormat/>
    <w:rPr>
      <w:lang w:eastAsia="mt-MT"/>
    </w:rPr>
  </w:style>
  <w:style w:type="character" w:styleId="FootnoteReference">
    <w:name w:val="footnote reference"/>
    <w:aliases w:val="SUPERS,Footnote symbol,Times 10 Point,Exposant 3 Point,Footnote,BVI fnr,number,-E Fußnotenzeichen,Footnote reference number,note TESI,EN Footnote Reference,Footnote Reference/,Footnote Reference Number,styl, Exposant 3 Point, BVI fnr"/>
    <w:basedOn w:val="DefaultParagraphFont"/>
    <w:link w:val="Footnotenumber"/>
    <w:uiPriority w:val="99"/>
    <w:unhideWhenUsed/>
    <w:qFormat/>
    <w:rPr>
      <w:vertAlign w:val="superscript"/>
    </w:rPr>
  </w:style>
  <w:style w:type="character" w:customStyle="1" w:styleId="CommentTextChar">
    <w:name w:val="Comment Text Char"/>
    <w:basedOn w:val="DefaultParagraphFont"/>
    <w:link w:val="CommentText"/>
    <w:uiPriority w:val="99"/>
    <w:rPr>
      <w:lang w:eastAsia="mt-MT"/>
    </w:rPr>
  </w:style>
  <w:style w:type="paragraph" w:customStyle="1" w:styleId="Footnotenumber">
    <w:name w:val="Footnote number"/>
    <w:aliases w:val="fr"/>
    <w:basedOn w:val="Normal"/>
    <w:link w:val="FootnoteReference"/>
    <w:uiPriority w:val="99"/>
    <w:pPr>
      <w:spacing w:after="160" w:line="240" w:lineRule="exact"/>
    </w:pPr>
    <w:rPr>
      <w:rFonts w:ascii="Times New Roman" w:eastAsia="Times New Roman" w:hAnsi="Times New Roman"/>
      <w:sz w:val="20"/>
      <w:szCs w:val="20"/>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mt-MT"/>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SubjectChar">
    <w:name w:val="Comment Subject Char"/>
    <w:basedOn w:val="CommentTextChar"/>
    <w:link w:val="CommentSubject"/>
    <w:uiPriority w:val="99"/>
    <w:semiHidden/>
    <w:rPr>
      <w:rFonts w:ascii="Calibri" w:eastAsia="Calibri" w:hAnsi="Calibri"/>
      <w:b/>
      <w:bCs/>
      <w:lang w:eastAsia="mt-MT"/>
    </w:rPr>
  </w:style>
  <w:style w:type="character" w:customStyle="1" w:styleId="Heading2Char">
    <w:name w:val="Heading 2 Char"/>
    <w:basedOn w:val="DefaultParagraphFont"/>
    <w:link w:val="Heading2"/>
    <w:rPr>
      <w:rFonts w:eastAsia="Calibri"/>
      <w:b/>
      <w:sz w:val="24"/>
      <w:szCs w:val="24"/>
      <w:lang w:eastAsia="mt-MT"/>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BriefingtextChar">
    <w:name w:val="Briefing text Char"/>
    <w:link w:val="Briefingtext"/>
    <w:locked/>
    <w:rPr>
      <w:rFonts w:ascii="Arial" w:hAnsi="Arial" w:cs="Arial"/>
      <w:sz w:val="22"/>
      <w:szCs w:val="24"/>
      <w:lang w:eastAsia="mt-MT"/>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eastAsia="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eastAsia="Calibri"/>
      <w:sz w:val="24"/>
      <w:szCs w:val="22"/>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t-MT" w:eastAsia="mt-MT" w:bidi="mt-M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Text1"/>
    <w:qFormat/>
    <w:pPr>
      <w:keepNext/>
      <w:numPr>
        <w:numId w:val="3"/>
      </w:numPr>
      <w:spacing w:before="240"/>
      <w:outlineLvl w:val="0"/>
    </w:pPr>
    <w:rPr>
      <w:rFonts w:ascii="Times New Roman" w:hAnsi="Times New Roman"/>
      <w:b/>
      <w:smallCaps/>
      <w:sz w:val="24"/>
      <w:szCs w:val="24"/>
    </w:rPr>
  </w:style>
  <w:style w:type="paragraph" w:styleId="Heading2">
    <w:name w:val="heading 2"/>
    <w:basedOn w:val="Normal"/>
    <w:next w:val="Text2"/>
    <w:link w:val="Heading2Char"/>
    <w:qFormat/>
    <w:pPr>
      <w:keepNext/>
      <w:numPr>
        <w:ilvl w:val="1"/>
        <w:numId w:val="3"/>
      </w:numPr>
      <w:tabs>
        <w:tab w:val="clear" w:pos="1429"/>
        <w:tab w:val="num" w:pos="862"/>
      </w:tabs>
      <w:ind w:left="862"/>
      <w:outlineLvl w:val="1"/>
    </w:pPr>
    <w:rPr>
      <w:rFonts w:ascii="Times New Roman" w:hAnsi="Times New Roman"/>
      <w:b/>
      <w:sz w:val="24"/>
      <w:szCs w:val="24"/>
    </w:rPr>
  </w:style>
  <w:style w:type="paragraph" w:styleId="Heading3">
    <w:name w:val="heading 3"/>
    <w:basedOn w:val="Normal"/>
    <w:next w:val="Text3"/>
    <w:qFormat/>
    <w:pPr>
      <w:keepNext/>
      <w:numPr>
        <w:ilvl w:val="2"/>
        <w:numId w:val="3"/>
      </w:numPr>
      <w:tabs>
        <w:tab w:val="clear" w:pos="720"/>
        <w:tab w:val="num" w:pos="1560"/>
      </w:tabs>
      <w:ind w:left="1560"/>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paragraph" w:styleId="FootnoteText">
    <w:name w:val="footnote text"/>
    <w:aliases w:val="Footnote text,Footnote Text Char3,Footnote Text Char2 Char,Footnote Text Char Char Char1 Char,Footnote Text Char1 Char1 Char,Footnote Text Char Char Char2,fn,Fußnote,Fotnotstext1,Footnote Text Char2,9 pt,ft,foot note te,foot note tex,Car,9"/>
    <w:basedOn w:val="Normal"/>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pPr>
    <w:rPr>
      <w:rFonts w:eastAsiaTheme="minorHAnsi"/>
    </w:rPr>
  </w:style>
  <w:style w:type="paragraph" w:customStyle="1" w:styleId="LegalNumPar2">
    <w:name w:val="LegalNumPar2"/>
    <w:basedOn w:val="Normal"/>
    <w:pPr>
      <w:numPr>
        <w:ilvl w:val="1"/>
        <w:numId w:val="19"/>
      </w:numPr>
      <w:spacing w:line="360" w:lineRule="auto"/>
      <w:ind w:left="952" w:hanging="476"/>
    </w:pPr>
    <w:rPr>
      <w:rFonts w:eastAsiaTheme="minorHAnsi"/>
    </w:rPr>
  </w:style>
  <w:style w:type="paragraph" w:customStyle="1" w:styleId="LegalNumPar3">
    <w:name w:val="LegalNumPar3"/>
    <w:basedOn w:val="Normal"/>
    <w:pPr>
      <w:numPr>
        <w:ilvl w:val="2"/>
        <w:numId w:val="19"/>
      </w:numPr>
      <w:spacing w:line="360" w:lineRule="auto"/>
    </w:pPr>
    <w:rPr>
      <w:rFonts w:eastAsiaTheme="minorHAnsi"/>
    </w:rPr>
  </w:style>
  <w:style w:type="character" w:customStyle="1" w:styleId="FooterChar">
    <w:name w:val="Footer Char"/>
    <w:basedOn w:val="DefaultParagraphFont"/>
    <w:link w:val="Footer"/>
    <w:uiPriority w:val="99"/>
    <w:rPr>
      <w:rFonts w:eastAsiaTheme="minorHAnsi"/>
      <w:sz w:val="24"/>
      <w:szCs w:val="22"/>
      <w:lang w:eastAsia="mt-MT"/>
    </w:rPr>
  </w:style>
  <w:style w:type="character" w:customStyle="1" w:styleId="HeaderChar">
    <w:name w:val="Header Char"/>
    <w:basedOn w:val="DefaultParagraphFont"/>
    <w:link w:val="Header"/>
    <w:uiPriority w:val="99"/>
    <w:rPr>
      <w:rFonts w:eastAsiaTheme="minorHAnsi"/>
      <w:sz w:val="24"/>
      <w:szCs w:val="22"/>
      <w:lang w:eastAsia="mt-MT"/>
    </w:rPr>
  </w:style>
  <w:style w:type="paragraph" w:styleId="ListParagraph">
    <w:name w:val="List Paragraph"/>
    <w:basedOn w:val="Normal"/>
    <w:uiPriority w:val="34"/>
    <w:qFormat/>
    <w:pPr>
      <w:ind w:left="720"/>
      <w:contextualSpacing/>
    </w:pPr>
    <w:rPr>
      <w:rFonts w:asciiTheme="minorHAnsi" w:eastAsiaTheme="minorHAnsi" w:hAnsiTheme="minorHAnsi" w:cstheme="minorBidi"/>
    </w:rPr>
  </w:style>
  <w:style w:type="character" w:customStyle="1" w:styleId="FootnoteTextChar">
    <w:name w:val="Footnote Text Char"/>
    <w:aliases w:val="Footnote text Char,Footnote Text Char3 Char,Footnote Text Char2 Char Char,Footnote Text Char Char Char1 Char Char,Footnote Text Char1 Char1 Char Char,Footnote Text Char Char Char2 Char,fn Char,Fußnote Char,Fotnotstext1 Char,9 pt Char"/>
    <w:basedOn w:val="DefaultParagraphFont"/>
    <w:uiPriority w:val="99"/>
    <w:qFormat/>
    <w:rPr>
      <w:lang w:eastAsia="mt-MT"/>
    </w:rPr>
  </w:style>
  <w:style w:type="character" w:styleId="FootnoteReference">
    <w:name w:val="footnote reference"/>
    <w:aliases w:val="SUPERS,Footnote symbol,Times 10 Point,Exposant 3 Point,Footnote,BVI fnr,number,-E Fußnotenzeichen,Footnote reference number,note TESI,EN Footnote Reference,Footnote Reference/,Footnote Reference Number,styl, Exposant 3 Point, BVI fnr"/>
    <w:basedOn w:val="DefaultParagraphFont"/>
    <w:link w:val="Footnotenumber"/>
    <w:uiPriority w:val="99"/>
    <w:unhideWhenUsed/>
    <w:qFormat/>
    <w:rPr>
      <w:vertAlign w:val="superscript"/>
    </w:rPr>
  </w:style>
  <w:style w:type="character" w:customStyle="1" w:styleId="CommentTextChar">
    <w:name w:val="Comment Text Char"/>
    <w:basedOn w:val="DefaultParagraphFont"/>
    <w:link w:val="CommentText"/>
    <w:uiPriority w:val="99"/>
    <w:rPr>
      <w:lang w:eastAsia="mt-MT"/>
    </w:rPr>
  </w:style>
  <w:style w:type="paragraph" w:customStyle="1" w:styleId="Footnotenumber">
    <w:name w:val="Footnote number"/>
    <w:aliases w:val="fr"/>
    <w:basedOn w:val="Normal"/>
    <w:link w:val="FootnoteReference"/>
    <w:uiPriority w:val="99"/>
    <w:pPr>
      <w:spacing w:after="160" w:line="240" w:lineRule="exact"/>
    </w:pPr>
    <w:rPr>
      <w:rFonts w:ascii="Times New Roman" w:eastAsia="Times New Roman" w:hAnsi="Times New Roman"/>
      <w:sz w:val="20"/>
      <w:szCs w:val="20"/>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mt-MT"/>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SubjectChar">
    <w:name w:val="Comment Subject Char"/>
    <w:basedOn w:val="CommentTextChar"/>
    <w:link w:val="CommentSubject"/>
    <w:uiPriority w:val="99"/>
    <w:semiHidden/>
    <w:rPr>
      <w:rFonts w:ascii="Calibri" w:eastAsia="Calibri" w:hAnsi="Calibri"/>
      <w:b/>
      <w:bCs/>
      <w:lang w:eastAsia="mt-MT"/>
    </w:rPr>
  </w:style>
  <w:style w:type="character" w:customStyle="1" w:styleId="Heading2Char">
    <w:name w:val="Heading 2 Char"/>
    <w:basedOn w:val="DefaultParagraphFont"/>
    <w:link w:val="Heading2"/>
    <w:rPr>
      <w:rFonts w:eastAsia="Calibri"/>
      <w:b/>
      <w:sz w:val="24"/>
      <w:szCs w:val="24"/>
      <w:lang w:eastAsia="mt-MT"/>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BriefingtextChar">
    <w:name w:val="Briefing text Char"/>
    <w:link w:val="Briefingtext"/>
    <w:locked/>
    <w:rPr>
      <w:rFonts w:ascii="Arial" w:hAnsi="Arial" w:cs="Arial"/>
      <w:sz w:val="22"/>
      <w:szCs w:val="24"/>
      <w:lang w:eastAsia="mt-MT"/>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eastAsia="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eastAsia="Calibri"/>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eastAsia="Calibri"/>
      <w:sz w:val="24"/>
      <w:szCs w:val="22"/>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0487">
      <w:bodyDiv w:val="1"/>
      <w:marLeft w:val="0"/>
      <w:marRight w:val="0"/>
      <w:marTop w:val="0"/>
      <w:marBottom w:val="0"/>
      <w:divBdr>
        <w:top w:val="none" w:sz="0" w:space="0" w:color="auto"/>
        <w:left w:val="none" w:sz="0" w:space="0" w:color="auto"/>
        <w:bottom w:val="none" w:sz="0" w:space="0" w:color="auto"/>
        <w:right w:val="none" w:sz="0" w:space="0" w:color="auto"/>
      </w:divBdr>
      <w:divsChild>
        <w:div w:id="69891623">
          <w:marLeft w:val="547"/>
          <w:marRight w:val="0"/>
          <w:marTop w:val="0"/>
          <w:marBottom w:val="0"/>
          <w:divBdr>
            <w:top w:val="none" w:sz="0" w:space="0" w:color="auto"/>
            <w:left w:val="none" w:sz="0" w:space="0" w:color="auto"/>
            <w:bottom w:val="none" w:sz="0" w:space="0" w:color="auto"/>
            <w:right w:val="none" w:sz="0" w:space="0" w:color="auto"/>
          </w:divBdr>
        </w:div>
        <w:div w:id="1566529509">
          <w:marLeft w:val="547"/>
          <w:marRight w:val="0"/>
          <w:marTop w:val="0"/>
          <w:marBottom w:val="0"/>
          <w:divBdr>
            <w:top w:val="none" w:sz="0" w:space="0" w:color="auto"/>
            <w:left w:val="none" w:sz="0" w:space="0" w:color="auto"/>
            <w:bottom w:val="none" w:sz="0" w:space="0" w:color="auto"/>
            <w:right w:val="none" w:sz="0" w:space="0" w:color="auto"/>
          </w:divBdr>
        </w:div>
        <w:div w:id="1944415293">
          <w:marLeft w:val="547"/>
          <w:marRight w:val="0"/>
          <w:marTop w:val="0"/>
          <w:marBottom w:val="0"/>
          <w:divBdr>
            <w:top w:val="none" w:sz="0" w:space="0" w:color="auto"/>
            <w:left w:val="none" w:sz="0" w:space="0" w:color="auto"/>
            <w:bottom w:val="none" w:sz="0" w:space="0" w:color="auto"/>
            <w:right w:val="none" w:sz="0" w:space="0" w:color="auto"/>
          </w:divBdr>
        </w:div>
        <w:div w:id="694619564">
          <w:marLeft w:val="547"/>
          <w:marRight w:val="0"/>
          <w:marTop w:val="0"/>
          <w:marBottom w:val="0"/>
          <w:divBdr>
            <w:top w:val="none" w:sz="0" w:space="0" w:color="auto"/>
            <w:left w:val="none" w:sz="0" w:space="0" w:color="auto"/>
            <w:bottom w:val="none" w:sz="0" w:space="0" w:color="auto"/>
            <w:right w:val="none" w:sz="0" w:space="0" w:color="auto"/>
          </w:divBdr>
        </w:div>
      </w:divsChild>
    </w:div>
    <w:div w:id="324404304">
      <w:bodyDiv w:val="1"/>
      <w:marLeft w:val="0"/>
      <w:marRight w:val="0"/>
      <w:marTop w:val="0"/>
      <w:marBottom w:val="0"/>
      <w:divBdr>
        <w:top w:val="none" w:sz="0" w:space="0" w:color="auto"/>
        <w:left w:val="none" w:sz="0" w:space="0" w:color="auto"/>
        <w:bottom w:val="none" w:sz="0" w:space="0" w:color="auto"/>
        <w:right w:val="none" w:sz="0" w:space="0" w:color="auto"/>
      </w:divBdr>
    </w:div>
    <w:div w:id="1198350696">
      <w:bodyDiv w:val="1"/>
      <w:marLeft w:val="0"/>
      <w:marRight w:val="0"/>
      <w:marTop w:val="0"/>
      <w:marBottom w:val="0"/>
      <w:divBdr>
        <w:top w:val="none" w:sz="0" w:space="0" w:color="auto"/>
        <w:left w:val="none" w:sz="0" w:space="0" w:color="auto"/>
        <w:bottom w:val="none" w:sz="0" w:space="0" w:color="auto"/>
        <w:right w:val="none" w:sz="0" w:space="0" w:color="auto"/>
      </w:divBdr>
    </w:div>
    <w:div w:id="1218708377">
      <w:bodyDiv w:val="1"/>
      <w:marLeft w:val="0"/>
      <w:marRight w:val="0"/>
      <w:marTop w:val="0"/>
      <w:marBottom w:val="0"/>
      <w:divBdr>
        <w:top w:val="none" w:sz="0" w:space="0" w:color="auto"/>
        <w:left w:val="none" w:sz="0" w:space="0" w:color="auto"/>
        <w:bottom w:val="none" w:sz="0" w:space="0" w:color="auto"/>
        <w:right w:val="none" w:sz="0" w:space="0" w:color="auto"/>
      </w:divBdr>
    </w:div>
    <w:div w:id="1442870444">
      <w:bodyDiv w:val="1"/>
      <w:marLeft w:val="0"/>
      <w:marRight w:val="0"/>
      <w:marTop w:val="0"/>
      <w:marBottom w:val="0"/>
      <w:divBdr>
        <w:top w:val="none" w:sz="0" w:space="0" w:color="auto"/>
        <w:left w:val="none" w:sz="0" w:space="0" w:color="auto"/>
        <w:bottom w:val="none" w:sz="0" w:space="0" w:color="auto"/>
        <w:right w:val="none" w:sz="0" w:space="0" w:color="auto"/>
      </w:divBdr>
    </w:div>
    <w:div w:id="196851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beta.eu-smartcities.eu/" TargetMode="External"/><Relationship Id="rId3" Type="http://schemas.openxmlformats.org/officeDocument/2006/relationships/hyperlink" Target="https://ec.europa.eu/commission/priorities/jobs-growth-and-investment/investment-plan-europe-juncker-plan_mt" TargetMode="External"/><Relationship Id="rId7" Type="http://schemas.openxmlformats.org/officeDocument/2006/relationships/hyperlink" Target="http://civitas.eu/" TargetMode="External"/><Relationship Id="rId2" Type="http://schemas.openxmlformats.org/officeDocument/2006/relationships/hyperlink" Target="http://ec.europa.eu/transparency/regexpert/index.cfm?do=groupDetail.groupDetail&amp;groupID=2869&amp;Lang=MT" TargetMode="External"/><Relationship Id="rId1" Type="http://schemas.openxmlformats.org/officeDocument/2006/relationships/hyperlink" Target="https://ec.europa.eu/transport/themes/urban/cpt/stf_mt" TargetMode="External"/><Relationship Id="rId6" Type="http://schemas.openxmlformats.org/officeDocument/2006/relationships/hyperlink" Target="http://www.eib.org/products/advising/elena/index.htm?f=search&amp;media=search" TargetMode="External"/><Relationship Id="rId5" Type="http://schemas.openxmlformats.org/officeDocument/2006/relationships/hyperlink" Target="http://www.eib.org/products/advising/jaspers/index.htm?f=search&amp;media=search" TargetMode="External"/><Relationship Id="rId4" Type="http://schemas.openxmlformats.org/officeDocument/2006/relationships/hyperlink" Target="http://ec.europa.eu/transport/infrastructure/tentec/tentec-portal/map/ma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A7BC2-310B-4F4C-9374-6898CB05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TotalTime>
  <Pages>22</Pages>
  <Words>9097</Words>
  <Characters>51673</Characters>
  <Application>Microsoft Office Word</Application>
  <DocSecurity>0</DocSecurity>
  <PresentationFormat>Microsoft Word 14.0</PresentationFormat>
  <Lines>861</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19</cp:revision>
  <cp:lastPrinted>2017-10-23T16:10:00Z</cp:lastPrinted>
  <dcterms:created xsi:type="dcterms:W3CDTF">2017-11-07T11:31:00Z</dcterms:created>
  <dcterms:modified xsi:type="dcterms:W3CDTF">2017-11-21T15:33:00Z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Claire DEPRE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Level of sensitivity">
    <vt:lpwstr>Standard treatment</vt:lpwstr>
  </property>
  <property name="OP_sanitized" fmtid="{D5CDD505-2E9C-101B-9397-08002B2CF9AE}" pid="17">
    <vt:lpwstr>True</vt:lpwstr>
  </property>
</Properties>
</file>