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2FD" w:rsidRDefault="006222FD"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7DB51C4-8CEE-47FA-BDE2-1E29EFFA243F" style="width:450.75pt;height:398.25pt">
            <v:imagedata r:id="rId8" o:title=""/>
          </v:shape>
        </w:pict>
      </w:r>
    </w:p>
    <w:bookmarkEnd w:id="0"/>
    <w:p w:rsidR="006222FD" w:rsidRDefault="006222FD">
      <w:pPr>
        <w:rPr>
          <w:noProof/>
        </w:rPr>
        <w:sectPr w:rsidR="006222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pgNumType w:start="2"/>
          <w:cols w:space="720"/>
          <w:docGrid w:linePitch="360"/>
        </w:sectPr>
      </w:pPr>
    </w:p>
    <w:p w:rsidR="006222FD" w:rsidRDefault="006222FD">
      <w:pPr>
        <w:pStyle w:val="TOCHeading"/>
        <w:rPr>
          <w:noProof/>
        </w:rPr>
      </w:pPr>
    </w:p>
    <w:p w:rsidR="006222FD" w:rsidRDefault="006222FD">
      <w:pPr>
        <w:pStyle w:val="TOCHeading"/>
        <w:rPr>
          <w:noProof/>
        </w:rPr>
      </w:pPr>
      <w:r>
        <w:rPr>
          <w:rFonts w:cs="Cordia New"/>
          <w:noProof/>
          <w:szCs w:val="28"/>
        </w:rPr>
        <w:t>Werrej</w:t>
      </w:r>
    </w:p>
    <w:p w:rsidR="006222FD" w:rsidRDefault="006222FD">
      <w:pPr>
        <w:rPr>
          <w:rFonts w:ascii="Times New Roman" w:hAnsi="Times New Roman" w:cs="Times New Roman"/>
          <w:noProof/>
        </w:rPr>
      </w:pPr>
    </w:p>
    <w:p w:rsidR="006222FD" w:rsidRDefault="006222FD">
      <w:pPr>
        <w:pStyle w:val="TOC1"/>
        <w:rPr>
          <w:rFonts w:cs="Arial"/>
          <w:noProof/>
          <w:szCs w:val="22"/>
          <w:lang w:val="en-US" w:eastAsia="en-US" w:bidi="ar-SA"/>
        </w:rPr>
      </w:pPr>
      <w:r>
        <w:rPr>
          <w:rFonts w:ascii="Times New Roman" w:hAnsi="Times New Roman"/>
          <w:b/>
          <w:noProof/>
        </w:rPr>
        <w:fldChar w:fldCharType="begin"/>
      </w:r>
      <w:r>
        <w:rPr>
          <w:rFonts w:ascii="Times New Roman" w:hAnsi="Times New Roman"/>
          <w:b/>
          <w:noProof/>
        </w:rPr>
        <w:instrText xml:space="preserve"> TOC \o "1-1" \h \z \u </w:instrText>
      </w:r>
      <w:r>
        <w:rPr>
          <w:rFonts w:ascii="Times New Roman" w:hAnsi="Times New Roman"/>
          <w:b/>
          <w:noProof/>
        </w:rPr>
        <w:fldChar w:fldCharType="separate"/>
      </w:r>
      <w:hyperlink w:anchor="_Toc496644706" w:history="1">
        <w:r>
          <w:rPr>
            <w:rStyle w:val="Hyperlink"/>
            <w:rFonts w:ascii="Times New Roman" w:hAnsi="Times New Roman" w:cs="Times New Roman"/>
            <w:noProof/>
          </w:rPr>
          <w:t>1.</w:t>
        </w:r>
        <w:r>
          <w:rPr>
            <w:rFonts w:cs="Arial"/>
            <w:noProof/>
            <w:szCs w:val="22"/>
            <w:lang w:val="en-US" w:eastAsia="en-US" w:bidi="ar-SA"/>
          </w:rPr>
          <w:tab/>
        </w:r>
        <w:r>
          <w:rPr>
            <w:rStyle w:val="Hyperlink"/>
            <w:rFonts w:ascii="Times New Roman" w:hAnsi="Times New Roman"/>
            <w:noProof/>
          </w:rPr>
          <w:t>Ħarsa ġenerali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OC1"/>
        <w:rPr>
          <w:rFonts w:cs="Arial"/>
          <w:noProof/>
          <w:szCs w:val="22"/>
          <w:lang w:val="en-US" w:eastAsia="en-US" w:bidi="ar-SA"/>
        </w:rPr>
      </w:pPr>
      <w:hyperlink w:anchor="_Toc496644707" w:history="1">
        <w:r>
          <w:rPr>
            <w:rStyle w:val="Hyperlink"/>
            <w:rFonts w:ascii="Times New Roman" w:hAnsi="Times New Roman" w:cs="Times New Roman"/>
            <w:noProof/>
          </w:rPr>
          <w:t>2.</w:t>
        </w:r>
        <w:r>
          <w:rPr>
            <w:rFonts w:cs="Arial"/>
            <w:noProof/>
            <w:szCs w:val="22"/>
            <w:lang w:val="en-US" w:eastAsia="en-US" w:bidi="ar-SA"/>
          </w:rPr>
          <w:tab/>
        </w:r>
        <w:r>
          <w:rPr>
            <w:rStyle w:val="Hyperlink"/>
            <w:rFonts w:ascii="Times New Roman" w:hAnsi="Times New Roman"/>
            <w:noProof/>
          </w:rPr>
          <w:t>Finanzjament għall-klima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OC1"/>
        <w:rPr>
          <w:rFonts w:cs="Arial"/>
          <w:noProof/>
          <w:szCs w:val="22"/>
          <w:lang w:val="en-US" w:eastAsia="en-US" w:bidi="ar-SA"/>
        </w:rPr>
      </w:pPr>
      <w:hyperlink w:anchor="_Toc496644708" w:history="1">
        <w:r>
          <w:rPr>
            <w:rStyle w:val="Hyperlink"/>
            <w:rFonts w:ascii="Times New Roman" w:hAnsi="Times New Roman" w:cs="Times New Roman"/>
            <w:noProof/>
          </w:rPr>
          <w:t>3.</w:t>
        </w:r>
        <w:r>
          <w:rPr>
            <w:rFonts w:cs="Arial"/>
            <w:noProof/>
            <w:szCs w:val="22"/>
            <w:lang w:val="en-US" w:eastAsia="en-US" w:bidi="ar-SA"/>
          </w:rPr>
          <w:tab/>
        </w:r>
        <w:r>
          <w:rPr>
            <w:rStyle w:val="Hyperlink"/>
            <w:rFonts w:ascii="Times New Roman" w:hAnsi="Times New Roman"/>
            <w:noProof/>
          </w:rPr>
          <w:t>Nimmitigaw l-emissjonijiet tal-UE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OC1"/>
        <w:rPr>
          <w:rFonts w:cs="Arial"/>
          <w:noProof/>
          <w:szCs w:val="22"/>
          <w:lang w:val="en-US" w:eastAsia="en-US" w:bidi="ar-SA"/>
        </w:rPr>
      </w:pPr>
      <w:hyperlink w:anchor="_Toc496644709" w:history="1">
        <w:r>
          <w:rPr>
            <w:rStyle w:val="Hyperlink"/>
            <w:rFonts w:ascii="Times New Roman" w:hAnsi="Times New Roman" w:cs="Times New Roman"/>
            <w:noProof/>
          </w:rPr>
          <w:t>4.</w:t>
        </w:r>
        <w:r>
          <w:rPr>
            <w:rFonts w:cs="Arial"/>
            <w:noProof/>
            <w:szCs w:val="22"/>
            <w:lang w:val="en-US" w:eastAsia="en-US" w:bidi="ar-SA"/>
          </w:rPr>
          <w:tab/>
        </w:r>
        <w:r>
          <w:rPr>
            <w:rStyle w:val="Hyperlink"/>
            <w:rFonts w:ascii="Times New Roman" w:hAnsi="Times New Roman"/>
            <w:noProof/>
          </w:rPr>
          <w:t>L-adattatment għat-tibdil fil-klima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OC1"/>
        <w:rPr>
          <w:rFonts w:cs="Arial"/>
          <w:noProof/>
          <w:szCs w:val="22"/>
          <w:lang w:val="en-US" w:eastAsia="en-US" w:bidi="ar-SA"/>
        </w:rPr>
      </w:pPr>
      <w:hyperlink w:anchor="_Toc496644710" w:history="1">
        <w:r>
          <w:rPr>
            <w:rStyle w:val="Hyperlink"/>
            <w:rFonts w:ascii="Times New Roman" w:hAnsi="Times New Roman" w:cs="Times New Roman"/>
            <w:noProof/>
          </w:rPr>
          <w:t>5.</w:t>
        </w:r>
        <w:r>
          <w:rPr>
            <w:rFonts w:cs="Arial"/>
            <w:noProof/>
            <w:szCs w:val="22"/>
            <w:lang w:val="en-US" w:eastAsia="en-US" w:bidi="ar-SA"/>
          </w:rPr>
          <w:tab/>
        </w:r>
        <w:r>
          <w:rPr>
            <w:rStyle w:val="Hyperlink"/>
            <w:rFonts w:ascii="Times New Roman" w:hAnsi="Times New Roman"/>
            <w:noProof/>
          </w:rPr>
          <w:t>Il-parteċipazzjoni fil-politika internazzjonali dwar it-tibdil fil-klima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rPr>
          <w:noProof/>
          <w:lang w:val="mt-MT"/>
        </w:rPr>
      </w:pPr>
      <w:r>
        <w:rPr>
          <w:rFonts w:ascii="Times New Roman" w:hAnsi="Times New Roman"/>
          <w:b/>
          <w:noProof/>
        </w:rPr>
        <w:fldChar w:fldCharType="end"/>
      </w:r>
    </w:p>
    <w:p w:rsidR="006222FD" w:rsidRDefault="006222FD">
      <w:pPr>
        <w:rPr>
          <w:rFonts w:ascii="Times New Roman" w:hAnsi="Times New Roman" w:cs="Times New Roman"/>
          <w:b/>
          <w:bCs/>
          <w:noProof/>
        </w:rPr>
      </w:pPr>
      <w:r>
        <w:rPr>
          <w:noProof/>
        </w:rPr>
        <w:br w:type="page"/>
      </w:r>
    </w:p>
    <w:p w:rsidR="006222FD" w:rsidRDefault="006222FD">
      <w:pPr>
        <w:pStyle w:val="TOCHeading"/>
        <w:rPr>
          <w:noProof/>
        </w:rPr>
      </w:pPr>
      <w:r>
        <w:rPr>
          <w:rFonts w:cs="Cordia New"/>
          <w:noProof/>
          <w:szCs w:val="28"/>
        </w:rPr>
        <w:t>Werrej tal-illustrazzjonijiet</w:t>
      </w:r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TOC \h \z \c "Figure" </w:instrText>
      </w:r>
      <w:r>
        <w:rPr>
          <w:rFonts w:ascii="Times New Roman" w:hAnsi="Times New Roman"/>
          <w:noProof/>
        </w:rPr>
        <w:fldChar w:fldCharType="separate"/>
      </w:r>
      <w:hyperlink w:anchor="_Toc496644711" w:history="1">
        <w:r>
          <w:rPr>
            <w:rStyle w:val="Hyperlink"/>
            <w:rFonts w:ascii="Times New Roman" w:hAnsi="Times New Roman"/>
            <w:noProof/>
          </w:rPr>
          <w:t>Figura 1: Nimxu lejn l-ilħuq tal-miri tal-Ewropa 2020 u 2030 (l-emissjonijiet totali ta</w:t>
        </w:r>
        <w:r>
          <w:rPr>
            <w:rStyle w:val="Hyperlink"/>
            <w:rFonts w:ascii="Times New Roman" w:hAnsi="Times New Roman"/>
            <w:noProof/>
            <w:lang w:val="mt-MT"/>
          </w:rPr>
          <w:t>’</w:t>
        </w:r>
        <w:r>
          <w:rPr>
            <w:rStyle w:val="Hyperlink"/>
            <w:rFonts w:ascii="Times New Roman" w:hAnsi="Times New Roman" w:cs="Arial Unicode MS"/>
            <w:noProof/>
            <w:cs/>
          </w:rPr>
          <w:t xml:space="preserve"> </w:t>
        </w:r>
        <w:r>
          <w:rPr>
            <w:rStyle w:val="Hyperlink"/>
            <w:rFonts w:ascii="Times New Roman" w:hAnsi="Times New Roman"/>
            <w:noProof/>
          </w:rPr>
          <w:t>GHG tal-UE)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2" w:history="1">
        <w:r>
          <w:rPr>
            <w:rStyle w:val="Hyperlink"/>
            <w:rFonts w:ascii="Times New Roman" w:hAnsi="Times New Roman"/>
            <w:noProof/>
          </w:rPr>
          <w:t>Figura 2: Tibdil fil-PDG reali, fl-emissjonijiet ta</w:t>
        </w:r>
        <w:r>
          <w:rPr>
            <w:rStyle w:val="Hyperlink"/>
            <w:rFonts w:ascii="Times New Roman" w:hAnsi="Times New Roman"/>
            <w:noProof/>
            <w:lang w:val="mt-MT"/>
          </w:rPr>
          <w:t>’</w:t>
        </w:r>
        <w:r>
          <w:rPr>
            <w:rStyle w:val="Hyperlink"/>
            <w:rFonts w:ascii="Times New Roman" w:hAnsi="Times New Roman" w:cs="Arial Unicode MS"/>
            <w:noProof/>
            <w:cs/>
          </w:rPr>
          <w:t xml:space="preserve"> </w:t>
        </w:r>
        <w:r>
          <w:rPr>
            <w:rStyle w:val="Hyperlink"/>
            <w:rFonts w:ascii="Times New Roman" w:hAnsi="Times New Roman"/>
            <w:noProof/>
          </w:rPr>
          <w:t>GHG u fl-intensità tal-emissjonijiet ta</w:t>
        </w:r>
        <w:r>
          <w:rPr>
            <w:rStyle w:val="Hyperlink"/>
            <w:rFonts w:ascii="Times New Roman" w:hAnsi="Times New Roman"/>
            <w:noProof/>
            <w:lang w:val="mt-MT"/>
          </w:rPr>
          <w:t>’</w:t>
        </w:r>
        <w:r>
          <w:rPr>
            <w:rStyle w:val="Hyperlink"/>
            <w:rFonts w:ascii="Times New Roman" w:hAnsi="Times New Roman" w:cs="Arial Unicode MS"/>
            <w:noProof/>
            <w:cs/>
          </w:rPr>
          <w:t xml:space="preserve"> </w:t>
        </w:r>
        <w:r>
          <w:rPr>
            <w:rStyle w:val="Hyperlink"/>
            <w:rFonts w:ascii="Times New Roman" w:hAnsi="Times New Roman"/>
            <w:noProof/>
          </w:rPr>
          <w:t>GHG fl-UE, 1990-2016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3" w:history="1">
        <w:r>
          <w:rPr>
            <w:rStyle w:val="Hyperlink"/>
            <w:rFonts w:ascii="Times New Roman" w:hAnsi="Times New Roman"/>
            <w:noProof/>
          </w:rPr>
          <w:t>Figura 3: L-iżvilupp tal-emissjonijiet per capita tal-ikbar ekonomiji, 1990-2012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4" w:history="1">
        <w:r>
          <w:rPr>
            <w:rStyle w:val="Hyperlink"/>
            <w:rFonts w:ascii="Times New Roman" w:hAnsi="Times New Roman"/>
            <w:noProof/>
          </w:rPr>
          <w:t>Figura 4: L-emissjonijiet u t-tneħħijiet kontabilizzati mis-settur tal-LULUCF għal kull attività, 2013-2015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5" w:history="1">
        <w:r>
          <w:rPr>
            <w:rStyle w:val="Hyperlink"/>
            <w:rFonts w:ascii="Times New Roman" w:hAnsi="Times New Roman"/>
            <w:noProof/>
          </w:rPr>
          <w:t>Figura 5: Id-diskrepanza relattiva bejn l-emissjonijiet projettati tal-2020 barra mill-ETS u l-miri tal-2020 (f</w:t>
        </w:r>
        <w:r>
          <w:rPr>
            <w:rStyle w:val="Hyperlink"/>
            <w:rFonts w:ascii="Times New Roman" w:hAnsi="Times New Roman"/>
            <w:noProof/>
            <w:lang w:val="mt-MT"/>
          </w:rPr>
          <w:t>’</w:t>
        </w:r>
        <w:r>
          <w:rPr>
            <w:rStyle w:val="Hyperlink"/>
            <w:rFonts w:ascii="Times New Roman" w:hAnsi="Times New Roman"/>
            <w:noProof/>
          </w:rPr>
          <w:t>% tal-emissjonijiet tal-2005).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6" w:history="1">
        <w:r>
          <w:rPr>
            <w:rStyle w:val="Hyperlink"/>
            <w:rFonts w:ascii="Times New Roman" w:hAnsi="Times New Roman"/>
            <w:noProof/>
          </w:rPr>
          <w:t xml:space="preserve">Figura 6: </w:t>
        </w:r>
        <w:r>
          <w:rPr>
            <w:rStyle w:val="Hyperlink"/>
            <w:rFonts w:ascii="Times New Roman" w:hAnsi="Times New Roman"/>
            <w:noProof/>
            <w:lang w:val="mt-MT"/>
          </w:rPr>
          <w:t>E</w:t>
        </w:r>
        <w:r>
          <w:rPr>
            <w:rStyle w:val="Hyperlink"/>
            <w:rFonts w:ascii="Times New Roman" w:hAnsi="Times New Roman"/>
            <w:noProof/>
          </w:rPr>
          <w:t>missjonijiet u tneħħijiet netti kumulattivi pro</w:t>
        </w:r>
        <w:r>
          <w:rPr>
            <w:rStyle w:val="Hyperlink"/>
            <w:rFonts w:ascii="Times New Roman" w:hAnsi="Times New Roman"/>
            <w:noProof/>
            <w:lang w:val="mt-MT"/>
          </w:rPr>
          <w:t>v</w:t>
        </w:r>
        <w:r>
          <w:rPr>
            <w:rStyle w:val="Hyperlink"/>
            <w:rFonts w:ascii="Times New Roman" w:hAnsi="Times New Roman"/>
            <w:noProof/>
          </w:rPr>
          <w:t>viżorji kkunsidrati tal-LULUCF għal kull Stat Membru (2013-2015)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7" w:history="1">
        <w:r>
          <w:rPr>
            <w:rStyle w:val="Hyperlink"/>
            <w:rFonts w:ascii="Times New Roman" w:hAnsi="Times New Roman"/>
            <w:noProof/>
          </w:rPr>
          <w:t>Figura 7: Eċċess kumulattiv tal-AEA bħala perċentwal tal-emissjonijiet tal-2005, 2013-2015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8" w:history="1">
        <w:r>
          <w:rPr>
            <w:rStyle w:val="Hyperlink"/>
            <w:rFonts w:ascii="Times New Roman" w:hAnsi="Times New Roman"/>
            <w:noProof/>
          </w:rPr>
          <w:t>Figura 8: Tibdil fl-użu tad-dħul mill-ETS, 2013-2016 (f</w:t>
        </w:r>
        <w:r>
          <w:rPr>
            <w:rStyle w:val="Hyperlink"/>
            <w:rFonts w:ascii="Times New Roman" w:hAnsi="Times New Roman"/>
            <w:noProof/>
            <w:lang w:val="mt-MT"/>
          </w:rPr>
          <w:t>’</w:t>
        </w:r>
        <w:r>
          <w:rPr>
            <w:rStyle w:val="Hyperlink"/>
            <w:rFonts w:ascii="Times New Roman" w:hAnsi="Times New Roman"/>
            <w:noProof/>
          </w:rPr>
          <w:t>miljun €)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19" w:history="1">
        <w:r>
          <w:rPr>
            <w:rStyle w:val="Hyperlink"/>
            <w:rFonts w:ascii="Times New Roman" w:hAnsi="Times New Roman"/>
            <w:noProof/>
          </w:rPr>
          <w:t>Figura 9: Użu domestiku tad-dħul mill-irkanti, 2013-2016 (f</w:t>
        </w:r>
        <w:r>
          <w:rPr>
            <w:rStyle w:val="Hyperlink"/>
            <w:rFonts w:ascii="Times New Roman" w:hAnsi="Times New Roman"/>
            <w:noProof/>
            <w:lang w:val="mt-MT"/>
          </w:rPr>
          <w:t>’</w:t>
        </w:r>
        <w:r>
          <w:rPr>
            <w:rStyle w:val="Hyperlink"/>
            <w:rFonts w:ascii="Times New Roman" w:hAnsi="Times New Roman"/>
            <w:noProof/>
          </w:rPr>
          <w:t>biljun €)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cs="Arial"/>
          <w:noProof/>
          <w:szCs w:val="22"/>
          <w:lang w:val="en-US" w:eastAsia="en-US" w:bidi="ar-SA"/>
        </w:rPr>
      </w:pPr>
      <w:hyperlink w:anchor="_Toc496644720" w:history="1">
        <w:r>
          <w:rPr>
            <w:rStyle w:val="Hyperlink"/>
            <w:rFonts w:ascii="Times New Roman" w:hAnsi="Times New Roman"/>
            <w:noProof/>
          </w:rPr>
          <w:t>Figura 10: It-tliet bażijiet ġuridiċi proposti għall-qafas tal-2030 tal-UE tal-politika dwar it-tibdil fil-klima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_Toc496644720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222FD" w:rsidRDefault="006222FD">
      <w:pPr>
        <w:pStyle w:val="TableofFigures"/>
        <w:tabs>
          <w:tab w:val="right" w:leader="dot" w:pos="9063"/>
        </w:tabs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fldChar w:fldCharType="end"/>
      </w:r>
    </w:p>
    <w:p w:rsidR="006222FD" w:rsidRDefault="006222FD">
      <w:pPr>
        <w:rPr>
          <w:rFonts w:ascii="Times New Roman" w:hAnsi="Times New Roman" w:cs="Times New Roman"/>
          <w:noProof/>
        </w:rPr>
      </w:pPr>
    </w:p>
    <w:p w:rsidR="006222FD" w:rsidRDefault="006222FD">
      <w:pPr>
        <w:rPr>
          <w:rFonts w:ascii="Times New Roman" w:hAnsi="Times New Roman" w:cs="Times New Roman"/>
          <w:noProof/>
        </w:rPr>
      </w:pPr>
    </w:p>
    <w:p w:rsidR="006222FD" w:rsidRDefault="006222FD">
      <w:pPr>
        <w:rPr>
          <w:noProof/>
        </w:rPr>
        <w:sectPr w:rsidR="006222F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39"/>
          <w:pgMar w:top="1134" w:right="1417" w:bottom="1134" w:left="1417" w:header="709" w:footer="709" w:gutter="0"/>
          <w:pgNumType w:start="2"/>
          <w:cols w:space="720"/>
          <w:docGrid w:linePitch="360"/>
        </w:sectPr>
      </w:pPr>
    </w:p>
    <w:p w:rsidR="006222FD" w:rsidRDefault="006222FD">
      <w:pPr>
        <w:pStyle w:val="Heading1"/>
        <w:numPr>
          <w:ilvl w:val="0"/>
          <w:numId w:val="33"/>
        </w:numPr>
        <w:tabs>
          <w:tab w:val="clear" w:pos="850"/>
          <w:tab w:val="num" w:pos="130"/>
        </w:tabs>
        <w:rPr>
          <w:noProof/>
          <w:szCs w:val="24"/>
        </w:rPr>
      </w:pPr>
      <w:bookmarkStart w:id="1" w:name="_Toc461715115"/>
      <w:bookmarkStart w:id="2" w:name="_Toc493168535"/>
      <w:bookmarkStart w:id="3" w:name="_Toc495675886"/>
      <w:bookmarkStart w:id="4" w:name="_Toc495676421"/>
      <w:bookmarkStart w:id="5" w:name="_Toc496644706"/>
      <w:bookmarkEnd w:id="1"/>
      <w:r>
        <w:rPr>
          <w:rFonts w:cs="Cordia New"/>
          <w:noProof/>
          <w:sz w:val="22"/>
        </w:rPr>
        <w:t>Ħarsa ġenerali</w:t>
      </w:r>
      <w:bookmarkEnd w:id="2"/>
      <w:bookmarkEnd w:id="3"/>
      <w:bookmarkEnd w:id="4"/>
      <w:bookmarkEnd w:id="5"/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6" w:name="_Toc487207214"/>
      <w:bookmarkStart w:id="7" w:name="_Toc487207215"/>
      <w:bookmarkStart w:id="8" w:name="_Toc487207216"/>
      <w:bookmarkStart w:id="9" w:name="_Toc456787438"/>
      <w:bookmarkStart w:id="10" w:name="_Toc461443626"/>
      <w:bookmarkStart w:id="11" w:name="_Toc461715116"/>
      <w:bookmarkStart w:id="12" w:name="_Toc461715490"/>
      <w:bookmarkStart w:id="13" w:name="_Toc463527673"/>
      <w:bookmarkStart w:id="14" w:name="_Toc463538558"/>
      <w:bookmarkStart w:id="15" w:name="_Toc463621132"/>
      <w:bookmarkStart w:id="16" w:name="_Toc463628459"/>
      <w:bookmarkStart w:id="17" w:name="_Toc465073859"/>
      <w:bookmarkStart w:id="18" w:name="_Toc465090122"/>
      <w:bookmarkStart w:id="19" w:name="_Toc492542677"/>
      <w:bookmarkStart w:id="20" w:name="_Toc493004503"/>
      <w:bookmarkEnd w:id="6"/>
      <w:bookmarkEnd w:id="7"/>
      <w:bookmarkEnd w:id="8"/>
      <w:r>
        <w:rPr>
          <w:rFonts w:cs="Cordia New"/>
          <w:b w:val="0"/>
          <w:i w:val="0"/>
          <w:noProof/>
          <w:szCs w:val="24"/>
          <w:u w:val="single"/>
        </w:rPr>
        <w:t>Nimxu lejn il-mira tal-</w:t>
      </w:r>
      <w:bookmarkEnd w:id="9"/>
      <w:bookmarkEnd w:id="10"/>
      <w:bookmarkEnd w:id="11"/>
      <w:bookmarkEnd w:id="12"/>
      <w:bookmarkEnd w:id="13"/>
      <w:bookmarkEnd w:id="14"/>
      <w:bookmarkEnd w:id="15"/>
      <w:r>
        <w:rPr>
          <w:rFonts w:cs="Cordia New"/>
          <w:b w:val="0"/>
          <w:i w:val="0"/>
          <w:noProof/>
          <w:szCs w:val="24"/>
          <w:u w:val="single"/>
        </w:rPr>
        <w:t>2030</w:t>
      </w:r>
      <w:bookmarkEnd w:id="16"/>
      <w:bookmarkEnd w:id="17"/>
      <w:bookmarkEnd w:id="18"/>
      <w:bookmarkEnd w:id="19"/>
      <w:bookmarkEnd w:id="20"/>
      <w:r>
        <w:rPr>
          <w:rFonts w:cs="Cordia New"/>
          <w:b w:val="0"/>
          <w:i w:val="0"/>
          <w:noProof/>
          <w:szCs w:val="24"/>
          <w:u w:val="single"/>
        </w:rPr>
        <w:t xml:space="preserve">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rFonts w:cs="Cordia New"/>
          <w:b w:val="0"/>
          <w:i w:val="0"/>
          <w:noProof/>
          <w:szCs w:val="24"/>
          <w:u w:val="single"/>
          <w:cs/>
        </w:rPr>
        <w:t xml:space="preserve"> </w:t>
      </w:r>
      <w:r>
        <w:rPr>
          <w:rFonts w:cs="Cordia New"/>
          <w:b w:val="0"/>
          <w:i w:val="0"/>
          <w:noProof/>
          <w:szCs w:val="24"/>
          <w:u w:val="single"/>
        </w:rPr>
        <w:t>tnaqqis minimu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rFonts w:cs="Cordia New"/>
          <w:b w:val="0"/>
          <w:i w:val="0"/>
          <w:noProof/>
          <w:szCs w:val="24"/>
          <w:u w:val="single"/>
          <w:cs/>
        </w:rPr>
        <w:t xml:space="preserve"> </w:t>
      </w:r>
      <w:r>
        <w:rPr>
          <w:rFonts w:cs="Cordia New"/>
          <w:b w:val="0"/>
          <w:i w:val="0"/>
          <w:noProof/>
          <w:szCs w:val="24"/>
          <w:u w:val="single"/>
        </w:rPr>
        <w:t>40</w:t>
      </w:r>
      <w:r>
        <w:rPr>
          <w:b w:val="0"/>
          <w:i w:val="0"/>
          <w:noProof/>
          <w:szCs w:val="24"/>
          <w:u w:val="single"/>
        </w:rPr>
        <w:t> %</w:t>
      </w:r>
      <w:r>
        <w:rPr>
          <w:rFonts w:cs="Cordia New"/>
          <w:b w:val="0"/>
          <w:i w:val="0"/>
          <w:noProof/>
          <w:szCs w:val="24"/>
          <w:u w:val="single"/>
        </w:rPr>
        <w:t xml:space="preserve"> fl-emissjonijiet 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L-UE u l-Istati Membri tagħha jibqgħu jirrispettaw bis-sħiħ l-impenn li ħadu għall-Ftehim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Pariġi u għall-azzjoni klimatika, kemm bħala neċessità murija bi provi xjentifiċi kif ukoll bħala opportunità ekonomika. L-UE u t-28 Stat Membru tagħha ddepożitaw l-istrumenti tagħhom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ratifika u ser ikomplu jwettqu l-impenn tagħhom li jnaqqsu l-emissjonijiet domestiċi tagħhom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mill-inqas 40 % bejn l-1990 u l-2030.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Fl-2016, l-emissjonijiet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</w:t>
      </w:r>
      <w:r>
        <w:rPr>
          <w:rFonts w:ascii="Times New Roman" w:hAnsi="Times New Roman"/>
          <w:noProof/>
          <w:sz w:val="24"/>
          <w:szCs w:val="24"/>
          <w:lang w:val="mt-MT"/>
        </w:rPr>
        <w:t>ijiet</w:t>
      </w:r>
      <w:r>
        <w:rPr>
          <w:rFonts w:ascii="Times New Roman" w:hAnsi="Times New Roman"/>
          <w:noProof/>
          <w:sz w:val="24"/>
          <w:szCs w:val="24"/>
        </w:rPr>
        <w:t xml:space="preserve"> serra </w:t>
      </w:r>
      <w:r>
        <w:rPr>
          <w:rFonts w:ascii="Times New Roman" w:hAnsi="Times New Roman"/>
          <w:noProof/>
          <w:sz w:val="24"/>
          <w:szCs w:val="24"/>
          <w:lang w:val="mt-MT"/>
        </w:rPr>
        <w:t xml:space="preserve"> (GHG) </w:t>
      </w:r>
      <w:r>
        <w:rPr>
          <w:rFonts w:ascii="Times New Roman" w:hAnsi="Times New Roman"/>
          <w:noProof/>
          <w:sz w:val="24"/>
          <w:szCs w:val="24"/>
        </w:rPr>
        <w:t xml:space="preserve">diġà kienu 23 % inqas mil-livell tal-1990 fuq il-bażi tad-data preliminari tal-2016, esklużi l-użu tal-art, </w:t>
      </w:r>
      <w:r>
        <w:rPr>
          <w:rFonts w:ascii="Times New Roman" w:hAnsi="Times New Roman"/>
          <w:noProof/>
          <w:sz w:val="24"/>
          <w:szCs w:val="24"/>
          <w:lang w:val="mt-MT"/>
        </w:rPr>
        <w:t>it-</w:t>
      </w:r>
      <w:r>
        <w:rPr>
          <w:rFonts w:ascii="Times New Roman" w:hAnsi="Times New Roman"/>
          <w:noProof/>
          <w:sz w:val="24"/>
          <w:szCs w:val="24"/>
        </w:rPr>
        <w:t>tibdil fl-użu tal-art u l-forestrija (LULUCF) u inkluża l-avjazzjoni internazzjonali (ara l-Figura 1).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Skont l-iktar projezzjonijiet riċenti tal-Istati Membri bbażati fuq il-miżuri eżistenti, il-mira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20 % għall-2020 se tintlaħaq. Fl-2030, l-emissjonijiet huma mistennija jkunu 30 % inqas milli kienu fl-1990 jekk ma tiġi implimentata ebda politika addizzjonali. Għaldaqstant, bħalissa l-UE qed tinnegozja leġiżlazzjoni ġdida biex tiżgura li tilħaq l-objettiv tagħha li tnaqqas l-emissjonijiet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mill-inqas 40 % bejn l-1990 u l-2030 (ara t-taqsima 3).</w:t>
      </w:r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21" w:name="_Ref492994494"/>
      <w:bookmarkStart w:id="22" w:name="_Toc495580774"/>
      <w:bookmarkStart w:id="23" w:name="_Toc495675891"/>
      <w:bookmarkStart w:id="24" w:name="_Toc495676426"/>
      <w:bookmarkStart w:id="25" w:name="_Toc496644711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1</w:t>
      </w:r>
      <w:r>
        <w:rPr>
          <w:rFonts w:ascii="Times New Roman" w:hAnsi="Times New Roman"/>
          <w:noProof/>
        </w:rPr>
        <w:fldChar w:fldCharType="end"/>
      </w:r>
      <w:bookmarkEnd w:id="21"/>
      <w:r>
        <w:rPr>
          <w:rFonts w:ascii="Times New Roman" w:hAnsi="Times New Roman"/>
          <w:noProof/>
        </w:rPr>
        <w:t>: Nimxu lejn l-ilħuq tal-miri tal-Ewropa 2020 u 2030 (l-emissjonijiet totali ta</w:t>
      </w:r>
      <w:r>
        <w:rPr>
          <w:rFonts w:ascii="Times New Roman" w:hAnsi="Times New Roman"/>
          <w:noProof/>
          <w:lang w:val="mt-MT"/>
        </w:rPr>
        <w:t>’</w:t>
      </w:r>
      <w:r>
        <w:rPr>
          <w:rFonts w:ascii="Times New Roman" w:hAnsi="Times New Roman"/>
          <w:noProof/>
          <w:cs/>
        </w:rPr>
        <w:t xml:space="preserve"> </w:t>
      </w:r>
      <w:r>
        <w:rPr>
          <w:rFonts w:ascii="Times New Roman" w:hAnsi="Times New Roman"/>
          <w:noProof/>
        </w:rPr>
        <w:t>GHG tal-UE)</w:t>
      </w:r>
      <w:bookmarkEnd w:id="22"/>
      <w:bookmarkEnd w:id="23"/>
      <w:bookmarkEnd w:id="24"/>
      <w:bookmarkEnd w:id="25"/>
    </w:p>
    <w:p w:rsidR="006222FD" w:rsidRDefault="006222FD">
      <w:pPr>
        <w:jc w:val="center"/>
        <w:rPr>
          <w:rFonts w:ascii="Times New Roman" w:hAnsi="Times New Roman" w:cs="Times New Roman"/>
          <w:noProof/>
          <w:sz w:val="20"/>
          <w:szCs w:val="20"/>
        </w:rPr>
      </w:pPr>
      <w:r>
        <w:rPr>
          <w:noProof/>
          <w:szCs w:val="20"/>
        </w:rPr>
        <w:pict>
          <v:shape id="_x0000_i1026" type="#_x0000_t75" style="width:498.75pt;height:204.75pt">
            <v:imagedata r:id="rId21" o:title=""/>
          </v:shape>
        </w:pic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L-UE qiegħda tkompli bid-diżakkoppjament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suċċess tat-tkabbir ekonomiku minn mal-emissjonijiet tagħha (ara l-Figura 2). Mill-1990 sal-2016, il-PDG tal-UE żdied bi 53 %, filwaqt li l-emissjonijiet totali naqsu bi 23 %. L-intensità tal-emissjonijiet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 serra tal-ekonomija tal-UE, iddefinita bħala l-proporzjon bejn l-emissjonijiet u l-PDG, naqset bin-nofs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dak il-perjodu.</w:t>
      </w:r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26" w:name="_Ref494209937"/>
      <w:bookmarkStart w:id="27" w:name="_Toc495580775"/>
      <w:bookmarkStart w:id="28" w:name="_Toc495675892"/>
      <w:bookmarkStart w:id="29" w:name="_Toc495676427"/>
      <w:bookmarkStart w:id="30" w:name="_Toc496644712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2</w:t>
      </w:r>
      <w:r>
        <w:rPr>
          <w:rFonts w:ascii="Times New Roman" w:hAnsi="Times New Roman"/>
          <w:noProof/>
        </w:rPr>
        <w:fldChar w:fldCharType="end"/>
      </w:r>
      <w:bookmarkEnd w:id="26"/>
      <w:r>
        <w:rPr>
          <w:rFonts w:ascii="Times New Roman" w:hAnsi="Times New Roman"/>
          <w:noProof/>
        </w:rPr>
        <w:t>: Tibdil fil-PDG reali, fl-emissjonijiet ta</w:t>
      </w:r>
      <w:r>
        <w:rPr>
          <w:rFonts w:ascii="Times New Roman" w:hAnsi="Times New Roman"/>
          <w:noProof/>
          <w:lang w:val="mt-MT"/>
        </w:rPr>
        <w:t>’</w:t>
      </w:r>
      <w:r>
        <w:rPr>
          <w:rFonts w:ascii="Times New Roman" w:hAnsi="Times New Roman"/>
          <w:noProof/>
          <w:cs/>
        </w:rPr>
        <w:t xml:space="preserve"> </w:t>
      </w:r>
      <w:r>
        <w:rPr>
          <w:rFonts w:ascii="Times New Roman" w:hAnsi="Times New Roman"/>
          <w:noProof/>
        </w:rPr>
        <w:t>GHG u fl-intensità tal-emissjonijiet ta</w:t>
      </w:r>
      <w:r>
        <w:rPr>
          <w:rFonts w:ascii="Times New Roman" w:hAnsi="Times New Roman"/>
          <w:noProof/>
          <w:lang w:val="mt-MT"/>
        </w:rPr>
        <w:t>’</w:t>
      </w:r>
      <w:r>
        <w:rPr>
          <w:rFonts w:ascii="Times New Roman" w:hAnsi="Times New Roman"/>
          <w:noProof/>
          <w:cs/>
        </w:rPr>
        <w:t xml:space="preserve"> </w:t>
      </w:r>
      <w:r>
        <w:rPr>
          <w:rFonts w:ascii="Times New Roman" w:hAnsi="Times New Roman"/>
          <w:noProof/>
        </w:rPr>
        <w:t>GHG fl-UE, 1990-2016</w:t>
      </w:r>
      <w:bookmarkEnd w:id="27"/>
      <w:bookmarkEnd w:id="28"/>
      <w:bookmarkEnd w:id="29"/>
      <w:bookmarkEnd w:id="30"/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pict>
          <v:shape id="_x0000_i1027" type="#_x0000_t75" style="width:472.5pt;height:327pt">
            <v:imagedata r:id="rId22" o:title=""/>
          </v:shape>
        </w:pict>
      </w:r>
    </w:p>
    <w:p w:rsidR="006222FD" w:rsidRDefault="006222FD">
      <w:pPr>
        <w:rPr>
          <w:rFonts w:ascii="Times New Roman" w:hAnsi="Times New Roman" w:cs="Times New Roman"/>
          <w:noProof/>
        </w:rPr>
      </w:pPr>
      <w:bookmarkStart w:id="31" w:name="_Toc463527674"/>
      <w:bookmarkStart w:id="32" w:name="_Toc463538560"/>
      <w:bookmarkStart w:id="33" w:name="_Toc463621134"/>
      <w:bookmarkStart w:id="34" w:name="_Toc463628460"/>
      <w:bookmarkStart w:id="35" w:name="_Toc465073860"/>
      <w:bookmarkStart w:id="36" w:name="_Toc465090123"/>
      <w:r>
        <w:rPr>
          <w:noProof/>
          <w:lang w:val="en-US"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6" type="#_x0000_t202" style="position:absolute;margin-left:239.05pt;margin-top:21.7pt;width:245.25pt;height:24.05pt;z-index:2516505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" stroked="f">
            <v:path arrowok="t"/>
            <v:textbox style="mso-fit-shape-to-text:t" inset="0,0,0,0">
              <w:txbxContent>
                <w:p w:rsidR="006222FD" w:rsidRDefault="006222FD">
                  <w:pPr>
                    <w:pStyle w:val="Caption"/>
                    <w:ind w:left="993" w:hanging="993"/>
                  </w:pPr>
                </w:p>
              </w:txbxContent>
            </v:textbox>
            <w10:wrap type="square"/>
          </v:shape>
        </w:pic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  <w:t xml:space="preserve">Evalwazzjoni </w:t>
      </w:r>
      <w:r>
        <w:rPr>
          <w:rFonts w:ascii="Times New Roman" w:hAnsi="Times New Roman" w:cs="Times New Roman"/>
          <w:noProof/>
          <w:sz w:val="24"/>
          <w:szCs w:val="24"/>
          <w:cs/>
          <w:lang w:val="en-GB" w:eastAsia="en-US"/>
        </w:rPr>
        <w:t>“</w:t>
      </w:r>
      <w:r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  <w:t>ex post</w:t>
      </w:r>
      <w:r>
        <w:rPr>
          <w:rFonts w:ascii="Times New Roman" w:hAnsi="Times New Roman" w:cs="Times New Roman"/>
          <w:noProof/>
          <w:sz w:val="24"/>
          <w:szCs w:val="24"/>
          <w:cs/>
          <w:lang w:val="en-GB" w:eastAsia="en-US"/>
        </w:rPr>
        <w:t xml:space="preserve">” </w:t>
      </w:r>
      <w:r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  <w:t>tal-politiki dwar it-tibdil fil-klima turi li t-tnaqqis fl-intensità tal-emissjonijiet tal-ekonomija hu xprunat primarjament mill-innovazzjoni. L-innovazzjoni ma tinkludix biss l-użu ta’</w:t>
      </w:r>
      <w:r>
        <w:rPr>
          <w:rFonts w:ascii="Times New Roman" w:hAnsi="Times New Roman" w:cs="Times New Roman"/>
          <w:noProof/>
          <w:sz w:val="24"/>
          <w:szCs w:val="24"/>
          <w:cs/>
          <w:lang w:val="en-GB" w:eastAsia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  <w:t>teknoloġiji b’livell baxx ta’ emissjonijiet tal-karbonju bħall-enerġija rinnovabbli iżda anki ż-żieda fil-produttività, pereżempju permezz ta’</w:t>
      </w:r>
      <w:r>
        <w:rPr>
          <w:rFonts w:ascii="Times New Roman" w:hAnsi="Times New Roman" w:cs="Times New Roman"/>
          <w:noProof/>
          <w:sz w:val="24"/>
          <w:szCs w:val="24"/>
          <w:cs/>
          <w:lang w:val="en-GB" w:eastAsia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  <w:t>impjanti tal-enerġija u permezz ta’</w:t>
      </w:r>
      <w:r>
        <w:rPr>
          <w:rFonts w:ascii="Times New Roman" w:hAnsi="Times New Roman" w:cs="Times New Roman"/>
          <w:noProof/>
          <w:sz w:val="24"/>
          <w:szCs w:val="24"/>
          <w:cs/>
          <w:lang w:val="en-GB" w:eastAsia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GB" w:eastAsia="en-US" w:bidi="ar-SA"/>
        </w:rPr>
        <w:t>karozzi iktar effiċjenti. Iċ-ċaqliq relattiv bejn is-setturi ekonomiċi, eż. mill-industrija għas-servizzi, kellu effett marġinali madwar l-UE kollha.</w:t>
      </w:r>
    </w:p>
    <w:p w:rsidR="006222FD" w:rsidRDefault="006222FD">
      <w:pPr>
        <w:pStyle w:val="Caption"/>
        <w:ind w:left="993" w:hanging="993"/>
        <w:jc w:val="center"/>
        <w:rPr>
          <w:rFonts w:ascii="Times New Roman" w:hAnsi="Times New Roman" w:cs="Times New Roman"/>
          <w:noProof/>
        </w:rPr>
      </w:pPr>
      <w:bookmarkStart w:id="37" w:name="_Ref494210042"/>
      <w:bookmarkStart w:id="38" w:name="_Toc495580776"/>
      <w:bookmarkStart w:id="39" w:name="_Toc495675893"/>
      <w:bookmarkStart w:id="40" w:name="_Toc495676428"/>
      <w:bookmarkStart w:id="41" w:name="_Toc496644713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3</w:t>
      </w:r>
      <w:r>
        <w:rPr>
          <w:rFonts w:ascii="Times New Roman" w:hAnsi="Times New Roman"/>
          <w:noProof/>
        </w:rPr>
        <w:fldChar w:fldCharType="end"/>
      </w:r>
      <w:bookmarkEnd w:id="37"/>
      <w:r>
        <w:rPr>
          <w:rFonts w:ascii="Times New Roman" w:hAnsi="Times New Roman"/>
          <w:noProof/>
        </w:rPr>
        <w:t>: L-iżvilupp tal-emissjonijiet per capita tal-ikbar ekonomiji, 1990-2012</w:t>
      </w:r>
      <w:bookmarkEnd w:id="38"/>
      <w:bookmarkEnd w:id="39"/>
      <w:bookmarkEnd w:id="40"/>
      <w:bookmarkEnd w:id="41"/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pict>
          <v:shape id="_x0000_i1028" type="#_x0000_t75" style="width:485.25pt;height:256.5pt">
            <v:imagedata r:id="rId23" o:title=""/>
          </v:shape>
        </w:pic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val="en-US" w:eastAsia="en-US" w:bidi="ar-SA"/>
        </w:rPr>
        <w:pict>
          <v:shape id="Text Box 2" o:spid="_x0000_s1027" type="#_x0000_t202" style="position:absolute;left:0;text-align:left;margin-left:251.85pt;margin-top:168.3pt;width:199.55pt;height:140pt;z-index:25164953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" stroked="f">
            <v:textbox style="mso-fit-shape-to-text:t">
              <w:txbxContent>
                <w:p w:rsidR="006222FD" w:rsidRDefault="006222FD">
                  <w:r>
                    <w:rPr>
                      <w:sz w:val="18"/>
                    </w:rPr>
                    <w:t>Sors: Database tal-EDGAR tal-JRC</w:t>
                  </w:r>
                </w:p>
              </w:txbxContent>
            </v:textbox>
            <w10:wrap type="topAndBottom"/>
          </v:shape>
        </w:pict>
      </w:r>
      <w:r>
        <w:rPr>
          <w:rFonts w:ascii="Times New Roman" w:hAnsi="Times New Roman"/>
          <w:noProof/>
          <w:sz w:val="24"/>
          <w:szCs w:val="24"/>
        </w:rPr>
        <w:t>Hu stmat li s-sehem tal-UE mill-emissjonijiet globali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</w:t>
      </w:r>
      <w:r>
        <w:rPr>
          <w:rFonts w:ascii="Times New Roman" w:hAnsi="Times New Roman"/>
          <w:noProof/>
          <w:sz w:val="24"/>
          <w:szCs w:val="24"/>
          <w:lang w:val="mt-MT"/>
        </w:rPr>
        <w:t>ijiet</w:t>
      </w:r>
      <w:r>
        <w:rPr>
          <w:rFonts w:ascii="Times New Roman" w:hAnsi="Times New Roman"/>
          <w:noProof/>
          <w:sz w:val="24"/>
          <w:szCs w:val="24"/>
        </w:rPr>
        <w:t xml:space="preserve"> serra naqas minn 17.3 % fl-1990 għal 9.9 % fl-2012. Is-sehem tagħha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CO</w:t>
      </w:r>
      <w:r>
        <w:rPr>
          <w:rFonts w:ascii="Times New Roman" w:hAnsi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/>
          <w:noProof/>
          <w:sz w:val="24"/>
          <w:szCs w:val="24"/>
        </w:rPr>
        <w:t xml:space="preserve"> waħedhom naqas minn 19.7 % fl-1990 għal 9.6 % fl-2015. Tqabbil tal-emissjonijiet </w:t>
      </w:r>
      <w:r>
        <w:rPr>
          <w:rFonts w:ascii="Times New Roman" w:hAnsi="Times New Roman"/>
          <w:i/>
          <w:noProof/>
          <w:sz w:val="24"/>
          <w:szCs w:val="24"/>
        </w:rPr>
        <w:t>per capita</w:t>
      </w:r>
      <w:r>
        <w:rPr>
          <w:rFonts w:ascii="Times New Roman" w:hAnsi="Times New Roman"/>
          <w:noProof/>
          <w:sz w:val="24"/>
          <w:szCs w:val="24"/>
        </w:rPr>
        <w:t xml:space="preserve"> tat-tliet gassijiet serra ewlenin (CO</w:t>
      </w:r>
      <w:r>
        <w:rPr>
          <w:rFonts w:ascii="Times New Roman" w:hAnsi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/>
          <w:noProof/>
          <w:sz w:val="24"/>
          <w:szCs w:val="24"/>
        </w:rPr>
        <w:t>, CH</w:t>
      </w:r>
      <w:r>
        <w:rPr>
          <w:rFonts w:ascii="Times New Roman" w:hAnsi="Times New Roman"/>
          <w:noProof/>
          <w:sz w:val="24"/>
          <w:szCs w:val="24"/>
          <w:vertAlign w:val="subscript"/>
        </w:rPr>
        <w:t>4</w:t>
      </w:r>
      <w:r>
        <w:rPr>
          <w:rFonts w:ascii="Times New Roman" w:hAnsi="Times New Roman"/>
          <w:noProof/>
          <w:sz w:val="24"/>
          <w:szCs w:val="24"/>
        </w:rPr>
        <w:t xml:space="preserve"> u N</w:t>
      </w:r>
      <w:r>
        <w:rPr>
          <w:rFonts w:ascii="Times New Roman" w:hAnsi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/>
          <w:noProof/>
          <w:sz w:val="24"/>
          <w:szCs w:val="24"/>
        </w:rPr>
        <w:t xml:space="preserve">O) għall-ikbar tliet ekonomiji juri li l-UE u ċ-Ċina kellhom emissjonijiet </w:t>
      </w:r>
      <w:r>
        <w:rPr>
          <w:rFonts w:ascii="Times New Roman" w:hAnsi="Times New Roman"/>
          <w:i/>
          <w:noProof/>
          <w:sz w:val="24"/>
          <w:szCs w:val="24"/>
        </w:rPr>
        <w:t>per capita</w:t>
      </w:r>
      <w:r>
        <w:rPr>
          <w:rFonts w:ascii="Times New Roman" w:hAnsi="Times New Roman"/>
          <w:noProof/>
          <w:sz w:val="24"/>
          <w:szCs w:val="24"/>
        </w:rPr>
        <w:t xml:space="preserve"> ferm inqas minn dawk tal-Istati Uniti (ara l-Figura 3).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Fl-2015, is-settur tal-LULUCF fl-UE pprovda bir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karbonju rrapportat li jassorbi 305 Mt CO</w:t>
      </w:r>
      <w:r>
        <w:rPr>
          <w:rFonts w:ascii="Times New Roman" w:hAnsi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/>
          <w:noProof/>
          <w:sz w:val="24"/>
          <w:szCs w:val="24"/>
        </w:rPr>
        <w:t xml:space="preserve"> eq (inklużi raba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u bur)</w:t>
      </w:r>
      <w:r>
        <w:rPr>
          <w:rFonts w:ascii="Times New Roman" w:hAnsi="Times New Roman"/>
          <w:i/>
          <w:noProof/>
          <w:color w:val="1F497D"/>
          <w:sz w:val="24"/>
          <w:szCs w:val="24"/>
        </w:rPr>
        <w:t xml:space="preserve">. </w:t>
      </w:r>
      <w:r>
        <w:rPr>
          <w:rFonts w:ascii="Times New Roman" w:hAnsi="Times New Roman"/>
          <w:noProof/>
          <w:sz w:val="24"/>
          <w:szCs w:val="24"/>
        </w:rPr>
        <w:t>Il-kreditu kontabilizzat, li jirrappreżenta d-differenza bejn il-valur irrapportat u l-linja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referenza, żdied minn 115 għal 122 Mt CO</w:t>
      </w:r>
      <w:r>
        <w:rPr>
          <w:rFonts w:ascii="Times New Roman" w:hAnsi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/>
          <w:noProof/>
          <w:sz w:val="24"/>
          <w:szCs w:val="24"/>
        </w:rPr>
        <w:t xml:space="preserve"> eq. bejn l-2013 u l-2015. Il-ġestjoni tal-foresti tirrappreżenta ħafna minn dan il-kreditu (ara l-Figura 4). Għaldaqstant, l-UE għadha fi triqitha li ma jkollha ebda dejn mis-settur tal-LULUCF u għandha probabilità kbira li twettaq l-impenn li ħadet fil-Protokoll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Kjoto. </w:t>
      </w:r>
    </w:p>
    <w:p w:rsidR="006222FD" w:rsidRDefault="006222FD">
      <w:pPr>
        <w:pStyle w:val="Caption"/>
        <w:ind w:left="993" w:hanging="993"/>
        <w:jc w:val="center"/>
        <w:rPr>
          <w:rFonts w:ascii="Times New Roman" w:hAnsi="Times New Roman" w:cs="Times New Roman"/>
          <w:noProof/>
        </w:rPr>
      </w:pPr>
      <w:bookmarkStart w:id="42" w:name="_Ref493168683"/>
      <w:bookmarkStart w:id="43" w:name="_Toc493153418"/>
      <w:bookmarkStart w:id="44" w:name="_Toc495580777"/>
      <w:bookmarkStart w:id="45" w:name="_Toc495675894"/>
      <w:bookmarkStart w:id="46" w:name="_Toc495676429"/>
      <w:bookmarkStart w:id="47" w:name="_Toc496644714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4</w:t>
      </w:r>
      <w:r>
        <w:rPr>
          <w:rFonts w:ascii="Times New Roman" w:hAnsi="Times New Roman"/>
          <w:noProof/>
        </w:rPr>
        <w:fldChar w:fldCharType="end"/>
      </w:r>
      <w:bookmarkEnd w:id="42"/>
      <w:r>
        <w:rPr>
          <w:rFonts w:ascii="Times New Roman" w:hAnsi="Times New Roman"/>
          <w:noProof/>
        </w:rPr>
        <w:t>: L-emissjonijiet u t-tneħħijiet kontabilizzati mis-settur tal-LULUCF għal kull attività, 2013-201</w:t>
      </w:r>
      <w:bookmarkEnd w:id="43"/>
      <w:r>
        <w:rPr>
          <w:rFonts w:ascii="Times New Roman" w:hAnsi="Times New Roman"/>
          <w:noProof/>
        </w:rPr>
        <w:t>5</w:t>
      </w:r>
      <w:bookmarkEnd w:id="44"/>
      <w:bookmarkEnd w:id="45"/>
      <w:bookmarkEnd w:id="46"/>
      <w:bookmarkEnd w:id="47"/>
      <w:r>
        <w:rPr>
          <w:rFonts w:ascii="Times New Roman" w:hAnsi="Times New Roman"/>
          <w:noProof/>
        </w:rPr>
        <w:t xml:space="preserve"> </w:t>
      </w:r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  <w:lang w:val="en-US" w:eastAsia="en-US" w:bidi="ar-SA"/>
        </w:rPr>
        <w:pict>
          <v:line id="Straight Connector 5" o:spid="_x0000_s1028" style="position:absolute;left:0;text-align:left;flip:y;z-index:251663872;visibility:visible" from="117.65pt,62pt" to="416.65pt,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">
            <o:lock v:ext="edit" shapetype="f"/>
          </v:line>
        </w:pict>
      </w:r>
      <w:r>
        <w:rPr>
          <w:noProof/>
        </w:rPr>
        <w:pict>
          <v:shape id="_x0000_i1029" type="#_x0000_t75" style="width:348pt;height:217.5pt">
            <v:imagedata r:id="rId24" o:title=""/>
          </v:shape>
        </w:pict>
      </w:r>
      <w:r>
        <w:rPr>
          <w:noProof/>
          <w:lang w:val="en-US" w:eastAsia="en-US" w:bidi="ar-SA"/>
        </w:rPr>
        <w:pict>
          <v:shape id="TextBox 2" o:spid="_x0000_s1029" type="#_x0000_t202" style="position:absolute;left:0;text-align:left;margin-left:197.75pt;margin-top:23.5pt;width:161.85pt;height:22.65pt;z-index:251661824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" filled="f" stroked="f">
            <v:path arrowok="t"/>
            <v:textbox style="mso-fit-shape-to-text:t">
              <w:txbxContent>
                <w:p w:rsidR="006222FD" w:rsidRDefault="006222FD">
                  <w:pPr>
                    <w:spacing w:after="0"/>
                  </w:pPr>
                  <w:r>
                    <w:rPr>
                      <w:color w:val="000000"/>
                    </w:rPr>
                    <w:t>emissjonijiet netti (valur pożittiv)</w:t>
                  </w:r>
                </w:p>
              </w:txbxContent>
            </v:textbox>
          </v:shape>
        </w:pict>
      </w:r>
      <w:r>
        <w:rPr>
          <w:noProof/>
          <w:lang w:val="en-US" w:eastAsia="en-US" w:bidi="ar-SA"/>
        </w:rPr>
        <w:pict>
          <v:shape id="TextBox 3" o:spid="_x0000_s1030" type="#_x0000_t202" style="position:absolute;left:0;text-align:left;margin-left:215.25pt;margin-top:137pt;width:152.15pt;height:22.65pt;z-index:25166284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" filled="f" stroked="f">
            <v:path arrowok="t"/>
            <v:textbox style="mso-fit-shape-to-text:t">
              <w:txbxContent>
                <w:p w:rsidR="006222FD" w:rsidRDefault="006222FD">
                  <w:pPr>
                    <w:spacing w:after="0"/>
                  </w:pPr>
                  <w:r>
                    <w:rPr>
                      <w:color w:val="000000"/>
                    </w:rPr>
                    <w:t>tneħħijiet netti (valur negattiv)</w:t>
                  </w:r>
                </w:p>
              </w:txbxContent>
            </v:textbox>
          </v:shape>
        </w:pic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48" w:name="_Toc492542678"/>
      <w:bookmarkStart w:id="49" w:name="_Toc493004504"/>
      <w:r>
        <w:rPr>
          <w:rFonts w:cs="Cordia New"/>
          <w:b w:val="0"/>
          <w:i w:val="0"/>
          <w:noProof/>
          <w:szCs w:val="24"/>
          <w:u w:val="single"/>
        </w:rPr>
        <w:t>Nimxu lejn il-miri tal-2020</w:t>
      </w:r>
      <w:bookmarkEnd w:id="31"/>
      <w:bookmarkEnd w:id="32"/>
      <w:bookmarkEnd w:id="33"/>
      <w:bookmarkEnd w:id="34"/>
      <w:bookmarkEnd w:id="35"/>
      <w:bookmarkEnd w:id="36"/>
      <w:bookmarkEnd w:id="48"/>
      <w:bookmarkEnd w:id="49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Skont l-aħħar projezzjonijiet tal-Istati Membri bbażati fuq il-miżuri eżistenti, l-emissjonijiet huma mistennija li jkunu 26 % inqas fl-2020 meta mqabbla mal-1990. Għaldaqstant, l-UE għadha fi triqitha li tilħaq il-mira tagħha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tnaqqis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20 % tal-emissjonijiet domestiċi sal-2020 u, konsegwentement, li tirrispetta l-obbligi li ħadet fit-tieni perijodu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impenn tal-Protokoll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Kjoto.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Bejn l-2005 u l-2016, l-emissjonijiet stazzjonarji, eż. minn impjanti tal-enerġija jew minn raffineriji, koperti mill-iskema tal-UE għall-iskambju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kwoti tal-emissjonijiet (ETS) naqsu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26 %. Dan hu tnaqqis ferm ikbar minn dak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23 % stabbilit bħala l-mira għall-2020. Dawn l-emissjonijiet kienu jirrappreżentaw madwar 40 % tal-emissjonijiet totali tal-UE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 serra fl-2016. L-emissjonijiet totali tal-UE naqsu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0.7 % mill-2015 għall-2016, filwaqt li l-PDG kumplessiv żdied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1.9 %, sitwazzjoni li tikkonferma li l-emissjonijiet u l-PDG qed jiġu ddiżakkoppjati.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L-emissjonijiet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 serra minn installazzjonijiet fissi koperti mill-ETS tal-UE naqsu bi 2.9 % meta mqabbla mal-2015, skont id-data preliminari. Dan juri tendenza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tnaqqis fl-emissjonijiet sa mill-bidu tal-Fażi 3 tal-ETS tal-UE. Barra minn hekk, l-eċċess tal-kwoti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emissjonijiet li kien akkumula mill-2009 naqas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mod sinifikanti, għal madwar 1.69 biljun kwota, peress li ġew irkantati inqas kwoti. L-eċċess jinsab fl-inqas livell tiegħu mill-2013 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l hawn.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L-emissjonijiet mhux koperti mill-ETS tal-UE kienu 11 % inqas fl-2016 milli fl-2005, u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hekk inqabżet il-mira tal-2020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tnaqqis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10 %. Madankollu, fl-2016 dawn żdiedu għat-tieni sena konsekuttiva,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0.9 %. Dan hu spjegat mill-inqas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parti minnu mill-prezzijiet orħos taż-żejt u mid-domanda ogħla għat-tisħin minħabba l-kundizzjonijiet tat-temp kemm fl-2015 kif ukoll fl-2016. Skont id-Deċiżjoni dwar il-Kondiviżjoni tal-Isforzi (ESD), l-Istati Membri jridu jilħqu l-miri vinkolanti annwali għall-2013-2020 rigward l-emissjonijiet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 serra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setturi mhux koperti mill-ETS, inklużi l-binijiet, it-trasport, l-iskart u l-agrikoltura. Malta naqset milli tilħaq il-mira tal-ESD tagħha għal kull waħda mit-tliet snin 2013-2015 u użat il-mekkaniżmu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flessibilità biex tikkonforma mal-obbligi ġuridiċi tagħha. L-istimi preliminari għall-2016 juru li Malta, il-Belġju, il-Finlandja u l-Irlanda aktarx li mhux se jirnexxilhom jilħqu l-miri mhux tal-ETS tagħhom.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Skont il-projezzjonijiet nazzjonali bbażati fuq politiki diġà implimentati, ħafna mill-Istati Membri huma mistennija jilħqu l-miri tal-2020 tagħhom (ara l-Figura 5). Ftit biss ser ikollhom jieħdu miżuri addizzjonali jew jużaw flessibbiltajiet bħax-xiri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allokazzjonijiet mingħand Stati Membri oħra li marru lil hinn jew jużaw l-eċċessi tagħhom stess mill-ewwel snin tal-perijodu.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Ċerti Stati Membri jinsabu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sitwazzjoni speċjali fir-rigward tal-2020.</w:t>
      </w:r>
    </w:p>
    <w:p w:rsidR="006222FD" w:rsidRDefault="006222FD">
      <w:pPr>
        <w:numPr>
          <w:ilvl w:val="0"/>
          <w:numId w:val="3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Fl-Irlanda, l-emissjonijiet huma mistennija jiżdiedu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6 punti perċentwali bejn l-2015 u l-2020 u jibqgħu ogħla mill-allokazzjonijiet annwali tal-ESD, bl-emissjonijiet mit-trasport li huma mistennija jiżdiedu bi 12 %.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Ġunju 2017, bħala parti miċ-ċiklu annwali tal-UE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koordinazzjoni ekonomika (is-Semestru Ewropew), ġie rrakkomandat li l-Irlanda tkompli żżid l-investiment fit-trasport pubbliku.</w:t>
      </w:r>
    </w:p>
    <w:p w:rsidR="006222FD" w:rsidRDefault="006222FD">
      <w:pPr>
        <w:numPr>
          <w:ilvl w:val="0"/>
          <w:numId w:val="3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L-emissjonijiet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Malta huma mistennija jibqgħu ogħla mill-allokazzjonijiet annwali tal-ESD. L-emissjonijiet mill-idrofluworokarburi u fis-settur tat-trasport żdiedu.</w:t>
      </w:r>
    </w:p>
    <w:p w:rsidR="006222FD" w:rsidRDefault="006222FD">
      <w:pPr>
        <w:pStyle w:val="Caption"/>
        <w:keepNext/>
        <w:ind w:left="1560" w:right="198"/>
        <w:jc w:val="center"/>
        <w:rPr>
          <w:rFonts w:ascii="Times New Roman" w:hAnsi="Times New Roman" w:cs="Times New Roman"/>
          <w:noProof/>
        </w:rPr>
      </w:pPr>
      <w:bookmarkStart w:id="50" w:name="_Ref391375663"/>
      <w:bookmarkEnd w:id="50"/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51" w:name="_Ref494210659"/>
      <w:bookmarkStart w:id="52" w:name="_Toc495580778"/>
      <w:bookmarkStart w:id="53" w:name="_Toc495675895"/>
      <w:bookmarkStart w:id="54" w:name="_Toc495676430"/>
      <w:bookmarkStart w:id="55" w:name="_Toc496644715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5</w:t>
      </w:r>
      <w:r>
        <w:rPr>
          <w:rFonts w:ascii="Times New Roman" w:hAnsi="Times New Roman"/>
          <w:noProof/>
        </w:rPr>
        <w:fldChar w:fldCharType="end"/>
      </w:r>
      <w:bookmarkEnd w:id="51"/>
      <w:r>
        <w:rPr>
          <w:rFonts w:ascii="Times New Roman" w:hAnsi="Times New Roman"/>
          <w:noProof/>
        </w:rPr>
        <w:t>: Id-diskrepanza relattiva bejn l-emissjonijiet projettati tal-2020 barra mill-ETS u l-miri tal-2020 (f</w:t>
      </w:r>
      <w:r>
        <w:rPr>
          <w:rFonts w:ascii="Times New Roman" w:hAnsi="Times New Roman"/>
          <w:noProof/>
          <w:lang w:val="mt-MT"/>
        </w:rPr>
        <w:t>’</w:t>
      </w:r>
      <w:r>
        <w:rPr>
          <w:rFonts w:ascii="Times New Roman" w:hAnsi="Times New Roman"/>
          <w:noProof/>
        </w:rPr>
        <w:t>% tal-emissjonijiet tal-2005).</w:t>
      </w:r>
      <w:bookmarkEnd w:id="52"/>
      <w:bookmarkEnd w:id="53"/>
      <w:bookmarkEnd w:id="54"/>
      <w:bookmarkEnd w:id="55"/>
    </w:p>
    <w:p w:rsidR="006222FD" w:rsidRDefault="006222FD">
      <w:pPr>
        <w:jc w:val="center"/>
        <w:rPr>
          <w:noProof/>
        </w:rPr>
      </w:pPr>
      <w:r>
        <w:rPr>
          <w:noProof/>
        </w:rPr>
        <w:pict>
          <v:shape id="_x0000_i1030" type="#_x0000_t75" style="width:407.25pt;height:389.25pt">
            <v:imagedata r:id="rId25" o:title=""/>
          </v:shape>
        </w:pict>
      </w:r>
    </w:p>
    <w:p w:rsidR="006222FD" w:rsidRDefault="006222FD">
      <w:pPr>
        <w:numPr>
          <w:ilvl w:val="0"/>
          <w:numId w:val="3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Il-Belġju hu mistenni li ma jilħaqx il-mira tal-2020 tiegħu għal 3.5 punti perċentwali. Kif indikat fis-Semestru Ewropew, il-kompożizzjoni tan-nefqa pubblika trid titjieb biex jinħoloq lok għal investiment infrastrutturali, inkluża l-infrastruttura tat-trasport. L-issuktar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trattament favorevoli tal-karozzi tal-kumpaniji jikkontribwixxi għat-tniġġis, għall-konġestjoni u għall-emissjonijiet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gass</w:t>
      </w:r>
      <w:r>
        <w:rPr>
          <w:rFonts w:ascii="Times New Roman" w:hAnsi="Times New Roman"/>
          <w:noProof/>
          <w:sz w:val="24"/>
          <w:szCs w:val="24"/>
          <w:lang w:val="mt-MT"/>
        </w:rPr>
        <w:t>ijiet</w:t>
      </w:r>
      <w:r>
        <w:rPr>
          <w:rFonts w:ascii="Times New Roman" w:hAnsi="Times New Roman"/>
          <w:noProof/>
          <w:sz w:val="24"/>
          <w:szCs w:val="24"/>
        </w:rPr>
        <w:t xml:space="preserve"> serra.</w:t>
      </w:r>
    </w:p>
    <w:p w:rsidR="006222FD" w:rsidRDefault="006222FD">
      <w:pPr>
        <w:numPr>
          <w:ilvl w:val="0"/>
          <w:numId w:val="3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Skont l-iktar projezzjonijiet nazzjonali riċenti, il-Ġermanja hi mistennija li ma tilħaqx il-mira tagħha għal 3.3 punti perċentwali sal-2020. Fuq il-bażi tad-data preliminari, fl-2016, it-tnaqqis tal-emissjonijiet mhux tal-ETS tal-Ġermanja kienu biss ftit inqas mill-mira.</w:t>
      </w:r>
    </w:p>
    <w:p w:rsidR="006222FD" w:rsidRDefault="006222FD">
      <w:pPr>
        <w:numPr>
          <w:ilvl w:val="0"/>
          <w:numId w:val="3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L-Awstrija u l-Lussemburgu huma mistennija li ma jilħqux il-miri tal-2020 tagħhom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marġni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inqas minn 3 punti perċentwali.</w:t>
      </w:r>
    </w:p>
    <w:p w:rsidR="006222FD" w:rsidRDefault="006222FD">
      <w:pPr>
        <w:numPr>
          <w:ilvl w:val="0"/>
          <w:numId w:val="36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Skont il-projezzjoni tagħha stess, il-Finlandja tista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tonqos milli tilħaq il-mira tal-emissjonijiet tagħha tal-2020,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marġni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inqas minn punt perċentwali. Madankollu, għall-2016, id-data preliminari tindika li l-emissjonijiet mhux tal-ETS tal-Finlandja diġà kienu 3 punti perċentwali ogħla mill-allokazzjoni għal dik is-sena.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Rigward il-LULUCF, skont il-Protokoll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Kjoto ħafna mill-Istati Membri għandhom tneħħija kkunsidrata netta kumulattiva mill-2013 sal-2015. Il-Latvja, il-Bulgarija, il-Finlandja u n-Netherlands biss għandhom emissjoni netta proviżorja. Jenħtieġ li jingħad li l-kontijiet tal-LULUCF se jiġu kkumulati tul il-perjodu bejn l-2013 u l-2020, u għaldaqstant għadhom ma jistgħux jiġu ddeterminati r-riżultati tal-kunsiderazzjoni sħiħa u, għaldaqstant, dawn għadhom proviżorji. Minkejja dan, kif intqal iktar 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il fuq, s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issa għad ma hemm ebda riskju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konformità sinifikanti fil-livell tal-UE. </w:t>
      </w:r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56" w:name="_Toc495580779"/>
      <w:bookmarkStart w:id="57" w:name="_Toc495675896"/>
      <w:bookmarkStart w:id="58" w:name="_Toc495676431"/>
      <w:bookmarkStart w:id="59" w:name="_Toc496644716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: </w:t>
      </w:r>
      <w:r>
        <w:rPr>
          <w:rFonts w:ascii="Times New Roman" w:hAnsi="Times New Roman"/>
          <w:noProof/>
          <w:lang w:val="mt-MT"/>
        </w:rPr>
        <w:t>E</w:t>
      </w:r>
      <w:r>
        <w:rPr>
          <w:rFonts w:ascii="Times New Roman" w:hAnsi="Times New Roman"/>
          <w:noProof/>
        </w:rPr>
        <w:t>missjonijiet u tneħħijiet netti kumulattivi pro</w:t>
      </w:r>
      <w:r>
        <w:rPr>
          <w:rFonts w:ascii="Times New Roman" w:hAnsi="Times New Roman"/>
          <w:noProof/>
          <w:lang w:val="mt-MT"/>
        </w:rPr>
        <w:t>v</w:t>
      </w:r>
      <w:r>
        <w:rPr>
          <w:rFonts w:ascii="Times New Roman" w:hAnsi="Times New Roman"/>
          <w:noProof/>
        </w:rPr>
        <w:t>viżorji kkunsidrati tal-LULUCF għal kull Stat Membru (2013-2015)</w:t>
      </w:r>
      <w:bookmarkEnd w:id="56"/>
      <w:bookmarkEnd w:id="57"/>
      <w:bookmarkEnd w:id="58"/>
      <w:bookmarkEnd w:id="59"/>
      <w:r>
        <w:rPr>
          <w:rFonts w:ascii="Times New Roman" w:hAnsi="Times New Roman"/>
          <w:noProof/>
        </w:rPr>
        <w:t xml:space="preserve"> </w:t>
      </w:r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pict>
          <v:shape id="_x0000_i1031" type="#_x0000_t75" style="width:496.5pt;height:222.75pt">
            <v:imagedata r:id="rId26" o:title=""/>
          </v:shape>
        </w:pic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60" w:name="_Toc493004505"/>
      <w:bookmarkStart w:id="61" w:name="_Toc492542679"/>
      <w:bookmarkStart w:id="62" w:name="_Ref485636584"/>
      <w:r>
        <w:rPr>
          <w:rFonts w:cs="Cordia New"/>
          <w:b w:val="0"/>
          <w:i w:val="0"/>
          <w:noProof/>
          <w:szCs w:val="24"/>
          <w:u w:val="single"/>
        </w:rPr>
        <w:t>Il-konformità tal-Istati Membri mad-Deċiżjoni dwar il-Kondiviżjoni tal-Isforzi</w:t>
      </w:r>
      <w:bookmarkEnd w:id="60"/>
      <w:bookmarkEnd w:id="61"/>
      <w:bookmarkEnd w:id="62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Kull wieħed mit-28 Stat Membru qabel mal-obbligi tal-ESD tiegħu għas-snin 2013-2015. Malta emittiet iktar mill-allokazzjonijiet annwali tagħha tal-emissjonijiet (AEA), iżda kopriet l-emissjonijiet eċċessivi tagħha billi xtrat unitajiet mingħand il-Bulgarija. L-Iżvezja emittiet inqas mill-allokazzjoni tagħha u ħassret l-unitajiet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riżerva tagħha biex issaħħaħ l-integrità ambjentali tas-sistema. S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issa ma ntuża ebda kreditu internazzjonali mill-mekkaniżmu għal żvilupp nadif (CDM) jew mill-implimentazzjoni konġunta (JI) biex tinżamm konformità mal-obbligi tal-ESD. L-eċċess kumulattiv mistenni tal-allokazzjonijiet annwali tal-emissjonijiet għal kull Stat Membru għat-tliet snin 2013-2015 hu muri fil-Figura 7.</w:t>
      </w:r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63" w:name="_Ref493001472"/>
      <w:bookmarkStart w:id="64" w:name="_Toc495580780"/>
      <w:bookmarkStart w:id="65" w:name="_Toc495675897"/>
      <w:bookmarkStart w:id="66" w:name="_Toc495676432"/>
      <w:bookmarkStart w:id="67" w:name="_Toc496644717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7</w:t>
      </w:r>
      <w:r>
        <w:rPr>
          <w:rFonts w:ascii="Times New Roman" w:hAnsi="Times New Roman"/>
          <w:noProof/>
        </w:rPr>
        <w:fldChar w:fldCharType="end"/>
      </w:r>
      <w:bookmarkEnd w:id="63"/>
      <w:r>
        <w:rPr>
          <w:rFonts w:ascii="Times New Roman" w:hAnsi="Times New Roman"/>
          <w:noProof/>
        </w:rPr>
        <w:t>: Eċċess kumulattiv tal-AEA bħala perċentwal tal-emissjonijiet tal-2005, 2013-2015</w:t>
      </w:r>
      <w:bookmarkEnd w:id="64"/>
      <w:bookmarkEnd w:id="65"/>
      <w:bookmarkEnd w:id="66"/>
      <w:bookmarkEnd w:id="67"/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pict>
          <v:shape id="_x0000_i1032" type="#_x0000_t75" style="width:343.5pt;height:417pt">
            <v:imagedata r:id="rId27" o:title=""/>
          </v:shape>
        </w:pict>
      </w:r>
    </w:p>
    <w:p w:rsidR="006222FD" w:rsidRDefault="006222FD">
      <w:pPr>
        <w:pStyle w:val="Heading1"/>
        <w:numPr>
          <w:ilvl w:val="0"/>
          <w:numId w:val="33"/>
        </w:numPr>
        <w:tabs>
          <w:tab w:val="clear" w:pos="850"/>
          <w:tab w:val="num" w:pos="130"/>
        </w:tabs>
        <w:rPr>
          <w:noProof/>
        </w:rPr>
      </w:pPr>
      <w:bookmarkStart w:id="68" w:name="_Toc493001851"/>
      <w:bookmarkStart w:id="69" w:name="_Toc493004506"/>
      <w:bookmarkStart w:id="70" w:name="_Toc493001854"/>
      <w:bookmarkStart w:id="71" w:name="_Toc493004509"/>
      <w:bookmarkStart w:id="72" w:name="_Toc493001855"/>
      <w:bookmarkStart w:id="73" w:name="_Toc493004510"/>
      <w:bookmarkStart w:id="74" w:name="_Toc493001856"/>
      <w:bookmarkStart w:id="75" w:name="_Toc493004511"/>
      <w:bookmarkStart w:id="76" w:name="_Toc493001857"/>
      <w:bookmarkStart w:id="77" w:name="_Toc493004512"/>
      <w:bookmarkStart w:id="78" w:name="_Toc493001858"/>
      <w:bookmarkStart w:id="79" w:name="_Toc493004513"/>
      <w:bookmarkStart w:id="80" w:name="_Toc487207221"/>
      <w:bookmarkStart w:id="81" w:name="_Toc463527676"/>
      <w:bookmarkStart w:id="82" w:name="_Toc463538562"/>
      <w:bookmarkStart w:id="83" w:name="_Toc463621136"/>
      <w:bookmarkStart w:id="84" w:name="_Toc463527677"/>
      <w:bookmarkStart w:id="85" w:name="_Toc463538563"/>
      <w:bookmarkStart w:id="86" w:name="_Toc463621137"/>
      <w:bookmarkStart w:id="87" w:name="_Toc463626519"/>
      <w:bookmarkStart w:id="88" w:name="_Toc463527678"/>
      <w:bookmarkStart w:id="89" w:name="_Toc463538564"/>
      <w:bookmarkStart w:id="90" w:name="_Toc463621138"/>
      <w:bookmarkStart w:id="91" w:name="_Toc463626520"/>
      <w:bookmarkStart w:id="92" w:name="_Toc463527679"/>
      <w:bookmarkStart w:id="93" w:name="_Toc463538565"/>
      <w:bookmarkStart w:id="94" w:name="_Toc463621139"/>
      <w:bookmarkStart w:id="95" w:name="_Toc463626521"/>
      <w:bookmarkStart w:id="96" w:name="_Ref425340651"/>
      <w:bookmarkStart w:id="97" w:name="_Toc463527680"/>
      <w:bookmarkStart w:id="98" w:name="_Toc463538566"/>
      <w:bookmarkStart w:id="99" w:name="_Toc463621140"/>
      <w:bookmarkStart w:id="100" w:name="_Toc463626522"/>
      <w:bookmarkStart w:id="101" w:name="_Toc463527681"/>
      <w:bookmarkStart w:id="102" w:name="_Toc463538567"/>
      <w:bookmarkStart w:id="103" w:name="_Toc463621141"/>
      <w:bookmarkStart w:id="104" w:name="_Toc463626523"/>
      <w:bookmarkStart w:id="105" w:name="_Toc463527682"/>
      <w:bookmarkStart w:id="106" w:name="_Toc463538568"/>
      <w:bookmarkStart w:id="107" w:name="_Toc463621142"/>
      <w:bookmarkStart w:id="108" w:name="_Toc463626524"/>
      <w:bookmarkStart w:id="109" w:name="_Toc463527683"/>
      <w:bookmarkStart w:id="110" w:name="_Toc463538569"/>
      <w:bookmarkStart w:id="111" w:name="_Toc463621143"/>
      <w:bookmarkStart w:id="112" w:name="_Toc463626525"/>
      <w:bookmarkStart w:id="113" w:name="_Toc463527684"/>
      <w:bookmarkStart w:id="114" w:name="_Toc463538570"/>
      <w:bookmarkStart w:id="115" w:name="_Toc463621144"/>
      <w:bookmarkStart w:id="116" w:name="_Toc463626526"/>
      <w:bookmarkStart w:id="117" w:name="_Toc463527685"/>
      <w:bookmarkStart w:id="118" w:name="_Toc463538571"/>
      <w:bookmarkStart w:id="119" w:name="_Toc463621145"/>
      <w:bookmarkStart w:id="120" w:name="_Toc463626527"/>
      <w:bookmarkStart w:id="121" w:name="_Toc463527686"/>
      <w:bookmarkStart w:id="122" w:name="_Toc463538572"/>
      <w:bookmarkStart w:id="123" w:name="_Toc463621146"/>
      <w:bookmarkStart w:id="124" w:name="_Toc463626528"/>
      <w:bookmarkStart w:id="125" w:name="_Toc463527687"/>
      <w:bookmarkStart w:id="126" w:name="_Toc463538573"/>
      <w:bookmarkStart w:id="127" w:name="_Toc463621147"/>
      <w:bookmarkStart w:id="128" w:name="_Toc463626529"/>
      <w:bookmarkStart w:id="129" w:name="_Toc463527688"/>
      <w:bookmarkStart w:id="130" w:name="_Toc463538574"/>
      <w:bookmarkStart w:id="131" w:name="_Toc463621148"/>
      <w:bookmarkStart w:id="132" w:name="_Toc463626530"/>
      <w:bookmarkStart w:id="133" w:name="_Toc397608268"/>
      <w:bookmarkStart w:id="134" w:name="_Toc397608298"/>
      <w:bookmarkStart w:id="135" w:name="_Toc397608328"/>
      <w:bookmarkStart w:id="136" w:name="_Toc397612334"/>
      <w:bookmarkStart w:id="137" w:name="_Toc398043825"/>
      <w:bookmarkStart w:id="138" w:name="_Toc398193290"/>
      <w:bookmarkStart w:id="139" w:name="_Toc397608269"/>
      <w:bookmarkStart w:id="140" w:name="_Toc397608299"/>
      <w:bookmarkStart w:id="141" w:name="_Toc397608329"/>
      <w:bookmarkStart w:id="142" w:name="_Toc397612335"/>
      <w:bookmarkStart w:id="143" w:name="_Toc398043826"/>
      <w:bookmarkStart w:id="144" w:name="_Toc398193291"/>
      <w:bookmarkStart w:id="145" w:name="_Toc463527689"/>
      <w:bookmarkStart w:id="146" w:name="_Toc463538575"/>
      <w:bookmarkStart w:id="147" w:name="_Toc463621149"/>
      <w:bookmarkStart w:id="148" w:name="_Toc463626531"/>
      <w:bookmarkStart w:id="149" w:name="_Toc463527690"/>
      <w:bookmarkStart w:id="150" w:name="_Toc463538576"/>
      <w:bookmarkStart w:id="151" w:name="_Toc463621150"/>
      <w:bookmarkStart w:id="152" w:name="_Toc463626532"/>
      <w:bookmarkStart w:id="153" w:name="_Toc463527691"/>
      <w:bookmarkStart w:id="154" w:name="_Toc463538577"/>
      <w:bookmarkStart w:id="155" w:name="_Toc463621151"/>
      <w:bookmarkStart w:id="156" w:name="_Toc463626533"/>
      <w:bookmarkStart w:id="157" w:name="_Toc463527692"/>
      <w:bookmarkStart w:id="158" w:name="_Toc463538578"/>
      <w:bookmarkStart w:id="159" w:name="_Toc463621152"/>
      <w:bookmarkStart w:id="160" w:name="_Toc463626534"/>
      <w:bookmarkStart w:id="161" w:name="_Toc463527693"/>
      <w:bookmarkStart w:id="162" w:name="_Toc463538579"/>
      <w:bookmarkStart w:id="163" w:name="_Toc463621153"/>
      <w:bookmarkStart w:id="164" w:name="_Toc463626535"/>
      <w:bookmarkStart w:id="165" w:name="_Toc463527694"/>
      <w:bookmarkStart w:id="166" w:name="_Toc463538580"/>
      <w:bookmarkStart w:id="167" w:name="_Toc463621154"/>
      <w:bookmarkStart w:id="168" w:name="_Toc463626536"/>
      <w:bookmarkStart w:id="169" w:name="_Toc463527695"/>
      <w:bookmarkStart w:id="170" w:name="_Toc463538581"/>
      <w:bookmarkStart w:id="171" w:name="_Toc463621155"/>
      <w:bookmarkStart w:id="172" w:name="_Toc463626537"/>
      <w:bookmarkStart w:id="173" w:name="_Toc463527696"/>
      <w:bookmarkStart w:id="174" w:name="_Toc463538582"/>
      <w:bookmarkStart w:id="175" w:name="_Toc463621156"/>
      <w:bookmarkStart w:id="176" w:name="_Toc463626538"/>
      <w:bookmarkStart w:id="177" w:name="_Toc463527697"/>
      <w:bookmarkStart w:id="178" w:name="_Toc463538583"/>
      <w:bookmarkStart w:id="179" w:name="_Toc463621157"/>
      <w:bookmarkStart w:id="180" w:name="_Toc463626539"/>
      <w:bookmarkStart w:id="181" w:name="_Toc463527698"/>
      <w:bookmarkStart w:id="182" w:name="_Toc463538584"/>
      <w:bookmarkStart w:id="183" w:name="_Toc463621158"/>
      <w:bookmarkStart w:id="184" w:name="_Toc463626540"/>
      <w:bookmarkStart w:id="185" w:name="_Toc463527699"/>
      <w:bookmarkStart w:id="186" w:name="_Toc463538585"/>
      <w:bookmarkStart w:id="187" w:name="_Toc463621159"/>
      <w:bookmarkStart w:id="188" w:name="_Toc463626541"/>
      <w:bookmarkStart w:id="189" w:name="_Toc493168536"/>
      <w:bookmarkStart w:id="190" w:name="_Toc495675887"/>
      <w:bookmarkStart w:id="191" w:name="_Toc495676422"/>
      <w:bookmarkStart w:id="192" w:name="_Toc496644707"/>
      <w:bookmarkStart w:id="193" w:name="_Toc371338153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r>
        <w:rPr>
          <w:rFonts w:cs="Cordia New"/>
          <w:noProof/>
          <w:sz w:val="22"/>
        </w:rPr>
        <w:t>Finanzjament għall-klima</w:t>
      </w:r>
      <w:bookmarkEnd w:id="189"/>
      <w:bookmarkEnd w:id="190"/>
      <w:bookmarkEnd w:id="191"/>
      <w:bookmarkEnd w:id="192"/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rPr>
          <w:b w:val="0"/>
          <w:i w:val="0"/>
          <w:noProof/>
          <w:u w:val="single"/>
        </w:rPr>
      </w:pPr>
      <w:bookmarkStart w:id="194" w:name="_Toc463527701"/>
      <w:bookmarkStart w:id="195" w:name="_Toc463538587"/>
      <w:bookmarkStart w:id="196" w:name="_Toc463621161"/>
      <w:bookmarkStart w:id="197" w:name="_Toc463628463"/>
      <w:bookmarkStart w:id="198" w:name="_Toc465073863"/>
      <w:bookmarkStart w:id="199" w:name="_Toc465090126"/>
      <w:bookmarkStart w:id="200" w:name="_Toc492542682"/>
      <w:bookmarkStart w:id="201" w:name="_Toc493004515"/>
      <w:r>
        <w:rPr>
          <w:rFonts w:cs="Cordia New"/>
          <w:b w:val="0"/>
          <w:i w:val="0"/>
          <w:noProof/>
          <w:sz w:val="22"/>
          <w:u w:val="single"/>
        </w:rPr>
        <w:t>Dħul mill-irkantar tal-kwoti tal-ETS tal-UE</w:t>
      </w:r>
      <w:bookmarkEnd w:id="194"/>
      <w:bookmarkEnd w:id="195"/>
      <w:bookmarkEnd w:id="196"/>
      <w:bookmarkEnd w:id="197"/>
      <w:bookmarkEnd w:id="198"/>
      <w:bookmarkEnd w:id="199"/>
      <w:bookmarkEnd w:id="200"/>
      <w:bookmarkEnd w:id="201"/>
    </w:p>
    <w:p w:rsidR="006222FD" w:rsidRDefault="006222FD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L-Istati Membri ggwadanjaw kważi EUR 15.8 biljun mill-irkantar tal-kwoti tal-ETS tal-UE tul il-perjodu 2013-2016. Madwar 80 % intużaw jew hu ppjanat li se jintużaw għal skopijiet klimatiċi u enerġetiċi. L-Istati Membri ddikjaraw li ħafna minn dan id-dħul se jintuża domestikament (ara l-Figura 8).</w:t>
      </w:r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202" w:name="_Ref494211186"/>
      <w:bookmarkStart w:id="203" w:name="_Toc495580781"/>
      <w:bookmarkStart w:id="204" w:name="_Toc495675898"/>
      <w:bookmarkStart w:id="205" w:name="_Toc495676433"/>
      <w:bookmarkStart w:id="206" w:name="_Toc496644718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8</w:t>
      </w:r>
      <w:r>
        <w:rPr>
          <w:rFonts w:ascii="Times New Roman" w:hAnsi="Times New Roman"/>
          <w:noProof/>
        </w:rPr>
        <w:fldChar w:fldCharType="end"/>
      </w:r>
      <w:bookmarkEnd w:id="202"/>
      <w:r>
        <w:rPr>
          <w:rFonts w:ascii="Times New Roman" w:hAnsi="Times New Roman"/>
          <w:noProof/>
        </w:rPr>
        <w:t>: Tibdil fl-użu tad-dħul mill-ETS, 2013-2016 (f</w:t>
      </w:r>
      <w:r>
        <w:rPr>
          <w:rFonts w:ascii="Times New Roman" w:hAnsi="Times New Roman"/>
          <w:noProof/>
          <w:lang w:val="mt-MT"/>
        </w:rPr>
        <w:t>’</w:t>
      </w:r>
      <w:r>
        <w:rPr>
          <w:rFonts w:ascii="Times New Roman" w:hAnsi="Times New Roman"/>
          <w:noProof/>
        </w:rPr>
        <w:t>miljun €)</w:t>
      </w:r>
      <w:bookmarkEnd w:id="203"/>
      <w:bookmarkEnd w:id="204"/>
      <w:bookmarkEnd w:id="205"/>
      <w:bookmarkEnd w:id="206"/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pict>
          <v:shape id="_x0000_i1033" type="#_x0000_t75" style="width:496.5pt;height:230.25pt">
            <v:imagedata r:id="rId28" o:title=""/>
          </v:shape>
        </w:pic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Il-Figura 9 taqsam l-użu domestiku tad-dħul għal skopijiet enerġetiċi u klimatiċi skont il-kategorija. L-ikbar kategorija hi l-enerġija rinnovabbli, segwita mill-effiċjenza enerġetika u mit-trasport sostenibbli.</w:t>
      </w:r>
    </w:p>
    <w:p w:rsidR="006222FD" w:rsidRDefault="006222FD">
      <w:pPr>
        <w:pStyle w:val="Caption"/>
        <w:keepNext/>
        <w:jc w:val="center"/>
        <w:rPr>
          <w:rFonts w:ascii="Times New Roman" w:hAnsi="Times New Roman" w:cs="Times New Roman"/>
          <w:noProof/>
        </w:rPr>
      </w:pPr>
      <w:bookmarkStart w:id="207" w:name="_Ref493057372"/>
      <w:bookmarkStart w:id="208" w:name="_Toc495580782"/>
      <w:bookmarkStart w:id="209" w:name="_Toc495675899"/>
      <w:bookmarkStart w:id="210" w:name="_Toc495676434"/>
      <w:bookmarkStart w:id="211" w:name="_Toc496644719"/>
      <w:r>
        <w:rPr>
          <w:rFonts w:ascii="Times New Roman" w:hAnsi="Times New Roman"/>
          <w:noProof/>
        </w:rPr>
        <w:t xml:space="preserve">Figura </w:t>
      </w:r>
      <w:r>
        <w:rPr>
          <w:rFonts w:ascii="Times New Roman" w:hAnsi="Times New Roman"/>
          <w:noProof/>
        </w:rPr>
        <w:fldChar w:fldCharType="begin"/>
      </w:r>
      <w:r>
        <w:rPr>
          <w:rFonts w:ascii="Times New Roman" w:hAnsi="Times New Roman"/>
          <w:noProof/>
        </w:rPr>
        <w:instrText xml:space="preserve"> SEQ Figure \* ARABIC </w:instrText>
      </w:r>
      <w:r>
        <w:rPr>
          <w:rFonts w:ascii="Times New Roman" w:hAnsi="Times New Roman"/>
          <w:noProof/>
        </w:rPr>
        <w:fldChar w:fldCharType="separate"/>
      </w:r>
      <w:r>
        <w:rPr>
          <w:rFonts w:ascii="Times New Roman" w:hAnsi="Times New Roman"/>
          <w:noProof/>
        </w:rPr>
        <w:t>9</w:t>
      </w:r>
      <w:r>
        <w:rPr>
          <w:rFonts w:ascii="Times New Roman" w:hAnsi="Times New Roman"/>
          <w:noProof/>
        </w:rPr>
        <w:fldChar w:fldCharType="end"/>
      </w:r>
      <w:bookmarkEnd w:id="207"/>
      <w:r>
        <w:rPr>
          <w:rFonts w:ascii="Times New Roman" w:hAnsi="Times New Roman"/>
          <w:noProof/>
        </w:rPr>
        <w:t>: Użu domestiku tad-dħul mill-irkanti, 2013-2016 (f</w:t>
      </w:r>
      <w:r>
        <w:rPr>
          <w:rFonts w:ascii="Times New Roman" w:hAnsi="Times New Roman"/>
          <w:noProof/>
          <w:lang w:val="mt-MT"/>
        </w:rPr>
        <w:t>’</w:t>
      </w:r>
      <w:r>
        <w:rPr>
          <w:rFonts w:ascii="Times New Roman" w:hAnsi="Times New Roman"/>
          <w:noProof/>
        </w:rPr>
        <w:t>biljun €)</w:t>
      </w:r>
      <w:bookmarkEnd w:id="208"/>
      <w:bookmarkEnd w:id="209"/>
      <w:bookmarkEnd w:id="210"/>
      <w:bookmarkEnd w:id="211"/>
    </w:p>
    <w:p w:rsidR="006222FD" w:rsidRDefault="006222FD">
      <w:pPr>
        <w:jc w:val="center"/>
        <w:rPr>
          <w:rFonts w:ascii="Times New Roman" w:hAnsi="Times New Roman" w:cs="Times New Roman"/>
          <w:noProof/>
        </w:rPr>
      </w:pPr>
      <w:r>
        <w:rPr>
          <w:noProof/>
        </w:rPr>
        <w:pict>
          <v:shape id="_x0000_i1034" type="#_x0000_t75" style="width:348.75pt;height:249pt">
            <v:imagedata r:id="rId29" o:title=""/>
          </v:shape>
        </w:pic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  <w:lang w:val="mt-MT"/>
        </w:rPr>
      </w:pPr>
      <w:r>
        <w:rPr>
          <w:rFonts w:ascii="Times New Roman" w:hAnsi="Times New Roman"/>
          <w:noProof/>
          <w:sz w:val="24"/>
          <w:szCs w:val="24"/>
        </w:rPr>
        <w:t>Pereżempju, fil-Greċja,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Malta, fil-Portugall u fi Spanja, l-ikbar sehem minn dan id-dħul hu investit fl-enerġija rinnovabbli. Għall-kuntrarju, fir-Repubblika Ċeka, fi Franza, fl-Ungerija u fis-Slovakkja, l-ikbar sehem tad-dħul mill-irkanti hu investit fl-effiċjenza enerġetika, eż. fit-tiġdid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binjiet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appartamenti.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Ċipru, 30 % tad-dħul mill-irkanti jintefaq fuq il-ġestjoni tal-foresti, filwaqt li 33 % tad-dħul fl-Italja jmur favur l-adattament għat-tibdil fil-klima.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</w:p>
    <w:p w:rsidR="006222FD" w:rsidRDefault="006222FD">
      <w:pPr>
        <w:pStyle w:val="Heading2"/>
        <w:jc w:val="both"/>
        <w:rPr>
          <w:b w:val="0"/>
          <w:i w:val="0"/>
          <w:noProof/>
          <w:szCs w:val="24"/>
          <w:u w:val="single"/>
        </w:rPr>
      </w:pPr>
      <w:bookmarkStart w:id="212" w:name="_Toc463527703"/>
      <w:bookmarkStart w:id="213" w:name="_Toc463538589"/>
      <w:bookmarkStart w:id="214" w:name="_Toc463621163"/>
      <w:bookmarkStart w:id="215" w:name="_Toc463628465"/>
      <w:bookmarkStart w:id="216" w:name="_Toc465073865"/>
      <w:bookmarkStart w:id="217" w:name="_Toc465090128"/>
      <w:bookmarkStart w:id="218" w:name="_Toc492542683"/>
      <w:bookmarkStart w:id="219" w:name="_Toc493004516"/>
      <w:r>
        <w:rPr>
          <w:rFonts w:cs="Cordia New"/>
          <w:b w:val="0"/>
          <w:i w:val="0"/>
          <w:noProof/>
          <w:szCs w:val="24"/>
          <w:u w:val="single"/>
        </w:rPr>
        <w:t>NER 300</w:t>
      </w:r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r>
        <w:rPr>
          <w:rFonts w:cs="Cordia New"/>
          <w:b w:val="0"/>
          <w:i w:val="0"/>
          <w:noProof/>
          <w:szCs w:val="24"/>
          <w:u w:val="single"/>
        </w:rPr>
        <w:t xml:space="preserve"> 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NER 300 hu wieħed mill-ikbar programmi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finanzjament fid-dinja għal proġetti innovattivi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dimostrazzjoni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enerġija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livell baxx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karbonju. Disgħa u tletin proġett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 xml:space="preserve"> dimostrazzjoni innovattiv fl-enerġija rinnovabbli u fil-ġbir u ħżin tad-diossidu tal-karbonju li jkopru 20 Stat Membru tal-UE ngħataw EUR 2.1 biljun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finanzjament mill-irkant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300 miljun kwota tal-ETS. Erbgħa mill-proġetti issa huma operazzjonali u 16 waslu għad-deċiżjoni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investiment finali tagħhom.</w:t>
      </w:r>
    </w:p>
    <w:p w:rsidR="006222FD" w:rsidRDefault="006222FD">
      <w:pPr>
        <w:jc w:val="both"/>
        <w:rPr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Ġew attirati madwar EUR 2.2 biljun f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investiment privat addizzjonali.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hekk,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kollox, ġew iġġenerati madwar EUR 4.3 biljun, li wittew it-triq għal replikazzjoni ulterjuri tas-suq u għal kostijiet inferjuri.Madankollu, dawn il-proġetti pijuniera assoluti huma riskjużi u, s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issa, erba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proponenti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proġetti ma rnexxilhomx jiġġeneraw biżżejjed finanzjament; il-proġetti kellhom jiġu kkanċellati. Kmieni fl-2017, l-Istati Membri ddeċidew li jerġgħu jinvestu dawn il-fondi li ma ntefqux, li ammontaw għal total minimu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EUR 436 miljun, fi proġetti rilevanti b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</w:rPr>
        <w:t>emissjonijiet baxxi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karbonju permezz ta</w:t>
      </w:r>
      <w:r>
        <w:rPr>
          <w:rFonts w:ascii="Times New Roman" w:hAnsi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żewġ strumenti finanzjarji eżistenti ġestiti mill-Bank Ewropew tal-Investiment, jiġifieri l-InnovFin Energy Demo Projects u l-Faċilità Nikkollegaw l-Ewropa.</w:t>
      </w:r>
      <w:r>
        <w:rPr>
          <w:noProof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95"/>
      </w:tblGrid>
      <w:tr w:rsidR="006222FD" w:rsidTr="006222FD">
        <w:tc>
          <w:tcPr>
            <w:tcW w:w="10195" w:type="dxa"/>
          </w:tcPr>
          <w:p w:rsidR="006222FD" w:rsidRDefault="006222FD">
            <w:pPr>
              <w:spacing w:before="120"/>
              <w:jc w:val="both"/>
              <w:rPr>
                <w:i/>
                <w:noProof/>
              </w:rPr>
            </w:pPr>
            <w:r>
              <w:rPr>
                <w:rFonts w:ascii="Times New Roman" w:hAnsi="Times New Roman"/>
                <w:i/>
                <w:noProof/>
              </w:rPr>
              <w:t>Il-proġett Żvediż tal-Park Eoliku ta</w:t>
            </w:r>
            <w:r>
              <w:rPr>
                <w:rFonts w:ascii="Times New Roman" w:hAnsi="Times New Roman"/>
                <w:i/>
                <w:noProof/>
                <w:lang w:val="mt-MT"/>
              </w:rPr>
              <w:t>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Blaiken hu wieħed mill-erba</w:t>
            </w:r>
            <w:r>
              <w:rPr>
                <w:rFonts w:ascii="Times New Roman" w:hAnsi="Times New Roman"/>
                <w:i/>
                <w:noProof/>
                <w:lang w:val="mt-MT"/>
              </w:rPr>
              <w:t>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proġetti diġà operazzjonali ta</w:t>
            </w:r>
            <w:r>
              <w:rPr>
                <w:rFonts w:ascii="Times New Roman" w:hAnsi="Times New Roman"/>
                <w:i/>
                <w:noProof/>
                <w:lang w:val="mt-MT"/>
              </w:rPr>
              <w:t>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NER 300. Hu żviluppa park eoliku ta</w:t>
            </w:r>
            <w:r>
              <w:rPr>
                <w:rFonts w:ascii="Times New Roman" w:hAnsi="Times New Roman"/>
                <w:i/>
                <w:noProof/>
                <w:lang w:val="mt-MT"/>
              </w:rPr>
              <w:t>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225 MW fi klima artika b</w:t>
            </w:r>
            <w:r>
              <w:rPr>
                <w:rFonts w:ascii="Times New Roman" w:hAnsi="Times New Roman"/>
                <w:i/>
                <w:noProof/>
                <w:lang w:val="mt-MT"/>
              </w:rPr>
              <w:t>’</w:t>
            </w:r>
            <w:r>
              <w:rPr>
                <w:rFonts w:ascii="Times New Roman" w:hAnsi="Times New Roman"/>
                <w:i/>
                <w:noProof/>
              </w:rPr>
              <w:t>turbini mgħammra b</w:t>
            </w:r>
            <w:r>
              <w:rPr>
                <w:rFonts w:ascii="Times New Roman" w:hAnsi="Times New Roman"/>
                <w:i/>
                <w:noProof/>
                <w:lang w:val="mt-MT"/>
              </w:rPr>
              <w:t>’</w:t>
            </w:r>
            <w:r>
              <w:rPr>
                <w:rFonts w:ascii="Times New Roman" w:hAnsi="Times New Roman"/>
                <w:i/>
                <w:noProof/>
              </w:rPr>
              <w:t>sistemi innovattivi kontra l-formazzjoni tas-silġ. Il-programm NER 300 jiffinanzja biss il-kostijiet addizzjonali mġarrba minn din is-sistema innovattiva.</w:t>
            </w:r>
          </w:p>
        </w:tc>
      </w:tr>
    </w:tbl>
    <w:p w:rsidR="006222FD" w:rsidRDefault="006222FD">
      <w:pPr>
        <w:rPr>
          <w:rFonts w:ascii="Times New Roman" w:hAnsi="Times New Roman" w:cs="Times New Roman"/>
          <w:noProof/>
        </w:rPr>
      </w:pP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rPr>
          <w:b w:val="0"/>
          <w:i w:val="0"/>
          <w:noProof/>
          <w:u w:val="single"/>
        </w:rPr>
      </w:pPr>
      <w:bookmarkStart w:id="220" w:name="_Toc463527704"/>
      <w:bookmarkStart w:id="221" w:name="_Toc463538590"/>
      <w:bookmarkStart w:id="222" w:name="_Toc463621164"/>
      <w:bookmarkStart w:id="223" w:name="_Toc463628466"/>
      <w:bookmarkStart w:id="224" w:name="_Toc465073866"/>
      <w:bookmarkStart w:id="225" w:name="_Toc465090129"/>
      <w:bookmarkStart w:id="226" w:name="_Toc492542684"/>
      <w:bookmarkStart w:id="227" w:name="_Toc493004517"/>
      <w:r>
        <w:rPr>
          <w:rFonts w:cs="Cordia New"/>
          <w:b w:val="0"/>
          <w:i w:val="0"/>
          <w:noProof/>
          <w:sz w:val="22"/>
          <w:u w:val="single"/>
        </w:rPr>
        <w:t>L-integrazzjoni tal-politiki dwar it-tibdil fil-klima fil-baġit tal-UE</w:t>
      </w:r>
      <w:bookmarkEnd w:id="220"/>
      <w:bookmarkEnd w:id="221"/>
      <w:bookmarkEnd w:id="222"/>
      <w:bookmarkEnd w:id="223"/>
      <w:bookmarkEnd w:id="224"/>
      <w:bookmarkEnd w:id="225"/>
      <w:bookmarkEnd w:id="226"/>
      <w:bookmarkEnd w:id="227"/>
    </w:p>
    <w:p w:rsidR="006222FD" w:rsidRDefault="006222FD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  <w:noProof/>
        </w:rPr>
        <w:t>Bejn l-2014 u l-2020, mill-inqas 20 % tal-baġit tal-UE mistenni jiġi allokat għal nefqa relatata mal-klima, u dan jammonta għal madwar EUR 200 biljun. L-istat tal-implimentazzjoni hu kif spjegat hawn taħt.</w:t>
      </w:r>
    </w:p>
    <w:p w:rsidR="006222FD" w:rsidRDefault="006222FD">
      <w:pPr>
        <w:pStyle w:val="ListParagraph"/>
        <w:numPr>
          <w:ilvl w:val="0"/>
          <w:numId w:val="35"/>
        </w:numPr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 xml:space="preserve">Ħames </w:t>
      </w:r>
      <w:r>
        <w:rPr>
          <w:rFonts w:ascii="Times New Roman" w:hAnsi="Times New Roman" w:cs="Calibri"/>
          <w:noProof/>
          <w:sz w:val="24"/>
          <w:u w:val="single"/>
        </w:rPr>
        <w:t>Fondi strutturali u ta’</w:t>
      </w:r>
      <w:r>
        <w:rPr>
          <w:rFonts w:ascii="Times New Roman" w:hAnsi="Times New Roman" w:cs="Calibri"/>
          <w:noProof/>
          <w:sz w:val="24"/>
          <w:u w:val="single"/>
          <w:cs/>
        </w:rPr>
        <w:t xml:space="preserve"> </w:t>
      </w:r>
      <w:r>
        <w:rPr>
          <w:rFonts w:ascii="Times New Roman" w:hAnsi="Times New Roman" w:cs="Calibri"/>
          <w:noProof/>
          <w:sz w:val="24"/>
          <w:u w:val="single"/>
        </w:rPr>
        <w:t>investiment Ewropej</w:t>
      </w:r>
      <w:r>
        <w:rPr>
          <w:rFonts w:ascii="Times New Roman" w:hAnsi="Times New Roman" w:cs="Calibri"/>
          <w:noProof/>
          <w:sz w:val="24"/>
        </w:rPr>
        <w:t xml:space="preserve"> (FSIE), jiġifieri l-fond Ewropew għall-iżvilupp reġjonali, il-fond ta</w:t>
      </w:r>
      <w:r>
        <w:rPr>
          <w:rFonts w:ascii="Times New Roman" w:hAnsi="Times New Roman"/>
          <w:noProof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koeżjoni, il-fond soċjali Ewropew, il-fond agrikolu Ewropew għall-iżvilupp rurali u l-fond Ewropew għall-affarijiet marittimi u s-sajd. Dawn jirrappreżentaw iktar minn 43</w:t>
      </w:r>
      <w:r>
        <w:rPr>
          <w:rFonts w:ascii="Times New Roman" w:hAnsi="Times New Roman"/>
          <w:noProof/>
          <w:sz w:val="24"/>
        </w:rPr>
        <w:t> %</w:t>
      </w:r>
      <w:r>
        <w:rPr>
          <w:rFonts w:ascii="Times New Roman" w:hAnsi="Times New Roman" w:cs="Calibri"/>
          <w:noProof/>
          <w:sz w:val="24"/>
        </w:rPr>
        <w:t xml:space="preserve"> tal-baġit tal-UE. Tmienja u għoxrin ftehim ta</w:t>
      </w:r>
      <w:r>
        <w:rPr>
          <w:rFonts w:ascii="Times New Roman" w:hAnsi="Times New Roman"/>
          <w:noProof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sħubija u aktar minn 530 programm speċifiku għall-fondi jikkontribwixxu għall-finanzjament tal-politiki dwar it-tibdil fil-klima. Twaqqfet metodoloġija komuni biex jiġi determinat il-livell ta</w:t>
      </w:r>
      <w:r>
        <w:rPr>
          <w:rFonts w:ascii="Times New Roman" w:hAnsi="Times New Roman"/>
          <w:noProof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appoġġ għall-għanijiet relatati mat-tibdil fil-klima. Se jintużaw iktar minn EUR 115-il biljun bħala appoġġ għall-għanijiet relatati mal-azzjoni klimatika, li jikkorrispondu għal madwar 25</w:t>
      </w:r>
      <w:r>
        <w:rPr>
          <w:rFonts w:ascii="Times New Roman" w:hAnsi="Times New Roman"/>
          <w:noProof/>
          <w:sz w:val="24"/>
        </w:rPr>
        <w:t> %</w:t>
      </w:r>
      <w:r>
        <w:rPr>
          <w:rFonts w:ascii="Times New Roman" w:hAnsi="Times New Roman" w:cs="Calibri"/>
          <w:noProof/>
          <w:sz w:val="24"/>
        </w:rPr>
        <w:t xml:space="preserve"> tal-fondi totali.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95"/>
      </w:tblGrid>
      <w:tr w:rsidR="006222FD" w:rsidTr="006222FD">
        <w:tc>
          <w:tcPr>
            <w:tcW w:w="10195" w:type="dxa"/>
          </w:tcPr>
          <w:p w:rsidR="006222FD" w:rsidRDefault="006222FD">
            <w:pPr>
              <w:spacing w:before="120"/>
              <w:jc w:val="both"/>
              <w:rPr>
                <w:i/>
                <w:noProof/>
              </w:rPr>
            </w:pPr>
            <w:r>
              <w:rPr>
                <w:rFonts w:ascii="Times New Roman" w:hAnsi="Times New Roman"/>
                <w:i/>
                <w:noProof/>
              </w:rPr>
              <w:t>Il-pjattaformi MYRTE u PAGLIA ORBA f’Korsika, Franza, ġew ikkofinanzjati mill-fond Ewropew għall-iżvilupp reġjonali. Dawn il-pjattaformi jipproduċu u jaħżnu enerġija permezz ta’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katina tal-idroġenu. Din tikkonsisti f’apparat tal-elettroliżi li, matul is-sigħat ta’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konsum baxx, jipproduċi idroġenu u</w:t>
            </w:r>
            <w:r>
              <w:rPr>
                <w:noProof/>
                <w:lang w:val="en-US" w:eastAsia="en-US" w:bidi="ar-SA"/>
              </w:rPr>
              <w:pict>
                <v:shape id="Picture 17" o:spid="_x0000_s1031" type="#_x0000_t75" style="position:absolute;left:0;text-align:left;margin-left:-3.2pt;margin-top:-53.45pt;width:260.15pt;height:195pt;z-index:251664896;visibility:visible;mso-position-horizontal-relative:text;mso-position-vertical-relative:text">
                  <v:imagedata r:id="rId30" o:title=""/>
                  <w10:wrap type="square"/>
                </v:shape>
              </w:pict>
            </w:r>
            <w:r>
              <w:rPr>
                <w:rFonts w:ascii="Times New Roman" w:hAnsi="Times New Roman"/>
                <w:i/>
                <w:noProof/>
              </w:rPr>
              <w:t xml:space="preserve"> ossiġenu minn molekuli tal-ilma. Imbagħad, din l-enerġija tiġi ddistribwita permezz ta’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ċellula tal-fjuwil li tipproduċi l-elettriku matul is-sigħat ta’</w:t>
            </w:r>
            <w:r>
              <w:rPr>
                <w:rFonts w:ascii="Times New Roman" w:hAnsi="Times New Roman"/>
                <w:i/>
                <w:noProof/>
                <w:cs/>
              </w:rPr>
              <w:t xml:space="preserve"> </w:t>
            </w:r>
            <w:r>
              <w:rPr>
                <w:rFonts w:ascii="Times New Roman" w:hAnsi="Times New Roman"/>
                <w:i/>
                <w:noProof/>
              </w:rPr>
              <w:t>konsum għoli, pereżempju filgħaxija, filwaqt li l-pannelli fotovoltajċi jkunu inattivi.</w:t>
            </w:r>
          </w:p>
        </w:tc>
      </w:tr>
    </w:tbl>
    <w:p w:rsidR="006222FD" w:rsidRDefault="006222FD">
      <w:pPr>
        <w:pStyle w:val="ListParagraph"/>
        <w:spacing w:after="120"/>
        <w:jc w:val="both"/>
        <w:rPr>
          <w:rFonts w:ascii="Times New Roman" w:hAnsi="Times New Roman"/>
          <w:noProof/>
          <w:sz w:val="24"/>
          <w:szCs w:val="24"/>
        </w:rPr>
      </w:pPr>
    </w:p>
    <w:p w:rsidR="006222FD" w:rsidRDefault="006222FD">
      <w:pPr>
        <w:pStyle w:val="ListParagraph"/>
        <w:numPr>
          <w:ilvl w:val="0"/>
          <w:numId w:val="35"/>
        </w:numPr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>Il-</w:t>
      </w:r>
      <w:r>
        <w:rPr>
          <w:rFonts w:ascii="Times New Roman" w:hAnsi="Times New Roman" w:cs="Calibri"/>
          <w:noProof/>
          <w:sz w:val="24"/>
          <w:u w:val="single"/>
        </w:rPr>
        <w:t>politika agrikola komuni (PAK)</w:t>
      </w:r>
      <w:r>
        <w:rPr>
          <w:rFonts w:ascii="Times New Roman" w:hAnsi="Times New Roman" w:cs="Calibri"/>
          <w:noProof/>
          <w:sz w:val="24"/>
        </w:rPr>
        <w:t xml:space="preserve"> tkopri l-fond agrikolu Ewropew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garanzija (FAEG) u l-fond agrikolu Ewropew għall-iżvilupp rurali (FAEŻR), li flimkien jirrappreżentaw 39</w:t>
      </w:r>
      <w:r>
        <w:rPr>
          <w:rFonts w:ascii="Times New Roman" w:hAnsi="Times New Roman"/>
          <w:noProof/>
          <w:sz w:val="24"/>
        </w:rPr>
        <w:t> %</w:t>
      </w:r>
      <w:r>
        <w:rPr>
          <w:rFonts w:ascii="Times New Roman" w:hAnsi="Times New Roman" w:cs="Calibri"/>
          <w:noProof/>
          <w:sz w:val="24"/>
        </w:rPr>
        <w:t xml:space="preserve"> mill-baġit tal-UE. Mill-1990, l-emissjonijiet mhux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CO</w:t>
      </w:r>
      <w:r>
        <w:rPr>
          <w:rFonts w:ascii="Times New Roman" w:hAnsi="Times New Roman" w:cs="Calibri"/>
          <w:noProof/>
          <w:sz w:val="24"/>
          <w:vertAlign w:val="subscript"/>
        </w:rPr>
        <w:t>2</w:t>
      </w:r>
      <w:r>
        <w:rPr>
          <w:rFonts w:ascii="Times New Roman" w:hAnsi="Times New Roman" w:cs="Calibri"/>
          <w:noProof/>
          <w:sz w:val="24"/>
        </w:rPr>
        <w:t xml:space="preserve"> relatati mal-agrikoltura naqsu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24</w:t>
      </w:r>
      <w:r>
        <w:rPr>
          <w:rFonts w:ascii="Times New Roman" w:hAnsi="Times New Roman"/>
          <w:noProof/>
          <w:sz w:val="24"/>
        </w:rPr>
        <w:t> %</w:t>
      </w:r>
      <w:r>
        <w:rPr>
          <w:rFonts w:ascii="Times New Roman" w:hAnsi="Times New Roman" w:cs="Calibri"/>
          <w:noProof/>
          <w:sz w:val="24"/>
        </w:rPr>
        <w:t xml:space="preserve"> fl-UE. L-appoġġ għall-PAK favur agrikoltura li ma tagħmilx ħsara lill-klima ta kontribut għal dan id-diżakkoppjament. Il-leġiżlazzjoni ambjentali bħad-direttiva dwar in-nitrati wkoll tat kontribwut għat-tnaqqis tal-emissjonijiet.</w:t>
      </w:r>
    </w:p>
    <w:p w:rsidR="006222FD" w:rsidRDefault="006222FD">
      <w:pPr>
        <w:pStyle w:val="ListParagraph"/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>Il-PAK teħtieġ li l-bdiewa li jirċievu pagamenti diretti jirrispettaw ċerti prattiki agrikoli li huma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benefiċċju għall-klima u għall-ambjent. Il-bdiewa jridu jikkonformaw ukoll ma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numru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rekwiziti statutorji relatati mat-tibdil fil-klima u mal-ambjent. Barra minn hekk, il-politika tal-PAK dwar l-iżvilupp rurali, pereżempju, tfittex li tnaqqas l-emissjonijiet billi tappoġġa l-modernizzazzjoni tal-azjendi agrikoli sabiex inaqqsu l-konsum tal-enerġija, jipproduċu l-enerġija rinnovabbli, itejbu l-ġestjoni tal-bhejjem u tal-art u jtejbu l-effiċjenza tal-input. L-appoġġ għat-tisġir, għall-protezzjoni tal-foresti u għall-ġestjoni sostenibbli tal-foresti wkoll jikkontribwixxi għat-tnaqqis tal-emissjonijiet. Fl-2016, ġie stmat li EUR 18.7 biljun mill-baġit tal-PAK huma relatati mal-klima. Barra minn hekk, l-użu tal-istrateġiji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innovazzjoni hu stimolat mill-Programmi tal-Iżvilupp Rurali, li jgħinu biex jitnaqqsu l-emissjonijiet u biex tiżdied il-kapaċità tas-sekwestru tal-karbonju u tal-materja organika fil-ħamriji agrikoli.</w:t>
      </w:r>
    </w:p>
    <w:p w:rsidR="006222FD" w:rsidRDefault="006222FD">
      <w:pPr>
        <w:pStyle w:val="ListParagraph"/>
        <w:numPr>
          <w:ilvl w:val="0"/>
          <w:numId w:val="35"/>
        </w:numPr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  <w:u w:val="single"/>
        </w:rPr>
        <w:t>Orizzont 2020</w:t>
      </w:r>
      <w:r>
        <w:rPr>
          <w:rFonts w:ascii="Times New Roman" w:hAnsi="Times New Roman" w:cs="Calibri"/>
          <w:noProof/>
          <w:sz w:val="24"/>
        </w:rPr>
        <w:t>, il-programm ewlieni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finanzjament mill-UE għar-riċerka u għall-innovazzjoni (R&amp;I), għandu baġit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EUR 79 biljun għall-2014-2020. Minn dan, 35</w:t>
      </w:r>
      <w:r>
        <w:rPr>
          <w:rFonts w:ascii="Times New Roman" w:hAnsi="Times New Roman"/>
          <w:noProof/>
          <w:sz w:val="24"/>
        </w:rPr>
        <w:t> %</w:t>
      </w:r>
      <w:r>
        <w:rPr>
          <w:rFonts w:ascii="Times New Roman" w:hAnsi="Times New Roman" w:cs="Calibri"/>
          <w:noProof/>
          <w:sz w:val="24"/>
        </w:rPr>
        <w:t xml:space="preserve"> hu mistenni li jmur biex jappoġġja R&amp;I relatati mal-klima. Dan l-appoġġ jinkludi azzjonijiet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R&amp;I mmirati, xprunati mill-isfidi soċjali u finanzjament minn isfel għal fuq xprunat mid-domanda.</w:t>
      </w:r>
    </w:p>
    <w:p w:rsidR="006222FD" w:rsidRDefault="006222FD">
      <w:pPr>
        <w:pStyle w:val="ListParagraph"/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>Fl-ewwel tliet snin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Orizzont 2020, ġew impenjati madwar EUR 4 biljun għal sfidi soċjetali bħat-tibdil fil-klima, l-enerġija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emissjonijiet baxxi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karbonju u l-proċessi industrijali, it-trasport nadif u bijoekonomija sostenibbli. Minbarra dawn, ġew ipprovduti madwar EUR 2 biljun oħra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appoġġ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 xml:space="preserve">inizjattivi xjentifiċi minn isfel għal fuq u għal ideat innovattivi permezz tal-pilastri </w:t>
      </w:r>
      <w:r>
        <w:rPr>
          <w:rFonts w:ascii="Times New Roman" w:hAnsi="Times New Roman" w:cs="Calibri"/>
          <w:noProof/>
          <w:sz w:val="24"/>
          <w:cs/>
        </w:rPr>
        <w:t>“</w:t>
      </w:r>
      <w:r>
        <w:rPr>
          <w:rFonts w:ascii="Times New Roman" w:hAnsi="Times New Roman" w:cs="Calibri"/>
          <w:noProof/>
          <w:sz w:val="24"/>
        </w:rPr>
        <w:t>xjenza eċċellenti</w:t>
      </w:r>
      <w:r>
        <w:rPr>
          <w:rFonts w:ascii="Times New Roman" w:hAnsi="Times New Roman" w:cs="Calibri"/>
          <w:noProof/>
          <w:sz w:val="24"/>
          <w:cs/>
        </w:rPr>
        <w:t xml:space="preserve">” </w:t>
      </w:r>
      <w:r>
        <w:rPr>
          <w:rFonts w:ascii="Times New Roman" w:hAnsi="Times New Roman" w:cs="Calibri"/>
          <w:noProof/>
          <w:sz w:val="24"/>
        </w:rPr>
        <w:t xml:space="preserve">u </w:t>
      </w:r>
      <w:r>
        <w:rPr>
          <w:rFonts w:ascii="Times New Roman" w:hAnsi="Times New Roman" w:cs="Calibri"/>
          <w:noProof/>
          <w:sz w:val="24"/>
          <w:cs/>
        </w:rPr>
        <w:t>“</w:t>
      </w:r>
      <w:r>
        <w:rPr>
          <w:rFonts w:ascii="Times New Roman" w:hAnsi="Times New Roman" w:cs="Calibri"/>
          <w:noProof/>
          <w:sz w:val="24"/>
        </w:rPr>
        <w:t>tmexxija industrijali</w:t>
      </w:r>
      <w:r>
        <w:rPr>
          <w:rFonts w:ascii="Times New Roman" w:hAnsi="Times New Roman" w:cs="Calibri"/>
          <w:noProof/>
          <w:sz w:val="24"/>
          <w:cs/>
        </w:rPr>
        <w:t xml:space="preserve">” </w:t>
      </w:r>
      <w:r>
        <w:rPr>
          <w:rFonts w:ascii="Times New Roman" w:hAnsi="Times New Roman" w:cs="Calibri"/>
          <w:noProof/>
          <w:sz w:val="24"/>
        </w:rPr>
        <w:t>tal-programm.</w:t>
      </w:r>
    </w:p>
    <w:p w:rsidR="006222FD" w:rsidRDefault="006222FD">
      <w:pPr>
        <w:pStyle w:val="ListParagraph"/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>Wara l-adozzjoni tal-Ftehim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Pariġi f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COP21, l-isforzi u r-riżorsi se jiġu kkonċentrati ulterjorment fuq il-ġlieda kontra t-tibdil fil-klima u fuq id-dekarbonizzazzjoni tal-ekonomija. Qasam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 xml:space="preserve">prijorità ġdid tal-UE, </w:t>
      </w:r>
      <w:r>
        <w:rPr>
          <w:rFonts w:ascii="Times New Roman" w:hAnsi="Times New Roman" w:cs="Calibri"/>
          <w:noProof/>
          <w:sz w:val="24"/>
          <w:lang w:val="mt-MT"/>
        </w:rPr>
        <w:t>"</w:t>
      </w:r>
      <w:r>
        <w:rPr>
          <w:rFonts w:ascii="Times New Roman" w:hAnsi="Times New Roman" w:cs="Calibri"/>
          <w:noProof/>
          <w:sz w:val="24"/>
        </w:rPr>
        <w:t>Il-bini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futur reżiljenti għat-tibdil fil-klima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emissjonijiet baxxi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karbonju</w:t>
      </w:r>
      <w:r>
        <w:rPr>
          <w:rFonts w:ascii="Times New Roman" w:hAnsi="Times New Roman" w:cs="Calibri"/>
          <w:noProof/>
          <w:sz w:val="24"/>
          <w:cs/>
        </w:rPr>
        <w:t>”</w:t>
      </w:r>
      <w:r>
        <w:rPr>
          <w:rFonts w:ascii="Times New Roman" w:hAnsi="Times New Roman" w:cs="Calibri"/>
          <w:noProof/>
          <w:sz w:val="24"/>
        </w:rPr>
        <w:t>, ser isostni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mod speċifiku l-implimentazzjoni tal-Ftehim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Pariġi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baġit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madwar EUR 3 biljun għall-2018-2020. L-azzjonijiet se jaċċelleraw l-innovazzjoni fl-enerġija u t-trasport nodfa, se jappoġġjaw it-tfassil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perkorsi kosteffikaċi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mitigazzjoni u l-ippjanar tal-adattament, u se jipproduċu għarfien xjentifiku ġdid għal strateġiji nazzjonali sa nofs is-seklu, is-sitt ċiklu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valutazzjoni tal-IPCC u r-rendikont globali tal-UNFCCC fl-2023.</w:t>
      </w:r>
    </w:p>
    <w:p w:rsidR="006222FD" w:rsidRDefault="006222FD">
      <w:pPr>
        <w:pStyle w:val="ListParagraph"/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>Orizzont 2020 hu miftuħ għad-dinja, u ħafna minn dawn il-proġetti u l-attivitajiet se jitwettqu permezz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 xml:space="preserve">kooperazzjoni internazzjonali li tixpruna l-isforz globali għall-ilħuq tal-isfida klimatika. </w:t>
      </w:r>
    </w:p>
    <w:p w:rsidR="006222FD" w:rsidRDefault="006222FD">
      <w:pPr>
        <w:pStyle w:val="ListParagraph"/>
        <w:numPr>
          <w:ilvl w:val="0"/>
          <w:numId w:val="35"/>
        </w:numPr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  <w:u w:val="single"/>
        </w:rPr>
        <w:t>Il-fond Ewropew għall-investimenti strateġiċi (FEIS)</w:t>
      </w:r>
      <w:r>
        <w:rPr>
          <w:rFonts w:ascii="Times New Roman" w:hAnsi="Times New Roman" w:cs="Calibri"/>
          <w:noProof/>
          <w:sz w:val="24"/>
        </w:rPr>
        <w:t xml:space="preserve"> hu inizjattiva sostnuta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garanzija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EUR 16-il biljun mill-baġit tal-UE, ikkomplimentata minn allokazzjoni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EUR 5 biljun mir-riżorsi proprji tal-Bank Ewropew tal-Investiment (BEI). Dan il-fond jappoġġja l-investiment strateġiku f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oqsma ewlenin bħall-infrastruttura, l-edukazzjoni, ir-riċerka,</w:t>
      </w:r>
      <w:r>
        <w:rPr>
          <w:rFonts w:ascii="Times New Roman" w:hAnsi="Times New Roman" w:cs="Calibri"/>
          <w:noProof/>
        </w:rPr>
        <w:t xml:space="preserve"> </w:t>
      </w:r>
      <w:r>
        <w:rPr>
          <w:rFonts w:ascii="Times New Roman" w:hAnsi="Times New Roman" w:cs="Calibri"/>
          <w:noProof/>
          <w:sz w:val="24"/>
        </w:rPr>
        <w:t>l-ambjent u l-effiċjenza fir-riżorsi, kif ukoll fl-innovazzjoni u l-finanzjament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riskju għan-negozji żgħar. Fuq il-bażi tal-garanzija totali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€ 21 biljun, il-FEIS hu mistenni jimmobilizza EUR 315-il biljun f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investiment sa nofs l-2018. Il-FEIS diġà ffinanzja diversi investimenti fl-enerġija rinnovabbli, inklużi proġetti fit-trasport, fl-industrija u fil-ħżin tal-enerġija. Għall-2018-2020 qiegħda titħejja estensjoni tal-fond, il-FEIS 2.0. Din l-estensjoni se tixħet enfasi partikolari fuq proġetti innovattivi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emissjonijiet baxxi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karbonju li se jikkontribwixxu għall-ilħuq tal-miri klimatiċi tal-Unjoni. Taħt il-FEIS 2.0, il-garanzija tal-UE għandha tiżdied għal EUR 26 biljun, ikkomplimentata minn allokazzjoni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EUR 7.5 biljun mill-BEI. Fil-konfigurazzjoni l-ġdida, il-FEIS 2.0 hu mistenni jimmobilizza total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mill-inqas nofs triljun euro f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investiment sa tmiem l-2020.</w:t>
      </w:r>
    </w:p>
    <w:p w:rsidR="006222FD" w:rsidRDefault="006222FD">
      <w:pPr>
        <w:pStyle w:val="ListParagraph"/>
        <w:numPr>
          <w:ilvl w:val="0"/>
          <w:numId w:val="35"/>
        </w:numPr>
        <w:spacing w:after="1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 w:cs="Calibri"/>
          <w:noProof/>
          <w:sz w:val="24"/>
        </w:rPr>
        <w:t>Is-sottoprogramm</w:t>
      </w:r>
      <w:r>
        <w:rPr>
          <w:rFonts w:ascii="Times New Roman" w:hAnsi="Times New Roman" w:cs="Calibri"/>
          <w:noProof/>
        </w:rPr>
        <w:t xml:space="preserve"> </w:t>
      </w:r>
      <w:r>
        <w:rPr>
          <w:rFonts w:ascii="Times New Roman" w:hAnsi="Times New Roman" w:cs="Calibri"/>
          <w:noProof/>
          <w:sz w:val="24"/>
          <w:u w:val="single"/>
        </w:rPr>
        <w:t>LIFE</w:t>
      </w:r>
      <w:r>
        <w:rPr>
          <w:rFonts w:ascii="Times New Roman" w:hAnsi="Times New Roman" w:cs="Calibri"/>
          <w:noProof/>
          <w:sz w:val="24"/>
        </w:rPr>
        <w:t xml:space="preserve"> għall-azzjoni klimatika jikkontribwixxi għall-implimentazzjoni u għall-iżvilupp tal-politika u tal-leġiżlazzjoni dwar it-tibdil fil-klima permezz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għotjiet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azzjoni u permezz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strumenti finanzjarji. Fl-2016, ingħataw EUR 54.5 miljun lil disgħa u għoxrin proġett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valur miżjud tal-UE għall-mitigazzjoni, għall-adattament, u għall-governanza u għall-informazzjoni. Bħalissa qed jiġu implimentati wkoll żewġ strumenti finanzjarji pilota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LIFE: il-Finanzjament Privat għall-Effiċjenza Enerġetika (PF4EE), li għandu l-għan li jżid il-finanzjament privat għall-investiment fi proġetti li jsaħħu l-effiċjenza enerġetika, u l-Faċilità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 xml:space="preserve"> Finanzjament tal-Kapital Naturali (NCFF), li ssostni l-investiment fil-kapital naturali li jgħin biex jintlaħqu l-objettivi relatati mal-bijodiversità u/jew mal-adattament għat-tibdil fil-klima.</w:t>
      </w:r>
      <w:r>
        <w:rPr>
          <w:rFonts w:ascii="Times New Roman" w:hAnsi="Times New Roman" w:cs="Calibri"/>
          <w:noProof/>
        </w:rPr>
        <w:t xml:space="preserve"> </w:t>
      </w:r>
      <w:r>
        <w:rPr>
          <w:rFonts w:ascii="Times New Roman" w:hAnsi="Times New Roman" w:cs="Calibri"/>
          <w:noProof/>
          <w:sz w:val="24"/>
        </w:rPr>
        <w:t>S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issa, sitt banek lokali ħolqu faċilitajiet innovattivi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self għall-investimenti fl-effiċjenza enerġetika, b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</w:rPr>
        <w:t>mod partikolari għal intrapriżi żgħar u medji fir-Repubblika Ċeka, fi Spanja, fil-Belġju, fi Franza, fl-Italja u fil-Portugall. Għall-NCFF, ġie ffirmat proġett wieħed fin-Netherlands. Is-self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EUR 6 miljun mill-NCFF lil Rewilding Europe Capital ser ikun jista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jsostni lil iktar minn 30 negozju attiv fil-konservazzjoni u fil-ħarsien u l-protezzjoni tan-natura madwar l-Ewropa, inklużi operaturi tat-turiżmu fil-ħajja selvaġġa, is-sajd sostenibbli u l-produtturi ta</w:t>
      </w:r>
      <w:r>
        <w:rPr>
          <w:rFonts w:ascii="Times New Roman" w:hAnsi="Times New Roman"/>
          <w:noProof/>
          <w:sz w:val="24"/>
          <w:lang w:val="mt-MT"/>
        </w:rPr>
        <w:t>’</w:t>
      </w:r>
      <w:r>
        <w:rPr>
          <w:rFonts w:ascii="Times New Roman" w:hAnsi="Times New Roman" w:cs="Calibri"/>
          <w:noProof/>
          <w:sz w:val="24"/>
          <w:cs/>
        </w:rPr>
        <w:t xml:space="preserve"> </w:t>
      </w:r>
      <w:r>
        <w:rPr>
          <w:rFonts w:ascii="Times New Roman" w:hAnsi="Times New Roman" w:cs="Calibri"/>
          <w:noProof/>
          <w:sz w:val="24"/>
        </w:rPr>
        <w:t>prodotti naturali bħall-għasel.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95"/>
      </w:tblGrid>
      <w:tr w:rsidR="006222FD" w:rsidTr="006222FD">
        <w:trPr>
          <w:trHeight w:val="3461"/>
        </w:trPr>
        <w:tc>
          <w:tcPr>
            <w:tcW w:w="10195" w:type="dxa"/>
          </w:tcPr>
          <w:p w:rsidR="006222FD" w:rsidRDefault="006222FD">
            <w:pPr>
              <w:pStyle w:val="ListParagraph"/>
              <w:spacing w:before="120" w:after="120"/>
              <w:ind w:left="0"/>
              <w:jc w:val="both"/>
              <w:rPr>
                <w:i/>
                <w:noProof/>
              </w:rPr>
            </w:pPr>
            <w:r>
              <w:rPr>
                <w:noProof/>
                <w:lang w:val="en-US" w:eastAsia="en-US"/>
              </w:rPr>
              <w:pict>
                <v:shape id="Picture 2" o:spid="_x0000_s1032" type="#_x0000_t75" style="position:absolute;left:0;text-align:left;margin-left:228.6pt;margin-top:.8pt;width:276.1pt;height:182.25pt;z-index:251665920;visibility:visible">
                  <v:imagedata r:id="rId31" o:title=""/>
                  <w10:wrap type="square"/>
                </v:shape>
              </w:pict>
            </w:r>
            <w:r>
              <w:rPr>
                <w:rFonts w:ascii="Times New Roman" w:hAnsi="Times New Roman"/>
                <w:i/>
                <w:noProof/>
                <w:szCs w:val="24"/>
              </w:rPr>
              <w:t xml:space="preserve">LIFE METHAmorphosis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hu proġett Spanjol ikkofinanzjat minn LIFE 2014. Dan għandu l-għan li jtejjeb l-immaniġġjar tal-iskart, inaqqas il-konsum tal-enerġija u jipproduċi bijometan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kwalità għolja billi juri, fuq skala industrijali, żewġ sistemi innovattivi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trattament tal-iskart: waħda għall-impjanti tal-iskart urban u l-oħra għal impjanti tat-trattament tal-iskart agroindustrijali u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skart organiku ieħor</w:t>
            </w:r>
            <w:r>
              <w:rPr>
                <w:rFonts w:ascii="Times New Roman" w:hAnsi="Times New Roman"/>
                <w:i/>
                <w:noProof/>
                <w:szCs w:val="24"/>
              </w:rPr>
              <w:t>.</w:t>
            </w:r>
          </w:p>
        </w:tc>
      </w:tr>
    </w:tbl>
    <w:p w:rsidR="006222FD" w:rsidRDefault="006222FD">
      <w:pPr>
        <w:pStyle w:val="ListParagraph"/>
        <w:spacing w:after="120"/>
        <w:ind w:left="0"/>
        <w:jc w:val="both"/>
        <w:rPr>
          <w:rFonts w:ascii="Times New Roman" w:hAnsi="Times New Roman"/>
          <w:noProof/>
          <w:sz w:val="24"/>
          <w:szCs w:val="24"/>
        </w:rPr>
      </w:pPr>
    </w:p>
    <w:p w:rsidR="006222FD" w:rsidRDefault="006222FD">
      <w:pPr>
        <w:pStyle w:val="Heading1"/>
        <w:numPr>
          <w:ilvl w:val="0"/>
          <w:numId w:val="33"/>
        </w:numPr>
        <w:tabs>
          <w:tab w:val="clear" w:pos="850"/>
          <w:tab w:val="num" w:pos="130"/>
        </w:tabs>
        <w:rPr>
          <w:noProof/>
          <w:szCs w:val="24"/>
        </w:rPr>
      </w:pPr>
      <w:bookmarkStart w:id="228" w:name="_Toc493001863"/>
      <w:bookmarkStart w:id="229" w:name="_Toc493004518"/>
      <w:bookmarkStart w:id="230" w:name="_Toc493001864"/>
      <w:bookmarkStart w:id="231" w:name="_Toc493004519"/>
      <w:bookmarkStart w:id="232" w:name="_Toc463527706"/>
      <w:bookmarkStart w:id="233" w:name="_Toc463538592"/>
      <w:bookmarkStart w:id="234" w:name="_Toc463621166"/>
      <w:bookmarkStart w:id="235" w:name="_Toc428971769"/>
      <w:bookmarkStart w:id="236" w:name="_Toc428971820"/>
      <w:bookmarkStart w:id="237" w:name="_Toc428971926"/>
      <w:bookmarkStart w:id="238" w:name="_Toc428972056"/>
      <w:bookmarkStart w:id="239" w:name="_Toc428972156"/>
      <w:bookmarkStart w:id="240" w:name="_Toc428972417"/>
      <w:bookmarkStart w:id="241" w:name="_Toc429056993"/>
      <w:bookmarkStart w:id="242" w:name="_Toc428971770"/>
      <w:bookmarkStart w:id="243" w:name="_Toc428971821"/>
      <w:bookmarkStart w:id="244" w:name="_Toc428971927"/>
      <w:bookmarkStart w:id="245" w:name="_Toc428972057"/>
      <w:bookmarkStart w:id="246" w:name="_Toc428972157"/>
      <w:bookmarkStart w:id="247" w:name="_Toc428972418"/>
      <w:bookmarkStart w:id="248" w:name="_Toc429056994"/>
      <w:bookmarkStart w:id="249" w:name="_Toc428971771"/>
      <w:bookmarkStart w:id="250" w:name="_Toc428971822"/>
      <w:bookmarkStart w:id="251" w:name="_Toc428971928"/>
      <w:bookmarkStart w:id="252" w:name="_Toc428972058"/>
      <w:bookmarkStart w:id="253" w:name="_Toc428972158"/>
      <w:bookmarkStart w:id="254" w:name="_Toc428972419"/>
      <w:bookmarkStart w:id="255" w:name="_Toc429056995"/>
      <w:bookmarkStart w:id="256" w:name="_Toc428971772"/>
      <w:bookmarkStart w:id="257" w:name="_Toc428971823"/>
      <w:bookmarkStart w:id="258" w:name="_Toc428971929"/>
      <w:bookmarkStart w:id="259" w:name="_Toc428972059"/>
      <w:bookmarkStart w:id="260" w:name="_Toc428972159"/>
      <w:bookmarkStart w:id="261" w:name="_Toc428972420"/>
      <w:bookmarkStart w:id="262" w:name="_Toc429056996"/>
      <w:bookmarkStart w:id="263" w:name="_Toc398043851"/>
      <w:bookmarkStart w:id="264" w:name="_Toc398193317"/>
      <w:bookmarkStart w:id="265" w:name="_Toc390936627"/>
      <w:bookmarkStart w:id="266" w:name="_Toc390942408"/>
      <w:bookmarkStart w:id="267" w:name="_Toc390936628"/>
      <w:bookmarkStart w:id="268" w:name="_Toc390942409"/>
      <w:bookmarkStart w:id="269" w:name="_Toc493168537"/>
      <w:bookmarkStart w:id="270" w:name="_Ref494356873"/>
      <w:bookmarkStart w:id="271" w:name="_Toc495675888"/>
      <w:bookmarkStart w:id="272" w:name="_Toc495676423"/>
      <w:bookmarkStart w:id="273" w:name="_Toc496644708"/>
      <w:bookmarkStart w:id="274" w:name="_Ref459646814"/>
      <w:bookmarkStart w:id="275" w:name="_Toc461715120"/>
      <w:bookmarkStart w:id="276" w:name="_Toc395255564"/>
      <w:bookmarkStart w:id="277" w:name="_Toc392749511"/>
      <w:bookmarkStart w:id="278" w:name="_Toc371338170"/>
      <w:bookmarkStart w:id="279" w:name="_Ref389744201"/>
      <w:bookmarkEnd w:id="193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r>
        <w:rPr>
          <w:rFonts w:cs="Cordia New"/>
          <w:noProof/>
          <w:sz w:val="22"/>
        </w:rPr>
        <w:t>Nimmitigaw l-emissjonijiet tal-UE</w:t>
      </w:r>
      <w:bookmarkEnd w:id="269"/>
      <w:bookmarkEnd w:id="270"/>
      <w:bookmarkEnd w:id="271"/>
      <w:bookmarkEnd w:id="272"/>
      <w:bookmarkEnd w:id="273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Skont il-Ftehim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Pariġi, l-UE u l-Istati Membri tagħha ħadu impenn kollettiv li jnaqqsu l-emissjonijiet tagħhom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mill-inqas 40 % sal-2030 meta mqabbla mal-livelli tal-1990. Dan l-impenn hu marbut ma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firxa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leġiżlazzjoni proposta fil-qasam tal-azzjoni klimatika, tal-enerġija u tat-trasport. Bħalissa l-proposti qed jiġu nnegozjati mal-Parlament Ewropew u mal-Kunsill. Il-Figura 10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hawn taħt turi kif it-tliet pilastri ewlenin tal-qafas propost tal-UE tal-politika dwar it-tibdil fil-klima għall-2030, li jkopru l-emissjonijiet kollha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 serra, huma relatati ma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xulxin. L-implimentazzjoni hi proposta li tiġi ssorveljata mill-qrib permezz tal-governanza tal-Unjoni tal-Enerġija tal-UE. Il-partijiet pubbliċi u privati kkonċernati tal-Istati Membri se jiġu megħjuna wkoll fl-ilħuq tal-miri globali tal-gass serra għall-2030 permezz:</w:t>
      </w:r>
    </w:p>
    <w:p w:rsidR="006222FD" w:rsidRDefault="006222FD">
      <w:pPr>
        <w:numPr>
          <w:ilvl w:val="0"/>
          <w:numId w:val="4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tal-forniment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finanzjament għall-klima (ara t-taqsima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qabel) mingħajr il-preġudizzju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allokazzjonijiet finanzjarji għall-finanzjament tal-ġlieda kontra t-tibdil fil-klima fil-Qafas Finanzjarju Pluriennali li jmiss; u</w:t>
      </w:r>
    </w:p>
    <w:p w:rsidR="006222FD" w:rsidRDefault="006222FD">
      <w:pPr>
        <w:numPr>
          <w:ilvl w:val="0"/>
          <w:numId w:val="4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leġiżlazzjoni komplimentari ġdida li tkopri l-UE kollha, speċjalment dwar l-effiċjenza enerġetika, l-enerġija rinnovabbli, l-istandards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emissjonijiet għal karozzi, għal vannijiet u għal vetturi heavy-duty, għall-ġbir u ħżin tad-diossidu tal-karbonju, u għal gassijiet fluworinati.</w:t>
      </w:r>
    </w:p>
    <w:p w:rsidR="006222FD" w:rsidRDefault="006222FD">
      <w:pPr>
        <w:pStyle w:val="Caption"/>
        <w:keepNext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80" w:name="_Ref493159394"/>
      <w:bookmarkStart w:id="281" w:name="_Toc495580783"/>
      <w:bookmarkStart w:id="282" w:name="_Toc495675900"/>
      <w:bookmarkStart w:id="283" w:name="_Toc495676435"/>
      <w:bookmarkStart w:id="284" w:name="_Toc496644720"/>
      <w:bookmarkStart w:id="285" w:name="_Toc493004521"/>
      <w:r>
        <w:rPr>
          <w:rFonts w:ascii="Times New Roman" w:hAnsi="Times New Roman" w:cs="Times New Roman"/>
          <w:noProof/>
          <w:sz w:val="24"/>
          <w:szCs w:val="24"/>
        </w:rPr>
        <w:t xml:space="preserve">Figura </w:t>
      </w:r>
      <w:r>
        <w:rPr>
          <w:rFonts w:ascii="Times New Roman" w:hAnsi="Times New Roman" w:cs="Times New Roman"/>
          <w:noProof/>
          <w:sz w:val="24"/>
          <w:szCs w:val="24"/>
        </w:rPr>
        <w:fldChar w:fldCharType="begin"/>
      </w:r>
      <w:r>
        <w:rPr>
          <w:rFonts w:ascii="Times New Roman" w:hAnsi="Times New Roman" w:cs="Times New Roman"/>
          <w:noProof/>
          <w:sz w:val="24"/>
          <w:szCs w:val="24"/>
        </w:rPr>
        <w:instrText xml:space="preserve"> SEQ Figure \* ARABIC </w:instrText>
      </w:r>
      <w:r>
        <w:rPr>
          <w:rFonts w:ascii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10</w:t>
      </w:r>
      <w:r>
        <w:rPr>
          <w:rFonts w:ascii="Times New Roman" w:hAnsi="Times New Roman" w:cs="Times New Roman"/>
          <w:noProof/>
          <w:sz w:val="24"/>
          <w:szCs w:val="24"/>
        </w:rPr>
        <w:fldChar w:fldCharType="end"/>
      </w:r>
      <w:bookmarkEnd w:id="280"/>
      <w:r>
        <w:rPr>
          <w:rFonts w:ascii="Times New Roman" w:hAnsi="Times New Roman" w:cs="Times New Roman"/>
          <w:noProof/>
          <w:sz w:val="24"/>
          <w:szCs w:val="24"/>
        </w:rPr>
        <w:t>: It-tliet bażijiet ġuridiċi proposti għall-qafas tal-2030 tal-UE tal-politika dwar it-tibdil fil-klima</w:t>
      </w:r>
      <w:bookmarkEnd w:id="281"/>
      <w:bookmarkEnd w:id="282"/>
      <w:bookmarkEnd w:id="283"/>
      <w:bookmarkEnd w:id="284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val="en-US" w:eastAsia="en-US" w:bidi="ar-SA"/>
        </w:rPr>
        <w:pict>
          <v:shape id="_x0000_s1033" type="#_x0000_t202" style="position:absolute;left:0;text-align:left;margin-left:326.5pt;margin-top:113.5pt;width:52.5pt;height:27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">
            <v:textbox>
              <w:txbxContent>
                <w:p w:rsidR="006222FD" w:rsidRDefault="006222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Mass 380 Mt CO</w:t>
                  </w:r>
                  <w:r>
                    <w:rPr>
                      <w:sz w:val="16"/>
                      <w:vertAlign w:val="subscript"/>
                    </w:rPr>
                    <w:t>2</w:t>
                  </w:r>
                  <w:r>
                    <w:rPr>
                      <w:sz w:val="16"/>
                    </w:rPr>
                    <w:t xml:space="preserve"> ek. </w:t>
                  </w:r>
                </w:p>
              </w:txbxContent>
            </v:textbox>
          </v:shape>
        </w:pict>
      </w:r>
      <w:r>
        <w:rPr>
          <w:noProof/>
          <w:lang w:val="en-US" w:eastAsia="en-US" w:bidi="ar-SA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Left Arrow 5" o:spid="_x0000_s1034" type="#_x0000_t66" style="position:absolute;left:0;text-align:left;margin-left:324pt;margin-top:95pt;width:59.5pt;height:11pt;z-index:25165772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" adj="1997" filled="f" strokeweight="2pt">
            <v:path arrowok="t"/>
          </v:shape>
        </w:pict>
      </w:r>
      <w:r>
        <w:rPr>
          <w:noProof/>
          <w:lang w:val="en-US" w:eastAsia="en-US" w:bidi="ar-SA"/>
        </w:rPr>
        <w:pict>
          <v:rect id="Rectangle 15" o:spid="_x0000_s1035" style="position:absolute;left:0;text-align:left;margin-left:383.5pt;margin-top:16.5pt;width:70.5pt;height:116.5pt;z-index:251655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" fillcolor="window" strokecolor="windowText">
            <v:path arrowok="t"/>
            <v:textbox>
              <w:txbxContent>
                <w:p w:rsidR="006222FD" w:rsidRDefault="006222FD">
                  <w:pPr>
                    <w:jc w:val="center"/>
                  </w:pPr>
                  <w:r>
                    <w:t>Użu tal-Art, Tibdil fl-Użu tal-Art u l-Forestrija (LULUCF)</w:t>
                  </w:r>
                </w:p>
                <w:p w:rsidR="006222FD" w:rsidRDefault="006222FD">
                  <w:pPr>
                    <w:jc w:val="center"/>
                  </w:pPr>
                  <w:r>
                    <w:t>Ebda dejn</w:t>
                  </w:r>
                </w:p>
              </w:txbxContent>
            </v:textbox>
          </v:rect>
        </w:pict>
      </w:r>
      <w:r>
        <w:rPr>
          <w:noProof/>
          <w:lang w:val="en-US" w:eastAsia="en-US" w:bidi="ar-SA"/>
        </w:rPr>
        <w:pict>
          <v:shape id="_x0000_s1036" type="#_x0000_t202" style="position:absolute;left:0;text-align:left;margin-left:172pt;margin-top:68pt;width:47.5pt;height:138.4pt;z-index:2516597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">
            <v:textbox style="mso-fit-shape-to-text:t">
              <w:txbxContent>
                <w:p w:rsidR="006222FD" w:rsidRDefault="006222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Mass 100 Mt CO</w:t>
                  </w:r>
                  <w:r>
                    <w:rPr>
                      <w:sz w:val="16"/>
                      <w:vertAlign w:val="subscript"/>
                    </w:rPr>
                    <w:t>2</w:t>
                  </w:r>
                  <w:r>
                    <w:rPr>
                      <w:sz w:val="16"/>
                    </w:rPr>
                    <w:t xml:space="preserve"> ek. </w:t>
                  </w:r>
                </w:p>
              </w:txbxContent>
            </v:textbox>
          </v:shape>
        </w:pict>
      </w:r>
      <w:r>
        <w:rPr>
          <w:noProof/>
          <w:lang w:val="en-US" w:eastAsia="en-US" w:bidi="ar-SA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18" o:spid="_x0000_s1037" type="#_x0000_t13" style="position:absolute;left:0;text-align:left;margin-left:157pt;margin-top:59.4pt;width:71pt;height:3.6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" adj="21052" fillcolor="windowText" strokeweight="2pt">
            <v:path arrowok="t"/>
          </v:shape>
        </w:pict>
      </w:r>
      <w:r>
        <w:rPr>
          <w:noProof/>
          <w:lang w:val="en-US" w:eastAsia="en-US" w:bidi="ar-SA"/>
        </w:rPr>
        <w:pict>
          <v:rect id="Rectangle 19" o:spid="_x0000_s1038" style="position:absolute;left:0;text-align:left;margin-left:236pt;margin-top:16.5pt;width:88pt;height:116.5pt;z-index:251654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" fillcolor="window" strokecolor="windowText">
            <v:path arrowok="t"/>
            <v:textbox>
              <w:txbxContent>
                <w:p w:rsidR="006222FD" w:rsidRDefault="006222FD">
                  <w:pPr>
                    <w:jc w:val="center"/>
                  </w:pPr>
                  <w:r>
                    <w:t>Qsim tal-Isforz</w:t>
                  </w:r>
                </w:p>
                <w:p w:rsidR="006222FD" w:rsidRDefault="006222FD">
                  <w:pPr>
                    <w:jc w:val="center"/>
                  </w:pPr>
                  <w:r>
                    <w:t>Mira: -30% sal-2030 vs 2005</w:t>
                  </w:r>
                </w:p>
                <w:p w:rsidR="006222FD" w:rsidRDefault="006222F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>inkluż skart mill-unitajiet domestiċi, mit-trasport u mill-agrikoltura (60% tal-emissjonijiet tal-UE)</w:t>
                  </w:r>
                </w:p>
                <w:p w:rsidR="006222FD" w:rsidRDefault="006222FD">
                  <w:pPr>
                    <w:jc w:val="center"/>
                  </w:pPr>
                </w:p>
                <w:p w:rsidR="006222FD" w:rsidRDefault="006222FD">
                  <w:pPr>
                    <w:jc w:val="center"/>
                  </w:pPr>
                </w:p>
                <w:p w:rsidR="006222FD" w:rsidRDefault="006222FD"/>
              </w:txbxContent>
            </v:textbox>
          </v:rect>
        </w:pict>
      </w:r>
      <w:r>
        <w:rPr>
          <w:noProof/>
          <w:lang w:val="en-US" w:eastAsia="en-US" w:bidi="ar-SA"/>
        </w:rPr>
        <w:pict>
          <v:rect id="Rectangle 4" o:spid="_x0000_s1039" style="position:absolute;left:0;text-align:left;margin-left:263pt;margin-top:28pt;width:63.5pt;height:96.5pt;z-index:2516536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" fillcolor="window" strokecolor="window" strokeweight="1pt">
            <v:path arrowok="t"/>
          </v:rect>
        </w:pict>
      </w:r>
      <w:r>
        <w:rPr>
          <w:noProof/>
          <w:lang w:val="en-US" w:eastAsia="en-US" w:bidi="ar-SA"/>
        </w:rPr>
        <w:pict>
          <v:roundrect id="Rounded Rectangle 20" o:spid="_x0000_s1040" style="position:absolute;left:0;text-align:left;margin-left:228pt;margin-top:2.5pt;width:232pt;height:145pt;z-index:25165158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" fillcolor="window" strokecolor="windowText" strokeweight="2pt">
            <v:path arrowok="t"/>
            <v:textbox>
              <w:txbxContent>
                <w:p w:rsidR="006222FD" w:rsidRDefault="006222FD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>
                    <w:rPr>
                      <w:i/>
                      <w:sz w:val="16"/>
                    </w:rPr>
                    <w:t xml:space="preserve">flessibilità </w:t>
                  </w:r>
                </w:p>
                <w:p w:rsidR="006222FD" w:rsidRDefault="006222FD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>
                    <w:rPr>
                      <w:i/>
                      <w:sz w:val="16"/>
                    </w:rPr>
                    <w:t>sħiħa</w:t>
                  </w:r>
                </w:p>
              </w:txbxContent>
            </v:textbox>
          </v:roundrect>
        </w:pict>
      </w:r>
      <w:r>
        <w:rPr>
          <w:noProof/>
          <w:lang w:val="en-US" w:eastAsia="en-US" w:bidi="ar-SA"/>
        </w:rPr>
        <w:pict>
          <v:roundrect id="Rounded Rectangle 21" o:spid="_x0000_s1041" style="position:absolute;left:0;text-align:left;margin-left:4.5pt;margin-top:1pt;width:152.5pt;height:145pt;z-index:251652608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" fillcolor="window" strokecolor="windowText" strokeweight="2pt">
            <v:path arrowok="t"/>
            <v:textbox>
              <w:txbxContent>
                <w:p w:rsidR="006222FD" w:rsidRDefault="006222FD">
                  <w:pPr>
                    <w:jc w:val="center"/>
                  </w:pPr>
                  <w:r>
                    <w:t>Skambju ta</w:t>
                  </w:r>
                  <w:r>
                    <w:rPr>
                      <w:cs/>
                    </w:rPr>
                    <w:t xml:space="preserve">’ </w:t>
                  </w:r>
                  <w:r>
                    <w:t>Kwoti tal-Emissjonijiet (ETS)</w:t>
                  </w:r>
                </w:p>
                <w:p w:rsidR="006222FD" w:rsidRDefault="006222FD">
                  <w:pPr>
                    <w:jc w:val="center"/>
                  </w:pPr>
                  <w:r>
                    <w:t>Mira: -43% sal-2030 vs 2005</w:t>
                  </w:r>
                </w:p>
                <w:p w:rsidR="006222FD" w:rsidRDefault="006222FD">
                  <w:pPr>
                    <w:jc w:val="center"/>
                  </w:pPr>
                </w:p>
                <w:p w:rsidR="006222FD" w:rsidRDefault="006222FD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>
                    <w:rPr>
                      <w:i/>
                      <w:sz w:val="16"/>
                    </w:rPr>
                    <w:t>inklużi s-Settur tal-elettriku/tal-enerġija, l-Industrija, l-avjazzjoni (40% tal-emissjonijiet tal-UE)</w:t>
                  </w:r>
                </w:p>
              </w:txbxContent>
            </v:textbox>
          </v:roundrect>
        </w:pic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val="en-US" w:eastAsia="en-US" w:bidi="ar-SA"/>
        </w:rPr>
        <w:pict>
          <v:shape id="Right Arrow 6" o:spid="_x0000_s1042" type="#_x0000_t13" style="position:absolute;left:0;text-align:left;margin-left:326.85pt;margin-top:17.8pt;width:59.5pt;height:33.7pt;z-index:251656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" adj="17044" fillcolor="windowText" strokeweight="2pt">
            <v:path arrowok="t"/>
            <v:textbox>
              <w:txbxContent>
                <w:p w:rsidR="006222FD" w:rsidRDefault="006222FD">
                  <w:pPr>
                    <w:jc w:val="center"/>
                  </w:pPr>
                  <w:r>
                    <w:t>Qsim tal-Isforz</w:t>
                  </w:r>
                </w:p>
                <w:p w:rsidR="006222FD" w:rsidRDefault="006222FD">
                  <w:pPr>
                    <w:jc w:val="center"/>
                  </w:pPr>
                </w:p>
              </w:txbxContent>
            </v:textbox>
          </v:shape>
        </w:pict>
      </w:r>
    </w:p>
    <w:p w:rsidR="006222FD" w:rsidRDefault="006222FD">
      <w:pPr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</w:p>
    <w:p w:rsidR="006222FD" w:rsidRDefault="006222FD">
      <w:pPr>
        <w:pStyle w:val="Heading2"/>
        <w:ind w:left="850"/>
        <w:jc w:val="both"/>
        <w:rPr>
          <w:b w:val="0"/>
          <w:i w:val="0"/>
          <w:noProof/>
          <w:szCs w:val="24"/>
          <w:u w:val="single"/>
        </w:rPr>
      </w:pPr>
    </w:p>
    <w:p w:rsidR="006222FD" w:rsidRDefault="006222FD">
      <w:pPr>
        <w:pStyle w:val="Heading2"/>
        <w:ind w:left="850"/>
        <w:jc w:val="both"/>
        <w:rPr>
          <w:b w:val="0"/>
          <w:i w:val="0"/>
          <w:noProof/>
          <w:szCs w:val="24"/>
          <w:u w:val="single"/>
        </w:rPr>
      </w:pPr>
    </w:p>
    <w:p w:rsidR="006222FD" w:rsidRDefault="006222FD">
      <w:pPr>
        <w:pStyle w:val="Heading2"/>
        <w:ind w:left="850"/>
        <w:jc w:val="both"/>
        <w:rPr>
          <w:b w:val="0"/>
          <w:i w:val="0"/>
          <w:noProof/>
          <w:szCs w:val="24"/>
          <w:u w:val="single"/>
        </w:rPr>
      </w:pPr>
    </w:p>
    <w:p w:rsidR="006222FD" w:rsidRDefault="006222FD">
      <w:pPr>
        <w:pStyle w:val="Heading2"/>
        <w:ind w:left="850"/>
        <w:jc w:val="both"/>
        <w:rPr>
          <w:b w:val="0"/>
          <w:i w:val="0"/>
          <w:noProof/>
          <w:szCs w:val="24"/>
          <w:u w:val="single"/>
        </w:rPr>
      </w:pPr>
    </w:p>
    <w:p w:rsidR="006222FD" w:rsidRDefault="006222FD">
      <w:pPr>
        <w:pStyle w:val="Heading2"/>
        <w:ind w:left="850"/>
        <w:jc w:val="both"/>
        <w:rPr>
          <w:b w:val="0"/>
          <w:i w:val="0"/>
          <w:noProof/>
          <w:szCs w:val="24"/>
          <w:u w:val="single"/>
        </w:rPr>
      </w:pP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r>
        <w:rPr>
          <w:b w:val="0"/>
          <w:i w:val="0"/>
          <w:noProof/>
          <w:szCs w:val="24"/>
          <w:u w:val="single"/>
        </w:rPr>
        <w:t xml:space="preserve">Reviżjoni tal-ETS tal-UE </w:t>
      </w:r>
      <w:r>
        <w:rPr>
          <w:b w:val="0"/>
          <w:i w:val="0"/>
          <w:noProof/>
          <w:szCs w:val="24"/>
          <w:u w:val="single"/>
          <w:cs/>
        </w:rPr>
        <w:t xml:space="preserve">— </w:t>
      </w:r>
      <w:r>
        <w:rPr>
          <w:b w:val="0"/>
          <w:i w:val="0"/>
          <w:noProof/>
          <w:szCs w:val="24"/>
          <w:u w:val="single"/>
        </w:rPr>
        <w:t>ir-raba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  <w:cs/>
        </w:rPr>
        <w:t xml:space="preserve"> </w:t>
      </w:r>
      <w:r>
        <w:rPr>
          <w:b w:val="0"/>
          <w:i w:val="0"/>
          <w:noProof/>
          <w:szCs w:val="24"/>
          <w:u w:val="single"/>
        </w:rPr>
        <w:t>fażi (2021-2030)</w:t>
      </w:r>
      <w:bookmarkEnd w:id="285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Il-proposta leġiżlattiva tal-Kummissjoni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Lulju 2015 dwar ir-reviżjoni tal-ETS tal-UE għar-raba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fażi għandha l-għan li l-emissjonijiet mill-impjanti tal-produzzjoni tal-enerġija u mill-industrija jitnaqqsu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43 % sal-2030 mil-livelli tagħhom tal-2005. Bħalissa l-Parlament Ewropew u l-Kunsill huma involuti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negozjati trilogi, wara li adottaw pożizzjonijiet dwar ir-reviżjoni tad-Direttiva fi Frar 2017.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Il-proposta tkun qed iżżid it-tnaqqis annwali fin-numru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kwoti mill-1.74 % attwali għal 2.2 % biex tipprovdi t-tnaqqisiet tal-emissjonijiet 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hekk tilħaq l-objettiv ambjentali sottostanti. Fil-pożizzjonijiet tagħhom, kemm il-Parlament Ewropew kif ukoll il-Kunsill jipproponu t-tisħiħ ulterjuri tal-ETS tal-UE billi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temporanju tiġi rdoppjata r-rata li biha l-kwoti jitqiegħdu fir-Riżerva tal-Istabbiltà tas-Suq (MSR) mill-2019. Dan it-tibdi ikun jippermetti lill-MSR tnaqqas il-provvista eċċessiva eżistenti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kwoti fis-suq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rata iktar mgħaġġla.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Peress li l-mexxejja Ewropej qablu li jkomplu bl-allokazzjoni bla ħlas wara l-2021, huma proposti wkoll tibdiliet neċessarji għall-aġġornar tar-regoli rilevanti. Dan jinkludi parametri referenzjarji aġġornati biex jirriflettu l-progress teknoloġiku fejn hemm bżonn, il-kriterji għall-kompożizzjoni futura tal-lista tar-rilokazzjoni tal-emissjonijiet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karbonju u proċeduri li jirriflettu tibdiliet fil-produzzjoni.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Huma proposti diversi mekkaniżmi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finanzjament għal proġetti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emissjonijiet baxxi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karbonju,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partikolari Fond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Innovazzjoni (biex tiġi appoġġjata d-dimostrazzjoni tal-enerġija rinnovabbli innovattiva u l-innovazzjoni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emissjonijiet tal-karbonju fl-industrija, kif ukoll il-ġbir, l-użu u l-ħżin tad-diossidu tal-karbonju) u Fond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Modernizzazzjoni (li jimmodernizza s-sistemi tal-enerġija tal-Istati Membri tal-UE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PDG inferjuri).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bCs w:val="0"/>
          <w:i w:val="0"/>
          <w:iCs w:val="0"/>
          <w:noProof/>
          <w:szCs w:val="24"/>
          <w:u w:val="single"/>
        </w:rPr>
      </w:pPr>
      <w:bookmarkStart w:id="286" w:name="_Toc493004522"/>
      <w:bookmarkStart w:id="287" w:name="_Ref493079721"/>
      <w:bookmarkStart w:id="288" w:name="_Hlk493144725"/>
      <w:r>
        <w:rPr>
          <w:b w:val="0"/>
          <w:i w:val="0"/>
          <w:noProof/>
          <w:szCs w:val="24"/>
          <w:u w:val="single"/>
        </w:rPr>
        <w:t>Proposti għal regolamenti dwar il-qsim tal-isforz u dwar l-użu tal-art għall-2021-2030</w:t>
      </w:r>
      <w:bookmarkEnd w:id="286"/>
      <w:bookmarkEnd w:id="287"/>
    </w:p>
    <w:bookmarkEnd w:id="288"/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  <w:lang w:val="mt-MT"/>
        </w:rPr>
      </w:pPr>
      <w:r>
        <w:rPr>
          <w:rFonts w:ascii="Times New Roman" w:hAnsi="Times New Roman" w:cs="Times New Roman"/>
          <w:noProof/>
          <w:sz w:val="24"/>
          <w:szCs w:val="24"/>
        </w:rPr>
        <w:t>Żewġ proposti mressqa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Lulju 2016 jistabbilixxu kif jenħtieġ li l-Istati Membri tal-UE jimplimentaw eżettament l-impenn tagħhom biex inaqqsu bi 30 % l-emissjonijiet mhux tal-ETS sal-2030 meta mqabbla mal-2005.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 xml:space="preserve"> Il-Parlament Ewropew u l-Kunsill bħalissa huma involuti fi trijalogu ta' negozjati, wara li adottaw pożizzjonijiet dwar iż-żewġ proposti bejn Ġunju u Ottubru 2017.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L-ewwel nett, għas-setturi barra mill-ETS u mil-LULUCF, kull Stat Membru jkollu limiti annwali vinkolanti tal-emissjonijiet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 serra għall-2021-2030. L-Istati Membri qablu li jaqsmu l-isforzi fuq il-bażi tal-ġustizzja, tas-solidarjetà, tal-kosteffettività u tal-integrità ambjentali.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hekk, il-proposta tirrikonoxxi l-kapaċità differenti li għandhom l-Istati Membri biex jieħdu azzjoni billi tistabbilixxi miri differenti għalihom għall-2030, primarjament fuq il-bażi tal-PDG per capita fl-2013. Il-miri proposti għall-2030 ivarjaw minn tnaqqisiet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0 % sa 40 % meta mqabbla mal-livelli tal-2005. Jingħataw żewġ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flessibilotajiet limitati ġodda</w:t>
      </w:r>
      <w:r>
        <w:rPr>
          <w:rFonts w:ascii="Times New Roman" w:hAnsi="Times New Roman" w:cs="Times New Roman"/>
          <w:noProof/>
          <w:sz w:val="24"/>
          <w:szCs w:val="24"/>
        </w:rPr>
        <w:t>: l-għoti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permess lill-Istati Membri eliġibbli biex jużaw il-kwoti tal-ETS tal-UE, u l-għoti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permess lill-Istati Membri kollha biex jieħdu azzjoni ikbar fis-setturi tal-użu tal-art ħalli jissodisfaw parti mill-miri vinkolanti tagħhom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qsim tal-isforz.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It-tieni, l-Istati Membri jkunu meħtieġa jibbilanċjaw 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ijiet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serra u t-tneħħijiet mill-użu tal-art, tibdil fl-użu tal-art u l-forestrija permezz tar-</w:t>
      </w:r>
      <w:r>
        <w:rPr>
          <w:rFonts w:ascii="Times New Roman" w:hAnsi="Times New Roman" w:cs="Times New Roman"/>
          <w:noProof/>
          <w:sz w:val="24"/>
          <w:szCs w:val="24"/>
          <w:cs/>
        </w:rPr>
        <w:t>“</w:t>
      </w:r>
      <w:r>
        <w:rPr>
          <w:rFonts w:ascii="Times New Roman" w:hAnsi="Times New Roman" w:cs="Times New Roman"/>
          <w:noProof/>
          <w:sz w:val="24"/>
          <w:szCs w:val="24"/>
        </w:rPr>
        <w:t>regola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ebda dejn</w:t>
      </w:r>
      <w:r>
        <w:rPr>
          <w:rFonts w:ascii="Times New Roman" w:hAnsi="Times New Roman" w:cs="Times New Roman"/>
          <w:noProof/>
          <w:sz w:val="24"/>
          <w:szCs w:val="24"/>
          <w:cs/>
        </w:rPr>
        <w:t>”</w:t>
      </w:r>
      <w:r>
        <w:rPr>
          <w:rFonts w:ascii="Times New Roman" w:hAnsi="Times New Roman" w:cs="Times New Roman"/>
          <w:noProof/>
          <w:sz w:val="24"/>
          <w:szCs w:val="24"/>
        </w:rPr>
        <w:t>. Hu propost li 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ijiet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serra mill-użu tal-art ikollu jiġi kkumpensat għalkollox bit-tneħħija ekwivalenti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</w:t>
      </w:r>
      <w:r>
        <w:rPr>
          <w:rFonts w:ascii="Cambria Math" w:hAnsi="Cambria Math" w:cs="Cambria Math"/>
          <w:noProof/>
          <w:sz w:val="24"/>
          <w:szCs w:val="24"/>
        </w:rPr>
        <w:t>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mill-atmosfera permezz tat-teħid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azzjoni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dak is-settur jew fis-setturi tal-qsim tal-isforz. Pereżempju, jekk Stat Membru jaqta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s-siġar mill-foresti, dan irid jikkumpensa għall-emissjonijiet li jirriżultaw bit-tħawwil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siġar ġodda, bil-ġestjoni tal-foresti, tar-raba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u tal-bur eżistenti tiegħu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iktar sostenibbli, jew bit-tnaqqis ulterjuri tal-emissjonijiet fis-setturi tiegħu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qsim tal-isforz. Barra minn hekk, l-Istati Membri jkollhom ukoll l-għażla li jinnegozjaw krediti tal-LULUCF. Jekk tiġi implimentata, din is-sistema kontabilistika tkun qed tgħin lill-Istati Membri jinċentivaw lill-bdiewa u lill-forestiera biex jimxu lejn agrikoltura u ġestjoni tal-foresti intelliġenti fil-livell klimatiku. 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289" w:name="_Toc493004523"/>
      <w:r>
        <w:rPr>
          <w:b w:val="0"/>
          <w:i w:val="0"/>
          <w:noProof/>
          <w:szCs w:val="24"/>
          <w:u w:val="single"/>
        </w:rPr>
        <w:t>L-istrateġija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  <w:cs/>
        </w:rPr>
        <w:t xml:space="preserve"> </w:t>
      </w:r>
      <w:r>
        <w:rPr>
          <w:b w:val="0"/>
          <w:i w:val="0"/>
          <w:noProof/>
          <w:szCs w:val="24"/>
          <w:u w:val="single"/>
        </w:rPr>
        <w:t>mobilità b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</w:rPr>
        <w:t>livell baxx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  <w:cs/>
        </w:rPr>
        <w:t xml:space="preserve"> </w:t>
      </w:r>
      <w:r>
        <w:rPr>
          <w:b w:val="0"/>
          <w:i w:val="0"/>
          <w:noProof/>
          <w:szCs w:val="24"/>
          <w:u w:val="single"/>
        </w:rPr>
        <w:t>emissjonijiet</w:t>
      </w:r>
      <w:bookmarkEnd w:id="289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Is-settur tal-mobilità tal-UE hu impjegatur kbir u motivatur indispensabbli tal-kompetittività globali tal-ekonomija tal-UE. Sistema moderna tal-mobilità hi meħtieġa għat-tranżizzjoni lejn ekonomija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karbonju. Il-miżuri jinkludu l-iżvilupp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teknoloġiji nodfa permezz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standards tal-emissjonijiet imtejba, u l-użu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fjuwils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emissjonijiet baxxi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karbonju.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Lulju 2016, il-Kummissjoni adottat Strateġija tal-UE għall-mobilità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emissjonijiet li hi bbażata fuq tliet pilastri: effiċjenza ikbar fis-sistema tat-trasport, enerġija alternattiva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emissjonijiet baxxi għat-trasport, u vetturi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emissjonijiet 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emissjonijiet żero.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Il-Kummissjoni qed taħdem favur l-iskjerament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vetturi kooperattivi, konnessi u awtomatizzati, li se jgħin biex jonqsu l-emissjonijiet u l-konġestjoni. Barra minn hekk, il-Kummissjoni tipproponi aġġustamenti fl-oqfsa regolatorji għall-pedaġġ tat-triq, għall-pedaġġ elettroniku u għat-trasport ikkombinat.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Rigward it-teknoloġiji nodfa, l-istandards tal-emissjonijiet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diossidu tal-karbonju li japplikaw madwar l-UE kollha qed jixprunaw l-innovazzjoni u l-effiċjenza. Il-Kummissjoni qed tipproponi standards ġodda għall-karozzi u għall-vannijiet għal wara l-2020. Hi pproponiet sistema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monitoraġġ 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rapportar għall-emissjonijiet minn vetturi heavy-duty li twitti t-triq għal standards għal dan it-tip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vetturi fl-2018. Konsegwentement, ir-rieżami propost tal-akkwist pubbliku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vetturi nodfa ser jgħin biex jinħolqu swieq għal prodotti innovattivi 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emissjonijiet.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Fir-rigward tal-użu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fjuwils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karbonju 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fjuwils rinnovabbli,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Novembru 2016 il-Kummissjoni pproponiet riformulazzjoni tad-Direttiva dwar l-Enerġija Rinnovabbli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komponent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saħħtu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bijokarburanti avvanzati, permezz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obbligu fuq il-fornituri tal-fjuwil għat-trasport li japplika madwar l-UE kollha. Ir-reviżjoni proposta tad-Direttiva dwar ir-Rendiment tal-Bini fl-Użu tal-Enerġija (ara t-taqsima 3.4) u d-disinn tas-suq tal-elettriku se tikkontribwixxi għall-forniment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punti tal-iċċarġjar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binjiet 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grilja/sistema tal-enerġija li hi idonea għal dan l-għan, u se tappoġġja t-tranżizzjoni lejn mobilità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emissjonijiet żero. Id-Direttiva dwar l-Infrastruttura għall-Fjuwils Alternattivi tipprovdi qafas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saħħtu biex tiġi żgurata d-disponibbiltà tal-infrastruttura, tal-istandards komuni u tal-informazzjoni għall-konsumatur għal enerġija alternattiva. Il-Kummissjoni qiegħda toħroġ Pjan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Azzjoni dwar l-Infrastruttura għall-Fjuwils Alternattivi biex tindirizza l-governanza, il-finanzjament u l-interoperabbiltà tas-servizzi infrastrutturali.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290" w:name="_Toc493004524"/>
      <w:bookmarkStart w:id="291" w:name="_Ref493079346"/>
      <w:r>
        <w:rPr>
          <w:b w:val="0"/>
          <w:i w:val="0"/>
          <w:noProof/>
          <w:szCs w:val="24"/>
          <w:u w:val="single"/>
        </w:rPr>
        <w:t>L-effiċjenza enerġetika</w:t>
      </w:r>
      <w:bookmarkEnd w:id="290"/>
      <w:bookmarkEnd w:id="291"/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Il-Kummissjoni pproponiet reviżjoni tad-Direttiva dwar l-Effiċjenza Enerġetika (EED)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mira vinkolanti għall-UE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30 % għall-2030. L-EED se testendi wkoll ir-rekwiżiti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ffrankar enerġetiku għall-2030 u se tissimplifika r-regoli għall-kalkolu tat-tali ffrankar enerġetiku.</w:t>
      </w:r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Ir-rieżami tad-Direttiva dwar ir-Rendiment tal-Bini fl-Użu tal-Enerġija jippromwovi l-użu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teknoloġija intelliġenti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binjiet u jinkludi miżuri ewlenin għall-promozzjoni ulterjuri tal-investiment fl-effiċjenza enerġetika u fl-enerġija rinnovabbli.</w:t>
      </w:r>
    </w:p>
    <w:p w:rsidR="006222FD" w:rsidRDefault="006222FD">
      <w:pPr>
        <w:pStyle w:val="Heading2"/>
        <w:numPr>
          <w:ilvl w:val="1"/>
          <w:numId w:val="33"/>
        </w:numPr>
        <w:jc w:val="both"/>
        <w:rPr>
          <w:b w:val="0"/>
          <w:i w:val="0"/>
          <w:noProof/>
          <w:szCs w:val="24"/>
          <w:u w:val="single"/>
        </w:rPr>
      </w:pPr>
      <w:bookmarkStart w:id="292" w:name="_Toc493004525"/>
      <w:r>
        <w:rPr>
          <w:b w:val="0"/>
          <w:i w:val="0"/>
          <w:noProof/>
          <w:szCs w:val="24"/>
          <w:u w:val="single"/>
        </w:rPr>
        <w:t>L-enerġija rinnovabbli</w:t>
      </w:r>
      <w:bookmarkEnd w:id="292"/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Skont ir-riformulazzjoni proposta tad-Direttiva dwar l-Enerġija Rinnovabbli, is-sorsi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enerġija rinnovabbli jridu jkunu jammontaw għal mill-inqas 27 % tal-konsum finali gross tal-enerġija tal-UE sal-2030. Din il-mira vinkolanti hi konformi mal-konklużjonijiet tal-Kunsill Ewropew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Ottubru 2014. Id-direttiva riformulata toħloq ukoll ambjent regolatorju li ma jagħmilx ħsara lill-innovazzjoni u tippromwovi l-investiment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terminu twil.</w:t>
      </w:r>
      <w:bookmarkStart w:id="293" w:name="_Toc493004526"/>
    </w:p>
    <w:p w:rsidR="006222FD" w:rsidRDefault="006222FD">
      <w:pPr>
        <w:pStyle w:val="Heading2"/>
        <w:numPr>
          <w:ilvl w:val="1"/>
          <w:numId w:val="33"/>
        </w:numPr>
        <w:jc w:val="both"/>
        <w:rPr>
          <w:b w:val="0"/>
          <w:i w:val="0"/>
          <w:noProof/>
          <w:szCs w:val="24"/>
          <w:u w:val="single"/>
        </w:rPr>
      </w:pPr>
      <w:r>
        <w:rPr>
          <w:b w:val="0"/>
          <w:i w:val="0"/>
          <w:noProof/>
          <w:szCs w:val="24"/>
          <w:u w:val="single"/>
        </w:rPr>
        <w:t>Governanza</w:t>
      </w:r>
      <w:bookmarkEnd w:id="293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Novembru 2016 il-Kummissjoni Ewropea adottat proposta għal regolament għall-governanza tal-Unjoni tal-Enerġija. Dan ir-regolament ikun jeħtieġ li l-Istati Membri jabbozzaw pjanijiet nazzjonali integrati dwar l-enerġija u l-klima (NECP) li jkopru perjodu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10 snin li jibda mill-2021 sal-2030. Il-pjanijiet se jistabbilixxu l-objettivi nazzjonali tagħhom dwar l-enerġija u l-klima u se jirrappreżentaw il-kontribuzzjoni tagħhom għall-objettivi tal-Unjoni tal-Enerġija, inklużi l-miri konġunti tal-UE dwar l-effiċjenza enerġetika u l-enerġija rinnovabbli. Jenħtieġ ukoll li l-pjanijiet ikunu allinjati mal-istrateġiji dwar l-emissjonijiet baxxi fuq terminu twil sottomessi kull 10 snin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perspettiva proposta għall-50 sena li jmiss.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Il-proposta tistabbilixxi kalendarju għall-abbozzar, għall-finalizzazzjoni u għall-aġġornar tal-pjanijiet allinjati mill-qrib maċ-ċiklu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rieżami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ħames (</w:t>
      </w:r>
      <w:r>
        <w:rPr>
          <w:rFonts w:ascii="Times New Roman" w:hAnsi="Times New Roman" w:cs="Times New Roman"/>
          <w:noProof/>
          <w:sz w:val="24"/>
          <w:szCs w:val="24"/>
        </w:rPr>
        <w:t>5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snin stabbilit fil-Ftehim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Pariġi. Il-pjanijiet se jinformaw il-parteċipazzjoni tal-UE u tal-Istati Membri fid-djalogu faċilitattiv fl-2018 u lir-Rendikont Globali fl-2023, u kull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ħames (</w:t>
      </w:r>
      <w:r>
        <w:rPr>
          <w:rFonts w:ascii="Times New Roman" w:hAnsi="Times New Roman" w:cs="Times New Roman"/>
          <w:noProof/>
          <w:sz w:val="24"/>
          <w:szCs w:val="24"/>
        </w:rPr>
        <w:t>5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snin wara dawn. 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Il-proposta tistabbilixxi wkoll regoli integrati dwar il-monitoraġġ u r-rapportar għat-traċċar tal-progress fl-implimentazzjoni tal-pjanijiet. Hi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tipprevedi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mekkaniżmi speċifiċi li jkopru kwalunkwe disparità fil-kisba tal-miri tal-UE għall-effiċjenza enerġetika u għall-enerġija rinnovabbli. Din tipp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 xml:space="preserve">revedi </w:t>
      </w:r>
      <w:r>
        <w:rPr>
          <w:rFonts w:ascii="Times New Roman" w:hAnsi="Times New Roman" w:cs="Times New Roman"/>
          <w:noProof/>
          <w:sz w:val="24"/>
          <w:szCs w:val="24"/>
        </w:rPr>
        <w:t>i wkoll mekkaniżmu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monitoraġġ trasparenti, preċiż, komprensiv, komplut u konsistenti għall-emissjonijiet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ijiet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serra biex l-UE tissodisfa l-obbligi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rapportar li hi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impenjat ruħha bihom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fil-Ftehim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Pariġi.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L-Istati Membri diġà qed jabbozzaw il-pjanijiet nazzjonali tagħhom,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iktar minn żewġ terzi minnhom li stabbilixxew proċessi politiċi biex iħejjuhom. Iktar minn nofshom organizzaw konsultazzjoni pubblika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rabta mal-pjanijiet nazzjonali. Madwar nofshom diġà għandhom strateġiji fuq terminu twil għall-klima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perspettiva m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i</w:t>
      </w:r>
      <w:r>
        <w:rPr>
          <w:rFonts w:ascii="Times New Roman" w:hAnsi="Times New Roman" w:cs="Times New Roman"/>
          <w:noProof/>
          <w:sz w:val="24"/>
          <w:szCs w:val="24"/>
        </w:rPr>
        <w:t>ll-inqas sal-2030. Iktar minn terz tal-Istati Membri indikaw lill-Kummissjoni li bdew jaħdmu fuq il-bażi analitika u fuq il-kooperazzjoni reġjonali bi tħejjija għall-NECPs tagħhom.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294" w:name="_Toc493004527"/>
      <w:r>
        <w:rPr>
          <w:b w:val="0"/>
          <w:i w:val="0"/>
          <w:noProof/>
          <w:szCs w:val="24"/>
          <w:u w:val="single"/>
        </w:rPr>
        <w:t>Is-sistema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</w:rPr>
        <w:t xml:space="preserve"> monitoraġġ,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</w:rPr>
        <w:t xml:space="preserve"> rapportar u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</w:rPr>
        <w:t xml:space="preserve"> verifikazzjoni (MRV) għat-trasport marittimu tal-UE</w:t>
      </w:r>
      <w:bookmarkEnd w:id="294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L-UE tappoġġja d-diskussjonijiet kurrenti fl-Organizzazzjoni Marittima Internazzjonali (IMO) għat-tnaqqis globali tal-emissjonijiet mit-trasport marittimu internazzjonali (ara t-taqsima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5.3</w:t>
      </w:r>
      <w:r>
        <w:rPr>
          <w:rFonts w:ascii="Times New Roman" w:hAnsi="Times New Roman" w:cs="Times New Roman"/>
          <w:noProof/>
          <w:sz w:val="24"/>
          <w:szCs w:val="24"/>
        </w:rPr>
        <w:t>). Hi diġà emendat il-liġijiet tal-MRV tagħha stess dwar l-emissjonijiet mit-trasport marittimu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rabta mal-portijiet fiż-Żona Ekonomika Ewropea.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riżultat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dan,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Awwissu 2017 il-kumpanniji li joperaw bastimenti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iktar minn 5 000 tunnellata gross issottomettew pjanijiet li jispjegaw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dettall il-proċeduri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monitoraġġ tagħhom. Il-monitoraġġ u r-rapportar se japplikaw għall-attivitajiet tat-trasport marittimu mill-1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Jannar 2018. Bħalissa għaddejja valutazzjoni tal-allinjament possibbli tal-iskema tal-MRV tal-UE mas-sistema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ġbir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data tal-IMO rigward il-konsum tal-fjuwil mill-bastimenti. Wara din il-valutazzjoni, jista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jkun hemm proposti ulterjuri biex fl-2018 tiġi emendata l-leġiżlazzjoni tal-MRV tal-UE.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295" w:name="_Toc493004528"/>
      <w:r>
        <w:rPr>
          <w:b w:val="0"/>
          <w:i w:val="0"/>
          <w:noProof/>
          <w:szCs w:val="24"/>
          <w:u w:val="single"/>
        </w:rPr>
        <w:t>L-istrateġija dwar l-ispazju</w:t>
      </w:r>
      <w:bookmarkEnd w:id="295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Is-servizzi pprovduti minn Copernicus, l-ikbar programm individwali dinji għall-osservazzjoni tad-Dinja, diġà jista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jintuża biex jiġu traċċati l-kopertura tal-art u l-bidla fl-użu tal-art, u jista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jintuża fil-futur biex jinkisbu l-objettivi tal-proposta tal-LULUCF (ara t-taqsima 3.2) u jiġu ssorveljati d-deforestazzjoni u l-forom kollha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bidla fl-użu tal-art fuq skala globali.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Barra minn hekk,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konformità mal-istrateġija tagħha dwar l-ispazju, il-Kummissjoni qed tittestja l-fattibbiltà tal-kapaċità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appoġġ għall-monitoraġġ u għall-verifika tal-emissjonijiet antropoġeniċi globali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</w: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bl-użu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ġabra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data atmosferika indipendenti bbażata fuq l-osservazzjonijiet li fil-ġejjieni tkun tista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tikk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u</w:t>
      </w:r>
      <w:r>
        <w:rPr>
          <w:rFonts w:ascii="Times New Roman" w:hAnsi="Times New Roman" w:cs="Times New Roman"/>
          <w:noProof/>
          <w:sz w:val="24"/>
          <w:szCs w:val="24"/>
        </w:rPr>
        <w:t>mplimenta s-sistemi nazzjonali tal-inventarji u tgħin biex jiżdiedu l-affidabilità u l-akkuratezza tagħhom.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296" w:name="_Toc493004529"/>
      <w:r>
        <w:rPr>
          <w:b w:val="0"/>
          <w:i w:val="0"/>
          <w:noProof/>
          <w:szCs w:val="24"/>
          <w:u w:val="single"/>
        </w:rPr>
        <w:t>Ġbir u ħżin tad-diossidu tal-karbonju</w:t>
      </w:r>
      <w:bookmarkEnd w:id="296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L-Unjoni Ewropea qed issaħħaħ l-isforzi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riċerka tagħha fil-ġbir u ħżin tad-diossidu tal-karbonju (CSS) u fil-vijabbiltà kummerċjali tal-qbid u użu tal-karbonju (CCU). Numru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pajjiżi bħan-Netherlands, ir-Renju Unit u Franza qed jesploraw alternattivi għall-iżvilupp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raggruppamenti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industriji intensivi fl-użu tal-enerġija u tal-karbonju fejn is-CO</w: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ikun jista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jinqabad għall-ħżin jew għall-użu ġeoloġiku sikur sussegwenti. Ġew sottomessi erba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proposti għall-infrastruttura tat-trasport transkonfinali tas-CO</w: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biex jiġu inklużi fil-lista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proġetti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interess komuni u dawn huma eliġibbli għall-appoġġ finanzjarju.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noProof/>
          <w:szCs w:val="24"/>
          <w:u w:val="single"/>
        </w:rPr>
      </w:pPr>
      <w:bookmarkStart w:id="297" w:name="_Toc493004530"/>
      <w:r>
        <w:rPr>
          <w:b w:val="0"/>
          <w:i w:val="0"/>
          <w:noProof/>
          <w:szCs w:val="24"/>
          <w:u w:val="single"/>
        </w:rPr>
        <w:t>Gassijiet F</w:t>
      </w:r>
      <w:bookmarkEnd w:id="297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Ir-Regolament Ewropew ġdid għall-kontroll tal-emissjonijiet minn gassijiet fluworurati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effett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serra (gassijiet F) ilu fis-seħħ mill-1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Jannar 2015. Dan għandu l-għan li jnaqqas l-emissjonijiet totali tal-UE minn gassijiet F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żewġ terzi sal-2030 meta mqabbla mal-livelli tal-2014. Hu jipprojbixxi wkoll it-tqegħid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gassijiet fluworurati fis-suq,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ċerti ċirkostanzi, jekk jeżistu alternattivi. Fl-2018, il-kwoti għat-tqegħid legali tal-HFCs fis-suq tal-UE tnaqqsu għal 63 % tal-livelli tal-2015.</w:t>
      </w:r>
    </w:p>
    <w:p w:rsidR="006222FD" w:rsidRDefault="006222FD">
      <w:pPr>
        <w:pStyle w:val="Heading1"/>
        <w:numPr>
          <w:ilvl w:val="0"/>
          <w:numId w:val="33"/>
        </w:numPr>
        <w:tabs>
          <w:tab w:val="clear" w:pos="850"/>
          <w:tab w:val="num" w:pos="130"/>
        </w:tabs>
        <w:jc w:val="both"/>
        <w:rPr>
          <w:b w:val="0"/>
          <w:bCs w:val="0"/>
          <w:noProof/>
          <w:szCs w:val="24"/>
        </w:rPr>
      </w:pPr>
      <w:bookmarkStart w:id="298" w:name="_Toc493001876"/>
      <w:bookmarkStart w:id="299" w:name="_Toc493004531"/>
      <w:bookmarkStart w:id="300" w:name="_Toc493001879"/>
      <w:bookmarkStart w:id="301" w:name="_Toc493004534"/>
      <w:bookmarkStart w:id="302" w:name="_Toc493001880"/>
      <w:bookmarkStart w:id="303" w:name="_Toc493004535"/>
      <w:bookmarkStart w:id="304" w:name="_Toc493001881"/>
      <w:bookmarkStart w:id="305" w:name="_Toc493004536"/>
      <w:bookmarkStart w:id="306" w:name="_Toc456787445"/>
      <w:bookmarkStart w:id="307" w:name="_Toc461443633"/>
      <w:bookmarkStart w:id="308" w:name="_Toc461715122"/>
      <w:bookmarkStart w:id="309" w:name="_Toc461715496"/>
      <w:bookmarkStart w:id="310" w:name="_Ref463526945"/>
      <w:bookmarkStart w:id="311" w:name="_Toc463527710"/>
      <w:bookmarkStart w:id="312" w:name="_Toc463538596"/>
      <w:bookmarkStart w:id="313" w:name="_Toc463621170"/>
      <w:bookmarkStart w:id="314" w:name="_Toc463628470"/>
      <w:bookmarkStart w:id="315" w:name="_Toc465073870"/>
      <w:bookmarkStart w:id="316" w:name="_Toc465090133"/>
      <w:bookmarkStart w:id="317" w:name="_Toc493001888"/>
      <w:bookmarkStart w:id="318" w:name="_Toc493004543"/>
      <w:bookmarkStart w:id="319" w:name="_Toc493001890"/>
      <w:bookmarkStart w:id="320" w:name="_Toc493004545"/>
      <w:bookmarkStart w:id="321" w:name="_Toc493001891"/>
      <w:bookmarkStart w:id="322" w:name="_Toc493004546"/>
      <w:bookmarkStart w:id="323" w:name="_Toc493001892"/>
      <w:bookmarkStart w:id="324" w:name="_Toc493004547"/>
      <w:bookmarkStart w:id="325" w:name="_Toc493001893"/>
      <w:bookmarkStart w:id="326" w:name="_Toc493004548"/>
      <w:bookmarkStart w:id="327" w:name="_Toc493001894"/>
      <w:bookmarkStart w:id="328" w:name="_Toc493004549"/>
      <w:bookmarkStart w:id="329" w:name="_Toc493001895"/>
      <w:bookmarkStart w:id="330" w:name="_Toc493004550"/>
      <w:bookmarkStart w:id="331" w:name="_Toc493001897"/>
      <w:bookmarkStart w:id="332" w:name="_Toc493004552"/>
      <w:bookmarkStart w:id="333" w:name="_Ref482879954"/>
      <w:bookmarkStart w:id="334" w:name="_Toc493001898"/>
      <w:bookmarkStart w:id="335" w:name="_Toc493004553"/>
      <w:bookmarkStart w:id="336" w:name="_Toc493001907"/>
      <w:bookmarkStart w:id="337" w:name="_Toc493004562"/>
      <w:bookmarkStart w:id="338" w:name="_Toc493001912"/>
      <w:bookmarkStart w:id="339" w:name="_Toc493004567"/>
      <w:bookmarkStart w:id="340" w:name="_Toc493001913"/>
      <w:bookmarkStart w:id="341" w:name="_Toc493004568"/>
      <w:bookmarkStart w:id="342" w:name="_Toc493001914"/>
      <w:bookmarkStart w:id="343" w:name="_Toc493004569"/>
      <w:bookmarkStart w:id="344" w:name="_Toc493001916"/>
      <w:bookmarkStart w:id="345" w:name="_Toc493004571"/>
      <w:bookmarkStart w:id="346" w:name="_Toc493001919"/>
      <w:bookmarkStart w:id="347" w:name="_Toc493004574"/>
      <w:bookmarkStart w:id="348" w:name="_Toc493001920"/>
      <w:bookmarkStart w:id="349" w:name="_Toc493004575"/>
      <w:bookmarkStart w:id="350" w:name="_Toc493001921"/>
      <w:bookmarkStart w:id="351" w:name="_Toc493004576"/>
      <w:bookmarkStart w:id="352" w:name="_Toc493001922"/>
      <w:bookmarkStart w:id="353" w:name="_Toc493004577"/>
      <w:bookmarkStart w:id="354" w:name="_Toc463527720"/>
      <w:bookmarkStart w:id="355" w:name="_Toc463538606"/>
      <w:bookmarkStart w:id="356" w:name="_Toc463621180"/>
      <w:bookmarkStart w:id="357" w:name="_Toc493001925"/>
      <w:bookmarkStart w:id="358" w:name="_Toc493004580"/>
      <w:bookmarkStart w:id="359" w:name="_Toc493001926"/>
      <w:bookmarkStart w:id="360" w:name="_Toc493004581"/>
      <w:bookmarkStart w:id="361" w:name="_Toc487207236"/>
      <w:bookmarkStart w:id="362" w:name="_Toc487207237"/>
      <w:bookmarkStart w:id="363" w:name="_Toc390936614"/>
      <w:bookmarkStart w:id="364" w:name="_Toc390942394"/>
      <w:bookmarkStart w:id="365" w:name="_Toc390936615"/>
      <w:bookmarkStart w:id="366" w:name="_Toc390942395"/>
      <w:bookmarkStart w:id="367" w:name="_Toc397612356"/>
      <w:bookmarkStart w:id="368" w:name="_Toc398043847"/>
      <w:bookmarkStart w:id="369" w:name="_Toc398193313"/>
      <w:bookmarkStart w:id="370" w:name="_Toc493168538"/>
      <w:bookmarkStart w:id="371" w:name="_Toc495675889"/>
      <w:bookmarkStart w:id="372" w:name="_Toc495676424"/>
      <w:bookmarkStart w:id="373" w:name="_Toc496644709"/>
      <w:bookmarkEnd w:id="274"/>
      <w:bookmarkEnd w:id="275"/>
      <w:bookmarkEnd w:id="276"/>
      <w:bookmarkEnd w:id="277"/>
      <w:bookmarkEnd w:id="278"/>
      <w:bookmarkEnd w:id="279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r>
        <w:rPr>
          <w:noProof/>
          <w:szCs w:val="24"/>
        </w:rPr>
        <w:t>L-adattatment għat-tibdil fil-klima</w:t>
      </w:r>
      <w:bookmarkEnd w:id="370"/>
      <w:bookmarkEnd w:id="371"/>
      <w:bookmarkEnd w:id="372"/>
      <w:bookmarkEnd w:id="373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L-istrateġija tal-2013 għall-adattament għat-tibdil fil-klima għandha l-għan li tħejji lill-Istati Membri tal-UE għall-impatti kurrenti u futuri.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partikolari, din tiżgura li l-adattament jiġi integrat fil-politiki rilevanti kollha tal-UE, filwaqt li tiżgura koordinazzjoni, skambju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informazzjoni u koerenza mtejba bejn l-Istati Membri. Il-Kummissjoni qed tevalwa l-istrateġija sa nofs l-2018 u qed tikkunsidra li terġa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teżaminaha,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parzjali fid-dawl tal-Ftehim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Pariġi.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95"/>
      </w:tblGrid>
      <w:tr w:rsidR="006222FD" w:rsidTr="006222FD">
        <w:tc>
          <w:tcPr>
            <w:tcW w:w="10195" w:type="dxa"/>
          </w:tcPr>
          <w:p w:rsidR="006222FD" w:rsidRDefault="006222FD">
            <w:pPr>
              <w:pStyle w:val="ListParagraph"/>
              <w:spacing w:before="120" w:after="120"/>
              <w:ind w:left="0" w:right="5726"/>
              <w:jc w:val="both"/>
              <w:rPr>
                <w:i/>
                <w:noProof/>
              </w:rPr>
            </w:pPr>
            <w:r>
              <w:rPr>
                <w:rFonts w:ascii="Times New Roman" w:hAnsi="Times New Roman" w:cs="Calibri"/>
                <w:i/>
                <w:noProof/>
                <w:lang w:bidi="th-TH"/>
              </w:rPr>
              <w:t>LIFE FRANCA hu proġett Taljan ikkofinanzjat minn LIFE 2015 li jiffoka fuq l-antiċipazzjoni tar-riskju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għargħar u fuq il-komunikazzjoni fl-Alpi.     Il-proġett għandu l-għan li jħejji lill-popolazzjoni għal avvenimenti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għargħar permezz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proċess parteċipatorju li jinvolvi lil ċittadini, lil awtoritajiet u lil esperti.  Ir-riżultati ta</w:t>
            </w:r>
            <w:r>
              <w:rPr>
                <w:rFonts w:ascii="Times New Roman" w:hAnsi="Times New Roman" w:cs="Calibri"/>
                <w:i/>
                <w:noProof/>
                <w:lang w:val="mt-MT" w:bidi="th-TH"/>
              </w:rPr>
              <w:t>’</w:t>
            </w:r>
            <w:r>
              <w:rPr>
                <w:rFonts w:ascii="Times New Roman" w:hAnsi="Times New Roman" w:cs="Calibri"/>
                <w:i/>
                <w:noProof/>
                <w:cs/>
                <w:lang w:bidi="th-TH"/>
              </w:rPr>
              <w:t xml:space="preserve"> </w:t>
            </w:r>
            <w:r>
              <w:rPr>
                <w:rFonts w:ascii="Times New Roman" w:hAnsi="Times New Roman" w:cs="Calibri"/>
                <w:i/>
                <w:noProof/>
                <w:lang w:bidi="th-TH"/>
              </w:rPr>
              <w:t>dan il-proġett pilota ser ikunu trasferibbli għal reġjuni oħra, kif ukoll għal perikli naturali oħra konnessi mat-tibdil fil-klima.</w:t>
            </w:r>
          </w:p>
        </w:tc>
      </w:tr>
    </w:tbl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Ix-xejriet ġenerali jinkludu dawn li ġejjin:</w:t>
      </w:r>
    </w:p>
    <w:p w:rsidR="006222FD" w:rsidRDefault="006222FD">
      <w:pPr>
        <w:numPr>
          <w:ilvl w:val="0"/>
          <w:numId w:val="37"/>
        </w:num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Ħamsa u għoxrin Stat Membru adottaw strateġiji nazzjonali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adattament u l-bqija qed jiġu abbozzati. Madankollu, inqas minn nofs l-Istati Membri għadhom ipproduċew jew bdew jimplimentaw il-pjanijiet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azzjoni s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issa.</w:t>
      </w:r>
    </w:p>
    <w:p w:rsidR="006222FD" w:rsidRDefault="006222FD">
      <w:pPr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Is-setturi identifikati l-iktar bħala dawk li jeħtieġu li jadattaw għall-effetti avversi tat-tibdil fil-klima huma l-ġestjoni tal-ilma u r-riżorsi tal-ilma, iż-żoni kostali, il-foresti u l-forestrija, l-agrikoltura, il-bijodiversità u l-ekosistemi, is-saħħa tal-bniedem, u t-turiżmu u r-rikreazzjoni.</w:t>
      </w:r>
    </w:p>
    <w:p w:rsidR="006222FD" w:rsidRDefault="006222FD">
      <w:pPr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Ħafna mill-Istati Membri għadhom kif bdew jissorveljaw u jevalwaw l-effikaċja u l-effiċjenza tal-azzjonijiet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adattament.</w:t>
      </w:r>
    </w:p>
    <w:p w:rsidR="006222FD" w:rsidRDefault="006222FD">
      <w:pPr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L-ibliet saħħew l-isforzi biex jidentifikaw il-ħtiġijiet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adattament għat-tibdil fil-klima u jaġġornaw il-politiki urbani tagħhom (ara t-taqsima 5.1), inkluża l-implimentazzjoni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approċċi bbażati fuq l-infrastruttura ekoloġika u l-ekosistema għall-adattament.  </w:t>
      </w:r>
    </w:p>
    <w:p w:rsidR="006222FD" w:rsidRDefault="006222FD">
      <w:pPr>
        <w:pStyle w:val="Heading1"/>
        <w:numPr>
          <w:ilvl w:val="0"/>
          <w:numId w:val="33"/>
        </w:numPr>
        <w:tabs>
          <w:tab w:val="clear" w:pos="850"/>
          <w:tab w:val="num" w:pos="130"/>
        </w:tabs>
        <w:jc w:val="both"/>
        <w:rPr>
          <w:noProof/>
          <w:szCs w:val="24"/>
        </w:rPr>
      </w:pPr>
      <w:bookmarkStart w:id="374" w:name="_Toc390936632"/>
      <w:bookmarkStart w:id="375" w:name="_Toc390942413"/>
      <w:bookmarkStart w:id="376" w:name="_Toc461715132"/>
      <w:bookmarkStart w:id="377" w:name="_Toc493168539"/>
      <w:bookmarkStart w:id="378" w:name="_Toc495675890"/>
      <w:bookmarkStart w:id="379" w:name="_Toc495676425"/>
      <w:bookmarkStart w:id="380" w:name="_Toc496644710"/>
      <w:bookmarkStart w:id="381" w:name="_Toc429156145"/>
      <w:bookmarkStart w:id="382" w:name="_Toc395255569"/>
      <w:bookmarkStart w:id="383" w:name="_Toc392749516"/>
      <w:bookmarkStart w:id="384" w:name="_Toc371338173"/>
      <w:bookmarkEnd w:id="374"/>
      <w:bookmarkEnd w:id="375"/>
      <w:r>
        <w:rPr>
          <w:noProof/>
          <w:szCs w:val="24"/>
        </w:rPr>
        <w:t xml:space="preserve">Il-parteċipazzjoni fil-politika </w:t>
      </w:r>
      <w:bookmarkEnd w:id="376"/>
      <w:r>
        <w:rPr>
          <w:noProof/>
          <w:szCs w:val="24"/>
        </w:rPr>
        <w:t>internazzjonali dwar it-tibdil fil-klima</w:t>
      </w:r>
      <w:bookmarkEnd w:id="377"/>
      <w:bookmarkEnd w:id="378"/>
      <w:bookmarkEnd w:id="379"/>
      <w:bookmarkEnd w:id="380"/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noProof/>
          <w:szCs w:val="24"/>
          <w:u w:val="single"/>
        </w:rPr>
      </w:pPr>
      <w:bookmarkStart w:id="385" w:name="_Ref487470179"/>
      <w:bookmarkStart w:id="386" w:name="_Toc492542519"/>
      <w:bookmarkStart w:id="387" w:name="_Toc492542698"/>
      <w:bookmarkStart w:id="388" w:name="_Toc493004584"/>
      <w:bookmarkStart w:id="389" w:name="_Toc461715134"/>
      <w:bookmarkStart w:id="390" w:name="_Toc461715508"/>
      <w:bookmarkStart w:id="391" w:name="_Toc463527727"/>
      <w:bookmarkStart w:id="392" w:name="_Toc463538613"/>
      <w:bookmarkStart w:id="393" w:name="_Toc463621191"/>
      <w:bookmarkStart w:id="394" w:name="_Toc463628478"/>
      <w:bookmarkStart w:id="395" w:name="_Toc465073878"/>
      <w:bookmarkStart w:id="396" w:name="_Toc465090141"/>
      <w:r>
        <w:rPr>
          <w:b w:val="0"/>
          <w:i w:val="0"/>
          <w:noProof/>
          <w:szCs w:val="24"/>
          <w:u w:val="single"/>
        </w:rPr>
        <w:t>L-aġenda globali dwar l-azzjoni klimatika</w:t>
      </w:r>
      <w:bookmarkEnd w:id="385"/>
      <w:bookmarkEnd w:id="386"/>
      <w:bookmarkEnd w:id="387"/>
      <w:bookmarkEnd w:id="388"/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Bħala tweġiba għas-sejħa tal-Ftehim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Pariġi għall-mobilizzazzjoni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atturi mhux statali inklużi negozji, bliet, ċittadini u s-soċjetà ċivili internazzjonali, l-UE qed tappoġġja numru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inizjattivi ewlenin bħall-Missjoni Innovazzjoni, il-Patt tas-Sindki, is-Sħubija tal-NDC, l-Enerġija Rinnovabbli għall-Afrika, 4/1000 għal Agrikoltura Intelliġenti fil-Livell Klimatiku u l-InsuResilience. Dawn l-inizjattivi kollha kemm huma qed jissodisfaw il-miri speċifiċi li stabbilixxew huma stess. Bħalissa qed jitfasslu għodod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traċċar sistematiku biex jitkejjel l-impatt tagħhom fuq it-tnaqqisiet tal-emissjonijiet u fuq ir-reżiljenza.</w:t>
      </w:r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Bħala eżempju, il-Patt Globali tas-Sindki għall-Klima u għall-Enerġija jiġbor flimkien iktar minn 7 300 belt u raħal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iktar minn 56 pajjiż. Dan jinforma, jimmobilizza u jappoġġja lill-ibdliet li jieħdu azzjoni dwar il-mitigazzjoni u l-adattament għat-tibdil fil-klima, u dwar l-aċċess għal enerġija nadifa u affordabbli. L-ibliet jabbozzaw strateġiji u pjanijiet lokali minn jeddhom għall-mitigazzjoni u għall-adattament. Il-Patt jagħmel l-impenji u l-azzjonijiet tagħhom viżibbli, jassisti fl-iskambji tal-esperjenza u jipprovdi appoġġ tekniku. Dan għandu approċċ minn isfel għal fuq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saħħtu bbażat fuq tliet punti:</w:t>
      </w:r>
    </w:p>
    <w:p w:rsidR="006222FD" w:rsidRDefault="006222FD">
      <w:pPr>
        <w:numPr>
          <w:ilvl w:val="0"/>
          <w:numId w:val="42"/>
        </w:num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mira ġdida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tnaqqis minimu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40 % fl-emissjonijiet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</w: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(u possi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b</w:t>
      </w:r>
      <w:r>
        <w:rPr>
          <w:rFonts w:ascii="Times New Roman" w:hAnsi="Times New Roman" w:cs="Times New Roman"/>
          <w:noProof/>
          <w:sz w:val="24"/>
          <w:szCs w:val="24"/>
        </w:rPr>
        <w:t>bilment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gassijiet serra oħra) sal-2030;</w:t>
      </w:r>
    </w:p>
    <w:p w:rsidR="006222FD" w:rsidRDefault="006222FD">
      <w:pPr>
        <w:numPr>
          <w:ilvl w:val="0"/>
          <w:numId w:val="42"/>
        </w:num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mitigazzjoni kif ukoll adattament permezz tal-inizjattiva tas-Sindki dwar l-Adattament;</w:t>
      </w:r>
    </w:p>
    <w:p w:rsidR="006222FD" w:rsidRDefault="006222FD">
      <w:pPr>
        <w:numPr>
          <w:ilvl w:val="0"/>
          <w:numId w:val="42"/>
        </w:num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kamp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applikazzjoni globali, li jiftaħ il-parteċipazzjoni għall-awtoritajiet lokali minn madwar id-dinja.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397" w:name="_Toc492542520"/>
      <w:bookmarkStart w:id="398" w:name="_Toc492542699"/>
      <w:bookmarkStart w:id="399" w:name="_Toc493004585"/>
      <w:r>
        <w:rPr>
          <w:b w:val="0"/>
          <w:i w:val="0"/>
          <w:noProof/>
          <w:szCs w:val="24"/>
          <w:u w:val="single"/>
        </w:rPr>
        <w:t>L-avjazzjoni</w:t>
      </w:r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L-UE appoġġjat l-iżvilupp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miżura globali biex jiġu indirizzati 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</w: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mill-avjazzjoni internazzjonali. Kmieni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Ottubru tal-2016 ġiet adottata Riżoluzzjoni dwar Skema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Kumpens u Tnaqqis tal-Karbonju għall-Avjazzjoni Internazzjonali (CORSIA) matul id-39 Assemblea tal-ICAO. CORSIA titqies bħala skema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tnaqqis tal-karbonju bil-għan li tistabbilizza l-emissjonijiet mill-avjazzjoni internazzjonali fil-livelli 2020. Din se tiġi introdotta mill-2021.</w:t>
      </w:r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Il-pajjiżi membri tal-ICAO huma liberi li jieħdu sehem fl-ewwel żewġ fażijiet, li ser ikunu fis-seħħ sal-2027. Bħalissa, skont id-dikjarazzjonijiet tal-Istati Membri dwar il-parteċipazzjoni tagħhom fl-iskema, il-kopertura tal-emissjonijiet tista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tkun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madwar 80 %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dak li hu meħtieġ biex l-avjazzjoni ssir newtrali fl-użu tal-karbonju mill-2020. Biex jiġu żgurati l-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effikaċja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u l-integrità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CORSIA, irid ikun hemm elementi importanti fis-seħħ, bħal:</w:t>
      </w:r>
    </w:p>
    <w:p w:rsidR="006222FD" w:rsidRDefault="006222FD">
      <w:pPr>
        <w:numPr>
          <w:ilvl w:val="0"/>
          <w:numId w:val="43"/>
        </w:num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regoli dwar il-monitoraġġ, ir-rapportar u l-verifikazzjoni tal-emissjonijiet (inklużi bijofjuwils);</w:t>
      </w:r>
    </w:p>
    <w:p w:rsidR="006222FD" w:rsidRDefault="006222FD">
      <w:pPr>
        <w:numPr>
          <w:ilvl w:val="0"/>
          <w:numId w:val="43"/>
        </w:num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kriterji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eliġibbiltà għall-unitajiet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emissjoni;</w:t>
      </w:r>
    </w:p>
    <w:p w:rsidR="006222FD" w:rsidRDefault="006222FD">
      <w:pPr>
        <w:numPr>
          <w:ilvl w:val="0"/>
          <w:numId w:val="43"/>
        </w:num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reġistru li jipprovdi livell xieraq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trasparenza 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akkontabilità.</w:t>
      </w:r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Ladarba jintlaħaq ftehim finali fuq dawn, il-memrbi tal-ICAO ser ikollhom jintroduċuhom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kull pajjiż.</w:t>
      </w:r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Fl-istess ħin, l-UE qed tindirizza l-emissjonijiet mill-avjazzjoni permezz tal-Iskema tal-UE għall-Iskambju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Kwoti tal-Emissjonijiet. Wara l-Assemblea tal-2016 tal-ICAO, il-Kummissjoni approvat proposta leġiżlattiva biex testendi l-kamp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applikazzjoni intra-Ewropew attwali tal-ETS tal-UE għall-avjazzjoni (titjiriet bejn l-ajruporti fiż-Żona Ekonomika Ewropea) lil hinn mill-2017, u biex tipprovdi għal rieżami ġdid ladarba jkun hemm iktar ċarezza dwar ir-regoli u l-implimentazzjoni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CORSIA minn pajjiżi mhux tal-UE. Il-proposta dwar l-avjazzjoni tal-ETS hi mistennija li tiġi adottata mill-Kunsill u mill-Parlament Ewropew sa tmiem l-2017. </w:t>
      </w:r>
    </w:p>
    <w:p w:rsidR="006222FD" w:rsidRDefault="006222FD">
      <w:pPr>
        <w:autoSpaceDE w:val="0"/>
        <w:autoSpaceDN w:val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Orizzont 2020 jikkontribwixxi għall-kisba tal-objettiv tal-ICAO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tkabbir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newtralità fil-karbonju permezz tar-riċerka u tal-iżvilupp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teknoloġiji tal-inġenji tal-ajru,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titjib operazzjonali kif ukoll fl-iżvilupp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fjuwils alternattivi. </w:t>
      </w:r>
      <w:bookmarkEnd w:id="381"/>
      <w:bookmarkEnd w:id="382"/>
      <w:bookmarkEnd w:id="383"/>
      <w:bookmarkEnd w:id="384"/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spacing w:before="120"/>
        <w:jc w:val="both"/>
        <w:rPr>
          <w:b w:val="0"/>
          <w:i w:val="0"/>
          <w:noProof/>
          <w:szCs w:val="24"/>
          <w:u w:val="single"/>
        </w:rPr>
      </w:pPr>
      <w:bookmarkStart w:id="400" w:name="_Toc429156149"/>
      <w:bookmarkStart w:id="401" w:name="_Toc456787460"/>
      <w:bookmarkStart w:id="402" w:name="_Toc461443650"/>
      <w:bookmarkStart w:id="403" w:name="_Toc463527743"/>
      <w:bookmarkStart w:id="404" w:name="_Toc398043857"/>
      <w:bookmarkStart w:id="405" w:name="_Toc398193323"/>
      <w:bookmarkStart w:id="406" w:name="_Toc391369940"/>
      <w:bookmarkStart w:id="407" w:name="_Toc391487176"/>
      <w:bookmarkStart w:id="408" w:name="_Toc391487825"/>
      <w:bookmarkStart w:id="409" w:name="_Toc391487917"/>
      <w:bookmarkStart w:id="410" w:name="_Toc463527749"/>
      <w:bookmarkStart w:id="411" w:name="_Toc463527751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r>
        <w:rPr>
          <w:b w:val="0"/>
          <w:i w:val="0"/>
          <w:noProof/>
          <w:szCs w:val="24"/>
          <w:u w:val="single"/>
          <w:lang w:val="mt-MT"/>
        </w:rPr>
        <w:t>Politika Marittima</w:t>
      </w:r>
    </w:p>
    <w:p w:rsidR="006222FD" w:rsidRDefault="006222F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Ottubru 2016, l-IMO qablet dwar pjan direzzjonali għall-abbozzar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strateġija komprensiva tal-IMO għat-tnaqqis tal-emissjonijiet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GHG mill-bastimenti.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Ġunju u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Lulju 2017 saru żewġ laqgħat importanti dwar din l-istrateġija tal-IMO.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dawn il-laqgħat, numru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sħab mhux tal-UE (eż. Stati gżejjer żgħar li qed jiżviluppaw u l-Kanada) u l-Istati Membri tal-UE argumentaw favur l-inklużjoni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mira adegwata għat-tnaqqis tal-emissjonijiet fl-istrateġija.</w:t>
      </w:r>
    </w:p>
    <w:p w:rsidR="006222FD" w:rsidRDefault="006222FD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L-IMO hi mistennija tadotta strateġija inizjali li tistabbilixxi l-livell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ambizzjoni u tissuġġerixxi l-miżuri u t-tempesitività fir-rebbiegħa tal-2018. Jekk dan iseħħ, is-settur tat-trasport marittimu internazzjonali u l-IMO jkunu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pożizzjoni li jipprovdu informazzjoni dwar il-</w:t>
      </w:r>
      <w:r>
        <w:rPr>
          <w:rFonts w:ascii="Times New Roman" w:hAnsi="Times New Roman" w:cs="Times New Roman"/>
          <w:noProof/>
          <w:sz w:val="24"/>
          <w:szCs w:val="24"/>
          <w:cs/>
        </w:rPr>
        <w:t>“</w:t>
      </w:r>
      <w:r>
        <w:rPr>
          <w:rFonts w:ascii="Times New Roman" w:hAnsi="Times New Roman" w:cs="Times New Roman"/>
          <w:noProof/>
          <w:sz w:val="24"/>
          <w:szCs w:val="24"/>
        </w:rPr>
        <w:t>kontribuzzjoni inizjali għall-isforzi internazzjonali biex jitnaqqsu l-emissjonijiet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CO</w:t>
      </w:r>
      <w:r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għall-proċess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rendikont tal-2018 (id-</w:t>
      </w:r>
      <w:r>
        <w:rPr>
          <w:rFonts w:ascii="Times New Roman" w:hAnsi="Times New Roman" w:cs="Times New Roman"/>
          <w:noProof/>
          <w:sz w:val="24"/>
          <w:szCs w:val="24"/>
          <w:cs/>
        </w:rPr>
        <w:t>“</w:t>
      </w:r>
      <w:r>
        <w:rPr>
          <w:rFonts w:ascii="Times New Roman" w:hAnsi="Times New Roman" w:cs="Times New Roman"/>
          <w:noProof/>
          <w:sz w:val="24"/>
          <w:szCs w:val="24"/>
        </w:rPr>
        <w:t>djalogu faċilitattiv</w:t>
      </w:r>
      <w:r>
        <w:rPr>
          <w:rFonts w:ascii="Times New Roman" w:hAnsi="Times New Roman" w:cs="Times New Roman"/>
          <w:noProof/>
          <w:sz w:val="24"/>
          <w:szCs w:val="24"/>
          <w:cs/>
        </w:rPr>
        <w:t>”</w:t>
      </w:r>
      <w:r>
        <w:rPr>
          <w:rFonts w:ascii="Times New Roman" w:hAnsi="Times New Roman" w:cs="Times New Roman"/>
          <w:noProof/>
          <w:sz w:val="24"/>
          <w:szCs w:val="24"/>
        </w:rPr>
        <w:t>) skont il-Ftehim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Pariġi. L-adozzjoni tal-istrateġija finali tal-IMO, inklużi miżuri fuq terminu qasir, medju u twil, hi mistennija li sseħħ fir-rebbiegħa tal-2023.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412" w:name="_Toc492542523"/>
      <w:bookmarkStart w:id="413" w:name="_Toc492542702"/>
      <w:bookmarkStart w:id="414" w:name="_Toc493004588"/>
      <w:r>
        <w:rPr>
          <w:b w:val="0"/>
          <w:i w:val="0"/>
          <w:noProof/>
          <w:szCs w:val="24"/>
          <w:u w:val="single"/>
        </w:rPr>
        <w:t>Irbit tal-ETS mal-Iżvizzera</w:t>
      </w:r>
      <w:bookmarkEnd w:id="412"/>
      <w:bookmarkEnd w:id="413"/>
      <w:bookmarkEnd w:id="414"/>
      <w:r>
        <w:rPr>
          <w:b w:val="0"/>
          <w:i w:val="0"/>
          <w:noProof/>
          <w:szCs w:val="24"/>
          <w:u w:val="single"/>
        </w:rPr>
        <w:t xml:space="preserve"> 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L-emerġenza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suq dinji tal-karbonju,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partikolari permezz tal-irbit tal-iskemi għall-iskambju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kwoti tal-emissjonijiet, hi għan li l-UE ilha timmira għalih għal żmien twil. Din tkun toffri opportunitajiet għal tnaqqisiet ikbar tal-emissjonijiet filwaqt li tbaxxi l-kost tal-mitigazzjoni tat-tibdil fil-klima. In-negozjati mal-Iżvizzera dwar l-irbit tal-iskemi għall-iskambju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kwoti tal-emissjonijiet bdew fl-2010 u ġew konklużi fl-2015. Il-Ftehim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Rbit ġie inizjalat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Jannar 2016 u issa l-proposti għall-iffirmar u għall-konklużjoni tiegħu ġew ippreżentati lill-Kunsill u lill-Parlament.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r>
        <w:rPr>
          <w:b w:val="0"/>
          <w:i w:val="0"/>
          <w:noProof/>
          <w:szCs w:val="24"/>
          <w:u w:val="single"/>
        </w:rPr>
        <w:t>Is-swieq internazzjonali tal-karbonju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Minbarra dan, u speċjalment wara s-COP 21 u d-dħul fis-seħħ tal-Ftehim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Pariġi, l-UE għadha taqdi rwol attiv fl-għoti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appoġġ lill-iżvilupp tal-ipprezzar tal-karbonju u,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partikolari, tal-iskemi għall-iskambju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kwoti tal-emissjonijiet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partijiet oħra tad-dinja. Hi tagħmel dan kemm permezz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inizjattivi multilaterali bħas-Sħubija għall-Istat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Tħejjija tas-Suq, immexxija mill-Bank Dinji, kif ukoll bl-involviment fl-attivitajiet u fit-taħriġ tas-Sħubija Internazzjonali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Azzjoni dwar il-Karbonju (ICAP) L-UE twettaq ukoll attivitajiet bilaterali,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partikolari billi ssaħħaħ il-kooperazzjoni maċ-Ċina, li qed tħejji sistema li tkopri l-pajjiż kollu. Bħalma jsir fl-UE, l-iskambju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kwoti tal-emissjonijiet u l-ipprezzar tal-karbonju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ġenerali jaqdu rwol importanti fit-tranżizzjoni tal-bqija tad-dinja lejn ekonomija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emissjonijiet baxxi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karbonju u effiċjenti fl-enerġija.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noProof/>
          <w:szCs w:val="24"/>
          <w:u w:val="single"/>
        </w:rPr>
      </w:pPr>
      <w:bookmarkStart w:id="415" w:name="_Toc492542524"/>
      <w:bookmarkStart w:id="416" w:name="_Toc492542703"/>
      <w:bookmarkStart w:id="417" w:name="_Toc493004589"/>
      <w:r>
        <w:rPr>
          <w:b w:val="0"/>
          <w:i w:val="0"/>
          <w:noProof/>
          <w:szCs w:val="24"/>
          <w:u w:val="single"/>
        </w:rPr>
        <w:t>Ir-ratifika tal-Emenda ta</w:t>
      </w:r>
      <w:r>
        <w:rPr>
          <w:b w:val="0"/>
          <w:i w:val="0"/>
          <w:noProof/>
          <w:szCs w:val="24"/>
          <w:u w:val="single"/>
          <w:lang w:val="mt-MT"/>
        </w:rPr>
        <w:t>’</w:t>
      </w:r>
      <w:r>
        <w:rPr>
          <w:b w:val="0"/>
          <w:i w:val="0"/>
          <w:noProof/>
          <w:szCs w:val="24"/>
          <w:u w:val="single"/>
          <w:cs/>
        </w:rPr>
        <w:t xml:space="preserve"> </w:t>
      </w:r>
      <w:r>
        <w:rPr>
          <w:b w:val="0"/>
          <w:i w:val="0"/>
          <w:noProof/>
          <w:szCs w:val="24"/>
          <w:u w:val="single"/>
        </w:rPr>
        <w:t>Kigali</w:t>
      </w:r>
      <w:bookmarkEnd w:id="415"/>
      <w:bookmarkEnd w:id="416"/>
      <w:bookmarkEnd w:id="417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Lulju 2017, l-UE u l-Istati Membri tagħha ħadu impenn li jirratifikaw l-Emenda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Kigali għall-Protokoll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Montreal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veloċi, sabiex dan jidħol fis-seħħ fl-1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Jannar 2019. Din l-emenda, adottata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Ottubru 2016, hi pass sinifikanti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 quddiem fl-implimentazzjoni tal-Ftehim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Pariġi billi tillimita l-produzzjoni u l-użu globali tal-idrofluworokarburi (HFCs). Ix-xjenza tissuġġerixxi li tnaqqis gradwali imma ambizzjuż tal-HFCs waħdu jista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jipprevjeni t-tisħin globali sa 0.5 °C sal-aħħar tas-seklu.</w:t>
      </w:r>
    </w:p>
    <w:p w:rsidR="006222FD" w:rsidRDefault="006222FD">
      <w:pPr>
        <w:pStyle w:val="Heading2"/>
        <w:numPr>
          <w:ilvl w:val="1"/>
          <w:numId w:val="33"/>
        </w:numPr>
        <w:tabs>
          <w:tab w:val="clear" w:pos="850"/>
          <w:tab w:val="num" w:pos="-1310"/>
        </w:tabs>
        <w:jc w:val="both"/>
        <w:rPr>
          <w:b w:val="0"/>
          <w:i w:val="0"/>
          <w:noProof/>
          <w:szCs w:val="24"/>
          <w:u w:val="single"/>
        </w:rPr>
      </w:pPr>
      <w:bookmarkStart w:id="418" w:name="_Toc492542475"/>
      <w:bookmarkStart w:id="419" w:name="_Toc492542525"/>
      <w:bookmarkStart w:id="420" w:name="_Toc492542571"/>
      <w:bookmarkStart w:id="421" w:name="_Toc492542704"/>
      <w:bookmarkStart w:id="422" w:name="_Toc492542526"/>
      <w:bookmarkStart w:id="423" w:name="_Toc492542705"/>
      <w:bookmarkStart w:id="424" w:name="_Toc493004590"/>
      <w:bookmarkEnd w:id="418"/>
      <w:bookmarkEnd w:id="419"/>
      <w:bookmarkEnd w:id="420"/>
      <w:bookmarkEnd w:id="421"/>
      <w:r>
        <w:rPr>
          <w:b w:val="0"/>
          <w:i w:val="0"/>
          <w:noProof/>
          <w:szCs w:val="24"/>
          <w:u w:val="single"/>
        </w:rPr>
        <w:t>Apoġġ lill-pajjiżi fil-fażi tal-iżvilupp</w:t>
      </w:r>
      <w:bookmarkEnd w:id="422"/>
      <w:bookmarkEnd w:id="423"/>
      <w:bookmarkEnd w:id="424"/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  <w:lang w:val="mt-MT"/>
        </w:rPr>
      </w:pPr>
      <w:r>
        <w:rPr>
          <w:rFonts w:ascii="Times New Roman" w:hAnsi="Times New Roman" w:cs="Times New Roman"/>
          <w:noProof/>
          <w:sz w:val="24"/>
          <w:szCs w:val="24"/>
        </w:rPr>
        <w:t>L-UE u l-Istati Membri tagħha huma l-ikbar fornituri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għajnuna uffiċjali għall-iżvilupp fid-dinja lill-pajjiżi fil-fażi tal-iżvilupp, u pprovdew aktar minn EUR 75.4 biljun fl-2016. 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B'mod partikolari</w:t>
      </w:r>
      <w:r>
        <w:rPr>
          <w:rFonts w:ascii="Times New Roman" w:hAnsi="Times New Roman" w:cs="Times New Roman"/>
          <w:noProof/>
          <w:sz w:val="24"/>
          <w:szCs w:val="24"/>
        </w:rPr>
        <w:t>, l-UE, il-BEI u l-Istati Membri pprovdew EUR 17.6 biljun f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għajnuna lil pajjiżi fil-fażi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żvilupp biex jindirizzaw it-tibdil fil-klima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 xml:space="preserve"> f'dik is-sena.</w:t>
      </w:r>
    </w:p>
    <w:p w:rsidR="006222FD" w:rsidRDefault="006222FD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Barra minn hekk, l-UE u l-Unjoni Afrikana biħsiebhom jimplimentaw Sħubija tal-Afrika għar-Riċerka u għall-Innovazzjoni dwar it-Tibdil fil-Klima u l-Enerġija Sostenibbli. Din is-sħubija, li għandha bżonn li tiġi approvata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mod formali miż-żewġ naħat, se tiġi ffinanzjata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mod konġunt u se tkun proprjetà konġunta. </w:t>
      </w:r>
    </w:p>
    <w:p w:rsidR="006222FD" w:rsidRDefault="006222FD">
      <w:pPr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L-UE tappoġġja wkoll lill-pajjiżi fil-fażi tal-iżvilupp fl-isforzi tagħhom fl-implimentazzjoni tal-programm tat-Tnaqqis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Emissjonijiet mid-Deforestazzjoni u d-Degradazzjoni tal-Foresti (REDD+). L-appoġġ hu pprovdut permezz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inizjattivi internazzjonali bħas-Sħubija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REDD+, il-Faċilità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Sħubija għall-Karbonju fil-Foresti (FCPF), il-Faċilità REDD tal-UE, u l-programm UN-REDD. Biex tappoġġja lill-pajjiżi fil-fażi tal-iżvilupp fil-limitazzjoni u fit-tnaqqis tal-emissjonijiet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GHG mis-setturi tagħhom tat-trasport marittimu, fl-2015 il-Kummissjoni ffirmat kuntratt mal-Organizzazzjoni Marittima Internazzjonali (IMO) li jipprovdi EUR 10 miljun għall-implimentazzjoni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proġett fuq erba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snin intitolat 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>“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Bini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Kapaċità għall-Mitigazzjoni tat-Tibdil fil-Klima fl-Industrija tat-Trasport Marittimu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>”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. Għal dan l-għan, qed jiġu stabbiliti ħames Ċentri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Kooperazzjoni fit-Teknoloġija Marittima (MTCC) fir-reġjuni differenti eliġibbli tad-dinja, jiġifieri l-Afrika, l-Asja, il-Gżejjer Żgħar tal-Paċifiku li qed Jiżviluppaw, fil-Karibew u fl-Amerika Latina. Dawn l-MTCCs se jaġixxu bħala ċentri tal-eċċellenza għall-promozzjoni tal-użu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teknoloġiji u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operazzjonijiet b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emissjonijiet tal-karbonju fit-trasport marittimu.</w:t>
      </w:r>
    </w:p>
    <w:p w:rsidR="006222FD" w:rsidRDefault="006222FD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Fis-settur tat-trasport marittimu, fl-2015 il-Kummissjoni ffirmat kuntratt mal-Organizzazzjoni Marittima Internazzjonali (IMO) li jipprovdi EUR 10 miljun għall-implimentazzjoni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proġett fuq erba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snin intitolat </w:t>
      </w:r>
      <w:r>
        <w:rPr>
          <w:rFonts w:ascii="Times New Roman" w:hAnsi="Times New Roman" w:cs="Times New Roman"/>
          <w:noProof/>
          <w:sz w:val="24"/>
          <w:szCs w:val="24"/>
          <w:cs/>
        </w:rPr>
        <w:t>“</w:t>
      </w:r>
      <w:r>
        <w:rPr>
          <w:rFonts w:ascii="Times New Roman" w:hAnsi="Times New Roman" w:cs="Times New Roman"/>
          <w:noProof/>
          <w:sz w:val="24"/>
          <w:szCs w:val="24"/>
        </w:rPr>
        <w:t>Bini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Kapaċità għall-Mitigazzjoni tat-Tibdil fil-Klima fl-Industrija tat-Trasport Marittimu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” </w:t>
      </w:r>
      <w:r>
        <w:rPr>
          <w:rFonts w:ascii="Times New Roman" w:hAnsi="Times New Roman" w:cs="Times New Roman"/>
          <w:noProof/>
          <w:sz w:val="24"/>
          <w:szCs w:val="24"/>
        </w:rPr>
        <w:t>għall-promozzjoni tal-użu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teknoloġiji u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  <w:cs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operazzjonijiet b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>livell baxx ta</w:t>
      </w:r>
      <w:r>
        <w:rPr>
          <w:rFonts w:ascii="Times New Roman" w:hAnsi="Times New Roman" w:cs="Times New Roman"/>
          <w:noProof/>
          <w:sz w:val="24"/>
          <w:szCs w:val="24"/>
          <w:lang w:val="mt-MT"/>
        </w:rPr>
        <w:t>’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emissjonijiet tal-karbonju fit-trasport marittimu.</w:t>
      </w:r>
    </w:p>
    <w:p w:rsidR="006222FD" w:rsidRDefault="006222FD">
      <w:pPr>
        <w:rPr>
          <w:rFonts w:ascii="Times New Roman" w:hAnsi="Times New Roman" w:cs="Times New Roman"/>
          <w:noProof/>
        </w:rPr>
      </w:pPr>
    </w:p>
    <w:p w:rsidR="006222FD" w:rsidRDefault="006222FD">
      <w:pPr>
        <w:rPr>
          <w:rFonts w:ascii="Times New Roman" w:hAnsi="Times New Roman" w:cs="Times New Roman"/>
          <w:noProof/>
        </w:rPr>
      </w:pPr>
    </w:p>
    <w:sectPr w:rsidR="006222FD" w:rsidSect="006222FD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7" w:h="16839"/>
      <w:pgMar w:top="1418" w:right="964" w:bottom="1418" w:left="96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2FD" w:rsidRDefault="006222FD">
      <w:pPr>
        <w:spacing w:after="0"/>
      </w:pPr>
      <w:r>
        <w:separator/>
      </w:r>
    </w:p>
  </w:endnote>
  <w:endnote w:type="continuationSeparator" w:id="0">
    <w:p w:rsidR="006222FD" w:rsidRDefault="006222FD">
      <w:pPr>
        <w:spacing w:after="0"/>
      </w:pPr>
      <w:r>
        <w:continuationSeparator/>
      </w:r>
    </w:p>
  </w:endnote>
  <w:endnote w:type="continuationNotice" w:id="1">
    <w:p w:rsidR="006222FD" w:rsidRDefault="006222F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pStyle w:val="FooterCoverPage"/>
      <w:rPr>
        <w:rFonts w:ascii="Arial" w:hAnsi="Arial" w:cs="Arial"/>
        <w:b/>
        <w:sz w:val="48"/>
      </w:rPr>
    </w:pPr>
    <w:r>
      <w:rPr>
        <w:rFonts w:ascii="Arial" w:hAnsi="Arial" w:cs="Arial"/>
        <w:b/>
        <w:sz w:val="48"/>
      </w:rPr>
      <w:t>MT</w:t>
    </w:r>
    <w:r>
      <w:rPr>
        <w:rFonts w:ascii="Arial" w:hAnsi="Arial" w:cs="Arial"/>
        <w:b/>
        <w:sz w:val="48"/>
      </w:rPr>
      <w:tab/>
    </w:r>
    <w:r>
      <w:rPr>
        <w:rFonts w:ascii="Arial" w:hAnsi="Arial" w:cs="Arial"/>
        <w:b/>
        <w:sz w:val="48"/>
      </w:rPr>
      <w:tab/>
    </w:r>
    <w:r>
      <w:tab/>
    </w:r>
    <w:r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pStyle w:val="FooterCoverPag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6222FD" w:rsidRDefault="006222FD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2FD" w:rsidRDefault="006222FD">
      <w:pPr>
        <w:spacing w:after="0"/>
      </w:pPr>
      <w:r>
        <w:separator/>
      </w:r>
    </w:p>
  </w:footnote>
  <w:footnote w:type="continuationSeparator" w:id="0">
    <w:p w:rsidR="006222FD" w:rsidRDefault="006222FD">
      <w:pPr>
        <w:spacing w:after="0"/>
      </w:pPr>
      <w:r>
        <w:continuationSeparator/>
      </w:r>
    </w:p>
  </w:footnote>
  <w:footnote w:type="continuationNotice" w:id="1">
    <w:p w:rsidR="006222FD" w:rsidRDefault="006222FD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pStyle w:val="HeaderCoverPag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>
    <w:pPr>
      <w:pStyle w:val="HeaderCoverPag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2FD" w:rsidRDefault="006222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0A884A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87AAF8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E848B4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9"/>
    <w:multiLevelType w:val="singleLevel"/>
    <w:tmpl w:val="07C69E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6E706BF"/>
    <w:multiLevelType w:val="hybridMultilevel"/>
    <w:tmpl w:val="01E4E738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EC2CEF"/>
    <w:multiLevelType w:val="hybridMultilevel"/>
    <w:tmpl w:val="33A49EA8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3D5A9C"/>
    <w:multiLevelType w:val="hybridMultilevel"/>
    <w:tmpl w:val="DB3C2BF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FC3DE6"/>
    <w:multiLevelType w:val="multilevel"/>
    <w:tmpl w:val="A34AC8D6"/>
    <w:lvl w:ilvl="0">
      <w:start w:val="1"/>
      <w:numFmt w:val="lowerRoman"/>
      <w:lvlText w:val="%1."/>
      <w:lvlJc w:val="right"/>
      <w:pPr>
        <w:tabs>
          <w:tab w:val="num" w:pos="2290"/>
        </w:tabs>
        <w:ind w:left="2290" w:hanging="85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290"/>
        </w:tabs>
        <w:ind w:left="2290" w:hanging="85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290"/>
        </w:tabs>
        <w:ind w:left="2290" w:hanging="85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90"/>
        </w:tabs>
        <w:ind w:left="2290" w:hanging="85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cs="Times New Roman" w:hint="default"/>
      </w:rPr>
    </w:lvl>
  </w:abstractNum>
  <w:abstractNum w:abstractNumId="8">
    <w:nsid w:val="13C64C5F"/>
    <w:multiLevelType w:val="hybridMultilevel"/>
    <w:tmpl w:val="3892A1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345104"/>
    <w:multiLevelType w:val="multilevel"/>
    <w:tmpl w:val="BD3E8A8E"/>
    <w:name w:val="List Bullet 2"/>
    <w:lvl w:ilvl="0">
      <w:start w:val="1"/>
      <w:numFmt w:val="decimal"/>
      <w:lvlText w:val="Box %1: "/>
      <w:lvlJc w:val="left"/>
      <w:pPr>
        <w:tabs>
          <w:tab w:val="num" w:pos="2520"/>
        </w:tabs>
        <w:ind w:left="1077" w:hanging="35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296" w:hanging="576"/>
      </w:pPr>
      <w:rPr>
        <w:rFonts w:cs="Times New Roman" w:hint="default"/>
      </w:rPr>
    </w:lvl>
    <w:lvl w:ilvl="2">
      <w:start w:val="1"/>
      <w:numFmt w:val="decimal"/>
      <w:lvlRestart w:val="0"/>
      <w:lvlText w:val="Figure %1.%3:"/>
      <w:lvlJc w:val="left"/>
      <w:pPr>
        <w:tabs>
          <w:tab w:val="num" w:pos="32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1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abstractNum w:abstractNumId="11">
    <w:nsid w:val="1E9B5F97"/>
    <w:multiLevelType w:val="hybridMultilevel"/>
    <w:tmpl w:val="ED567EDC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06164DF"/>
    <w:multiLevelType w:val="hybridMultilevel"/>
    <w:tmpl w:val="3B72140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BD64B5"/>
    <w:multiLevelType w:val="multilevel"/>
    <w:tmpl w:val="25D60FC2"/>
    <w:name w:val="List Bullet 3__1"/>
    <w:lvl w:ilvl="0">
      <w:start w:val="1"/>
      <w:numFmt w:val="decimal"/>
      <w:lvlRestart w:val="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>
    <w:nsid w:val="23CC0674"/>
    <w:multiLevelType w:val="multilevel"/>
    <w:tmpl w:val="04988288"/>
    <w:name w:val="List Bullet 4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2AF76E7A"/>
    <w:multiLevelType w:val="singleLevel"/>
    <w:tmpl w:val="C74C5A32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>
    <w:nsid w:val="2B9B1BC9"/>
    <w:multiLevelType w:val="hybridMultilevel"/>
    <w:tmpl w:val="2878CE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820C1F"/>
    <w:multiLevelType w:val="singleLevel"/>
    <w:tmpl w:val="49B2A54A"/>
    <w:name w:val="List Number 4__1"/>
    <w:lvl w:ilvl="0">
      <w:start w:val="1"/>
      <w:numFmt w:val="bullet"/>
      <w:lvlRestart w:val="0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9">
    <w:nsid w:val="3A5459E8"/>
    <w:multiLevelType w:val="singleLevel"/>
    <w:tmpl w:val="2188C922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>
    <w:nsid w:val="3AAA4224"/>
    <w:multiLevelType w:val="hybridMultilevel"/>
    <w:tmpl w:val="35FC71E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A736C9"/>
    <w:multiLevelType w:val="singleLevel"/>
    <w:tmpl w:val="F00A6C0C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>
    <w:nsid w:val="3C90278F"/>
    <w:multiLevelType w:val="singleLevel"/>
    <w:tmpl w:val="0FE08974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3">
    <w:nsid w:val="401533D7"/>
    <w:multiLevelType w:val="hybridMultilevel"/>
    <w:tmpl w:val="D8F485EC"/>
    <w:name w:val="Heading32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0315490"/>
    <w:multiLevelType w:val="singleLevel"/>
    <w:tmpl w:val="1F86C700"/>
    <w:lvl w:ilvl="0">
      <w:start w:val="1"/>
      <w:numFmt w:val="bullet"/>
      <w:lvlRestart w:val="0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48842C30"/>
    <w:multiLevelType w:val="singleLevel"/>
    <w:tmpl w:val="4FA60B90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6">
    <w:nsid w:val="4E5850D6"/>
    <w:multiLevelType w:val="hybridMultilevel"/>
    <w:tmpl w:val="F17E054A"/>
    <w:name w:val="Heading322"/>
    <w:lvl w:ilvl="0" w:tplc="FFFFFFFF">
      <w:start w:val="1"/>
      <w:numFmt w:val="lowerRoman"/>
      <w:lvlText w:val="%1."/>
      <w:lvlJc w:val="right"/>
      <w:pPr>
        <w:ind w:left="10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4593082"/>
    <w:multiLevelType w:val="singleLevel"/>
    <w:tmpl w:val="EDE069AC"/>
    <w:name w:val="Bullet 0"/>
    <w:lvl w:ilvl="0">
      <w:start w:val="1"/>
      <w:numFmt w:val="bullet"/>
      <w:lvlRestart w:val="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>
    <w:nsid w:val="54F80146"/>
    <w:multiLevelType w:val="multilevel"/>
    <w:tmpl w:val="C7B89B54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79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2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29">
    <w:nsid w:val="568864DC"/>
    <w:multiLevelType w:val="singleLevel"/>
    <w:tmpl w:val="485EBDAC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0">
    <w:nsid w:val="596D67A1"/>
    <w:multiLevelType w:val="singleLevel"/>
    <w:tmpl w:val="9AC8831A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1">
    <w:nsid w:val="5C8B1830"/>
    <w:multiLevelType w:val="multilevel"/>
    <w:tmpl w:val="EC9E1398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2">
    <w:nsid w:val="5F342530"/>
    <w:multiLevelType w:val="singleLevel"/>
    <w:tmpl w:val="D5444702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3">
    <w:nsid w:val="5F9C40AA"/>
    <w:multiLevelType w:val="singleLevel"/>
    <w:tmpl w:val="B89CB5A2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>
    <w:nsid w:val="6212116F"/>
    <w:multiLevelType w:val="hybridMultilevel"/>
    <w:tmpl w:val="5000A0C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62970F71"/>
    <w:multiLevelType w:val="singleLevel"/>
    <w:tmpl w:val="5AFA8C72"/>
    <w:name w:val="Tiret 2"/>
    <w:lvl w:ilvl="0">
      <w:start w:val="1"/>
      <w:numFmt w:val="bullet"/>
      <w:lvlRestart w:val="0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>
    <w:nsid w:val="62A8042C"/>
    <w:multiLevelType w:val="singleLevel"/>
    <w:tmpl w:val="CCF20C06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>
    <w:nsid w:val="63EE759E"/>
    <w:multiLevelType w:val="hybridMultilevel"/>
    <w:tmpl w:val="19BA77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A12FA4"/>
    <w:multiLevelType w:val="multilevel"/>
    <w:tmpl w:val="792AA9B2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67212A20"/>
    <w:multiLevelType w:val="hybridMultilevel"/>
    <w:tmpl w:val="9968D3B2"/>
    <w:name w:val="Heading3"/>
    <w:lvl w:ilvl="0" w:tplc="FFFFFFFF">
      <w:start w:val="1"/>
      <w:numFmt w:val="lowerRoman"/>
      <w:lvlText w:val="%1."/>
      <w:lvlJc w:val="right"/>
      <w:pPr>
        <w:ind w:left="157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FFFFFFFF">
      <w:start w:val="1"/>
      <w:numFmt w:val="bullet"/>
      <w:lvlText w:val=""/>
      <w:lvlJc w:val="left"/>
      <w:pPr>
        <w:ind w:left="301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40">
    <w:nsid w:val="69995580"/>
    <w:multiLevelType w:val="singleLevel"/>
    <w:tmpl w:val="75CC7CBA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41">
    <w:nsid w:val="6A6901C1"/>
    <w:multiLevelType w:val="singleLevel"/>
    <w:tmpl w:val="208841AE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2">
    <w:nsid w:val="711167E2"/>
    <w:multiLevelType w:val="multilevel"/>
    <w:tmpl w:val="C3843A7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3">
    <w:nsid w:val="77967710"/>
    <w:multiLevelType w:val="multilevel"/>
    <w:tmpl w:val="96CA5D34"/>
    <w:name w:val="Default"/>
    <w:lvl w:ilvl="0">
      <w:start w:val="1"/>
      <w:numFmt w:val="decimal"/>
      <w:lvlRestart w:val="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>
    <w:nsid w:val="78A241BD"/>
    <w:multiLevelType w:val="singleLevel"/>
    <w:tmpl w:val="53C4DF32"/>
    <w:name w:val="List Number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5">
    <w:nsid w:val="79C96D36"/>
    <w:multiLevelType w:val="multilevel"/>
    <w:tmpl w:val="BE983CE4"/>
    <w:lvl w:ilvl="0">
      <w:start w:val="1"/>
      <w:numFmt w:val="decimal"/>
      <w:lvlRestart w:val="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>
    <w:nsid w:val="7BE95D7F"/>
    <w:multiLevelType w:val="multilevel"/>
    <w:tmpl w:val="F126F780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abstractNum w:abstractNumId="47">
    <w:nsid w:val="7BE97E39"/>
    <w:multiLevelType w:val="hybridMultilevel"/>
    <w:tmpl w:val="28DCD2A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8820A0"/>
    <w:multiLevelType w:val="singleLevel"/>
    <w:tmpl w:val="54F6C7B4"/>
    <w:lvl w:ilvl="0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9">
    <w:nsid w:val="7D8A6BAC"/>
    <w:multiLevelType w:val="hybridMultilevel"/>
    <w:tmpl w:val="C5060C28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EFE37DD"/>
    <w:multiLevelType w:val="multilevel"/>
    <w:tmpl w:val="7FF8D8A2"/>
    <w:name w:val="List Number 3__1"/>
    <w:lvl w:ilvl="0">
      <w:start w:val="1"/>
      <w:numFmt w:val="decimal"/>
      <w:lvlRestart w:val="0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7"/>
  </w:num>
  <w:num w:numId="2">
    <w:abstractNumId w:val="16"/>
  </w:num>
  <w:num w:numId="3">
    <w:abstractNumId w:val="33"/>
  </w:num>
  <w:num w:numId="4">
    <w:abstractNumId w:val="32"/>
  </w:num>
  <w:num w:numId="5">
    <w:abstractNumId w:val="25"/>
  </w:num>
  <w:num w:numId="6">
    <w:abstractNumId w:val="40"/>
  </w:num>
  <w:num w:numId="7">
    <w:abstractNumId w:val="42"/>
  </w:num>
  <w:num w:numId="8">
    <w:abstractNumId w:val="46"/>
  </w:num>
  <w:num w:numId="9">
    <w:abstractNumId w:val="21"/>
  </w:num>
  <w:num w:numId="10">
    <w:abstractNumId w:val="19"/>
  </w:num>
  <w:num w:numId="11">
    <w:abstractNumId w:val="35"/>
  </w:num>
  <w:num w:numId="12">
    <w:abstractNumId w:val="22"/>
  </w:num>
  <w:num w:numId="13">
    <w:abstractNumId w:val="29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41"/>
  </w:num>
  <w:num w:numId="19">
    <w:abstractNumId w:val="24"/>
  </w:num>
  <w:num w:numId="20">
    <w:abstractNumId w:val="36"/>
  </w:num>
  <w:num w:numId="21">
    <w:abstractNumId w:val="30"/>
  </w:num>
  <w:num w:numId="22">
    <w:abstractNumId w:val="44"/>
  </w:num>
  <w:num w:numId="23">
    <w:abstractNumId w:val="48"/>
  </w:num>
  <w:num w:numId="24">
    <w:abstractNumId w:val="45"/>
  </w:num>
  <w:num w:numId="25">
    <w:abstractNumId w:val="18"/>
  </w:num>
  <w:num w:numId="26">
    <w:abstractNumId w:val="13"/>
  </w:num>
  <w:num w:numId="27">
    <w:abstractNumId w:val="43"/>
  </w:num>
  <w:num w:numId="28">
    <w:abstractNumId w:val="50"/>
  </w:num>
  <w:num w:numId="29">
    <w:abstractNumId w:val="15"/>
  </w:num>
  <w:num w:numId="30">
    <w:abstractNumId w:val="9"/>
  </w:num>
  <w:num w:numId="31">
    <w:abstractNumId w:val="28"/>
  </w:num>
  <w:num w:numId="32">
    <w:abstractNumId w:val="34"/>
  </w:num>
  <w:num w:numId="33">
    <w:abstractNumId w:val="38"/>
  </w:num>
  <w:num w:numId="34">
    <w:abstractNumId w:val="31"/>
  </w:num>
  <w:num w:numId="35">
    <w:abstractNumId w:val="20"/>
  </w:num>
  <w:num w:numId="36">
    <w:abstractNumId w:val="17"/>
  </w:num>
  <w:num w:numId="37">
    <w:abstractNumId w:val="12"/>
  </w:num>
  <w:num w:numId="38">
    <w:abstractNumId w:val="23"/>
  </w:num>
  <w:num w:numId="39">
    <w:abstractNumId w:val="8"/>
  </w:num>
  <w:num w:numId="40">
    <w:abstractNumId w:val="6"/>
  </w:num>
  <w:num w:numId="41">
    <w:abstractNumId w:val="5"/>
  </w:num>
  <w:num w:numId="42">
    <w:abstractNumId w:val="4"/>
  </w:num>
  <w:num w:numId="43">
    <w:abstractNumId w:val="37"/>
  </w:num>
  <w:num w:numId="44">
    <w:abstractNumId w:val="47"/>
  </w:num>
  <w:num w:numId="45">
    <w:abstractNumId w:val="7"/>
  </w:num>
  <w:num w:numId="46">
    <w:abstractNumId w:val="49"/>
  </w:num>
  <w:num w:numId="47">
    <w:abstractNumId w:val="11"/>
  </w:num>
  <w:num w:numId="48">
    <w:abstractNumId w:val="31"/>
  </w:num>
  <w:num w:numId="49">
    <w:abstractNumId w:val="3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5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ocStatus" w:val="Green"/>
    <w:docVar w:name="LW_CORRIGENDUM" w:val="&lt;UNUSED&gt;"/>
    <w:docVar w:name="LW_COVERPAGE_EXISTS" w:val="True"/>
    <w:docVar w:name="LW_COVERPAGE_GUID" w:val="F7DB51C4-8CEE-47FA-BDE2-1E29EFFA243F"/>
    <w:docVar w:name="LW_COVERPAGE_TYPE" w:val="1"/>
    <w:docVar w:name="LW_CROSSREFERENCE" w:val="{SWD(2017) 357 final}"/>
    <w:docVar w:name="LW_DocType" w:val="NORMAL"/>
    <w:docVar w:name="LW_EMISSION" w:val="7.11.2017"/>
    <w:docVar w:name="LW_EMISSION_ISODATE" w:val="2017-11-07"/>
    <w:docVar w:name="LW_EMISSION_LOCATION" w:val="BRX"/>
    <w:docVar w:name="LW_EMISSION_PREFIX" w:val="Brussell, "/>
    <w:docVar w:name="LW_EMISSION_SUFFIX" w:val="&lt;EMPTY&gt;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17) 646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 xsi:nil=&quot;true&quot; /&gt;_x000d__x000a_  &lt;limited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footnote xsi:nil=&quot;true&quot; /&gt;_x000d__x000a_  &lt;isRestricted&gt;false&lt;/isRestricted&gt;_x000d__x000a_&lt;/SensitivityLevel&gt;"/>
    <w:docVar w:name="LW_SOUS.TITRE.OBJ" w:val="(required under Article 21 of Regulation (EU) No 525/2013 of the European Parliament and of the Council of 21 May 2013 on a mechanism for monitoring and reporting greenhouse gas emissions and for reporting other information at national and Union level relevant to climate change and repealing Decision No 280/2004/EC) _"/>
    <w:docVar w:name="LW_SOUS.TITRE.OBJ.CP" w:val="(required under Article 21 of Regulation (EU) No 525/2013 of the European Parliament and of the Council of 21 May 2013 on a mechanism for monitoring and reporting greenhouse gas emissions and for reporting other information at national and Union level relevant to climate change and repealing Decision No 280/2004/EC) _"/>
    <w:docVar w:name="LW_SUPERTITRE" w:val="&lt;UNUSED&gt;"/>
    <w:docVar w:name="LW_TITRE.OBJ.CP" w:val="Sentejn wara Pari\u289?i \u8211? Progress lejn l-il\u295?uq tal-impenji tal-UE dwar il-klima__(me\u295?tie\u289? skont l-Artikolu 21 tar-Regolament (UE) Nru 525/2013 tal-Parlament Ewropew u tal-Kunsill tal-21 ta' Mejju 2013 dwar mekkani\u380?mu g\u295?all-monitora\u289?\u289? u r-rapportar ta' emissjonijiet ta' gassijiet serra u g\u295?ar-rapportar ta' informazzjoni o\u295?ra relatata mat-tibdil fil-klima fil-livelli nazzjonali u tal-Unjoni u li j\u295?assar id-De\u267?i\u380?joni Nru 280/2004/KE)"/>
    <w:docVar w:name="LW_TYPE.DOC.CP" w:val="RAPPORT TAL-KUMMISSJONI LILL-PARLAMENT EWROPEW U LILL-KUNSILL"/>
    <w:docVar w:name="Stamp" w:val="\\dossiers.dgt.cec.eu.int\dossiers\CLIMA\CLIMA-2017-00120\CLIMA-2017-00120-00-00-EN-REV-00.201709251408424098130.DOCX"/>
  </w:docVars>
  <w:rsids>
    <w:rsidRoot w:val="006222FD"/>
    <w:rsid w:val="0062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3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table of figures" w:uiPriority="99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macro" w:semiHidden="0" w:unhideWhenUsed="0"/>
    <w:lsdException w:name="List Bullet" w:semiHidden="0" w:uiPriority="99" w:unhideWhenUsed="0"/>
    <w:lsdException w:name="List Number" w:semiHidden="0" w:uiPriority="99" w:unhideWhenUsed="0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semiHidden="0" w:unhideWhenUsed="0" w:qFormat="1"/>
    <w:lsdException w:name="Default Paragraph Font" w:uiPriority="1"/>
    <w:lsdException w:name="Body Text" w:uiPriority="99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ordia New"/>
      <w:sz w:val="22"/>
      <w:szCs w:val="28"/>
      <w:lang w:val="" w:eastAsia="" w:bidi="th-TH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34"/>
      </w:numPr>
      <w:spacing w:before="360"/>
      <w:outlineLvl w:val="0"/>
    </w:pPr>
    <w:rPr>
      <w:rFonts w:ascii="Times New Roman" w:hAnsi="Times New Roman" w:cs="Times New Roman"/>
      <w:b/>
      <w:bCs/>
      <w:smallCaps/>
      <w:sz w:val="24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ascii="Times New Roman" w:hAnsi="Times New Roman" w:cs="Times New Roman"/>
      <w:b/>
      <w:bCs/>
      <w:i/>
      <w:iCs/>
      <w:sz w:val="24"/>
      <w:lang w:bidi="ar-S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34"/>
      </w:numPr>
      <w:outlineLvl w:val="2"/>
    </w:pPr>
    <w:rPr>
      <w:rFonts w:ascii="Times New Roman" w:hAnsi="Times New Roman" w:cs="Times New Roman"/>
      <w:bCs/>
      <w:i/>
      <w:sz w:val="24"/>
      <w:szCs w:val="26"/>
      <w:lang w:bidi="ar-S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34"/>
      </w:numPr>
      <w:outlineLvl w:val="3"/>
    </w:pPr>
    <w:rPr>
      <w:rFonts w:ascii="Times New Roman" w:hAnsi="Times New Roman" w:cs="Times New Roman"/>
      <w:bCs/>
      <w:sz w:val="24"/>
      <w:lang w:bidi="ar-SA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31"/>
      </w:numPr>
      <w:tabs>
        <w:tab w:val="num" w:pos="1368"/>
      </w:tabs>
      <w:spacing w:before="240" w:after="60"/>
      <w:ind w:left="1368"/>
      <w:outlineLvl w:val="4"/>
    </w:pPr>
    <w:rPr>
      <w:rFonts w:ascii="Times New Roman" w:hAnsi="Times New Roman" w:cs="Times New Roman"/>
      <w:b/>
      <w:bCs/>
      <w:i/>
      <w:iCs/>
      <w:sz w:val="26"/>
      <w:szCs w:val="26"/>
      <w:lang w:bidi="ar-SA"/>
    </w:rPr>
  </w:style>
  <w:style w:type="paragraph" w:styleId="Heading6">
    <w:name w:val="heading 6"/>
    <w:basedOn w:val="Normal"/>
    <w:next w:val="Normal"/>
    <w:link w:val="Heading6Char"/>
    <w:uiPriority w:val="9"/>
    <w:qFormat/>
    <w:pPr>
      <w:numPr>
        <w:ilvl w:val="5"/>
        <w:numId w:val="31"/>
      </w:numPr>
      <w:tabs>
        <w:tab w:val="num" w:pos="1512"/>
      </w:tabs>
      <w:spacing w:before="240" w:after="60"/>
      <w:ind w:left="1512"/>
      <w:outlineLvl w:val="5"/>
    </w:pPr>
    <w:rPr>
      <w:rFonts w:ascii="Times New Roman" w:hAnsi="Times New Roman" w:cs="Times New Roman"/>
      <w:b/>
      <w:bCs/>
      <w:szCs w:val="20"/>
      <w:lang w:bidi="ar-SA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spacing w:after="0"/>
      <w:outlineLvl w:val="6"/>
    </w:pPr>
    <w:rPr>
      <w:rFonts w:ascii="Times New Roman" w:hAnsi="Times New Roman" w:cs="Times New Roman"/>
      <w:b/>
      <w:bCs/>
      <w:sz w:val="18"/>
      <w:szCs w:val="20"/>
      <w:lang w:bidi="ar-SA"/>
    </w:rPr>
  </w:style>
  <w:style w:type="paragraph" w:styleId="Heading8">
    <w:name w:val="heading 8"/>
    <w:basedOn w:val="Normal"/>
    <w:next w:val="Normal"/>
    <w:link w:val="Heading8Char"/>
    <w:uiPriority w:val="9"/>
    <w:qFormat/>
    <w:pPr>
      <w:tabs>
        <w:tab w:val="num" w:pos="2700"/>
      </w:tabs>
      <w:spacing w:before="240" w:after="60"/>
      <w:ind w:left="2700" w:hanging="1440"/>
      <w:outlineLvl w:val="7"/>
    </w:pPr>
    <w:rPr>
      <w:rFonts w:ascii="Palatino Linotype" w:hAnsi="Palatino Linotype" w:cs="Times New Roman"/>
      <w:i/>
      <w:iCs/>
      <w:szCs w:val="20"/>
      <w:lang w:bidi="ar-SA"/>
    </w:rPr>
  </w:style>
  <w:style w:type="paragraph" w:styleId="Heading9">
    <w:name w:val="heading 9"/>
    <w:basedOn w:val="Normal"/>
    <w:next w:val="Normal"/>
    <w:link w:val="Heading9Char"/>
    <w:uiPriority w:val="9"/>
    <w:qFormat/>
    <w:pPr>
      <w:tabs>
        <w:tab w:val="num" w:pos="2844"/>
      </w:tabs>
      <w:spacing w:before="240" w:after="60"/>
      <w:ind w:left="2844" w:hanging="1584"/>
      <w:outlineLvl w:val="8"/>
    </w:pPr>
    <w:rPr>
      <w:rFonts w:ascii="Arial" w:hAnsi="Arial" w:cs="Times New Roman"/>
      <w:szCs w:val="20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b/>
      <w:smallCaps/>
      <w:sz w:val="32"/>
      <w:lang w:val="" w:eastAsia=""/>
    </w:rPr>
  </w:style>
  <w:style w:type="character" w:customStyle="1" w:styleId="Heading2Char">
    <w:name w:val="Heading 2 Char"/>
    <w:basedOn w:val="DefaultParagraphFont"/>
    <w:link w:val="Heading2"/>
    <w:uiPriority w:val="9"/>
    <w:locked/>
    <w:rPr>
      <w:b/>
      <w:i/>
      <w:sz w:val="28"/>
      <w:lang w:val="" w:eastAsia="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i/>
      <w:sz w:val="26"/>
      <w:lang w:val="" w:eastAsia=""/>
    </w:rPr>
  </w:style>
  <w:style w:type="character" w:customStyle="1" w:styleId="Heading4Char">
    <w:name w:val="Heading 4 Char"/>
    <w:basedOn w:val="DefaultParagraphFont"/>
    <w:link w:val="Heading4"/>
    <w:uiPriority w:val="9"/>
    <w:locked/>
    <w:rPr>
      <w:sz w:val="28"/>
      <w:lang w:val="" w:eastAsia=""/>
    </w:rPr>
  </w:style>
  <w:style w:type="character" w:customStyle="1" w:styleId="Heading5Char">
    <w:name w:val="Heading 5 Char"/>
    <w:basedOn w:val="DefaultParagraphFont"/>
    <w:link w:val="Heading5"/>
    <w:uiPriority w:val="9"/>
    <w:locked/>
    <w:rPr>
      <w:b/>
      <w:i/>
      <w:sz w:val="26"/>
      <w:lang w:val="" w:eastAsia=""/>
    </w:rPr>
  </w:style>
  <w:style w:type="character" w:customStyle="1" w:styleId="Heading6Char">
    <w:name w:val="Heading 6 Char"/>
    <w:basedOn w:val="DefaultParagraphFont"/>
    <w:link w:val="Heading6"/>
    <w:uiPriority w:val="9"/>
    <w:locked/>
    <w:rPr>
      <w:b/>
      <w:sz w:val="22"/>
      <w:lang w:val="" w:eastAsia=""/>
    </w:rPr>
  </w:style>
  <w:style w:type="character" w:customStyle="1" w:styleId="Heading7Char">
    <w:name w:val="Heading 7 Char"/>
    <w:basedOn w:val="DefaultParagraphFont"/>
    <w:link w:val="Heading7"/>
    <w:uiPriority w:val="9"/>
    <w:locked/>
    <w:rPr>
      <w:b/>
      <w:sz w:val="18"/>
      <w:lang w:val="" w:eastAsia=""/>
    </w:rPr>
  </w:style>
  <w:style w:type="character" w:customStyle="1" w:styleId="Heading8Char">
    <w:name w:val="Heading 8 Char"/>
    <w:basedOn w:val="DefaultParagraphFont"/>
    <w:link w:val="Heading8"/>
    <w:uiPriority w:val="9"/>
    <w:locked/>
    <w:rPr>
      <w:rFonts w:ascii="Palatino Linotype" w:hAnsi="Palatino Linotype"/>
      <w:i/>
      <w:sz w:val="22"/>
      <w:lang w:val="" w:eastAsia=""/>
    </w:rPr>
  </w:style>
  <w:style w:type="character" w:customStyle="1" w:styleId="Heading9Char">
    <w:name w:val="Heading 9 Char"/>
    <w:basedOn w:val="DefaultParagraphFont"/>
    <w:link w:val="Heading9"/>
    <w:uiPriority w:val="9"/>
    <w:locked/>
    <w:rPr>
      <w:rFonts w:ascii="Arial" w:hAnsi="Arial"/>
      <w:sz w:val="22"/>
      <w:lang w:val="" w:eastAsia="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imes New Roman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Pr>
      <w:rFonts w:ascii="Tahoma" w:hAnsi="Tahoma"/>
      <w:sz w:val="16"/>
      <w:lang w:val="" w:eastAsia=""/>
    </w:rPr>
  </w:style>
  <w:style w:type="character" w:customStyle="1" w:styleId="Marker">
    <w:name w:val="Marker"/>
    <w:rPr>
      <w:color w:val="0000FF"/>
      <w:lang w:val="" w:eastAsia="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locked/>
    <w:rPr>
      <w:rFonts w:eastAsia="Times New Roman"/>
      <w:sz w:val="22"/>
      <w:lang w:val=""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eastAsia="Times New Roman"/>
      <w:sz w:val="22"/>
      <w:lang w:val="" w:eastAsia="en-US"/>
    </w:rPr>
  </w:style>
  <w:style w:type="paragraph" w:customStyle="1" w:styleId="FooterCoverPage">
    <w:name w:val="Footer Cover Page"/>
    <w:basedOn w:val="Normal"/>
    <w:link w:val="FooterCoverPageChar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TOCHeadingChar">
    <w:name w:val="TOC Heading Char"/>
    <w:link w:val="TOCHeading"/>
    <w:uiPriority w:val="39"/>
    <w:locked/>
    <w:rPr>
      <w:b/>
      <w:sz w:val="24"/>
      <w:lang w:val="" w:eastAsia=""/>
    </w:rPr>
  </w:style>
  <w:style w:type="character" w:customStyle="1" w:styleId="FooterCoverPageChar">
    <w:name w:val="Footer Cover Page Char"/>
    <w:link w:val="FooterCoverPage"/>
    <w:locked/>
    <w:rPr>
      <w:rFonts w:eastAsia="Times New Roman"/>
      <w:sz w:val="28"/>
      <w:lang w:val="" w:eastAsia=""/>
    </w:rPr>
  </w:style>
  <w:style w:type="paragraph" w:customStyle="1" w:styleId="HeaderCoverPage">
    <w:name w:val="Header Cover Page"/>
    <w:basedOn w:val="Normal"/>
    <w:link w:val="HeaderCoverPageChar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link w:val="HeaderCoverPage"/>
    <w:locked/>
    <w:rPr>
      <w:rFonts w:eastAsia="Times New Roman"/>
      <w:sz w:val="28"/>
      <w:lang w:val="" w:eastAsia="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  <w:lang w:val="" w:eastAsia=""/>
    </w:rPr>
  </w:style>
  <w:style w:type="paragraph" w:customStyle="1" w:styleId="Pagedecouverture">
    <w:name w:val="Page de couverture"/>
    <w:basedOn w:val="Normal"/>
    <w:next w:val="Normal"/>
  </w:style>
  <w:style w:type="paragraph" w:styleId="TOC1">
    <w:name w:val="toc 1"/>
    <w:basedOn w:val="Normal"/>
    <w:next w:val="Normal"/>
    <w:uiPriority w:val="39"/>
    <w:qFormat/>
    <w:pPr>
      <w:tabs>
        <w:tab w:val="right" w:leader="dot" w:pos="9071"/>
      </w:tabs>
      <w:spacing w:before="60"/>
      <w:ind w:left="850" w:hanging="850"/>
    </w:pPr>
  </w:style>
  <w:style w:type="paragraph" w:styleId="TOCHeading">
    <w:name w:val="TOC Heading"/>
    <w:basedOn w:val="Normal"/>
    <w:next w:val="Normal"/>
    <w:link w:val="TOCHeadingChar"/>
    <w:uiPriority w:val="39"/>
    <w:qFormat/>
    <w:pPr>
      <w:spacing w:after="240"/>
      <w:jc w:val="center"/>
    </w:pPr>
    <w:rPr>
      <w:rFonts w:ascii="Times New Roman" w:hAnsi="Times New Roman" w:cs="Times New Roman"/>
      <w:b/>
      <w:sz w:val="28"/>
      <w:szCs w:val="24"/>
      <w:lang w:bidi="ar-SA"/>
    </w:rPr>
  </w:style>
  <w:style w:type="paragraph" w:styleId="Caption">
    <w:name w:val="caption"/>
    <w:basedOn w:val="Normal"/>
    <w:next w:val="Normal"/>
    <w:uiPriority w:val="35"/>
    <w:qFormat/>
    <w:rPr>
      <w:b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rPr>
      <w:szCs w:val="20"/>
    </w:rPr>
  </w:style>
  <w:style w:type="paragraph" w:styleId="Revision">
    <w:name w:val="Revision"/>
    <w:hidden/>
    <w:uiPriority w:val="99"/>
    <w:semiHidden/>
    <w:pPr>
      <w:spacing w:after="200" w:line="276" w:lineRule="auto"/>
    </w:pPr>
    <w:rPr>
      <w:sz w:val="24"/>
      <w:szCs w:val="24"/>
      <w:lang w:val="" w:eastAsia=""/>
    </w:rPr>
  </w:style>
  <w:style w:type="paragraph" w:styleId="ListParagraph">
    <w:name w:val="List Paragraph"/>
    <w:aliases w:val="Heading 2_sj"/>
    <w:basedOn w:val="Normal"/>
    <w:link w:val="ListParagraphChar"/>
    <w:uiPriority w:val="34"/>
    <w:qFormat/>
    <w:pPr>
      <w:spacing w:after="0"/>
      <w:ind w:left="720"/>
    </w:pPr>
    <w:rPr>
      <w:rFonts w:cs="Times New Roman"/>
      <w:szCs w:val="20"/>
      <w:lang w:bidi="ar-SA"/>
    </w:rPr>
  </w:style>
  <w:style w:type="character" w:customStyle="1" w:styleId="ListParagraphChar">
    <w:name w:val="List Paragraph Char"/>
    <w:aliases w:val="Heading 2_sj Char"/>
    <w:link w:val="ListParagraph"/>
    <w:uiPriority w:val="34"/>
    <w:locked/>
    <w:rPr>
      <w:rFonts w:ascii="Calibri" w:eastAsia="Times New Roman" w:hAnsi="Calibri"/>
      <w:sz w:val="22"/>
      <w:lang w:val="" w:eastAsia="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Calibri" w:eastAsia="Times New Roman" w:hAnsi="Calibri"/>
      <w:sz w:val="25"/>
      <w:lang w:val="" w:eastAsia="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ascii="Calibri" w:eastAsia="Times New Roman" w:hAnsi="Calibri"/>
      <w:b/>
      <w:sz w:val="25"/>
      <w:lang w:val="" w:eastAsia=""/>
    </w:rPr>
  </w:style>
  <w:style w:type="paragraph" w:customStyle="1" w:styleId="Declassification">
    <w:name w:val="Declassification"/>
    <w:basedOn w:val="Normal"/>
    <w:next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2"/>
      <w:lang w:eastAsia="en-US" w:bidi="ar-SA"/>
    </w:rPr>
  </w:style>
  <w:style w:type="paragraph" w:customStyle="1" w:styleId="HeaderLandscape">
    <w:name w:val="HeaderLandscape"/>
    <w:basedOn w:val="Normal"/>
    <w:pPr>
      <w:tabs>
        <w:tab w:val="center" w:pos="7285"/>
        <w:tab w:val="right" w:pos="14003"/>
      </w:tabs>
      <w:spacing w:after="120" w:line="240" w:lineRule="auto"/>
      <w:jc w:val="both"/>
    </w:pPr>
    <w:rPr>
      <w:rFonts w:ascii="Times New Roman" w:hAnsi="Times New Roman" w:cs="Times New Roman"/>
      <w:sz w:val="24"/>
      <w:szCs w:val="22"/>
      <w:lang w:eastAsia="en-US" w:bidi="ar-SA"/>
    </w:rPr>
  </w:style>
  <w:style w:type="paragraph" w:customStyle="1" w:styleId="HeaderSensitivity">
    <w:name w:val="Head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paragraph" w:customStyle="1" w:styleId="FooterLandscape">
    <w:name w:val="FooterLandscape"/>
    <w:basedOn w:val="Normal"/>
    <w:pPr>
      <w:tabs>
        <w:tab w:val="center" w:pos="7285"/>
        <w:tab w:val="center" w:pos="10913"/>
        <w:tab w:val="right" w:pos="15137"/>
      </w:tabs>
      <w:spacing w:before="360" w:after="0" w:line="240" w:lineRule="auto"/>
      <w:ind w:left="-567" w:right="-567"/>
    </w:pPr>
    <w:rPr>
      <w:rFonts w:ascii="Times New Roman" w:hAnsi="Times New Roman" w:cs="Times New Roman"/>
      <w:sz w:val="24"/>
      <w:szCs w:val="22"/>
      <w:lang w:eastAsia="en-US" w:bidi="ar-SA"/>
    </w:rPr>
  </w:style>
  <w:style w:type="paragraph" w:customStyle="1" w:styleId="FooterSensitivity">
    <w:name w:val="Footer Sensitivity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table" w:styleId="TableGrid">
    <w:name w:val="Table Grid"/>
    <w:basedOn w:val="TableNormal"/>
    <w:uiPriority w:val="59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3.xml" Id="rId13" /><Relationship Type="http://schemas.openxmlformats.org/officeDocument/2006/relationships/footer" Target="footer5.xml" Id="rId18" /><Relationship Type="http://schemas.openxmlformats.org/officeDocument/2006/relationships/theme" Target="theme/theme1.xml" Id="rId39" /><Relationship Type="http://schemas.openxmlformats.org/officeDocument/2006/relationships/styles" Target="styles.xml" Id="rId3" /><Relationship Type="http://schemas.openxmlformats.org/officeDocument/2006/relationships/footer" Target="footer7.xml" Id="rId34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oter" Target="footer4.xml" Id="rId17" /><Relationship Type="http://schemas.openxmlformats.org/officeDocument/2006/relationships/header" Target="header8.xml" Id="rId33" /><Relationship Type="http://schemas.openxmlformats.org/officeDocument/2006/relationships/fontTable" Target="fontTable.xml" Id="rId38" /><Relationship Type="http://schemas.openxmlformats.org/officeDocument/2006/relationships/numbering" Target="numbering.xml" Id="rId2" /><Relationship Type="http://schemas.openxmlformats.org/officeDocument/2006/relationships/header" Target="header5.xml" Id="rId16" /><Relationship Type="http://schemas.openxmlformats.org/officeDocument/2006/relationships/footer" Target="footer6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header" Target="header7.xml" Id="rId32" /><Relationship Type="http://schemas.openxmlformats.org/officeDocument/2006/relationships/footer" Target="footer9.xml" Id="rId37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9.xml" Id="rId36" /><Relationship Type="http://schemas.openxmlformats.org/officeDocument/2006/relationships/header" Target="header2.xml" Id="rId10" /><Relationship Type="http://schemas.openxmlformats.org/officeDocument/2006/relationships/header" Target="header6.xml" Id="rId19" /><Relationship Type="http://schemas.openxmlformats.org/officeDocument/2006/relationships/image" Target="media/image12.jpeg" Id="rId31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image" Target="media/image11.jpeg" Id="rId30" /><Relationship Type="http://schemas.openxmlformats.org/officeDocument/2006/relationships/footer" Target="footer8.xml" Id="rId35" /><Relationship Type="http://schemas.openxmlformats.org/officeDocument/2006/relationships/image" Target="/word/media/image1.jpeg" Id="rId8" /><Relationship Type="http://schemas.openxmlformats.org/officeDocument/2006/relationships/image" Target="/word/media/image7.jpeg" Id="rId26" /><Relationship Type="http://schemas.openxmlformats.org/officeDocument/2006/relationships/image" Target="/word/media/image2.jpeg" Id="rId21" /><Relationship Type="http://schemas.openxmlformats.org/officeDocument/2006/relationships/image" Target="/word/media/image6.jpeg" Id="rId25" /><Relationship Type="http://schemas.openxmlformats.org/officeDocument/2006/relationships/image" Target="/word/media/image10.jpeg" Id="rId29" /><Relationship Type="http://schemas.openxmlformats.org/officeDocument/2006/relationships/image" Target="/word/media/image5.jpeg" Id="rId24" /><Relationship Type="http://schemas.openxmlformats.org/officeDocument/2006/relationships/image" Target="/word/media/image4.jpeg" Id="rId23" /><Relationship Type="http://schemas.openxmlformats.org/officeDocument/2006/relationships/image" Target="/word/media/image9.jpeg" Id="rId28" /><Relationship Type="http://schemas.openxmlformats.org/officeDocument/2006/relationships/image" Target="/word/media/image3.jpeg" Id="rId22" /><Relationship Type="http://schemas.openxmlformats.org/officeDocument/2006/relationships/image" Target="/word/media/image8.jpeg" Id="rId2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E26DC-F00E-4A6B-A51D-8015364D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19</Pages>
  <Words>6030</Words>
  <Characters>-32766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2017-11-06T15:38:00Z</dcterms:created>
  <dcterms:modified xsi:type="dcterms:W3CDTF">2017-11-07T14:16:00Z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tatus">
    <vt:lpwstr>Green</vt:lpwstr>
  </property>
  <property fmtid="{D5CDD505-2E9C-101B-9397-08002B2CF9AE}" pid="3" name="Level of sensitivity">
    <vt:lpwstr>Standard treatment</vt:lpwstr>
  </property>
  <property fmtid="{D5CDD505-2E9C-101B-9397-08002B2CF9AE}" pid="4" name="Part">
    <vt:lpwstr>1</vt:lpwstr>
  </property>
  <property fmtid="{D5CDD505-2E9C-101B-9397-08002B2CF9AE}" pid="5" name="Total parts">
    <vt:lpwstr>1</vt:lpwstr>
  </property>
</Properties>
</file>