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2A" w:rsidRDefault="00CD4092" w:rsidP="00CD4092">
      <w:pPr>
        <w:pStyle w:val="Pagedecouverture"/>
      </w:pPr>
      <w:bookmarkStart w:id="0" w:name="LW_BM_COVERPAGE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708212F6E7D94E1F82374058990F37DB" style="width:450.75pt;height:321pt">
            <v:imagedata r:id="rId9" o:title=""/>
          </v:shape>
        </w:pict>
      </w:r>
    </w:p>
    <w:bookmarkEnd w:id="0"/>
    <w:p w:rsidR="00677D2A" w:rsidRDefault="00677D2A">
      <w:pPr>
        <w:sectPr w:rsidR="00677D2A" w:rsidSect="00CD409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677D2A" w:rsidRDefault="005F25BC">
      <w:pPr>
        <w:pStyle w:val="TOCHeading"/>
        <w:rPr>
          <w:sz w:val="24"/>
        </w:rPr>
      </w:pPr>
      <w:bookmarkStart w:id="1" w:name="_GoBack"/>
      <w:bookmarkEnd w:id="1"/>
      <w:r>
        <w:rPr>
          <w:sz w:val="24"/>
        </w:rPr>
        <w:lastRenderedPageBreak/>
        <w:t>WERREJ</w:t>
      </w:r>
    </w:p>
    <w:p w:rsidR="00CD4092" w:rsidRPr="00CD4092" w:rsidRDefault="00CD4092" w:rsidP="00CD4092">
      <w:pPr>
        <w:pStyle w:val="Typedudocument"/>
      </w:pPr>
      <w:bookmarkStart w:id="2" w:name="_Toc476056858"/>
      <w:bookmarkStart w:id="3" w:name="_Toc368060684"/>
      <w:r w:rsidRPr="00CD4092">
        <w:t>RAPPORT TAL-KUMMISSJONI LILL-PARLAMENT EWROPEW U LILL-KUNSILL</w:t>
      </w:r>
    </w:p>
    <w:p w:rsidR="00CD4092" w:rsidRPr="00CD4092" w:rsidRDefault="00CD4092" w:rsidP="00CD4092">
      <w:pPr>
        <w:pStyle w:val="Titreobjet"/>
      </w:pPr>
      <w:r w:rsidRPr="00CD4092">
        <w:t>dwar it-tikkettar obbligatorju tal-lista tal-ingredjenti u d-dikjarazzjoni dwar in-nutrizzjoni tax-xorb alkoħoliku</w:t>
      </w:r>
    </w:p>
    <w:p w:rsidR="00CD4092" w:rsidRDefault="00CD4092" w:rsidP="00C71A89"/>
    <w:p w:rsidR="005F25BC" w:rsidRDefault="005F25BC" w:rsidP="00C71A89"/>
    <w:p w:rsidR="00C71A89" w:rsidRPr="005D5DFD" w:rsidRDefault="00C71A89" w:rsidP="00C71A89"/>
    <w:p w:rsidR="00C71A89" w:rsidRPr="005D5DFD" w:rsidRDefault="00C71A89" w:rsidP="00C71A89"/>
    <w:p w:rsidR="00C71A89" w:rsidRPr="005D5DFD" w:rsidRDefault="00C71A89" w:rsidP="00C71A89"/>
    <w:p w:rsidR="00C71A89" w:rsidRPr="005D5DFD" w:rsidRDefault="00C71A89" w:rsidP="00C71A89"/>
    <w:p w:rsidR="00C71A89" w:rsidRPr="005D5DFD" w:rsidRDefault="00C71A89" w:rsidP="00C71A89"/>
    <w:p w:rsidR="00C71A89" w:rsidRPr="005D5DFD" w:rsidRDefault="00C71A89" w:rsidP="00C71A89">
      <w:pPr>
        <w:pStyle w:val="TOC1"/>
      </w:pPr>
    </w:p>
    <w:p w:rsidR="005F25BC" w:rsidRDefault="00C71A8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 w:bidi="ar-SA"/>
        </w:rPr>
      </w:pPr>
      <w:r w:rsidRPr="005D5DFD">
        <w:fldChar w:fldCharType="begin"/>
      </w:r>
      <w:r w:rsidRPr="005D5DFD">
        <w:instrText xml:space="preserve"> TOC \o "1-3" \h \z \u </w:instrText>
      </w:r>
      <w:r w:rsidRPr="005D5DFD">
        <w:fldChar w:fldCharType="separate"/>
      </w:r>
      <w:hyperlink w:anchor="_Toc476231381" w:history="1">
        <w:r w:rsidR="005F25BC" w:rsidRPr="000D33D7">
          <w:rPr>
            <w:rStyle w:val="Hyperlink"/>
            <w:noProof/>
          </w:rPr>
          <w:t>1.</w:t>
        </w:r>
        <w:r w:rsidR="005F25BC">
          <w:rPr>
            <w:rFonts w:asciiTheme="minorHAnsi" w:eastAsiaTheme="minorEastAsia" w:hAnsiTheme="minorHAnsi" w:cstheme="minorBidi"/>
            <w:noProof/>
            <w:sz w:val="22"/>
            <w:szCs w:val="22"/>
            <w:lang w:val="en-GB" w:eastAsia="en-GB" w:bidi="ar-SA"/>
          </w:rPr>
          <w:tab/>
        </w:r>
        <w:r w:rsidR="005F25BC" w:rsidRPr="000D33D7">
          <w:rPr>
            <w:rStyle w:val="Hyperlink"/>
            <w:noProof/>
          </w:rPr>
          <w:t>Introduzzjoni</w:t>
        </w:r>
        <w:r w:rsidR="005F25BC">
          <w:rPr>
            <w:noProof/>
            <w:webHidden/>
          </w:rPr>
          <w:tab/>
        </w:r>
        <w:r w:rsidR="005F25BC">
          <w:rPr>
            <w:noProof/>
            <w:webHidden/>
          </w:rPr>
          <w:fldChar w:fldCharType="begin"/>
        </w:r>
        <w:r w:rsidR="005F25BC">
          <w:rPr>
            <w:noProof/>
            <w:webHidden/>
          </w:rPr>
          <w:instrText xml:space="preserve"> PAGEREF _Toc476231381 \h </w:instrText>
        </w:r>
        <w:r w:rsidR="005F25BC">
          <w:rPr>
            <w:noProof/>
            <w:webHidden/>
          </w:rPr>
        </w:r>
        <w:r w:rsidR="005F25BC">
          <w:rPr>
            <w:noProof/>
            <w:webHidden/>
          </w:rPr>
          <w:fldChar w:fldCharType="separate"/>
        </w:r>
        <w:r w:rsidR="005F25BC">
          <w:rPr>
            <w:noProof/>
            <w:webHidden/>
          </w:rPr>
          <w:t>3</w:t>
        </w:r>
        <w:r w:rsidR="005F25BC">
          <w:rPr>
            <w:noProof/>
            <w:webHidden/>
          </w:rPr>
          <w:fldChar w:fldCharType="end"/>
        </w:r>
      </w:hyperlink>
    </w:p>
    <w:p w:rsidR="005F25BC" w:rsidRDefault="00CD409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 w:bidi="ar-SA"/>
        </w:rPr>
      </w:pPr>
      <w:hyperlink w:anchor="_Toc476231382" w:history="1">
        <w:r w:rsidR="005F25BC" w:rsidRPr="000D33D7">
          <w:rPr>
            <w:rStyle w:val="Hyperlink"/>
            <w:rFonts w:eastAsia="Calibri"/>
            <w:noProof/>
          </w:rPr>
          <w:t>2.</w:t>
        </w:r>
        <w:r w:rsidR="005F25BC">
          <w:rPr>
            <w:rFonts w:asciiTheme="minorHAnsi" w:eastAsiaTheme="minorEastAsia" w:hAnsiTheme="minorHAnsi" w:cstheme="minorBidi"/>
            <w:noProof/>
            <w:sz w:val="22"/>
            <w:szCs w:val="22"/>
            <w:lang w:val="en-GB" w:eastAsia="en-GB" w:bidi="ar-SA"/>
          </w:rPr>
          <w:tab/>
        </w:r>
        <w:r w:rsidR="005F25BC" w:rsidRPr="000D33D7">
          <w:rPr>
            <w:rStyle w:val="Hyperlink"/>
            <w:noProof/>
          </w:rPr>
          <w:t>Il-kuntest storiku</w:t>
        </w:r>
        <w:r w:rsidR="005F25BC">
          <w:rPr>
            <w:noProof/>
            <w:webHidden/>
          </w:rPr>
          <w:tab/>
        </w:r>
        <w:r w:rsidR="005F25BC">
          <w:rPr>
            <w:noProof/>
            <w:webHidden/>
          </w:rPr>
          <w:fldChar w:fldCharType="begin"/>
        </w:r>
        <w:r w:rsidR="005F25BC">
          <w:rPr>
            <w:noProof/>
            <w:webHidden/>
          </w:rPr>
          <w:instrText xml:space="preserve"> PAGEREF _Toc476231382 \h </w:instrText>
        </w:r>
        <w:r w:rsidR="005F25BC">
          <w:rPr>
            <w:noProof/>
            <w:webHidden/>
          </w:rPr>
        </w:r>
        <w:r w:rsidR="005F25BC">
          <w:rPr>
            <w:noProof/>
            <w:webHidden/>
          </w:rPr>
          <w:fldChar w:fldCharType="separate"/>
        </w:r>
        <w:r w:rsidR="005F25BC">
          <w:rPr>
            <w:noProof/>
            <w:webHidden/>
          </w:rPr>
          <w:t>4</w:t>
        </w:r>
        <w:r w:rsidR="005F25BC">
          <w:rPr>
            <w:noProof/>
            <w:webHidden/>
          </w:rPr>
          <w:fldChar w:fldCharType="end"/>
        </w:r>
      </w:hyperlink>
    </w:p>
    <w:p w:rsidR="005F25BC" w:rsidRDefault="00CD409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 w:bidi="ar-SA"/>
        </w:rPr>
      </w:pPr>
      <w:hyperlink w:anchor="_Toc476231383" w:history="1">
        <w:r w:rsidR="005F25BC" w:rsidRPr="000D33D7">
          <w:rPr>
            <w:rStyle w:val="Hyperlink"/>
            <w:noProof/>
          </w:rPr>
          <w:t>3.</w:t>
        </w:r>
        <w:r w:rsidR="005F25BC">
          <w:rPr>
            <w:rFonts w:asciiTheme="minorHAnsi" w:eastAsiaTheme="minorEastAsia" w:hAnsiTheme="minorHAnsi" w:cstheme="minorBidi"/>
            <w:noProof/>
            <w:sz w:val="22"/>
            <w:szCs w:val="22"/>
            <w:lang w:val="en-GB" w:eastAsia="en-GB" w:bidi="ar-SA"/>
          </w:rPr>
          <w:tab/>
        </w:r>
        <w:r w:rsidR="005F25BC" w:rsidRPr="000D33D7">
          <w:rPr>
            <w:rStyle w:val="Hyperlink"/>
            <w:noProof/>
          </w:rPr>
          <w:t>Il-qafas ġuridiku tal-UE dwar it-tikkettar tax-xorb alkoħoliku</w:t>
        </w:r>
        <w:r w:rsidR="005F25BC">
          <w:rPr>
            <w:noProof/>
            <w:webHidden/>
          </w:rPr>
          <w:tab/>
        </w:r>
        <w:r w:rsidR="005F25BC">
          <w:rPr>
            <w:noProof/>
            <w:webHidden/>
          </w:rPr>
          <w:fldChar w:fldCharType="begin"/>
        </w:r>
        <w:r w:rsidR="005F25BC">
          <w:rPr>
            <w:noProof/>
            <w:webHidden/>
          </w:rPr>
          <w:instrText xml:space="preserve"> PAGEREF _Toc476231383 \h </w:instrText>
        </w:r>
        <w:r w:rsidR="005F25BC">
          <w:rPr>
            <w:noProof/>
            <w:webHidden/>
          </w:rPr>
        </w:r>
        <w:r w:rsidR="005F25BC">
          <w:rPr>
            <w:noProof/>
            <w:webHidden/>
          </w:rPr>
          <w:fldChar w:fldCharType="separate"/>
        </w:r>
        <w:r w:rsidR="005F25BC">
          <w:rPr>
            <w:noProof/>
            <w:webHidden/>
          </w:rPr>
          <w:t>4</w:t>
        </w:r>
        <w:r w:rsidR="005F25BC">
          <w:rPr>
            <w:noProof/>
            <w:webHidden/>
          </w:rPr>
          <w:fldChar w:fldCharType="end"/>
        </w:r>
      </w:hyperlink>
    </w:p>
    <w:p w:rsidR="005F25BC" w:rsidRDefault="00CD409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 w:bidi="ar-SA"/>
        </w:rPr>
      </w:pPr>
      <w:hyperlink w:anchor="_Toc476231384" w:history="1">
        <w:r w:rsidR="005F25BC" w:rsidRPr="000D33D7">
          <w:rPr>
            <w:rStyle w:val="Hyperlink"/>
            <w:rFonts w:eastAsia="Calibri"/>
            <w:noProof/>
          </w:rPr>
          <w:t>3.1.</w:t>
        </w:r>
        <w:r w:rsidR="005F25BC">
          <w:rPr>
            <w:rFonts w:asciiTheme="minorHAnsi" w:eastAsiaTheme="minorEastAsia" w:hAnsiTheme="minorHAnsi" w:cstheme="minorBidi"/>
            <w:noProof/>
            <w:sz w:val="22"/>
            <w:szCs w:val="22"/>
            <w:lang w:val="en-GB" w:eastAsia="en-GB" w:bidi="ar-SA"/>
          </w:rPr>
          <w:tab/>
        </w:r>
        <w:r w:rsidR="005F25BC" w:rsidRPr="000D33D7">
          <w:rPr>
            <w:rStyle w:val="Hyperlink"/>
            <w:noProof/>
          </w:rPr>
          <w:t>Ir-Regolament (UE) Nru 1169/2011</w:t>
        </w:r>
        <w:r w:rsidR="005F25BC">
          <w:rPr>
            <w:noProof/>
            <w:webHidden/>
          </w:rPr>
          <w:tab/>
        </w:r>
        <w:r w:rsidR="005F25BC">
          <w:rPr>
            <w:noProof/>
            <w:webHidden/>
          </w:rPr>
          <w:fldChar w:fldCharType="begin"/>
        </w:r>
        <w:r w:rsidR="005F25BC">
          <w:rPr>
            <w:noProof/>
            <w:webHidden/>
          </w:rPr>
          <w:instrText xml:space="preserve"> PAGEREF _Toc476231384 \h </w:instrText>
        </w:r>
        <w:r w:rsidR="005F25BC">
          <w:rPr>
            <w:noProof/>
            <w:webHidden/>
          </w:rPr>
        </w:r>
        <w:r w:rsidR="005F25BC">
          <w:rPr>
            <w:noProof/>
            <w:webHidden/>
          </w:rPr>
          <w:fldChar w:fldCharType="separate"/>
        </w:r>
        <w:r w:rsidR="005F25BC">
          <w:rPr>
            <w:noProof/>
            <w:webHidden/>
          </w:rPr>
          <w:t>4</w:t>
        </w:r>
        <w:r w:rsidR="005F25BC">
          <w:rPr>
            <w:noProof/>
            <w:webHidden/>
          </w:rPr>
          <w:fldChar w:fldCharType="end"/>
        </w:r>
      </w:hyperlink>
    </w:p>
    <w:p w:rsidR="005F25BC" w:rsidRDefault="00CD409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 w:bidi="ar-SA"/>
        </w:rPr>
      </w:pPr>
      <w:hyperlink w:anchor="_Toc476231385" w:history="1">
        <w:r w:rsidR="005F25BC" w:rsidRPr="000D33D7">
          <w:rPr>
            <w:rStyle w:val="Hyperlink"/>
            <w:noProof/>
          </w:rPr>
          <w:t>3.2.</w:t>
        </w:r>
        <w:r w:rsidR="005F25BC">
          <w:rPr>
            <w:rFonts w:asciiTheme="minorHAnsi" w:eastAsiaTheme="minorEastAsia" w:hAnsiTheme="minorHAnsi" w:cstheme="minorBidi"/>
            <w:noProof/>
            <w:sz w:val="22"/>
            <w:szCs w:val="22"/>
            <w:lang w:val="en-GB" w:eastAsia="en-GB" w:bidi="ar-SA"/>
          </w:rPr>
          <w:tab/>
        </w:r>
        <w:r w:rsidR="005F25BC" w:rsidRPr="000D33D7">
          <w:rPr>
            <w:rStyle w:val="Hyperlink"/>
            <w:noProof/>
          </w:rPr>
          <w:t>Dispożizzjonijiet oħra tal-UE dwar it-tikkettar tax-xorb alkoħoliku</w:t>
        </w:r>
        <w:r w:rsidR="005F25BC">
          <w:rPr>
            <w:noProof/>
            <w:webHidden/>
          </w:rPr>
          <w:tab/>
        </w:r>
        <w:r w:rsidR="005F25BC">
          <w:rPr>
            <w:noProof/>
            <w:webHidden/>
          </w:rPr>
          <w:fldChar w:fldCharType="begin"/>
        </w:r>
        <w:r w:rsidR="005F25BC">
          <w:rPr>
            <w:noProof/>
            <w:webHidden/>
          </w:rPr>
          <w:instrText xml:space="preserve"> PAGEREF _Toc476231385 \h </w:instrText>
        </w:r>
        <w:r w:rsidR="005F25BC">
          <w:rPr>
            <w:noProof/>
            <w:webHidden/>
          </w:rPr>
        </w:r>
        <w:r w:rsidR="005F25BC">
          <w:rPr>
            <w:noProof/>
            <w:webHidden/>
          </w:rPr>
          <w:fldChar w:fldCharType="separate"/>
        </w:r>
        <w:r w:rsidR="005F25BC">
          <w:rPr>
            <w:noProof/>
            <w:webHidden/>
          </w:rPr>
          <w:t>5</w:t>
        </w:r>
        <w:r w:rsidR="005F25BC">
          <w:rPr>
            <w:noProof/>
            <w:webHidden/>
          </w:rPr>
          <w:fldChar w:fldCharType="end"/>
        </w:r>
      </w:hyperlink>
    </w:p>
    <w:p w:rsidR="005F25BC" w:rsidRDefault="00CD409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 w:bidi="ar-SA"/>
        </w:rPr>
      </w:pPr>
      <w:hyperlink w:anchor="_Toc476231386" w:history="1">
        <w:r w:rsidR="005F25BC" w:rsidRPr="000D33D7">
          <w:rPr>
            <w:rStyle w:val="Hyperlink"/>
            <w:noProof/>
          </w:rPr>
          <w:t>4.</w:t>
        </w:r>
        <w:r w:rsidR="005F25BC">
          <w:rPr>
            <w:rFonts w:asciiTheme="minorHAnsi" w:eastAsiaTheme="minorEastAsia" w:hAnsiTheme="minorHAnsi" w:cstheme="minorBidi"/>
            <w:noProof/>
            <w:sz w:val="22"/>
            <w:szCs w:val="22"/>
            <w:lang w:val="en-GB" w:eastAsia="en-GB" w:bidi="ar-SA"/>
          </w:rPr>
          <w:tab/>
        </w:r>
        <w:r w:rsidR="005F25BC" w:rsidRPr="000D33D7">
          <w:rPr>
            <w:rStyle w:val="Hyperlink"/>
            <w:noProof/>
          </w:rPr>
          <w:t>Il-leġiżlazzjoni tal-Istati Membri, is-sitwazzjoni fil-livell internazzjonali u fil-pajjiżi terzi</w:t>
        </w:r>
        <w:r w:rsidR="005F25BC">
          <w:rPr>
            <w:noProof/>
            <w:webHidden/>
          </w:rPr>
          <w:tab/>
        </w:r>
        <w:r w:rsidR="005F25BC">
          <w:rPr>
            <w:noProof/>
            <w:webHidden/>
          </w:rPr>
          <w:fldChar w:fldCharType="begin"/>
        </w:r>
        <w:r w:rsidR="005F25BC">
          <w:rPr>
            <w:noProof/>
            <w:webHidden/>
          </w:rPr>
          <w:instrText xml:space="preserve"> PAGEREF _Toc476231386 \h </w:instrText>
        </w:r>
        <w:r w:rsidR="005F25BC">
          <w:rPr>
            <w:noProof/>
            <w:webHidden/>
          </w:rPr>
        </w:r>
        <w:r w:rsidR="005F25BC">
          <w:rPr>
            <w:noProof/>
            <w:webHidden/>
          </w:rPr>
          <w:fldChar w:fldCharType="separate"/>
        </w:r>
        <w:r w:rsidR="005F25BC">
          <w:rPr>
            <w:noProof/>
            <w:webHidden/>
          </w:rPr>
          <w:t>6</w:t>
        </w:r>
        <w:r w:rsidR="005F25BC">
          <w:rPr>
            <w:noProof/>
            <w:webHidden/>
          </w:rPr>
          <w:fldChar w:fldCharType="end"/>
        </w:r>
      </w:hyperlink>
    </w:p>
    <w:p w:rsidR="005F25BC" w:rsidRDefault="00CD409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 w:bidi="ar-SA"/>
        </w:rPr>
      </w:pPr>
      <w:hyperlink w:anchor="_Toc476231387" w:history="1">
        <w:r w:rsidR="005F25BC" w:rsidRPr="000D33D7">
          <w:rPr>
            <w:rStyle w:val="Hyperlink"/>
            <w:noProof/>
          </w:rPr>
          <w:t>4.1.</w:t>
        </w:r>
        <w:r w:rsidR="005F25BC">
          <w:rPr>
            <w:rFonts w:asciiTheme="minorHAnsi" w:eastAsiaTheme="minorEastAsia" w:hAnsiTheme="minorHAnsi" w:cstheme="minorBidi"/>
            <w:noProof/>
            <w:sz w:val="22"/>
            <w:szCs w:val="22"/>
            <w:lang w:val="en-GB" w:eastAsia="en-GB" w:bidi="ar-SA"/>
          </w:rPr>
          <w:tab/>
        </w:r>
        <w:r w:rsidR="005F25BC" w:rsidRPr="000D33D7">
          <w:rPr>
            <w:rStyle w:val="Hyperlink"/>
            <w:noProof/>
          </w:rPr>
          <w:t>L-Istati Membri</w:t>
        </w:r>
        <w:r w:rsidR="005F25BC">
          <w:rPr>
            <w:noProof/>
            <w:webHidden/>
          </w:rPr>
          <w:tab/>
        </w:r>
        <w:r w:rsidR="005F25BC">
          <w:rPr>
            <w:noProof/>
            <w:webHidden/>
          </w:rPr>
          <w:fldChar w:fldCharType="begin"/>
        </w:r>
        <w:r w:rsidR="005F25BC">
          <w:rPr>
            <w:noProof/>
            <w:webHidden/>
          </w:rPr>
          <w:instrText xml:space="preserve"> PAGEREF _Toc476231387 \h </w:instrText>
        </w:r>
        <w:r w:rsidR="005F25BC">
          <w:rPr>
            <w:noProof/>
            <w:webHidden/>
          </w:rPr>
        </w:r>
        <w:r w:rsidR="005F25BC">
          <w:rPr>
            <w:noProof/>
            <w:webHidden/>
          </w:rPr>
          <w:fldChar w:fldCharType="separate"/>
        </w:r>
        <w:r w:rsidR="005F25BC">
          <w:rPr>
            <w:noProof/>
            <w:webHidden/>
          </w:rPr>
          <w:t>6</w:t>
        </w:r>
        <w:r w:rsidR="005F25BC">
          <w:rPr>
            <w:noProof/>
            <w:webHidden/>
          </w:rPr>
          <w:fldChar w:fldCharType="end"/>
        </w:r>
      </w:hyperlink>
    </w:p>
    <w:p w:rsidR="005F25BC" w:rsidRDefault="00CD409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 w:bidi="ar-SA"/>
        </w:rPr>
      </w:pPr>
      <w:hyperlink w:anchor="_Toc476231388" w:history="1">
        <w:r w:rsidR="005F25BC" w:rsidRPr="000D33D7">
          <w:rPr>
            <w:rStyle w:val="Hyperlink"/>
            <w:noProof/>
          </w:rPr>
          <w:t>4.2.</w:t>
        </w:r>
        <w:r w:rsidR="005F25BC">
          <w:rPr>
            <w:rFonts w:asciiTheme="minorHAnsi" w:eastAsiaTheme="minorEastAsia" w:hAnsiTheme="minorHAnsi" w:cstheme="minorBidi"/>
            <w:noProof/>
            <w:sz w:val="22"/>
            <w:szCs w:val="22"/>
            <w:lang w:val="en-GB" w:eastAsia="en-GB" w:bidi="ar-SA"/>
          </w:rPr>
          <w:tab/>
        </w:r>
        <w:r w:rsidR="005F25BC" w:rsidRPr="000D33D7">
          <w:rPr>
            <w:rStyle w:val="Hyperlink"/>
            <w:noProof/>
          </w:rPr>
          <w:t>L-organizzazzjonijiet internazzjonali u l-pajjiżi terzi</w:t>
        </w:r>
        <w:r w:rsidR="005F25BC">
          <w:rPr>
            <w:noProof/>
            <w:webHidden/>
          </w:rPr>
          <w:tab/>
        </w:r>
        <w:r w:rsidR="005F25BC">
          <w:rPr>
            <w:noProof/>
            <w:webHidden/>
          </w:rPr>
          <w:fldChar w:fldCharType="begin"/>
        </w:r>
        <w:r w:rsidR="005F25BC">
          <w:rPr>
            <w:noProof/>
            <w:webHidden/>
          </w:rPr>
          <w:instrText xml:space="preserve"> PAGEREF _Toc476231388 \h </w:instrText>
        </w:r>
        <w:r w:rsidR="005F25BC">
          <w:rPr>
            <w:noProof/>
            <w:webHidden/>
          </w:rPr>
        </w:r>
        <w:r w:rsidR="005F25BC">
          <w:rPr>
            <w:noProof/>
            <w:webHidden/>
          </w:rPr>
          <w:fldChar w:fldCharType="separate"/>
        </w:r>
        <w:r w:rsidR="005F25BC">
          <w:rPr>
            <w:noProof/>
            <w:webHidden/>
          </w:rPr>
          <w:t>6</w:t>
        </w:r>
        <w:r w:rsidR="005F25BC">
          <w:rPr>
            <w:noProof/>
            <w:webHidden/>
          </w:rPr>
          <w:fldChar w:fldCharType="end"/>
        </w:r>
      </w:hyperlink>
    </w:p>
    <w:p w:rsidR="005F25BC" w:rsidRDefault="00CD409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 w:bidi="ar-SA"/>
        </w:rPr>
      </w:pPr>
      <w:hyperlink w:anchor="_Toc476231389" w:history="1">
        <w:r w:rsidR="005F25BC" w:rsidRPr="000D33D7">
          <w:rPr>
            <w:rStyle w:val="Hyperlink"/>
            <w:noProof/>
          </w:rPr>
          <w:t>5.</w:t>
        </w:r>
        <w:r w:rsidR="005F25BC">
          <w:rPr>
            <w:rFonts w:asciiTheme="minorHAnsi" w:eastAsiaTheme="minorEastAsia" w:hAnsiTheme="minorHAnsi" w:cstheme="minorBidi"/>
            <w:noProof/>
            <w:sz w:val="22"/>
            <w:szCs w:val="22"/>
            <w:lang w:val="en-GB" w:eastAsia="en-GB" w:bidi="ar-SA"/>
          </w:rPr>
          <w:tab/>
        </w:r>
        <w:r w:rsidR="005F25BC" w:rsidRPr="000D33D7">
          <w:rPr>
            <w:rStyle w:val="Hyperlink"/>
            <w:noProof/>
          </w:rPr>
          <w:t>L-għarfien u l-interess tal-konsumatur</w:t>
        </w:r>
        <w:r w:rsidR="005F25BC">
          <w:rPr>
            <w:noProof/>
            <w:webHidden/>
          </w:rPr>
          <w:tab/>
        </w:r>
        <w:r w:rsidR="005F25BC">
          <w:rPr>
            <w:noProof/>
            <w:webHidden/>
          </w:rPr>
          <w:fldChar w:fldCharType="begin"/>
        </w:r>
        <w:r w:rsidR="005F25BC">
          <w:rPr>
            <w:noProof/>
            <w:webHidden/>
          </w:rPr>
          <w:instrText xml:space="preserve"> PAGEREF _Toc476231389 \h </w:instrText>
        </w:r>
        <w:r w:rsidR="005F25BC">
          <w:rPr>
            <w:noProof/>
            <w:webHidden/>
          </w:rPr>
        </w:r>
        <w:r w:rsidR="005F25BC">
          <w:rPr>
            <w:noProof/>
            <w:webHidden/>
          </w:rPr>
          <w:fldChar w:fldCharType="separate"/>
        </w:r>
        <w:r w:rsidR="005F25BC">
          <w:rPr>
            <w:noProof/>
            <w:webHidden/>
          </w:rPr>
          <w:t>7</w:t>
        </w:r>
        <w:r w:rsidR="005F25BC">
          <w:rPr>
            <w:noProof/>
            <w:webHidden/>
          </w:rPr>
          <w:fldChar w:fldCharType="end"/>
        </w:r>
      </w:hyperlink>
    </w:p>
    <w:p w:rsidR="005F25BC" w:rsidRDefault="00CD409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 w:bidi="ar-SA"/>
        </w:rPr>
      </w:pPr>
      <w:hyperlink w:anchor="_Toc476231390" w:history="1">
        <w:r w:rsidR="005F25BC" w:rsidRPr="000D33D7">
          <w:rPr>
            <w:rStyle w:val="Hyperlink"/>
            <w:noProof/>
          </w:rPr>
          <w:t>6.</w:t>
        </w:r>
        <w:r w:rsidR="005F25BC">
          <w:rPr>
            <w:rFonts w:asciiTheme="minorHAnsi" w:eastAsiaTheme="minorEastAsia" w:hAnsiTheme="minorHAnsi" w:cstheme="minorBidi"/>
            <w:noProof/>
            <w:sz w:val="22"/>
            <w:szCs w:val="22"/>
            <w:lang w:val="en-GB" w:eastAsia="en-GB" w:bidi="ar-SA"/>
          </w:rPr>
          <w:tab/>
        </w:r>
        <w:r w:rsidR="005F25BC" w:rsidRPr="000D33D7">
          <w:rPr>
            <w:rStyle w:val="Hyperlink"/>
            <w:noProof/>
          </w:rPr>
          <w:t>Il-partijiet konċernati</w:t>
        </w:r>
        <w:r w:rsidR="005F25BC">
          <w:rPr>
            <w:noProof/>
            <w:webHidden/>
          </w:rPr>
          <w:tab/>
        </w:r>
        <w:r w:rsidR="005F25BC">
          <w:rPr>
            <w:noProof/>
            <w:webHidden/>
          </w:rPr>
          <w:fldChar w:fldCharType="begin"/>
        </w:r>
        <w:r w:rsidR="005F25BC">
          <w:rPr>
            <w:noProof/>
            <w:webHidden/>
          </w:rPr>
          <w:instrText xml:space="preserve"> PAGEREF _Toc476231390 \h </w:instrText>
        </w:r>
        <w:r w:rsidR="005F25BC">
          <w:rPr>
            <w:noProof/>
            <w:webHidden/>
          </w:rPr>
        </w:r>
        <w:r w:rsidR="005F25BC">
          <w:rPr>
            <w:noProof/>
            <w:webHidden/>
          </w:rPr>
          <w:fldChar w:fldCharType="separate"/>
        </w:r>
        <w:r w:rsidR="005F25BC">
          <w:rPr>
            <w:noProof/>
            <w:webHidden/>
          </w:rPr>
          <w:t>9</w:t>
        </w:r>
        <w:r w:rsidR="005F25BC">
          <w:rPr>
            <w:noProof/>
            <w:webHidden/>
          </w:rPr>
          <w:fldChar w:fldCharType="end"/>
        </w:r>
      </w:hyperlink>
    </w:p>
    <w:p w:rsidR="005F25BC" w:rsidRDefault="00CD409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 w:bidi="ar-SA"/>
        </w:rPr>
      </w:pPr>
      <w:hyperlink w:anchor="_Toc476231391" w:history="1">
        <w:r w:rsidR="005F25BC" w:rsidRPr="000D33D7">
          <w:rPr>
            <w:rStyle w:val="Hyperlink"/>
            <w:rFonts w:eastAsia="Calibri"/>
            <w:noProof/>
          </w:rPr>
          <w:t>7.</w:t>
        </w:r>
        <w:r w:rsidR="005F25BC">
          <w:rPr>
            <w:rFonts w:asciiTheme="minorHAnsi" w:eastAsiaTheme="minorEastAsia" w:hAnsiTheme="minorHAnsi" w:cstheme="minorBidi"/>
            <w:noProof/>
            <w:sz w:val="22"/>
            <w:szCs w:val="22"/>
            <w:lang w:val="en-GB" w:eastAsia="en-GB" w:bidi="ar-SA"/>
          </w:rPr>
          <w:tab/>
        </w:r>
        <w:r w:rsidR="005F25BC" w:rsidRPr="000D33D7">
          <w:rPr>
            <w:rStyle w:val="Hyperlink"/>
            <w:noProof/>
          </w:rPr>
          <w:t>Sejħiet għal azzjoni</w:t>
        </w:r>
        <w:r w:rsidR="005F25BC">
          <w:rPr>
            <w:noProof/>
            <w:webHidden/>
          </w:rPr>
          <w:tab/>
        </w:r>
        <w:r w:rsidR="005F25BC">
          <w:rPr>
            <w:noProof/>
            <w:webHidden/>
          </w:rPr>
          <w:fldChar w:fldCharType="begin"/>
        </w:r>
        <w:r w:rsidR="005F25BC">
          <w:rPr>
            <w:noProof/>
            <w:webHidden/>
          </w:rPr>
          <w:instrText xml:space="preserve"> PAGEREF _Toc476231391 \h </w:instrText>
        </w:r>
        <w:r w:rsidR="005F25BC">
          <w:rPr>
            <w:noProof/>
            <w:webHidden/>
          </w:rPr>
        </w:r>
        <w:r w:rsidR="005F25BC">
          <w:rPr>
            <w:noProof/>
            <w:webHidden/>
          </w:rPr>
          <w:fldChar w:fldCharType="separate"/>
        </w:r>
        <w:r w:rsidR="005F25BC">
          <w:rPr>
            <w:noProof/>
            <w:webHidden/>
          </w:rPr>
          <w:t>12</w:t>
        </w:r>
        <w:r w:rsidR="005F25BC">
          <w:rPr>
            <w:noProof/>
            <w:webHidden/>
          </w:rPr>
          <w:fldChar w:fldCharType="end"/>
        </w:r>
      </w:hyperlink>
    </w:p>
    <w:p w:rsidR="005F25BC" w:rsidRDefault="00CD409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 w:bidi="ar-SA"/>
        </w:rPr>
      </w:pPr>
      <w:hyperlink w:anchor="_Toc476231392" w:history="1">
        <w:r w:rsidR="005F25BC" w:rsidRPr="000D33D7">
          <w:rPr>
            <w:rStyle w:val="Hyperlink"/>
            <w:rFonts w:eastAsia="Calibri"/>
            <w:noProof/>
          </w:rPr>
          <w:t>7.1.</w:t>
        </w:r>
        <w:r w:rsidR="005F25BC">
          <w:rPr>
            <w:rFonts w:asciiTheme="minorHAnsi" w:eastAsiaTheme="minorEastAsia" w:hAnsiTheme="minorHAnsi" w:cstheme="minorBidi"/>
            <w:noProof/>
            <w:sz w:val="22"/>
            <w:szCs w:val="22"/>
            <w:lang w:val="en-GB" w:eastAsia="en-GB" w:bidi="ar-SA"/>
          </w:rPr>
          <w:tab/>
        </w:r>
        <w:r w:rsidR="005F25BC" w:rsidRPr="000D33D7">
          <w:rPr>
            <w:rStyle w:val="Hyperlink"/>
            <w:noProof/>
          </w:rPr>
          <w:t>L-Organizzazzjoni Dinjija tas-Saħħa</w:t>
        </w:r>
        <w:r w:rsidR="005F25BC">
          <w:rPr>
            <w:noProof/>
            <w:webHidden/>
          </w:rPr>
          <w:tab/>
        </w:r>
        <w:r w:rsidR="005F25BC">
          <w:rPr>
            <w:noProof/>
            <w:webHidden/>
          </w:rPr>
          <w:fldChar w:fldCharType="begin"/>
        </w:r>
        <w:r w:rsidR="005F25BC">
          <w:rPr>
            <w:noProof/>
            <w:webHidden/>
          </w:rPr>
          <w:instrText xml:space="preserve"> PAGEREF _Toc476231392 \h </w:instrText>
        </w:r>
        <w:r w:rsidR="005F25BC">
          <w:rPr>
            <w:noProof/>
            <w:webHidden/>
          </w:rPr>
        </w:r>
        <w:r w:rsidR="005F25BC">
          <w:rPr>
            <w:noProof/>
            <w:webHidden/>
          </w:rPr>
          <w:fldChar w:fldCharType="separate"/>
        </w:r>
        <w:r w:rsidR="005F25BC">
          <w:rPr>
            <w:noProof/>
            <w:webHidden/>
          </w:rPr>
          <w:t>12</w:t>
        </w:r>
        <w:r w:rsidR="005F25BC">
          <w:rPr>
            <w:noProof/>
            <w:webHidden/>
          </w:rPr>
          <w:fldChar w:fldCharType="end"/>
        </w:r>
      </w:hyperlink>
    </w:p>
    <w:p w:rsidR="005F25BC" w:rsidRDefault="00CD409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 w:bidi="ar-SA"/>
        </w:rPr>
      </w:pPr>
      <w:hyperlink w:anchor="_Toc476231393" w:history="1">
        <w:r w:rsidR="005F25BC" w:rsidRPr="000D33D7">
          <w:rPr>
            <w:rStyle w:val="Hyperlink"/>
            <w:rFonts w:eastAsia="Calibri"/>
            <w:noProof/>
          </w:rPr>
          <w:t>7.2.</w:t>
        </w:r>
        <w:r w:rsidR="005F25BC">
          <w:rPr>
            <w:rFonts w:asciiTheme="minorHAnsi" w:eastAsiaTheme="minorEastAsia" w:hAnsiTheme="minorHAnsi" w:cstheme="minorBidi"/>
            <w:noProof/>
            <w:sz w:val="22"/>
            <w:szCs w:val="22"/>
            <w:lang w:val="en-GB" w:eastAsia="en-GB" w:bidi="ar-SA"/>
          </w:rPr>
          <w:tab/>
        </w:r>
        <w:r w:rsidR="005F25BC" w:rsidRPr="000D33D7">
          <w:rPr>
            <w:rStyle w:val="Hyperlink"/>
            <w:noProof/>
          </w:rPr>
          <w:t>Il-Parlament Ewropew u l-Kunsill</w:t>
        </w:r>
        <w:r w:rsidR="005F25BC">
          <w:rPr>
            <w:noProof/>
            <w:webHidden/>
          </w:rPr>
          <w:tab/>
        </w:r>
        <w:r w:rsidR="005F25BC">
          <w:rPr>
            <w:noProof/>
            <w:webHidden/>
          </w:rPr>
          <w:fldChar w:fldCharType="begin"/>
        </w:r>
        <w:r w:rsidR="005F25BC">
          <w:rPr>
            <w:noProof/>
            <w:webHidden/>
          </w:rPr>
          <w:instrText xml:space="preserve"> PAGEREF _Toc476231393 \h </w:instrText>
        </w:r>
        <w:r w:rsidR="005F25BC">
          <w:rPr>
            <w:noProof/>
            <w:webHidden/>
          </w:rPr>
        </w:r>
        <w:r w:rsidR="005F25BC">
          <w:rPr>
            <w:noProof/>
            <w:webHidden/>
          </w:rPr>
          <w:fldChar w:fldCharType="separate"/>
        </w:r>
        <w:r w:rsidR="005F25BC">
          <w:rPr>
            <w:noProof/>
            <w:webHidden/>
          </w:rPr>
          <w:t>12</w:t>
        </w:r>
        <w:r w:rsidR="005F25BC">
          <w:rPr>
            <w:noProof/>
            <w:webHidden/>
          </w:rPr>
          <w:fldChar w:fldCharType="end"/>
        </w:r>
      </w:hyperlink>
    </w:p>
    <w:p w:rsidR="005F25BC" w:rsidRDefault="00CD409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 w:bidi="ar-SA"/>
        </w:rPr>
      </w:pPr>
      <w:hyperlink w:anchor="_Toc476231394" w:history="1">
        <w:r w:rsidR="005F25BC" w:rsidRPr="000D33D7">
          <w:rPr>
            <w:rStyle w:val="Hyperlink"/>
            <w:rFonts w:eastAsia="Calibri"/>
            <w:noProof/>
          </w:rPr>
          <w:t>7.3.</w:t>
        </w:r>
        <w:r w:rsidR="005F25BC">
          <w:rPr>
            <w:rFonts w:asciiTheme="minorHAnsi" w:eastAsiaTheme="minorEastAsia" w:hAnsiTheme="minorHAnsi" w:cstheme="minorBidi"/>
            <w:noProof/>
            <w:sz w:val="22"/>
            <w:szCs w:val="22"/>
            <w:lang w:val="en-GB" w:eastAsia="en-GB" w:bidi="ar-SA"/>
          </w:rPr>
          <w:tab/>
        </w:r>
        <w:r w:rsidR="005F25BC" w:rsidRPr="000D33D7">
          <w:rPr>
            <w:rStyle w:val="Hyperlink"/>
            <w:noProof/>
          </w:rPr>
          <w:t>Il-konsultazzjoni tal-Kummissjoni mal-esperti tal-Istati Membri</w:t>
        </w:r>
        <w:r w:rsidR="005F25BC">
          <w:rPr>
            <w:noProof/>
            <w:webHidden/>
          </w:rPr>
          <w:tab/>
        </w:r>
        <w:r w:rsidR="005F25BC">
          <w:rPr>
            <w:noProof/>
            <w:webHidden/>
          </w:rPr>
          <w:fldChar w:fldCharType="begin"/>
        </w:r>
        <w:r w:rsidR="005F25BC">
          <w:rPr>
            <w:noProof/>
            <w:webHidden/>
          </w:rPr>
          <w:instrText xml:space="preserve"> PAGEREF _Toc476231394 \h </w:instrText>
        </w:r>
        <w:r w:rsidR="005F25BC">
          <w:rPr>
            <w:noProof/>
            <w:webHidden/>
          </w:rPr>
        </w:r>
        <w:r w:rsidR="005F25BC">
          <w:rPr>
            <w:noProof/>
            <w:webHidden/>
          </w:rPr>
          <w:fldChar w:fldCharType="separate"/>
        </w:r>
        <w:r w:rsidR="005F25BC">
          <w:rPr>
            <w:noProof/>
            <w:webHidden/>
          </w:rPr>
          <w:t>12</w:t>
        </w:r>
        <w:r w:rsidR="005F25BC">
          <w:rPr>
            <w:noProof/>
            <w:webHidden/>
          </w:rPr>
          <w:fldChar w:fldCharType="end"/>
        </w:r>
      </w:hyperlink>
    </w:p>
    <w:p w:rsidR="005F25BC" w:rsidRDefault="00CD409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 w:bidi="ar-SA"/>
        </w:rPr>
      </w:pPr>
      <w:hyperlink w:anchor="_Toc476231395" w:history="1">
        <w:r w:rsidR="005F25BC" w:rsidRPr="000D33D7">
          <w:rPr>
            <w:rStyle w:val="Hyperlink"/>
            <w:rFonts w:eastAsia="Calibri"/>
            <w:noProof/>
          </w:rPr>
          <w:t>8.</w:t>
        </w:r>
        <w:r w:rsidR="005F25BC">
          <w:rPr>
            <w:rFonts w:asciiTheme="minorHAnsi" w:eastAsiaTheme="minorEastAsia" w:hAnsiTheme="minorHAnsi" w:cstheme="minorBidi"/>
            <w:noProof/>
            <w:sz w:val="22"/>
            <w:szCs w:val="22"/>
            <w:lang w:val="en-GB" w:eastAsia="en-GB" w:bidi="ar-SA"/>
          </w:rPr>
          <w:tab/>
        </w:r>
        <w:r w:rsidR="005F25BC" w:rsidRPr="000D33D7">
          <w:rPr>
            <w:rStyle w:val="Hyperlink"/>
            <w:noProof/>
          </w:rPr>
          <w:t>Konklużjonijiet</w:t>
        </w:r>
        <w:r w:rsidR="005F25BC">
          <w:rPr>
            <w:noProof/>
            <w:webHidden/>
          </w:rPr>
          <w:tab/>
        </w:r>
        <w:r w:rsidR="005F25BC">
          <w:rPr>
            <w:noProof/>
            <w:webHidden/>
          </w:rPr>
          <w:fldChar w:fldCharType="begin"/>
        </w:r>
        <w:r w:rsidR="005F25BC">
          <w:rPr>
            <w:noProof/>
            <w:webHidden/>
          </w:rPr>
          <w:instrText xml:space="preserve"> PAGEREF _Toc476231395 \h </w:instrText>
        </w:r>
        <w:r w:rsidR="005F25BC">
          <w:rPr>
            <w:noProof/>
            <w:webHidden/>
          </w:rPr>
        </w:r>
        <w:r w:rsidR="005F25BC">
          <w:rPr>
            <w:noProof/>
            <w:webHidden/>
          </w:rPr>
          <w:fldChar w:fldCharType="separate"/>
        </w:r>
        <w:r w:rsidR="005F25BC">
          <w:rPr>
            <w:noProof/>
            <w:webHidden/>
          </w:rPr>
          <w:t>13</w:t>
        </w:r>
        <w:r w:rsidR="005F25BC">
          <w:rPr>
            <w:noProof/>
            <w:webHidden/>
          </w:rPr>
          <w:fldChar w:fldCharType="end"/>
        </w:r>
      </w:hyperlink>
    </w:p>
    <w:p w:rsidR="00C71A89" w:rsidRDefault="00C71A89" w:rsidP="00C71A89">
      <w:pPr>
        <w:pStyle w:val="Heading1"/>
        <w:pageBreakBefore/>
        <w:numPr>
          <w:ilvl w:val="0"/>
          <w:numId w:val="0"/>
        </w:numPr>
        <w:spacing w:before="0"/>
        <w:ind w:left="851"/>
        <w:rPr>
          <w:b w:val="0"/>
          <w:bCs w:val="0"/>
          <w:noProof/>
        </w:rPr>
      </w:pPr>
      <w:r w:rsidRPr="005D5DFD">
        <w:rPr>
          <w:smallCaps w:val="0"/>
          <w:noProof/>
        </w:rPr>
        <w:lastRenderedPageBreak/>
        <w:fldChar w:fldCharType="end"/>
      </w:r>
    </w:p>
    <w:p w:rsidR="00677D2A" w:rsidRDefault="005F25BC">
      <w:pPr>
        <w:pStyle w:val="Heading1"/>
        <w:numPr>
          <w:ilvl w:val="0"/>
          <w:numId w:val="29"/>
        </w:numPr>
        <w:spacing w:before="0"/>
        <w:rPr>
          <w:szCs w:val="24"/>
        </w:rPr>
      </w:pPr>
      <w:bookmarkStart w:id="4" w:name="_Toc476231381"/>
      <w:r>
        <w:t>Introduzzjoni</w:t>
      </w:r>
      <w:bookmarkEnd w:id="2"/>
      <w:bookmarkEnd w:id="4"/>
    </w:p>
    <w:p w:rsidR="00677D2A" w:rsidRDefault="005F25BC">
      <w:pPr>
        <w:spacing w:before="0"/>
      </w:pPr>
      <w:r>
        <w:t>Dan ir-rapport iwieġeb għall-obbligu tal-Kummissjoni stabbilit bl-Artikolu 16(4) tar-Regolament (UE) Nru 1169/2011</w:t>
      </w:r>
      <w:r>
        <w:rPr>
          <w:vertAlign w:val="superscript"/>
        </w:rPr>
        <w:footnoteReference w:id="1"/>
      </w:r>
      <w:r>
        <w:t xml:space="preserve"> dwar l-għoti tal-informazzjoni dwar l-ikel lill-konsumaturi (ir-Regolament). Din id-dispożizzjoni teżenta x-xorb alkoħoliku b’aktar minn 1,2% bħala volum ta’ alkoħol mil-lista obbligatorja tal-ingredjenti u mid-dikjarazzjoni dwar in-nutrizzjoni, u tiddikjara li l-Kummissjoni għandha tipproduċi rapport li jindirizza jekk ix-xorb alkoħoliku jenħtieġx li jiġi kopert fil-futur, b’mod partikolari, bir-rekwiżit li tingħata informazzjoni dwar il-valur enerġetiku, u r-raġunijiet li jiġġustifikaw l-eżenzjonijiet eventwali, filwaqt li jitqies il-bżonn li tkun żgurata l-koerenza ma’ prattiki rilevanti oħra tal-Unjoni u li f’dan il-kuntest jitqies il-bżonn li tiġi proposta definizzjoni ta’ “alcopops”.</w:t>
      </w:r>
    </w:p>
    <w:p w:rsidR="00677D2A" w:rsidRDefault="005F25BC">
      <w:pPr>
        <w:spacing w:before="0"/>
      </w:pPr>
      <w:r>
        <w:t xml:space="preserve">Ir-Regolament jistabbilixxi l-bażi għal livell għoli ta’ protezzjoni tal-konsumaturi b’rabta mal-informazzjoni dwar l-ikel, filwaqt li jiżgura li l-konsumaturi ma jiġux żgwidati mit-tikketti tal-ikel u jkunu jistgħu jagħmlu għażliet infurmati. Il-lista tal-ingredjenti u d-dikjarazzjoni dwar in-nutrizzjoni huma fost l-aktar dettalji importanti biex ikunu jistgħu jsiru dawn l-għażliet infurmati. </w:t>
      </w:r>
    </w:p>
    <w:p w:rsidR="00677D2A" w:rsidRDefault="005F25BC">
      <w:pPr>
        <w:spacing w:before="0"/>
      </w:pPr>
      <w:r>
        <w:t>Filwaqt li t-tikkettar dwar in-nutrizzjoni jista’ jkollu ċertu rwol fil-promozzjoni ta’ konsum tal-alkoħol aktar moderat, il-kwistjoni tat-tikkettar tal-lista tal-ingredjenti u d-dikjarazzjoni dwar in-nutrizzjoni għax-xorb alkoħoliku hija eżaminata f’dan ir-rapport skont il-perspettiva tal-informazzjoni tal-konsumaturi dwar l-identità u l-proprjetajiet tal-ikel.</w:t>
      </w:r>
    </w:p>
    <w:p w:rsidR="00677D2A" w:rsidRDefault="005F25BC">
      <w:pPr>
        <w:spacing w:before="0" w:after="240"/>
        <w:rPr>
          <w:rFonts w:eastAsia="Calibri"/>
        </w:rPr>
      </w:pPr>
      <w:bookmarkStart w:id="5" w:name="_Toc442812860"/>
      <w:bookmarkEnd w:id="3"/>
      <w:r>
        <w:t>Dan ir-rapport jibni fuq il-fehmiet ta’ partijiet interessati differenti b’rabta mat-tikkettar tax-xorb alkoħoliku, li esprimew qabel u wara l-adozzjoni tar-Regolament.</w:t>
      </w:r>
    </w:p>
    <w:p w:rsidR="00677D2A" w:rsidRDefault="005F25BC">
      <w:pPr>
        <w:rPr>
          <w:rFonts w:eastAsia="Calibri"/>
        </w:rPr>
      </w:pPr>
      <w:r>
        <w:br w:type="page"/>
      </w:r>
    </w:p>
    <w:p w:rsidR="00677D2A" w:rsidRDefault="005F25BC">
      <w:pPr>
        <w:pStyle w:val="Heading1"/>
        <w:spacing w:before="0"/>
        <w:rPr>
          <w:rFonts w:eastAsia="Calibri"/>
          <w:szCs w:val="24"/>
        </w:rPr>
      </w:pPr>
      <w:bookmarkStart w:id="6" w:name="_Toc476056859"/>
      <w:bookmarkStart w:id="7" w:name="_Toc476231382"/>
      <w:bookmarkEnd w:id="5"/>
      <w:r>
        <w:t>Il-kuntest storiku</w:t>
      </w:r>
      <w:bookmarkEnd w:id="6"/>
      <w:bookmarkEnd w:id="7"/>
    </w:p>
    <w:p w:rsidR="00677D2A" w:rsidRDefault="005F25BC">
      <w:pPr>
        <w:spacing w:before="0"/>
        <w:rPr>
          <w:rFonts w:eastAsia="Calibri"/>
        </w:rPr>
      </w:pPr>
      <w:r>
        <w:t>Ir-reġim speċifiku għax-xorb alkoħoliku ma joriġinax mir-Regolament.</w:t>
      </w:r>
    </w:p>
    <w:p w:rsidR="00677D2A" w:rsidRDefault="005F25BC">
      <w:pPr>
        <w:spacing w:before="0"/>
        <w:rPr>
          <w:rFonts w:eastAsia="Calibri"/>
        </w:rPr>
      </w:pPr>
      <w:r>
        <w:t>Fir-rigward tal-lista tal-ingredjenti, il-kwistjoni tmur lura għall-ewwel leġiżlazzjoni</w:t>
      </w:r>
      <w:r>
        <w:rPr>
          <w:rStyle w:val="FootnoteReference"/>
        </w:rPr>
        <w:footnoteReference w:id="2"/>
      </w:r>
      <w:r>
        <w:t xml:space="preserve"> dwar it-tikkettar ġenerali adottata fil-livell tal-UE, li tistipula li “f’każ ta’ xarbiet b’aktar minn 1,2% b’volum ta’ alkoħol, il-kunsill, li jaġixxi fuq proposta tal-Kummissjoni, qabel it-22 ta’ Diċembru 1982 għandu jiddetermina r-regoli għat-tikkettar tal-ingredjenti”.</w:t>
      </w:r>
    </w:p>
    <w:p w:rsidR="00677D2A" w:rsidRDefault="005F25BC">
      <w:pPr>
        <w:spacing w:before="0"/>
        <w:rPr>
          <w:rFonts w:eastAsia="Calibri"/>
        </w:rPr>
      </w:pPr>
      <w:r>
        <w:t>Fl-1982</w:t>
      </w:r>
      <w:r>
        <w:rPr>
          <w:rStyle w:val="FootnoteReference"/>
        </w:rPr>
        <w:footnoteReference w:id="3"/>
      </w:r>
      <w:r>
        <w:t xml:space="preserve"> u fl-1992</w:t>
      </w:r>
      <w:r>
        <w:rPr>
          <w:rStyle w:val="FootnoteReference"/>
        </w:rPr>
        <w:footnoteReference w:id="4"/>
      </w:r>
      <w:r>
        <w:t>, il-Kummissjoni ppreżentat proposti biex tindirizza din it-talba iżda l-Kunsill ma seta’ jiftiehem fuq l-ebda waħda minn dawn il-proposti. Imbagħad il-Kummissjoni ppreżentat proposta ġdida fi Frar 1997</w:t>
      </w:r>
      <w:r>
        <w:rPr>
          <w:rStyle w:val="FootnoteReference"/>
        </w:rPr>
        <w:footnoteReference w:id="5"/>
      </w:r>
      <w:r>
        <w:t>, li finalment tqiegħdet fuq l-aġenda ta’ Grupp ta’ Ħidma tal-Kunsill f’Diċembru 2002. F’din il-laqgħa, il-maġġoranza tal-Istati Membri qablu li t-tikkettar tal-ingredjenti tax-xorb alkoħoliku jenħtieġ li jkun aktar konformi mar-regoli dwar it-tikkettar ġenerali riveduti.</w:t>
      </w:r>
    </w:p>
    <w:p w:rsidR="00677D2A" w:rsidRDefault="005F25BC">
      <w:pPr>
        <w:spacing w:before="0"/>
        <w:rPr>
          <w:rFonts w:eastAsia="Calibri"/>
        </w:rPr>
      </w:pPr>
      <w:r>
        <w:t>Wara dawn id-diskussjonijiet, għalkemm ir-rekwiżiti speċifiċi tal-UE</w:t>
      </w:r>
      <w:r>
        <w:rPr>
          <w:rStyle w:val="FootnoteReference"/>
        </w:rPr>
        <w:footnoteReference w:id="6"/>
      </w:r>
      <w:r>
        <w:t xml:space="preserve"> għat-tikkettar tal-ingredjenti, li jistgħu jikkawżaw allerġiji jew intolleranzi, kienu jkopru wkoll ix-xorb alkoħoliku, ma ddaħħlet l-ebda regola għat-tikkettar tal-ingredjenti ġenerali tax-xorb alkoħoliku.</w:t>
      </w:r>
    </w:p>
    <w:p w:rsidR="00677D2A" w:rsidRDefault="005F25BC">
      <w:pPr>
        <w:spacing w:before="0" w:after="240"/>
        <w:rPr>
          <w:rFonts w:eastAsia="Calibri"/>
        </w:rPr>
      </w:pPr>
      <w:r>
        <w:t>Skont il-proposta tal-Kummissjoni għar-Regolament dwar l-informazzjoni dwar l-ikel lill-konsumaturi, ix-xorb alkoħoliku, inkluż l-“alcopops” (ix-xarbiet alkoħoliċi mħallta, bħat-taħlita tax-xarbiet bil-gass mal-ispirti), kienu koperti bir-rekwiżit obbligatorju li jagħmlu tikketta b’lista tal-ingredjenti u dikjarazzjoni dwar in-nutrizzjoni, minbarra l-birra, l-inbid u l-ispirti</w:t>
      </w:r>
      <w:r>
        <w:rPr>
          <w:rStyle w:val="FootnoteReference"/>
        </w:rPr>
        <w:footnoteReference w:id="7"/>
      </w:r>
      <w:r>
        <w:t>. Bl-inizjattiva tal-Parlament Ewropew, din l-eżenzjoni ġiet estiża għax-xorb alkoħoliku kollu, u r-Regolament adottat eżiġa li l-Kummissjoni tipprovdi dan ir-rapport.</w:t>
      </w:r>
    </w:p>
    <w:p w:rsidR="00677D2A" w:rsidRDefault="005F25BC">
      <w:pPr>
        <w:pStyle w:val="Heading1"/>
        <w:spacing w:before="0" w:after="240"/>
        <w:rPr>
          <w:szCs w:val="24"/>
        </w:rPr>
      </w:pPr>
      <w:bookmarkStart w:id="8" w:name="_Toc361922079"/>
      <w:bookmarkStart w:id="9" w:name="_Toc442812862"/>
      <w:bookmarkStart w:id="10" w:name="_Toc476056860"/>
      <w:bookmarkStart w:id="11" w:name="_Toc476231383"/>
      <w:r>
        <w:t xml:space="preserve">Il-qafas ġuridiku tal-UE </w:t>
      </w:r>
      <w:bookmarkEnd w:id="8"/>
      <w:bookmarkEnd w:id="9"/>
      <w:r>
        <w:t>dwar it-tikkettar tax-xorb alkoħoliku</w:t>
      </w:r>
      <w:bookmarkEnd w:id="10"/>
      <w:bookmarkEnd w:id="11"/>
    </w:p>
    <w:p w:rsidR="00677D2A" w:rsidRDefault="005F25BC">
      <w:pPr>
        <w:pStyle w:val="Heading2"/>
        <w:spacing w:before="0"/>
        <w:rPr>
          <w:rFonts w:eastAsia="Calibri"/>
          <w:szCs w:val="24"/>
        </w:rPr>
      </w:pPr>
      <w:bookmarkStart w:id="12" w:name="_Toc476056861"/>
      <w:bookmarkStart w:id="13" w:name="_Toc476231384"/>
      <w:r>
        <w:t>Ir-Regolament (UE) Nru 1169/2011</w:t>
      </w:r>
      <w:bookmarkEnd w:id="12"/>
      <w:bookmarkEnd w:id="13"/>
    </w:p>
    <w:p w:rsidR="00677D2A" w:rsidRDefault="005F25BC">
      <w:pPr>
        <w:spacing w:before="0"/>
      </w:pPr>
      <w:r>
        <w:t>Ir-Regolament iżomm il-lista obbligatorja tal-ingredjenti</w:t>
      </w:r>
      <w:r>
        <w:rPr>
          <w:rStyle w:val="FootnoteReference"/>
          <w:color w:val="000000"/>
        </w:rPr>
        <w:footnoteReference w:id="8"/>
      </w:r>
      <w:r>
        <w:t xml:space="preserve"> u jdaħħal dikjarazzjoni obbligatorja dwar in-nutrizzjoni (il-valur enerġetiku u l-ammonti tax-xaħam, is-saturati, il-karboidrati, iz-zokkrijiet, il-proteini u l-melħ) mis-16 ta’ Diċembru 2016</w:t>
      </w:r>
      <w:r>
        <w:rPr>
          <w:rStyle w:val="FootnoteReference"/>
        </w:rPr>
        <w:footnoteReference w:id="9"/>
      </w:r>
      <w:r>
        <w:t>. Ix-xorb alkoħoliku mhux kopert minn dawn id-dispożizzjonijiet.</w:t>
      </w:r>
    </w:p>
    <w:p w:rsidR="00677D2A" w:rsidRDefault="005F25BC">
      <w:pPr>
        <w:spacing w:before="0"/>
      </w:pPr>
      <w:r>
        <w:t>Rigward il-lista tal-ingredjenti, b’mod simili għal-leġiżlazzjoni preċedenti, l-Artikolu 21 dwar it-tikkettar ta’ ċerti sustanzi jew prodotti li jikkawżaw allerġiji jew intolleranzi japplika għax-xorb alkoħoliku. Għaldaqstant il-konsumaturi huma infurmati meta sustanza jew prodott, fost dawk imniżżla fl-Anness II tar-Regolament bħala l-aktar allerġeni komuni, ikun preżenti fix-xorb alkoħoliku, bħas-sulfiti miżjuda mal-inbid. Iżda l-ingredjenti l-oħra tal-ikel li ma qisux il-koleġiżlaturi biex jitniżżlu fil-lista tas-sustanzi u li jistgħu joħolqu reazzjonijiet allerġiċi f’ċerti gruppi ta’ konsumaturi, mhumiex inklużi fl-Anness II tar-Regolament u għalhekk ma jkunux preżenti fuq it-tikketti tax-xorb alkoħoliku minħabba n-nuqqas ta’ lista tal-ingredjenti. Għalkemm m’hemm l-ebda rekwiżit biex ix-xorb alkoħoliku jkollu l-ingredjenti tiegħu elenkati, l-operaturi tan-negozji tal-ikel jistgħu jipprovdu din l-informazzjoni lill-konsumaturi b’mod volontarju. Skont l-Artikolu 36 tar-Regolament, l-informazzjoni ta’ dan it-tip għandha tkun konformi mad-dispożizzjonijiet li jirregolaw l-elenkar obbligatorju tal-ingredjenti.</w:t>
      </w:r>
    </w:p>
    <w:p w:rsidR="00677D2A" w:rsidRDefault="005F25BC">
      <w:pPr>
        <w:spacing w:before="0"/>
      </w:pPr>
      <w:r>
        <w:t>L-Artikolu 41 tar-Regolament jippermetti lill-Istati Membri jżommu l-miżuri nazzjonali dwar l-elenkar tal-ingredjenti tax-xorb alkoħoliku sakemm issir l-adozzjoni tar-regoli armonizzati tal-UE.</w:t>
      </w:r>
    </w:p>
    <w:p w:rsidR="00677D2A" w:rsidRDefault="005F25BC">
      <w:pPr>
        <w:spacing w:before="0"/>
      </w:pPr>
      <w:r>
        <w:t>Rigward it-tikkettar dwar in-nutrizzjoni, il-premessa 42 tar-Regolament tinkoraġġixxi lill-operaturi tan-negozju tal-ikel biex b’mod volontarju jipprovdu l-informazzjoni inkluża fid-dikjarazzjoni dwar in-nutrizzjoni għal ikel bħax-xorb alkoħoliku li għalih jenħtieġ tingħata l-possibbiltà li jiġu ddikjarati biss elementi limitati tad-dikjarazzjoni dwar in-nutrizzjoni. Għal dan il-għan, ir-Regolament jippermetti li d-dikjarazzjoni volontarja dwar in-nutrizzjoni fuq ix-xorb alkoħoliku tiġi limitata għall-valur enerġetiku.</w:t>
      </w:r>
    </w:p>
    <w:p w:rsidR="00677D2A" w:rsidRDefault="005F25BC">
      <w:pPr>
        <w:spacing w:before="0"/>
      </w:pPr>
      <w:r>
        <w:t>L-Anness XIV tar-Regolament jipprovdi fatturi ta’ konverżjoni għall-kalkolu tal-enerġija. Il-valur enerġetiku tal-alkoħol għandu jiġi kkalkulat bl-użu tal-fattur ta’ konverżjoni ta’ 29 kJ/g, li jikkorrispondi għal 7 kcal/g.</w:t>
      </w:r>
    </w:p>
    <w:p w:rsidR="00677D2A" w:rsidRDefault="005F25BC">
      <w:pPr>
        <w:spacing w:before="0"/>
      </w:pPr>
      <w:r>
        <w:t>Il-punt (k) tal-Artikolu 9</w:t>
      </w:r>
      <w:r w:rsidR="00C71A89">
        <w:t xml:space="preserve"> tar-Regolament jeżiġi li tiġi </w:t>
      </w:r>
      <w:r>
        <w:t>t</w:t>
      </w:r>
      <w:r w:rsidR="00C71A89">
        <w:t>t</w:t>
      </w:r>
      <w:r>
        <w:t>ikkettata l-qawwa alkoħolika proprja skont il-volum, għax-xorb b’aktar minn 1,2% skont il-volum tal-alkoħol, dettall obbligatorju li anki l-leġiżlazzjoni preċedenti kienet teżiġi</w:t>
      </w:r>
      <w:r>
        <w:rPr>
          <w:vertAlign w:val="superscript"/>
        </w:rPr>
        <w:footnoteReference w:id="10"/>
      </w:r>
      <w:r>
        <w:t>.</w:t>
      </w:r>
    </w:p>
    <w:p w:rsidR="00677D2A" w:rsidRDefault="005F25BC">
      <w:pPr>
        <w:pStyle w:val="Heading2"/>
        <w:spacing w:before="0"/>
        <w:rPr>
          <w:szCs w:val="24"/>
        </w:rPr>
      </w:pPr>
      <w:bookmarkStart w:id="14" w:name="_Toc447032989"/>
      <w:bookmarkStart w:id="15" w:name="_Toc361922080"/>
      <w:bookmarkStart w:id="16" w:name="_Toc442812863"/>
      <w:bookmarkStart w:id="17" w:name="_Toc476056862"/>
      <w:bookmarkStart w:id="18" w:name="_Toc476231385"/>
      <w:bookmarkEnd w:id="14"/>
      <w:r>
        <w:t>Dispożizzjonijiet oħra tal-UE</w:t>
      </w:r>
      <w:bookmarkEnd w:id="15"/>
      <w:bookmarkEnd w:id="16"/>
      <w:r>
        <w:t xml:space="preserve"> dwar it-tikkettar tax-xorb alkoħoliku</w:t>
      </w:r>
      <w:bookmarkEnd w:id="17"/>
      <w:bookmarkEnd w:id="18"/>
    </w:p>
    <w:p w:rsidR="00677D2A" w:rsidRDefault="005F25BC">
      <w:pPr>
        <w:spacing w:before="0"/>
      </w:pPr>
      <w:r>
        <w:t>Ir-Regolament tal-Kunsill (UE) Nru 1308/2013</w:t>
      </w:r>
      <w:r>
        <w:rPr>
          <w:vertAlign w:val="superscript"/>
        </w:rPr>
        <w:footnoteReference w:id="11"/>
      </w:r>
      <w:r>
        <w:t xml:space="preserve"> jipprovdi sett eżawrjenti ta’ standards tekniċi li jkopru għalkollox il-prattiki enoloġiċi kollha, il-metodi tal-manifattura u l-mod tal-preżentazzjoni u t-tikkettar tal-inbejjed. Dan ir-Regolament jiddeskrivi s-sustanzi li aktarx jintużaw fil-proċess tal-produzzjoni, flimkien mal-kundizzjonijiet għall-użu tagħhom permezz ta’ lista pożittiva ta’ prattiki u trattamenti enoloġiċi.</w:t>
      </w:r>
    </w:p>
    <w:p w:rsidR="00677D2A" w:rsidRDefault="005F25BC">
      <w:pPr>
        <w:spacing w:before="0"/>
      </w:pPr>
      <w:r>
        <w:t>Skont il-leġiżlazzjoni tal-UE dwar l-ispirti</w:t>
      </w:r>
      <w:r>
        <w:rPr>
          <w:vertAlign w:val="superscript"/>
        </w:rPr>
        <w:footnoteReference w:id="12"/>
      </w:r>
      <w:r>
        <w:t>, meta t-tikkettar tax-xorb spirituż isemmi l-materja prima li ntużat fil-produzzjoni tal-alkoħol etiliku ta’ oriġini agrikola, kull alkoħol agrikolu użat għandu jissemma f’ordni dekrexxenti skont il-kwantitajiet użati. Din il-leġiżlazzjoni tirregola wkoll it-tikkettar tal-perjodu tal-maturazzjoni, it-terminu “taħlita”, u l-indikazzjonijiet ġeografiċi.</w:t>
      </w:r>
    </w:p>
    <w:p w:rsidR="00677D2A" w:rsidRDefault="005F25BC">
      <w:r>
        <w:t>L-inbid aromatizzat, ix-xorb ibbażat fuq l-inbid aromatizzat u l-cocktails bi prodotti tal-inbid aromatizzat</w:t>
      </w:r>
      <w:r>
        <w:rPr>
          <w:rStyle w:val="FootnoteReference"/>
        </w:rPr>
        <w:footnoteReference w:id="13"/>
      </w:r>
      <w:r>
        <w:t xml:space="preserve"> għandhom jikkonformaw mal-istandards tal-ipproċessar u tal-kompożizzjoni, kif ukoll ma’ rekwiżiti speċifiċi tat-tikkettar fuq id-denominazzjoni għall-bejgħ u fuq in-natura tal-alkoħol, jiġifieri l-materja prima użata għall-produzzjoni tal-alkoħol.</w:t>
      </w:r>
      <w:bookmarkStart w:id="19" w:name="_Toc361922081"/>
    </w:p>
    <w:p w:rsidR="00677D2A" w:rsidRDefault="005F25BC">
      <w:pPr>
        <w:spacing w:before="0" w:after="240"/>
      </w:pPr>
      <w:r>
        <w:t>Ix-xorb alkoħoliku hu pprojbit milli juri l-indikazzjonijiet dwar is-saħħa u l-uniċi indikazzjonijiet dwar in-nutrizzjoni permessi huma dawk li jirreferu għal livelli baxxi ta’ alkoħol u għat-tnaqqis tal-alkoħol jew il-kontenut enerġetiku</w:t>
      </w:r>
      <w:r>
        <w:rPr>
          <w:rStyle w:val="FootnoteReference"/>
        </w:rPr>
        <w:footnoteReference w:id="14"/>
      </w:r>
      <w:r>
        <w:t>. Meta jsiru indikazzjonijiet dwar in-nutrizzjoni ta’ dan it-tip, ikun hemm bżonn li ssir id-dikjarazzjoni dwar in-nutrizzjoni.</w:t>
      </w:r>
    </w:p>
    <w:p w:rsidR="00677D2A" w:rsidRDefault="005F25BC">
      <w:pPr>
        <w:pStyle w:val="Heading1"/>
        <w:spacing w:before="0" w:after="240"/>
        <w:rPr>
          <w:szCs w:val="24"/>
        </w:rPr>
      </w:pPr>
      <w:bookmarkStart w:id="20" w:name="_Toc476056863"/>
      <w:bookmarkStart w:id="21" w:name="_Toc476231386"/>
      <w:r>
        <w:t>Il-leġiżlazzjoni tal-Istati Membri, is-sitwazzjoni fil-livell internazzjonali u fil-pajjiżi terzi</w:t>
      </w:r>
      <w:bookmarkEnd w:id="20"/>
      <w:bookmarkEnd w:id="21"/>
    </w:p>
    <w:p w:rsidR="00677D2A" w:rsidRDefault="005F25BC">
      <w:pPr>
        <w:pStyle w:val="Heading2"/>
        <w:spacing w:before="0"/>
        <w:rPr>
          <w:szCs w:val="24"/>
        </w:rPr>
      </w:pPr>
      <w:bookmarkStart w:id="22" w:name="_Toc476056864"/>
      <w:bookmarkStart w:id="23" w:name="_Toc476231387"/>
      <w:r>
        <w:t>L-Istati Membri</w:t>
      </w:r>
      <w:bookmarkEnd w:id="22"/>
      <w:bookmarkEnd w:id="23"/>
    </w:p>
    <w:p w:rsidR="00677D2A" w:rsidRDefault="005F25BC">
      <w:pPr>
        <w:spacing w:before="0"/>
      </w:pPr>
      <w:r>
        <w:t>Hawnhekk qed jiġu rrappurtati biss l-inizjattivi leġiżlattivi tal-Istati Membri dwar il-lista tal-ingredjenti u d-dikjarazzjoni dwar in-nutrizzjoni.</w:t>
      </w:r>
    </w:p>
    <w:p w:rsidR="00677D2A" w:rsidRDefault="005F25BC">
      <w:pPr>
        <w:spacing w:before="0"/>
      </w:pPr>
      <w:r>
        <w:t>Xi Stati Membri (l-Awstrija, il-Kroazja, ir-Repubblika Ċeka, il-Finlandja, il-Ġermanja, il-Greċja, l-Ungerija, l-Irlanda, il-Lussemburgu, il-Portugall, il-Litwanja u r-Rumanija) żammew jew adottaw miżuri nazzjonali li jimponu rekwiżiti tat-tikkettar addizzjonali fuq l-ingredjenti jew ċerti ingredjenti tax-xorb alkoħoliku jew ta’ ċertu xorb alkoħoliku.</w:t>
      </w:r>
    </w:p>
    <w:p w:rsidR="00677D2A" w:rsidRDefault="005F25BC">
      <w:pPr>
        <w:spacing w:before="0"/>
      </w:pPr>
      <w:r>
        <w:t>Fir-rigward tad-dikjarazzjoni dwar in-nutrizzjoni, l-Awstrija teżiġi t-tikkettar tal-ammont taz-zokkor għal ċerti prodotti tal-inbid. Għalkemm għad-dikjarazzjoni dwar in-nutrizzjoni, ir-Regolament (UE) Nru 1169/2011 ma jipprovdix l-istess flessibbiltà b’rabta mal-miżuri nazzjonali meta mqabbel mal-lista tal-ingredjenti, ir-Rumanija</w:t>
      </w:r>
      <w:r>
        <w:rPr>
          <w:rStyle w:val="FootnoteReference"/>
        </w:rPr>
        <w:footnoteReference w:id="15"/>
      </w:r>
      <w:r>
        <w:t xml:space="preserve"> u l-Irlanda</w:t>
      </w:r>
      <w:r>
        <w:rPr>
          <w:rStyle w:val="FootnoteReference"/>
        </w:rPr>
        <w:footnoteReference w:id="16"/>
      </w:r>
      <w:r>
        <w:t xml:space="preserve"> nnotifikaw, fi ħdan il-qafas tal-proċedura ta’ notifika stabbilita bid-Direttiva (UE) Nru 2015/1535</w:t>
      </w:r>
      <w:r>
        <w:rPr>
          <w:rStyle w:val="FootnoteReference"/>
        </w:rPr>
        <w:footnoteReference w:id="17"/>
      </w:r>
      <w:r>
        <w:t>, abbozz ta’ leġiżlazzjoni li jeżiġi dettalji tat-tikkettar dwar in-nutrizzjoni għax-xorb alkoħoliku.</w:t>
      </w:r>
    </w:p>
    <w:p w:rsidR="00677D2A" w:rsidRDefault="005F25BC">
      <w:pPr>
        <w:pStyle w:val="Heading2"/>
        <w:spacing w:before="0"/>
        <w:rPr>
          <w:szCs w:val="24"/>
        </w:rPr>
      </w:pPr>
      <w:bookmarkStart w:id="24" w:name="_Toc476056865"/>
      <w:bookmarkStart w:id="25" w:name="_Toc476231388"/>
      <w:r>
        <w:t>L-organizzazzjonijiet internazzjonali u l-pajjiżi terzi</w:t>
      </w:r>
      <w:bookmarkEnd w:id="24"/>
      <w:bookmarkEnd w:id="25"/>
    </w:p>
    <w:p w:rsidR="00677D2A" w:rsidRDefault="005F25BC">
      <w:pPr>
        <w:spacing w:before="0"/>
      </w:pPr>
      <w:r>
        <w:t>Fuq livell internazzjonali, l-Istandard tal-Codex Alimentarius dwar it-tikkettar tal-ikel imballat minn qabel</w:t>
      </w:r>
      <w:r>
        <w:rPr>
          <w:vertAlign w:val="superscript"/>
        </w:rPr>
        <w:footnoteReference w:id="18"/>
      </w:r>
      <w:r>
        <w:t xml:space="preserve"> ma jeżentax ix-xorb alkoħoliku mid-dispożizzjoni tal-lista tal-ingredjenti obbligatorja.</w:t>
      </w:r>
    </w:p>
    <w:p w:rsidR="00677D2A" w:rsidRDefault="005F25BC">
      <w:pPr>
        <w:spacing w:before="0"/>
      </w:pPr>
      <w:r>
        <w:t>Wara l-Linji Gwida tal-Codex dwar it-tikkettar dwar in-nutrizzjoni</w:t>
      </w:r>
      <w:r>
        <w:rPr>
          <w:rStyle w:val="FootnoteReference"/>
        </w:rPr>
        <w:footnoteReference w:id="19"/>
      </w:r>
      <w:r>
        <w:t>, id-dikjarazzjoni dwar in-nutrizzjoni jenħtieġ tkun obbligatorja ħlief meta ċ-ċirkostanzi nazzjonali ma jappoġġawx din id-dikjarazzjoni. Ċertu ikel jista’ jiġi eżentat, pereżempju abbażi ta’ ftit importanza nutrizzjonali jew djetetika jew imballaġġ żgħir.</w:t>
      </w:r>
    </w:p>
    <w:p w:rsidR="00677D2A" w:rsidRDefault="005F25BC">
      <w:pPr>
        <w:spacing w:before="0"/>
      </w:pPr>
      <w:r>
        <w:t>F’għadd ta’ pajjiżi terzi bħal-Istati Uniti, il-Brażil, il-Kanada, iċ-Ċina, l-Indja, il-Messiku, in-New Zealand, ir-Russja, u l-Iżvizzera, hu obbligatorju li tingħata l-lista tal-ingredjenti għal ċertu xorb alkoħoliku.</w:t>
      </w:r>
    </w:p>
    <w:p w:rsidR="00677D2A" w:rsidRDefault="005F25BC">
      <w:pPr>
        <w:pStyle w:val="Heading1"/>
        <w:spacing w:before="0" w:after="240"/>
        <w:rPr>
          <w:szCs w:val="24"/>
        </w:rPr>
      </w:pPr>
      <w:bookmarkStart w:id="26" w:name="_Toc442812866"/>
      <w:bookmarkStart w:id="27" w:name="_Toc476056866"/>
      <w:bookmarkStart w:id="28" w:name="_Toc476231389"/>
      <w:bookmarkEnd w:id="19"/>
      <w:r>
        <w:t>L-għarfien u l-interess tal-konsumatur</w:t>
      </w:r>
      <w:bookmarkEnd w:id="26"/>
      <w:bookmarkEnd w:id="27"/>
      <w:bookmarkEnd w:id="28"/>
    </w:p>
    <w:p w:rsidR="00677D2A" w:rsidRDefault="005F25BC">
      <w:pPr>
        <w:autoSpaceDE w:val="0"/>
        <w:autoSpaceDN w:val="0"/>
        <w:adjustRightInd w:val="0"/>
        <w:spacing w:before="0" w:after="240"/>
        <w:rPr>
          <w:rFonts w:eastAsia="Calibri"/>
          <w:color w:val="000000"/>
        </w:rPr>
      </w:pPr>
      <w:r>
        <w:rPr>
          <w:color w:val="000000"/>
        </w:rPr>
        <w:t>Bħala parti mill-istudju awtorizzat mill-Kummissjoni dwar l-impatt tal-informazzjoni dwar l-ikel fuq id-deċiżjonijiet li jieħu l-konsumaturi</w:t>
      </w:r>
      <w:r>
        <w:rPr>
          <w:rStyle w:val="FootnoteReference"/>
          <w:color w:val="000000"/>
        </w:rPr>
        <w:footnoteReference w:id="20"/>
      </w:r>
      <w:r>
        <w:rPr>
          <w:color w:val="000000"/>
        </w:rPr>
        <w:t>, ġiet mistħarrġa l-imġiba tal-konsumaturi fil-konfront tal-informazzjoni dwar ix-xorb alkoħoliku. Wara li ġew infurmati dwar il-kontenut enerġetiku tax-xorb alkoħoliku bħall-birra, l-inbid u l-ispirti, 2031 parteċipant minn tmien (8) Stati Membri ġew mistoqsija dwar l-informazzjoni ideali li għandha tingħata ix-xorb alkoħoliku fil-futur; kważi nofs (49%) il-parteċipanti riedu informazzjoni dwar il-valur enerġetiku tax-xorb alkoħoliku, u 16% iddikjaraw l-intenzjoni tagħhom li jnaqqsu l-konsum tal-alkoħol tagħhom abbażi ta’ din l-informazzjoni.</w:t>
      </w:r>
    </w:p>
    <w:p w:rsidR="00677D2A" w:rsidRDefault="005F25BC">
      <w:pPr>
        <w:autoSpaceDE w:val="0"/>
        <w:autoSpaceDN w:val="0"/>
        <w:adjustRightInd w:val="0"/>
        <w:spacing w:before="0" w:after="240"/>
        <w:rPr>
          <w:rFonts w:eastAsia="Calibri"/>
          <w:bCs/>
          <w:i/>
          <w:color w:val="000000"/>
        </w:rPr>
      </w:pPr>
      <w:r>
        <w:rPr>
          <w:color w:val="000000"/>
        </w:rPr>
        <w:t>Skont studju</w:t>
      </w:r>
      <w:r>
        <w:rPr>
          <w:color w:val="000000"/>
          <w:vertAlign w:val="superscript"/>
        </w:rPr>
        <w:footnoteReference w:id="21"/>
      </w:r>
      <w:r>
        <w:rPr>
          <w:color w:val="000000"/>
        </w:rPr>
        <w:t xml:space="preserve"> li sar fl-2014 u li kkummissjonat assoċjazzjoni tal-birreriji, l-għarfien tal-konsumaturi dwar il-valur nutrizzjonali u l-informazzjoni dwar l-ingredjenti tax-xorb alkoħoliku huwa limitat.</w:t>
      </w:r>
      <w:r>
        <w:t xml:space="preserve"> </w:t>
      </w:r>
      <w:r>
        <w:rPr>
          <w:color w:val="000000"/>
        </w:rPr>
        <w:t>L-istudju kellu l-għan li jipprovdi ħarsa ġenerali rappreżentattiva bl-għajnuna ta’ 5400 parteċipant f’sitt Stati Membri. Ir-riżultati ta’ dan l-istudju juru li l-konsumaturi għandhom nuqqas ta’ għarfien dwar il-kontenut tal-karboidrati, il-kaloriji u ix-xaħam tat-tipi differenti ta’ xorb alkoħoliku studjati (il-birra, l-inbid u l-ispirti) u tal-ingredjenti differenti li jistgħu jintużaw fil-produzzjoni tagħhom. Kif turi l-Grafika 1, l-istudju juri wkoll li hemm interess kbir li wieħed jingħata l-istess informazzjoni dwar l-ingredjenti u l-valuri nutrizzjonali għax-xorb alkoħoliku kif bħalissa jingħata għal prodotti oħra tal-ikel u x-xorb.</w:t>
      </w:r>
    </w:p>
    <w:p w:rsidR="00677D2A" w:rsidRDefault="005F25BC">
      <w:pPr>
        <w:keepNext/>
        <w:keepLines/>
        <w:autoSpaceDE w:val="0"/>
        <w:autoSpaceDN w:val="0"/>
        <w:adjustRightInd w:val="0"/>
        <w:spacing w:after="240"/>
        <w:ind w:left="993" w:hanging="993"/>
        <w:jc w:val="left"/>
        <w:rPr>
          <w:rFonts w:eastAsia="Calibri"/>
          <w:bCs/>
          <w:color w:val="000000"/>
        </w:rPr>
      </w:pPr>
      <w:r>
        <w:rPr>
          <w:b/>
          <w:color w:val="000000"/>
        </w:rPr>
        <w:t>Il-Grafika 1</w:t>
      </w:r>
      <w:r>
        <w:rPr>
          <w:color w:val="000000"/>
        </w:rPr>
        <w:t>: l-interess fl-istess informazzjoni dwar in-nutrizzjoni u l-ingredjenti għall-prodotti kollha tal-ikel u tax-xorb, irrispettivament jekk għandhomx alkoħol jew le</w:t>
      </w:r>
    </w:p>
    <w:p w:rsidR="00677D2A" w:rsidRDefault="00C71A89">
      <w:pPr>
        <w:keepNext/>
        <w:keepLines/>
        <w:autoSpaceDE w:val="0"/>
        <w:autoSpaceDN w:val="0"/>
        <w:adjustRightInd w:val="0"/>
        <w:jc w:val="center"/>
        <w:rPr>
          <w:rFonts w:eastAsia="Calibri"/>
          <w:bCs/>
          <w:color w:val="000000"/>
        </w:rPr>
      </w:pPr>
      <w:r w:rsidRPr="00C71A89">
        <w:rPr>
          <w:rFonts w:eastAsia="Calibri"/>
          <w:noProof/>
          <w:lang w:val="en-GB" w:eastAsia="en-GB" w:bidi="ar-SA"/>
        </w:rPr>
        <w:drawing>
          <wp:inline distT="0" distB="0" distL="0" distR="0" wp14:anchorId="489BC7F7" wp14:editId="1B532BDE">
            <wp:extent cx="5753100" cy="321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D2A" w:rsidRDefault="005F25BC">
      <w:pPr>
        <w:keepNext/>
        <w:keepLines/>
        <w:autoSpaceDE w:val="0"/>
        <w:autoSpaceDN w:val="0"/>
        <w:adjustRightInd w:val="0"/>
        <w:jc w:val="center"/>
        <w:rPr>
          <w:rFonts w:eastAsia="Calibri"/>
          <w:bCs/>
          <w:color w:val="000000"/>
        </w:rPr>
      </w:pPr>
      <w:r>
        <w:rPr>
          <w:color w:val="000000"/>
        </w:rPr>
        <w:t>Sors: GfK Belgium (2014)</w:t>
      </w:r>
    </w:p>
    <w:p w:rsidR="00677D2A" w:rsidRDefault="005F25BC">
      <w:pPr>
        <w:autoSpaceDE w:val="0"/>
        <w:autoSpaceDN w:val="0"/>
        <w:adjustRightInd w:val="0"/>
        <w:rPr>
          <w:rFonts w:eastAsia="Calibri"/>
          <w:bCs/>
          <w:color w:val="000000"/>
        </w:rPr>
      </w:pPr>
      <w:r>
        <w:rPr>
          <w:color w:val="000000"/>
        </w:rPr>
        <w:t>L-istess studju ta wkoll informazzjoni dwar l-aċċess u l-użu ta’ din l-informazzjoni li ma tkunx fuq it-tikketta. Jidher li bejn 34% u 51% tal-parteċipanti jikkonsultaw din l-informazzjoni b’mod okkażjonali, spiss jew dejjem (il-Grafika 2).</w:t>
      </w:r>
    </w:p>
    <w:p w:rsidR="00677D2A" w:rsidRDefault="005F25BC">
      <w:pPr>
        <w:keepNext/>
        <w:keepLines/>
        <w:autoSpaceDE w:val="0"/>
        <w:autoSpaceDN w:val="0"/>
        <w:adjustRightInd w:val="0"/>
        <w:ind w:left="993" w:hanging="993"/>
        <w:jc w:val="left"/>
        <w:rPr>
          <w:rFonts w:eastAsia="Calibri"/>
          <w:bCs/>
          <w:color w:val="000000"/>
        </w:rPr>
      </w:pPr>
      <w:r>
        <w:rPr>
          <w:b/>
          <w:color w:val="000000"/>
        </w:rPr>
        <w:t>Il-Grafika 2</w:t>
      </w:r>
      <w:r>
        <w:rPr>
          <w:color w:val="000000"/>
        </w:rPr>
        <w:t xml:space="preserve">: l-użu ta’ sorsi tal-informazzjoni li ma tkunx fuq it-tikketta biex tinkiseb informazzjoni dwar il-valuri nutrizzjonali u </w:t>
      </w:r>
      <w:r>
        <w:rPr>
          <w:rFonts w:eastAsia="Calibri"/>
          <w:bCs/>
          <w:color w:val="000000"/>
        </w:rPr>
        <w:br/>
      </w:r>
      <w:r>
        <w:rPr>
          <w:color w:val="000000"/>
        </w:rPr>
        <w:t>l-ingredjenti tax-xorb alkoħoliku</w:t>
      </w:r>
    </w:p>
    <w:p w:rsidR="00677D2A" w:rsidRDefault="001F2438">
      <w:pPr>
        <w:keepNext/>
        <w:keepLines/>
        <w:autoSpaceDE w:val="0"/>
        <w:autoSpaceDN w:val="0"/>
        <w:adjustRightInd w:val="0"/>
        <w:jc w:val="center"/>
        <w:rPr>
          <w:rFonts w:eastAsia="Calibri"/>
          <w:bCs/>
          <w:color w:val="000000"/>
        </w:rPr>
      </w:pPr>
      <w:r w:rsidRPr="001F2438">
        <w:rPr>
          <w:rFonts w:eastAsia="Calibri"/>
          <w:noProof/>
          <w:lang w:val="en-GB" w:eastAsia="en-GB" w:bidi="ar-SA"/>
        </w:rPr>
        <w:drawing>
          <wp:inline distT="0" distB="0" distL="0" distR="0" wp14:anchorId="60C6B505" wp14:editId="421B64B2">
            <wp:extent cx="5753100" cy="3365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D2A" w:rsidRDefault="005F25BC">
      <w:pPr>
        <w:keepNext/>
        <w:keepLines/>
        <w:autoSpaceDE w:val="0"/>
        <w:autoSpaceDN w:val="0"/>
        <w:adjustRightInd w:val="0"/>
        <w:jc w:val="center"/>
        <w:rPr>
          <w:rFonts w:eastAsia="Calibri"/>
          <w:bCs/>
          <w:color w:val="000000"/>
        </w:rPr>
      </w:pPr>
      <w:r>
        <w:rPr>
          <w:color w:val="000000"/>
        </w:rPr>
        <w:t>Sors: GfK Belgium (2014)</w:t>
      </w:r>
    </w:p>
    <w:p w:rsidR="00677D2A" w:rsidRDefault="00677D2A">
      <w:pPr>
        <w:autoSpaceDE w:val="0"/>
        <w:autoSpaceDN w:val="0"/>
        <w:adjustRightInd w:val="0"/>
        <w:rPr>
          <w:rFonts w:eastAsia="Calibri"/>
          <w:bCs/>
          <w:color w:val="000000"/>
        </w:rPr>
      </w:pPr>
    </w:p>
    <w:p w:rsidR="00677D2A" w:rsidRDefault="005F25BC">
      <w:pPr>
        <w:pStyle w:val="Heading1"/>
        <w:spacing w:before="0" w:after="240"/>
        <w:rPr>
          <w:szCs w:val="24"/>
        </w:rPr>
      </w:pPr>
      <w:bookmarkStart w:id="29" w:name="_Toc442812867"/>
      <w:bookmarkStart w:id="30" w:name="_Toc476056867"/>
      <w:bookmarkStart w:id="31" w:name="_Toc476231390"/>
      <w:r>
        <w:t>Il-partijiet konċernati</w:t>
      </w:r>
      <w:bookmarkEnd w:id="29"/>
      <w:bookmarkEnd w:id="30"/>
      <w:bookmarkEnd w:id="31"/>
    </w:p>
    <w:p w:rsidR="00677D2A" w:rsidRDefault="005F25BC">
      <w:pPr>
        <w:spacing w:before="0" w:after="240"/>
      </w:pPr>
      <w:r>
        <w:t>Bħala xenarju bażi, il-pożizzjoni tal-atturi differenti fuq it-tikkettar tal-alkoħol tinsab f’rapport ta’ stħarriġ</w:t>
      </w:r>
      <w:r>
        <w:rPr>
          <w:rStyle w:val="FootnoteReference"/>
        </w:rPr>
        <w:footnoteReference w:id="22"/>
      </w:r>
      <w:r>
        <w:t xml:space="preserve"> li sar meta l-Kummissjoni ressqet il-proposta għal Regolament dwar l-informazzjoni dwar l-ikel għall-konsumaturi. Dan jipprovdi l-fehmiet ta’ produtturi, ta’ bejjiegħa bl-imnut, ta’ awtoritajiet pubbliċi, u ta’ organizzazzjonijiet mhux governattivi.</w:t>
      </w:r>
    </w:p>
    <w:p w:rsidR="00677D2A" w:rsidRDefault="005F25BC">
      <w:pPr>
        <w:spacing w:before="0" w:after="240"/>
        <w:ind w:left="993" w:hanging="993"/>
        <w:jc w:val="left"/>
      </w:pPr>
      <w:r>
        <w:rPr>
          <w:b/>
        </w:rPr>
        <w:t>Il-Grafika 3</w:t>
      </w:r>
      <w:r>
        <w:t>: reazzjonijiet għad-dikjarazzjoni “It-tikketti tal-alkoħol jenħtieġ isemmu lista tal-ingredjenti u d-dettalji nutrizzjonali tax-xarba”</w:t>
      </w:r>
    </w:p>
    <w:p w:rsidR="00677D2A" w:rsidRDefault="001F2438">
      <w:r w:rsidRPr="001F2438">
        <w:rPr>
          <w:noProof/>
          <w:lang w:val="en-GB" w:eastAsia="en-GB" w:bidi="ar-SA"/>
        </w:rPr>
        <w:drawing>
          <wp:inline distT="0" distB="0" distL="0" distR="0" wp14:anchorId="2FF2DF60" wp14:editId="13703022">
            <wp:extent cx="5753100" cy="26035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D2A" w:rsidRDefault="005F25BC">
      <w:pPr>
        <w:jc w:val="center"/>
        <w:rPr>
          <w:bCs/>
        </w:rPr>
      </w:pPr>
      <w:r>
        <w:t>Sors: CRIOC (2007)</w:t>
      </w:r>
    </w:p>
    <w:p w:rsidR="00677D2A" w:rsidRDefault="005F25BC">
      <w:pPr>
        <w:spacing w:before="0"/>
        <w:rPr>
          <w:bCs/>
        </w:rPr>
      </w:pPr>
      <w:r>
        <w:t>Minn mindu saret din l-investigazzjoni, uħud minn dawn il-pożizzjonijiet evolvew.</w:t>
      </w:r>
    </w:p>
    <w:p w:rsidR="00677D2A" w:rsidRDefault="005F25BC">
      <w:pPr>
        <w:spacing w:before="0"/>
        <w:rPr>
          <w:rFonts w:eastAsia="Calibri"/>
          <w:color w:val="000000"/>
        </w:rPr>
      </w:pPr>
      <w:r>
        <w:t>Ir-rappreżentati tal-konsumatur isostnu</w:t>
      </w:r>
      <w:r>
        <w:rPr>
          <w:vertAlign w:val="superscript"/>
        </w:rPr>
        <w:footnoteReference w:id="23"/>
      </w:r>
      <w:r>
        <w:t xml:space="preserve"> li l-inkonsistenza fit-tikkettar bejn ix-xorb alkoħoliku u ikel ieħor hija inaċċettabbli u li l-lista tal-ingredjenti u d-dikjarazzjoni dwar in-nutrizzjoni jenħtieġ tkun obbligatorja għax-xorb alkoħoliku kollu biex tgħin lill-konsumaturi jagħmlu deċiżjonijiet infurmati dwar x’jixorbu u kemm jixorbu.</w:t>
      </w:r>
    </w:p>
    <w:p w:rsidR="00677D2A" w:rsidRDefault="005F25BC">
      <w:pPr>
        <w:spacing w:before="0"/>
        <w:rPr>
          <w:rFonts w:eastAsia="Calibri"/>
          <w:color w:val="000000"/>
        </w:rPr>
      </w:pPr>
      <w:r>
        <w:rPr>
          <w:color w:val="000000"/>
        </w:rPr>
        <w:t>Organizzazzjoni Ewropea tal-konsumaturi tal-birra wkoll għamlet sejħa għal-lista obbligatorja tal-ingredjenti tax-xorb alkoħoliku</w:t>
      </w:r>
      <w:r>
        <w:rPr>
          <w:vertAlign w:val="superscript"/>
        </w:rPr>
        <w:footnoteReference w:id="24"/>
      </w:r>
      <w:r>
        <w:rPr>
          <w:color w:val="000000"/>
        </w:rPr>
        <w:t>.</w:t>
      </w:r>
    </w:p>
    <w:p w:rsidR="00677D2A" w:rsidRDefault="005F25BC">
      <w:pPr>
        <w:spacing w:before="0"/>
      </w:pPr>
      <w:r>
        <w:t xml:space="preserve">L-assoċjazzjonijiet pubbliċi tas-saħħa jappoġġaw it-tikkettar obbligatorju tal-ingredjenti u d-dikjarazzjoni dwar in-nutrizzjoni bħala parti minn strateġija komprensiva biex tingħata l-informazzjoni u biex </w:t>
      </w:r>
      <w:r>
        <w:rPr>
          <w:color w:val="000000"/>
        </w:rPr>
        <w:t xml:space="preserve">il-konsumaturi ikunu mgħarrfa </w:t>
      </w:r>
      <w:r>
        <w:t>dwar l-alkoħol, għax skont grupp ta’ organizzazzjonijiet tas-saħħa mhux governattivi u pubbliċi li jipproponu l-prevenzjoni u t-tnaqqis tal-ħsara relatata mal-alkoħol fl-Ewropa</w:t>
      </w:r>
      <w:r>
        <w:rPr>
          <w:rStyle w:val="FootnoteReference"/>
        </w:rPr>
        <w:footnoteReference w:id="25"/>
      </w:r>
      <w:r>
        <w:t>,</w:t>
      </w:r>
      <w:r>
        <w:rPr>
          <w:rStyle w:val="st"/>
        </w:rPr>
        <w:t xml:space="preserve"> il-konsumaturi għandhom dritt ikunu jafu l-ingredjenti li jkun fih ix-xorb alkoħoliku li jixorbu. Aktar importanti minn hekk, jenħtieġ li tingħata informazzjoni dwar in-nutrizzjoni bħall-kontenut enerġetiku biex il-konsumaturi jkunu jistgħu jsegwu aħjar id-dieti tagħhom u jsibuha eħfef biex ikollhom stil ta’ ħajja sana.</w:t>
      </w:r>
    </w:p>
    <w:p w:rsidR="00677D2A" w:rsidRDefault="005F25BC">
      <w:pPr>
        <w:spacing w:before="0"/>
      </w:pPr>
      <w:bookmarkStart w:id="32" w:name="_Toc361922088"/>
      <w:r>
        <w:t>Dan l-aħħar, il-pożizzjoni tal-industrija fuq din il-kwistjoni evolviet ġmielu. Filwaqt li fil-passat operaturi tan-negozju tal-ikel opponew kull ħtieġa ta’ tikkettar addizzjonali, illum il-maġġoranza tas-setturi jagħrfu li l-konsumaturi għandhom id-dritt ikunu jafu dwar il-kontenut tax-xorb tagħhom, u l-atturi tas-setturi differenti qed jiżviluppaw u jimplimentaw għadd ta’ inizjattivi volontarji miftiehma jew indipendenti biex jipprovdu informazzjoni addizzjonali lill-konsumaturi.</w:t>
      </w:r>
    </w:p>
    <w:p w:rsidR="00677D2A" w:rsidRDefault="005F25BC">
      <w:pPr>
        <w:spacing w:before="0"/>
      </w:pPr>
      <w:r>
        <w:t>Skont assoċjazzjoni li tirrappreżenta lill-birreriji Ewropej, il-konsumaturi għandhom id-dritt ikunu jafu x’qed jikk</w:t>
      </w:r>
      <w:r w:rsidR="001F2438">
        <w:t>u</w:t>
      </w:r>
      <w:r>
        <w:t>nsmaw. Ġiet organizzata inizjattiva volontarja minn dawk il-birreriji madwar l-Ewropa, l-Impenn tal-Birra Ewropea</w:t>
      </w:r>
      <w:r>
        <w:rPr>
          <w:vertAlign w:val="superscript"/>
        </w:rPr>
        <w:footnoteReference w:id="26"/>
      </w:r>
      <w:r>
        <w:t>, li l-membri tagħha ntrabtu li jieħdu azzjonijiet miftiehma u li jistgħu jitkejlu biex itejbu l-informazzjoni lill-konsumaturi billi fost l-oħrajn jipprovdu l-informazzjoni nutrizzjonali dwar il-birer. Dawn jidhrilhom li l-operaturi jenħtieġ tingħatalhom l-għażla li jipprovdu din l-informazzjoni fuq it-tikketta jew fuq pjattaformi oħra bħal siti web jew applikazzjonijiet ta’ tweġiba malajr li jaħdmu b’kodiċi (quick response (QR)-code-driven applications)</w:t>
      </w:r>
      <w:r>
        <w:rPr>
          <w:rStyle w:val="FootnoteReference"/>
        </w:rPr>
        <w:footnoteReference w:id="27"/>
      </w:r>
      <w:r>
        <w:t>, f’liema każ jenħtieġ tingħata link ċara għall-informazzjoni fuq it-tikketta tal-birra. B’mod volontarju, xi membri tal-organizzazzjoni diġà jinkludu informazzjoni fuq it-tikketta jew mhux it-tikketta bil-lista tal-ingredjenti, il-kaloriji jew id-dikjarazzjoni sħiħa dwar in-nutrizzjoni (l-enerġija, ix-xaħam, is-saturati, il-karboidrati, iz-zokkrijiet, il-proteini u l-melħ)</w:t>
      </w:r>
      <w:r>
        <w:rPr>
          <w:rStyle w:val="FootnoteReference"/>
        </w:rPr>
        <w:footnoteReference w:id="28"/>
      </w:r>
      <w:r>
        <w:t>.</w:t>
      </w:r>
    </w:p>
    <w:p w:rsidR="00677D2A" w:rsidRDefault="005F25BC">
      <w:pPr>
        <w:spacing w:before="0"/>
      </w:pPr>
      <w:r>
        <w:t>Is-settur tal-ispirti jidhirlu li l-konsumaturi jistgħu jibbenefikaw minn informazzjoni aktar ċara u aktar sinifikanti dwar x’hemm fix-xarba tagħhom u jenħtieġ li jirċievu informazzjoni konsistenti dwar il-konsum responsabbli tal-ispirti ħalli jkunu jistgħu jagħmlu għażliet aħjar għal stil ta’ ħajja sana. Is-settur jappoġġa l-għoti ta’ informazzjoni mfassla apposta għall-konsumaturi dwar il-kontenut tal-kaloriji. Din l-informazzjoni tista’ tingħata b’mezzi oħra li mhumiex indikazzjoni fuq it-tikketta. Din tista’ tagħti aċċess sħiħ għal din l-informazzjoni b’mezzi oħra aktar favorevoli għall-konsumaturi. Filwaqt li ċerti produtturi huma impenjati biex jipprovdu din l-informazzjoni fuq it-tikketta, bosta produtturi tal-ispirti diġà qed jipprovdu l-valur enerġetiku fuq is-sit web tagħhom kif ukoll permezz tal-midja soċjali u pjattaformi oħra</w:t>
      </w:r>
      <w:r>
        <w:rPr>
          <w:rStyle w:val="FootnoteReference"/>
        </w:rPr>
        <w:footnoteReference w:id="29"/>
      </w:r>
      <w:r>
        <w:t xml:space="preserve"> u xi wħud minnhom impenjaw ruħhom li jestendu l-kontenut ta’ din l-informazzjoni ħalli jipprovdu d-dikjarazzjoni kollha dwar in-nutrizzjoni</w:t>
      </w:r>
      <w:r>
        <w:rPr>
          <w:rStyle w:val="FootnoteReference"/>
        </w:rPr>
        <w:footnoteReference w:id="30"/>
      </w:r>
      <w:r>
        <w:t>.</w:t>
      </w:r>
    </w:p>
    <w:p w:rsidR="00677D2A" w:rsidRDefault="005F25BC">
      <w:pPr>
        <w:pStyle w:val="NormalWeb"/>
        <w:spacing w:line="300" w:lineRule="atLeast"/>
        <w:jc w:val="both"/>
        <w:rPr>
          <w:rFonts w:ascii="Warnock W01 Regular" w:hAnsi="Warnock W01 Regular"/>
          <w:color w:val="5A5A59"/>
        </w:rPr>
      </w:pPr>
      <w:r>
        <w:t>Is-settur tal-inbid jidhirlu li dieta bilanċjata hija element ewlieni għal stil ta’ ħajja sana u li l-konsumaturi jenħtieġ jagħżlu bir-reqqa x’jixorbu u x’jieklu.</w:t>
      </w:r>
      <w:r>
        <w:rPr>
          <w:rFonts w:ascii="Warnock W01 Regular" w:hAnsi="Warnock W01 Regular"/>
          <w:color w:val="5A5A59"/>
        </w:rPr>
        <w:t xml:space="preserve"> </w:t>
      </w:r>
      <w:r>
        <w:t>Is-settur huwa impenjat li b’mod volontarju joffri lill-konsumaturi l-informazzjoni dwar in-nutrizzjoni fuq il-kaloriji b’mod xieraq, u għajnuniet oħra li ma jkunux fuq it-tikketta huma tassew privileġġati</w:t>
      </w:r>
      <w:r>
        <w:rPr>
          <w:rStyle w:val="FootnoteReference"/>
        </w:rPr>
        <w:footnoteReference w:id="31"/>
      </w:r>
      <w:r>
        <w:t>. Is-settur nieda azzjoni miftiehma u fuq sit web komuni jipprovdi informazzjoni fuq il-kaloriji għal kull porzjon u għal kull kategorija tal-inbid</w:t>
      </w:r>
      <w:r>
        <w:rPr>
          <w:rStyle w:val="FootnoteReference"/>
        </w:rPr>
        <w:footnoteReference w:id="32"/>
      </w:r>
      <w:r>
        <w:t>.</w:t>
      </w:r>
    </w:p>
    <w:p w:rsidR="00677D2A" w:rsidRDefault="005F25BC">
      <w:pPr>
        <w:spacing w:before="0" w:after="240"/>
      </w:pPr>
      <w:r>
        <w:t>Kumpanija multinazzjonali li tipproduċi l-ispirti, l-inbid u l-birra għamlet impenji biex tipprovdi lill-konsumaturi bid-dikjarazzjoni kollha dwar in-nutrizzjoni għal kull porzjon u għal kull 100 ml fuq it-tikketta u biex tapplikaha għax-xorb alkoħoliku kollu tal-portafoll tagħha. It-tikketta l-ġdida fuq il-pakkett diġà ġiet żviluppata abbażi ta’ stħarriġ li sar madwar id-dinja biex jinstab x’informazzjoni għandha titniżżel u kif l-aħjar isir dan. Il-bidliet se jiġu implimentanti b’mod progressiv fuq l-imballaġġ bil-għan li l-ewwel prodotti bit-tikkettar il-ġdid jiġu kkummerċjalizzati fil-bidu tal-2017</w:t>
      </w:r>
      <w:r>
        <w:rPr>
          <w:rStyle w:val="FootnoteReference"/>
        </w:rPr>
        <w:footnoteReference w:id="33"/>
      </w:r>
      <w:r>
        <w:t xml:space="preserve">. </w:t>
      </w:r>
    </w:p>
    <w:p w:rsidR="00677D2A" w:rsidRDefault="005F25BC">
      <w:pPr>
        <w:spacing w:before="0" w:after="240"/>
      </w:pPr>
      <w:r>
        <w:t>Uħud minn dawn l-impenji</w:t>
      </w:r>
      <w:r>
        <w:rPr>
          <w:rStyle w:val="FootnoteReference"/>
        </w:rPr>
        <w:footnoteReference w:id="34"/>
      </w:r>
      <w:r>
        <w:t>,</w:t>
      </w:r>
      <w:r>
        <w:rPr>
          <w:rStyle w:val="FootnoteReference"/>
        </w:rPr>
        <w:footnoteReference w:id="35"/>
      </w:r>
      <w:r>
        <w:t xml:space="preserve"> ttieħdu wkoll fil-kuntest tal-Forum Ewropew dwar l-Alkoħol u s-Saħħa, pjattaforma fejn korpi attivi fuq livell Ewropew jistgħu jiddiskutu, iqabblu l-approċċi u jaġixxu biex jittrattaw il-ħsara relatata mal-alkoħol.</w:t>
      </w:r>
    </w:p>
    <w:p w:rsidR="00677D2A" w:rsidRDefault="005F25BC">
      <w:pPr>
        <w:spacing w:before="0" w:after="240"/>
      </w:pPr>
      <w:r>
        <w:t xml:space="preserve">Għadu kmieni wisq biex issir valutazzjoni tal-impatt ta’ dawn l-inizjattivi volontarji li ttieħdu dan l-aħħar. Iżda jista’ jkun mistenni li dawn jaf iżidu l-interess tal-konsumaturi għal għoti aktar sistematiku tal-lista tal-ingredjenti u d-dikjarazzjoni dwar in-nutrizzjoni. </w:t>
      </w:r>
    </w:p>
    <w:p w:rsidR="00677D2A" w:rsidRDefault="005F25BC">
      <w:pPr>
        <w:spacing w:before="0" w:after="240"/>
      </w:pPr>
      <w:r>
        <w:t>B’mod ġenerali, il-produtturi tax-xorb alkoħoliku jidhrilhom li kull rekwiżit ġdid fir-rigward tat-tikkettar jenħtieġ japplika l-istess għal kull tip ta’ xorb alkoħoliku</w:t>
      </w:r>
      <w:r>
        <w:rPr>
          <w:rStyle w:val="FootnoteReference"/>
        </w:rPr>
        <w:footnoteReference w:id="36"/>
      </w:r>
      <w:r>
        <w:rPr>
          <w:vertAlign w:val="superscript"/>
        </w:rPr>
        <w:t>,</w:t>
      </w:r>
      <w:r>
        <w:rPr>
          <w:rStyle w:val="FootnoteReference"/>
        </w:rPr>
        <w:footnoteReference w:id="37"/>
      </w:r>
      <w:r>
        <w:t>.</w:t>
      </w:r>
    </w:p>
    <w:p w:rsidR="00677D2A" w:rsidRDefault="005F25BC">
      <w:pPr>
        <w:pStyle w:val="Heading1"/>
        <w:spacing w:before="0"/>
        <w:rPr>
          <w:rFonts w:eastAsia="Calibri"/>
          <w:szCs w:val="24"/>
        </w:rPr>
      </w:pPr>
      <w:bookmarkStart w:id="33" w:name="_Toc476056868"/>
      <w:bookmarkStart w:id="34" w:name="_Toc476231391"/>
      <w:bookmarkStart w:id="35" w:name="_Toc361922094"/>
      <w:bookmarkStart w:id="36" w:name="_Toc442812869"/>
      <w:bookmarkEnd w:id="32"/>
      <w:r>
        <w:t>Sejħiet għal azzjoni</w:t>
      </w:r>
      <w:bookmarkEnd w:id="33"/>
      <w:bookmarkEnd w:id="34"/>
    </w:p>
    <w:p w:rsidR="00677D2A" w:rsidRDefault="005F25BC">
      <w:pPr>
        <w:pStyle w:val="Heading2"/>
        <w:spacing w:before="0"/>
        <w:rPr>
          <w:rFonts w:eastAsia="Calibri"/>
          <w:szCs w:val="24"/>
        </w:rPr>
      </w:pPr>
      <w:bookmarkStart w:id="37" w:name="_Toc476056869"/>
      <w:bookmarkStart w:id="38" w:name="_Toc476231392"/>
      <w:r>
        <w:t>L-Organizzazzjoni Dinjija tas-Saħħa</w:t>
      </w:r>
      <w:bookmarkEnd w:id="37"/>
      <w:bookmarkEnd w:id="38"/>
    </w:p>
    <w:p w:rsidR="00677D2A" w:rsidRDefault="005F25BC">
      <w:pPr>
        <w:spacing w:before="0"/>
        <w:rPr>
          <w:rFonts w:eastAsia="Calibri"/>
          <w:color w:val="1A1D06"/>
        </w:rPr>
      </w:pPr>
      <w:r>
        <w:t>Wara l-Pjan ta’ Azzjoni Ewropew tal-Organizzazzjoni Dinjija tas-Saħħa biex jonqos l-użu dannuż tal-alkoħol 2012-2020</w:t>
      </w:r>
      <w:r>
        <w:rPr>
          <w:vertAlign w:val="superscript"/>
        </w:rPr>
        <w:footnoteReference w:id="38"/>
      </w:r>
      <w:r>
        <w:t>, l-“ingredjenti li għandhom x’jaqsmu mas-saħħa, inkluż il-kontenut ta’ kaloriji” jenħtieġ li jiġu ttikkettati u, b’mod ġenerali, it-tikkettar tax-xorb alkoħoliku jenħtieġ li jkun l-istess bħal dak ta’ ikel ieħor ħalli jkun żgurat li l-konsumaturi jkollhom aċċess għal informazzjoni sħiħa dwar il-kontenut u l-kompożizzjoni tal-prodott biex jitħarsu saħħithom u l-interessi tagħhom. Dan il-Pjan ta’ Azzjoni kien approvawh 53 pajjiż fosthom l-Istati Membri tal-UE fil-Kumitat Reġjonali għall-Ewropa f’Settembru 2011.</w:t>
      </w:r>
    </w:p>
    <w:p w:rsidR="00677D2A" w:rsidRDefault="005F25BC">
      <w:pPr>
        <w:spacing w:before="0"/>
        <w:rPr>
          <w:rFonts w:eastAsia="Calibri"/>
        </w:rPr>
      </w:pPr>
      <w:r>
        <w:t xml:space="preserve">Barra minn hekk, l-Organizzazzjoni Dinjija tas-Saħħa jidhrilha li l-valur enerġetiku hu l-aktar valur nutrizzjonali importanti li għandu jitniżżel fuq it-tikketta. </w:t>
      </w:r>
    </w:p>
    <w:p w:rsidR="00677D2A" w:rsidRDefault="005F25BC">
      <w:pPr>
        <w:pStyle w:val="Heading2"/>
        <w:spacing w:before="0"/>
        <w:rPr>
          <w:rFonts w:eastAsia="Calibri"/>
          <w:szCs w:val="24"/>
        </w:rPr>
      </w:pPr>
      <w:bookmarkStart w:id="39" w:name="_Toc476056870"/>
      <w:bookmarkStart w:id="40" w:name="_Toc476231393"/>
      <w:r>
        <w:t>Il-Parlament Ewropew u l-Kunsill</w:t>
      </w:r>
      <w:bookmarkEnd w:id="39"/>
      <w:bookmarkEnd w:id="40"/>
    </w:p>
    <w:p w:rsidR="00677D2A" w:rsidRDefault="005F25BC">
      <w:pPr>
        <w:autoSpaceDE w:val="0"/>
        <w:autoSpaceDN w:val="0"/>
        <w:adjustRightInd w:val="0"/>
        <w:spacing w:before="0"/>
        <w:rPr>
          <w:rFonts w:eastAsia="Calibri"/>
          <w:color w:val="000000"/>
        </w:rPr>
      </w:pPr>
      <w:r>
        <w:rPr>
          <w:color w:val="000000"/>
        </w:rPr>
        <w:t>Fil-kuntest ta’ Riżoluzzjoni</w:t>
      </w:r>
      <w:r>
        <w:rPr>
          <w:color w:val="000000"/>
          <w:vertAlign w:val="superscript"/>
        </w:rPr>
        <w:footnoteReference w:id="39"/>
      </w:r>
      <w:r>
        <w:rPr>
          <w:color w:val="000000"/>
        </w:rPr>
        <w:t xml:space="preserve"> adottata fid-29 ta’ April 2015, il-Parlament Ewropew jitlob lill-Kummissjoni biex fost l-oħrajn tippreżenta proposta leġiżlattiva li teżiġi l-kontenut tal-kaloriji fuq it-tikketti tax-xorb alkoħoliku sal-2016.  Skont ir-Riżoluzzjoni, billi r-Regolament (UE) Nru 1169/2011 eskluda x-xorb alkoħoliku mid-dispożizzjoni obbligatorja tat-tikkettar tal-lista tal-ingredjenti u d-dikjarazzjoni dwar in-nutrizzjoni, informazzjoni komprensiva dwar ix-xorb alkoħoliku hija meħtieġa, minħabba n-natura tar-riskji relatati mal-alkoħol.</w:t>
      </w:r>
    </w:p>
    <w:p w:rsidR="00677D2A" w:rsidRDefault="005F25BC">
      <w:pPr>
        <w:autoSpaceDE w:val="0"/>
        <w:autoSpaceDN w:val="0"/>
        <w:adjustRightInd w:val="0"/>
        <w:spacing w:before="0"/>
        <w:rPr>
          <w:rFonts w:eastAsia="Calibri"/>
          <w:color w:val="000000"/>
        </w:rPr>
      </w:pPr>
      <w:r>
        <w:rPr>
          <w:color w:val="000000"/>
        </w:rPr>
        <w:t>Lill-Kummissjoni waslulha wkoll bosta mistoqsijiet bil-miktub dwar it-tikkettar tax-xorb alkoħoliku, li jitolbu dan ir-rapport, li jenfasizzaw in-nuqqas ta’ ġustifikazzjoni tal-eżenzjonijiet attwali għat-tikkettar tal-lista tal-ingredjenti u d-dikjarazzjoni dwar in-nutrizzjoni, u li jitolbu inizjattivi leġiżlattivi li jsaħħu t-tikkettar tax-xorb alkoħoliku.</w:t>
      </w:r>
    </w:p>
    <w:p w:rsidR="00677D2A" w:rsidRDefault="005F25BC">
      <w:pPr>
        <w:spacing w:before="0" w:after="240"/>
        <w:rPr>
          <w:rFonts w:eastAsia="Calibri"/>
        </w:rPr>
      </w:pPr>
      <w:r>
        <w:t>Fil-konklużjonijiet tiegħu</w:t>
      </w:r>
      <w:r>
        <w:rPr>
          <w:vertAlign w:val="superscript"/>
        </w:rPr>
        <w:footnoteReference w:id="40"/>
      </w:r>
      <w:r>
        <w:t xml:space="preserve"> adottati fis-7 ta’ Diċembru 2015, il-Kunsill jistieden lill-Kummissjoni biex tqis il-possibbiltà li ddaħħal it-tikkettar obbligatorju tal-ingredjenti u d-dikjarazzjoni obbligatorja dwar in-nutrizzjoni, b’mod partikolari l-valur enerġetiku tax-xorb alkoħoliku.</w:t>
      </w:r>
    </w:p>
    <w:p w:rsidR="00677D2A" w:rsidRDefault="005F25BC">
      <w:pPr>
        <w:pStyle w:val="Heading2"/>
        <w:rPr>
          <w:rFonts w:eastAsia="Calibri"/>
          <w:szCs w:val="24"/>
        </w:rPr>
      </w:pPr>
      <w:bookmarkStart w:id="41" w:name="_Toc476056871"/>
      <w:bookmarkStart w:id="42" w:name="_Toc476231394"/>
      <w:r>
        <w:t>Il-konsultazzjoni tal-Kummissjoni mal-esperti tal-Istati Membri</w:t>
      </w:r>
      <w:bookmarkEnd w:id="41"/>
      <w:bookmarkEnd w:id="42"/>
    </w:p>
    <w:p w:rsidR="00677D2A" w:rsidRDefault="005F25BC">
      <w:pPr>
        <w:autoSpaceDE w:val="0"/>
        <w:autoSpaceDN w:val="0"/>
        <w:adjustRightInd w:val="0"/>
        <w:spacing w:before="0"/>
      </w:pPr>
      <w:r>
        <w:rPr>
          <w:color w:val="000000"/>
        </w:rPr>
        <w:t xml:space="preserve">Waqt it-tħejjija ta’ dan ir-rapport, fit-28 ta’ Ottubru 2013 ġiet organizzata laqgħa ta’ grupp ta’ ħidma tal-Kummissjoni dwar ir-Regolament (UE) Nru 1169/2011 biex il-kwistjonijiet koperti bir-rapport jiġu diskussi mal-esperti tal-Istati Membri mill-awtoritajiet nazzjonali kompetenti; </w:t>
      </w:r>
      <w:r>
        <w:t>din id-diskussjoni indirizzat ukoll id-definizzjoni tal-“alcopops”, li ħafna drabi jkunu prodotti alkoħoliċi/mhux alkoħoliċi mħallta minn qabel. Bosta esperti tal-Istati Membri jidhrilhom li mhux ġustifikat u li hu inkonsistenti li fuq it-tikketta tax-xorb bil-gass, l-ingredjenti li jitħalltu mal-alkoħol ma għandhomx għalfejn jiġu dikjarati filwaqt li jitniżżlu l-ingredjenti ta’ xarba bil-gass mingħajr alkoħol. B’mod simili, ma hemm l-ebda ġustifikazzjoni għalfejn xarba bil-gass jenħtieġ tipprovdi dikjarazzjoni dwar in-nutrizzjoni meta l-istess xarba bil-gass imħallta ma’ spirtu hija eżentata minn din id-dikjarazzjoni.</w:t>
      </w:r>
    </w:p>
    <w:p w:rsidR="00677D2A" w:rsidRDefault="005F25BC">
      <w:pPr>
        <w:autoSpaceDE w:val="0"/>
        <w:autoSpaceDN w:val="0"/>
        <w:adjustRightInd w:val="0"/>
        <w:spacing w:before="0"/>
        <w:rPr>
          <w:rFonts w:eastAsia="Calibri"/>
          <w:color w:val="000000"/>
        </w:rPr>
      </w:pPr>
      <w:r>
        <w:rPr>
          <w:color w:val="000000"/>
        </w:rPr>
        <w:t xml:space="preserve">Barra minn hekk, mid-diskussjoni ħareġ li l-kunċett ta’ “alcopops” mhux dejjem kien pertinenti fuq livell nazzjonali u kien ukoll vag wisq biex jippermetti definizzjoni kostruttiva. Minbarra dan, kien ikkunsidrat li, </w:t>
      </w:r>
      <w:r>
        <w:rPr>
          <w:i/>
          <w:color w:val="000000"/>
        </w:rPr>
        <w:t>a priori</w:t>
      </w:r>
      <w:r>
        <w:rPr>
          <w:color w:val="000000"/>
        </w:rPr>
        <w:t xml:space="preserve"> u mingħajr ma tiġi ppreġudikata kull eżenzjoni ġġustifikata, ix-xorb alkoħoliku kollu inkluż l-“alcopops” jenħtieġ jiġi ttrattat l-istess fejn jidħlu d-dettalji tat-tikkettar li qed jitqiesu. </w:t>
      </w:r>
    </w:p>
    <w:p w:rsidR="00677D2A" w:rsidRDefault="005F25BC">
      <w:pPr>
        <w:pStyle w:val="Heading1"/>
        <w:spacing w:before="0"/>
        <w:rPr>
          <w:rFonts w:eastAsia="Calibri"/>
          <w:szCs w:val="24"/>
        </w:rPr>
      </w:pPr>
      <w:bookmarkStart w:id="43" w:name="_Toc476056872"/>
      <w:bookmarkStart w:id="44" w:name="_Toc476231395"/>
      <w:bookmarkEnd w:id="35"/>
      <w:r>
        <w:t>Konklużjonijiet</w:t>
      </w:r>
      <w:bookmarkEnd w:id="36"/>
      <w:bookmarkEnd w:id="43"/>
      <w:bookmarkEnd w:id="44"/>
    </w:p>
    <w:p w:rsidR="00677D2A" w:rsidRDefault="005F25BC">
      <w:pPr>
        <w:spacing w:before="0"/>
      </w:pPr>
      <w:r>
        <w:t>Bir-regoli attwali, kuntrarjament għal ikel ieħor, l-indikazzjoni tal-lista tal-ingredjenti u d-dikjarazzjoni dwar in-nutrizzjoni mhumiex obbligatorji għax-xorb alkoħoliku. Billi d-dikjarazzjoni dwar in-nutrizzjoni saret obbligatorja mit-13 ta’ Diċembru 2016 għall-maġġoranza l-kbira tal-ikel ippakkjat minn qabel, is-sitwazzjoni partikolari tax-xorb alkoħoliku issa hija ferm aktar importanti. Għaldaqstant, il-konsumaturi Ewropej naqqsu l-aċċess għad-dikjarazzjoni dwar in-nutrizzjoni u għal-lista tal-ingredjenti, ħlief għall-ingredjenti li jista’ jkollhom effett allerġeniku.</w:t>
      </w:r>
    </w:p>
    <w:p w:rsidR="00677D2A" w:rsidRDefault="005F25BC">
      <w:pPr>
        <w:spacing w:before="0"/>
      </w:pPr>
      <w:r>
        <w:t xml:space="preserve">Issa l-Parlament Ewropew flimkien mal-Organizzazzjoni Dinjija tas-Saħħa, organizzazzjonijiet tas-saħħa tal-konsumatur u pubbliċi qed jitolbu li jiddaħħlu regoli ġodda dwar it-tikkettar tax-xorb alkoħoliku, l-aktar b’rabta mat-tikkettar tal-valur enerġetiku. L-esperti tal-Istati Membri indikaw xi aspettattivi, l-aktar b’rabta mad-dikjarazzjoni dwar in-nutrizzjoni, u b’mod aktar partikolari għat-tikkettar obbligatorju tal-valur enerġetiku. </w:t>
      </w:r>
    </w:p>
    <w:p w:rsidR="00677D2A" w:rsidRDefault="005F25BC">
      <w:pPr>
        <w:spacing w:before="0"/>
      </w:pPr>
      <w:r>
        <w:t>Fil-passat, is-setturi ekonomiċi kkonċernati esprimew l-oppożizzjoni tagħhom għal reġim dwar it-tikkettar obbligatorju. Illum is-settur jagħraf id-dritt li l-konsumaturi jkunu jafu x’qed jixorbu. Abbażi ta’ dan, inbeda għadd dejjem aktar ta’ inizjattivi volontarji li jipprovdu lill-konsumaturi b’informazzjoni dwar l-ingredjenti, il-valur enerġetiku jew id-dikjarazzjoni kollha dwar in-nutrizzjoni għax-xorb alkoħoliku u li jindirizzaw l-aspettattivi tal-konsumaturi għal aktar informazzjoni dwar ix-xorb li jikkunsmaw. Oriġinarjament, din l-informazzjoni volontarja kienet aċċessibbli l-aktar bit-teknoloġiji tal-informazzjoni u l-komunikazzjoni ġodda. Iżda skont informazzjoni mis-settur, issa jenħtieġ tkun disponibbli dejjem aktar fuq it-tikketti stess.</w:t>
      </w:r>
    </w:p>
    <w:p w:rsidR="00677D2A" w:rsidRDefault="005F25BC">
      <w:pPr>
        <w:spacing w:before="0"/>
      </w:pPr>
      <w:r>
        <w:t>Minbarra n-nuqqas ta’ azzjoni legali f’dan il-qasam, ċerti Stati Membri adottaw regoli nazzjonali li jeżiġu indikazzjoni parzjali tal-ingredjenti għal ċerti xarbiet alkoħoliċi. Anke jekk id-dispożizzjonijiet għad-dikjarazzjoni dwar in-nutrizzjoni huma armonizzati għalkollox, xi Stati Membri qed jinnotifikaw ukoll miżuri nazzjonali li jindirizzaw id-dikjarazzjoni dwar in-nutrizzjoni għax-xorb alkoħoliku. Dawn l-inizjattivi nazzjonali jikkontribwixxu għal aktar riskju ta’ frammentazzjoni tas-suq.</w:t>
      </w:r>
    </w:p>
    <w:p w:rsidR="00677D2A" w:rsidRDefault="005F25BC">
      <w:pPr>
        <w:spacing w:before="0"/>
      </w:pPr>
      <w:r>
        <w:rPr>
          <w:color w:val="1A1D06"/>
        </w:rPr>
        <w:t>Il-lista tal-ingredjenti u d-dikjarazzjoni dwar in-nutrizzjoni huma dettalji ewlenin tal-informazzjoni li jgħinu lill-konsumaturi biex jagħmlu deċiżjonijiet aktar infurmati u aktar sani.</w:t>
      </w:r>
      <w:r>
        <w:t xml:space="preserve"> L-eżenzjonijiet mil-lista tal-ingredjenti u mid-dikjarazzjoni dwar in-nutrizzjoni għal ċertu ikel ikopru qabelxejn il-prodotti b’ingredjent wieħed, li isimhom huwa biżżejjed biex jinforma lill-konsumaturi dwar il-kontenut tagħhom, bħall-melħ, il-frott u l-ħaxix. Iżda fil-każ tax-xorb alkoħoliku, wieħed ma jistax jassumi li l-konsumaturi huma bilfors konxji mill-ingredjenti ġeneralment varji li jintużaw fil-proċess tal-produzzjoni u mill-valur nutrizzjonali tagħhom.</w:t>
      </w:r>
    </w:p>
    <w:p w:rsidR="00677D2A" w:rsidRDefault="005F25BC">
      <w:pPr>
        <w:autoSpaceDE w:val="0"/>
        <w:autoSpaceDN w:val="0"/>
        <w:adjustRightInd w:val="0"/>
        <w:spacing w:before="0"/>
      </w:pPr>
      <w:r>
        <w:t>Abbażi tal-informazzjoni riveduta, il-Kummissjoni għadha ma identifikatx raġunijiet oġġettivi li jiġġustifikaw in-nuqqas ta’ informazzjoni dwar l-ingredjenti u informazzjoni nutrizzjonali dwar xorb alkoħoliku jew trattament differenzjat għal xi xorb alkoħoliku, bħall-“alcopops”. Għaldaqstant, f’dan l-istadju l-Kummissjoni ma tara l-ebda bżonn jew valur miżjud ċar għal definizzjoni speċifika tal-“alcopops” għal skopijiet ta’ tikkettar.</w:t>
      </w:r>
    </w:p>
    <w:p w:rsidR="00677D2A" w:rsidRDefault="005F25BC">
      <w:r>
        <w:rPr>
          <w:color w:val="000000"/>
        </w:rPr>
        <w:t xml:space="preserve">Dan ir-rapport juri li dan is-settur huwa dejjem aktar imħejji biex jirreaġixxi skont l-aspettattivi tal-konsumaturi </w:t>
      </w:r>
      <w:r>
        <w:t>ħalli jkunu jafu x’qed jixorbu. Dan joħroġ fid-dieher bit-twessigħ tal-inizjattivi volontarji miftiehma jew indipendenti li ġew żviluppati u implimentati mis-settur biex jipprovdu lill-konsumaturi b’informazzjoni dwar il-lista tal-ingredjenti, il-valur enerġetiku u/jew id-dikjarazzjoni kollha dwar in-nutrizzjoni fuq it-tikketta jew mhux fuq it-tikketta. Għandu jiġi nnotat b’mod partikolari li kulma jmur qed jiżdied dejjem aktar l-għadd ta’ xorb alkoħoliku fis-suq tal-UE li diġà għandu d-dikjarazzjoni kollha dwar in-nutrizzjoni.</w:t>
      </w:r>
    </w:p>
    <w:p w:rsidR="00677D2A" w:rsidRDefault="005F25BC">
      <w:r>
        <w:t xml:space="preserve">Minħabba dawn l-iżviluppi riċenti, il-Kummissjoni jidhrilha li bħala l-ewwel pass, l-inizjattivi volontarji attwali jenħtieġ jitħallew jiżviluppaw aktar biex tingħata lista tal-ingredjenti u dikjarazzjoni dwar in-nutrizzjoni. Għaldaqstant qed tistieden lill-industrija biex tilqa’ l-aspettattivi tal-konsumaturi u fi żmien sena mill-adozzjoni ta’ dan ir-rapport tippreżenta proposta awtoregolatorja li tkun tkopri s-settur kollu tax-xorb alkoħoliku. Il-Kummissjoni se tivvaluta l-proposta tal-industrija. </w:t>
      </w:r>
    </w:p>
    <w:p w:rsidR="00677D2A" w:rsidRDefault="005F25BC">
      <w:pPr>
        <w:rPr>
          <w:iCs/>
          <w:color w:val="000000"/>
        </w:rPr>
      </w:pPr>
      <w:r>
        <w:t xml:space="preserve">Jekk il-Kummissjoni tikkunsidra li l-approċċ awtoregolatorju propost mill-industrija ma jkunx sodisfaċenti, din tniedi valutazzjoni tal-impatt biex tirrevedi l-alternattivi ulterjuri possibbli: </w:t>
      </w:r>
      <w:r>
        <w:rPr>
          <w:color w:val="000000"/>
        </w:rPr>
        <w:t>b’konformità mal-prinċipji ta’ Regolamentazzjoni Aħjar</w:t>
      </w:r>
      <w:r>
        <w:rPr>
          <w:rStyle w:val="FootnoteReference"/>
          <w:color w:val="000000"/>
        </w:rPr>
        <w:footnoteReference w:id="41"/>
      </w:r>
      <w:r>
        <w:rPr>
          <w:color w:val="000000"/>
        </w:rPr>
        <w:t xml:space="preserve"> din il-valutazzjoni tal-impatt tikkunsidra alternattivi regolatorji u mhux regolatorji, b’mod partikolari, fir-rigward tal-għoti tal-informazzjoni dwar il-valur enerġetiku tax-xorb alkoħoliku; din il-valutazzjoni jenħtieġ tqis bir-reqqa l-impatt tal-alternattivi differenti fuq is-suq intern, fuq is-setturi ekonomiċi kkonċernati, fuq il-bżonnijiet tal-konsumaturi u l-użu proprja ta’ din l-informazzjoni, kif ukoll fuq il-kummerċ internazzjonali.</w:t>
      </w:r>
    </w:p>
    <w:p w:rsidR="00677D2A" w:rsidRDefault="00677D2A">
      <w:pPr>
        <w:autoSpaceDE w:val="0"/>
        <w:autoSpaceDN w:val="0"/>
        <w:adjustRightInd w:val="0"/>
        <w:spacing w:before="0"/>
      </w:pPr>
    </w:p>
    <w:p w:rsidR="00677D2A" w:rsidRDefault="00677D2A">
      <w:pPr>
        <w:autoSpaceDE w:val="0"/>
        <w:autoSpaceDN w:val="0"/>
        <w:adjustRightInd w:val="0"/>
        <w:spacing w:before="0"/>
      </w:pPr>
    </w:p>
    <w:p w:rsidR="00677D2A" w:rsidRDefault="00677D2A">
      <w:pPr>
        <w:autoSpaceDE w:val="0"/>
        <w:autoSpaceDN w:val="0"/>
        <w:adjustRightInd w:val="0"/>
        <w:spacing w:before="0"/>
        <w:rPr>
          <w:rFonts w:eastAsia="Calibri"/>
          <w:color w:val="1A1D06"/>
        </w:rPr>
      </w:pPr>
    </w:p>
    <w:sectPr w:rsidR="00677D2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134" w:right="1417" w:bottom="1134" w:left="141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2A" w:rsidRDefault="005F25BC">
      <w:pPr>
        <w:spacing w:before="0" w:after="0"/>
      </w:pPr>
      <w:r>
        <w:separator/>
      </w:r>
    </w:p>
  </w:endnote>
  <w:endnote w:type="continuationSeparator" w:id="0">
    <w:p w:rsidR="00677D2A" w:rsidRDefault="005F25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arnock W01 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92" w:rsidRPr="00CD4092" w:rsidRDefault="00CD4092" w:rsidP="00CD40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92" w:rsidRPr="00CD4092" w:rsidRDefault="00CD4092" w:rsidP="00CD4092">
    <w:pPr>
      <w:pStyle w:val="FooterCoverPage"/>
      <w:rPr>
        <w:rFonts w:ascii="Arial" w:hAnsi="Arial" w:cs="Arial"/>
        <w:b/>
        <w:sz w:val="48"/>
      </w:rPr>
    </w:pPr>
    <w:r w:rsidRPr="00CD4092">
      <w:rPr>
        <w:rFonts w:ascii="Arial" w:hAnsi="Arial" w:cs="Arial"/>
        <w:b/>
        <w:sz w:val="48"/>
      </w:rPr>
      <w:t>MT</w:t>
    </w:r>
    <w:r w:rsidRPr="00CD4092">
      <w:rPr>
        <w:rFonts w:ascii="Arial" w:hAnsi="Arial" w:cs="Arial"/>
        <w:b/>
        <w:sz w:val="48"/>
      </w:rPr>
      <w:tab/>
    </w:r>
    <w:r w:rsidRPr="00CD4092">
      <w:rPr>
        <w:rFonts w:ascii="Arial" w:hAnsi="Arial" w:cs="Arial"/>
        <w:b/>
        <w:sz w:val="48"/>
      </w:rPr>
      <w:tab/>
    </w:r>
    <w:fldSimple w:instr=" DOCVARIABLE &quot;LW_Confidence&quot; \* MERGEFORMAT ">
      <w:r>
        <w:t xml:space="preserve"> </w:t>
      </w:r>
    </w:fldSimple>
    <w:r w:rsidRPr="00CD4092">
      <w:tab/>
    </w:r>
    <w:r w:rsidRPr="00CD4092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92" w:rsidRPr="00CD4092" w:rsidRDefault="00CD4092" w:rsidP="00CD4092"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2A" w:rsidRDefault="00677D2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2A" w:rsidRDefault="005F25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4092">
      <w:rPr>
        <w:noProof/>
      </w:rPr>
      <w:t>2</w:t>
    </w:r>
    <w:r>
      <w:rPr>
        <w:noProof/>
      </w:rPr>
      <w:fldChar w:fldCharType="end"/>
    </w:r>
  </w:p>
  <w:p w:rsidR="00677D2A" w:rsidRDefault="00677D2A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2A" w:rsidRDefault="00677D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2A" w:rsidRDefault="005F25BC">
      <w:pPr>
        <w:spacing w:before="0" w:after="0"/>
      </w:pPr>
      <w:r>
        <w:separator/>
      </w:r>
    </w:p>
  </w:footnote>
  <w:footnote w:type="continuationSeparator" w:id="0">
    <w:p w:rsidR="00677D2A" w:rsidRDefault="005F25BC">
      <w:pPr>
        <w:spacing w:before="0" w:after="0"/>
      </w:pPr>
      <w:r>
        <w:continuationSeparator/>
      </w:r>
    </w:p>
  </w:footnote>
  <w:footnote w:id="1">
    <w:p w:rsidR="00677D2A" w:rsidRDefault="005F25BC">
      <w:pPr>
        <w:pStyle w:val="FootnoteText"/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r>
        <w:rPr>
          <w:sz w:val="18"/>
        </w:rPr>
        <w:t>Ir-Regolament (UE) Nru 1169/2011 tal-Parlament Ewropew u tal-Kunsill tal-25 ta’ Ottubru 2011 dwar l-għoti ta’ informazzjoni dwar l-ikel lill-konsumaturi, li jemenda r-Regolamenti (KE) Nru 1924/2006 u (KE) Nru 1925/2006 tal-Parlament Ewropew u tal-Kunsill u li jħassar id-Direttiva tal-Kummissjoni 87/250/KEE, id-Direttiva tal-Kunsill 90/496/KEE, id-Direttiva tal-Kummissjoni 1999/10/KE, id-Direttiva 2000/13/KE tal-Parlament Ewropew u tal-Kunsill, id-Direttivi tal-Kummissjoni 2002/67/KE u 2008/5/KE u r-Regolament tal-Kummissjoni (KE) Nru 608/2004, ĠU L 304, 22.11.2011, p. 18.</w:t>
      </w:r>
    </w:p>
  </w:footnote>
  <w:footnote w:id="2">
    <w:p w:rsidR="00677D2A" w:rsidRDefault="005F25BC">
      <w:pPr>
        <w:pStyle w:val="FootnoteText"/>
        <w:tabs>
          <w:tab w:val="left" w:pos="284"/>
        </w:tabs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1">
        <w:r>
          <w:rPr>
            <w:rStyle w:val="Hyperlink"/>
            <w:color w:val="auto"/>
            <w:sz w:val="18"/>
            <w:u w:val="none"/>
          </w:rPr>
          <w:t>Id-Direttiva tal-Kunsill 79/112/KEE</w:t>
        </w:r>
      </w:hyperlink>
      <w:r>
        <w:rPr>
          <w:sz w:val="18"/>
        </w:rPr>
        <w:t xml:space="preserve"> dwar l-approssimazzjoni tal-liġijiet tal-Istati Membri rigward it-tikkettar, il-preżentazzjoni u r-reklamar ta’ prodotti tal-ikel għall-bejgħ lill-konsumatur aħħari [verżjoni mhux uffiċjali] (ĠU L 33, 08.02.1979, p. 1-14.)</w:t>
      </w:r>
    </w:p>
  </w:footnote>
  <w:footnote w:id="3">
    <w:p w:rsidR="00677D2A" w:rsidRDefault="005F25BC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Proposta għal Direttiva tal-Kunsill li temenda d-Direttiva 79/112/KEE dwar l-approssimazzjoni tal-liġijiet tal-Istati Membri li għandhom x’jaqsmu mat-tikkettar, il-preżentazzjoni u r-reklamar ta’ prodotti tal-ikel għall-bejgħ lill-konsumatur aħħari [verżjoni mhux uffiċjali], COM(82)626 final.</w:t>
      </w:r>
    </w:p>
  </w:footnote>
  <w:footnote w:id="4">
    <w:p w:rsidR="00677D2A" w:rsidRDefault="005F25BC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Proposta għal Direttiva tal-Kunsill li temenda d-Direttiva 79/112/KEE dwar l-approssimazzjoni tal-liġijiet tal-Istati Membri li għandhom x’jaqsmu mat-tikkettar, il-preżentazzjoni u r-reklamar ta’ prodotti tal-ikel [verżjoni mhux uffiċjali], COM(91)536 final.</w:t>
      </w:r>
    </w:p>
  </w:footnote>
  <w:footnote w:id="5">
    <w:p w:rsidR="00677D2A" w:rsidRDefault="005F25BC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Proposta għal Direttiva tal-Parlament Ewropew u tal-Kunsill li temenda d-Direttiva 79/112/KEE dwar l-approssimazzjoni tal-liġijiet tal-Istati Membri li għandhom x’jaqsmu mat-tikkettar, il-preżentazzjoni u r-reklamar ta’ prodotti tal-ikel [verżjoni mhux uffiċjali], COM(97)20 finali.</w:t>
      </w:r>
    </w:p>
  </w:footnote>
  <w:footnote w:id="6">
    <w:p w:rsidR="00677D2A" w:rsidRDefault="005F25BC">
      <w:pPr>
        <w:pStyle w:val="FootnoteText"/>
        <w:tabs>
          <w:tab w:val="left" w:pos="284"/>
        </w:tabs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2">
        <w:r>
          <w:rPr>
            <w:rStyle w:val="Hyperlink"/>
            <w:color w:val="auto"/>
            <w:sz w:val="18"/>
            <w:u w:val="none"/>
          </w:rPr>
          <w:t>Id-Direttiva 2003/89/KE</w:t>
        </w:r>
      </w:hyperlink>
      <w:r>
        <w:rPr>
          <w:sz w:val="18"/>
        </w:rPr>
        <w:t xml:space="preserve"> tal-Parlament Ewropew u tal-Kunsill tal-10 ta’ Novembru 2003 li temenda d-Direttiva</w:t>
      </w:r>
      <w:r w:rsidR="00C71A89">
        <w:rPr>
          <w:sz w:val="18"/>
        </w:rPr>
        <w:t xml:space="preserve"> 2000/13/KE f’dak li jirrigward</w:t>
      </w:r>
      <w:r>
        <w:rPr>
          <w:sz w:val="18"/>
        </w:rPr>
        <w:t xml:space="preserve">a l-indikazzjoni tal-ingredjenti preżenti fl-oġġetti tal-ikel (ĠU L 308, 25.11.2003, </w:t>
      </w:r>
      <w:r>
        <w:rPr>
          <w:sz w:val="18"/>
          <w:szCs w:val="18"/>
        </w:rPr>
        <w:br/>
      </w:r>
      <w:r>
        <w:rPr>
          <w:sz w:val="18"/>
        </w:rPr>
        <w:t>p. 15-18.)</w:t>
      </w:r>
    </w:p>
  </w:footnote>
  <w:footnote w:id="7">
    <w:p w:rsidR="00677D2A" w:rsidRDefault="005F25BC">
      <w:pPr>
        <w:pStyle w:val="FootnoteText"/>
        <w:tabs>
          <w:tab w:val="left" w:pos="284"/>
        </w:tabs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3">
        <w:r>
          <w:rPr>
            <w:rStyle w:val="Hyperlink"/>
            <w:color w:val="auto"/>
            <w:sz w:val="18"/>
            <w:u w:val="none"/>
          </w:rPr>
          <w:t>Proposta</w:t>
        </w:r>
      </w:hyperlink>
      <w:r>
        <w:rPr>
          <w:sz w:val="18"/>
        </w:rPr>
        <w:t xml:space="preserve"> għal Regolament tal-Parlament Ewropew u tal-Kunsill dwar l-għoti tal-informazzjoni fuq l-ikel lill-konsumaturi, COM(2008)0040 final.</w:t>
      </w:r>
    </w:p>
  </w:footnote>
  <w:footnote w:id="8">
    <w:p w:rsidR="00677D2A" w:rsidRDefault="005F25BC">
      <w:pPr>
        <w:pStyle w:val="FootnoteText"/>
        <w:tabs>
          <w:tab w:val="left" w:pos="284"/>
        </w:tabs>
        <w:ind w:left="284" w:hanging="284"/>
        <w:rPr>
          <w:rStyle w:val="Hyperlink"/>
          <w:color w:val="auto"/>
          <w:sz w:val="18"/>
          <w:szCs w:val="18"/>
          <w:u w:val="none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r>
        <w:rPr>
          <w:rStyle w:val="Hyperlink"/>
          <w:color w:val="auto"/>
          <w:sz w:val="18"/>
          <w:u w:val="none"/>
        </w:rPr>
        <w:t xml:space="preserve">L-Artikolu 19 tar-Regolament (UE) Nru 1169/2011 jelenka ċertu ikel li ma jeħtieġx lista tal-ingredjenti, bħall-frott u l-ħaxix frisk mhux maqtugħ, l-ilma karbonizzat, li d-deskrizzjoni tiegħu tindika li ġie karbonizzat, u l-ħall </w:t>
      </w:r>
      <w:r w:rsidR="00C71A89">
        <w:rPr>
          <w:rStyle w:val="Hyperlink"/>
          <w:color w:val="auto"/>
          <w:sz w:val="18"/>
          <w:u w:val="none"/>
        </w:rPr>
        <w:t>if</w:t>
      </w:r>
      <w:r>
        <w:rPr>
          <w:rStyle w:val="Hyperlink"/>
          <w:color w:val="auto"/>
          <w:sz w:val="18"/>
          <w:u w:val="none"/>
        </w:rPr>
        <w:t>fermentat u dderivat biss minn prodott bażiku wieħed, diment li ma jkun żdied l-ebda ingredjent ieħor.</w:t>
      </w:r>
    </w:p>
  </w:footnote>
  <w:footnote w:id="9">
    <w:p w:rsidR="00677D2A" w:rsidRDefault="005F25BC">
      <w:pPr>
        <w:pStyle w:val="FootnoteText"/>
        <w:tabs>
          <w:tab w:val="left" w:pos="284"/>
        </w:tabs>
        <w:ind w:left="284" w:hanging="284"/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r>
        <w:rPr>
          <w:sz w:val="18"/>
        </w:rPr>
        <w:t>L-Anness V tar-Regolament (UE) Nru 1169/2011 jipprovdi lista tal-ikel eżentat mir-rekwiżit obbligatorju tad-dikjarazzjoni dwar in-nutrizzjoni. Dan jinkludi l-prodotti li l-konsumaturi jkunu jafu l-valur nutrizzjonali tagħhom, bħall-melħ u l-ikel mhux ipproċessat bħall-frott u l-ħaxix. Dan jinkludi wkoll il-prodotti kkunsmati bi kwantitajiet żgħar u/jew mingħajr impatt nutrizzjonali sinifikanti, bħall-ħxejjex aromatiċi u l-ħwawar, il-kafejiet u t-tejiet. Kategorija tal-ikel oħra li hija eżentata tinkludi l-ikel, inkluż l-ikel artiġjanali, li manifattur ta’ kwantitajiet żgħar ta’ prodotti jforni direttament lill-konsumaturi finali jew lill-istabbiliment lokali tal-bejgħ bl-imnut li jfornu direttament lill-konsumatur aħħari. Din il-kategorija tista’ tinkludi x-xorb alkoħoliku li jitqiegħed fis-suq b’dawn il-kundizzjonijiet.</w:t>
      </w:r>
    </w:p>
  </w:footnote>
  <w:footnote w:id="10">
    <w:p w:rsidR="00677D2A" w:rsidRDefault="005F25BC">
      <w:pPr>
        <w:pStyle w:val="FootnoteText"/>
        <w:tabs>
          <w:tab w:val="left" w:pos="284"/>
        </w:tabs>
        <w:ind w:left="284" w:hanging="284"/>
        <w:jc w:val="left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4">
        <w:r>
          <w:rPr>
            <w:rStyle w:val="Hyperlink"/>
            <w:color w:val="auto"/>
            <w:sz w:val="18"/>
            <w:u w:val="none"/>
          </w:rPr>
          <w:t>Id-Direttiva tal-Kummissjoni 87/250/KEE</w:t>
        </w:r>
      </w:hyperlink>
      <w:r>
        <w:rPr>
          <w:sz w:val="18"/>
        </w:rPr>
        <w:t xml:space="preserve"> dwar l-indikazzjoni tal-qawwa alkoħolika skont il-volum fit-tikkettar tax-xorb alkoħoliku għall-bejgħ lill-konsumatur tal-aħħar nett (ĠU L 113, 30.4.1987, p. 57.)</w:t>
      </w:r>
    </w:p>
  </w:footnote>
  <w:footnote w:id="11">
    <w:p w:rsidR="00677D2A" w:rsidRDefault="005F25BC">
      <w:pPr>
        <w:pStyle w:val="FootnoteText"/>
        <w:tabs>
          <w:tab w:val="left" w:pos="284"/>
        </w:tabs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r>
        <w:rPr>
          <w:sz w:val="18"/>
        </w:rPr>
        <w:t>Ir-Regolament (UE) Nru 1308/2013 tal-Parlament Ewropew u tal-Kunsill tas-17 ta’ Diċembru 2013 li jistabbilixxi organizzazzjoni komuni tas-swieq fi prodotti agrikoli u li jħassar ir-Regolamenti tal-Kunsill (KEE) Nru 922/72, (KEE) Nru 234/79, (KE) Nru 1037/2001 u (KE) Nru 1234/2007 (ĠU L 347, 20.12.2013, p. 672.)</w:t>
      </w:r>
    </w:p>
  </w:footnote>
  <w:footnote w:id="12">
    <w:p w:rsidR="00677D2A" w:rsidRDefault="005F25BC">
      <w:pPr>
        <w:pStyle w:val="FootnoteText"/>
        <w:tabs>
          <w:tab w:val="left" w:pos="284"/>
        </w:tabs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5">
        <w:r>
          <w:rPr>
            <w:rStyle w:val="Hyperlink"/>
            <w:color w:val="auto"/>
            <w:sz w:val="18"/>
            <w:u w:val="none"/>
          </w:rPr>
          <w:t>Ir-Regolament (KE) Nru 110/2008</w:t>
        </w:r>
      </w:hyperlink>
      <w:r>
        <w:rPr>
          <w:sz w:val="18"/>
        </w:rPr>
        <w:t xml:space="preserve"> tal-Parlament Ewropew u tal-Kunsill dwar id-definizzjoni, id-deskrizzjoni, il-preżentazzjoni, </w:t>
      </w:r>
      <w:r w:rsidR="00C71A89">
        <w:rPr>
          <w:sz w:val="18"/>
        </w:rPr>
        <w:t>it-t</w:t>
      </w:r>
      <w:r>
        <w:rPr>
          <w:sz w:val="18"/>
        </w:rPr>
        <w:t>ikkettar, u l-protezzjoni ta' indikazzjonijiet ġeografiċi, ta' xorb spirituż (ĠU L 39, 13.2.2008, p. 16.)</w:t>
      </w:r>
    </w:p>
  </w:footnote>
  <w:footnote w:id="13">
    <w:p w:rsidR="00677D2A" w:rsidRDefault="005F25BC">
      <w:pPr>
        <w:pStyle w:val="FootnoteText"/>
        <w:tabs>
          <w:tab w:val="left" w:pos="284"/>
        </w:tabs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r>
        <w:rPr>
          <w:sz w:val="18"/>
        </w:rPr>
        <w:t>Ir-Regolament (UE) Nru 251/2014 tal-Parlament Ewropew u tal-Kunsill tas-26 ta’ Frar 2014 dwar id-definizzjoni, id-deskrizzjoni, il-preżentazzjoni, it-tikkettar u l-protezzjoni tal-indikazzjonijiet ġeografiċi tal-prodotti tal-inbid aromatizzat u li jħassar ir-Regolament tal-Kunsill (KEE) Nru 1601/91 (ĠU L 84, 20.3.2014, p. 14-34.)</w:t>
      </w:r>
    </w:p>
  </w:footnote>
  <w:footnote w:id="14">
    <w:p w:rsidR="00677D2A" w:rsidRDefault="005F25BC">
      <w:pPr>
        <w:pStyle w:val="FootnoteText"/>
        <w:tabs>
          <w:tab w:val="left" w:pos="284"/>
        </w:tabs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6">
        <w:r>
          <w:rPr>
            <w:rStyle w:val="Hyperlink"/>
            <w:color w:val="auto"/>
            <w:sz w:val="18"/>
            <w:u w:val="none"/>
          </w:rPr>
          <w:t>Ir-Regolament (KE) Nru 1924/2006</w:t>
        </w:r>
      </w:hyperlink>
      <w:r>
        <w:rPr>
          <w:sz w:val="18"/>
        </w:rPr>
        <w:t xml:space="preserve"> tal-Parlament Ewropew u tal-Kunsill tal-20 ta’ Diċembru 2006 dwar </w:t>
      </w:r>
      <w:r>
        <w:rPr>
          <w:sz w:val="18"/>
          <w:szCs w:val="18"/>
        </w:rPr>
        <w:br/>
      </w:r>
      <w:r>
        <w:rPr>
          <w:sz w:val="18"/>
        </w:rPr>
        <w:t>indikazzjonijiet dwar in-nutrizzjoni u s-saħħa mogħtija fuq l-ikel (ĠU L 404, 30.12.2006, p. 9-25.)</w:t>
      </w:r>
    </w:p>
  </w:footnote>
  <w:footnote w:id="15">
    <w:p w:rsidR="00677D2A" w:rsidRDefault="005F25BC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Ir-referenza tas-Sistema ta’ Informazzjoni dwar ir-Regolamenti Tekniċi (TRIS): 2014/611/RO</w:t>
      </w:r>
      <w:r w:rsidR="00C71A89">
        <w:t>.</w:t>
      </w:r>
    </w:p>
  </w:footnote>
  <w:footnote w:id="16">
    <w:p w:rsidR="00677D2A" w:rsidRDefault="005F25BC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Ir-referenza tas-Sistema ta’ Informazzjoni dwar ir-Regolamenti Tekniċi (TRIS):</w:t>
      </w:r>
      <w:r w:rsidRPr="00C71A89">
        <w:rPr>
          <w:sz w:val="24"/>
        </w:rPr>
        <w:t xml:space="preserve"> </w:t>
      </w:r>
      <w:r w:rsidRPr="00C71A89">
        <w:t>2016/42/IRL</w:t>
      </w:r>
      <w:r w:rsidR="00C71A89">
        <w:t>.</w:t>
      </w:r>
    </w:p>
  </w:footnote>
  <w:footnote w:id="17">
    <w:p w:rsidR="00677D2A" w:rsidRDefault="005F25BC">
      <w:pPr>
        <w:pStyle w:val="FootnoteText"/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r>
        <w:rPr>
          <w:sz w:val="18"/>
        </w:rPr>
        <w:t>Id-Direttiva (UE) Nru 2015/1535 tal-Parlament Ewropew u tal-Kunsill tad-9 ta’ Settembru 2015 li tistabbilixxi proċedura għall-għoti ta’ informazzjoni fil-qasam tar-regolamenti tekniċi u tar-regoli dwar is-servizzi tas-Soċjetà tal-Informatika (ĠU L 241, 17.9.2015, p. 1.)</w:t>
      </w:r>
    </w:p>
  </w:footnote>
  <w:footnote w:id="18">
    <w:p w:rsidR="00677D2A" w:rsidRDefault="005F25BC">
      <w:pPr>
        <w:pStyle w:val="FootnoteText"/>
        <w:tabs>
          <w:tab w:val="left" w:pos="284"/>
        </w:tabs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7">
        <w:r>
          <w:rPr>
            <w:rStyle w:val="Hyperlink"/>
            <w:color w:val="auto"/>
            <w:sz w:val="18"/>
            <w:u w:val="none"/>
          </w:rPr>
          <w:t>Standard Ġenerali għat-tikkettar tal-ikel imballat minn qabel CODEX STAN 1-1985, rivedut l-aħħar fl-2010</w:t>
        </w:r>
      </w:hyperlink>
      <w:r>
        <w:rPr>
          <w:rStyle w:val="Hyperlink"/>
          <w:color w:val="auto"/>
          <w:sz w:val="18"/>
          <w:u w:val="none"/>
        </w:rPr>
        <w:t>.</w:t>
      </w:r>
    </w:p>
  </w:footnote>
  <w:footnote w:id="19">
    <w:p w:rsidR="00677D2A" w:rsidRDefault="005F25BC">
      <w:pPr>
        <w:pStyle w:val="FootnoteText"/>
        <w:tabs>
          <w:tab w:val="left" w:pos="284"/>
        </w:tabs>
        <w:ind w:left="284" w:hanging="284"/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8">
        <w:r>
          <w:rPr>
            <w:rStyle w:val="Hyperlink"/>
            <w:color w:val="auto"/>
            <w:sz w:val="18"/>
            <w:u w:val="none"/>
          </w:rPr>
          <w:t>Il-Linji Gwida tal-Codex dwar it-tikkettar dwar in-nutrizzjoni CAC/GL 2-1985, riveduti l-aħħar fl-2013</w:t>
        </w:r>
      </w:hyperlink>
      <w:r>
        <w:rPr>
          <w:rStyle w:val="Hyperlink"/>
          <w:color w:val="auto"/>
          <w:sz w:val="18"/>
          <w:u w:val="none"/>
        </w:rPr>
        <w:t>.</w:t>
      </w:r>
    </w:p>
  </w:footnote>
  <w:footnote w:id="20">
    <w:p w:rsidR="00677D2A" w:rsidRDefault="005F25BC">
      <w:pPr>
        <w:pStyle w:val="FootnoteText"/>
        <w:tabs>
          <w:tab w:val="left" w:pos="284"/>
        </w:tabs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9">
        <w:r>
          <w:rPr>
            <w:rStyle w:val="Hyperlink"/>
            <w:color w:val="auto"/>
            <w:sz w:val="18"/>
            <w:u w:val="none"/>
          </w:rPr>
          <w:t>It-TNS European Behaviour Studies Consortium, Studju dwar l-impatt tal-informazzjoni dwar l-ikel fuq id-deċiżjonijiet li jieħdu l-konsumaturi (2014)</w:t>
        </w:r>
      </w:hyperlink>
      <w:r>
        <w:rPr>
          <w:sz w:val="18"/>
        </w:rPr>
        <w:t>.</w:t>
      </w:r>
    </w:p>
  </w:footnote>
  <w:footnote w:id="21">
    <w:p w:rsidR="00677D2A" w:rsidRDefault="005F25BC">
      <w:pPr>
        <w:pStyle w:val="FootnoteText"/>
        <w:tabs>
          <w:tab w:val="left" w:pos="284"/>
        </w:tabs>
        <w:ind w:left="284" w:hanging="284"/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10">
        <w:r>
          <w:rPr>
            <w:rStyle w:val="Hyperlink"/>
            <w:sz w:val="18"/>
          </w:rPr>
          <w:t>Perċezzjonijiet tal-konsumatur - għarfien fuq l-informazzjoni dwar l-ingredjenti u n-nutrizzjoni li ma tkunx fuq it-tikketta u l-użu tagħha -</w:t>
        </w:r>
        <w:r w:rsidR="00C71A89">
          <w:rPr>
            <w:rStyle w:val="Hyperlink"/>
            <w:sz w:val="18"/>
          </w:rPr>
          <w:t xml:space="preserve"> </w:t>
        </w:r>
        <w:r>
          <w:rPr>
            <w:rStyle w:val="Hyperlink"/>
            <w:sz w:val="18"/>
          </w:rPr>
          <w:t>Rapport ta’ GfK Belgium (2014)</w:t>
        </w:r>
      </w:hyperlink>
      <w:r>
        <w:rPr>
          <w:rStyle w:val="Hyperlink"/>
          <w:color w:val="auto"/>
          <w:sz w:val="18"/>
          <w:u w:val="none"/>
        </w:rPr>
        <w:t>.</w:t>
      </w:r>
    </w:p>
  </w:footnote>
  <w:footnote w:id="22">
    <w:p w:rsidR="00677D2A" w:rsidRPr="00C71A89" w:rsidRDefault="005F25BC">
      <w:pPr>
        <w:pStyle w:val="FootnoteText"/>
        <w:tabs>
          <w:tab w:val="left" w:pos="284"/>
        </w:tabs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11">
        <w:r>
          <w:rPr>
            <w:rStyle w:val="Hyperlink"/>
            <w:color w:val="auto"/>
            <w:sz w:val="18"/>
            <w:u w:val="none"/>
          </w:rPr>
          <w:t>It-tikkettar tal-alkoħol u t-twissijiet tas-saħħa - Stħarriġ tas-Centre de Recherche et d’Information des Organisations de Consommateurs</w:t>
        </w:r>
        <w:r>
          <w:rPr>
            <w:rStyle w:val="st1"/>
            <w:color w:val="545454"/>
            <w:sz w:val="18"/>
          </w:rPr>
          <w:t>(</w:t>
        </w:r>
        <w:r>
          <w:rPr>
            <w:rStyle w:val="Hyperlink"/>
            <w:color w:val="auto"/>
            <w:sz w:val="18"/>
            <w:u w:val="none"/>
          </w:rPr>
          <w:t>CRIOC) (2007)</w:t>
        </w:r>
      </w:hyperlink>
      <w:r>
        <w:rPr>
          <w:rStyle w:val="Hyperlink"/>
          <w:color w:val="auto"/>
          <w:sz w:val="18"/>
          <w:u w:val="none"/>
        </w:rPr>
        <w:t xml:space="preserve">. </w:t>
      </w:r>
    </w:p>
  </w:footnote>
  <w:footnote w:id="23">
    <w:p w:rsidR="00677D2A" w:rsidRDefault="005F25BC">
      <w:pPr>
        <w:pStyle w:val="FootnoteText"/>
        <w:tabs>
          <w:tab w:val="left" w:pos="284"/>
        </w:tabs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12">
        <w:r>
          <w:rPr>
            <w:rStyle w:val="Hyperlink"/>
            <w:sz w:val="18"/>
          </w:rPr>
          <w:t>Deċiżjonijiet infurmati dwar l-ikel għal konsumaturi aktar b’saħħithom – Il-pożizzjoni tal-Uffiċċju Ewropew tal-Għaqdiet tal-Konsumaturi (il-BEUC) dwar in-nutrizzjoni (2015)</w:t>
        </w:r>
      </w:hyperlink>
      <w:r>
        <w:rPr>
          <w:rStyle w:val="Hyperlink"/>
          <w:color w:val="auto"/>
          <w:sz w:val="18"/>
          <w:u w:val="none"/>
        </w:rPr>
        <w:t xml:space="preserve">. </w:t>
      </w:r>
    </w:p>
  </w:footnote>
  <w:footnote w:id="24">
    <w:p w:rsidR="00677D2A" w:rsidRDefault="005F25BC">
      <w:pPr>
        <w:pStyle w:val="FootnoteText"/>
        <w:tabs>
          <w:tab w:val="left" w:pos="284"/>
        </w:tabs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13">
        <w:r>
          <w:rPr>
            <w:rStyle w:val="Hyperlink"/>
            <w:color w:val="auto"/>
            <w:sz w:val="18"/>
            <w:u w:val="none"/>
          </w:rPr>
          <w:t>Manifest tal-Għaqda Ewropea tal-Konsumaturi tal-Birra 2009-2014</w:t>
        </w:r>
      </w:hyperlink>
      <w:r>
        <w:rPr>
          <w:rStyle w:val="Hyperlink"/>
          <w:color w:val="auto"/>
          <w:sz w:val="18"/>
          <w:u w:val="none"/>
        </w:rPr>
        <w:t>.</w:t>
      </w:r>
    </w:p>
  </w:footnote>
  <w:footnote w:id="25">
    <w:p w:rsidR="00677D2A" w:rsidRDefault="005F25BC">
      <w:pPr>
        <w:pStyle w:val="FootnoteText"/>
        <w:tabs>
          <w:tab w:val="left" w:pos="284"/>
        </w:tabs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14">
        <w:r>
          <w:rPr>
            <w:rStyle w:val="Hyperlink"/>
            <w:color w:val="auto"/>
            <w:sz w:val="18"/>
            <w:u w:val="none"/>
          </w:rPr>
          <w:t xml:space="preserve">Riflessjonijiet tal-Eurocare dwar it-tikkettar tal-alkoħol </w:t>
        </w:r>
      </w:hyperlink>
      <w:hyperlink r:id="rId15">
        <w:r>
          <w:rPr>
            <w:rStyle w:val="Hyperlink"/>
            <w:color w:val="auto"/>
            <w:sz w:val="18"/>
            <w:u w:val="none"/>
          </w:rPr>
          <w:t>(2014)</w:t>
        </w:r>
      </w:hyperlink>
      <w:r>
        <w:rPr>
          <w:rStyle w:val="Hyperlink"/>
          <w:color w:val="auto"/>
          <w:sz w:val="18"/>
          <w:u w:val="none"/>
        </w:rPr>
        <w:t>.</w:t>
      </w:r>
      <w:r>
        <w:rPr>
          <w:sz w:val="18"/>
        </w:rPr>
        <w:t>.</w:t>
      </w:r>
    </w:p>
  </w:footnote>
  <w:footnote w:id="26">
    <w:p w:rsidR="00677D2A" w:rsidRDefault="005F25BC">
      <w:pPr>
        <w:pStyle w:val="FootnoteText"/>
        <w:tabs>
          <w:tab w:val="left" w:pos="284"/>
        </w:tabs>
        <w:ind w:left="284" w:hanging="284"/>
        <w:jc w:val="left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16">
        <w:r>
          <w:rPr>
            <w:rStyle w:val="Hyperlink"/>
            <w:color w:val="auto"/>
            <w:sz w:val="18"/>
            <w:u w:val="none"/>
          </w:rPr>
          <w:t>Rapport tat-tieni sena - Novembru 2014 Impenn tal-Birra Ewropea - Pakkett ta’ inizjattivi ta’ responsabbiltà mill-Birreriji tal-Ewropa</w:t>
        </w:r>
      </w:hyperlink>
      <w:r>
        <w:rPr>
          <w:sz w:val="18"/>
        </w:rPr>
        <w:t>.</w:t>
      </w:r>
    </w:p>
  </w:footnote>
  <w:footnote w:id="27">
    <w:p w:rsidR="00677D2A" w:rsidRDefault="005F25BC">
      <w:pPr>
        <w:pStyle w:val="FootnoteText"/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r>
        <w:rPr>
          <w:sz w:val="18"/>
        </w:rPr>
        <w:t>Il-kodiċi ta’ tweġiba malajr huwa tip ta’ barcode 2D li jintuża biex jipprovdi aċċess faċli għall-informazzjoni, eżempju fuq l-ismartphones.</w:t>
      </w:r>
    </w:p>
  </w:footnote>
  <w:footnote w:id="28">
    <w:p w:rsidR="00677D2A" w:rsidRDefault="005F25BC">
      <w:pPr>
        <w:pStyle w:val="FootnoteText"/>
        <w:ind w:left="284" w:hanging="284"/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r>
        <w:rPr>
          <w:sz w:val="18"/>
        </w:rPr>
        <w:t>Informazzjoni mingħand Brewers of Europe fl-14 ta’ Ottubru 2016.</w:t>
      </w:r>
    </w:p>
  </w:footnote>
  <w:footnote w:id="29">
    <w:p w:rsidR="00677D2A" w:rsidRDefault="005F25BC">
      <w:pPr>
        <w:pStyle w:val="FootnoteText"/>
        <w:tabs>
          <w:tab w:val="left" w:pos="284"/>
        </w:tabs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17">
        <w:r>
          <w:rPr>
            <w:rStyle w:val="Hyperlink"/>
            <w:color w:val="auto"/>
            <w:sz w:val="18"/>
            <w:u w:val="none"/>
          </w:rPr>
          <w:t>http://spirits.eu/page.php?id=28&amp;parent_id=5</w:t>
        </w:r>
      </w:hyperlink>
      <w:r w:rsidR="001F2438">
        <w:rPr>
          <w:sz w:val="18"/>
        </w:rPr>
        <w:t xml:space="preserve"> miżjur</w:t>
      </w:r>
      <w:r>
        <w:rPr>
          <w:sz w:val="18"/>
        </w:rPr>
        <w:t xml:space="preserve"> fis-7 ta’ April 2016.</w:t>
      </w:r>
    </w:p>
  </w:footnote>
  <w:footnote w:id="30">
    <w:p w:rsidR="00677D2A" w:rsidRDefault="005F25BC">
      <w:pPr>
        <w:pStyle w:val="FootnoteText"/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r>
        <w:rPr>
          <w:sz w:val="18"/>
        </w:rPr>
        <w:t>Informazzjoni mingħand Spirits Europe fit-13 ta’ Ottubru 2016.</w:t>
      </w:r>
    </w:p>
  </w:footnote>
  <w:footnote w:id="31">
    <w:p w:rsidR="00677D2A" w:rsidRDefault="005F25BC">
      <w:pPr>
        <w:pStyle w:val="FootnoteText"/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r>
        <w:rPr>
          <w:sz w:val="18"/>
        </w:rPr>
        <w:t>Informazzjoni mingħand Comité européen des vins fit-3 ta’ Ġunju 2016.</w:t>
      </w:r>
    </w:p>
  </w:footnote>
  <w:footnote w:id="32">
    <w:p w:rsidR="00677D2A" w:rsidRDefault="005F25BC">
      <w:pPr>
        <w:pStyle w:val="FootnoteText"/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18">
        <w:r>
          <w:rPr>
            <w:rStyle w:val="Hyperlink"/>
            <w:sz w:val="18"/>
          </w:rPr>
          <w:t>http://www.wineinmoderation.eu/en/content/Wine-Diet.82/</w:t>
        </w:r>
      </w:hyperlink>
      <w:r>
        <w:rPr>
          <w:sz w:val="18"/>
        </w:rPr>
        <w:t xml:space="preserve"> miżjur fl-14 ta’ Ottubru 2016.</w:t>
      </w:r>
    </w:p>
  </w:footnote>
  <w:footnote w:id="33">
    <w:p w:rsidR="00677D2A" w:rsidRDefault="005F25BC">
      <w:pPr>
        <w:pStyle w:val="FootnoteText"/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19">
        <w:r>
          <w:rPr>
            <w:rStyle w:val="Hyperlink"/>
            <w:sz w:val="18"/>
          </w:rPr>
          <w:t>http://www.diageo.com/en-row/newsmedia/pages/resource.aspx?resourceid=2929</w:t>
        </w:r>
      </w:hyperlink>
      <w:r>
        <w:rPr>
          <w:sz w:val="18"/>
        </w:rPr>
        <w:t xml:space="preserve"> miżjur fit-13 ta’ Ottubru 2016</w:t>
      </w:r>
    </w:p>
  </w:footnote>
  <w:footnote w:id="34">
    <w:p w:rsidR="00677D2A" w:rsidRDefault="005F25BC">
      <w:pPr>
        <w:pStyle w:val="FootnoteText"/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20">
        <w:r>
          <w:rPr>
            <w:rStyle w:val="Hyperlink"/>
            <w:sz w:val="18"/>
          </w:rPr>
          <w:t>Impenn tal-Forum Ewropew dwar l-Alkoħol u s-Saħħa 1447949468140-1722, L-għoti tal-informazzjoni dwar in-nutrizzjoni u l-ingredjenti lill-konsumaturi fuq it-tikketta għall-birer kollha tal-Heineken fl-Ewropa</w:t>
        </w:r>
      </w:hyperlink>
      <w:r>
        <w:rPr>
          <w:sz w:val="18"/>
        </w:rPr>
        <w:t>, Heineken International.</w:t>
      </w:r>
    </w:p>
  </w:footnote>
  <w:footnote w:id="35">
    <w:p w:rsidR="00677D2A" w:rsidRDefault="005F25BC">
      <w:pPr>
        <w:pStyle w:val="FootnoteText"/>
        <w:ind w:left="284" w:hanging="284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21">
        <w:r>
          <w:rPr>
            <w:rStyle w:val="Hyperlink"/>
            <w:sz w:val="18"/>
          </w:rPr>
          <w:t>Impenn tal-Forum Ewropew dwar l-Alkoħol u s-Saħħa 1446732318481-1721, Ninfurmaw lill-konsumaturi dwar l-ingredjenti tal-birra u l-valuri nutrizzjonali, Brewers of Europe</w:t>
        </w:r>
      </w:hyperlink>
      <w:r>
        <w:rPr>
          <w:rStyle w:val="Hyperlink"/>
          <w:sz w:val="18"/>
        </w:rPr>
        <w:t>.</w:t>
      </w:r>
    </w:p>
  </w:footnote>
  <w:footnote w:id="36">
    <w:p w:rsidR="00677D2A" w:rsidRDefault="005F25BC">
      <w:pPr>
        <w:pStyle w:val="FootnoteText"/>
        <w:tabs>
          <w:tab w:val="left" w:pos="284"/>
        </w:tabs>
        <w:ind w:left="0" w:firstLine="0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r>
        <w:rPr>
          <w:sz w:val="18"/>
        </w:rPr>
        <w:t>Il-pożizzjoni tas-settur tal-ispirti fuq</w:t>
      </w:r>
      <w:hyperlink r:id="rId22">
        <w:r>
          <w:rPr>
            <w:sz w:val="18"/>
          </w:rPr>
          <w:t>http://spirits.eu/page.php?id=28&amp;parent_id=5</w:t>
        </w:r>
      </w:hyperlink>
      <w:r>
        <w:rPr>
          <w:sz w:val="18"/>
        </w:rPr>
        <w:t xml:space="preserve"> miżjur fis-7 ta’ April 2016.</w:t>
      </w:r>
    </w:p>
  </w:footnote>
  <w:footnote w:id="37">
    <w:p w:rsidR="00677D2A" w:rsidRDefault="005F25BC">
      <w:pPr>
        <w:pStyle w:val="FootnoteText"/>
        <w:tabs>
          <w:tab w:val="left" w:pos="284"/>
        </w:tabs>
        <w:ind w:left="284" w:hanging="284"/>
        <w:jc w:val="left"/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r>
        <w:rPr>
          <w:sz w:val="18"/>
        </w:rPr>
        <w:t xml:space="preserve">Il-pożizzjoni tas-settur tal-birra fuq </w:t>
      </w:r>
      <w:hyperlink r:id="rId23">
        <w:r>
          <w:rPr>
            <w:rStyle w:val="Hyperlink"/>
            <w:color w:val="auto"/>
            <w:sz w:val="18"/>
            <w:u w:val="none"/>
          </w:rPr>
          <w:t>http://www.brewersofeurope.org/site/media-centre/post.php?doc_id=865</w:t>
        </w:r>
      </w:hyperlink>
      <w:r>
        <w:rPr>
          <w:sz w:val="18"/>
        </w:rPr>
        <w:t xml:space="preserve"> miżjur fis-7 ta’ April 2016.</w:t>
      </w:r>
    </w:p>
  </w:footnote>
  <w:footnote w:id="38">
    <w:p w:rsidR="00677D2A" w:rsidRDefault="005F25BC">
      <w:pPr>
        <w:pStyle w:val="FootnoteText"/>
        <w:tabs>
          <w:tab w:val="left" w:pos="284"/>
        </w:tabs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24">
        <w:r>
          <w:rPr>
            <w:sz w:val="18"/>
          </w:rPr>
          <w:t>Pjan ta’ Azzjoni Ewropew biex jonqos l-użu dannuż tal-alkoħol 2012-2020, WHO Europe</w:t>
        </w:r>
      </w:hyperlink>
      <w:r>
        <w:rPr>
          <w:rStyle w:val="Hyperlink"/>
          <w:color w:val="auto"/>
          <w:u w:val="none"/>
        </w:rPr>
        <w:t>.</w:t>
      </w:r>
    </w:p>
  </w:footnote>
  <w:footnote w:id="39">
    <w:p w:rsidR="00677D2A" w:rsidRDefault="005F25BC">
      <w:pPr>
        <w:pStyle w:val="FootnoteText"/>
        <w:tabs>
          <w:tab w:val="left" w:pos="284"/>
        </w:tabs>
        <w:ind w:left="0" w:firstLine="0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25">
        <w:r>
          <w:rPr>
            <w:rStyle w:val="Hyperlink"/>
            <w:color w:val="auto"/>
            <w:sz w:val="18"/>
            <w:u w:val="none"/>
          </w:rPr>
          <w:t>Riżoluzzjoni tal-Parlament Ewropew tad-29 ta’ April 2015 dwar Strateġija dwar l-Alkoħol [2015/2543(RSP)</w:t>
        </w:r>
      </w:hyperlink>
      <w:r>
        <w:rPr>
          <w:rStyle w:val="Hyperlink"/>
          <w:color w:val="auto"/>
          <w:sz w:val="18"/>
          <w:u w:val="none"/>
        </w:rPr>
        <w:t>].</w:t>
      </w:r>
    </w:p>
  </w:footnote>
  <w:footnote w:id="40">
    <w:p w:rsidR="00677D2A" w:rsidRDefault="005F25BC">
      <w:pPr>
        <w:pStyle w:val="FootnoteText"/>
        <w:tabs>
          <w:tab w:val="left" w:pos="284"/>
        </w:tabs>
        <w:ind w:left="284" w:hanging="284"/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</w:t>
      </w:r>
      <w:r>
        <w:tab/>
      </w:r>
      <w:hyperlink r:id="rId26">
        <w:r>
          <w:rPr>
            <w:rStyle w:val="Hyperlink"/>
            <w:color w:val="auto"/>
            <w:sz w:val="18"/>
            <w:u w:val="none"/>
          </w:rPr>
          <w:t>Konklużjonijiet tal-Kunsill dwar strateġija tal-UE dwar it-tnaqqis ta’ ħsara relatata mal-alkoħol (2015)</w:t>
        </w:r>
      </w:hyperlink>
      <w:r>
        <w:rPr>
          <w:rStyle w:val="Hyperlink"/>
          <w:color w:val="auto"/>
          <w:sz w:val="18"/>
          <w:u w:val="none"/>
        </w:rPr>
        <w:t xml:space="preserve"> (ĠU C418, 16.12.2015, p. 6-8</w:t>
      </w:r>
      <w:r>
        <w:t>.)</w:t>
      </w:r>
    </w:p>
  </w:footnote>
  <w:footnote w:id="41">
    <w:p w:rsidR="001F2438" w:rsidRDefault="005F25BC" w:rsidP="001F2438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27" w:history="1">
        <w:r w:rsidR="001F2438" w:rsidRPr="009500CE">
          <w:rPr>
            <w:rStyle w:val="Hyperlink"/>
          </w:rPr>
          <w:t>http://ec.europa.eu/smart-regulation/guidelines/toc_guide_en.htm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92" w:rsidRPr="00CD4092" w:rsidRDefault="00CD4092" w:rsidP="00CD40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92" w:rsidRPr="00CD4092" w:rsidRDefault="00CD4092" w:rsidP="00CD4092"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92" w:rsidRPr="00CD4092" w:rsidRDefault="00CD4092" w:rsidP="00CD4092"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2A" w:rsidRDefault="00677D2A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2A" w:rsidRDefault="00677D2A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2A" w:rsidRDefault="00677D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148"/>
    <w:multiLevelType w:val="hybridMultilevel"/>
    <w:tmpl w:val="BE2E94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F76E7A"/>
    <w:multiLevelType w:val="singleLevel"/>
    <w:tmpl w:val="C74C5A32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">
    <w:nsid w:val="3A5459E8"/>
    <w:multiLevelType w:val="singleLevel"/>
    <w:tmpl w:val="2188C922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>
    <w:nsid w:val="3BA736C9"/>
    <w:multiLevelType w:val="singleLevel"/>
    <w:tmpl w:val="F00A6C0C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>
    <w:nsid w:val="3C90278F"/>
    <w:multiLevelType w:val="singleLevel"/>
    <w:tmpl w:val="0FE08974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5">
    <w:nsid w:val="42713452"/>
    <w:multiLevelType w:val="singleLevel"/>
    <w:tmpl w:val="3B8CC7EA"/>
    <w:lvl w:ilvl="0">
      <w:start w:val="1"/>
      <w:numFmt w:val="bullet"/>
      <w:lvlRestart w:val="0"/>
      <w:pStyle w:val="Personnequisigne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>
    <w:nsid w:val="48842C30"/>
    <w:multiLevelType w:val="singleLevel"/>
    <w:tmpl w:val="4FA60B9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7">
    <w:nsid w:val="54593082"/>
    <w:multiLevelType w:val="singleLevel"/>
    <w:tmpl w:val="EDE069AC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8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>
    <w:nsid w:val="568864DC"/>
    <w:multiLevelType w:val="singleLevel"/>
    <w:tmpl w:val="485EBDAC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>
    <w:nsid w:val="5F342530"/>
    <w:multiLevelType w:val="singleLevel"/>
    <w:tmpl w:val="D5444702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5F9C40AA"/>
    <w:multiLevelType w:val="singleLevel"/>
    <w:tmpl w:val="B89CB5A2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2">
    <w:nsid w:val="61B80D59"/>
    <w:multiLevelType w:val="hybridMultilevel"/>
    <w:tmpl w:val="705A8F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2970F71"/>
    <w:multiLevelType w:val="singleLevel"/>
    <w:tmpl w:val="5AFA8C72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4">
    <w:nsid w:val="64A12FA4"/>
    <w:multiLevelType w:val="multilevel"/>
    <w:tmpl w:val="E454090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9995580"/>
    <w:multiLevelType w:val="singleLevel"/>
    <w:tmpl w:val="75CC7CBA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6">
    <w:nsid w:val="711167E2"/>
    <w:multiLevelType w:val="multilevel"/>
    <w:tmpl w:val="C3843A7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5C26F71"/>
    <w:multiLevelType w:val="multilevel"/>
    <w:tmpl w:val="1C228B4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BE95D7F"/>
    <w:multiLevelType w:val="multilevel"/>
    <w:tmpl w:val="F126F780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0"/>
  </w:num>
  <w:num w:numId="5">
    <w:abstractNumId w:val="6"/>
  </w:num>
  <w:num w:numId="6">
    <w:abstractNumId w:val="15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3"/>
  </w:num>
  <w:num w:numId="25">
    <w:abstractNumId w:val="2"/>
  </w:num>
  <w:num w:numId="26">
    <w:abstractNumId w:val="13"/>
  </w:num>
  <w:num w:numId="27">
    <w:abstractNumId w:val="4"/>
  </w:num>
  <w:num w:numId="28">
    <w:abstractNumId w:val="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</w:num>
  <w:num w:numId="32">
    <w:abstractNumId w:val="14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14"/>
  </w:num>
  <w:num w:numId="40">
    <w:abstractNumId w:val="12"/>
  </w:num>
  <w:num w:numId="41">
    <w:abstractNumId w:val="8"/>
  </w:num>
  <w:num w:numId="42">
    <w:abstractNumId w:val="0"/>
  </w:num>
  <w:num w:numId="43">
    <w:abstractNumId w:val="1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CONFIDENCE" w:val=" "/>
    <w:docVar w:name="LW_CONST_RESTREINT_UE" w:val="RESTREINT UE/EU RESTRICTED"/>
    <w:docVar w:name="LW_CORRIGENDUM" w:val="&lt;UNUSED&gt;"/>
    <w:docVar w:name="LW_COVERPAGE_GUID" w:val="708212F6E7D94E1F82374058990F37DB"/>
    <w:docVar w:name="LW_CROSSREFERENCE" w:val="&lt;UNUSED&gt;"/>
    <w:docVar w:name="LW_DocType" w:val="NORMAL"/>
    <w:docVar w:name="LW_EMISSION" w:val="13.3.2017"/>
    <w:docVar w:name="LW_EMISSION_ISODATE" w:val="2017-03-13"/>
    <w:docVar w:name="LW_EMISSION_LOCATION" w:val="BRX"/>
    <w:docVar w:name="LW_EMISSION_PREFIX" w:val="Brussell, "/>
    <w:docVar w:name="LW_EMISSION_SUFFIX" w:val=" "/>
    <w:docVar w:name="LW_ID_DOCTYPE_NONLW" w:val="CP-006"/>
    <w:docVar w:name="LW_LANGUE" w:val="MT"/>
    <w:docVar w:name="LW_MARKING" w:val="&lt;UNUSED&gt;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7) 58"/>
    <w:docVar w:name="LW_REF.INTERNE" w:val="&lt;UNUSED&gt;"/>
    <w:docVar w:name="LW_SOUS.TITRE.OBJ.CP" w:val="&lt;UNUSED&gt;"/>
    <w:docVar w:name="LW_SUPERTITRE" w:val="&lt;UNUSED&gt;"/>
    <w:docVar w:name="LW_TITRE.OBJ.CP" w:val="dwar it-tikkettar obbligatorju tal-lista tal-ingredjenti u d-dikjarazzjoni dwar in-nutrizzjoni tax-xorb alko\u295?oliku"/>
    <w:docVar w:name="LW_TYPE.DOC.CP" w:val="RAPPORT TAL-KUMMISSJONI LILL-PARLAMENT EWROPEW U LILL-KUNSILL"/>
  </w:docVars>
  <w:rsids>
    <w:rsidRoot w:val="00677D2A"/>
    <w:rsid w:val="001F2438"/>
    <w:rsid w:val="005F25BC"/>
    <w:rsid w:val="00677D2A"/>
    <w:rsid w:val="00C71A89"/>
    <w:rsid w:val="00C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t-MT" w:eastAsia="mt-MT" w:bidi="mt-MT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spacing w:before="120" w:after="12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32"/>
      </w:numPr>
      <w:spacing w:before="360"/>
      <w:outlineLvl w:val="0"/>
    </w:pPr>
    <w:rPr>
      <w:b/>
      <w:bCs/>
      <w:smallCaps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32"/>
      </w:numPr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3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2"/>
      </w:numPr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compagnant">
    <w:name w:val="Accompagnant"/>
    <w:basedOn w:val="Normal"/>
    <w:next w:val="Normal"/>
    <w:pPr>
      <w:spacing w:before="0" w:after="240"/>
      <w:jc w:val="center"/>
    </w:pPr>
    <w:rPr>
      <w:b/>
      <w:i/>
    </w:rPr>
  </w:style>
  <w:style w:type="paragraph" w:customStyle="1" w:styleId="AccompagnantPagedecouverture">
    <w:name w:val="Accompagnant (Page de couverture)"/>
    <w:basedOn w:val="Accompagnant"/>
    <w:next w:val="Normal"/>
  </w:style>
  <w:style w:type="character" w:customStyle="1" w:styleId="Added">
    <w:name w:val="Added"/>
    <w:rPr>
      <w:b/>
      <w:u w:val="single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Normal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Bullet0">
    <w:name w:val="Bullet 0"/>
    <w:basedOn w:val="Normal"/>
    <w:pPr>
      <w:numPr>
        <w:numId w:val="1"/>
      </w:numPr>
    </w:pPr>
  </w:style>
  <w:style w:type="paragraph" w:customStyle="1" w:styleId="Bullet1">
    <w:name w:val="Bullet 1"/>
    <w:basedOn w:val="Normal"/>
    <w:pPr>
      <w:numPr>
        <w:numId w:val="2"/>
      </w:numPr>
    </w:pPr>
  </w:style>
  <w:style w:type="paragraph" w:customStyle="1" w:styleId="Bullet2">
    <w:name w:val="Bullet 2"/>
    <w:basedOn w:val="Normal"/>
    <w:pPr>
      <w:numPr>
        <w:numId w:val="3"/>
      </w:numPr>
    </w:pPr>
  </w:style>
  <w:style w:type="paragraph" w:customStyle="1" w:styleId="Bullet3">
    <w:name w:val="Bullet 3"/>
    <w:basedOn w:val="Normal"/>
    <w:pPr>
      <w:numPr>
        <w:numId w:val="4"/>
      </w:numPr>
    </w:pPr>
  </w:style>
  <w:style w:type="paragraph" w:customStyle="1" w:styleId="Bullet4">
    <w:name w:val="Bullet 4"/>
    <w:basedOn w:val="Normal"/>
    <w:pPr>
      <w:numPr>
        <w:numId w:val="5"/>
      </w:numPr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Normal"/>
    <w:pPr>
      <w:spacing w:before="240" w:after="240"/>
      <w:ind w:left="5103"/>
    </w:pPr>
    <w:rPr>
      <w:u w:val="single"/>
    </w:rPr>
  </w:style>
  <w:style w:type="paragraph" w:customStyle="1" w:styleId="Considrant">
    <w:name w:val="Considérant"/>
    <w:basedOn w:val="Normal"/>
    <w:pPr>
      <w:numPr>
        <w:numId w:val="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Normal"/>
    <w:pPr>
      <w:spacing w:before="360" w:after="0"/>
      <w:jc w:val="center"/>
    </w:pPr>
    <w:rPr>
      <w:b/>
    </w:rPr>
  </w:style>
  <w:style w:type="paragraph" w:customStyle="1" w:styleId="DatedadoptionPagedecouverture">
    <w:name w:val="Date d'adoption (Page de couverture)"/>
    <w:basedOn w:val="Datedadoption"/>
    <w:next w:val="Normal"/>
  </w:style>
  <w:style w:type="character" w:customStyle="1" w:styleId="Deleted">
    <w:name w:val="Deleted"/>
    <w:rPr>
      <w:strike/>
      <w:shd w:val="clear" w:color="auto" w:fill="auto"/>
    </w:rPr>
  </w:style>
  <w:style w:type="paragraph" w:customStyle="1" w:styleId="Emission">
    <w:name w:val="Emission"/>
    <w:basedOn w:val="Normal"/>
    <w:next w:val="Normal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Normal"/>
    <w:pPr>
      <w:keepNext/>
      <w:spacing w:after="0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rPr>
      <w:shd w:val="clear" w:color="auto" w:fill="auto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0" w:after="0"/>
      <w:ind w:left="720" w:hanging="720"/>
    </w:pPr>
    <w:rPr>
      <w:sz w:val="20"/>
      <w:szCs w:val="20"/>
    </w:rPr>
  </w:style>
  <w:style w:type="paragraph" w:customStyle="1" w:styleId="Formuledadoption">
    <w:name w:val="Formule d'adoption"/>
    <w:basedOn w:val="Normal"/>
    <w:next w:val="Normal"/>
    <w:pPr>
      <w:keepNext/>
    </w:pPr>
  </w:style>
  <w:style w:type="paragraph" w:styleId="Header">
    <w:name w:val="header"/>
    <w:basedOn w:val="Normal"/>
    <w:link w:val="HeaderChar"/>
    <w:uiPriority w:val="99"/>
    <w:pPr>
      <w:tabs>
        <w:tab w:val="center" w:pos="4535"/>
        <w:tab w:val="righ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Normal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IntrtEEEPagedecouverture">
    <w:name w:val="Intérêt EEE (Page de couverture)"/>
    <w:basedOn w:val="IntrtEEE"/>
    <w:next w:val="Normal"/>
  </w:style>
  <w:style w:type="paragraph" w:customStyle="1" w:styleId="Langue">
    <w:name w:val="Langue"/>
    <w:basedOn w:val="Normal"/>
    <w:next w:val="Normal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ManualHeading1">
    <w:name w:val="Manual Heading 1"/>
    <w:basedOn w:val="Normal"/>
    <w:next w:val="Normal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Normal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Normal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Normal"/>
    <w:pPr>
      <w:keepNext/>
      <w:tabs>
        <w:tab w:val="left" w:pos="850"/>
      </w:tabs>
      <w:ind w:left="850" w:hanging="850"/>
      <w:outlineLvl w:val="3"/>
    </w:pPr>
  </w:style>
  <w:style w:type="paragraph" w:customStyle="1" w:styleId="ManualNumPar1">
    <w:name w:val="Manual NumPar 1"/>
    <w:basedOn w:val="Normal"/>
    <w:next w:val="Normal"/>
    <w:pPr>
      <w:ind w:left="850" w:hanging="850"/>
    </w:pPr>
  </w:style>
  <w:style w:type="paragraph" w:customStyle="1" w:styleId="ManualNumPar2">
    <w:name w:val="Manual NumPar 2"/>
    <w:basedOn w:val="Normal"/>
    <w:next w:val="Normal"/>
    <w:pPr>
      <w:ind w:left="850" w:hanging="850"/>
    </w:pPr>
  </w:style>
  <w:style w:type="paragraph" w:customStyle="1" w:styleId="ManualNumPar3">
    <w:name w:val="Manual NumPar 3"/>
    <w:basedOn w:val="Normal"/>
    <w:next w:val="Normal"/>
    <w:pPr>
      <w:ind w:left="850" w:hanging="850"/>
    </w:pPr>
  </w:style>
  <w:style w:type="paragraph" w:customStyle="1" w:styleId="ManualNumPar4">
    <w:name w:val="Manual NumPar 4"/>
    <w:basedOn w:val="Normal"/>
    <w:next w:val="Normal"/>
    <w:pPr>
      <w:ind w:left="850" w:hanging="850"/>
    </w:pPr>
  </w:style>
  <w:style w:type="character" w:customStyle="1" w:styleId="Marker">
    <w:name w:val="Marker"/>
    <w:rPr>
      <w:color w:val="0000FF"/>
      <w:shd w:val="clear" w:color="auto" w:fill="auto"/>
    </w:rPr>
  </w:style>
  <w:style w:type="character" w:customStyle="1" w:styleId="Marker1">
    <w:name w:val="Marker1"/>
    <w:rPr>
      <w:color w:val="008000"/>
      <w:shd w:val="clear" w:color="auto" w:fill="auto"/>
    </w:rPr>
  </w:style>
  <w:style w:type="character" w:customStyle="1" w:styleId="Marker2">
    <w:name w:val="Marker2"/>
    <w:rPr>
      <w:color w:val="FF0000"/>
      <w:shd w:val="clear" w:color="auto" w:fill="auto"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NumPar1">
    <w:name w:val="NumPar 1"/>
    <w:basedOn w:val="Normal"/>
    <w:next w:val="Normal"/>
    <w:pPr>
      <w:numPr>
        <w:numId w:val="14"/>
      </w:numPr>
    </w:pPr>
  </w:style>
  <w:style w:type="paragraph" w:customStyle="1" w:styleId="NumPar2">
    <w:name w:val="NumPar 2"/>
    <w:basedOn w:val="Normal"/>
    <w:next w:val="Normal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Normal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Normal"/>
    <w:pPr>
      <w:numPr>
        <w:ilvl w:val="3"/>
        <w:numId w:val="14"/>
      </w:numPr>
    </w:pPr>
  </w:style>
  <w:style w:type="paragraph" w:customStyle="1" w:styleId="Objetacteprincipal">
    <w:name w:val="Objet acte principal"/>
    <w:basedOn w:val="Normal"/>
    <w:next w:val="Normal"/>
    <w:pPr>
      <w:spacing w:before="0" w:after="360"/>
      <w:jc w:val="center"/>
    </w:pPr>
    <w:rPr>
      <w:b/>
    </w:rPr>
  </w:style>
  <w:style w:type="paragraph" w:customStyle="1" w:styleId="ObjetacteprincipalPagedecouverture">
    <w:name w:val="Objet acte principal (Page de couverture)"/>
    <w:basedOn w:val="Objetacteprincipal"/>
    <w:next w:val="Normal"/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Personnequisigne">
    <w:name w:val="Personne qui signe"/>
    <w:basedOn w:val="Normal"/>
    <w:next w:val="Institutionquisigne"/>
    <w:pPr>
      <w:numPr>
        <w:numId w:val="31"/>
      </w:numPr>
      <w:tabs>
        <w:tab w:val="left" w:pos="4252"/>
      </w:tabs>
      <w:spacing w:before="0" w:after="0"/>
      <w:jc w:val="left"/>
    </w:pPr>
    <w:rPr>
      <w:i/>
    </w:r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0letter">
    <w:name w:val="Point 0 (letter)"/>
    <w:basedOn w:val="Normal"/>
    <w:pPr>
      <w:numPr>
        <w:ilvl w:val="1"/>
        <w:numId w:val="23"/>
      </w:numPr>
    </w:pPr>
  </w:style>
  <w:style w:type="paragraph" w:customStyle="1" w:styleId="Point0number">
    <w:name w:val="Point 0 (number)"/>
    <w:basedOn w:val="Normal"/>
    <w:pPr>
      <w:numPr>
        <w:numId w:val="23"/>
      </w:numPr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1letter">
    <w:name w:val="Point 1 (letter)"/>
    <w:basedOn w:val="Normal"/>
    <w:pPr>
      <w:numPr>
        <w:ilvl w:val="3"/>
        <w:numId w:val="23"/>
      </w:numPr>
    </w:pPr>
  </w:style>
  <w:style w:type="paragraph" w:customStyle="1" w:styleId="Point1number">
    <w:name w:val="Point 1 (number)"/>
    <w:basedOn w:val="Normal"/>
    <w:pPr>
      <w:numPr>
        <w:ilvl w:val="2"/>
        <w:numId w:val="23"/>
      </w:numPr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2letter">
    <w:name w:val="Point 2 (letter)"/>
    <w:basedOn w:val="Normal"/>
    <w:pPr>
      <w:numPr>
        <w:ilvl w:val="5"/>
        <w:numId w:val="23"/>
      </w:numPr>
    </w:pPr>
  </w:style>
  <w:style w:type="paragraph" w:customStyle="1" w:styleId="Point2number">
    <w:name w:val="Point 2 (number)"/>
    <w:basedOn w:val="Normal"/>
    <w:pPr>
      <w:numPr>
        <w:ilvl w:val="4"/>
        <w:numId w:val="23"/>
      </w:numPr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3letter">
    <w:name w:val="Point 3 (letter)"/>
    <w:basedOn w:val="Normal"/>
    <w:pPr>
      <w:numPr>
        <w:ilvl w:val="7"/>
        <w:numId w:val="23"/>
      </w:numPr>
    </w:pPr>
  </w:style>
  <w:style w:type="paragraph" w:customStyle="1" w:styleId="Point3number">
    <w:name w:val="Point 3 (number)"/>
    <w:basedOn w:val="Normal"/>
    <w:pPr>
      <w:numPr>
        <w:ilvl w:val="6"/>
        <w:numId w:val="23"/>
      </w:numPr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4letter">
    <w:name w:val="Point 4 (letter)"/>
    <w:basedOn w:val="Normal"/>
    <w:pPr>
      <w:numPr>
        <w:ilvl w:val="8"/>
        <w:numId w:val="2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Normal"/>
    <w:pPr>
      <w:spacing w:before="0" w:after="0"/>
      <w:ind w:left="5103"/>
      <w:jc w:val="left"/>
    </w:pPr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">
    <w:name w:val="Statut"/>
    <w:basedOn w:val="Normal"/>
    <w:next w:val="Normal"/>
    <w:pPr>
      <w:spacing w:before="360" w:after="0"/>
      <w:jc w:val="center"/>
    </w:pPr>
  </w:style>
  <w:style w:type="paragraph" w:customStyle="1" w:styleId="StatutPagedecouverture">
    <w:name w:val="Statut (Page de couverture)"/>
    <w:basedOn w:val="Statut"/>
    <w:next w:val="Normal"/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styleId="TOC1">
    <w:name w:val="toc 1"/>
    <w:basedOn w:val="Normal"/>
    <w:next w:val="Normal"/>
    <w:uiPriority w:val="39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semiHidden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semiHidden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semiHidden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</w:pPr>
  </w:style>
  <w:style w:type="paragraph" w:styleId="TOCHeading">
    <w:name w:val="TOC Heading"/>
    <w:basedOn w:val="Normal"/>
    <w:next w:val="Normal"/>
    <w:link w:val="TOCHeadingChar"/>
    <w:uiPriority w:val="39"/>
    <w:qFormat/>
    <w:pPr>
      <w:spacing w:after="240"/>
      <w:jc w:val="center"/>
    </w:pPr>
    <w:rPr>
      <w:b/>
      <w:sz w:val="28"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4"/>
      <w:szCs w:val="24"/>
      <w:lang w:eastAsia="mt-MT"/>
    </w:rPr>
  </w:style>
  <w:style w:type="character" w:customStyle="1" w:styleId="FooterChar">
    <w:name w:val="Footer Char"/>
    <w:link w:val="Footer"/>
    <w:uiPriority w:val="99"/>
    <w:rPr>
      <w:sz w:val="24"/>
      <w:szCs w:val="24"/>
      <w:lang w:eastAsia="mt-MT"/>
    </w:rPr>
  </w:style>
  <w:style w:type="character" w:customStyle="1" w:styleId="FootnoteTextChar">
    <w:name w:val="Footnote Text Char"/>
    <w:link w:val="FootnoteText"/>
    <w:uiPriority w:val="99"/>
    <w:semiHidden/>
    <w:rPr>
      <w:lang w:eastAsia="mt-MT"/>
    </w:rPr>
  </w:style>
  <w:style w:type="character" w:customStyle="1" w:styleId="Heading1Char">
    <w:name w:val="Heading 1 Char"/>
    <w:link w:val="Heading1"/>
    <w:rPr>
      <w:b/>
      <w:bCs/>
      <w:smallCaps/>
      <w:sz w:val="24"/>
      <w:szCs w:val="32"/>
      <w:lang w:eastAsia="mt-MT"/>
    </w:rPr>
  </w:style>
  <w:style w:type="character" w:customStyle="1" w:styleId="Heading2Char">
    <w:name w:val="Heading 2 Char"/>
    <w:link w:val="Heading2"/>
    <w:rPr>
      <w:b/>
      <w:bCs/>
      <w:iCs/>
      <w:sz w:val="24"/>
      <w:szCs w:val="28"/>
      <w:lang w:eastAsia="mt-MT"/>
    </w:rPr>
  </w:style>
  <w:style w:type="character" w:customStyle="1" w:styleId="Heading3Char">
    <w:name w:val="Heading 3 Char"/>
    <w:link w:val="Heading3"/>
    <w:rPr>
      <w:bCs/>
      <w:i/>
      <w:sz w:val="24"/>
      <w:szCs w:val="26"/>
      <w:lang w:eastAsia="mt-MT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TOCHeadingChar">
    <w:name w:val="TOC Heading Char"/>
    <w:link w:val="TOCHeading"/>
    <w:uiPriority w:val="39"/>
    <w:rPr>
      <w:b/>
      <w:sz w:val="28"/>
      <w:szCs w:val="24"/>
      <w:shd w:val="clear" w:color="auto" w:fill="auto"/>
      <w:lang w:eastAsia="mt-MT"/>
    </w:rPr>
  </w:style>
  <w:style w:type="character" w:customStyle="1" w:styleId="FooterCoverPageChar">
    <w:name w:val="Footer Cover Page Char"/>
    <w:link w:val="FooterCoverPage"/>
    <w:rPr>
      <w:sz w:val="24"/>
      <w:szCs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</w:style>
  <w:style w:type="character" w:customStyle="1" w:styleId="HeaderCoverPageChar">
    <w:name w:val="Header Cover Page Char"/>
    <w:link w:val="HeaderCoverPage"/>
    <w:rPr>
      <w:sz w:val="24"/>
      <w:szCs w:val="24"/>
    </w:rPr>
  </w:style>
  <w:style w:type="paragraph" w:styleId="BalloonText">
    <w:name w:val="Balloon Text"/>
    <w:basedOn w:val="Normal"/>
    <w:link w:val="BalloonTextChar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shd w:val="clear" w:color="auto" w:fill="auto"/>
      <w:lang w:eastAsia="mt-MT"/>
    </w:rPr>
  </w:style>
  <w:style w:type="character" w:styleId="CommentReference">
    <w:name w:val="annotation reference"/>
    <w:rPr>
      <w:sz w:val="16"/>
      <w:szCs w:val="16"/>
      <w:shd w:val="clear" w:color="auto" w:fill="auto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shd w:val="clear" w:color="auto" w:fill="auto"/>
      <w:lang w:eastAsia="mt-MT"/>
    </w:rPr>
  </w:style>
  <w:style w:type="paragraph" w:styleId="Revision">
    <w:name w:val="Revision"/>
    <w:hidden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ListBullet">
    <w:name w:val="List Bullet"/>
    <w:basedOn w:val="Normal"/>
    <w:pPr>
      <w:numPr>
        <w:numId w:val="41"/>
      </w:numPr>
      <w:spacing w:before="0" w:after="0"/>
      <w:jc w:val="left"/>
    </w:pPr>
  </w:style>
  <w:style w:type="character" w:styleId="FollowedHyperlink">
    <w:name w:val="FollowedHyperlink"/>
    <w:rPr>
      <w:color w:val="800080"/>
      <w:u w:val="single"/>
      <w:shd w:val="clear" w:color="auto" w:fill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st">
    <w:name w:val="st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shd w:val="clear" w:color="auto" w:fill="auto"/>
      <w:lang w:eastAsia="mt-MT"/>
    </w:rPr>
  </w:style>
  <w:style w:type="paragraph" w:styleId="NormalWeb">
    <w:name w:val="Normal (Web)"/>
    <w:basedOn w:val="Normal"/>
    <w:uiPriority w:val="99"/>
    <w:unhideWhenUsed/>
    <w:pPr>
      <w:spacing w:before="75" w:after="75"/>
      <w:jc w:val="left"/>
    </w:pPr>
  </w:style>
  <w:style w:type="character" w:customStyle="1" w:styleId="st1">
    <w:name w:val="st1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t-MT" w:eastAsia="mt-MT" w:bidi="mt-MT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spacing w:before="120" w:after="12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32"/>
      </w:numPr>
      <w:spacing w:before="360"/>
      <w:outlineLvl w:val="0"/>
    </w:pPr>
    <w:rPr>
      <w:b/>
      <w:bCs/>
      <w:smallCaps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32"/>
      </w:numPr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3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2"/>
      </w:numPr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compagnant">
    <w:name w:val="Accompagnant"/>
    <w:basedOn w:val="Normal"/>
    <w:next w:val="Normal"/>
    <w:pPr>
      <w:spacing w:before="0" w:after="240"/>
      <w:jc w:val="center"/>
    </w:pPr>
    <w:rPr>
      <w:b/>
      <w:i/>
    </w:rPr>
  </w:style>
  <w:style w:type="paragraph" w:customStyle="1" w:styleId="AccompagnantPagedecouverture">
    <w:name w:val="Accompagnant (Page de couverture)"/>
    <w:basedOn w:val="Accompagnant"/>
    <w:next w:val="Normal"/>
  </w:style>
  <w:style w:type="character" w:customStyle="1" w:styleId="Added">
    <w:name w:val="Added"/>
    <w:rPr>
      <w:b/>
      <w:u w:val="single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Normal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Bullet0">
    <w:name w:val="Bullet 0"/>
    <w:basedOn w:val="Normal"/>
    <w:pPr>
      <w:numPr>
        <w:numId w:val="1"/>
      </w:numPr>
    </w:pPr>
  </w:style>
  <w:style w:type="paragraph" w:customStyle="1" w:styleId="Bullet1">
    <w:name w:val="Bullet 1"/>
    <w:basedOn w:val="Normal"/>
    <w:pPr>
      <w:numPr>
        <w:numId w:val="2"/>
      </w:numPr>
    </w:pPr>
  </w:style>
  <w:style w:type="paragraph" w:customStyle="1" w:styleId="Bullet2">
    <w:name w:val="Bullet 2"/>
    <w:basedOn w:val="Normal"/>
    <w:pPr>
      <w:numPr>
        <w:numId w:val="3"/>
      </w:numPr>
    </w:pPr>
  </w:style>
  <w:style w:type="paragraph" w:customStyle="1" w:styleId="Bullet3">
    <w:name w:val="Bullet 3"/>
    <w:basedOn w:val="Normal"/>
    <w:pPr>
      <w:numPr>
        <w:numId w:val="4"/>
      </w:numPr>
    </w:pPr>
  </w:style>
  <w:style w:type="paragraph" w:customStyle="1" w:styleId="Bullet4">
    <w:name w:val="Bullet 4"/>
    <w:basedOn w:val="Normal"/>
    <w:pPr>
      <w:numPr>
        <w:numId w:val="5"/>
      </w:numPr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Normal"/>
    <w:pPr>
      <w:spacing w:before="240" w:after="240"/>
      <w:ind w:left="5103"/>
    </w:pPr>
    <w:rPr>
      <w:u w:val="single"/>
    </w:rPr>
  </w:style>
  <w:style w:type="paragraph" w:customStyle="1" w:styleId="Considrant">
    <w:name w:val="Considérant"/>
    <w:basedOn w:val="Normal"/>
    <w:pPr>
      <w:numPr>
        <w:numId w:val="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Normal"/>
    <w:pPr>
      <w:spacing w:before="360" w:after="0"/>
      <w:jc w:val="center"/>
    </w:pPr>
    <w:rPr>
      <w:b/>
    </w:rPr>
  </w:style>
  <w:style w:type="paragraph" w:customStyle="1" w:styleId="DatedadoptionPagedecouverture">
    <w:name w:val="Date d'adoption (Page de couverture)"/>
    <w:basedOn w:val="Datedadoption"/>
    <w:next w:val="Normal"/>
  </w:style>
  <w:style w:type="character" w:customStyle="1" w:styleId="Deleted">
    <w:name w:val="Deleted"/>
    <w:rPr>
      <w:strike/>
      <w:shd w:val="clear" w:color="auto" w:fill="auto"/>
    </w:rPr>
  </w:style>
  <w:style w:type="paragraph" w:customStyle="1" w:styleId="Emission">
    <w:name w:val="Emission"/>
    <w:basedOn w:val="Normal"/>
    <w:next w:val="Normal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Normal"/>
    <w:pPr>
      <w:keepNext/>
      <w:spacing w:after="0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rPr>
      <w:shd w:val="clear" w:color="auto" w:fill="auto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0" w:after="0"/>
      <w:ind w:left="720" w:hanging="720"/>
    </w:pPr>
    <w:rPr>
      <w:sz w:val="20"/>
      <w:szCs w:val="20"/>
    </w:rPr>
  </w:style>
  <w:style w:type="paragraph" w:customStyle="1" w:styleId="Formuledadoption">
    <w:name w:val="Formule d'adoption"/>
    <w:basedOn w:val="Normal"/>
    <w:next w:val="Normal"/>
    <w:pPr>
      <w:keepNext/>
    </w:pPr>
  </w:style>
  <w:style w:type="paragraph" w:styleId="Header">
    <w:name w:val="header"/>
    <w:basedOn w:val="Normal"/>
    <w:link w:val="HeaderChar"/>
    <w:uiPriority w:val="99"/>
    <w:pPr>
      <w:tabs>
        <w:tab w:val="center" w:pos="4535"/>
        <w:tab w:val="righ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Normal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IntrtEEEPagedecouverture">
    <w:name w:val="Intérêt EEE (Page de couverture)"/>
    <w:basedOn w:val="IntrtEEE"/>
    <w:next w:val="Normal"/>
  </w:style>
  <w:style w:type="paragraph" w:customStyle="1" w:styleId="Langue">
    <w:name w:val="Langue"/>
    <w:basedOn w:val="Normal"/>
    <w:next w:val="Normal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ManualHeading1">
    <w:name w:val="Manual Heading 1"/>
    <w:basedOn w:val="Normal"/>
    <w:next w:val="Normal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Normal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Normal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Normal"/>
    <w:pPr>
      <w:keepNext/>
      <w:tabs>
        <w:tab w:val="left" w:pos="850"/>
      </w:tabs>
      <w:ind w:left="850" w:hanging="850"/>
      <w:outlineLvl w:val="3"/>
    </w:pPr>
  </w:style>
  <w:style w:type="paragraph" w:customStyle="1" w:styleId="ManualNumPar1">
    <w:name w:val="Manual NumPar 1"/>
    <w:basedOn w:val="Normal"/>
    <w:next w:val="Normal"/>
    <w:pPr>
      <w:ind w:left="850" w:hanging="850"/>
    </w:pPr>
  </w:style>
  <w:style w:type="paragraph" w:customStyle="1" w:styleId="ManualNumPar2">
    <w:name w:val="Manual NumPar 2"/>
    <w:basedOn w:val="Normal"/>
    <w:next w:val="Normal"/>
    <w:pPr>
      <w:ind w:left="850" w:hanging="850"/>
    </w:pPr>
  </w:style>
  <w:style w:type="paragraph" w:customStyle="1" w:styleId="ManualNumPar3">
    <w:name w:val="Manual NumPar 3"/>
    <w:basedOn w:val="Normal"/>
    <w:next w:val="Normal"/>
    <w:pPr>
      <w:ind w:left="850" w:hanging="850"/>
    </w:pPr>
  </w:style>
  <w:style w:type="paragraph" w:customStyle="1" w:styleId="ManualNumPar4">
    <w:name w:val="Manual NumPar 4"/>
    <w:basedOn w:val="Normal"/>
    <w:next w:val="Normal"/>
    <w:pPr>
      <w:ind w:left="850" w:hanging="850"/>
    </w:pPr>
  </w:style>
  <w:style w:type="character" w:customStyle="1" w:styleId="Marker">
    <w:name w:val="Marker"/>
    <w:rPr>
      <w:color w:val="0000FF"/>
      <w:shd w:val="clear" w:color="auto" w:fill="auto"/>
    </w:rPr>
  </w:style>
  <w:style w:type="character" w:customStyle="1" w:styleId="Marker1">
    <w:name w:val="Marker1"/>
    <w:rPr>
      <w:color w:val="008000"/>
      <w:shd w:val="clear" w:color="auto" w:fill="auto"/>
    </w:rPr>
  </w:style>
  <w:style w:type="character" w:customStyle="1" w:styleId="Marker2">
    <w:name w:val="Marker2"/>
    <w:rPr>
      <w:color w:val="FF0000"/>
      <w:shd w:val="clear" w:color="auto" w:fill="auto"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NumPar1">
    <w:name w:val="NumPar 1"/>
    <w:basedOn w:val="Normal"/>
    <w:next w:val="Normal"/>
    <w:pPr>
      <w:numPr>
        <w:numId w:val="14"/>
      </w:numPr>
    </w:pPr>
  </w:style>
  <w:style w:type="paragraph" w:customStyle="1" w:styleId="NumPar2">
    <w:name w:val="NumPar 2"/>
    <w:basedOn w:val="Normal"/>
    <w:next w:val="Normal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Normal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Normal"/>
    <w:pPr>
      <w:numPr>
        <w:ilvl w:val="3"/>
        <w:numId w:val="14"/>
      </w:numPr>
    </w:pPr>
  </w:style>
  <w:style w:type="paragraph" w:customStyle="1" w:styleId="Objetacteprincipal">
    <w:name w:val="Objet acte principal"/>
    <w:basedOn w:val="Normal"/>
    <w:next w:val="Normal"/>
    <w:pPr>
      <w:spacing w:before="0" w:after="360"/>
      <w:jc w:val="center"/>
    </w:pPr>
    <w:rPr>
      <w:b/>
    </w:rPr>
  </w:style>
  <w:style w:type="paragraph" w:customStyle="1" w:styleId="ObjetacteprincipalPagedecouverture">
    <w:name w:val="Objet acte principal (Page de couverture)"/>
    <w:basedOn w:val="Objetacteprincipal"/>
    <w:next w:val="Normal"/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Personnequisigne">
    <w:name w:val="Personne qui signe"/>
    <w:basedOn w:val="Normal"/>
    <w:next w:val="Institutionquisigne"/>
    <w:pPr>
      <w:numPr>
        <w:numId w:val="31"/>
      </w:numPr>
      <w:tabs>
        <w:tab w:val="left" w:pos="4252"/>
      </w:tabs>
      <w:spacing w:before="0" w:after="0"/>
      <w:jc w:val="left"/>
    </w:pPr>
    <w:rPr>
      <w:i/>
    </w:r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0letter">
    <w:name w:val="Point 0 (letter)"/>
    <w:basedOn w:val="Normal"/>
    <w:pPr>
      <w:numPr>
        <w:ilvl w:val="1"/>
        <w:numId w:val="23"/>
      </w:numPr>
    </w:pPr>
  </w:style>
  <w:style w:type="paragraph" w:customStyle="1" w:styleId="Point0number">
    <w:name w:val="Point 0 (number)"/>
    <w:basedOn w:val="Normal"/>
    <w:pPr>
      <w:numPr>
        <w:numId w:val="23"/>
      </w:numPr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1letter">
    <w:name w:val="Point 1 (letter)"/>
    <w:basedOn w:val="Normal"/>
    <w:pPr>
      <w:numPr>
        <w:ilvl w:val="3"/>
        <w:numId w:val="23"/>
      </w:numPr>
    </w:pPr>
  </w:style>
  <w:style w:type="paragraph" w:customStyle="1" w:styleId="Point1number">
    <w:name w:val="Point 1 (number)"/>
    <w:basedOn w:val="Normal"/>
    <w:pPr>
      <w:numPr>
        <w:ilvl w:val="2"/>
        <w:numId w:val="23"/>
      </w:numPr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2letter">
    <w:name w:val="Point 2 (letter)"/>
    <w:basedOn w:val="Normal"/>
    <w:pPr>
      <w:numPr>
        <w:ilvl w:val="5"/>
        <w:numId w:val="23"/>
      </w:numPr>
    </w:pPr>
  </w:style>
  <w:style w:type="paragraph" w:customStyle="1" w:styleId="Point2number">
    <w:name w:val="Point 2 (number)"/>
    <w:basedOn w:val="Normal"/>
    <w:pPr>
      <w:numPr>
        <w:ilvl w:val="4"/>
        <w:numId w:val="23"/>
      </w:numPr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3letter">
    <w:name w:val="Point 3 (letter)"/>
    <w:basedOn w:val="Normal"/>
    <w:pPr>
      <w:numPr>
        <w:ilvl w:val="7"/>
        <w:numId w:val="23"/>
      </w:numPr>
    </w:pPr>
  </w:style>
  <w:style w:type="paragraph" w:customStyle="1" w:styleId="Point3number">
    <w:name w:val="Point 3 (number)"/>
    <w:basedOn w:val="Normal"/>
    <w:pPr>
      <w:numPr>
        <w:ilvl w:val="6"/>
        <w:numId w:val="23"/>
      </w:numPr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4letter">
    <w:name w:val="Point 4 (letter)"/>
    <w:basedOn w:val="Normal"/>
    <w:pPr>
      <w:numPr>
        <w:ilvl w:val="8"/>
        <w:numId w:val="2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Normal"/>
    <w:pPr>
      <w:spacing w:before="0" w:after="0"/>
      <w:ind w:left="5103"/>
      <w:jc w:val="left"/>
    </w:pPr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">
    <w:name w:val="Statut"/>
    <w:basedOn w:val="Normal"/>
    <w:next w:val="Normal"/>
    <w:pPr>
      <w:spacing w:before="360" w:after="0"/>
      <w:jc w:val="center"/>
    </w:pPr>
  </w:style>
  <w:style w:type="paragraph" w:customStyle="1" w:styleId="StatutPagedecouverture">
    <w:name w:val="Statut (Page de couverture)"/>
    <w:basedOn w:val="Statut"/>
    <w:next w:val="Normal"/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styleId="TOC1">
    <w:name w:val="toc 1"/>
    <w:basedOn w:val="Normal"/>
    <w:next w:val="Normal"/>
    <w:uiPriority w:val="39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semiHidden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semiHidden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semiHidden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</w:pPr>
  </w:style>
  <w:style w:type="paragraph" w:styleId="TOCHeading">
    <w:name w:val="TOC Heading"/>
    <w:basedOn w:val="Normal"/>
    <w:next w:val="Normal"/>
    <w:link w:val="TOCHeadingChar"/>
    <w:uiPriority w:val="39"/>
    <w:qFormat/>
    <w:pPr>
      <w:spacing w:after="240"/>
      <w:jc w:val="center"/>
    </w:pPr>
    <w:rPr>
      <w:b/>
      <w:sz w:val="28"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4"/>
      <w:szCs w:val="24"/>
      <w:lang w:eastAsia="mt-MT"/>
    </w:rPr>
  </w:style>
  <w:style w:type="character" w:customStyle="1" w:styleId="FooterChar">
    <w:name w:val="Footer Char"/>
    <w:link w:val="Footer"/>
    <w:uiPriority w:val="99"/>
    <w:rPr>
      <w:sz w:val="24"/>
      <w:szCs w:val="24"/>
      <w:lang w:eastAsia="mt-MT"/>
    </w:rPr>
  </w:style>
  <w:style w:type="character" w:customStyle="1" w:styleId="FootnoteTextChar">
    <w:name w:val="Footnote Text Char"/>
    <w:link w:val="FootnoteText"/>
    <w:uiPriority w:val="99"/>
    <w:semiHidden/>
    <w:rPr>
      <w:lang w:eastAsia="mt-MT"/>
    </w:rPr>
  </w:style>
  <w:style w:type="character" w:customStyle="1" w:styleId="Heading1Char">
    <w:name w:val="Heading 1 Char"/>
    <w:link w:val="Heading1"/>
    <w:rPr>
      <w:b/>
      <w:bCs/>
      <w:smallCaps/>
      <w:sz w:val="24"/>
      <w:szCs w:val="32"/>
      <w:lang w:eastAsia="mt-MT"/>
    </w:rPr>
  </w:style>
  <w:style w:type="character" w:customStyle="1" w:styleId="Heading2Char">
    <w:name w:val="Heading 2 Char"/>
    <w:link w:val="Heading2"/>
    <w:rPr>
      <w:b/>
      <w:bCs/>
      <w:iCs/>
      <w:sz w:val="24"/>
      <w:szCs w:val="28"/>
      <w:lang w:eastAsia="mt-MT"/>
    </w:rPr>
  </w:style>
  <w:style w:type="character" w:customStyle="1" w:styleId="Heading3Char">
    <w:name w:val="Heading 3 Char"/>
    <w:link w:val="Heading3"/>
    <w:rPr>
      <w:bCs/>
      <w:i/>
      <w:sz w:val="24"/>
      <w:szCs w:val="26"/>
      <w:lang w:eastAsia="mt-MT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TOCHeadingChar">
    <w:name w:val="TOC Heading Char"/>
    <w:link w:val="TOCHeading"/>
    <w:uiPriority w:val="39"/>
    <w:rPr>
      <w:b/>
      <w:sz w:val="28"/>
      <w:szCs w:val="24"/>
      <w:shd w:val="clear" w:color="auto" w:fill="auto"/>
      <w:lang w:eastAsia="mt-MT"/>
    </w:rPr>
  </w:style>
  <w:style w:type="character" w:customStyle="1" w:styleId="FooterCoverPageChar">
    <w:name w:val="Footer Cover Page Char"/>
    <w:link w:val="FooterCoverPage"/>
    <w:rPr>
      <w:sz w:val="24"/>
      <w:szCs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</w:style>
  <w:style w:type="character" w:customStyle="1" w:styleId="HeaderCoverPageChar">
    <w:name w:val="Header Cover Page Char"/>
    <w:link w:val="HeaderCoverPage"/>
    <w:rPr>
      <w:sz w:val="24"/>
      <w:szCs w:val="24"/>
    </w:rPr>
  </w:style>
  <w:style w:type="paragraph" w:styleId="BalloonText">
    <w:name w:val="Balloon Text"/>
    <w:basedOn w:val="Normal"/>
    <w:link w:val="BalloonTextChar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shd w:val="clear" w:color="auto" w:fill="auto"/>
      <w:lang w:eastAsia="mt-MT"/>
    </w:rPr>
  </w:style>
  <w:style w:type="character" w:styleId="CommentReference">
    <w:name w:val="annotation reference"/>
    <w:rPr>
      <w:sz w:val="16"/>
      <w:szCs w:val="16"/>
      <w:shd w:val="clear" w:color="auto" w:fill="auto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shd w:val="clear" w:color="auto" w:fill="auto"/>
      <w:lang w:eastAsia="mt-MT"/>
    </w:rPr>
  </w:style>
  <w:style w:type="paragraph" w:styleId="Revision">
    <w:name w:val="Revision"/>
    <w:hidden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ListBullet">
    <w:name w:val="List Bullet"/>
    <w:basedOn w:val="Normal"/>
    <w:pPr>
      <w:numPr>
        <w:numId w:val="41"/>
      </w:numPr>
      <w:spacing w:before="0" w:after="0"/>
      <w:jc w:val="left"/>
    </w:pPr>
  </w:style>
  <w:style w:type="character" w:styleId="FollowedHyperlink">
    <w:name w:val="FollowedHyperlink"/>
    <w:rPr>
      <w:color w:val="800080"/>
      <w:u w:val="single"/>
      <w:shd w:val="clear" w:color="auto" w:fill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st">
    <w:name w:val="st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shd w:val="clear" w:color="auto" w:fill="auto"/>
      <w:lang w:eastAsia="mt-MT"/>
    </w:rPr>
  </w:style>
  <w:style w:type="paragraph" w:styleId="NormalWeb">
    <w:name w:val="Normal (Web)"/>
    <w:basedOn w:val="Normal"/>
    <w:uiPriority w:val="99"/>
    <w:unhideWhenUsed/>
    <w:pPr>
      <w:spacing w:before="75" w:after="75"/>
      <w:jc w:val="left"/>
    </w:pPr>
  </w:style>
  <w:style w:type="character" w:customStyle="1" w:styleId="st1">
    <w:name w:val="st1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1982">
                  <w:marLeft w:val="0"/>
                  <w:marRight w:val="15"/>
                  <w:marTop w:val="90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18" Type="http://schemas.openxmlformats.org/officeDocument/2006/relationships/image" Target="media/image4.jpeg"/><Relationship Id="rId17" Type="http://schemas.openxmlformats.org/officeDocument/2006/relationships/image" Target="media/image3.jpeg"/><Relationship Id="rId16" Type="http://schemas.openxmlformats.org/officeDocument/2006/relationships/image" Target="media/image2.jpeg"/><Relationship Id="rId9" Type="http://schemas.openxmlformats.org/officeDocument/2006/relationships/image" Target="media/image1.jpeg"/></Relationships>
</file>

<file path=word/_rels/footnotes.xml.rels><?xml version='1.0' encoding='UTF-8' standalone='yes'?>
<Relationships xmlns="http://schemas.openxmlformats.org/package/2006/relationships"><Relationship Id="rId8" Type="http://schemas.openxmlformats.org/officeDocument/2006/relationships/hyperlink" Target="http://www.fao.org/fao-who-codexalimentarius/download/standards/34/CXG_002e_2015.pdf" TargetMode="External"/><Relationship Id="rId13" Type="http://schemas.openxmlformats.org/officeDocument/2006/relationships/hyperlink" Target="http://netbeer.org/downloads/EBCU%20Manifesto%202009-2014.pdf" TargetMode="External"/><Relationship Id="rId18" Type="http://schemas.openxmlformats.org/officeDocument/2006/relationships/hyperlink" Target="http://www.wineinmoderation.eu/en/content/Wine-Diet.82/" TargetMode="External"/><Relationship Id="rId26" Type="http://schemas.openxmlformats.org/officeDocument/2006/relationships/hyperlink" Target="http://data.consilium.europa.eu/doc/document/ST-15050-2015-INIT/mt/pdf" TargetMode="External"/><Relationship Id="rId3" Type="http://schemas.openxmlformats.org/officeDocument/2006/relationships/hyperlink" Target="http://eur-lex.europa.eu/legal-content/MT/TXT/?uri=COM:2008:0040:FIN" TargetMode="External"/><Relationship Id="rId21" Type="http://schemas.openxmlformats.org/officeDocument/2006/relationships/hyperlink" Target="https://webgate.ec.europa.eu/sanco/heidi/eahf/commitment/view/1721" TargetMode="External"/><Relationship Id="rId7" Type="http://schemas.openxmlformats.org/officeDocument/2006/relationships/hyperlink" Target="http://www.codexalimentarius.org/download/standards/32/CXS_001e.pdf" TargetMode="External"/><Relationship Id="rId12" Type="http://schemas.openxmlformats.org/officeDocument/2006/relationships/hyperlink" Target="file:///C:\Users\pelsssa\AppData\Local\Microsoft\Windows\Temporary%20Internet%20Files\Content.Outlook\QRBRV2F6\Informed%20food%20choices%20for%20healthier%20consumers%20%E2%80%93%20European%20Consumer%20Organisation&amp;apos;s%20(BEUC)%20position%20on%20nutrition%20(2015)" TargetMode="External"/><Relationship Id="rId17" Type="http://schemas.openxmlformats.org/officeDocument/2006/relationships/hyperlink" Target="http://spirits.eu/page.php?id=28&amp;parent_id=5" TargetMode="External"/><Relationship Id="rId25" Type="http://schemas.openxmlformats.org/officeDocument/2006/relationships/hyperlink" Target="http://www.europarl.europa.eu/sides/getDoc.do?pubRef=-//EP//TEXT+TA+P8-TA-2015-0174+0+DOC+XML+V0//MT" TargetMode="External"/><Relationship Id="rId2" Type="http://schemas.openxmlformats.org/officeDocument/2006/relationships/hyperlink" Target="http://eur-lex.europa.eu/legal-content/MT/TXT/?uri=celex:32003L0089F" TargetMode="External"/><Relationship Id="rId16" Type="http://schemas.openxmlformats.org/officeDocument/2006/relationships/hyperlink" Target="http://www.brewersofeurope.org/uploads/mycms-files/documents/publications/2014/european-beer-pledge-2014-web.pdf" TargetMode="External"/><Relationship Id="rId20" Type="http://schemas.openxmlformats.org/officeDocument/2006/relationships/hyperlink" Target="https://webgate.ec.europa.eu/sanco/heidi/eahf/commitment/view/1722" TargetMode="External"/><Relationship Id="rId1" Type="http://schemas.openxmlformats.org/officeDocument/2006/relationships/hyperlink" Target="http://eur-lex.europa.eu/legal-content/MT/ALL/?uri=CELEX%3A31979L0112" TargetMode="External"/><Relationship Id="rId6" Type="http://schemas.openxmlformats.org/officeDocument/2006/relationships/hyperlink" Target="http://eur-lex.europa.eu/legal-content/mt/ALL/?uri=CELEX:32006R1924" TargetMode="External"/><Relationship Id="rId11" Type="http://schemas.openxmlformats.org/officeDocument/2006/relationships/hyperlink" Target="http://www.dhs.de/fileadmin/user_upload/pdf/Pathways_for_Health-Project/delphisurvey_alcohol_labelling_crioc.pdf" TargetMode="External"/><Relationship Id="rId24" Type="http://schemas.openxmlformats.org/officeDocument/2006/relationships/hyperlink" Target="http://www.euro.who.int/__data/assets/pdf_file/0008/178163/E96726.pdf?ua=1" TargetMode="External"/><Relationship Id="rId5" Type="http://schemas.openxmlformats.org/officeDocument/2006/relationships/hyperlink" Target="http://eur-lex.europa.eu/legal-content/MT/TXT/?uri=celex:32008R0110" TargetMode="External"/><Relationship Id="rId15" Type="http://schemas.openxmlformats.org/officeDocument/2006/relationships/hyperlink" Target="http://www.eurocare.org/var/eurocare/storage/original/application/6ca93b669e6a6a2cd8eef1751f8697f2.pdf" TargetMode="External"/><Relationship Id="rId23" Type="http://schemas.openxmlformats.org/officeDocument/2006/relationships/hyperlink" Target="http://www.brewersofeurope.org/site/media-centre/post.php?doc_id=865" TargetMode="External"/><Relationship Id="rId10" Type="http://schemas.openxmlformats.org/officeDocument/2006/relationships/hyperlink" Target="file:///\\s-sanco-geo-clu\unitdir\E1\004.004.003.050.020%20LABELLING\F.I.C.%20-%20Implementation%20and%20Application\Report%20on%20alcoholic%20beverages\2.%20CIS\Consumer%20insights%20-%20knowledge%20of%20ingredient%20and%20nutrition%20information%20off-label%20information%20and%20its%20use%20-Report%20GfK%20Belgium%20(2014)" TargetMode="External"/><Relationship Id="rId19" Type="http://schemas.openxmlformats.org/officeDocument/2006/relationships/hyperlink" Target="http://www.diageo.com/en-row/newsmedia/pages/resource.aspx?resourceid=2929" TargetMode="External"/><Relationship Id="rId4" Type="http://schemas.openxmlformats.org/officeDocument/2006/relationships/hyperlink" Target="http://eur-lex.europa.eu/legal-content/mt/ALL/?uri=CELEX:31987L0250" TargetMode="External"/><Relationship Id="rId9" Type="http://schemas.openxmlformats.org/officeDocument/2006/relationships/hyperlink" Target="http://ec.europa.eu/food/safety/docs/labelling_legislation_study_food-info-vs-cons-decision_2014.pdf" TargetMode="External"/><Relationship Id="rId14" Type="http://schemas.openxmlformats.org/officeDocument/2006/relationships/hyperlink" Target="http://www.eurocare.org/var/eurocare/storage/original/application/6ca93b669e6a6a2cd8eef1751f8697f2.pdf" TargetMode="External"/><Relationship Id="rId22" Type="http://schemas.openxmlformats.org/officeDocument/2006/relationships/hyperlink" Target="http://spirits.eu/page.php?id=28&amp;parent_id=5" TargetMode="External"/><Relationship Id="rId27" Type="http://schemas.openxmlformats.org/officeDocument/2006/relationships/hyperlink" Target="http://ec.europa.eu/smart-regulation/guidelines/toc_guide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5446-23B8-4993-BD80-76AEC86E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3243</Words>
  <Characters>24729</Characters>
  <Application>Microsoft Office Word</Application>
  <DocSecurity>0</DocSecurity>
  <Lines>367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SANTE/11772/2016-EN Rev, 1</vt:lpstr>
    </vt:vector>
  </TitlesOfParts>
  <Company>European Commission</Company>
  <LinksUpToDate>false</LinksUpToDate>
  <CharactersWithSpaces>27861</CharactersWithSpaces>
  <SharedDoc>false</SharedDoc>
  <HLinks>
    <vt:vector size="282" baseType="variant"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_Toc447189669</vt:lpwstr>
      </vt:variant>
      <vt:variant>
        <vt:i4>1900605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_Toc447189668</vt:lpwstr>
      </vt:variant>
      <vt:variant>
        <vt:i4>1900605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_Toc447189667</vt:lpwstr>
      </vt:variant>
      <vt:variant>
        <vt:i4>1900605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_Toc447189666</vt:lpwstr>
      </vt:variant>
      <vt:variant>
        <vt:i4>1900605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_Toc447189665</vt:lpwstr>
      </vt:variant>
      <vt:variant>
        <vt:i4>1900605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_Toc447189664</vt:lpwstr>
      </vt:variant>
      <vt:variant>
        <vt:i4>1900605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_Toc447189663</vt:lpwstr>
      </vt:variant>
      <vt:variant>
        <vt:i4>1900605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_Toc447189662</vt:lpwstr>
      </vt:variant>
      <vt:variant>
        <vt:i4>1900605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_Toc447189661</vt:lpwstr>
      </vt:variant>
      <vt:variant>
        <vt:i4>1900605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_Toc447189660</vt:lpwstr>
      </vt:variant>
      <vt:variant>
        <vt:i4>1966141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_Toc447189659</vt:lpwstr>
      </vt:variant>
      <vt:variant>
        <vt:i4>1966141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_Toc447189658</vt:lpwstr>
      </vt:variant>
      <vt:variant>
        <vt:i4>1966141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_Toc447189657</vt:lpwstr>
      </vt:variant>
      <vt:variant>
        <vt:i4>1966141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_Toc447189656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_Toc447189655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_Toc447189654</vt:lpwstr>
      </vt:variant>
      <vt:variant>
        <vt:i4>1966141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_Toc447189653</vt:lpwstr>
      </vt:variant>
      <vt:variant>
        <vt:i4>1966141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_Toc447189652</vt:lpwstr>
      </vt:variant>
      <vt:variant>
        <vt:i4>6619174</vt:i4>
      </vt:variant>
      <vt:variant>
        <vt:i4>84</vt:i4>
      </vt:variant>
      <vt:variant>
        <vt:i4>0</vt:i4>
      </vt:variant>
      <vt:variant>
        <vt:i4>5</vt:i4>
      </vt:variant>
      <vt:variant>
        <vt:lpwstr>http://data.consilium.europa.eu/doc/document/ST-15050-2015-INIT/en/pdf</vt:lpwstr>
      </vt:variant>
      <vt:variant>
        <vt:lpwstr/>
      </vt:variant>
      <vt:variant>
        <vt:i4>5832771</vt:i4>
      </vt:variant>
      <vt:variant>
        <vt:i4>81</vt:i4>
      </vt:variant>
      <vt:variant>
        <vt:i4>0</vt:i4>
      </vt:variant>
      <vt:variant>
        <vt:i4>5</vt:i4>
      </vt:variant>
      <vt:variant>
        <vt:lpwstr>http://www.europarl.europa.eu/sides/getDoc.do?pubRef=-//EP//TEXT+TA+P8-TA-2015-0174+0+DOC+XML+V0//EN</vt:lpwstr>
      </vt:variant>
      <vt:variant>
        <vt:lpwstr/>
      </vt:variant>
      <vt:variant>
        <vt:i4>6946823</vt:i4>
      </vt:variant>
      <vt:variant>
        <vt:i4>78</vt:i4>
      </vt:variant>
      <vt:variant>
        <vt:i4>0</vt:i4>
      </vt:variant>
      <vt:variant>
        <vt:i4>5</vt:i4>
      </vt:variant>
      <vt:variant>
        <vt:lpwstr>http://www.euro.who.int/__data/assets/pdf_file/0008/178163/E96726.pdf?ua=1</vt:lpwstr>
      </vt:variant>
      <vt:variant>
        <vt:lpwstr/>
      </vt:variant>
      <vt:variant>
        <vt:i4>7667734</vt:i4>
      </vt:variant>
      <vt:variant>
        <vt:i4>75</vt:i4>
      </vt:variant>
      <vt:variant>
        <vt:i4>0</vt:i4>
      </vt:variant>
      <vt:variant>
        <vt:i4>5</vt:i4>
      </vt:variant>
      <vt:variant>
        <vt:lpwstr>http://www.brewersofeurope.org/site/media-centre/post.php?doc_id=865</vt:lpwstr>
      </vt:variant>
      <vt:variant>
        <vt:lpwstr/>
      </vt:variant>
      <vt:variant>
        <vt:i4>7012382</vt:i4>
      </vt:variant>
      <vt:variant>
        <vt:i4>72</vt:i4>
      </vt:variant>
      <vt:variant>
        <vt:i4>0</vt:i4>
      </vt:variant>
      <vt:variant>
        <vt:i4>5</vt:i4>
      </vt:variant>
      <vt:variant>
        <vt:lpwstr>http://spirits.eu/page.php?id=28&amp;parent_id=5</vt:lpwstr>
      </vt:variant>
      <vt:variant>
        <vt:lpwstr/>
      </vt:variant>
      <vt:variant>
        <vt:i4>5439577</vt:i4>
      </vt:variant>
      <vt:variant>
        <vt:i4>69</vt:i4>
      </vt:variant>
      <vt:variant>
        <vt:i4>0</vt:i4>
      </vt:variant>
      <vt:variant>
        <vt:i4>5</vt:i4>
      </vt:variant>
      <vt:variant>
        <vt:lpwstr>https://www.drinkiq.com/</vt:lpwstr>
      </vt:variant>
      <vt:variant>
        <vt:lpwstr/>
      </vt:variant>
      <vt:variant>
        <vt:i4>2752609</vt:i4>
      </vt:variant>
      <vt:variant>
        <vt:i4>66</vt:i4>
      </vt:variant>
      <vt:variant>
        <vt:i4>0</vt:i4>
      </vt:variant>
      <vt:variant>
        <vt:i4>5</vt:i4>
      </vt:variant>
      <vt:variant>
        <vt:lpwstr>http://www.ceev.eu/policy-dossiers/internal-market-food-safety</vt:lpwstr>
      </vt:variant>
      <vt:variant>
        <vt:lpwstr/>
      </vt:variant>
      <vt:variant>
        <vt:i4>7012382</vt:i4>
      </vt:variant>
      <vt:variant>
        <vt:i4>63</vt:i4>
      </vt:variant>
      <vt:variant>
        <vt:i4>0</vt:i4>
      </vt:variant>
      <vt:variant>
        <vt:i4>5</vt:i4>
      </vt:variant>
      <vt:variant>
        <vt:lpwstr>http://spirits.eu/page.php?id=28&amp;parent_id=5</vt:lpwstr>
      </vt:variant>
      <vt:variant>
        <vt:lpwstr/>
      </vt:variant>
      <vt:variant>
        <vt:i4>65631</vt:i4>
      </vt:variant>
      <vt:variant>
        <vt:i4>60</vt:i4>
      </vt:variant>
      <vt:variant>
        <vt:i4>0</vt:i4>
      </vt:variant>
      <vt:variant>
        <vt:i4>5</vt:i4>
      </vt:variant>
      <vt:variant>
        <vt:lpwstr>http://www.brewersofeurope.org/uploads/mycms-files/documents/publications/2014/european-beer-pledge-2014-web.pdf</vt:lpwstr>
      </vt:variant>
      <vt:variant>
        <vt:lpwstr/>
      </vt:variant>
      <vt:variant>
        <vt:i4>7209017</vt:i4>
      </vt:variant>
      <vt:variant>
        <vt:i4>57</vt:i4>
      </vt:variant>
      <vt:variant>
        <vt:i4>0</vt:i4>
      </vt:variant>
      <vt:variant>
        <vt:i4>5</vt:i4>
      </vt:variant>
      <vt:variant>
        <vt:lpwstr>http://www.eurocare.org/var/eurocare/storage/original/application/6ca93b669e6a6a2cd8eef1751f8697f2.pdf</vt:lpwstr>
      </vt:variant>
      <vt:variant>
        <vt:lpwstr/>
      </vt:variant>
      <vt:variant>
        <vt:i4>7209017</vt:i4>
      </vt:variant>
      <vt:variant>
        <vt:i4>54</vt:i4>
      </vt:variant>
      <vt:variant>
        <vt:i4>0</vt:i4>
      </vt:variant>
      <vt:variant>
        <vt:i4>5</vt:i4>
      </vt:variant>
      <vt:variant>
        <vt:lpwstr>http://www.eurocare.org/var/eurocare/storage/original/application/6ca93b669e6a6a2cd8eef1751f8697f2.pdf</vt:lpwstr>
      </vt:variant>
      <vt:variant>
        <vt:lpwstr/>
      </vt:variant>
      <vt:variant>
        <vt:i4>1835016</vt:i4>
      </vt:variant>
      <vt:variant>
        <vt:i4>51</vt:i4>
      </vt:variant>
      <vt:variant>
        <vt:i4>0</vt:i4>
      </vt:variant>
      <vt:variant>
        <vt:i4>5</vt:i4>
      </vt:variant>
      <vt:variant>
        <vt:lpwstr>http://netbeer.org/downloads/EBCU Manifesto 2009-2014.pdf</vt:lpwstr>
      </vt:variant>
      <vt:variant>
        <vt:lpwstr/>
      </vt:variant>
      <vt:variant>
        <vt:i4>4194392</vt:i4>
      </vt:variant>
      <vt:variant>
        <vt:i4>48</vt:i4>
      </vt:variant>
      <vt:variant>
        <vt:i4>0</vt:i4>
      </vt:variant>
      <vt:variant>
        <vt:i4>5</vt:i4>
      </vt:variant>
      <vt:variant>
        <vt:lpwstr>http://www.beuc.eu/publications/beuc-x-2015-008_pca_beuc_position_paper_on_nutrition.pdf</vt:lpwstr>
      </vt:variant>
      <vt:variant>
        <vt:lpwstr/>
      </vt:variant>
      <vt:variant>
        <vt:i4>6029397</vt:i4>
      </vt:variant>
      <vt:variant>
        <vt:i4>45</vt:i4>
      </vt:variant>
      <vt:variant>
        <vt:i4>0</vt:i4>
      </vt:variant>
      <vt:variant>
        <vt:i4>5</vt:i4>
      </vt:variant>
      <vt:variant>
        <vt:lpwstr>http://www.dhs.de/fileadmin/user_upload/pdf/Pathways_for_Health-Project/delphisurvey_alcohol_labelling_crioc.pdf</vt:lpwstr>
      </vt:variant>
      <vt:variant>
        <vt:lpwstr/>
      </vt:variant>
      <vt:variant>
        <vt:i4>5242885</vt:i4>
      </vt:variant>
      <vt:variant>
        <vt:i4>42</vt:i4>
      </vt:variant>
      <vt:variant>
        <vt:i4>0</vt:i4>
      </vt:variant>
      <vt:variant>
        <vt:i4>5</vt:i4>
      </vt:variant>
      <vt:variant>
        <vt:lpwstr>http://www.brewersofeurope.org/uploads/mycms-files/documents/publications/2015/GfK report - CONSUMER INSIGHTS - FINAL.pdf</vt:lpwstr>
      </vt:variant>
      <vt:variant>
        <vt:lpwstr/>
      </vt:variant>
      <vt:variant>
        <vt:i4>3211311</vt:i4>
      </vt:variant>
      <vt:variant>
        <vt:i4>39</vt:i4>
      </vt:variant>
      <vt:variant>
        <vt:i4>0</vt:i4>
      </vt:variant>
      <vt:variant>
        <vt:i4>5</vt:i4>
      </vt:variant>
      <vt:variant>
        <vt:lpwstr>http://ec.europa.eu/food/safety/docs/labelling_legislation_study_food-info-vs-cons-decision_2014.pdf</vt:lpwstr>
      </vt:variant>
      <vt:variant>
        <vt:lpwstr/>
      </vt:variant>
      <vt:variant>
        <vt:i4>3080234</vt:i4>
      </vt:variant>
      <vt:variant>
        <vt:i4>36</vt:i4>
      </vt:variant>
      <vt:variant>
        <vt:i4>0</vt:i4>
      </vt:variant>
      <vt:variant>
        <vt:i4>5</vt:i4>
      </vt:variant>
      <vt:variant>
        <vt:lpwstr>http://www.fao.org/fao-who-codexalimentarius/download/standards/34/CXG_002e_2015.pdf</vt:lpwstr>
      </vt:variant>
      <vt:variant>
        <vt:lpwstr/>
      </vt:variant>
      <vt:variant>
        <vt:i4>2097236</vt:i4>
      </vt:variant>
      <vt:variant>
        <vt:i4>33</vt:i4>
      </vt:variant>
      <vt:variant>
        <vt:i4>0</vt:i4>
      </vt:variant>
      <vt:variant>
        <vt:i4>5</vt:i4>
      </vt:variant>
      <vt:variant>
        <vt:lpwstr>http://www.codexalimentarius.org/download/standards/32/CXS_001e.pdf</vt:lpwstr>
      </vt:variant>
      <vt:variant>
        <vt:lpwstr/>
      </vt:variant>
      <vt:variant>
        <vt:i4>5308424</vt:i4>
      </vt:variant>
      <vt:variant>
        <vt:i4>30</vt:i4>
      </vt:variant>
      <vt:variant>
        <vt:i4>0</vt:i4>
      </vt:variant>
      <vt:variant>
        <vt:i4>5</vt:i4>
      </vt:variant>
      <vt:variant>
        <vt:lpwstr>http://www.iard.org/policy-tables/beverage-alcohol-labeling-requirements/</vt:lpwstr>
      </vt:variant>
      <vt:variant>
        <vt:lpwstr/>
      </vt:variant>
      <vt:variant>
        <vt:i4>524358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http://eur-lex.europa.eu/legal-content/en/ALL/?uri=CELEX%3A32006R1924</vt:lpwstr>
      </vt:variant>
      <vt:variant>
        <vt:lpwstr/>
      </vt:variant>
      <vt:variant>
        <vt:i4>3604541</vt:i4>
      </vt:variant>
      <vt:variant>
        <vt:i4>24</vt:i4>
      </vt:variant>
      <vt:variant>
        <vt:i4>0</vt:i4>
      </vt:variant>
      <vt:variant>
        <vt:i4>5</vt:i4>
      </vt:variant>
      <vt:variant>
        <vt:lpwstr>http://eur-lex.europa.eu/legal-content/en/ALL/?uri=CELEX:31991R1601</vt:lpwstr>
      </vt:variant>
      <vt:variant>
        <vt:lpwstr/>
      </vt:variant>
      <vt:variant>
        <vt:i4>2293821</vt:i4>
      </vt:variant>
      <vt:variant>
        <vt:i4>21</vt:i4>
      </vt:variant>
      <vt:variant>
        <vt:i4>0</vt:i4>
      </vt:variant>
      <vt:variant>
        <vt:i4>5</vt:i4>
      </vt:variant>
      <vt:variant>
        <vt:lpwstr>http://eur-lex.europa.eu/legal-content/EN/TXT/?uri=celex:32008R0110</vt:lpwstr>
      </vt:variant>
      <vt:variant>
        <vt:lpwstr/>
      </vt:variant>
      <vt:variant>
        <vt:i4>720974</vt:i4>
      </vt:variant>
      <vt:variant>
        <vt:i4>18</vt:i4>
      </vt:variant>
      <vt:variant>
        <vt:i4>0</vt:i4>
      </vt:variant>
      <vt:variant>
        <vt:i4>5</vt:i4>
      </vt:variant>
      <vt:variant>
        <vt:lpwstr>http://eur-lex.europa.eu/legal-content/EN/TXT/?qid=1458119824257&amp;uri=CELEX:32008R0479</vt:lpwstr>
      </vt:variant>
      <vt:variant>
        <vt:lpwstr/>
      </vt:variant>
      <vt:variant>
        <vt:i4>3473446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http://eur-lex.europa.eu/legal-content/en/ALL/?uri=CELEX:31987L0250</vt:lpwstr>
      </vt:variant>
      <vt:variant>
        <vt:lpwstr/>
      </vt:variant>
      <vt:variant>
        <vt:i4>5242956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http://eur-lex.europa.eu/legal-content/EN/TXT/?uri=COM:2008:0040:FIN</vt:lpwstr>
      </vt:variant>
      <vt:variant>
        <vt:lpwstr/>
      </vt:variant>
      <vt:variant>
        <vt:i4>7602277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http://eur-lex.europa.eu/legal-content/EN/TXT/?uri=celex%3A32003L0089F</vt:lpwstr>
      </vt:variant>
      <vt:variant>
        <vt:lpwstr/>
      </vt:variant>
      <vt:variant>
        <vt:i4>2818082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http://eur-lex.europa.eu/legal-content/EN/TXT/?uri=CELEX:32000L0013</vt:lpwstr>
      </vt:variant>
      <vt:variant>
        <vt:lpwstr/>
      </vt:variant>
      <vt:variant>
        <vt:i4>4128810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http://eur-lex.europa.eu/legal-content/en/ALL/?uri=CELEX:31979L0112</vt:lpwstr>
      </vt:variant>
      <vt:variant>
        <vt:lpwstr/>
      </vt:variant>
      <vt:variant>
        <vt:i4>720975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http://eur-lex.europa.eu/legal-content/EN/ALL/?uri=CELEX%3A32011R1169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SANTE/11772/2016-EN Rev, 1</dc:title>
  <dc:subject>Report</dc:subject>
  <dc:creator/>
  <cp:keywords>11772</cp:keywords>
  <dc:description>Outlook 19,1,2017</dc:description>
  <cp:lastModifiedBy/>
  <cp:revision>6</cp:revision>
  <cp:lastPrinted>2017-02-28T13:48:00Z</cp:lastPrinted>
  <dcterms:created xsi:type="dcterms:W3CDTF">2017-02-28T13:54:00Z</dcterms:created>
  <dcterms:modified xsi:type="dcterms:W3CDTF">2017-03-08T12:00:00Z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Classification">
    <vt:lpwstr> </vt:lpwstr>
  </property>
  <property fmtid="{D5CDD505-2E9C-101B-9397-08002B2CF9AE}" pid="5" name="DocStatus">
    <vt:lpwstr>Green</vt:lpwstr>
  </property>
  <property name="OP_sanitized" fmtid="{D5CDD505-2E9C-101B-9397-08002B2CF9AE}" pid="6">
    <vt:lpwstr>True</vt:lpwstr>
  </property>
</Properties>
</file>