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DE6C93C945594CDE93E7B5C8D54BD41C" style="width:450.4pt;height:361.65pt">
            <v:imagedata r:id="rId9" o:title=""/>
          </v:shape>
        </w:pict>
      </w:r>
    </w:p>
    <w:bookmarkEnd w:id="0"/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6" w:h="16838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rPr>
          <w:noProof/>
        </w:rPr>
      </w:pPr>
      <w:bookmarkStart w:id="1" w:name="_GoBack"/>
      <w:bookmarkEnd w:id="1"/>
    </w:p>
    <w:p>
      <w:pPr>
        <w:spacing w:after="200" w:line="276" w:lineRule="auto"/>
        <w:jc w:val="left"/>
        <w:rPr>
          <w:noProof/>
        </w:rPr>
      </w:pPr>
      <w:r>
        <w:rPr>
          <w:noProof/>
        </w:rPr>
        <w:br w:type="page"/>
      </w:r>
    </w:p>
    <w:p>
      <w:pPr>
        <w:pStyle w:val="Heading1"/>
        <w:numPr>
          <w:ilvl w:val="0"/>
          <w:numId w:val="0"/>
        </w:numPr>
        <w:ind w:left="480" w:hanging="480"/>
        <w:rPr>
          <w:noProof/>
        </w:rPr>
      </w:pPr>
      <w:bookmarkStart w:id="2" w:name="_Toc466977163"/>
      <w:r>
        <w:rPr>
          <w:noProof/>
        </w:rPr>
        <w:lastRenderedPageBreak/>
        <w:t>Introduzzjoni</w:t>
      </w:r>
      <w:bookmarkEnd w:id="2"/>
    </w:p>
    <w:p>
      <w:pPr>
        <w:jc w:val="center"/>
        <w:rPr>
          <w:noProof/>
        </w:rPr>
      </w:pPr>
      <w:r>
        <w:rPr>
          <w:noProof/>
          <w:lang w:val="en-US" w:eastAsia="en-US" w:bidi="ar-SA"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-5080</wp:posOffset>
            </wp:positionV>
            <wp:extent cx="1661795" cy="1541145"/>
            <wp:effectExtent l="0" t="0" r="0" b="1905"/>
            <wp:wrapTight wrapText="bothSides">
              <wp:wrapPolygon edited="0">
                <wp:start x="0" y="0"/>
                <wp:lineTo x="0" y="21360"/>
                <wp:lineTo x="21295" y="21360"/>
                <wp:lineTo x="2129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Matul l-aħħar 25 sena, l-UE kienet minn ta' quddiem fl-issettjar ta' standards għoljin għall-protezzjoni tal-ħaddiema kontra r-riskji għas-saħħa u s-sikurezza fuq ix-xogħol fit-territorju tagħha, u ppromwoviet livelli għoljin ta' protezzjoni f'pajjiżi terzi wkoll. Il-politika dwar is-saħħa u s-sikurezza fuq il-post tax-xogħol qed tikkontribwixxi għall-objettiv li jitjiebu s-saħħa u s-sikurezza tal-ħaddiema fl-UE. Skont l-iktar dejta riċenti disponibbli r-rata ta' inċidenza ta' mwiet fuq il-post tax-xogħol naqset bi kważi 25 % meta mqabbel mas-sitwazzjoni fl-2008</w:t>
      </w:r>
      <w:r>
        <w:rPr>
          <w:rStyle w:val="FootnoteReference"/>
          <w:noProof/>
        </w:rPr>
        <w:footnoteReference w:id="2"/>
      </w:r>
      <w:r>
        <w:rPr>
          <w:noProof/>
        </w:rPr>
        <w:t>,madankollu, b'tendenzi differenti fi Stati Membri individwali. Il-perċentwal ta' ħaddiema tal-UE li jirrappurtaw mill-inqas problema waħda tas-saħħa kkawżata mix-xogħol jew li ġiet aggravata minħabba x-xogħol naqas bi kważi 10 %</w:t>
      </w:r>
      <w:r>
        <w:rPr>
          <w:rStyle w:val="FootnoteReference"/>
          <w:noProof/>
        </w:rPr>
        <w:footnoteReference w:id="3"/>
      </w:r>
      <w:r>
        <w:rPr>
          <w:noProof/>
        </w:rPr>
        <w:t>.</w:t>
      </w:r>
    </w:p>
    <w:p>
      <w:pPr>
        <w:rPr>
          <w:noProof/>
        </w:rPr>
      </w:pPr>
      <w:r>
        <w:rPr>
          <w:noProof/>
          <w:lang w:val="en-US" w:eastAsia="en-US" w:bidi="ar-SA"/>
        </w:rPr>
        <w:drawing>
          <wp:anchor distT="0" distB="0" distL="114300" distR="114300" simplePos="0" relativeHeight="251749376" behindDoc="1" locked="0" layoutInCell="1" allowOverlap="1">
            <wp:simplePos x="0" y="0"/>
            <wp:positionH relativeFrom="column">
              <wp:posOffset>3876040</wp:posOffset>
            </wp:positionH>
            <wp:positionV relativeFrom="paragraph">
              <wp:posOffset>918845</wp:posOffset>
            </wp:positionV>
            <wp:extent cx="1804670" cy="1381760"/>
            <wp:effectExtent l="0" t="0" r="0" b="8890"/>
            <wp:wrapTight wrapText="bothSides">
              <wp:wrapPolygon edited="0">
                <wp:start x="912" y="0"/>
                <wp:lineTo x="0" y="1191"/>
                <wp:lineTo x="0" y="19654"/>
                <wp:lineTo x="684" y="21441"/>
                <wp:lineTo x="20293" y="21441"/>
                <wp:lineTo x="21205" y="19059"/>
                <wp:lineTo x="20977" y="1191"/>
                <wp:lineTo x="20293" y="0"/>
                <wp:lineTo x="912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L-investiment fis-saħħa u s-sikurezza fuq il-post tax-xogħol jagħmel ħafna sens. Dan itejjeb il-ħajja tan-nies billi jipprevjeni mard u inċidenti relatati max-xogħol u għandu wkoll effett pożittiv tanġibbli fuq l-ekonomiji tal-UE. Dan iwassal għal titjib fil-produttività u l-prestazzjoni tan-negozju. Fil-livell makroekonomiku, dan jikkontribwixxi għal kompetittività nazzjonali</w:t>
      </w:r>
      <w:r>
        <w:rPr>
          <w:rStyle w:val="FootnoteReference"/>
          <w:noProof/>
        </w:rPr>
        <w:footnoteReference w:id="4"/>
      </w:r>
      <w:r>
        <w:rPr>
          <w:noProof/>
        </w:rPr>
        <w:t>. Studji differenti juru li l-impjegatur se jkollu redditu doppju għal kull euro li jintefaq fuq is-saħħa u s-sikurezza fuq il-post tax-xogħol</w:t>
      </w:r>
      <w:r>
        <w:rPr>
          <w:rStyle w:val="FootnoteReference"/>
          <w:noProof/>
        </w:rPr>
        <w:footnoteReference w:id="5"/>
      </w:r>
      <w:r>
        <w:rPr>
          <w:noProof/>
        </w:rPr>
        <w:t>.</w:t>
      </w:r>
    </w:p>
    <w:p>
      <w:pPr>
        <w:rPr>
          <w:noProof/>
        </w:rPr>
      </w:pPr>
      <w:r>
        <w:rPr>
          <w:noProof/>
        </w:rPr>
        <w:t>Il-qafas leġiżlattiv tal-UE kellu rwol ċentrali fuq livell nazzjonali u tal-kumpaniji fit-tfassil ta' strateġiji tas-saħħa u s-sikurezza fuq il-post tax-xogħol. L-evalwazzjoni dettaljata ex post tal-acquis tal-UE, li tivverifika r-rilevanza tiegħu kif ukoll l-effiċjenza, l-effettività, il-koerenza u l-valur miżjud tal-UE, imwettqa mill-Kummissjoni tikkonferma li l-qafas jissodisfa l-ambizzjoni tagħha li tipproteġi lill-ħaddiema b'mod adegwat</w:t>
      </w:r>
      <w:r>
        <w:rPr>
          <w:rStyle w:val="FootnoteReference"/>
          <w:noProof/>
        </w:rPr>
        <w:footnoteReference w:id="6"/>
      </w:r>
      <w:r>
        <w:rPr>
          <w:noProof/>
        </w:rPr>
        <w:t xml:space="preserve">. Din l-evalwazzjoni REFIT inkludiet id-Direttiva Qafas 89/391/KEE u t-23 Direttiva relatati. </w:t>
      </w:r>
    </w:p>
    <w:p>
      <w:pPr>
        <w:rPr>
          <w:noProof/>
        </w:rPr>
      </w:pPr>
      <w:r>
        <w:rPr>
          <w:noProof/>
        </w:rPr>
        <w:t xml:space="preserve">Din ikkonkludiet li l-istruttura ġenerali tal-acquis tas-saħħa u s-sikurezza fuq il-post tax-xogħol tal-UE, li jikkonsisti minn Direttiva Qafas immirata lejn l-għanijiet issupplimentata minn Direttivi speċifiċi, hija ġeneralment effettiva u adattata għall-iskop. Madankollu, hija indikat dispożizzjonijiet speċifiċi ta' Direttivi individwali li skadew jew saru obsoleti, u enfasizzat il-bżonn li jinstabu modi effettivi biex jiġu indirizzati riskji ġodda. Il-mod li bih l-Istati Membri ttrasponew id-Direttivi tal-UE dwar is-saħħa u s-sikurezza fuq il-post tax-xogħol ivarja b'mod konsiderevoli bejn l-Istati Membri. L-ispejjeż ta' konformità għalhekk </w:t>
      </w:r>
      <w:r>
        <w:rPr>
          <w:noProof/>
        </w:rPr>
        <w:lastRenderedPageBreak/>
        <w:t xml:space="preserve">ivarjaw u ma jistgħux jiġu faċilment separati mir-rekwiżiti nazzjonali iktar dettaljati. Madankollu, b'mod ġenerali l-evalwazzjoni kkonkludiet b'mod ċar li l-konformità mad-Direttivi dwar is-saħħa u s-sikurezza fuq il-post tax-xogħol hija ta' sfida ikbar għall-SMEs milli għal stabbilimenti kbar, filwaqt li fl-istess ħin ir-rati ta' korrimenti maġġuri u fatali huma iktar għoljin għall-SMEs. Miżuri speċifiċi ta' appoġġ huma għalhekk meħtieġa sabiex jinlaħqu l-SMEs u jingħataw għajnuna sabiex iżidu l-konformità tagħhom b'mod effiċjenti u effettiv. </w:t>
      </w:r>
    </w:p>
    <w:p>
      <w:pPr>
        <w:rPr>
          <w:noProof/>
        </w:rPr>
      </w:pPr>
      <w:r>
        <w:rPr>
          <w:noProof/>
        </w:rPr>
        <w:t xml:space="preserve">Abbażi tal-evalwazzjoni dettaljata ex post, huwa ċar li l-UE għandha tkompli tinvesti fis-saħħa u s-sikurezza fuq il-post tax-xogħol sabiex tibqa' fuq quddiem u tiżgura protezzjoni effettiva tal-ħaddiema wkoll fl-isfond tan-natura li qed tinbidel tax-xogħol u riskji ġodda. Il-miżuri tas-saħħa u s-sikurezza fuq il-post tax-xogħol għandhom jilħqu l-ikbar numru possibbli ta' nies fuq il-post tax-xogħol, indipendentement mit-tip ta' relazzjoni tax-xogħol li jinsabu fiha, u indipendentement mid-daqs tal-kumpanija li jaħdmu għaliha. Il-konformità mar-regoli tas-saħħa u s-sikurezza fuq il-post tax-xogħol għandha tkun maniġġabbli għal negozji ta' kull daqs u ssorveljata b'mod effettiv fil-post. Il-miżuri jenħtieġ li jkunu mmirati lejn ir-riżultati, flok ikunu bbażati fuq it-teorija, u għandu jsir użu massimu ta' għodod diġitali ġodda sabiex tiġi ffaċilitata l-implimentazzjoni. </w:t>
      </w:r>
    </w:p>
    <w:p>
      <w:pPr>
        <w:rPr>
          <w:noProof/>
        </w:rPr>
      </w:pPr>
      <w:r>
        <w:rPr>
          <w:noProof/>
        </w:rPr>
        <w:t>Fir-rapport tiegħu tal-2015 dwar Qafas Strateġiku tal-UE dwar is-Saħħa u s-Sikurezza Okkupazzjonali 2014-2020</w:t>
      </w:r>
      <w:r>
        <w:rPr>
          <w:rStyle w:val="FootnoteReference"/>
          <w:noProof/>
        </w:rPr>
        <w:footnoteReference w:id="7"/>
      </w:r>
      <w:r>
        <w:rPr>
          <w:noProof/>
        </w:rPr>
        <w:t xml:space="preserve">, il-Parlament Ewropew ġibed l-attenzjoni tal-Kummissjoni wkoll għall-importanza tal-implimentazzjoni, il-konformità u l-infurzar tal-leġiżlazzjoni tas-saħħa u s-sikurezza fuq il-post tax-xogħol kif ukoll għal numru ta' riskji li qed jiżdiedu jew riskji ġodda. Ir-rapport notevolment enfasizza wkoll il-bżonn li jiġu protetti l-ħaddiema kollha irrispettivament mid-daqs tal-impjegatur, it-tip ta' xogħol jew kuntratt. </w:t>
      </w:r>
    </w:p>
    <w:p>
      <w:pPr>
        <w:rPr>
          <w:noProof/>
        </w:rPr>
      </w:pPr>
      <w:r>
        <w:rPr>
          <w:noProof/>
        </w:rPr>
        <w:t>Filwaqt li jitqiesu dawn l-objettivi komuni u bħala parti mill-istrateġija globali tagħha għal sistemi moderni ta' impjieg u soċjali fl-UE – kif rifless fil-konsultazzjoni wiesgħa tagħha dwar Pilastru Ewropew tad-Drittijiet Soċjali mniedi f'Marzu – l-azzjonijiet ewlenin li ġejjin, ipprovduti f'iktar dettall fl-Anness 1, jagħtu spinta ġdida lill-Qafas Strateġiku tal-UE dwar is-Saħħa u s-Sikurezza Okkupazzjonali 2014-2020</w:t>
      </w:r>
      <w:r>
        <w:rPr>
          <w:noProof/>
          <w:vertAlign w:val="superscript"/>
        </w:rPr>
        <w:footnoteReference w:id="8"/>
      </w:r>
      <w:r>
        <w:rPr>
          <w:noProof/>
        </w:rPr>
        <w:t xml:space="preserve">: </w:t>
      </w: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212"/>
      </w:tblGrid>
      <w:tr>
        <w:trPr>
          <w:trHeight w:val="992"/>
        </w:trPr>
        <w:tc>
          <w:tcPr>
            <w:tcW w:w="9212" w:type="dxa"/>
            <w:shd w:val="clear" w:color="auto" w:fill="EEECE1" w:themeFill="background2"/>
          </w:tcPr>
          <w:p>
            <w:pPr>
              <w:jc w:val="center"/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br/>
              <w:t>L-Aqwa Tliet Azzjonijiet dwar is-Saħħa u s-Si</w:t>
            </w:r>
            <w:r>
              <w:rPr>
                <w:b/>
                <w:noProof/>
              </w:rPr>
              <w:t>kurezza Okkupazzjonali</w:t>
            </w:r>
          </w:p>
          <w:p>
            <w:pPr>
              <w:spacing w:before="120" w:after="0"/>
              <w:ind w:left="360"/>
              <w:rPr>
                <w:noProof/>
                <w:sz w:val="22"/>
              </w:rPr>
            </w:pPr>
            <w:r>
              <w:rPr>
                <w:rFonts w:eastAsiaTheme="minorEastAsia"/>
                <w:noProof/>
                <w:sz w:val="22"/>
              </w:rPr>
              <w:t>1)</w:t>
            </w:r>
            <w:r>
              <w:rPr>
                <w:noProof/>
              </w:rPr>
              <w:tab/>
            </w:r>
            <w:r>
              <w:rPr>
                <w:rFonts w:eastAsiaTheme="minorEastAsia"/>
                <w:noProof/>
                <w:sz w:val="22"/>
              </w:rPr>
              <w:t>L-intensifikazzjoni tal-ġlieda kontra l-kanċer okkupazzjonali permezz ta' proposti leġiżlattivi akkumpanjati minn żieda fil-gwida u s-sensibilizzazzjoni;</w:t>
            </w:r>
          </w:p>
          <w:p>
            <w:pPr>
              <w:spacing w:before="120" w:after="0"/>
              <w:ind w:left="360"/>
              <w:rPr>
                <w:noProof/>
                <w:sz w:val="22"/>
              </w:rPr>
            </w:pPr>
            <w:r>
              <w:rPr>
                <w:rFonts w:eastAsiaTheme="minorEastAsia"/>
                <w:noProof/>
                <w:sz w:val="22"/>
              </w:rPr>
              <w:t>2)</w:t>
            </w:r>
            <w:r>
              <w:rPr>
                <w:noProof/>
              </w:rPr>
              <w:tab/>
            </w:r>
            <w:r>
              <w:rPr>
                <w:rFonts w:eastAsiaTheme="minorEastAsia"/>
                <w:noProof/>
                <w:sz w:val="22"/>
              </w:rPr>
              <w:t>L-għajnuna lin-negozji, b'mod partikolari l-mikrointrapriżi u l-SMEs, sabiex jikkonformaw mar-regoli dwar is-saħħa u s-sikurezza okkupazzjonali;</w:t>
            </w:r>
          </w:p>
          <w:p>
            <w:pPr>
              <w:spacing w:before="120" w:after="0"/>
              <w:ind w:left="360"/>
              <w:rPr>
                <w:noProof/>
              </w:rPr>
            </w:pPr>
            <w:r>
              <w:rPr>
                <w:rFonts w:eastAsiaTheme="minorEastAsia"/>
                <w:noProof/>
                <w:sz w:val="22"/>
              </w:rPr>
              <w:t>3)</w:t>
            </w:r>
            <w:r>
              <w:rPr>
                <w:noProof/>
              </w:rPr>
              <w:tab/>
            </w:r>
            <w:r>
              <w:rPr>
                <w:rFonts w:eastAsiaTheme="minorEastAsia"/>
                <w:noProof/>
                <w:sz w:val="22"/>
              </w:rPr>
              <w:t>Il-kooperazzjoni mal-Istati Membri u s-sħab soċjali sabiex jitneħħew jew jiġu aġġornati r-regoli skaduti u jiġu kkonċentrati mill-ġdid l-isforzi għall-iżgurar ta' protezzjoni, konformità u infurzar fil-post aħjar u iktar wiesgħa.</w:t>
            </w:r>
          </w:p>
        </w:tc>
      </w:tr>
    </w:tbl>
    <w:p>
      <w:pPr>
        <w:rPr>
          <w:noProof/>
        </w:rPr>
      </w:pPr>
      <w:bookmarkStart w:id="3" w:name="_Toc466391746"/>
      <w:bookmarkStart w:id="4" w:name="_Toc466977165"/>
      <w:bookmarkEnd w:id="3"/>
    </w:p>
    <w:p>
      <w:pPr>
        <w:rPr>
          <w:noProof/>
        </w:rPr>
      </w:pPr>
    </w:p>
    <w:p>
      <w:pPr>
        <w:pStyle w:val="Text1"/>
        <w:rPr>
          <w:noProof/>
        </w:rPr>
      </w:pPr>
    </w:p>
    <w:p>
      <w:pPr>
        <w:pStyle w:val="Heading1"/>
        <w:rPr>
          <w:noProof/>
        </w:rPr>
      </w:pPr>
      <w:r>
        <w:rPr>
          <w:noProof/>
        </w:rPr>
        <w:t>Il-ġlieda kontra l-kanċer okkupazzjonali u l-indirizzar tas-sustanzi kimiċi perikolużi</w:t>
      </w:r>
      <w:bookmarkEnd w:id="4"/>
      <w:r>
        <w:rPr>
          <w:noProof/>
        </w:rPr>
        <w:t xml:space="preserve"> </w:t>
      </w:r>
    </w:p>
    <w:p>
      <w:pPr>
        <w:pStyle w:val="Text2"/>
        <w:spacing w:after="120"/>
        <w:ind w:left="0"/>
        <w:rPr>
          <w:noProof/>
        </w:rPr>
      </w:pPr>
      <w:r>
        <w:rPr>
          <w:noProof/>
        </w:rPr>
        <w:t xml:space="preserve">Ġie stmat li fl-UE bejn 91 500 – 150 500 persuna b'esponiment passat għal sustanzi karċinoġeniċi fuq il-post tax-xogħol ġew dijanjostikati  bil-kanċer fl-2012. Barra minn hekk, bejn 57 700 – 106 500 mewt bil-kanċer ġew attribwiti għall-esponiment relatat max-xogħol għal sustanzi karċinoġeniċi fl-2012; dan juri li l-kanċer huwa l-kawża ewlenija ta' mwiet relatati max-xogħol fl-UE. </w:t>
      </w:r>
    </w:p>
    <w:p>
      <w:pPr>
        <w:pStyle w:val="Text2"/>
        <w:spacing w:after="120"/>
        <w:ind w:left="0"/>
        <w:rPr>
          <w:noProof/>
        </w:rPr>
      </w:pPr>
      <w:r>
        <w:rPr>
          <w:noProof/>
        </w:rPr>
        <w:t>Ma tantx huwa possibbli li l-valur tal-ħajja umana u t-telf tal-</w:t>
      </w:r>
      <w:r>
        <w:rPr>
          <w:noProof/>
          <w:lang w:val="en-US" w:eastAsia="en-US" w:bidi="ar-SA"/>
        </w:rPr>
        <w:drawing>
          <wp:inline distT="0" distB="0" distL="0" distR="0">
            <wp:extent cx="1804012" cy="1392865"/>
            <wp:effectExtent l="0" t="0" r="635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00481" cy="1390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>kwalità tal-ħajja jiġu kkwantifikati. L-ispejjeż diretti tal-kanċer relatat max-xogħol f'termini ta' kura tas-saħħa u telf fil-produttività jammontaw mill-inqas għal madwar EUR 4-7 biljuni fis-sena. L-ispejjeż indiretti jistgħu jilħqu sa madwar EUR 334 biljun (242 – 440) kull sena</w:t>
      </w:r>
      <w:r>
        <w:rPr>
          <w:rStyle w:val="FootnoteReference"/>
          <w:noProof/>
        </w:rPr>
        <w:footnoteReference w:id="9"/>
      </w:r>
      <w:r>
        <w:rPr>
          <w:noProof/>
        </w:rPr>
        <w:t>.</w:t>
      </w:r>
    </w:p>
    <w:p>
      <w:pPr>
        <w:pStyle w:val="Text2"/>
        <w:spacing w:after="120"/>
        <w:ind w:left="0"/>
        <w:rPr>
          <w:noProof/>
          <w:szCs w:val="24"/>
        </w:rPr>
      </w:pPr>
      <w:r>
        <w:rPr>
          <w:noProof/>
        </w:rPr>
        <w:t xml:space="preserve">Il-miżuri nazzjonali f'dan il-qasam ivarjaw b'mod sinifikanti, u dan iwassal għal livelli differenti fil-protezzjoni tal-ħaddiema madwar l-UE. </w:t>
      </w:r>
    </w:p>
    <w:p>
      <w:pPr>
        <w:rPr>
          <w:noProof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1706155" cy="1275907"/>
            <wp:effectExtent l="0" t="0" r="8890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07078" cy="127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 w:bidi="ar-SA"/>
        </w:rPr>
        <w:t xml:space="preserve"> </w:t>
      </w:r>
      <w:r>
        <w:rPr>
          <w:noProof/>
        </w:rPr>
        <w:t xml:space="preserve">Fil-livell tal-UE, l-istandards minimi għall-protezzjoni tal-ħaddiema mill-esponiment għal sustanzi kimiċi fuq ix-xogħol huma stabbiliti permezz tad-Direttiva dwar il-Karċinoġeni u Mutaġeniċi (id-Direttiva 2004/37), id-Direttiva dwar l-Aġenti Kimiċi (id-Direttiva 98/24) u d-Direttiva dwar l-Asbestos (id-Direttiva 2009/148). Dawn jikkumplimentaw azzjoni skont ir-Regolament (KE) Nru 1907/2006 dwar ir-reġistrazzjoni, il-valutazzjoni, l-awtorizzazzjoni u r-restrizzjoni ta' sustanzi kimiċi ("REACH") u biċċiet oħra ta' regolamentazzjoni tas-sustanzi kimiċi billi jiffokaw fuq sitwazzjonijiet speċifiċi fuq il-post tax-xogħol. </w:t>
      </w:r>
    </w:p>
    <w:p>
      <w:pPr>
        <w:rPr>
          <w:i/>
          <w:noProof/>
        </w:rPr>
      </w:pPr>
      <w:r>
        <w:rPr>
          <w:noProof/>
        </w:rPr>
        <w:t xml:space="preserve">Il-valuri ta' limitu għas-sustanzi kimiċi madwar l-UE jippromwovu l-livelli ta' protezzjoni fl-UE, filwaqt li jikkontribwixxu għal titjib fil-kundizzjonijiet ekwi għan-negozji u jgħinu lill-kumpaniji joperaw b'mod transkonfinali u għalhekk jiffrankaw l-ispejjeż ta' konformità peress li jistgħu jużaw l-istess teknoloġija sabiex jipproteġu ħaddiema f'postijiet differenti. Hemm ukoll element importanti ta' ekonomiji ta' skala fil-valutazzjonijiet xjentifiċi kumplessi li huwa bbażat fuqhom l-istabbiliment ta' valuri ta' limitu speċifiċi għal sustanzi kimiċi, li jippermetti lill-Istati Membri jittrasferixxu iktar riżorsi finanzjarji għal miżuri ta' protezzjoni u </w:t>
      </w:r>
      <w:r>
        <w:rPr>
          <w:noProof/>
        </w:rPr>
        <w:lastRenderedPageBreak/>
        <w:t>prevenzjoni. Għalhekk huwa importanti li jiġu riveduti jew adottati valuri ta' limitu ġodda tal-UE għas-sustanzi l-iktar perikolużi.</w:t>
      </w:r>
    </w:p>
    <w:p>
      <w:pPr>
        <w:rPr>
          <w:noProof/>
        </w:rPr>
      </w:pPr>
      <w:r>
        <w:rPr>
          <w:noProof/>
        </w:rPr>
        <w:t>Wara l-proposta biex tiġi emendata d-Direttiva dwar il-Karċinoġeni u l-Mutaġeniċi u biex jiġu stabbiliti, jew riveduti, il-valuri ta' limitu ta' esponiment okkupazzjonali rigward 13-il aġent kimiku adottata fit-13 ta' Mejju 2016</w:t>
      </w:r>
      <w:r>
        <w:rPr>
          <w:rStyle w:val="FootnoteReference"/>
          <w:noProof/>
        </w:rPr>
        <w:footnoteReference w:id="10"/>
      </w:r>
      <w:r>
        <w:rPr>
          <w:noProof/>
        </w:rPr>
        <w:t xml:space="preserve">, illum il-Kummissjoni tadotta proposta ġdida li ttejjeb il-protezzjoni ta' 4 miljun ħaddiem fl-UE billi taġixxi fuq iktar aġenti kimiċi karċinoġeniċi. Hija impenjat ruħha li tkompli bl-isforzi għall-prevenzjoni ta' mwiet ikkawżati minn kanċer relatat max-xogħol u problemi oħra tas-saħħa permezz ta' iktar proposti leġiżlattivi. </w:t>
      </w:r>
    </w:p>
    <w:tbl>
      <w:tblPr>
        <w:tblStyle w:val="TableGrid"/>
        <w:tblW w:w="9362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9362"/>
      </w:tblGrid>
      <w:tr>
        <w:trPr>
          <w:trHeight w:val="484"/>
        </w:trPr>
        <w:tc>
          <w:tcPr>
            <w:tcW w:w="9362" w:type="dxa"/>
            <w:shd w:val="clear" w:color="auto" w:fill="EEECE1" w:themeFill="background2"/>
          </w:tcPr>
          <w:p>
            <w:pPr>
              <w:jc w:val="center"/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br/>
              <w:t xml:space="preserve">Leġiżlazzjoni sabiex tittejjeb il-protezzjoni kontra sustanzi perikolużi </w:t>
            </w:r>
            <w:r>
              <w:rPr>
                <w:b/>
                <w:noProof/>
                <w:u w:val="single"/>
              </w:rPr>
              <w:br/>
              <w:t>u jiġi miġġieled il-kanċer okkupazzjonali</w:t>
            </w:r>
          </w:p>
          <w:p>
            <w:pPr>
              <w:pStyle w:val="ListParagraph"/>
              <w:numPr>
                <w:ilvl w:val="0"/>
                <w:numId w:val="13"/>
              </w:numPr>
              <w:spacing w:before="120"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7F7F7F" w:themeColor="text1" w:themeTint="80"/>
              </w:rPr>
            </w:pPr>
            <w:r>
              <w:rPr>
                <w:rFonts w:ascii="Times New Roman" w:hAnsi="Times New Roman"/>
                <w:noProof/>
              </w:rPr>
              <w:t>It-tieni emenda tad-Direttiva dwar il-Karċinoġeni u l-Mutaġeni</w:t>
            </w:r>
          </w:p>
          <w:p>
            <w:pPr>
              <w:pStyle w:val="ListParagraph"/>
              <w:spacing w:before="120" w:after="0"/>
              <w:jc w:val="both"/>
              <w:rPr>
                <w:rFonts w:ascii="Times New Roman" w:hAnsi="Times New Roman" w:cs="Times New Roman"/>
                <w:noProof/>
                <w:sz w:val="18"/>
                <w:szCs w:val="16"/>
              </w:rPr>
            </w:pPr>
          </w:p>
          <w:p>
            <w:pPr>
              <w:pStyle w:val="ListParagraph"/>
              <w:numPr>
                <w:ilvl w:val="0"/>
                <w:numId w:val="13"/>
              </w:numPr>
              <w:spacing w:before="120"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7F7F7F" w:themeColor="text1" w:themeTint="80"/>
              </w:rPr>
            </w:pPr>
            <w:r>
              <w:rPr>
                <w:rFonts w:ascii="Times New Roman" w:hAnsi="Times New Roman"/>
                <w:noProof/>
              </w:rPr>
              <w:t>Emendi sussegwenti tad-Direttiva dwar il-Karċinoġeni u l-Mutaġeni huma previsti rigward sustanzi bħall-formaldeid, il-berillju, il-kadmju, komposti tal-kromu VI u komposti tan-nikil. Beda x-xogħol sabiex tiġi ppreżentata proposta ġdida tal-Kummissjoni maħsuba għall-bidu tal-2018.</w:t>
            </w:r>
          </w:p>
          <w:p>
            <w:pPr>
              <w:pStyle w:val="ListParagraph"/>
              <w:spacing w:before="120" w:after="0"/>
              <w:ind w:left="360"/>
              <w:jc w:val="both"/>
              <w:rPr>
                <w:rFonts w:ascii="Times New Roman" w:hAnsi="Times New Roman" w:cs="Times New Roman"/>
                <w:noProof/>
                <w:sz w:val="18"/>
                <w:szCs w:val="16"/>
              </w:rPr>
            </w:pPr>
          </w:p>
          <w:p>
            <w:pPr>
              <w:pStyle w:val="ListParagraph"/>
              <w:numPr>
                <w:ilvl w:val="0"/>
                <w:numId w:val="13"/>
              </w:numPr>
              <w:spacing w:before="120" w:after="0"/>
              <w:jc w:val="both"/>
              <w:rPr>
                <w:b/>
                <w:bCs/>
                <w:i/>
                <w:iCs/>
                <w:noProof/>
                <w:color w:val="7F7F7F" w:themeColor="text1" w:themeTint="80"/>
              </w:rPr>
            </w:pPr>
            <w:r>
              <w:rPr>
                <w:rFonts w:ascii="Times New Roman" w:hAnsi="Times New Roman"/>
                <w:noProof/>
              </w:rPr>
              <w:t xml:space="preserve">B'mod parallel, se tkompli l-ħidma fuq it-tisħiħ tar-rilevanza u l-effettività tad-Direttiva dwar l-Aġenti Kimiċi billi jiġu riveduti u stabbiliti iktar limiti ta' valur ta' esponiment (indikattivi) okkupazzjonali u limiti ta' valur bijoloġiċi eżistenti fl-2017 u l-2018.  </w:t>
            </w:r>
          </w:p>
        </w:tc>
      </w:tr>
    </w:tbl>
    <w:p>
      <w:pPr>
        <w:rPr>
          <w:noProof/>
        </w:rPr>
      </w:pPr>
      <w:r>
        <w:rPr>
          <w:noProof/>
        </w:rPr>
        <w:t>Bażi xjentifika soda hija indispensabbli sabiex tirfed kwalunkwe azzjoni tas-saħħa u s-sikurezza fuq il-post tax-xogħol, b'mod partikolari rigward sustanzi kimiċi perikolużi. Il-Kummissjoni se titlob parir mingħand il-Kumitat Xjentifiku għal-Limiti tal-Espożizzjoni għal Sustanzi Kimiċi fuq il-Post tax-Xogħol jew mingħand il-Kumitat għall-Istima tar-Riskji tal-Aġenzija Ewropea għas-Sustanzi Kimiċi. Il-valutazzjonijiet xjentifiċi minn dawn is-sorsi se jservu bħala l-bażi għal proposti suġġetti għal valutazzjoni tal-impatt u djalogu soċjali kif ukoll konsultazzjoni tripartitika</w:t>
      </w:r>
      <w:r>
        <w:rPr>
          <w:rStyle w:val="FootnoteReference"/>
          <w:noProof/>
        </w:rPr>
        <w:footnoteReference w:id="11"/>
      </w:r>
      <w:r>
        <w:rPr>
          <w:noProof/>
        </w:rPr>
        <w:t>.</w:t>
      </w:r>
    </w:p>
    <w:p>
      <w:pPr>
        <w:rPr>
          <w:noProof/>
        </w:rPr>
      </w:pPr>
      <w:r>
        <w:rPr>
          <w:noProof/>
        </w:rPr>
        <w:t>Wara r-riżultati tal-istudju "HazChem@Work" ikkuntrattat mill-Kummissjoni, fil-bidu tal-2017 se tiġi stabbilita bażi ta' dejta fuq l-esponiment okkupazzjonali għal xi sustanzi kimiċi perikolużi</w:t>
      </w:r>
      <w:r>
        <w:rPr>
          <w:rStyle w:val="FootnoteReference"/>
          <w:noProof/>
        </w:rPr>
        <w:footnoteReference w:id="12"/>
      </w:r>
      <w:r>
        <w:rPr>
          <w:noProof/>
        </w:rPr>
        <w:t>. Dan se jkun pass importanti lejn disponibbiltà u kondiviżjoni aħjar tad-dejta dwar l-effetti tas-saħħa, il-potenzjal ta' esponiment u l-eżistenza ta' valuri ta' limitu nazzjonali okkupazzjonali rigward sustanzi perikolużi prijoritarji. Barra minn hekk, il-Kummissjoni se żżid l-analiżi tad-dejta miksuba u tkompli tirfinaha permezz ta ' sorsi ewlenin ta' informazzjoni</w:t>
      </w:r>
      <w:r>
        <w:rPr>
          <w:rStyle w:val="FootnoteReference"/>
          <w:noProof/>
        </w:rPr>
        <w:footnoteReference w:id="13"/>
      </w:r>
      <w:r>
        <w:rPr>
          <w:noProof/>
        </w:rPr>
        <w:t xml:space="preserve"> u se taħdem b'mod attiv sabiex tippermetti l-progress tal-ġbir tad-dejta tal-</w:t>
      </w:r>
      <w:r>
        <w:rPr>
          <w:noProof/>
        </w:rPr>
        <w:lastRenderedPageBreak/>
        <w:t>Istatistika tal-Mard Okkupazzjonali Ewropew.</w:t>
      </w:r>
      <w:r>
        <w:rPr>
          <w:noProof/>
          <w:vertAlign w:val="superscript"/>
        </w:rPr>
        <w:footnoteReference w:id="14"/>
      </w:r>
      <w:r>
        <w:rPr>
          <w:noProof/>
        </w:rPr>
        <w:t xml:space="preserve"> Azzjoni promettenti oħra hija l-Inizjattiva Ewropea tal-Bijomonitoraġġ Uman, li hija inizjattiva konġunta ewlenija ġdida ffinanzjata minn Orizzont 2020 u 26 Stat Membru sabiex tiġġenera evidenza xjentifika ġdida minn dejta armonizzata dwar l-esponimenti għal sustanzi kimiċi u s-saħħa</w:t>
      </w:r>
      <w:r>
        <w:rPr>
          <w:rStyle w:val="FootnoteReference"/>
          <w:noProof/>
        </w:rPr>
        <w:footnoteReference w:id="15"/>
      </w:r>
      <w:r>
        <w:rPr>
          <w:noProof/>
        </w:rPr>
        <w:t>.</w:t>
      </w:r>
    </w:p>
    <w:p>
      <w:pPr>
        <w:rPr>
          <w:noProof/>
        </w:rPr>
      </w:pPr>
      <w:r>
        <w:rPr>
          <w:noProof/>
        </w:rPr>
        <w:t>Il-protezzjoni tal-ħaddiema mill-esponimenti għal sustanzi kimiċi perikolużi hija mħarsa mid-Direttivi dwar is-sustanzi kimiċi rigward is-saħħa u s-sikurezza fuq il-post tax-xogħol u hija msaħħa b'mod sinifikanti mir-Regolament REACH u atti legali oħra li jirregolaw is-sustanzi kimiċi. Opinjoni riċenti tal-pjattaforma REFIT</w:t>
      </w:r>
      <w:r>
        <w:rPr>
          <w:rStyle w:val="FootnoteReference"/>
          <w:noProof/>
        </w:rPr>
        <w:footnoteReference w:id="16"/>
      </w:r>
      <w:r>
        <w:rPr>
          <w:noProof/>
        </w:rPr>
        <w:t xml:space="preserve"> irrikonoxxiet il-komplementarjetà taż-żewġ sistemi, iżda rrakkomandat li l-Kummissjoni għandha tqajjem kuxjenza u toħroġ gwida dwar l-implimentazzjoni tagħhom sabiex l-interfaċċji bejn ir-Regolament REACH u s-saħħa u s-sikurezza fuq il-post tax-xogħol jiġu stabbiliti b'mod ċar. Konsegwentement, għaddej iktar xogħol kemm fuq livell xjentifiku kif ukoll fuq livell amministrattiv sabiex jitneħħew kwalunkwe inċertezzi u trikkib fid-disinn u l-applikazzjoni prattika ta' dan il-qafas konġunt tal-UE għat-trattament ta' sustanzi kimiċi perikolużi. Il-Kummissjoni impenjat ruħha li tippreżenta approċċ komuni fl-2017.</w:t>
      </w:r>
    </w:p>
    <w:p>
      <w:pPr>
        <w:rPr>
          <w:noProof/>
        </w:rPr>
      </w:pPr>
      <w:r>
        <w:rPr>
          <w:noProof/>
        </w:rPr>
        <w:t xml:space="preserve">L-azzjoni leġiżlattiva għandha tiġi segwita permezz ta' implimentazzjoni effettiva fil-post tax-xogħol. F'dan il-kuntest, l-Aġenzija Ewropea għas-Sigurtà u s-Saħħa fuq il-Post tax-Xogħol se torganizza Kampanja ta' Postijiet tax-Xogħol Ħielsa mill-Periklu dwar sustanzi perikolużi fl-2018-2019 u l-Kumitat ta’ Spetturi Għolja tax-Xogħol se jippubblika gwidi rilevanti, bħal gwida dwar il-prevenzjoni tal-esponimenti għas-silika kristallina respirabbli. </w:t>
      </w:r>
    </w:p>
    <w:p>
      <w:pPr>
        <w:rPr>
          <w:noProof/>
          <w:szCs w:val="24"/>
        </w:rPr>
      </w:pPr>
    </w:p>
    <w:p>
      <w:pPr>
        <w:pStyle w:val="Heading1"/>
        <w:rPr>
          <w:noProof/>
        </w:rPr>
      </w:pPr>
      <w:bookmarkStart w:id="5" w:name="_Toc466456189"/>
      <w:bookmarkStart w:id="6" w:name="_Toc466456723"/>
      <w:bookmarkStart w:id="7" w:name="_Toc466456968"/>
      <w:bookmarkStart w:id="8" w:name="_Toc466456999"/>
      <w:bookmarkStart w:id="9" w:name="_Toc466391749"/>
      <w:bookmarkEnd w:id="5"/>
      <w:bookmarkEnd w:id="6"/>
      <w:bookmarkEnd w:id="7"/>
      <w:bookmarkEnd w:id="8"/>
      <w:bookmarkEnd w:id="9"/>
      <w:r>
        <w:rPr>
          <w:noProof/>
        </w:rPr>
        <w:t>Għajnuna lin-negozji sabiex jikkonformaw mar-regoli dwar is-saħħa u s-sikurezza fuq il-post tax-xogħol</w:t>
      </w:r>
    </w:p>
    <w:p>
      <w:pPr>
        <w:pStyle w:val="Heading2"/>
        <w:rPr>
          <w:noProof/>
        </w:rPr>
      </w:pPr>
      <w:r>
        <w:rPr>
          <w:noProof/>
        </w:rPr>
        <w:t>Appoġġ biex il-mikrointrapriżi u l-SMEs ikunu konformi</w:t>
      </w:r>
    </w:p>
    <w:p>
      <w:pPr>
        <w:rPr>
          <w:noProof/>
          <w:szCs w:val="24"/>
        </w:rPr>
      </w:pPr>
      <w:r>
        <w:rPr>
          <w:noProof/>
          <w:lang w:val="en-US" w:eastAsia="en-US" w:bidi="ar-SA"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3820795</wp:posOffset>
            </wp:positionH>
            <wp:positionV relativeFrom="paragraph">
              <wp:posOffset>1460500</wp:posOffset>
            </wp:positionV>
            <wp:extent cx="1955165" cy="1456055"/>
            <wp:effectExtent l="0" t="0" r="6985" b="0"/>
            <wp:wrapTight wrapText="bothSides">
              <wp:wrapPolygon edited="0">
                <wp:start x="631" y="0"/>
                <wp:lineTo x="0" y="1413"/>
                <wp:lineTo x="0" y="18934"/>
                <wp:lineTo x="631" y="21195"/>
                <wp:lineTo x="20625" y="21195"/>
                <wp:lineTo x="20835" y="20630"/>
                <wp:lineTo x="21467" y="18369"/>
                <wp:lineTo x="21256" y="1130"/>
                <wp:lineTo x="20625" y="0"/>
                <wp:lineTo x="631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L-obbligu legali li jiġu vvalutati r-riskji għas-saħħa u s-sikurezza fuq il-post tax-xogħol fuq bażi ta' każ b'każ, b'kont meħud tal-ispeċifiċitajiet ta' kull post tax-xogħol, huwa fil-qalba tal-leġiżlazzjoni tal-UE dwar is-saħħa u s-sikurezza fuq il-post tax-xogħol. Bħala tali, dan l-approċċ ta' każ b'każ jipprovdi l-flessibbiltà meħtieġa sabiex il-valutazzjonijiet tar-riskju, il-miżuri preventivi u t-taħriġ jiġu mfassla apposta għas-settur speċifiku li fih ikun involut in-negozju, l-attivitajiet tal-ħaddiema tiegħu, id-daqs tan-negozju, il-ġeneru u l- kompożizzjoni tal-età tal-forza tax-xogħol, ir-riskji emerġenti ġodda, eċċ. Madankollu, fil-prattika dik il-flessibbiltà mhux dejjem tintuża. </w:t>
      </w:r>
    </w:p>
    <w:p>
      <w:pPr>
        <w:rPr>
          <w:noProof/>
          <w:szCs w:val="24"/>
        </w:rPr>
      </w:pPr>
      <w:r>
        <w:rPr>
          <w:noProof/>
        </w:rPr>
        <w:t>Kif muri mill-evalwazzjoni,</w:t>
      </w:r>
      <w:r>
        <w:rPr>
          <w:b/>
          <w:noProof/>
        </w:rPr>
        <w:t xml:space="preserve"> </w:t>
      </w:r>
      <w:r>
        <w:rPr>
          <w:noProof/>
        </w:rPr>
        <w:t>il-mikrointrapriżi u l-SMEs ibatu biex iqiegħdu fis-seħħ il-miżuri neċessarji għall-ġestjoni tas-saħħa u s-sikurezza fuq il-post tax-xogħol. Il-mikrointrapriżi jirrappreżentaw kważi 93 % tal-intrapriżi kollha fl-UE.</w:t>
      </w:r>
      <w:r>
        <w:rPr>
          <w:noProof/>
          <w:vertAlign w:val="superscript"/>
        </w:rPr>
        <w:footnoteReference w:id="17"/>
      </w:r>
      <w:r>
        <w:rPr>
          <w:noProof/>
        </w:rPr>
        <w:t xml:space="preserve"> 69 % biss tal-mikrointrapriżi jiddikjaraw li jwettqu valutazzjonijiet tar-riskji għas-saħħa u s-sikurezza fuq il-post tax-xogħol regolari (kontra 96 % tal-intrapriżi kbar).</w:t>
      </w:r>
      <w:r>
        <w:rPr>
          <w:noProof/>
          <w:vertAlign w:val="superscript"/>
        </w:rPr>
        <w:footnoteReference w:id="18"/>
      </w:r>
      <w:r>
        <w:rPr>
          <w:noProof/>
        </w:rPr>
        <w:t xml:space="preserve"> Dan mhuwiex minħabba li huma inqas lesti li jipproteġu l-ħaddiema tagħhom, iżda huwa relatat ma' riżorsi finanzjarji, tekniċi u umani iktar limitati kif ukoll nuqqas ta' għarfien u kompetenza meta mqabbla ma' stabbilimenti ikbar. </w:t>
      </w:r>
    </w:p>
    <w:p>
      <w:pPr>
        <w:rPr>
          <w:noProof/>
          <w:szCs w:val="24"/>
        </w:rPr>
      </w:pPr>
      <w:r>
        <w:rPr>
          <w:noProof/>
        </w:rPr>
        <w:t>Il-partijiet ikkonċernati kollha, inklużi fl-ewwel lok l-SMEs infushom</w:t>
      </w:r>
      <w:r>
        <w:rPr>
          <w:rStyle w:val="FootnoteReference"/>
          <w:noProof/>
        </w:rPr>
        <w:footnoteReference w:id="19"/>
      </w:r>
      <w:r>
        <w:rPr>
          <w:noProof/>
        </w:rPr>
        <w:t>, jaqblu li f'dan il-qasam l-għoti ta' eżenzjonijiet għall-SMEs mhuwiex l-aħjar approċċ, minħabba li jibżgħu li dan jista' potenzjalment inaqqas il-livell ta' protezzjoni tal-ħaddiema tal-SMEs. Barra minn hekk, hemm evidenza konsiderevoli li turi riskju ikbar ta' korrimenti serji u mwiet fl-intrapriżi mikro u żgħar milli fl-istabbilimenti kbar</w:t>
      </w:r>
      <w:r>
        <w:rPr>
          <w:rStyle w:val="FootnoteReference"/>
          <w:noProof/>
        </w:rPr>
        <w:footnoteReference w:id="20"/>
      </w:r>
      <w:r>
        <w:rPr>
          <w:noProof/>
        </w:rPr>
        <w:t xml:space="preserve">. Madankollu, il-konformità għandha ssir iktar sempliċi u orħos u dan jeħtieġ miżuri ta' appoġġ speċifiċi għall-SMEs u l-mikrointrapriżi.  </w:t>
      </w:r>
    </w:p>
    <w:p>
      <w:pPr>
        <w:rPr>
          <w:noProof/>
          <w:szCs w:val="24"/>
        </w:rPr>
      </w:pPr>
      <w:r>
        <w:rPr>
          <w:noProof/>
        </w:rPr>
        <w:t>Fuq il-bażi tas-sejbiet tal-evalwazzjoni, il-Kummissjoni f'kooperazzjoni tal-Aġenzija Ewropea għas-Sigurtà u s-Saħħa fuq il-Post tax-Xogħol se torganizza reviżjoni sabiex l-Istati Membri u s-sħab soċjali jiskambjaw l-aħjar prattiki dwar il-modi kif jitnaqqsu l-ispejjeż ta' konformità tal-SMEs u b'hekk tiżdied il-konformità (eż. inċentivi finanzjarji, għodod diġitali, eċċ) filwaqt li jinżammu livelli ta' protezzjoni ugwali għall-ħaddiema irrispettivament mid-daqs tal-kumpanija li jaħdmu għaliha. B'mod ċar, madankollu, huma jeħtieġu għarfien aħjar, iktar appoġġ u proċeduri iktar ċari u effiċjenti biex jintlaħaq livell ogħla ta' konformità.</w:t>
      </w:r>
    </w:p>
    <w:p>
      <w:pPr>
        <w:rPr>
          <w:b/>
          <w:noProof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19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212"/>
      </w:tblGrid>
      <w:tr>
        <w:tc>
          <w:tcPr>
            <w:tcW w:w="9212" w:type="dxa"/>
            <w:shd w:val="clear" w:color="auto" w:fill="EEECE1" w:themeFill="background2"/>
          </w:tcPr>
          <w:p>
            <w:pPr>
              <w:jc w:val="center"/>
              <w:rPr>
                <w:b/>
                <w:noProof/>
                <w:u w:val="single"/>
              </w:rPr>
            </w:pPr>
            <w:r>
              <w:rPr>
                <w:b/>
                <w:noProof/>
                <w:szCs w:val="24"/>
                <w:u w:val="single"/>
              </w:rPr>
              <w:br/>
            </w:r>
            <w:r>
              <w:rPr>
                <w:b/>
                <w:noProof/>
                <w:u w:val="single"/>
              </w:rPr>
              <w:t xml:space="preserve"> L-aħjar użu tal-valutazzjonijiet tar-riskju</w:t>
            </w:r>
          </w:p>
          <w:p>
            <w:pPr>
              <w:rPr>
                <w:noProof/>
                <w:szCs w:val="24"/>
              </w:rPr>
            </w:pPr>
            <w:r>
              <w:rPr>
                <w:noProof/>
                <w:sz w:val="22"/>
              </w:rPr>
              <w:t xml:space="preserve">Sabiex tgħin lin-negozji jagħmlu l-aħjar użu tal-valutazzjonijiet tar-riskju, il-miżuri preventivi u t-taħriġ obbligatorji, il-Kummissjoni tagħmel disponibbli llum </w:t>
            </w:r>
            <w:r>
              <w:rPr>
                <w:b/>
                <w:noProof/>
                <w:sz w:val="22"/>
              </w:rPr>
              <w:t>dokument ta' gwida prattika</w:t>
            </w:r>
            <w:r>
              <w:rPr>
                <w:rStyle w:val="FootnoteReference"/>
                <w:b/>
                <w:noProof/>
                <w:sz w:val="22"/>
              </w:rPr>
              <w:footnoteReference w:id="21"/>
            </w:r>
            <w:r>
              <w:rPr>
                <w:b/>
                <w:noProof/>
                <w:sz w:val="22"/>
              </w:rPr>
              <w:t>.</w:t>
            </w:r>
          </w:p>
        </w:tc>
      </w:tr>
    </w:tbl>
    <w:p>
      <w:pPr>
        <w:rPr>
          <w:noProof/>
          <w:szCs w:val="24"/>
        </w:rPr>
      </w:pPr>
    </w:p>
    <w:p>
      <w:pPr>
        <w:rPr>
          <w:noProof/>
          <w:szCs w:val="24"/>
        </w:rPr>
      </w:pPr>
      <w:r>
        <w:rPr>
          <w:noProof/>
        </w:rPr>
        <w:t>Apparti l-gwida ġenerali ppreżentata fid-dokument anness, fl-2017, il-Kummissjoni se tiffinalizza u tqassam gwidi iktar dettaljati u mmirati dwar il-ġestjoni tar-riskji fl-agrikoltura u s-sajd. Fl-2017 se tiġi ppubblikata gwida elettronika interattiva dwar is-sikurezza tal-vetturi relatata max-xogħol. Il-ġestjoni tas-saħħa u s-sikurezza fuq il-post tax-xogħol f'dawn is-setturi b'riskju għoli hija partikolarment ta' sfida u n-numri ta' inċidenti huma fost l-iktar għoljin. Il-gwidi se jgħinu lill-impjegaturi, speċjalment fl-SMEs, itejbu b'mod effettiv il-prevenzjoni ta' inċidenti u mard. Il-Kummissjoni se tinvolvi wkoll lin-Netwerk Enterprise Europew biex tqajjem kuxjenza u tipprovdi appoġġ lill-SMEs f'dan ir-rigward.</w:t>
      </w:r>
    </w:p>
    <w:p>
      <w:pPr>
        <w:rPr>
          <w:noProof/>
          <w:szCs w:val="24"/>
        </w:rPr>
      </w:pPr>
      <w:r>
        <w:rPr>
          <w:noProof/>
        </w:rPr>
        <w:t xml:space="preserve">Fil-livell nazzjonali wkoll, iktar u iktar Stati Membri jiddedikaw parti importanti tal-ħidma tal-politika tas-saħħa u s-sikurezza fuq il-post tax-xogħol tagħhom biex jilħqu u jagħmlu għodod xierqa għal intrapriżi mikro u SMEs. L-Istati Membri huma mistiedna f'dan il-kuntest biex, bl-istess mod, jissottolinjaw l-importanza ta' valutazzjonijiet tar-riskju orjentati lejn ir-riżultati u biex jaqsmu l-aħjar prattiki dwar miżuri preventivi u taħriġ. </w:t>
      </w:r>
    </w:p>
    <w:p>
      <w:pPr>
        <w:rPr>
          <w:noProof/>
          <w:szCs w:val="24"/>
        </w:rPr>
      </w:pPr>
    </w:p>
    <w:tbl>
      <w:tblPr>
        <w:tblStyle w:val="TableGrid"/>
        <w:tblpPr w:leftFromText="180" w:rightFromText="180" w:vertAnchor="text" w:horzAnchor="margin" w:tblpY="19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212"/>
      </w:tblGrid>
      <w:tr>
        <w:tc>
          <w:tcPr>
            <w:tcW w:w="9212" w:type="dxa"/>
            <w:shd w:val="clear" w:color="auto" w:fill="EEECE1" w:themeFill="background2"/>
          </w:tcPr>
          <w:p>
            <w:pPr>
              <w:jc w:val="center"/>
              <w:rPr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br/>
            </w:r>
            <w:r>
              <w:rPr>
                <w:b/>
                <w:noProof/>
                <w:u w:val="single"/>
              </w:rPr>
              <w:t>Użu ta' għodod ibbażati fuq l-internet</w:t>
            </w:r>
          </w:p>
          <w:p>
            <w:pPr>
              <w:rPr>
                <w:noProof/>
                <w:sz w:val="22"/>
                <w:szCs w:val="24"/>
              </w:rPr>
            </w:pPr>
            <w:r>
              <w:rPr>
                <w:noProof/>
                <w:sz w:val="22"/>
              </w:rPr>
              <w:t>Il-Kummissjoni titlob lill-Istati Membri biex jinkorporaw bis-sħiħ l-użu ta' għodod ta' valutazzjoni tar-riskju ibbażati fuq l-internet fis-sistemi legali tagħhom.</w:t>
            </w:r>
          </w:p>
        </w:tc>
      </w:tr>
    </w:tbl>
    <w:p>
      <w:pPr>
        <w:rPr>
          <w:noProof/>
          <w:szCs w:val="24"/>
        </w:rPr>
      </w:pPr>
    </w:p>
    <w:p>
      <w:pPr>
        <w:rPr>
          <w:noProof/>
          <w:szCs w:val="24"/>
        </w:rPr>
      </w:pPr>
      <w:r>
        <w:rPr>
          <w:noProof/>
        </w:rPr>
        <w:t>Finalment, l-Aġenzija Ewropea għas-Sigurtà u s-Saħħa fuq il-Post tax-Xogħol tagħti kontribut importanti, permezz ta' kampanji ta' sensibilizzazzjoni tar-riskji tagħha u l-iżvilupp u t-tixrid ta' għodod interattivi online ta' valutazzjoni tar-riskju. Il-Valutazzjoni tar-Riskju Interattiva Online (OiRA)</w:t>
      </w:r>
      <w:r>
        <w:rPr>
          <w:noProof/>
          <w:vertAlign w:val="superscript"/>
        </w:rPr>
        <w:footnoteReference w:id="22"/>
      </w:r>
      <w:r>
        <w:rPr>
          <w:noProof/>
        </w:rPr>
        <w:t xml:space="preserve">  u għodod simili nazzjonali tagħhom ibbażati fuq l-internet (żviluppati pereżempju fin-Netherlands, l-Irlanda jew il-Polonja) huma partikolarment utli peress li jipprovdu informazzjoni mingħajr ħlas speċifika għas-settur u jiggwidaw lill-impjegaturi fil-passi kollha tal- proċess tal-valutazzjoni tar-riskji, filwaqt li awtomatikament jiġġeneraw rekord dokumentat li jista' jintuża bħala prova ta' konformità u bħala mezz biex tiġi mmonitorjata l-effettività tal-pjan tal-ġestjoni tar-riskju. Tali għodod għandhom jiġu estiżi b'mod sinifikanti u l-użu tagħhom għandu jiġu rikonoxxut u integrat fir-rekwiżiti nazzjonali għal konformità mal-obbligi ta' valutazzjoni tar-riskju. </w:t>
      </w:r>
    </w:p>
    <w:p>
      <w:pPr>
        <w:rPr>
          <w:noProof/>
          <w:szCs w:val="24"/>
        </w:rPr>
      </w:pPr>
    </w:p>
    <w:tbl>
      <w:tblPr>
        <w:tblStyle w:val="TableGrid"/>
        <w:tblpPr w:leftFromText="180" w:rightFromText="180" w:vertAnchor="text" w:horzAnchor="margin" w:tblpY="19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212"/>
      </w:tblGrid>
      <w:tr>
        <w:tc>
          <w:tcPr>
            <w:tcW w:w="9212" w:type="dxa"/>
            <w:shd w:val="clear" w:color="auto" w:fill="EEECE1" w:themeFill="background2"/>
          </w:tcPr>
          <w:p>
            <w:pPr>
              <w:jc w:val="center"/>
              <w:rPr>
                <w:noProof/>
                <w:szCs w:val="24"/>
                <w:u w:val="single"/>
              </w:rPr>
            </w:pPr>
            <w:r>
              <w:rPr>
                <w:b/>
                <w:noProof/>
                <w:szCs w:val="24"/>
                <w:u w:val="single"/>
              </w:rPr>
              <w:br/>
            </w:r>
            <w:r>
              <w:rPr>
                <w:b/>
                <w:noProof/>
                <w:u w:val="single"/>
              </w:rPr>
              <w:t xml:space="preserve">L-azzjonijiet tal- </w:t>
            </w:r>
            <w:r>
              <w:rPr>
                <w:noProof/>
                <w:u w:val="single"/>
              </w:rPr>
              <w:t xml:space="preserve"> '</w:t>
            </w:r>
            <w:r>
              <w:rPr>
                <w:b/>
                <w:noProof/>
                <w:u w:val="single"/>
              </w:rPr>
              <w:t>Valutazzjoni tar-Riskju Interattiva Online (OiRA)'</w:t>
            </w:r>
          </w:p>
          <w:p>
            <w:pPr>
              <w:numPr>
                <w:ilvl w:val="0"/>
                <w:numId w:val="3"/>
              </w:numPr>
              <w:rPr>
                <w:noProof/>
                <w:sz w:val="22"/>
                <w:szCs w:val="24"/>
              </w:rPr>
            </w:pPr>
            <w:r>
              <w:rPr>
                <w:noProof/>
                <w:sz w:val="22"/>
              </w:rPr>
              <w:t>Sa issa, 93</w:t>
            </w:r>
            <w:r>
              <w:rPr>
                <w:noProof/>
              </w:rPr>
              <w:t xml:space="preserve"> </w:t>
            </w:r>
            <w:r>
              <w:rPr>
                <w:noProof/>
                <w:sz w:val="22"/>
              </w:rPr>
              <w:t xml:space="preserve">għodod ta' Valutazzjoni tar-Riskju Interattiva Online (OiRA) ġew ippubblikati u 30 qiegħdin jiġu żviluppati. Saru 44,614 valutazzjonijiet tar-riskju bl-għodod sal-ġurnata tal-lum. </w:t>
            </w:r>
          </w:p>
          <w:p>
            <w:pPr>
              <w:numPr>
                <w:ilvl w:val="0"/>
                <w:numId w:val="3"/>
              </w:numPr>
              <w:rPr>
                <w:noProof/>
                <w:sz w:val="22"/>
                <w:szCs w:val="24"/>
              </w:rPr>
            </w:pPr>
            <w:r>
              <w:rPr>
                <w:noProof/>
                <w:sz w:val="22"/>
              </w:rPr>
              <w:t>Bl-appoġġ finanzjarju u tekniku tal-UE u l-kooperazzjoni attiva tal-imsieħba nazzjonali u l-s-sħab soċjali settorjali, il-miri li ġejjin għandhom jintlaħqu sal-2018, b'attenzjoni fuq setturi ta' prijorità:</w:t>
            </w:r>
          </w:p>
          <w:p>
            <w:pPr>
              <w:numPr>
                <w:ilvl w:val="1"/>
                <w:numId w:val="3"/>
              </w:numPr>
              <w:rPr>
                <w:b/>
                <w:noProof/>
                <w:sz w:val="22"/>
                <w:szCs w:val="24"/>
              </w:rPr>
            </w:pPr>
            <w:r>
              <w:rPr>
                <w:b/>
                <w:noProof/>
                <w:sz w:val="22"/>
              </w:rPr>
              <w:t xml:space="preserve">150 għodda ppubblikati tal-Valutazzjoni tar-Riskju Interattiva Online  (OiRA), u </w:t>
            </w:r>
          </w:p>
          <w:p>
            <w:pPr>
              <w:numPr>
                <w:ilvl w:val="1"/>
                <w:numId w:val="3"/>
              </w:numPr>
              <w:rPr>
                <w:noProof/>
                <w:szCs w:val="24"/>
              </w:rPr>
            </w:pPr>
            <w:r>
              <w:rPr>
                <w:b/>
                <w:noProof/>
                <w:sz w:val="22"/>
              </w:rPr>
              <w:t>100,000 valutazzjoni tar-riskju imwettqa bl-għodod.</w:t>
            </w:r>
          </w:p>
        </w:tc>
      </w:tr>
    </w:tbl>
    <w:p>
      <w:pPr>
        <w:rPr>
          <w:noProof/>
          <w:szCs w:val="24"/>
        </w:rPr>
      </w:pPr>
    </w:p>
    <w:p>
      <w:pPr>
        <w:pStyle w:val="Heading2"/>
        <w:rPr>
          <w:noProof/>
        </w:rPr>
      </w:pPr>
      <w:r>
        <w:rPr>
          <w:noProof/>
        </w:rPr>
        <w:t>L-għajnuna lin-negozji jkopru riskji għas-saħħa u s-sikurezza fuq il-post tax-xogħol li jiżdiedu b'mod mgħaġġel</w:t>
      </w:r>
    </w:p>
    <w:p>
      <w:pPr>
        <w:rPr>
          <w:noProof/>
        </w:rPr>
      </w:pPr>
      <w:r>
        <w:rPr>
          <w:noProof/>
        </w:rPr>
        <w:t xml:space="preserve">L-evalwazzjoni ex post identifikat numru ta' tħassib li dejjem jiżdied li l-kumpaniji jeħtieġu iktar appoġġ sabiex jindirizzaw; stress, disturbi muskuloskeletali u d-diversità dejjem tikber tal-forza tax-xogħol, notevolment fir-rigward tat-tixjiħ. </w:t>
      </w:r>
    </w:p>
    <w:p>
      <w:pPr>
        <w:pStyle w:val="Heading3"/>
        <w:rPr>
          <w:noProof/>
        </w:rPr>
      </w:pPr>
      <w:r>
        <w:rPr>
          <w:noProof/>
        </w:rPr>
        <w:t>Riskji psikosoċjali</w:t>
      </w:r>
    </w:p>
    <w:p>
      <w:pPr>
        <w:rPr>
          <w:noProof/>
          <w:szCs w:val="24"/>
        </w:rPr>
      </w:pPr>
      <w:r>
        <w:rPr>
          <w:noProof/>
        </w:rPr>
        <w:t>Ir-riskji psikosoċjali u l-istress relatat max-xogħol huma fost l-iktar tħassib ta' sfida – u li dejjem jikber - rigward is-saħħa u s-sikurezza fuq il-post tax-xogħol. Iktar minn nofs il-ħaddiema tal-UE jirrapportaw li l-istress huwa komuni fuq il-post tax-xogħol tagħhom</w:t>
      </w:r>
      <w:r>
        <w:rPr>
          <w:rStyle w:val="FootnoteReference"/>
          <w:noProof/>
        </w:rPr>
        <w:footnoteReference w:id="23"/>
      </w:r>
      <w:r>
        <w:rPr>
          <w:noProof/>
        </w:rPr>
        <w:t xml:space="preserve"> u 4 minn kull 10 jaħsbu li dan ma jiġix trattat sew. L-istress fuq il-post tax-xogħol għandu impatt serju fuq il-produttività:</w:t>
      </w:r>
    </w:p>
    <w:p>
      <w:pPr>
        <w:numPr>
          <w:ilvl w:val="0"/>
          <w:numId w:val="8"/>
        </w:numPr>
        <w:rPr>
          <w:noProof/>
          <w:szCs w:val="24"/>
        </w:rPr>
      </w:pPr>
      <w:r>
        <w:rPr>
          <w:noProof/>
        </w:rPr>
        <w:t>Dan jammonta għal madwar nofs il-ġranet tax-</w:t>
      </w:r>
      <w:r>
        <w:rPr>
          <w:noProof/>
          <w:lang w:val="en-US" w:eastAsia="en-US" w:bidi="ar-SA"/>
        </w:rPr>
        <w:drawing>
          <wp:inline distT="0" distB="0" distL="0" distR="0">
            <wp:extent cx="2106237" cy="1711842"/>
            <wp:effectExtent l="0" t="0" r="8890" b="31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04871" cy="1710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xogħol mitlufin peress li l-assenzi huma relattivament twal; </w:t>
      </w:r>
    </w:p>
    <w:p>
      <w:pPr>
        <w:numPr>
          <w:ilvl w:val="0"/>
          <w:numId w:val="8"/>
        </w:numPr>
        <w:rPr>
          <w:noProof/>
          <w:szCs w:val="24"/>
        </w:rPr>
      </w:pPr>
      <w:r>
        <w:rPr>
          <w:noProof/>
        </w:rPr>
        <w:t>L-istress jikkawża prestazzjoni mnaqqsa fuq il-post tax-xogħol u jista' jwassal għal ħames darbiet iktar inċidenti;</w:t>
      </w:r>
    </w:p>
    <w:p>
      <w:pPr>
        <w:numPr>
          <w:ilvl w:val="0"/>
          <w:numId w:val="8"/>
        </w:numPr>
        <w:rPr>
          <w:noProof/>
          <w:szCs w:val="24"/>
        </w:rPr>
      </w:pPr>
      <w:r>
        <w:rPr>
          <w:noProof/>
        </w:rPr>
        <w:t xml:space="preserve">Madwar każ wieħed minn kull ħamsa ta' tibdil tal-persunal huwa relatat ma' stress fuq il-post tax-xogħol. </w:t>
      </w:r>
    </w:p>
    <w:p>
      <w:pPr>
        <w:rPr>
          <w:noProof/>
          <w:szCs w:val="24"/>
        </w:rPr>
      </w:pPr>
      <w:r>
        <w:rPr>
          <w:noProof/>
        </w:rPr>
        <w:t>Ir-riskji psikosoċjali huma kwistjonijiet kumplessi u multidimensjonali. Il-problemi tas-saħħa jistgħu jkunu kkawżati minn kostellazzjoni ta' fatturi, relatati u/jew mhux relatati mal-post tax-xogħol.</w:t>
      </w:r>
    </w:p>
    <w:p>
      <w:pPr>
        <w:rPr>
          <w:noProof/>
          <w:szCs w:val="24"/>
        </w:rPr>
      </w:pPr>
      <w:r>
        <w:rPr>
          <w:noProof/>
        </w:rPr>
        <w:t>Id-Direttiva Qafas dwar is-saħħa u s-sigurtà fuq il-post tax-xogħol toħloq obbligu legali għall-impjegaturi biex jipproteġu lill-ħaddiema mir-riskji kollha fuq il-post tax-xogħol. Xi direttivi individwali dwar is-saħħa u s-sikurezza fuq il-post tax-xogħol (eż. direttiva dwar l-iskrins tal-wiri) jinkludu dispożizzjonijiet marbutin indirettament mal-prevenzjoni ta' riskji psikosoċjali. Il-ftehim qafas tas-sħab soċjali fil-livell tal-UE dwar l-istress relatat max-xogħol</w:t>
      </w:r>
      <w:r>
        <w:rPr>
          <w:noProof/>
          <w:vertAlign w:val="superscript"/>
        </w:rPr>
        <w:footnoteReference w:id="24"/>
      </w:r>
      <w:r>
        <w:rPr>
          <w:noProof/>
        </w:rPr>
        <w:t xml:space="preserve"> jissottolinja r-rilevanza tad-Direttiva Qafas. L-Aġenzija Ewropea għas-Sigurtà u s-Saħħa fuq il-Post tax-Xogħol twettaq azzjonijiet ta' sensibilizzazzjoni u, fil-qafas ta' kampanja pan-Ewropea dwar l-istress u r-riskji psikosoċjali mwettqa fl-2014-2015, għamlet disponibbli gwida prattika elettronika għall-immaniġġjar tar-riskji psikosoċjali</w:t>
      </w:r>
      <w:r>
        <w:rPr>
          <w:noProof/>
          <w:vertAlign w:val="superscript"/>
        </w:rPr>
        <w:footnoteReference w:id="25"/>
      </w:r>
      <w:r>
        <w:rPr>
          <w:noProof/>
        </w:rPr>
        <w:t xml:space="preserve"> mfassla biex tirrispondi għall-bżonnijiet tal-impjegaturi u tan-nies li jaħdmu f'intrapriżi żgħar.</w:t>
      </w:r>
    </w:p>
    <w:p>
      <w:pPr>
        <w:rPr>
          <w:noProof/>
          <w:szCs w:val="24"/>
        </w:rPr>
      </w:pPr>
      <w:r>
        <w:rPr>
          <w:noProof/>
        </w:rPr>
        <w:t>Hemm approċċi varji madwar l-Istati Membri. Xi wħud ma jsemmux ir-riskji psikosoċjali espliċitament fil-leġiżlazzjoni tagħhom tas-saħħa u s-sikurezza fuq il-post tax-xogħol, filwaqt li oħrajn jenfasizzaw il-ħtieġa li jikkunsidrawhom bħala parti mis-saħħa u s-sikurezza fuq il-post tax-xogħol. Uħud jeħtieġu valutazzjonijiet tar-riskju psikosoċjali u ftit minnhom jiffavorixxu l-involviment ta' espert. Stat Membru wieħed stabbilixxa linji gwida vinkolanti dwar il-prevenzjoni ta' riskji psikoloġiċi. L-Istati Membri jiżviluppaw ukoll approċċi mhux regolatorji (f'korpi tripartitiċi, gwida, sensibilizzazzjoni, standards ta' ġestjoni, eċċ.).</w:t>
      </w:r>
    </w:p>
    <w:p>
      <w:pPr>
        <w:rPr>
          <w:b/>
          <w:noProof/>
          <w:szCs w:val="24"/>
        </w:rPr>
      </w:pPr>
      <w:r>
        <w:rPr>
          <w:noProof/>
        </w:rPr>
        <w:t>Biex tittejjeb il-protezzjoni tal-ħaddiema fil-prattika, huwa neċessarju li tiżdied is-sensibilizzazzjoni tal-impjegaturi u jingħataw gwidi u għodod ulterjuri. Fid-dokument ta' gwida ppubblikat illum il-Kummissjoni tiċċara li skont id-dispożizzjonijiet eżistenti fil-livell tal-UE l-impjegaturi huma obbligati jipproteġu l-ħaddiema mir-riskji psikosoċjali u li dawn ir-riskji għandhom jiġu kkunsidrati kif xieraq fil-proċess tal-valutazzjoni tar-riskji. Id-dokument jipprovdi għodod mhux vinkolanti konkreti u riżorsi għall-impjegaturi biex jindirizzaw b'mod effettiv ir-riskji psikosoċjali fil-valutazzjoni tar-riskju. Il-Kummissjoni se taħdem flimkien mal-Aġenzija Ewropea għas-Sigurtà u s-Saħħa fuq il-Post tax-Xogħol u l-Kumitat Konsultattiv dwar is-Sigurtà u s-Saħħa fuq ix-Xogħol biex tidentifika prattika tajba għall-promozzjoni u t-tixrid u se tordna lill- Kumitat ta’ Spetturi Għolja tax-Xogħol biex jiżviluppa gwida għall-valutazzjoni tal-kwalità tal-valutazzjonijiet tar-riskji u miżuri għall-ġestjoni tar-riskji fir-rigward tar-riskji psikosoċjali.</w:t>
      </w:r>
    </w:p>
    <w:p>
      <w:pPr>
        <w:pStyle w:val="Heading3"/>
        <w:rPr>
          <w:noProof/>
          <w:u w:val="single"/>
        </w:rPr>
      </w:pPr>
      <w:r>
        <w:rPr>
          <w:noProof/>
        </w:rPr>
        <w:t>Riskji relatati ma' mard muskuloskeletali</w:t>
      </w:r>
    </w:p>
    <w:p>
      <w:pPr>
        <w:rPr>
          <w:noProof/>
          <w:szCs w:val="24"/>
        </w:rPr>
      </w:pPr>
      <w:r>
        <w:rPr>
          <w:noProof/>
        </w:rPr>
        <w:t xml:space="preserve">L-esponiment għal fatturi tar-riskju ergonomiċi jirrappreżenta waħda mill-problemi ewlenin tas-saħħa u s-sikurezza fuq il-post tax-xogħol fl-UE llum. L-esponiment ripetut għal dawn ir-riskji jista' jirriżulta f'mard muskuloskeletali relatat max-xogħol – waħda mill-iktar mardiet serji u mifruxa relatati max-xogħol, li twassal għal piż ta' spiża maġġuri għall-individwi, in-negozji u s-soċjetà b'mod ġenerali. Skont is-sejbiet tal-Istħarriġ dwar il-Forza tax-Xogħol tal-2013, il-mard muskuloskeletali llum huwa l-iktar tip prevalenti ta' problemi tas-saħħa relatati max-xogħol u l-ewwel kawża ta' assenteiżmu relatat max-xogħol. Dawn jirrappreżentaw madwar 60 % tal-problemi tas-saħħa kollha relatati max-xogħol fl-UE, u jammontaw għal 60 % ta' assenzi relatati ma' mard u każijiet ta' inkapaċità permanenti għax-xogħol.  </w:t>
      </w:r>
    </w:p>
    <w:p>
      <w:pPr>
        <w:rPr>
          <w:noProof/>
          <w:szCs w:val="24"/>
        </w:rPr>
      </w:pPr>
      <w:r>
        <w:rPr>
          <w:noProof/>
        </w:rPr>
        <w:t>Ir-riskji ergonomiċi huma kumplessi u multidimensjonali fin-natura tagħhom. Meta jseħħu fuq il-post tax-xogħol, dawn jistgħu direttament jikkawżaw kundizzjoni ta' mard, jew jaggravaw waħda pre-eżistenti.  Impjiegi differenti jinvolvi esponimenti differenti ħafna u hemm differenzi konsiderevoli fl-età, l-istili ta' ħajja u bejn is-sessi li għandhom jiġu kkunsidrati.</w:t>
      </w:r>
    </w:p>
    <w:p>
      <w:pPr>
        <w:rPr>
          <w:noProof/>
          <w:szCs w:val="24"/>
        </w:rPr>
      </w:pPr>
      <w:r>
        <w:rPr>
          <w:noProof/>
        </w:rPr>
        <w:t>Din il-kategorija ta' riskji bħalissa hija koperta minn diversi Direttivi tal-UE (2002/44 "vibrazzjoni", 90/269 "tqandil manwali tat-tagħbija", u 90/270 "xogħol b'tagħmir li għandu skrin tal-wiri"), kif ukoll mid-Direttiva Qafas. Direttivi oħra tal-UE għandhom impatt indirett fuq il-prevenzjoni tal-mard muskuloskeletali. L-inizjattivi mhux regolatorji inkludew il-kampanji ta' sensibilizzazzjoni tal-Aġenzija Ewropea għas-Sigurtà u s-Saħħa fuq il-Post tax-Xogħol (2000 u 2007) u l-kampanja tal- Kumitat ta’ Spetturi Għolja tax-Xogħol (2007-2008) dwar l-infurzar tad-Direttiva tat-"tqandil manwali tat-tagħbija" fis-setturi tal-kura tas-saħħa, it-trasport, il-kostruzzjoni u l-bejgħ bl-imnut.</w:t>
      </w:r>
    </w:p>
    <w:p>
      <w:pPr>
        <w:rPr>
          <w:noProof/>
          <w:szCs w:val="24"/>
        </w:rPr>
      </w:pPr>
      <w:r>
        <w:rPr>
          <w:noProof/>
        </w:rPr>
        <w:t>Jeżistu differenzi fil-mod kif l-Istati Membri ttrasponew (u implimentaw) l-qafas attwali tas-saħħa u s-sikurezza fuq il-post tax-xogħol tal-UE - eż, rigward id-Direttiva 90/269/KEE, f'xi każijiet l-Istati Membri stabbilixxew limiti u solli legalment vinkolanti; f'każijiet oħra dawn il-limiti huma inklużi fil-gwida għal-leġiżlazzjoni, rakkomandazzjonijiet jew indikaturi oħrajn. L-Istati Membri jiżviluppaw ukoll approċċi mhux regolatorji (gwida, sensibilizzazzjoni, standards ta' ġestjoni, eċċ.).</w:t>
      </w:r>
    </w:p>
    <w:p>
      <w:pPr>
        <w:rPr>
          <w:noProof/>
          <w:szCs w:val="24"/>
        </w:rPr>
      </w:pPr>
      <w:r>
        <w:rPr>
          <w:noProof/>
        </w:rPr>
        <w:t>F'dan il-każ ukoll, il-Kummissjoni trid ittejjeb il-protezzjoni fuq il-post billi tiċċara l-obbligu tal-impjegaturi li jiżguraw protezzjoni minn dawn it-tipi ta' riskji u li jikkunsidrawhom fil-proċess tal-valutazzjoni tar-riskji, kif ukoll billi tgħin lill-impjegaturi jikkonformaw mal-obbligi tagħhom. Se jinbeda wkoll xogħol mal-Aġenzija Ewropea għas-Sigurtà u s-Saħħa fuq il-Post tax-Xogħol u l-Kumitat Konsultattiv dwar is-Sigurtà u s-Saħħa fuq ix-Xogħol dwar l-identifikazzjoni ta' prattika tajba għall-promozzjoni u t-tixrid u gwida tal- Kumitat ta’ Spetturi Għolja tax-Xogħol għall-valutazzjoni tal-kwalità tal-valutazzjonijiet tar-riskji u miżuri għall-ġestjoni tar-riskji fir-rigward tar-riskji psikosoċjali.</w:t>
      </w:r>
    </w:p>
    <w:p>
      <w:pPr>
        <w:pStyle w:val="Heading3"/>
        <w:rPr>
          <w:noProof/>
          <w:u w:val="single"/>
        </w:rPr>
      </w:pPr>
      <w:r>
        <w:rPr>
          <w:noProof/>
        </w:rPr>
        <w:t>Valutazzjoni tar-riskji sensittiva għad-diversità</w:t>
      </w:r>
    </w:p>
    <w:p>
      <w:pPr>
        <w:rPr>
          <w:noProof/>
          <w:szCs w:val="24"/>
        </w:rPr>
      </w:pPr>
      <w:r>
        <w:rPr>
          <w:noProof/>
        </w:rPr>
        <w:t>Id-Direttiva Qafas tas-Saħħa u s-Sigurtà fuq il-Post tax-Xogħol tal-UE toħloq obbligu legali għall-impjegatur biex jieħu l-miżuri meħtieġa għall-protezzjoni tas-saħħa u s-sikurezza tal-ħaddiema kollha. Hija tipprevedi li gruppi tar-riskju partikolarment sensittivi għandhom jiġu protetti kontra l-perikli li jaffettwawhom speċifikament.</w:t>
      </w:r>
    </w:p>
    <w:p>
      <w:pPr>
        <w:rPr>
          <w:noProof/>
        </w:rPr>
      </w:pPr>
      <w:r>
        <w:rPr>
          <w:noProof/>
        </w:rPr>
        <w:t xml:space="preserve">Il-miżuri tal-ġestjoni tar-riskji għalhekk għandhom jagħtu attenzjoni lir-riskji speċifiċi li jħabbtu wiċċhom magħhom in-nisa u l-irġiel, il-ħaddiema żgħażagħ, il-ħaddiema anzjani, il-migranti jew il-persuni b'diżabilità; u jeħtieġu t-tfassil ta' miżuri preventivi u protettivi speċifiċi skont ir-rekwiżiti ta' dawk il-gruppi ta' ħaddiema. L-evalwazzjoni enfasizzat b'mod partikolari l-bżonn li tittejjeb il-valutazzjoni tar-riskji sensittiva għall-età iżda l-istess prinċipji japplikaw għall-ħaddiema vulnerabbli kollha. </w:t>
      </w:r>
    </w:p>
    <w:p>
      <w:pPr>
        <w:rPr>
          <w:noProof/>
          <w:szCs w:val="24"/>
        </w:rPr>
      </w:pPr>
      <w:r>
        <w:rPr>
          <w:noProof/>
        </w:rPr>
        <w:t xml:space="preserve">In-numru ta' persuni li għandhom iktar minn 60 sena fl-UE bħalissa qed jiżdied b'madwar żewġ miljuni kull sena, li huwa darbtejn iktar malajr minn qabel l-2007. Sal-2030, il-ħaddiema kbar fl-età se jiffurmaw kważi kwart tal-forza tax-xogħol totali. Bħalissa ħafna ħaddiema kbar fl-età jitilqu mis-suq tax-xogħol qabel il-waqt, ħafna drabi minħabba problemi tas-saħħa, inklużi dawk relatati ma' kundizzjonijiet tax-xogħol ħżiena. </w:t>
      </w:r>
    </w:p>
    <w:p>
      <w:pPr>
        <w:rPr>
          <w:noProof/>
          <w:szCs w:val="24"/>
        </w:rPr>
      </w:pPr>
      <w:r>
        <w:rPr>
          <w:noProof/>
        </w:rPr>
        <w:t xml:space="preserve">Il-Qafas Strateġiku tas-Saħħa u s-Sigurtà fuq il-Post tax-Xogħol tal-UE tal-2014-2020 identifika t-tibdil demografiku u l-forza tax-xogħol li qed tixjieħ bħala waħda mill-isfidi ewlenin, u ppropona għadd ta' azzjonijiet li bħalissa qiegħdin jiġu żviluppati. Il-kampanja tal-Aġenzija Ewropea għas-Sigurtà u s-Saħħa fuq il-Post tax-Xogħol (2016-2017) "Postijiet tax-Xogħol li Jieħdu Ħsieb is-Saħħa f'Kull Età" hija inizjattiva ewlenija dinjija ta' sensibilizzazzjoni dwar din il-kwistjoni fl-UE kollha. </w:t>
      </w:r>
    </w:p>
    <w:p>
      <w:pPr>
        <w:rPr>
          <w:noProof/>
          <w:szCs w:val="24"/>
        </w:rPr>
      </w:pPr>
      <w:r>
        <w:rPr>
          <w:noProof/>
        </w:rPr>
        <w:t>L-Istati Membri tal-UE jvarjaw kemm f'termini tas-sitwazzjoni demografika tagħhom kif ukoll fir-rigward tal-qafas legali u istituzzjonali tagħhom. Qafas ta' politika integrata huwa fis-seħħ biss f'numru limitat ta' Stati Membri, iżda għal ħafna Stati Membri t-tixjiħ tal-popolazzjoni u tal-forza tax-xogħol huwa prijorità politika li twassal għal sett varjat ta' miżuri (inkluż fil-qasam tas-saħħa u s-sikurezza fuq il-post tax-xogħol) sabiex tiżdied il-parteċipazzjoni tal-persuni kbar fl-età fil-forza tax-xogħol. L-Istati Membri kollha implimentaw riformi fil-pensjonijiet, u dawk b'popolazzjoni kbira fl-età għollew l-età tal-irtirar u llimitaw l-aċċess għal irtirar kmieni, u introduċew ukoll inċentivi ekonomiċi biex jiġu impjegati persuni kbar fl-età.</w:t>
      </w:r>
    </w:p>
    <w:p>
      <w:pPr>
        <w:rPr>
          <w:noProof/>
          <w:szCs w:val="24"/>
        </w:rPr>
      </w:pPr>
      <w:r>
        <w:rPr>
          <w:noProof/>
        </w:rPr>
        <w:t xml:space="preserve">F'dak li jirrigwarda s-sessi, hemm evidenza li turi li r-riskji relatati max-xogħol għas-saħħa u s-sikurezza tan-nisa ġew sottovalutati u approċċ newtrali fir-rigward tas-sessi kkontribwixxa għal inqas attenzjoni u riżorsi diretti lejn il-prevenzjoni ta' riskji relatati max-xogħol esperjenzati min-nisa. </w:t>
      </w:r>
    </w:p>
    <w:p>
      <w:pPr>
        <w:rPr>
          <w:noProof/>
          <w:szCs w:val="24"/>
        </w:rPr>
      </w:pPr>
      <w:r>
        <w:rPr>
          <w:noProof/>
        </w:rPr>
        <w:t xml:space="preserve">Sabiex jirrispondi għal dawn l-isfidi li qed jikbru rigward is-saħħa u s-sikurezza fuq il-post tax-xogħol, id-dokument ta' gwida jiġbed l-attenzjoni għall-bżonn li l-valutazzjoni tar-riskju tkun sensittiva għad-diversità u li tingħata attenzjoni lill-ispeċifiċitajiet relatati mal-età, is-sess u karatteristiċi demografiċi oħrajn. Huwa jindika, fl-istess ħin, li s-suppożizzjonijiet m'għandhomx isiru biss fuq il-bażi ta' tali karatteristiċi. Il-valutazzjoni tar-riskju għandha tikkunsidra d-domandi tax-xogħol fir-rigward tal-kapaċitajiet u s-saħħa tal-individwu. Id-dokument jipprovdi wkoll għodod prattiċi għall-impjegaturi biex jirriflettu r-riskji relatati mal-età u relatati mas-sessi fil-valutazzjonijiet tar-riskju. </w:t>
      </w:r>
    </w:p>
    <w:tbl>
      <w:tblPr>
        <w:tblStyle w:val="TableGrid"/>
        <w:tblpPr w:leftFromText="180" w:rightFromText="180" w:vertAnchor="text" w:horzAnchor="margin" w:tblpY="19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212"/>
      </w:tblGrid>
      <w:tr>
        <w:tc>
          <w:tcPr>
            <w:tcW w:w="9212" w:type="dxa"/>
            <w:shd w:val="clear" w:color="auto" w:fill="EEECE1" w:themeFill="background2"/>
          </w:tcPr>
          <w:p>
            <w:pPr>
              <w:jc w:val="center"/>
              <w:rPr>
                <w:b/>
                <w:noProof/>
                <w:szCs w:val="24"/>
                <w:u w:val="single"/>
              </w:rPr>
            </w:pPr>
            <w:r>
              <w:rPr>
                <w:b/>
                <w:noProof/>
                <w:szCs w:val="24"/>
                <w:u w:val="single"/>
              </w:rPr>
              <w:br/>
            </w:r>
            <w:r>
              <w:rPr>
                <w:b/>
                <w:noProof/>
                <w:u w:val="single"/>
              </w:rPr>
              <w:t xml:space="preserve">Azzjonijiet fuq </w:t>
            </w:r>
            <w:r>
              <w:rPr>
                <w:noProof/>
              </w:rPr>
              <w:t xml:space="preserve"> </w:t>
            </w:r>
            <w:r>
              <w:rPr>
                <w:b/>
                <w:noProof/>
                <w:u w:val="single"/>
              </w:rPr>
              <w:t>riskji għas-saħħa u s-</w:t>
            </w:r>
            <w:r>
              <w:rPr>
                <w:b/>
                <w:noProof/>
              </w:rPr>
              <w:t>sikurezza</w:t>
            </w:r>
            <w:r>
              <w:rPr>
                <w:b/>
                <w:noProof/>
                <w:u w:val="single"/>
              </w:rPr>
              <w:t xml:space="preserve"> fuq il-post tax-xogħol li jżidu b'mod mgħaġġel</w:t>
            </w:r>
          </w:p>
          <w:p>
            <w:pPr>
              <w:pStyle w:val="ListParagraph"/>
              <w:numPr>
                <w:ilvl w:val="0"/>
                <w:numId w:val="25"/>
              </w:numPr>
              <w:rPr>
                <w:noProof/>
                <w:szCs w:val="24"/>
              </w:rPr>
            </w:pPr>
            <w:r>
              <w:rPr>
                <w:rFonts w:ascii="Times New Roman" w:hAnsi="Times New Roman"/>
                <w:noProof/>
              </w:rPr>
              <w:t>Pubblikazzjoni dwar l-aħjar prattiki fil-ġestjoni tar-riskji psikosoċjali u r-riskji ergonomiċi</w:t>
            </w:r>
          </w:p>
          <w:p>
            <w:pPr>
              <w:pStyle w:val="ListParagraph"/>
              <w:rPr>
                <w:noProof/>
                <w:szCs w:val="24"/>
              </w:rPr>
            </w:pPr>
          </w:p>
          <w:p>
            <w:pPr>
              <w:pStyle w:val="ListParagraph"/>
              <w:numPr>
                <w:ilvl w:val="0"/>
                <w:numId w:val="25"/>
              </w:numPr>
              <w:rPr>
                <w:noProof/>
                <w:szCs w:val="24"/>
              </w:rPr>
            </w:pPr>
            <w:r>
              <w:rPr>
                <w:rFonts w:ascii="Times New Roman" w:hAnsi="Times New Roman"/>
                <w:noProof/>
              </w:rPr>
              <w:t>L-iżvilupp ta' prinċipji rilevanti għall-ispetturi tax-xogħol fir-rigward ta' valutazzjoni tar-riskju sensittiva għall-età.</w:t>
            </w:r>
          </w:p>
        </w:tc>
      </w:tr>
    </w:tbl>
    <w:p>
      <w:pPr>
        <w:rPr>
          <w:noProof/>
          <w:szCs w:val="24"/>
        </w:rPr>
      </w:pPr>
    </w:p>
    <w:p>
      <w:pPr>
        <w:rPr>
          <w:noProof/>
          <w:szCs w:val="24"/>
        </w:rPr>
      </w:pPr>
      <w:r>
        <w:rPr>
          <w:noProof/>
        </w:rPr>
        <w:t>Fatturi tar-riskju relatati mal-istil tal-ħajja – bħal dieti ħżiena għas-saħħa, nuqqas ta' attività fiżika, tipjip u l-użu dannuż tal-alkoħol – qed jikkontribwixxu għall-piż kbir tal-mard kroniku madwar l-Ewropa. Dan iġorr miegħu theddida diretta għas-saħħa tal-ħaddiema u għandu impatt ukoll fuq il-produttività tal-ħaddiema u dik tal-kumpaniji, u l-ekonomija, kif ukoll fuq is-sostenibbiltà ta' sistemi tas-saħħa effettivi aċċessibbli u reżiljenti. Inizjattivi relatati mal-post tax-xogħol fuq determinanti tas-saħħa huma importanti għall-promozzjoni tal-benesseri tal-ħaddiema.</w:t>
      </w:r>
    </w:p>
    <w:p>
      <w:pPr>
        <w:rPr>
          <w:noProof/>
          <w:szCs w:val="24"/>
        </w:rPr>
      </w:pPr>
    </w:p>
    <w:p>
      <w:pPr>
        <w:pStyle w:val="Heading1"/>
        <w:rPr>
          <w:noProof/>
        </w:rPr>
      </w:pPr>
      <w:r>
        <w:rPr>
          <w:noProof/>
        </w:rPr>
        <w:t xml:space="preserve">L-aġġornament u t-tneħħija ta' regoli skaduti, l-iffukar mill-ġdid tal-isforzi fuq l-iffaċilitar tal-konformità, kopertura usa' tan-nies u infurzar u monitoraġġ aħjar </w:t>
      </w:r>
    </w:p>
    <w:p>
      <w:pPr>
        <w:pStyle w:val="Heading2"/>
        <w:rPr>
          <w:noProof/>
        </w:rPr>
      </w:pPr>
      <w:r>
        <w:rPr>
          <w:noProof/>
        </w:rPr>
        <w:t>Aġġornament tal-leġiżlazzjoni tal-UE u t-tneħħija ta' dispożizzjonijiet obsoleti</w:t>
      </w:r>
    </w:p>
    <w:p>
      <w:pPr>
        <w:rPr>
          <w:noProof/>
          <w:szCs w:val="24"/>
        </w:rPr>
      </w:pPr>
      <w:r>
        <w:rPr>
          <w:noProof/>
        </w:rPr>
        <w:t xml:space="preserve">Filwaqt li l-evalwazzjoni ex post dettaljata kkonfermat li l-leġiżlazzjoni dwar is-saħħa u s-sikurezza fuq il-post tax-xogħol tal-UE, li tikkonsisti mid-Direttiva Qafas u d-direttivi speċifiċi relatati hija ġeneralment effettiva u adattata għall-iskop, hija identifikat ukoll skop għat-tneħħija jew l-aġġornament ta' numru ta' dispożizzjonijiet skaduti. </w:t>
      </w:r>
    </w:p>
    <w:p>
      <w:pPr>
        <w:rPr>
          <w:noProof/>
          <w:szCs w:val="24"/>
        </w:rPr>
      </w:pPr>
      <w:r>
        <w:rPr>
          <w:noProof/>
        </w:rPr>
        <w:t>Biex tindirizza dan, bħala l-ewwel pass, il-Kummissjoni se tniedi u tikkonkludi, fi żmien sentejn, programm għat-tneħħija jew l-aġġornament ta' dispożizzjonijiet skaduti fid-Direttivi. Il-programm se jipprova jkollu regoli iktar ċari, iktar koerenti u iktar rilevanti, filwaqt li jissimplifika u jnaqqas il-piż amministrattiv, fejn possibbli, għan-negozji u l-aġenziji ta' infurzar, iżda biss fejn jippermetti li tinżamm jew tittejjeb il-protezzjoni tal-ħaddiema.  Filwaqt li tibni fuq it-tradizzjoni qawwija ta' djalogu tripartitiku dwar is-saħħa u s-sikurezza fuq il-post tax-xogħol fil-livell nazzjonali u tal-UE, il-proposta leġiżlattiva għall-emenda tad-Direttivi, fejn meħtieġ, se titħejja f'kooperazzjoni mill-qrib mal-Kumitat Konsultattiv dwar is-Saħħa u s-Sigurtà fuq il-post tax-Xogħol fejn is-sħab soċjali u l-esperti tal-gvernijiet ikunu madwar il-mejda.</w:t>
      </w:r>
    </w:p>
    <w:p>
      <w:pPr>
        <w:rPr>
          <w:noProof/>
          <w:szCs w:val="24"/>
        </w:rPr>
      </w:pPr>
    </w:p>
    <w:p>
      <w:pPr>
        <w:rPr>
          <w:noProof/>
          <w:szCs w:val="24"/>
        </w:rPr>
      </w:pPr>
    </w:p>
    <w:p>
      <w:pPr>
        <w:rPr>
          <w:noProof/>
          <w:szCs w:val="24"/>
        </w:rPr>
      </w:pPr>
      <w:r>
        <w:rPr>
          <w:noProof/>
        </w:rPr>
        <w:t xml:space="preserve">Fuq il-bażi tal-evalwazzjoni ex post, il-Kummissjoni identifikat is-sitt Direttivi li ġejjin bħala prijoritajiet: </w:t>
      </w:r>
    </w:p>
    <w:p>
      <w:pPr>
        <w:pStyle w:val="Heading3"/>
        <w:rPr>
          <w:noProof/>
        </w:rPr>
      </w:pPr>
      <w:r>
        <w:rPr>
          <w:noProof/>
        </w:rPr>
        <w:t xml:space="preserve">Postijiet tax-xogħol (89/654) </w:t>
      </w:r>
    </w:p>
    <w:p>
      <w:pPr>
        <w:rPr>
          <w:noProof/>
          <w:szCs w:val="24"/>
        </w:rPr>
      </w:pPr>
      <w:r>
        <w:rPr>
          <w:noProof/>
        </w:rPr>
        <w:t xml:space="preserve">Teknoloġiji moderni tal-IT u forom ġodda ta' xogħol bħal xogħol fuq pjattaforma jfissru li numru dejjem jikber ta' ħaddiema kultant jew regolarment jaħdmu barra mill-bini tal-impjegatur. F'dan il-kuntest, is-sejbiet tal-eżerċizzju ta' evalwazzjoni jindikaw li jidher li hemm bżonn ta' bidla lejn kunċett iktar dinamiku ta' "post tax-xogħol". </w:t>
      </w:r>
    </w:p>
    <w:p>
      <w:pPr>
        <w:rPr>
          <w:b/>
          <w:i/>
          <w:noProof/>
          <w:szCs w:val="24"/>
        </w:rPr>
      </w:pPr>
      <w:r>
        <w:rPr>
          <w:noProof/>
        </w:rPr>
        <w:t>Kjarifika tal-kunċett ta' "post tax-xogħol" u l-aġġornament/simplifikazzjoni/tneħħija tal-annessi tad-direttiva se jiġu kkunsidrati sabiex jirriflettu l-bidliet fil-modi ta' kif isir ix-xogħol.</w:t>
      </w:r>
      <w:r>
        <w:rPr>
          <w:noProof/>
        </w:rPr>
        <w:tab/>
        <w:t xml:space="preserve"> </w:t>
      </w:r>
    </w:p>
    <w:p>
      <w:pPr>
        <w:pStyle w:val="Heading3"/>
        <w:rPr>
          <w:noProof/>
        </w:rPr>
      </w:pPr>
      <w:r>
        <w:rPr>
          <w:noProof/>
        </w:rPr>
        <w:t>Tagħmir bi skrin tal-wiri (90/270)</w:t>
      </w:r>
    </w:p>
    <w:p>
      <w:pPr>
        <w:rPr>
          <w:noProof/>
          <w:szCs w:val="24"/>
        </w:rPr>
      </w:pPr>
      <w:r>
        <w:rPr>
          <w:noProof/>
        </w:rPr>
        <w:t xml:space="preserve">It-teknoloġija inbidlet drammatikament minn meta d-Direttiva dwar it-tagħmir bi skrin tal-wiri ġiet adottata fil-bidu tas-snin disgħin. Xi teknoloġija msemmija fid-Direttiva m'għadhiex tintuża u d-dispożizzjonijiet korrispondenti possibbilment jistgħu jitneħħew. Kwistjonijiet oħra li għandhom jiġu kkunsidrati se jkunu aġġornamenti tekniċi ta' xi wħud mid-definizzjonijiet użati fid-Direttiva, bħad-definizzjoni ta' "stazzjon tax-xogħol", kif ukoll xi eżenzjonijiet li jistgħu jkunu skaduti. </w:t>
      </w:r>
    </w:p>
    <w:p>
      <w:pPr>
        <w:pStyle w:val="Heading3"/>
        <w:rPr>
          <w:noProof/>
        </w:rPr>
      </w:pPr>
      <w:r>
        <w:rPr>
          <w:noProof/>
        </w:rPr>
        <w:t xml:space="preserve">Sinjali OSH (92/58) </w:t>
      </w:r>
    </w:p>
    <w:p>
      <w:pPr>
        <w:rPr>
          <w:noProof/>
          <w:szCs w:val="24"/>
        </w:rPr>
      </w:pPr>
      <w:r>
        <w:rPr>
          <w:noProof/>
        </w:rPr>
        <w:t xml:space="preserve">L-Anness II tad-Direttiva 92/58/KEE jipprovdi għal lista ta' rekwiżiti fir-rigward ta' tabelli ta' sikurezza inklużi pittogrammi li għandhom jintużaw. Huwa jistipula wkoll fl-Anness II taqsima 1.3 li "Il-pittogramma użata tista' tkun kemm kemm differenti jew aktar dettaljata minn dawk li jidhru fit-taqsima 3, sakemm jagħtu l-istess tifsira u ebda differenza jew adattament ma jgħatti t-tifsira". L-evalwazzjoni indikat xi inċertezzi rigward sa liema punt l-EN ISO 7010 standard tas-sinjali jista' jitqies bħala konformi mad-Direttiva 92/58/KEE (b'mod partikolari fir-rigward tal-pittogrammi użati). Xi Stati Membri kienu favur l-allinjament tad-Direttiva mal-istandard EN ISO 7010 sabiex tiġi żgurata armonizzazzjoni ikbar tas-sinjali tas-sikurezza madwar l-UE. </w:t>
      </w:r>
    </w:p>
    <w:p>
      <w:pPr>
        <w:rPr>
          <w:noProof/>
          <w:szCs w:val="24"/>
        </w:rPr>
      </w:pPr>
      <w:r>
        <w:rPr>
          <w:noProof/>
        </w:rPr>
        <w:t>Sabiex jiġu ssimplifikati u ċċarati l-obbligi eżistenti, se jiġi kkunsidrat l-adattament tal-Annessi sabiex jitqies l-EN ISO 7010 jew referenza għal dawk l-istandards fid-Direttiva.</w:t>
      </w:r>
      <w:r>
        <w:rPr>
          <w:noProof/>
        </w:rPr>
        <w:tab/>
      </w:r>
    </w:p>
    <w:p>
      <w:pPr>
        <w:pStyle w:val="Heading3"/>
        <w:rPr>
          <w:noProof/>
        </w:rPr>
      </w:pPr>
      <w:r>
        <w:rPr>
          <w:noProof/>
        </w:rPr>
        <w:t>Aġenti bijoloġiċi (2000/54)</w:t>
      </w:r>
    </w:p>
    <w:p>
      <w:pPr>
        <w:rPr>
          <w:noProof/>
          <w:szCs w:val="24"/>
        </w:rPr>
      </w:pPr>
      <w:r>
        <w:rPr>
          <w:noProof/>
        </w:rPr>
        <w:t xml:space="preserve">L-evalwazzjoni ippreżentat domandi dwar il-kamp ta' applikazzjoni tad-Direttiva, b'mod iktar importanti fuq il-bżonn li tiġi aġġornata l-lista ta' aġenti bijoloġiċi fl-Anness III. Għalhekk se jitqies aġġornament tal-Anness III. </w:t>
      </w:r>
    </w:p>
    <w:p>
      <w:pPr>
        <w:pStyle w:val="Heading3"/>
        <w:rPr>
          <w:noProof/>
        </w:rPr>
      </w:pPr>
      <w:r>
        <w:rPr>
          <w:noProof/>
        </w:rPr>
        <w:t>Assistenza medika abbord (92/29)</w:t>
      </w:r>
    </w:p>
    <w:p>
      <w:pPr>
        <w:rPr>
          <w:noProof/>
        </w:rPr>
      </w:pPr>
      <w:r>
        <w:rPr>
          <w:noProof/>
        </w:rPr>
        <w:t xml:space="preserve">L-evalwazzjoni indikat bżonn possibbli li tiġi riveduta u aġġornata l-lista obbligatorja ta' provvisti mediċi stipulati fid-Direttiva. </w:t>
      </w:r>
    </w:p>
    <w:p>
      <w:pPr>
        <w:rPr>
          <w:noProof/>
          <w:szCs w:val="24"/>
        </w:rPr>
      </w:pPr>
      <w:r>
        <w:rPr>
          <w:noProof/>
        </w:rPr>
        <w:t xml:space="preserve">Hija ppreżentat ukoll il-kwistjoni ta' konformità mal-istandards internazzjonali, bħall-Organizzazzjoni Marittima Internazzjonali (OMI) – il-Kodiċi tat-Tagħmir ta' Salvataġġ (LSA) 4.15.1.8; ISO 3864-1:2011 "Simboli grafiċi – Kuluri ta' sikurezza u sinjali ta' sikurezza"; il-Konvenzjoni dwar ix-Xogħol Marittimu u l-Konvenzjoni dwar ix-Xogħol fis-Sajd tal-Organizzazzjoni Internazzjonali tax-Xogħol tal-2006). Barra minn hekk, l-użu ta' tagħmir teknoloġiku ġdid sabiex jittejjeb it-trattament u d-dijanjosi tal-mard u/jew il-prevenzjoni ta' inċidenti jidher bħala opzjoni possibbli għall-bastimenti kbar. </w:t>
      </w:r>
    </w:p>
    <w:p>
      <w:pPr>
        <w:pStyle w:val="Heading3"/>
        <w:rPr>
          <w:noProof/>
        </w:rPr>
      </w:pPr>
      <w:r>
        <w:rPr>
          <w:noProof/>
        </w:rPr>
        <w:t>Tagħmir ta' protezzjoni personali (89/656)</w:t>
      </w:r>
    </w:p>
    <w:p>
      <w:pPr>
        <w:rPr>
          <w:noProof/>
          <w:szCs w:val="24"/>
        </w:rPr>
      </w:pPr>
      <w:r>
        <w:rPr>
          <w:noProof/>
        </w:rPr>
        <w:t xml:space="preserve">Aġġornament tekniku tad-Direttiva se jitqies b'referenza għad-definizzjoni ta' Tagħmir ta' Protezzjoni Personali, b'mod partikolari rigward l-esklużjonijiet kurrenti ta' tagħmir użat minn servizzi ta' emerġenza u ta' salvataġġ bħal dawk li jaħdmu fit-tifi tan-nar.  </w:t>
      </w:r>
    </w:p>
    <w:p>
      <w:pPr>
        <w:pStyle w:val="Heading3"/>
        <w:rPr>
          <w:noProof/>
        </w:rPr>
      </w:pPr>
      <w:r>
        <w:rPr>
          <w:noProof/>
        </w:rPr>
        <w:t>Aġġornamenti ulterjuri</w:t>
      </w:r>
    </w:p>
    <w:p>
      <w:pPr>
        <w:rPr>
          <w:noProof/>
          <w:szCs w:val="24"/>
        </w:rPr>
      </w:pPr>
      <w:r>
        <w:rPr>
          <w:noProof/>
        </w:rPr>
        <w:t xml:space="preserve">Direttivi oħra jistgħu jkunu suġġetti għal aġġornamenti tekniċi simili (eż. id-Direttiva dwar il-Karċinoġeni u l-Mutaġeni 2004/37 u d-Direttiva dwar l-Aġenti Kimiċi 98/24) u se tingħata attenzjoni partikolari għall-annessi għad-Direttivi varji, bil-għan li jiġi vvalutat kif dawn jistgħu jsiru iktar validi għall-futur. </w:t>
      </w:r>
    </w:p>
    <w:p>
      <w:pPr>
        <w:pStyle w:val="Heading2"/>
        <w:rPr>
          <w:noProof/>
        </w:rPr>
      </w:pPr>
      <w:r>
        <w:rPr>
          <w:noProof/>
        </w:rPr>
        <w:t>Inkoraġġiment lill-Istati Membri biex jirrevedu l-leġiżlazzjoni nazzjonali dwar is-saħħa u s-sikurezza fuq il-post tax-xogħol</w:t>
      </w:r>
    </w:p>
    <w:p>
      <w:pPr>
        <w:rPr>
          <w:noProof/>
        </w:rPr>
      </w:pPr>
      <w:r>
        <w:rPr>
          <w:noProof/>
        </w:rPr>
        <w:t>Fil-qasam tas-saħħa u s-sikurezza fuq il-post tax-xogħol, l-UE tistabbilixxi rekwiżiti minimi li l-Istati Membri jistgħu jmorru lil hinn minnhom biex jadottaw dispożizzjonijiet iktar iddettaljati li jġibu protezzjoni addizzjonali għall-ħaddiema. Meta tagħmel dan, huwa essenzjali li l-attenzjoni tkun fuq il-protezzjoni miżjuda u li ma jiżdied ebda piż amministrattiv żejjed fuq il-kumpaniji. Id-Direttiva Qafas tagħti flessibbiltà lill-Istati Membri rigward dispożizzjonijiet bħad-dokumentazzjoni tal-valutazzjoni tar-riskju sabiex tippermetti l-addattament tal-miżuri, pereżempju, għad-daqs tal-impriżi, in-natura tal-attivitajiet tagħhom u n-natura u l-estent tar-riskji.</w:t>
      </w:r>
    </w:p>
    <w:tbl>
      <w:tblPr>
        <w:tblStyle w:val="TableGrid"/>
        <w:tblpPr w:leftFromText="180" w:rightFromText="180" w:vertAnchor="text" w:horzAnchor="margin" w:tblpY="2503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212"/>
      </w:tblGrid>
      <w:tr>
        <w:trPr>
          <w:trHeight w:val="557"/>
        </w:trPr>
        <w:tc>
          <w:tcPr>
            <w:tcW w:w="9212" w:type="dxa"/>
            <w:shd w:val="clear" w:color="auto" w:fill="EEECE1" w:themeFill="background2"/>
          </w:tcPr>
          <w:p>
            <w:pPr>
              <w:jc w:val="center"/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br/>
              <w:t>Eżempji ta' Interazzjoni fil-livell tal-UE/Nazzjonali</w:t>
            </w:r>
          </w:p>
          <w:p>
            <w:pPr>
              <w:numPr>
                <w:ilvl w:val="0"/>
                <w:numId w:val="3"/>
              </w:num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Rekwiżit ta' ċertifikazzjoni esterna minn konsulent għall-valutazzjonijiet riskji mħejjija mill-impjegaturi. Ma jeżisti ebda obbligu bħal dan fid-Direttiva qafas iżda dan huwa introdott f'xi dispożizzjonijiet nazzjonali u joħloq spejjeż diretti għall-kumpaniji;</w:t>
            </w:r>
          </w:p>
          <w:p>
            <w:pPr>
              <w:numPr>
                <w:ilvl w:val="0"/>
                <w:numId w:val="3"/>
              </w:numPr>
              <w:rPr>
                <w:noProof/>
              </w:rPr>
            </w:pPr>
            <w:r>
              <w:rPr>
                <w:noProof/>
                <w:sz w:val="22"/>
              </w:rPr>
              <w:t>Obbligi li jkun hemm dokumenti ffirmati u rekwiżiti oħra ta' dokumentazzjoni għal ħatriet ta' diversi atturi</w:t>
            </w:r>
            <w:r>
              <w:rPr>
                <w:noProof/>
              </w:rPr>
              <w:t xml:space="preserve"> </w:t>
            </w:r>
            <w:r>
              <w:rPr>
                <w:noProof/>
                <w:sz w:val="22"/>
              </w:rPr>
              <w:t>tas-saħħa u s-sikurezza fuq il-post tax-xogħol meta r-regoli tal-UE (eż. id-Direttiva dwar il-Postijiet tal-Kostruzzjoni 92/57/KEE) jeħtieġu biss il-ħatra.</w:t>
            </w:r>
          </w:p>
        </w:tc>
      </w:tr>
    </w:tbl>
    <w:p>
      <w:pPr>
        <w:rPr>
          <w:noProof/>
        </w:rPr>
      </w:pPr>
      <w:r>
        <w:rPr>
          <w:noProof/>
        </w:rPr>
        <w:t>L-aħħar ftit snin uriet tendenza milqugħa ħafna fost l-Istati Membri li jeżaminaw l-oqfsa leġiżlattivi tagħhom sabiex jissimplifikaw filwaqt li jżommu jew jtejbu l-protezzjoni. Jirriżultaw ħafna vantaġġi minn dan. Filfatt, il-perċezzjoni tan-negozju tar-regoli dwar is-saħħa u s-sikurezza fuq il-post tax-xogħol bħala kumpless tvarja bejn 14 % u 67 % madwar l-Istati Membri</w:t>
      </w:r>
      <w:r>
        <w:rPr>
          <w:rStyle w:val="FootnoteReference"/>
          <w:noProof/>
        </w:rPr>
        <w:footnoteReference w:id="26"/>
      </w:r>
      <w:r>
        <w:rPr>
          <w:noProof/>
        </w:rPr>
        <w:t>. Dan jissuġġerixxi li proporzjon sinifikanti tal-piż amministrattiv fuq in-negozji joriġina mid-differenzi nazzjonali pjuttost milli mir-rekwiżiti minimi tal-UE, filwaqt li ma hemm ebda indikazzjoni korrispondenti li se jkun hemm iktar inċidenti fuq il-post tax-xogħol u mard okkupazzjonali fis-sistemi b'piż iżgħar perċepit.</w:t>
      </w:r>
    </w:p>
    <w:p>
      <w:pPr>
        <w:rPr>
          <w:noProof/>
        </w:rPr>
      </w:pPr>
    </w:p>
    <w:p>
      <w:pPr>
        <w:rPr>
          <w:noProof/>
        </w:rPr>
      </w:pPr>
      <w:r>
        <w:rPr>
          <w:noProof/>
        </w:rPr>
        <w:t>Il-Kummissjoni jista' jkollha rwol importanti ta' appoġġ f'dan il-proċess sabiex tiżgura li l-Istati Membri jużaw l-opportunità li jitgħallmu mill-prattika tajba ta' xulxin u jkollhom il-kompetenza meħtieġa.</w:t>
      </w: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212"/>
      </w:tblGrid>
      <w:tr>
        <w:trPr>
          <w:trHeight w:val="992"/>
        </w:trPr>
        <w:tc>
          <w:tcPr>
            <w:tcW w:w="9212" w:type="dxa"/>
            <w:shd w:val="clear" w:color="auto" w:fill="EEECE1" w:themeFill="background2"/>
          </w:tcPr>
          <w:p>
            <w:pPr>
              <w:jc w:val="center"/>
              <w:rPr>
                <w:noProof/>
              </w:rPr>
            </w:pPr>
            <w:r>
              <w:rPr>
                <w:b/>
                <w:noProof/>
                <w:u w:val="single"/>
              </w:rPr>
              <w:br/>
              <w:t>Tnaqqis tal-piżijiet amministrattivi</w:t>
            </w:r>
          </w:p>
          <w:p>
            <w:pPr>
              <w:numPr>
                <w:ilvl w:val="0"/>
                <w:numId w:val="3"/>
              </w:numPr>
              <w:rPr>
                <w:noProof/>
              </w:rPr>
            </w:pPr>
            <w:r>
              <w:rPr>
                <w:noProof/>
                <w:sz w:val="22"/>
              </w:rPr>
              <w:t>Il-Kummissjoni se tagħti bidu għal proċess ta' reviżjoni bejn il-pari bl-għan speċifiku li tnaqqas il-piż amministrattiv fil-leġiżlazzjoni nazzjonali filwaqt li tinżamm il-protezzjoni tal-ħaddiema.</w:t>
            </w:r>
          </w:p>
        </w:tc>
      </w:tr>
    </w:tbl>
    <w:p>
      <w:pPr>
        <w:rPr>
          <w:noProof/>
        </w:rPr>
      </w:pPr>
    </w:p>
    <w:p>
      <w:pPr>
        <w:rPr>
          <w:noProof/>
        </w:rPr>
      </w:pPr>
      <w:r>
        <w:rPr>
          <w:noProof/>
        </w:rPr>
        <w:t xml:space="preserve">B'reazzjoni għall-Qafas Strateġiku tal-UE dwar is-Saħħa u s-Sigurtà fuq il-Post tax-Xogħol tal-2014-2020, 17-il Stat Membru adottaw strateġiji nazzjonali tas-saħħa u s-sikurezza fuq il-post tax-xogħol li huma l-istrument ewlieni sabiex jiġu adattati politiki nazzjonali għall-ħtiġijiet u prijoritajiet ġodda. L-iktar oqfsa effettivi, eż. l-istrateġiji Ġermaniżi jew Slovakki, jissettjaw miżuri speċifiċi u jiddefinixxu indikaturi li jippermettu monitoraġġ u s-segwitu. Huwa mħeġġeġ bil-qawwa li l-Istati Membri jadottaw urġentement strateġiji nazzjonali inkluż assi prijoritarju fuq ir-reviżjoni u l-aġġornament tal-leġiżlazzjoni nazzjonali, bil-għan speċifiku li jneħħu dispożizzjonijiet superfluwi u jtaffu l-piż amministrattiv fejn ikun possibbli, speċjalment għall-intrapriżi żgħar u mikro. </w:t>
      </w:r>
    </w:p>
    <w:p>
      <w:pPr>
        <w:rPr>
          <w:noProof/>
        </w:rPr>
      </w:pPr>
      <w:r>
        <w:rPr>
          <w:noProof/>
        </w:rPr>
        <w:t xml:space="preserve">Fil-valutazzjoni tal-implimentazzjoni tal-Qafas Strateġiku attwali fl-2018, il-Kummissjoni se tiffoka fuq l-implimentazzjoni tal-prijoritajiet f'din il-komunikazzjoni inkluż inventarju u rakkomandazzjonijiet dwar it-tnaqqis tal-piż amministrattiv fuq il-bażi tal-evalwazzjoni bejn il-pari. </w:t>
      </w:r>
    </w:p>
    <w:p>
      <w:pPr>
        <w:rPr>
          <w:noProof/>
        </w:rPr>
      </w:pPr>
      <w:r>
        <w:rPr>
          <w:noProof/>
        </w:rPr>
        <w:t>Fil-livell tal-UE, it-traspożizzjoni tal-acquis tal-UE se tkun appoġġjata permezz ta' kooperazzjoni msaħħa, mal-Istati Membri, is-sħab soċjali  u spettorati tax-xogħol. Il-Kummissjoni se tagħti prijorità lil każijiet fejn il-ksur huwa partikolarment importanti u r-rimedju x'aktarx se jkollu impatt sinifikanti. L-infurzar f'każijiet individwali huwa r-responsabbiltà tal-awtoritajiet tal-Istati Membri.</w:t>
      </w:r>
    </w:p>
    <w:p>
      <w:pPr>
        <w:pStyle w:val="Heading2"/>
        <w:rPr>
          <w:noProof/>
        </w:rPr>
      </w:pPr>
      <w:r>
        <w:rPr>
          <w:noProof/>
        </w:rPr>
        <w:t>Inkoraġġiment lill-Istati Membri biex jiżguraw kopertura wiesgħa tal-politiki</w:t>
      </w:r>
      <w:r>
        <w:rPr>
          <w:noProof/>
          <w:sz w:val="22"/>
        </w:rPr>
        <w:t xml:space="preserve"> </w:t>
      </w:r>
      <w:r>
        <w:rPr>
          <w:noProof/>
        </w:rPr>
        <w:t xml:space="preserve">dwar is-saħħa u s-sikurezza fuq il-post tax-xogħol </w:t>
      </w:r>
    </w:p>
    <w:p>
      <w:pPr>
        <w:pStyle w:val="Heading3"/>
        <w:rPr>
          <w:noProof/>
        </w:rPr>
      </w:pPr>
      <w:r>
        <w:rPr>
          <w:noProof/>
        </w:rPr>
        <w:t>Ħaddiema għal rashom</w:t>
      </w:r>
    </w:p>
    <w:p>
      <w:pPr>
        <w:spacing w:before="120" w:after="0"/>
        <w:rPr>
          <w:noProof/>
          <w:szCs w:val="24"/>
        </w:rPr>
      </w:pPr>
      <w:r>
        <w:rPr>
          <w:noProof/>
        </w:rPr>
        <w:t>Il-bażi legali għal leġiżlazzjoni dwar is-saħħa u s-sikurezza fuq il-post tax-xogħol tal-EU, l-Artikolu 153 tat-TFUE, jipprevedi li l-UE tista' tilleġiżla biex ittejjeb l-ambjent tax-xogħol sabiex tipproteġi s-saħħa u s-sikurezza tal-ħaddiema.</w:t>
      </w:r>
    </w:p>
    <w:p>
      <w:pPr>
        <w:spacing w:before="120" w:after="0"/>
        <w:rPr>
          <w:noProof/>
          <w:szCs w:val="24"/>
        </w:rPr>
      </w:pPr>
      <w:r>
        <w:rPr>
          <w:noProof/>
        </w:rPr>
        <w:t>F'dan il-kuntest huwa importanti li wieħed jinnota li l-Qorti tal-Ġustizzja tal-UE ddeċidiet li l-klassifikazzjoni ta' "persuna li taħdem għal rasha" skont il-liġi nazzjonali ma twaqqafx lil persuna milli tiġi kklassifikata bħala impjegat jew ħaddiem fis-sens tad-dritt tal-UE jekk l-indipendenza tiegħu tkun nozzjonali biss, u għalhekk tkun taħbi relazzjoni ta' impjieg (Allonby, C</w:t>
      </w:r>
      <w:r>
        <w:rPr>
          <w:noProof/>
        </w:rPr>
        <w:noBreakHyphen/>
        <w:t>256/01).</w:t>
      </w:r>
    </w:p>
    <w:p>
      <w:pPr>
        <w:spacing w:before="120" w:after="0"/>
        <w:rPr>
          <w:noProof/>
          <w:szCs w:val="24"/>
        </w:rPr>
      </w:pPr>
      <w:r>
        <w:rPr>
          <w:noProof/>
        </w:rPr>
        <w:t xml:space="preserve">Il-ħaddiema li jaħdmu għal rashom jammontaw għal 16.4 % tal-impjiegi totali tal-UE. Proporzjonijiet partikolarment kbar jaħdmu bl-ingrossa u bl-imnut, iżda wkoll f'setturi b'riskju għoli bħalma huma l-agrikoltura, il-forestrija, is-sajd u l-kostruzzjoni. Minħabba l-istatus partikolari tal-ħaddiema għal rashom li jaħdmu taħt is-superviżjoni tagħhom stess, jista' jkun kumpless u ta' piż li tiġi applikata valutazzjoni tar-riskju, taħriġ, konsultazzjoni eċċ. għas-sitwazzjoni tagħhom peress li dawn il-prinċipji jibnu fuq relazzjoni bejn ħaddiem/impjegatur. </w:t>
      </w:r>
    </w:p>
    <w:p>
      <w:pPr>
        <w:spacing w:before="120" w:after="0"/>
        <w:rPr>
          <w:noProof/>
          <w:szCs w:val="24"/>
        </w:rPr>
      </w:pPr>
      <w:r>
        <w:rPr>
          <w:noProof/>
        </w:rPr>
        <w:t xml:space="preserve">Madankollu, f'każijiet fejn il-ħaddiema għal rashom jaħdmu flimkien ma' ħaddiema din id-distinzjoni hija inqas evidenti. Barra minn hekk l-azzjonijiet/nuqqasijiet ta' ħaddiem għal rasu f'dan il-kuntest jista' jkollhom impatt fuq is-saħħa u s-sikurezza tal-ħaddiem. Żewġ Direttivi speċifiċi dwar is-saħħa u s-sikurezza fuq il-post tax-xogħol, fejn tali riskju jkun iktar prevalenti huma d-Direttiva dwar il-Postijiet tal-Kostruzzjoni 92/57/KEE u d-Direttiva dwar il-Bastimenti tas-Sajd 93/103/KE, li l-kamp ta' applikazzjoni tagħhom ikopri l-ħaddiema li jaħdmu għal rashom flimkien mal-ħaddiema li huma impjegati. </w:t>
      </w:r>
    </w:p>
    <w:p>
      <w:pPr>
        <w:spacing w:before="120" w:after="0"/>
        <w:rPr>
          <w:noProof/>
          <w:szCs w:val="24"/>
        </w:rPr>
      </w:pPr>
      <w:r>
        <w:rPr>
          <w:noProof/>
        </w:rPr>
        <w:t xml:space="preserve">B'kunsiderazzjoni tal-fatt li ħafna mill-ħaddiema għal rashom jaħdmu f'setturi b'riskju għoli, Rakkomandazzjoni tal-Kunsill dwar il-ħaddiema għal rashom tħeġġeġ lill-Istati Membri jippromwovu s-saħħa u s-sikurezza tagħhom u jinkluduhom fil-kamp ta' applikazzjoni tal-leġiżlazzjoni nazzjonali tagħhom. Hija tipprevedi wkoll li: "ħaddiema li jaħdmu għal rashom, irrispettivament minn jekk dawn jaħdmux waħedhom jew ma' impjegati, jistgħu jkunu suġġetti għal riskji għas-saħħa u s-sikurezza simili għal dawk esperjenzati mill-impjegati". </w:t>
      </w:r>
    </w:p>
    <w:p>
      <w:pPr>
        <w:spacing w:before="120" w:after="0"/>
        <w:rPr>
          <w:noProof/>
          <w:szCs w:val="24"/>
        </w:rPr>
      </w:pPr>
      <w:r>
        <w:rPr>
          <w:noProof/>
        </w:rPr>
        <w:t>Qabel l-adozzjoni tar-Rakkomandazzjoni tal-Kunsill, kienu ftit l-Istati Membri li inkludew lill-ħaddiema għal rashom fil-leġiżlazzjoni nazzjonali tagħhom dwar is-saħħa u s-sikurezza fuq il-post tax-xogħol. Sa mill-adozzjoni tagħha, madwar nofs l-Istati Membri inkludewhom fil-leġiżlazzjoni tagħhom b'xi varjazzjoni fid-definizzjoni ta' ħaddiem għal rasu, il-kamp ta' applikazzjoni tal-leġiżlazzjoni rilevanti u l-estent tal-obbligi tagħhom. L-Istati Membri huma hawnhekk mitluba biex jimplimentaw ir-Rakkomandazzjoni bis-sħiħ.</w:t>
      </w:r>
    </w:p>
    <w:p>
      <w:pPr>
        <w:spacing w:before="120" w:after="0"/>
        <w:rPr>
          <w:noProof/>
          <w:szCs w:val="24"/>
        </w:rPr>
      </w:pPr>
      <w:r>
        <w:rPr>
          <w:noProof/>
        </w:rPr>
        <w:t>Fis-suq tax-xogħol li qed jinbidel b'rata mgħaġġla bil-ħolqien ta' forom ġodda ta' xogħol u ż-żieda fl-inċertezza dwar l-istatus tal-ħaddiema u tal-ħaddiema għal rashom, il-kwistjoni tal-applikazzjoni tar-regoli dwar is-saħħa u s-sikurezza għal kulħadd issir iktar importanti biex jiġu evitati inċidenti u mard fuq il-post tax-xogħol.</w:t>
      </w:r>
    </w:p>
    <w:p>
      <w:pPr>
        <w:spacing w:before="120" w:after="0"/>
        <w:rPr>
          <w:noProof/>
        </w:rPr>
      </w:pPr>
    </w:p>
    <w:p>
      <w:pPr>
        <w:pStyle w:val="Heading3"/>
        <w:rPr>
          <w:noProof/>
        </w:rPr>
      </w:pPr>
      <w:r>
        <w:rPr>
          <w:noProof/>
        </w:rPr>
        <w:t>Tindif ta' twieqi u tindif fi djar privati.</w:t>
      </w:r>
    </w:p>
    <w:p>
      <w:pPr>
        <w:spacing w:before="120" w:after="0"/>
        <w:rPr>
          <w:noProof/>
          <w:szCs w:val="24"/>
        </w:rPr>
      </w:pPr>
      <w:r>
        <w:rPr>
          <w:noProof/>
        </w:rPr>
        <w:t xml:space="preserve"> Il-leġiżlazzjoni tal-UE dwar is-saħħa u s-sikurezza fuq il-post tax-xogħol ma tobbligax lill-Istati Membri jinkludu persuni impjegati għal xogħol tad-dar fi djar privati</w:t>
      </w:r>
      <w:r>
        <w:rPr>
          <w:rStyle w:val="FootnoteReference"/>
          <w:noProof/>
        </w:rPr>
        <w:footnoteReference w:id="27"/>
      </w:r>
      <w:r>
        <w:rPr>
          <w:noProof/>
        </w:rPr>
        <w:t xml:space="preserve"> taħt il-kamp ta' applikazzjoni tar-regoli nazzjonali tagħhom dwar is-saħħa u s-sikurezza fuq il-post tax-xogħol u mhux il-partijiet kollha tal-acquis tal-UE f'dan il-qasam jistgħu jkunu adattati għalihom, bħal rekwiżiti speċifiċi stabbiliti fid-Direttiva dwar il-Post tax-Xogħol fir-rigward ta' rotot ta' emerġenza u ħruġ u s-sinjalizzazzjoni tagħhom. </w:t>
      </w:r>
    </w:p>
    <w:p>
      <w:pPr>
        <w:spacing w:before="120" w:after="0"/>
        <w:rPr>
          <w:noProof/>
          <w:szCs w:val="24"/>
        </w:rPr>
      </w:pPr>
      <w:r>
        <w:rPr>
          <w:noProof/>
        </w:rPr>
        <w:t>Madankollu, il-konvenzjoni tal-Organizzazzjoni Internazzjonali tax-Xogħol dwar il-ħaddiema domestiċi</w:t>
      </w:r>
      <w:r>
        <w:rPr>
          <w:rStyle w:val="FootnoteReference"/>
          <w:noProof/>
        </w:rPr>
        <w:footnoteReference w:id="28"/>
      </w:r>
      <w:r>
        <w:rPr>
          <w:noProof/>
        </w:rPr>
        <w:t xml:space="preserve"> tiddikjara li kull ħaddiem domestiku għandu d-dritt għal ambjent tax-xogħol sikur u san u li dan il-prinċipju għandu jiġi implimentat b'attenzjoni xierqa għall-karatteristiċi speċifiċi tax-xogħol domestiku. Sal-ġurnata tal-lum sitt Stati Membri rratifikaw il-konvenzjoni: il-Belġju, il-Ġermanja, il-Finlandja, l-Irlanda, l-Italja u l-Portugall.</w:t>
      </w:r>
    </w:p>
    <w:p>
      <w:pPr>
        <w:spacing w:before="120" w:after="0"/>
        <w:rPr>
          <w:noProof/>
          <w:szCs w:val="24"/>
        </w:rPr>
      </w:pPr>
      <w:r>
        <w:rPr>
          <w:noProof/>
        </w:rPr>
        <w:t xml:space="preserve">Madwar nofs l-Istati Membri għandhom regoli fis-seħħ dwar is-saħħa u s-sikurezza fuq il-post tax-xogħol li jkopru persuni impjegati għal xogħol domestiku fi djar privati. L-esperjenza tagħhom tista' tgħin biex twassal madwar l-Istati Membri għal standards komparattivament għoljin fir-rigward tal-protezzjoni tas-saħħa u s-sikurezza fuq il-post tax-xogħol tal-istima ta' 2.5 miljun tali persuni fl-UE. Hija tista' wkoll tgħin lill-Istati Membri li jirratifikaw il-Konvenzjoni tal-Organizzazzjoni Internazzjonali tax-Xogħol imsemmija hawn fuq jikkonformaw mal-obbligi internazzjonali tagħhom. </w:t>
      </w:r>
    </w:p>
    <w:p>
      <w:pPr>
        <w:spacing w:before="120" w:after="0"/>
        <w:rPr>
          <w:noProof/>
        </w:rPr>
      </w:pPr>
      <w:r>
        <w:rPr>
          <w:noProof/>
        </w:rPr>
        <w:t>Fil-bidu tal-2018 il-Kummissjoni, f'kooperazzjoni mal-Organizzazzjoni Internazzjonali tax-Xogħol, se tistieden lill-amministrazzjonijiet nazzjonali, is-sħab soċjali u r-rappreżentanti tas-soċjetà ċivili għal konferenza biex jingħata rendikont tal-progress u tiġi inkoraġġuta r-ratifika u l-implimentazzjoni pragmatika fuq il-bażi tal-aħjar prattika.</w:t>
      </w:r>
    </w:p>
    <w:p>
      <w:pPr>
        <w:spacing w:before="120" w:after="0"/>
        <w:rPr>
          <w:noProof/>
          <w:szCs w:val="24"/>
        </w:rPr>
      </w:pPr>
    </w:p>
    <w:p>
      <w:pPr>
        <w:pStyle w:val="Heading2"/>
        <w:rPr>
          <w:noProof/>
          <w:szCs w:val="24"/>
        </w:rPr>
      </w:pPr>
      <w:r>
        <w:rPr>
          <w:noProof/>
        </w:rPr>
        <w:t xml:space="preserve">It-titjib tal-infurzar u kultura ta' prevenzjoni </w:t>
      </w:r>
    </w:p>
    <w:p>
      <w:pPr>
        <w:rPr>
          <w:noProof/>
          <w:szCs w:val="24"/>
        </w:rPr>
      </w:pPr>
      <w:r>
        <w:rPr>
          <w:noProof/>
        </w:rPr>
        <w:t xml:space="preserve">Minħabba l-importanza tal-infurzar fl-implimentazzjoni tas-saħħa u s-sikurezza fuq il-post tax-xogħol huwa vitali li l-Istati Membri jissodisfaw l-obbligu li jiżguraw monitoraġġ u infurzar fil-post u li jiżguraw ir-riżorsi neċessarji biex jagħmlu hekk. </w:t>
      </w:r>
    </w:p>
    <w:p>
      <w:pPr>
        <w:rPr>
          <w:noProof/>
          <w:szCs w:val="24"/>
        </w:rPr>
      </w:pPr>
      <w:r>
        <w:rPr>
          <w:noProof/>
        </w:rPr>
        <w:t>Ir-rwol tal-Kummissjoni, bħala l-"gwardjana tat-Trattati", huwa li taċċerta li l-liġi tal-UE tiġi infurzata b'mod xieraq, jekk ikun hemm bżonn permezz ta' proċeduri ta' ksur. Il-Kummissjoni se ssegwi dan ir-rwol b'mod konformi mal-Komunikazzjoni "</w:t>
      </w:r>
      <w:r>
        <w:rPr>
          <w:i/>
          <w:noProof/>
        </w:rPr>
        <w:t>Riżultati Aħjar Permezz ta' Applikazzjoni Aħjar</w:t>
      </w:r>
      <w:r>
        <w:rPr>
          <w:noProof/>
        </w:rPr>
        <w:t>" (C(2016)8600) adottata fit-13 ta' Diċembru 2016.</w:t>
      </w:r>
    </w:p>
    <w:p>
      <w:pPr>
        <w:rPr>
          <w:noProof/>
          <w:szCs w:val="24"/>
        </w:rPr>
      </w:pPr>
      <w:r>
        <w:rPr>
          <w:noProof/>
        </w:rPr>
        <w:t>L-evalwazzjoni ex post indikat li r-rekwiżiti legali flimkien mal-ispezzjoni huma raġunijiet ewlenin li jispjegaw għaliex l-istabbilimenti jiżviluppaw politiki dwar is-saħħa u s-sikurezza fuq il-post tax-xogħol u jieħdu azzjoni rilevanti. L-ispezzjonijiet jistgħu tabilħaqq jikkontribwixxu għal kultura ta' prevenzjoni reali. L-istudji juru impatti tanġibbli tal-ispezzjonijiet fuq il-kundizzjonijiet tas-saħħa u s-sikurezza fuq il-post tax-xogħol fil-kumpaniji f'termini ta' tnaqqis fir-rati ta' korrimenti wara spezzjoni</w:t>
      </w:r>
      <w:r>
        <w:rPr>
          <w:rStyle w:val="FootnoteReference"/>
          <w:noProof/>
        </w:rPr>
        <w:footnoteReference w:id="29"/>
      </w:r>
      <w:r>
        <w:rPr>
          <w:noProof/>
        </w:rPr>
        <w:t>. Ġie nnutat tnaqqis ta' 22 % fir-rati ta' korriment matul it-3 snin sussegwenti f'impjanti individwali konkreti li ġew spezzjonati u ppenalizzati</w:t>
      </w:r>
      <w:r>
        <w:rPr>
          <w:rStyle w:val="FootnoteReference"/>
          <w:noProof/>
        </w:rPr>
        <w:footnoteReference w:id="30"/>
      </w:r>
      <w:r>
        <w:rPr>
          <w:noProof/>
        </w:rPr>
        <w:t>. Studji riċenti jikkonfermaw li l-ispezzjonijiet iwasslu għal tnaqqis fil-korrimenti fuq il-post tax-xogħol</w:t>
      </w:r>
      <w:r>
        <w:rPr>
          <w:rStyle w:val="FootnoteReference"/>
          <w:noProof/>
        </w:rPr>
        <w:footnoteReference w:id="31"/>
      </w:r>
      <w:r>
        <w:rPr>
          <w:noProof/>
        </w:rPr>
        <w:t>. Punteġġi iktar għoljin ta' spezzjoni tas-saħħa u s-sikurezza fuq il-post tax-xogħol, iwasslu għal tnaqqis fir-rata ta' korrimenti gravi</w:t>
      </w:r>
      <w:r>
        <w:rPr>
          <w:rStyle w:val="FootnoteReference"/>
          <w:noProof/>
        </w:rPr>
        <w:footnoteReference w:id="32"/>
      </w:r>
      <w:r>
        <w:rPr>
          <w:noProof/>
        </w:rPr>
        <w:t>.</w:t>
      </w:r>
    </w:p>
    <w:p>
      <w:pPr>
        <w:rPr>
          <w:noProof/>
          <w:szCs w:val="24"/>
        </w:rPr>
      </w:pPr>
      <w:r>
        <w:rPr>
          <w:noProof/>
        </w:rPr>
        <w:t xml:space="preserve">U madankollu, il-frekwenza tal-ispezzjonijiet tvarja b'mod sinifikanti madwar l-Istati Membri u b'mod ġenerali, mill-inqas 50 % tal-mikrointrapriżi u SMEs u 25 % tal-intrapriżi kbar għadha ma saritilhomx spezzjoni waħda fl-aħħar tliet snin. </w:t>
      </w:r>
    </w:p>
    <w:p>
      <w:pPr>
        <w:rPr>
          <w:noProof/>
          <w:szCs w:val="24"/>
        </w:rPr>
      </w:pPr>
      <w:r>
        <w:rPr>
          <w:noProof/>
        </w:rPr>
        <w:t>Il-mod li bih isiru l-ispezzjonijiet ivarja ħafna wkoll bejn l-Istati Membri u xi kultant ġewwa l-Istati Membri. F'xi każijiet l-ispezzjonijiet jiffukaw fuq il-kontroll tal-konformità u l-impożizzjoni ta' sanzjonijiet biss. F'każijiet oħra, imorru oltre, u jgħinu lill-kumpaniji jidentifikaw modi aħjar kif jiksbu konformità.</w:t>
      </w:r>
    </w:p>
    <w:p>
      <w:pPr>
        <w:rPr>
          <w:noProof/>
        </w:rPr>
      </w:pPr>
      <w:r>
        <w:rPr>
          <w:noProof/>
        </w:rPr>
        <w:t>Il-kooperazzjoni bejn is-sħab soċjali, l-organizzazzjonijiet kummerċjali u l-ispettorati hija essenzjali għall-prevenzjoni ta' inċidenti u mard, speċjalment fil-mikrointrapriżi u l-SMEs. Il-Kummissjoni se ssaħħaħ ukoll l-appoġġ tagħha għal standards u gwida aħjar, b'mod partikolari permezz tal- Kumitat ta’ Spetturi Għolja tax-Xogħol. L-evalwazzjoni tirrikonoxxi r-rwol ewlieni ta' dan il-Kumitat fil-proċess ta' identifikazzjoni tal-aħjar prattiki rigward l-infurzar u l-ispezzjoni mill-Istati Membri u l-kontribuzzjoni tiegħu għall-bini tal-kompetenza u gwida lill-ispettorati. Il- Kumitat ta’ Spetturi Għolja tax-Xogħol se jaħdem biex itejjeb it-taħriġ rilevanti u mmirat għall-ispetturi tax-xogħol fil-livell tal-UE.</w:t>
      </w:r>
    </w:p>
    <w:p>
      <w:pPr>
        <w:rPr>
          <w:noProof/>
        </w:rPr>
      </w:pPr>
      <w:r>
        <w:rPr>
          <w:noProof/>
        </w:rPr>
        <w:t>Sabiex jilħqu lill-mikrointrapriżi u SMEs fil-kuntest tar-riżorsi limitati, l-ispettorati tax-xogħol għandhom jingħaqdu ma' aġenziji oħra tal-infurzar biex jużaw kull opportunità għas-sensibilizzazzjoni dwar obbligi eżistenti u miżuri preventivi u jnaqqsu l-piż fuq il-kumpaniji ta' trikkib tal-ispezzjonijiet. Il-Pjattaforma biex tissaħħaħ il-kooperazzjoni fl-indirizzar tax-xogħol mhux iddikjarat</w:t>
      </w:r>
      <w:r>
        <w:rPr>
          <w:rStyle w:val="FootnoteReference"/>
          <w:noProof/>
        </w:rPr>
        <w:footnoteReference w:id="33"/>
      </w:r>
      <w:r>
        <w:rPr>
          <w:noProof/>
        </w:rPr>
        <w:t xml:space="preserve">  hija eżempju tajjeb ħafna ta' kif tali kooperazzjoni bejn l-aġenziji tista' tiġi stabbilita u tikkontribwixxi għal sensibilizzazzjoni, fehim reċiproku, inizjattivi konkreti u azzjonijiet konġunti fil-livell tal-UE.</w:t>
      </w:r>
    </w:p>
    <w:p>
      <w:pPr>
        <w:rPr>
          <w:noProof/>
        </w:rPr>
      </w:pPr>
      <w:r>
        <w:rPr>
          <w:noProof/>
        </w:rPr>
        <w:t xml:space="preserve">Fil-kuntest tad-dinja l-ġdida tax-xogħol, huwa importanti ħafna li l-individwi diġà jkollhom għarfien dwar is-saħħa u s-sikurezza fuq il-post tax-xogħol meta jidħlu fis-suq tax-xogħol. Dan jeħtieġ mhux biss tagħlim tul il-ħajja għall-professjonisti tas-saħħa u s-sikurezza fuq il-post tax-xogħol iżda wkoll integrazzjoni tas-saħħa u s-sikurezza fuq il-post tax-xogħol fis-setturi kollha tal-edukazzjoni. L-ispettorati tax-xogħol u l-aġenziji nazzjonali għandhom rwol deċiżiv f'dan ir-rigward. Dan se jkun element importanti ieħor ta' kooperazzjoni tal- Kumitat ta’ Spetturi Għolja tax-Xogħol, l-evalwazzjoni bejn il-pari u l-implimentazzjoni tal-Qafas Strateġiku. </w:t>
      </w:r>
    </w:p>
    <w:p>
      <w:pPr>
        <w:pStyle w:val="Heading2"/>
        <w:rPr>
          <w:noProof/>
        </w:rPr>
      </w:pPr>
      <w:r>
        <w:rPr>
          <w:noProof/>
        </w:rPr>
        <w:t>L-iżvilupp ta' għodda ta' monitoraġġ</w:t>
      </w:r>
    </w:p>
    <w:p>
      <w:pPr>
        <w:rPr>
          <w:noProof/>
        </w:rPr>
      </w:pPr>
      <w:r>
        <w:rPr>
          <w:noProof/>
        </w:rPr>
        <w:t>Politiki bbażati fuq l-evidenza għandhom bżonn dejta ta' kwalità għolja, paragunabbli u f'waqtha. Għal din ir-raġuni, fid-dawl tal-informazzjoni lill-iżvilupp ta' politika futura, ix-xogħol ser ikompli, fi ħdan il-Kummissjoni u f'kollaborazzjoni ma' atturi oħra bħall-Aġenzija Ewropea għas-Sigurtà u s-Saħħa fuq il-Post tax-Xogħol u l-Eurofound dwar l-iżvilupp tal-ġbir tad- dejta fil-livell tal-UE. Dan se jinkludi, pereżempju, għodod biex jimmonitorjaw il-prestazzjoni tal-qafas legali tas-saħħa u s-sikurezza fuq il-post tax-xogħol u jkomplu jsegwu l-impatti, ix-xogħol metodoloġiku dwar il-kwistjonijiet ta' nuqqas ta' kopertura u nuqqas ta' rappurtar rigward il-ġbir tad-dejta tal-Istatistika Ewropea dwar l-Aċċidenti fuq ix-Xogħol u x-xogħol fuq il-ġbir tad-dejta pilota dwar l-Istatistika Ewropea dwar il-Mard Okkupazzjonali. Dan se jinkludi wkoll l-esplorazzjoni tal-possibbiltà li tiġi żgurata dejta aġġornata fil-livell tal-UE dwar ir-rata ta' inċidenza ta' inċidenti fuq ix-xogħol imqassma skont id-daqs tal-intrapriża. Edizzjonijiet ġodda ta' stħarriġ eżistenti multiannwali tal-UE</w:t>
      </w:r>
      <w:r>
        <w:rPr>
          <w:rStyle w:val="FootnoteReference"/>
          <w:noProof/>
        </w:rPr>
        <w:footnoteReference w:id="34"/>
      </w:r>
      <w:r>
        <w:rPr>
          <w:noProof/>
        </w:rPr>
        <w:t xml:space="preserve"> se jitwettqu wkoll sal-orizzont tal-2020. Sforzi importanti se jkunu ddedikati wkoll biex tiġi żviluppata dejta ta' esponiment aħjar. L-użu ta' soluzzjonijiet ġodda tal-ICT sabiex tittejjeb il-bażi ta' informazzjoni se jiġi esplorat.</w:t>
      </w:r>
    </w:p>
    <w:p>
      <w:pPr>
        <w:rPr>
          <w:noProof/>
        </w:rPr>
      </w:pPr>
      <w:r>
        <w:rPr>
          <w:noProof/>
        </w:rPr>
        <w:t>Ir-riċerka dwar is-saħħa u s-sikurezza fuq il-post tax-xogħol, barra minn hekk, se tkun appoġġjata b'mod effettiv permezz tal-inklużjoni tal-intestaturi rilevanti taħt id-9 Programm Qafas għar-Riċerka u l-Innovazzjoni u se jinbeda djalogu mal-kontropartijiet globali ewlenin bħall-Istati Uniti u ċ-Ċina sabiex tinkiseb stampa iktar kompluta tas-saħħa u s-sikurezza fuq il-post tax-xogħol fl-UE fil-kuntest globali.</w:t>
      </w:r>
    </w:p>
    <w:p>
      <w:pPr>
        <w:pStyle w:val="Heading1"/>
        <w:numPr>
          <w:ilvl w:val="0"/>
          <w:numId w:val="0"/>
        </w:numPr>
        <w:ind w:left="480" w:hanging="480"/>
        <w:rPr>
          <w:noProof/>
        </w:rPr>
      </w:pPr>
      <w:bookmarkStart w:id="10" w:name="_Toc466456194"/>
      <w:bookmarkStart w:id="11" w:name="_Toc466456728"/>
      <w:bookmarkStart w:id="12" w:name="_Toc466456195"/>
      <w:bookmarkStart w:id="13" w:name="_Toc466456729"/>
      <w:bookmarkStart w:id="14" w:name="_Toc466456196"/>
      <w:bookmarkStart w:id="15" w:name="_Toc466456730"/>
      <w:bookmarkStart w:id="16" w:name="_Toc466456197"/>
      <w:bookmarkStart w:id="17" w:name="_Toc466456731"/>
      <w:bookmarkStart w:id="18" w:name="_Toc466456198"/>
      <w:bookmarkStart w:id="19" w:name="_Toc466456732"/>
      <w:bookmarkStart w:id="20" w:name="_Toc466456199"/>
      <w:bookmarkStart w:id="21" w:name="_Toc466456733"/>
      <w:bookmarkStart w:id="22" w:name="_Toc466456200"/>
      <w:bookmarkStart w:id="23" w:name="_Toc466456734"/>
      <w:bookmarkStart w:id="24" w:name="_Toc466456210"/>
      <w:bookmarkStart w:id="25" w:name="_Toc466456744"/>
      <w:bookmarkStart w:id="26" w:name="_Toc466391761"/>
      <w:bookmarkStart w:id="27" w:name="_Toc466391762"/>
      <w:bookmarkStart w:id="28" w:name="_Toc466391763"/>
      <w:bookmarkStart w:id="29" w:name="_Toc466391828"/>
      <w:bookmarkStart w:id="30" w:name="_Toc466391842"/>
      <w:bookmarkStart w:id="31" w:name="_Toc459719826"/>
      <w:bookmarkStart w:id="32" w:name="_Toc459719827"/>
      <w:bookmarkStart w:id="33" w:name="_Toc466977170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rPr>
          <w:noProof/>
        </w:rPr>
        <w:t>Konklużjoni</w:t>
      </w:r>
      <w:bookmarkEnd w:id="33"/>
    </w:p>
    <w:p>
      <w:pPr>
        <w:rPr>
          <w:noProof/>
        </w:rPr>
      </w:pPr>
      <w:r>
        <w:rPr>
          <w:noProof/>
        </w:rPr>
        <w:t>L-esperjenza ta' 25 sena fil-politika tas-saħħa u s-sikurezza fuq il-post tax-xogħol fil-livell tal-UE u l-valutazzjoni dettaljata ex post tal-acquis tal-UE jippermettulna nitgħallmu għall-futur. Il-politika moderna tas-saħħa u s-sikurezza fuq il-post tax-xogħol għandha tikkonsisti f'regoli ċari u aġġornati fil-livell tal-UE u nazzjonali. In-negozji għandhom jingħataw għajnuna biex jikkonformaw mar-regoli u biex jieħdu benefiċċji massimi mill-isforzi tagħhom tas-saħħa u s-sikurezza fuq il-post tax-xogħol fil-forma ta' forzi tax-xogħol iktar b'saħħithom, iktar kuntenti u iktar produttivi. Dan huwa partikolarment veru għall-intrapriżi mikro u żgħar, fejn l-impatt pożittiv potenzjali tas-saħħa u s-sikurezza fuq il-post tax-xogħol aħjar huwa l-ikbar, iżda li fl-istess ħin jiffaċċjaw restrizzjonijiet fil-fehim u l-applikazzjoni tar-regoli eżistenti.</w:t>
      </w:r>
    </w:p>
    <w:p>
      <w:pPr>
        <w:rPr>
          <w:noProof/>
          <w:szCs w:val="24"/>
        </w:rPr>
      </w:pPr>
      <w:r>
        <w:rPr>
          <w:noProof/>
        </w:rPr>
        <w:t>Għalkemm ir-regoli vinkolanti infurzati fil-post huma kruċjali, kultura ta' konformità f'negozji ta' kull daqs u fost il-ħaddiema huwa dak li verament jagħmel id-differenza fuq il-post. Tali kultura ta' konformità għandha tiġi ffurmata mill-ġranet tal-bidu tal-edukazzjoni 'il quddiem, kemm jekk fl-edukazzjoni professjonali jew f'taħriġ ta' ġestjoni. Din għandha tiġi msaħħa permezz ta' sforzi permanenti ta' sensibilizzazzjoni u skambji tal-aħjar prattiki, u tinżamm fuq allert permezz ta' spezzjonijiet li idealment imorru lil hinn minn sempliċi verifika u s-sanzjonar u jgħinu jidentifikaw modi aħjar ta' konformità. Id-djalogu soċjali għamel kontribut kbir għat-titjib tas-saħħa u s-sikurezza, fuq livell tal-UE, nazzjonali, settorjali u tal-kumpaniji. Dan ma tilef ebda rilevanza fil-kuntest tal-lum. Għall-kuntrarju, id-djalogu soċjali se jkun kruċjali fl-implimentazzjoni tal-azzjonijiet li jinsabu f'din il-Komunikazzjoni.</w:t>
      </w:r>
    </w:p>
    <w:p>
      <w:pPr>
        <w:rPr>
          <w:b/>
          <w:smallCaps/>
          <w:noProof/>
        </w:rPr>
      </w:pPr>
      <w:r>
        <w:rPr>
          <w:noProof/>
        </w:rPr>
        <w:t xml:space="preserve">Il-politika moderna tas-saħħa u s-sikurezza fuq il-post tax-xogħol aħjar tiddependi minn ħafna atturi li jaħdmu flimkien b'sens komun u konvinzjoni komuni li standards għoljin ta' protezzjoni tas-saħħa u s-sikurezza tan-nies fuq il-post tax-xogħol huma rilevanti għal kulħadd. </w:t>
      </w:r>
      <w:r>
        <w:rPr>
          <w:noProof/>
        </w:rPr>
        <w:br w:type="page"/>
      </w:r>
    </w:p>
    <w:p>
      <w:pPr>
        <w:pStyle w:val="Heading1"/>
        <w:numPr>
          <w:ilvl w:val="0"/>
          <w:numId w:val="0"/>
        </w:numPr>
        <w:ind w:left="480" w:hanging="480"/>
        <w:rPr>
          <w:noProof/>
        </w:rPr>
      </w:pPr>
      <w:r>
        <w:rPr>
          <w:noProof/>
        </w:rPr>
        <w:t>Anness 1</w:t>
      </w:r>
    </w:p>
    <w:p>
      <w:pPr>
        <w:jc w:val="center"/>
        <w:rPr>
          <w:b/>
          <w:noProof/>
        </w:rPr>
      </w:pPr>
      <w:r>
        <w:rPr>
          <w:b/>
          <w:noProof/>
        </w:rPr>
        <w:t>Lista tal-azzjonijiet dwar is-sikurezza u s-saħħa fuq il-post tax-xogħol</w:t>
      </w:r>
    </w:p>
    <w:p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"/>
        <w:gridCol w:w="4395"/>
        <w:gridCol w:w="2417"/>
        <w:gridCol w:w="1901"/>
      </w:tblGrid>
      <w:tr>
        <w:tc>
          <w:tcPr>
            <w:tcW w:w="4970" w:type="dxa"/>
            <w:gridSpan w:val="2"/>
            <w:tcBorders>
              <w:bottom w:val="single" w:sz="4" w:space="0" w:color="auto"/>
            </w:tcBorders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Azzjoni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Atturi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Sa meta</w:t>
            </w:r>
          </w:p>
        </w:tc>
      </w:tr>
      <w:tr>
        <w:trPr>
          <w:trHeight w:val="709"/>
        </w:trPr>
        <w:tc>
          <w:tcPr>
            <w:tcW w:w="9288" w:type="dxa"/>
            <w:gridSpan w:val="4"/>
            <w:shd w:val="clear" w:color="auto" w:fill="D9D9D9" w:themeFill="background1" w:themeFillShade="D9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Il-ġlieda kontra l-kanċer okkupazzjonali u t-trattament ta' sustanzi kimiċi perikolużi</w:t>
            </w:r>
          </w:p>
        </w:tc>
      </w:tr>
      <w:tr>
        <w:tc>
          <w:tcPr>
            <w:tcW w:w="57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39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It-tieni emenda tad-Direttiva dwar il-Karċinoġeni</w:t>
            </w:r>
          </w:p>
        </w:tc>
        <w:tc>
          <w:tcPr>
            <w:tcW w:w="2417" w:type="dxa"/>
          </w:tcPr>
          <w:p>
            <w:pPr>
              <w:rPr>
                <w:noProof/>
              </w:rPr>
            </w:pPr>
            <w:r>
              <w:rPr>
                <w:noProof/>
              </w:rPr>
              <w:t>Il-Kummissjoni Ewropea</w:t>
            </w:r>
          </w:p>
        </w:tc>
        <w:tc>
          <w:tcPr>
            <w:tcW w:w="1901" w:type="dxa"/>
          </w:tcPr>
          <w:p>
            <w:pPr>
              <w:rPr>
                <w:noProof/>
              </w:rPr>
            </w:pPr>
            <w:r>
              <w:rPr>
                <w:noProof/>
              </w:rPr>
              <w:t>Fil-bidu tal-2017</w:t>
            </w:r>
          </w:p>
        </w:tc>
      </w:tr>
      <w:tr>
        <w:tc>
          <w:tcPr>
            <w:tcW w:w="57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439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It-tielet emenda tad-Direttiva dwar il-Karċinoġeni</w:t>
            </w:r>
          </w:p>
        </w:tc>
        <w:tc>
          <w:tcPr>
            <w:tcW w:w="2417" w:type="dxa"/>
          </w:tcPr>
          <w:p>
            <w:pPr>
              <w:rPr>
                <w:noProof/>
              </w:rPr>
            </w:pPr>
            <w:r>
              <w:rPr>
                <w:noProof/>
              </w:rPr>
              <w:t>Il-Kummissjoni Ewropea</w:t>
            </w:r>
          </w:p>
        </w:tc>
        <w:tc>
          <w:tcPr>
            <w:tcW w:w="1901" w:type="dxa"/>
          </w:tcPr>
          <w:p>
            <w:pPr>
              <w:rPr>
                <w:noProof/>
              </w:rPr>
            </w:pPr>
            <w:r>
              <w:rPr>
                <w:noProof/>
              </w:rPr>
              <w:t>Fil-bidu tal-2018</w:t>
            </w:r>
          </w:p>
        </w:tc>
      </w:tr>
      <w:tr>
        <w:tc>
          <w:tcPr>
            <w:tcW w:w="57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439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Ir-raba' lista ta' valuri ta' limitu indikattivi fid-direttiva dwar l-Aġenti Kimiċi</w:t>
            </w:r>
          </w:p>
        </w:tc>
        <w:tc>
          <w:tcPr>
            <w:tcW w:w="2417" w:type="dxa"/>
          </w:tcPr>
          <w:p>
            <w:pPr>
              <w:rPr>
                <w:noProof/>
              </w:rPr>
            </w:pPr>
            <w:r>
              <w:rPr>
                <w:noProof/>
              </w:rPr>
              <w:t>Il-Kummissjoni Ewropea</w:t>
            </w:r>
          </w:p>
        </w:tc>
        <w:tc>
          <w:tcPr>
            <w:tcW w:w="1901" w:type="dxa"/>
          </w:tcPr>
          <w:p>
            <w:pPr>
              <w:rPr>
                <w:noProof/>
              </w:rPr>
            </w:pPr>
            <w:r>
              <w:rPr>
                <w:noProof/>
              </w:rPr>
              <w:t>Fil-bidu tal-2017</w:t>
            </w:r>
          </w:p>
        </w:tc>
      </w:tr>
      <w:tr>
        <w:tc>
          <w:tcPr>
            <w:tcW w:w="57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439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Bażi ta' dejta dwar l-esponiment okkupazzjonali għal xi kimiċi perikolużi</w:t>
            </w:r>
          </w:p>
        </w:tc>
        <w:tc>
          <w:tcPr>
            <w:tcW w:w="2417" w:type="dxa"/>
          </w:tcPr>
          <w:p>
            <w:pPr>
              <w:rPr>
                <w:noProof/>
              </w:rPr>
            </w:pPr>
            <w:r>
              <w:rPr>
                <w:noProof/>
              </w:rPr>
              <w:t>Il-Kummissjoni Ewropea</w:t>
            </w:r>
          </w:p>
        </w:tc>
        <w:tc>
          <w:tcPr>
            <w:tcW w:w="1901" w:type="dxa"/>
          </w:tcPr>
          <w:p>
            <w:pPr>
              <w:rPr>
                <w:noProof/>
              </w:rPr>
            </w:pPr>
            <w:r>
              <w:rPr>
                <w:noProof/>
              </w:rPr>
              <w:t>Fil-bidu tal-2017</w:t>
            </w:r>
          </w:p>
        </w:tc>
      </w:tr>
      <w:tr>
        <w:tc>
          <w:tcPr>
            <w:tcW w:w="57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439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Kampanja dwar Postijiet tax-Xogħol Ħielsa mill-Periklu dwar sustanzi perikolużi</w:t>
            </w:r>
          </w:p>
        </w:tc>
        <w:tc>
          <w:tcPr>
            <w:tcW w:w="2417" w:type="dxa"/>
          </w:tcPr>
          <w:p>
            <w:pPr>
              <w:rPr>
                <w:noProof/>
              </w:rPr>
            </w:pPr>
            <w:r>
              <w:rPr>
                <w:noProof/>
              </w:rPr>
              <w:t xml:space="preserve">EU-OSHA </w:t>
            </w:r>
          </w:p>
        </w:tc>
        <w:tc>
          <w:tcPr>
            <w:tcW w:w="1901" w:type="dxa"/>
          </w:tcPr>
          <w:p>
            <w:pPr>
              <w:rPr>
                <w:noProof/>
              </w:rPr>
            </w:pPr>
            <w:r>
              <w:rPr>
                <w:noProof/>
              </w:rPr>
              <w:t>2018-2019</w:t>
            </w:r>
          </w:p>
        </w:tc>
      </w:tr>
      <w:tr>
        <w:tc>
          <w:tcPr>
            <w:tcW w:w="9288" w:type="dxa"/>
            <w:gridSpan w:val="4"/>
            <w:shd w:val="clear" w:color="auto" w:fill="D9D9D9" w:themeFill="background1" w:themeFillShade="D9"/>
          </w:tcPr>
          <w:p>
            <w:pPr>
              <w:jc w:val="left"/>
              <w:rPr>
                <w:b/>
                <w:noProof/>
              </w:rPr>
            </w:pPr>
            <w:r>
              <w:rPr>
                <w:b/>
                <w:noProof/>
              </w:rPr>
              <w:t xml:space="preserve">Għajnuna lin-negozji sabiex jikkonformaw mar-regoli dwar is-saħħa u s-sikurezza fuq il-post tax-xogħol </w:t>
            </w:r>
            <w:r>
              <w:rPr>
                <w:b/>
                <w:noProof/>
              </w:rPr>
              <w:br/>
            </w:r>
          </w:p>
        </w:tc>
      </w:tr>
      <w:tr>
        <w:tc>
          <w:tcPr>
            <w:tcW w:w="57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39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Jintlaħqu l-SMEs sabiex jiġu promossi l-OiRA u għodod nazzjonali simili</w:t>
            </w:r>
          </w:p>
        </w:tc>
        <w:tc>
          <w:tcPr>
            <w:tcW w:w="2417" w:type="dxa"/>
          </w:tcPr>
          <w:p>
            <w:pPr>
              <w:rPr>
                <w:noProof/>
              </w:rPr>
            </w:pPr>
            <w:r>
              <w:rPr>
                <w:noProof/>
              </w:rPr>
              <w:t>L-Istati Membri u s-sħab soċjali, bl-appoġġ tal-Kummissjoni Ewropea u l-Aġenzija Ewropea għas-Sigurtà u s-Saħħa fuq il-Post tax-Xogħol</w:t>
            </w:r>
          </w:p>
        </w:tc>
        <w:tc>
          <w:tcPr>
            <w:tcW w:w="1901" w:type="dxa"/>
          </w:tcPr>
          <w:p>
            <w:pPr>
              <w:rPr>
                <w:noProof/>
              </w:rPr>
            </w:pPr>
            <w:r>
              <w:rPr>
                <w:noProof/>
              </w:rPr>
              <w:t>2017</w:t>
            </w:r>
          </w:p>
        </w:tc>
      </w:tr>
      <w:tr>
        <w:tc>
          <w:tcPr>
            <w:tcW w:w="57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439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Jiġi inkorporat bis-sħiħ l-użu ta' għodod ta' valutazzjoni tar-riskju ibbażati fuq l-internet fis-sistemi legali nazzjonali. Tiġi rikonoxxuta l-OiRA u għodod simili bħala konformità mal-obbligu ta' valutazzjoni tar-riskju.</w:t>
            </w:r>
          </w:p>
        </w:tc>
        <w:tc>
          <w:tcPr>
            <w:tcW w:w="2417" w:type="dxa"/>
          </w:tcPr>
          <w:p>
            <w:pPr>
              <w:rPr>
                <w:noProof/>
              </w:rPr>
            </w:pPr>
            <w:r>
              <w:rPr>
                <w:noProof/>
              </w:rPr>
              <w:t>L-Istati Membri</w:t>
            </w:r>
          </w:p>
        </w:tc>
        <w:tc>
          <w:tcPr>
            <w:tcW w:w="1901" w:type="dxa"/>
          </w:tcPr>
          <w:p>
            <w:pPr>
              <w:rPr>
                <w:noProof/>
              </w:rPr>
            </w:pPr>
            <w:r>
              <w:rPr>
                <w:noProof/>
              </w:rPr>
              <w:t>Nofs l-2018</w:t>
            </w:r>
          </w:p>
        </w:tc>
      </w:tr>
      <w:tr>
        <w:trPr>
          <w:trHeight w:val="1873"/>
        </w:trPr>
        <w:tc>
          <w:tcPr>
            <w:tcW w:w="57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439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Jintlaħqu l-miri kwantifikabbli;</w:t>
            </w:r>
          </w:p>
          <w:p>
            <w:pPr>
              <w:rPr>
                <w:noProof/>
              </w:rPr>
            </w:pPr>
            <w:r>
              <w:rPr>
                <w:noProof/>
              </w:rPr>
              <w:t xml:space="preserve">- 150 għodda tal-OiRA ppubblikati, u </w:t>
            </w:r>
          </w:p>
          <w:p>
            <w:pPr>
              <w:rPr>
                <w:noProof/>
              </w:rPr>
            </w:pPr>
            <w:r>
              <w:rPr>
                <w:noProof/>
              </w:rPr>
              <w:t>- 100,000 valutazzjoni tar-riskju imwettqa bl-OiRA.</w:t>
            </w:r>
          </w:p>
        </w:tc>
        <w:tc>
          <w:tcPr>
            <w:tcW w:w="2417" w:type="dxa"/>
          </w:tcPr>
          <w:p>
            <w:pPr>
              <w:rPr>
                <w:noProof/>
              </w:rPr>
            </w:pPr>
            <w:r>
              <w:rPr>
                <w:noProof/>
              </w:rPr>
              <w:t>EU-OSHA</w:t>
            </w:r>
          </w:p>
        </w:tc>
        <w:tc>
          <w:tcPr>
            <w:tcW w:w="1901" w:type="dxa"/>
          </w:tcPr>
          <w:p>
            <w:pPr>
              <w:rPr>
                <w:noProof/>
              </w:rPr>
            </w:pPr>
            <w:r>
              <w:rPr>
                <w:noProof/>
              </w:rPr>
              <w:t>Nofs l-2018</w:t>
            </w:r>
          </w:p>
        </w:tc>
      </w:tr>
      <w:tr>
        <w:tc>
          <w:tcPr>
            <w:tcW w:w="57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439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Gwida għall-prevenzjoni tar-riskju f'bastimenti tas-sajd żgħar.</w:t>
            </w:r>
          </w:p>
        </w:tc>
        <w:tc>
          <w:tcPr>
            <w:tcW w:w="2417" w:type="dxa"/>
          </w:tcPr>
          <w:p>
            <w:pPr>
              <w:rPr>
                <w:noProof/>
              </w:rPr>
            </w:pPr>
            <w:r>
              <w:rPr>
                <w:noProof/>
              </w:rPr>
              <w:t>Il-Kummissjoni Ewropea</w:t>
            </w:r>
          </w:p>
        </w:tc>
        <w:tc>
          <w:tcPr>
            <w:tcW w:w="1901" w:type="dxa"/>
          </w:tcPr>
          <w:p>
            <w:pPr>
              <w:rPr>
                <w:noProof/>
              </w:rPr>
            </w:pPr>
            <w:r>
              <w:rPr>
                <w:noProof/>
              </w:rPr>
              <w:t>Fil-bidu tal-2017</w:t>
            </w:r>
          </w:p>
        </w:tc>
      </w:tr>
      <w:tr>
        <w:tc>
          <w:tcPr>
            <w:tcW w:w="57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439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Gwida għall-aħjar prattika biex tittejjeb l-applikazzjoni tas-saħħa u s-sikurezza fuq il-post tax-xogħol fl-agrikoltura, it-trobbija tal-bhejjem, l-ortikultura u l-forestrija.</w:t>
            </w:r>
          </w:p>
        </w:tc>
        <w:tc>
          <w:tcPr>
            <w:tcW w:w="2417" w:type="dxa"/>
          </w:tcPr>
          <w:p>
            <w:pPr>
              <w:rPr>
                <w:noProof/>
              </w:rPr>
            </w:pPr>
            <w:r>
              <w:rPr>
                <w:noProof/>
              </w:rPr>
              <w:t>Il-Kummissjoni Ewropea</w:t>
            </w:r>
          </w:p>
        </w:tc>
        <w:tc>
          <w:tcPr>
            <w:tcW w:w="1901" w:type="dxa"/>
          </w:tcPr>
          <w:p>
            <w:pPr>
              <w:rPr>
                <w:noProof/>
              </w:rPr>
            </w:pPr>
            <w:r>
              <w:rPr>
                <w:noProof/>
              </w:rPr>
              <w:t>Fil-bidu tal-2017</w:t>
            </w:r>
          </w:p>
        </w:tc>
      </w:tr>
      <w:tr>
        <w:tc>
          <w:tcPr>
            <w:tcW w:w="57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4395" w:type="dxa"/>
          </w:tcPr>
          <w:p>
            <w:pPr>
              <w:tabs>
                <w:tab w:val="left" w:pos="1305"/>
              </w:tabs>
              <w:rPr>
                <w:noProof/>
              </w:rPr>
            </w:pPr>
            <w:r>
              <w:rPr>
                <w:noProof/>
              </w:rPr>
              <w:t>Pubblikazzjoni dwar l-aħjar prattiki fil-ġestjoni tar-riskji psikosoċjali u r-riskji ergonomiċi</w:t>
            </w:r>
          </w:p>
        </w:tc>
        <w:tc>
          <w:tcPr>
            <w:tcW w:w="2417" w:type="dxa"/>
          </w:tcPr>
          <w:p>
            <w:pPr>
              <w:rPr>
                <w:noProof/>
              </w:rPr>
            </w:pPr>
            <w:r>
              <w:rPr>
                <w:noProof/>
              </w:rPr>
              <w:t>EU-OSHA</w:t>
            </w:r>
          </w:p>
        </w:tc>
        <w:tc>
          <w:tcPr>
            <w:tcW w:w="1901" w:type="dxa"/>
          </w:tcPr>
          <w:p>
            <w:pPr>
              <w:rPr>
                <w:noProof/>
              </w:rPr>
            </w:pPr>
            <w:r>
              <w:rPr>
                <w:noProof/>
              </w:rPr>
              <w:t>Fil-bidu tal-2018</w:t>
            </w:r>
          </w:p>
        </w:tc>
      </w:tr>
      <w:tr>
        <w:tc>
          <w:tcPr>
            <w:tcW w:w="9288" w:type="dxa"/>
            <w:gridSpan w:val="4"/>
            <w:shd w:val="clear" w:color="auto" w:fill="D9D9D9" w:themeFill="background1" w:themeFillShade="D9"/>
          </w:tcPr>
          <w:p>
            <w:pPr>
              <w:jc w:val="left"/>
              <w:rPr>
                <w:noProof/>
              </w:rPr>
            </w:pPr>
            <w:bookmarkStart w:id="34" w:name="_Toc466977169"/>
            <w:r>
              <w:rPr>
                <w:b/>
                <w:noProof/>
              </w:rPr>
              <w:t>It-tneħħija jew aġġornati ta' regoli skaduti u jiġu żgurati protezzjoni, konformità u infurzar aħjar u iktar wiesgħa fil-post.</w:t>
            </w:r>
            <w:bookmarkEnd w:id="34"/>
          </w:p>
        </w:tc>
      </w:tr>
      <w:tr>
        <w:tc>
          <w:tcPr>
            <w:tcW w:w="57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39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Aġġornament tad-Direttiva dwar it-tagħmir bi skrin tal-wiri (90/270)</w:t>
            </w:r>
          </w:p>
        </w:tc>
        <w:tc>
          <w:tcPr>
            <w:tcW w:w="2417" w:type="dxa"/>
            <w:vMerge w:val="restart"/>
          </w:tcPr>
          <w:p>
            <w:pPr>
              <w:rPr>
                <w:noProof/>
              </w:rPr>
            </w:pPr>
            <w:r>
              <w:rPr>
                <w:noProof/>
              </w:rPr>
              <w:t>Il-Kummissjoni Ewropea, wara konsultazzjoni mal-Kumitat Konsultattiv dwar is-Sigurtà u s-Saħħa fix-Xogħol u s-Sħab Soċjali</w:t>
            </w:r>
          </w:p>
          <w:p>
            <w:pPr>
              <w:rPr>
                <w:noProof/>
              </w:rPr>
            </w:pPr>
          </w:p>
        </w:tc>
        <w:tc>
          <w:tcPr>
            <w:tcW w:w="1901" w:type="dxa"/>
            <w:vMerge w:val="restart"/>
          </w:tcPr>
          <w:p>
            <w:pPr>
              <w:rPr>
                <w:noProof/>
              </w:rPr>
            </w:pPr>
            <w:r>
              <w:rPr>
                <w:noProof/>
              </w:rPr>
              <w:t>Għaddejja 2017-2018, għandha tiġi ffinalizzata fi tmiem l-2018</w:t>
            </w:r>
          </w:p>
          <w:p>
            <w:pPr>
              <w:rPr>
                <w:noProof/>
              </w:rPr>
            </w:pPr>
          </w:p>
        </w:tc>
      </w:tr>
      <w:tr>
        <w:tc>
          <w:tcPr>
            <w:tcW w:w="57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439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Aġġornament tad-Direttiva dwar is-sinjali OSH (92/58)</w:t>
            </w:r>
          </w:p>
        </w:tc>
        <w:tc>
          <w:tcPr>
            <w:tcW w:w="2417" w:type="dxa"/>
            <w:vMerge/>
          </w:tcPr>
          <w:p>
            <w:pPr>
              <w:rPr>
                <w:noProof/>
              </w:rPr>
            </w:pPr>
          </w:p>
        </w:tc>
        <w:tc>
          <w:tcPr>
            <w:tcW w:w="1901" w:type="dxa"/>
            <w:vMerge/>
          </w:tcPr>
          <w:p>
            <w:pPr>
              <w:rPr>
                <w:noProof/>
              </w:rPr>
            </w:pPr>
          </w:p>
        </w:tc>
      </w:tr>
      <w:tr>
        <w:tc>
          <w:tcPr>
            <w:tcW w:w="57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4395" w:type="dxa"/>
          </w:tcPr>
          <w:p>
            <w:pPr>
              <w:rPr>
                <w:noProof/>
              </w:rPr>
            </w:pPr>
            <w:r>
              <w:rPr>
                <w:noProof/>
              </w:rPr>
              <w:t xml:space="preserve">Aġġornament tad-Direttiva dwar l-aġenti bijoloġiċi (2000/54) </w:t>
            </w:r>
          </w:p>
        </w:tc>
        <w:tc>
          <w:tcPr>
            <w:tcW w:w="2417" w:type="dxa"/>
            <w:vMerge/>
          </w:tcPr>
          <w:p>
            <w:pPr>
              <w:rPr>
                <w:noProof/>
              </w:rPr>
            </w:pPr>
          </w:p>
        </w:tc>
        <w:tc>
          <w:tcPr>
            <w:tcW w:w="1901" w:type="dxa"/>
            <w:vMerge/>
          </w:tcPr>
          <w:p>
            <w:pPr>
              <w:rPr>
                <w:noProof/>
              </w:rPr>
            </w:pPr>
          </w:p>
        </w:tc>
      </w:tr>
      <w:tr>
        <w:tc>
          <w:tcPr>
            <w:tcW w:w="57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439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Aġġornament tad-Direttiva dwar l-assistenza medika abbord (92/29)</w:t>
            </w:r>
          </w:p>
        </w:tc>
        <w:tc>
          <w:tcPr>
            <w:tcW w:w="2417" w:type="dxa"/>
            <w:vMerge/>
          </w:tcPr>
          <w:p>
            <w:pPr>
              <w:rPr>
                <w:noProof/>
              </w:rPr>
            </w:pPr>
          </w:p>
        </w:tc>
        <w:tc>
          <w:tcPr>
            <w:tcW w:w="1901" w:type="dxa"/>
            <w:vMerge/>
          </w:tcPr>
          <w:p>
            <w:pPr>
              <w:rPr>
                <w:noProof/>
              </w:rPr>
            </w:pPr>
          </w:p>
        </w:tc>
      </w:tr>
      <w:tr>
        <w:tc>
          <w:tcPr>
            <w:tcW w:w="57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4395" w:type="dxa"/>
          </w:tcPr>
          <w:p>
            <w:pPr>
              <w:rPr>
                <w:noProof/>
              </w:rPr>
            </w:pPr>
            <w:r>
              <w:rPr>
                <w:noProof/>
              </w:rPr>
              <w:t xml:space="preserve">Aġġornament tad-Direttiva dwar il-postijiet tax-xogħol (89/654) </w:t>
            </w:r>
          </w:p>
        </w:tc>
        <w:tc>
          <w:tcPr>
            <w:tcW w:w="2417" w:type="dxa"/>
            <w:vMerge/>
          </w:tcPr>
          <w:p>
            <w:pPr>
              <w:rPr>
                <w:noProof/>
              </w:rPr>
            </w:pPr>
          </w:p>
        </w:tc>
        <w:tc>
          <w:tcPr>
            <w:tcW w:w="1901" w:type="dxa"/>
            <w:vMerge/>
          </w:tcPr>
          <w:p>
            <w:pPr>
              <w:rPr>
                <w:noProof/>
              </w:rPr>
            </w:pPr>
          </w:p>
        </w:tc>
      </w:tr>
      <w:tr>
        <w:tc>
          <w:tcPr>
            <w:tcW w:w="57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439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Aġġornament tad-Direttiva dwar it-tagħmir ta' protezzjoni personali (89/656)</w:t>
            </w:r>
          </w:p>
        </w:tc>
        <w:tc>
          <w:tcPr>
            <w:tcW w:w="2417" w:type="dxa"/>
            <w:vMerge/>
          </w:tcPr>
          <w:p>
            <w:pPr>
              <w:rPr>
                <w:noProof/>
              </w:rPr>
            </w:pPr>
          </w:p>
        </w:tc>
        <w:tc>
          <w:tcPr>
            <w:tcW w:w="1901" w:type="dxa"/>
            <w:vMerge/>
          </w:tcPr>
          <w:p>
            <w:pPr>
              <w:rPr>
                <w:noProof/>
              </w:rPr>
            </w:pPr>
          </w:p>
        </w:tc>
      </w:tr>
      <w:tr>
        <w:tc>
          <w:tcPr>
            <w:tcW w:w="57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439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L-implimentazzjoni sħiħa tar-Rakkomandazzjoni tal-Kunsill dwar il-ħaddiema għal rashom</w:t>
            </w:r>
          </w:p>
        </w:tc>
        <w:tc>
          <w:tcPr>
            <w:tcW w:w="2417" w:type="dxa"/>
          </w:tcPr>
          <w:p>
            <w:pPr>
              <w:rPr>
                <w:noProof/>
              </w:rPr>
            </w:pPr>
            <w:r>
              <w:rPr>
                <w:noProof/>
              </w:rPr>
              <w:t>L-Istati Membri</w:t>
            </w:r>
          </w:p>
        </w:tc>
        <w:tc>
          <w:tcPr>
            <w:tcW w:w="1901" w:type="dxa"/>
          </w:tcPr>
          <w:p>
            <w:pPr>
              <w:rPr>
                <w:noProof/>
              </w:rPr>
            </w:pPr>
            <w:r>
              <w:rPr>
                <w:noProof/>
              </w:rPr>
              <w:t>Tmiem l-2018</w:t>
            </w:r>
          </w:p>
        </w:tc>
      </w:tr>
      <w:tr>
        <w:tc>
          <w:tcPr>
            <w:tcW w:w="57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439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Konferenza ta' livell għoli dwar il-persuni impjegati għal xogħol tad-dar fi djar privati.</w:t>
            </w:r>
          </w:p>
        </w:tc>
        <w:tc>
          <w:tcPr>
            <w:tcW w:w="2417" w:type="dxa"/>
          </w:tcPr>
          <w:p>
            <w:pPr>
              <w:rPr>
                <w:noProof/>
              </w:rPr>
            </w:pPr>
            <w:r>
              <w:rPr>
                <w:noProof/>
              </w:rPr>
              <w:t>Il-Kummissjoni Ewropea (mal-Organizzazzjoni Internazzjonali tax-Xogħol)</w:t>
            </w:r>
          </w:p>
        </w:tc>
        <w:tc>
          <w:tcPr>
            <w:tcW w:w="1901" w:type="dxa"/>
          </w:tcPr>
          <w:p>
            <w:pPr>
              <w:rPr>
                <w:noProof/>
              </w:rPr>
            </w:pPr>
            <w:r>
              <w:rPr>
                <w:noProof/>
              </w:rPr>
              <w:t>Fil-bidu tal-2018</w:t>
            </w:r>
          </w:p>
        </w:tc>
      </w:tr>
      <w:tr>
        <w:tc>
          <w:tcPr>
            <w:tcW w:w="57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4395" w:type="dxa"/>
          </w:tcPr>
          <w:p>
            <w:pPr>
              <w:rPr>
                <w:noProof/>
              </w:rPr>
            </w:pPr>
            <w:r>
              <w:rPr>
                <w:noProof/>
              </w:rPr>
              <w:t xml:space="preserve">Ratifika tal-Konvenzjoni tal-Organizzazzjoni Internazzjonali tax-Xogħol dwar il-Ħaddiema Domestiċi. </w:t>
            </w:r>
          </w:p>
        </w:tc>
        <w:tc>
          <w:tcPr>
            <w:tcW w:w="2417" w:type="dxa"/>
          </w:tcPr>
          <w:p>
            <w:pPr>
              <w:rPr>
                <w:noProof/>
              </w:rPr>
            </w:pPr>
            <w:r>
              <w:rPr>
                <w:noProof/>
              </w:rPr>
              <w:t>L-Istati Membri</w:t>
            </w:r>
          </w:p>
        </w:tc>
        <w:tc>
          <w:tcPr>
            <w:tcW w:w="1901" w:type="dxa"/>
          </w:tcPr>
          <w:p>
            <w:pPr>
              <w:rPr>
                <w:noProof/>
              </w:rPr>
            </w:pPr>
            <w:r>
              <w:rPr>
                <w:noProof/>
              </w:rPr>
              <w:t>Nofs l-2018</w:t>
            </w:r>
          </w:p>
        </w:tc>
      </w:tr>
      <w:tr>
        <w:tc>
          <w:tcPr>
            <w:tcW w:w="57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439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L-Istati Membri jiġu mistiedna għal proċess ta' evalwazzjoni bejn il-pari bl-ghan speċifiku li jitnaqqas il-piż amministrattiv fil-leġiżlazzjoni nazzjonali filwaqt li tinżamm il-protezzjoni tal-ħaddiema.</w:t>
            </w:r>
          </w:p>
        </w:tc>
        <w:tc>
          <w:tcPr>
            <w:tcW w:w="2417" w:type="dxa"/>
          </w:tcPr>
          <w:p>
            <w:pPr>
              <w:rPr>
                <w:noProof/>
              </w:rPr>
            </w:pPr>
            <w:r>
              <w:rPr>
                <w:noProof/>
              </w:rPr>
              <w:t>Il-Kummissjoni Ewropea</w:t>
            </w:r>
          </w:p>
        </w:tc>
        <w:tc>
          <w:tcPr>
            <w:tcW w:w="1901" w:type="dxa"/>
          </w:tcPr>
          <w:p>
            <w:pPr>
              <w:rPr>
                <w:noProof/>
              </w:rPr>
            </w:pPr>
            <w:r>
              <w:rPr>
                <w:noProof/>
              </w:rPr>
              <w:t>Kontinwa 2017-2018</w:t>
            </w:r>
          </w:p>
        </w:tc>
      </w:tr>
      <w:tr>
        <w:tc>
          <w:tcPr>
            <w:tcW w:w="57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439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L-ewwel rapport dwar l-evalwazzjoni bejn il-pari</w:t>
            </w:r>
          </w:p>
        </w:tc>
        <w:tc>
          <w:tcPr>
            <w:tcW w:w="2417" w:type="dxa"/>
          </w:tcPr>
          <w:p>
            <w:pPr>
              <w:rPr>
                <w:noProof/>
              </w:rPr>
            </w:pPr>
            <w:r>
              <w:rPr>
                <w:noProof/>
              </w:rPr>
              <w:t>Il-Kummissjoni Ewropea</w:t>
            </w:r>
          </w:p>
        </w:tc>
        <w:tc>
          <w:tcPr>
            <w:tcW w:w="1901" w:type="dxa"/>
          </w:tcPr>
          <w:p>
            <w:pPr>
              <w:rPr>
                <w:noProof/>
              </w:rPr>
            </w:pPr>
            <w:r>
              <w:rPr>
                <w:noProof/>
              </w:rPr>
              <w:t>Tmiem l-2017</w:t>
            </w:r>
          </w:p>
        </w:tc>
      </w:tr>
      <w:tr>
        <w:tc>
          <w:tcPr>
            <w:tcW w:w="57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439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Aġġornament tal-istrateġiji nazzjonali tas-saħħa u s-sikurezza fuq il-post tax-xogħol li jirriflettu l-prijoritajiet ta' din il-Kommunikazzjoni u jinkludu l-ewwel riżultati tal-evalwazzjoni bejn il-pari</w:t>
            </w:r>
          </w:p>
        </w:tc>
        <w:tc>
          <w:tcPr>
            <w:tcW w:w="2417" w:type="dxa"/>
          </w:tcPr>
          <w:p>
            <w:pPr>
              <w:rPr>
                <w:noProof/>
              </w:rPr>
            </w:pPr>
            <w:r>
              <w:rPr>
                <w:noProof/>
              </w:rPr>
              <w:t>L-Istati Membri</w:t>
            </w:r>
          </w:p>
        </w:tc>
        <w:tc>
          <w:tcPr>
            <w:tcW w:w="1901" w:type="dxa"/>
          </w:tcPr>
          <w:p>
            <w:pPr>
              <w:rPr>
                <w:noProof/>
              </w:rPr>
            </w:pPr>
            <w:r>
              <w:rPr>
                <w:noProof/>
              </w:rPr>
              <w:t>Tmiem l-2017</w:t>
            </w:r>
          </w:p>
        </w:tc>
      </w:tr>
      <w:tr>
        <w:tc>
          <w:tcPr>
            <w:tcW w:w="57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4395" w:type="dxa"/>
          </w:tcPr>
          <w:p>
            <w:pPr>
              <w:rPr>
                <w:noProof/>
              </w:rPr>
            </w:pPr>
            <w:r>
              <w:rPr>
                <w:noProof/>
              </w:rPr>
              <w:t xml:space="preserve">Aġġornament tal-Prinċipji Komuni tal-Ispezzjoni tax-Xogħol fil-qasam tas-Saħħa u s-Sigurtà </w:t>
            </w:r>
          </w:p>
        </w:tc>
        <w:tc>
          <w:tcPr>
            <w:tcW w:w="2417" w:type="dxa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>Il- Kumitat ta’ Spetturi Għolja tax-Xogħol</w:t>
            </w:r>
          </w:p>
        </w:tc>
        <w:tc>
          <w:tcPr>
            <w:tcW w:w="1901" w:type="dxa"/>
          </w:tcPr>
          <w:p>
            <w:pPr>
              <w:rPr>
                <w:noProof/>
              </w:rPr>
            </w:pPr>
            <w:r>
              <w:rPr>
                <w:noProof/>
              </w:rPr>
              <w:t>2017</w:t>
            </w:r>
          </w:p>
        </w:tc>
      </w:tr>
      <w:tr>
        <w:tc>
          <w:tcPr>
            <w:tcW w:w="57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439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Gwida għal prattika tajba biex tittejjeb l-applikazzjoni tas-saħħa u s-sikurezza fuq il-post tax-xogħol billi jitnaqqas ir-riskju tal-vetturi relatati max-xogħol</w:t>
            </w:r>
          </w:p>
        </w:tc>
        <w:tc>
          <w:tcPr>
            <w:tcW w:w="2417" w:type="dxa"/>
          </w:tcPr>
          <w:p>
            <w:pPr>
              <w:rPr>
                <w:noProof/>
              </w:rPr>
            </w:pPr>
            <w:r>
              <w:rPr>
                <w:noProof/>
              </w:rPr>
              <w:t>Il-Kummissjoni Ewropea/l-Agenzija Ewropea għas-Sigurtà u s-Saħħa fuq il-Post tax-Xogħol</w:t>
            </w:r>
          </w:p>
        </w:tc>
        <w:tc>
          <w:tcPr>
            <w:tcW w:w="1901" w:type="dxa"/>
          </w:tcPr>
          <w:p>
            <w:pPr>
              <w:rPr>
                <w:noProof/>
              </w:rPr>
            </w:pPr>
            <w:r>
              <w:rPr>
                <w:noProof/>
              </w:rPr>
              <w:t>2017</w:t>
            </w:r>
          </w:p>
        </w:tc>
      </w:tr>
      <w:tr>
        <w:trPr>
          <w:trHeight w:val="384"/>
        </w:trPr>
        <w:tc>
          <w:tcPr>
            <w:tcW w:w="57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439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Standards Komuni għal programmi ta' taħriġ tal-ispetturi</w:t>
            </w:r>
          </w:p>
        </w:tc>
        <w:tc>
          <w:tcPr>
            <w:tcW w:w="2417" w:type="dxa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>Il- Kumitat ta’ Spetturi Għolja tax-Xogħol</w:t>
            </w:r>
          </w:p>
        </w:tc>
        <w:tc>
          <w:tcPr>
            <w:tcW w:w="1901" w:type="dxa"/>
          </w:tcPr>
          <w:p>
            <w:pPr>
              <w:rPr>
                <w:noProof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57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439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Manwal elettroniku dwar l-infurzar transkonfinali</w:t>
            </w:r>
          </w:p>
        </w:tc>
        <w:tc>
          <w:tcPr>
            <w:tcW w:w="2417" w:type="dxa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>Il- Kumitat ta’ Spetturi Għolja tax-Xogħol</w:t>
            </w:r>
          </w:p>
        </w:tc>
        <w:tc>
          <w:tcPr>
            <w:tcW w:w="1901" w:type="dxa"/>
          </w:tcPr>
          <w:p>
            <w:pPr>
              <w:rPr>
                <w:noProof/>
              </w:rPr>
            </w:pPr>
            <w:r>
              <w:rPr>
                <w:noProof/>
              </w:rPr>
              <w:t>2018</w:t>
            </w:r>
          </w:p>
        </w:tc>
      </w:tr>
      <w:tr>
        <w:tc>
          <w:tcPr>
            <w:tcW w:w="575" w:type="dxa"/>
          </w:tcPr>
          <w:p>
            <w:pPr>
              <w:rPr>
                <w:noProof/>
              </w:rPr>
            </w:pPr>
            <w:r>
              <w:rPr>
                <w:noProof/>
              </w:rPr>
              <w:t>17</w:t>
            </w:r>
          </w:p>
        </w:tc>
        <w:tc>
          <w:tcPr>
            <w:tcW w:w="4395" w:type="dxa"/>
          </w:tcPr>
          <w:p>
            <w:pPr>
              <w:tabs>
                <w:tab w:val="left" w:pos="1305"/>
              </w:tabs>
              <w:rPr>
                <w:noProof/>
              </w:rPr>
            </w:pPr>
            <w:r>
              <w:rPr>
                <w:noProof/>
              </w:rPr>
              <w:t>L-iżvilupp ta' prinċipji rilevanti għall-ispetturi tax-xogħol fir-rigward ta' valutazzjoni tar-riskju sensittiva għall-età.</w:t>
            </w:r>
          </w:p>
        </w:tc>
        <w:tc>
          <w:tcPr>
            <w:tcW w:w="2417" w:type="dxa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>L-Istati Membri u l- Kumitat ta’ Spetturi Għolja tax-Xogħol</w:t>
            </w:r>
          </w:p>
        </w:tc>
        <w:tc>
          <w:tcPr>
            <w:tcW w:w="1901" w:type="dxa"/>
          </w:tcPr>
          <w:p>
            <w:pPr>
              <w:rPr>
                <w:noProof/>
              </w:rPr>
            </w:pPr>
            <w:r>
              <w:rPr>
                <w:noProof/>
              </w:rPr>
              <w:t>Fil-bidu tal-2018</w:t>
            </w:r>
          </w:p>
        </w:tc>
      </w:tr>
    </w:tbl>
    <w:p>
      <w:pPr>
        <w:spacing w:after="200" w:line="276" w:lineRule="auto"/>
        <w:jc w:val="left"/>
        <w:rPr>
          <w:b/>
          <w:smallCaps/>
          <w:noProof/>
        </w:rPr>
      </w:pPr>
    </w:p>
    <w:sectPr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endnotePr>
        <w:numFmt w:val="decimal"/>
      </w:endnotePr>
      <w:type w:val="continuous"/>
      <w:pgSz w:w="11906" w:h="16838"/>
      <w:pgMar w:top="1417" w:right="1417" w:bottom="851" w:left="1417" w:header="708" w:footer="708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4B4DBD6" w15:done="0"/>
  <w15:commentEx w15:paraId="296260BC" w15:done="0"/>
  <w15:commentEx w15:paraId="3E25C46B" w15:done="0"/>
  <w15:commentEx w15:paraId="49ED1895" w15:done="0"/>
  <w15:commentEx w15:paraId="27D4F28F" w15:done="0"/>
  <w15:commentEx w15:paraId="2F6A170A" w15:done="0"/>
  <w15:commentEx w15:paraId="1402B23A" w15:done="0"/>
  <w15:commentEx w15:paraId="467C1B82" w15:done="0"/>
  <w15:commentEx w15:paraId="22382C29" w15:done="0"/>
  <w15:commentEx w15:paraId="6002E3E1" w15:done="0"/>
  <w15:commentEx w15:paraId="69ED1769" w15:done="0"/>
  <w15:commentEx w15:paraId="47A80DD5" w15:done="0"/>
  <w15:commentEx w15:paraId="25840EA4" w15:done="0"/>
  <w15:commentEx w15:paraId="56326E96" w15:done="0"/>
  <w15:commentEx w15:paraId="67C9557E" w15:done="0"/>
  <w15:commentEx w15:paraId="214F8B13" w15:done="0"/>
  <w15:commentEx w15:paraId="039722C2" w15:done="0"/>
  <w15:commentEx w15:paraId="581D318F" w15:done="0"/>
  <w15:commentEx w15:paraId="730326EB" w15:done="0"/>
  <w15:commentEx w15:paraId="758124E8" w15:done="0"/>
  <w15:commentEx w15:paraId="7671CB5E" w15:done="0"/>
  <w15:commentEx w15:paraId="0693D55B" w15:done="0"/>
  <w15:commentEx w15:paraId="706CAF70" w15:done="0"/>
  <w15:commentEx w15:paraId="75332065" w15:done="0"/>
  <w15:commentEx w15:paraId="45403CA0" w15:done="0"/>
  <w15:commentEx w15:paraId="4C62A116" w15:done="0"/>
  <w15:commentEx w15:paraId="7ECAB675" w15:done="0"/>
  <w15:commentEx w15:paraId="7F210676" w15:done="0"/>
  <w15:commentEx w15:paraId="3101E6E3" w15:done="0"/>
  <w15:commentEx w15:paraId="68FD596C" w15:done="0"/>
  <w15:commentEx w15:paraId="5A5C7B4B" w15:done="0"/>
  <w15:commentEx w15:paraId="28F2DE24" w15:done="0"/>
  <w15:commentEx w15:paraId="0840C227" w15:done="0"/>
  <w15:commentEx w15:paraId="3765190D" w15:done="0"/>
  <w15:commentEx w15:paraId="3C7EDB1E" w15:done="0"/>
  <w15:commentEx w15:paraId="32ED31FA" w15:done="0"/>
  <w15:commentEx w15:paraId="50A30B87" w15:done="0"/>
  <w15:commentEx w15:paraId="19FE0D5E" w15:done="0"/>
  <w15:commentEx w15:paraId="42538206" w15:done="0"/>
  <w15:commentEx w15:paraId="18B006D6" w15:done="0"/>
  <w15:commentEx w15:paraId="3402ED60" w15:done="0"/>
  <w15:commentEx w15:paraId="6F59471A" w15:done="0"/>
  <w15:commentEx w15:paraId="3E274BF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  <w:endnote w:type="continuationNotice" w:id="1">
    <w:p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6409899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  <w:footnote w:type="continuationNotice" w:id="1">
    <w:p>
      <w:pPr>
        <w:spacing w:after="0"/>
      </w:pPr>
    </w:p>
  </w:footnote>
  <w:footnote w:id="2">
    <w:p>
      <w:pPr>
        <w:pStyle w:val="FootnoteText"/>
        <w:spacing w:after="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tab/>
        <w:t>Eurostat, Statistika Ewropea dwar l-Aċċidenti fuq ix-Xogħol (ESAW) (kodiċi ta' dejta online hsw_n2_02), EU-28.</w:t>
      </w:r>
    </w:p>
  </w:footnote>
  <w:footnote w:id="3">
    <w:p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Eurostat, moduli </w:t>
      </w:r>
      <w:r>
        <w:rPr>
          <w:i/>
        </w:rPr>
        <w:t>ad hoc</w:t>
      </w:r>
      <w:r>
        <w:t xml:space="preserve"> tal-2007 u 2013 tal-Istħarriġ dwar il-Forza tax-Xogħol tal-UE dwar l-inċidenti fuq ix-xogħol u problemi tas-saħħa relatati max-xogħol. Stima li teskludi n-NL minħabba nuqqas ta' provvediment ta' dejta tal-2013 u FR minħabba differenzi importanti fil-kwestjonarji ta' stħarriġ bejn l-2007 u l-2013.</w:t>
      </w:r>
    </w:p>
  </w:footnote>
  <w:footnote w:id="4">
    <w:p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   </w:t>
      </w:r>
      <w:r>
        <w:tab/>
      </w:r>
      <w:hyperlink r:id="rId1">
        <w:r>
          <w:rPr>
            <w:rStyle w:val="Hyperlink"/>
          </w:rPr>
          <w:t>http://www.ilo.org/wcmsp5/groups/public/---ed_protect/---protrav/---safework/documents/publication/wcms_215307.pdf</w:t>
        </w:r>
      </w:hyperlink>
    </w:p>
  </w:footnote>
  <w:footnote w:id="5">
    <w:p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i/>
        </w:rPr>
        <w:t>Il-kalkolu tar-redditu internazzjonali fuq il-prevenzjoni għall-kumpaniji: spejjeż u benefiċċji tal-investimenti fis-saħħa u s-sikurezza fuq il-post tax-xogħol</w:t>
      </w:r>
      <w:r>
        <w:t>, Assoċjazzjoni Internazzjonali tas-Sigurtà Soċjali; 2013.</w:t>
      </w:r>
    </w:p>
  </w:footnote>
  <w:footnote w:id="6">
    <w:p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Ara l-SWD (2017)10 Evalwazzjoni ex post tad-Direttivi tal-Unjoni Ewropea dwar is-saħħa u s-sikurezza fuq il-post tax-xogħol (Evalwazzjoni REFIT)</w:t>
      </w:r>
    </w:p>
  </w:footnote>
  <w:footnote w:id="7">
    <w:p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Il-Parlament Ewropew: rapport dwar il-Qafas Strateġiku tal-UE dwar is-Saħħa u s-Sikurezza Okkupazzjonali 2014-2020, (2015/2107(INI)) – 26.10.2015</w:t>
      </w:r>
    </w:p>
  </w:footnote>
  <w:footnote w:id="8">
    <w:p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Komunikazzjoni tal-Kummissjoni lill-Parlament Ewropew, lill-Kunsill, lill-Kumitat Ekonomiku u Soċjali Ewropew u lill-Kumitat tar-Reġjuni dwar Qafas Strateġiku Ewropew dwar is-Saħħa u s-Sikurezza Okkupazzjonali 2014-2020; COM(2014)332 final.</w:t>
      </w:r>
    </w:p>
  </w:footnote>
  <w:footnote w:id="9">
    <w:p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“Il-kanċer relatat max-xogħol fl-Unjoni Ewropea. Id-daqs, l-impatt u l-opzjonijiet għal prevenzjoni ulterjuri. RIVM Rapport fil-forma ta' ittra 2016-0010 W.P. Jongeneel et al.</w:t>
      </w:r>
    </w:p>
  </w:footnote>
  <w:footnote w:id="10">
    <w:p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COM (2016) 248.</w:t>
      </w:r>
    </w:p>
  </w:footnote>
  <w:footnote w:id="11">
    <w:p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Fi ħdan il-Kumitat ta' Konsulenza dwar is-Sigurtà u s-Saħħa fuq il-Post tax-Xogħol.</w:t>
      </w:r>
    </w:p>
  </w:footnote>
  <w:footnote w:id="12">
    <w:p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2">
        <w:r>
          <w:rPr>
            <w:rStyle w:val="Hyperlink"/>
          </w:rPr>
          <w:t>http://www.hazchematwork.eu/</w:t>
        </w:r>
      </w:hyperlink>
    </w:p>
  </w:footnote>
  <w:footnote w:id="13">
    <w:p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 </w:t>
      </w:r>
      <w:r>
        <w:tab/>
        <w:t xml:space="preserve">Bħall-Istatistika Ewropea dwar l-inċidenti fuq ix-xogħol, moduli </w:t>
      </w:r>
      <w:r>
        <w:rPr>
          <w:i/>
        </w:rPr>
        <w:t>ad hoc</w:t>
      </w:r>
      <w:r>
        <w:t xml:space="preserve"> tal-Istħarriġ dwar il-Forza tax-Xogħol dwar l-inċidenti fuq il-post tax-xogħol u problemi oħra tas-saħħa relatati mal-post tax-xogħol, l-Istħarriġ Ewropew dwar il-Kundizzjonijiet tax-Xogħol jew l-Istħarriġ Ewropew ta’ Intrapriżi dwar Riskji Ġodda u Emerġenti (ESENER) tal-Eurofound imwettaq mill-Aġenzija Ewropea għas-Sigurtà u s-Saħħa fuq il-Post tax-Xogħol. Barra minn hekk, ir-riċerka dwar is-saħħa u s-sikurezza fuq il-post tax-xogħol se tkun appoġġjata b'mod effettiv permezz tal-inklużjoni tal-intestaturi rilevanti taħt id-9 Programm Qafas għar-Riċerka u l-Innovazzjoni u se jinbeda djalogu mal-kontropartijiet globali ewlenin bħall-Istati Uniti u ċ-Ċina sabiex tinkiseb stampa iktar kompluta tas-saħħa u s-sikurezza fuq il-post tax-xogħol fl-UE fil-kuntest globali u tiġi prodotta statistika iktar affidabbli bbażata fuq koorti ikbar.</w:t>
      </w:r>
    </w:p>
  </w:footnote>
  <w:footnote w:id="14">
    <w:p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Ir-Regolament (KE) Nru 1338/2008 dwar l-istatistika Komunitarja dwar is-saħħa pubblika u s-saħħa u s-sigurtà fuq ix-xogħol, ĠU L 354/70, 31.12.2008. </w:t>
      </w:r>
    </w:p>
  </w:footnote>
  <w:footnote w:id="15">
    <w:p>
      <w:pPr>
        <w:pStyle w:val="FootnoteText"/>
      </w:pPr>
      <w:r>
        <w:rPr>
          <w:rStyle w:val="FootnoteReference"/>
        </w:rPr>
        <w:footnoteRef/>
      </w:r>
      <w:r>
        <w:t xml:space="preserve">    </w:t>
      </w:r>
      <w:hyperlink r:id="rId3">
        <w:r>
          <w:rPr>
            <w:rStyle w:val="Hyperlink"/>
          </w:rPr>
          <w:t>http://www.eea.europa.eu/themes/human/human-biomonitoring</w:t>
        </w:r>
      </w:hyperlink>
    </w:p>
  </w:footnote>
  <w:footnote w:id="16">
    <w:p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   </w:t>
      </w:r>
      <w:hyperlink r:id="rId4">
        <w:r>
          <w:rPr>
            <w:rStyle w:val="Hyperlink"/>
          </w:rPr>
          <w:t>http://ec.europa.eu/smart-regulation/refit/refit-platform/docs/recommendations/opinion_chemicals.pdf</w:t>
        </w:r>
      </w:hyperlink>
    </w:p>
  </w:footnote>
  <w:footnote w:id="17">
    <w:p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   Eurostat, SBS, kodiċi ta' dejta online sbs_sca_r2, sena ta' referenza 2012.</w:t>
      </w:r>
    </w:p>
  </w:footnote>
  <w:footnote w:id="18">
    <w:p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   Kuntesti u arranġamenti għas-saħħa u s-sikurezza fuq il-post tax-xogħol fl-intrapriżi mikro u żgħar fl-UE – proġett SESAME, Osservatorju Ewropew tar-Riskji, EU-OSHA, 2016.</w:t>
      </w:r>
    </w:p>
  </w:footnote>
  <w:footnote w:id="19">
    <w:p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Risposta tal-Assoċjazzjoni Ewropea tal-Artiġjanat u tal-Intrapriżi Żgħar u Medji (UEAPME) għall-konsultazzjoni pubblika dwar il-qafas il-ġdid tal-politika dwar is-saħħa u s-sikurezza fuq il-post tax-xogħol tal-UE, 26/08/13</w:t>
      </w:r>
    </w:p>
  </w:footnote>
  <w:footnote w:id="20">
    <w:p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Sors: EU-OSHA, Kuntesti u arranġamenti għas-saħħa u s-sikurezza fuq il-post tax-xogħol fl-intrapriżi mikro u żgħar fl-UE – proġett SESAME. Analiżi tal-Letteratura tal-Osservatorju Ewropew tar-Riskji, 2016. Disponibbli fuq: </w:t>
      </w:r>
      <w:hyperlink r:id="rId5">
        <w:r>
          <w:rPr>
            <w:rStyle w:val="Hyperlink"/>
          </w:rPr>
          <w:t>https://osha.europa.eu/mt/tools-and-publications/publications/contexts-and-arrangements-occupational-safety-and-health-micro/view</w:t>
        </w:r>
      </w:hyperlink>
    </w:p>
  </w:footnote>
  <w:footnote w:id="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Ara l-SWD (2017)9 - Is-Saħħa u s-Sigurtà fuq il-Post tax-Xogħol huma ta' Interess għal Kulħadd – Gwida prattika għall-impjegaturi</w:t>
      </w:r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6">
        <w:r>
          <w:rPr>
            <w:rStyle w:val="Hyperlink"/>
          </w:rPr>
          <w:t>http://www.oiraproject.eu/</w:t>
        </w:r>
      </w:hyperlink>
    </w:p>
  </w:footnote>
  <w:footnote w:id="23">
    <w:p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7">
        <w:r>
          <w:rPr>
            <w:rStyle w:val="Hyperlink"/>
          </w:rPr>
          <w:t>https://osha.europa.eu/mt/themes/psychosocial-risks-and-stress</w:t>
        </w:r>
      </w:hyperlink>
      <w:r>
        <w:t>.</w:t>
      </w:r>
    </w:p>
  </w:footnote>
  <w:footnote w:id="24">
    <w:p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8">
        <w:r>
          <w:rPr>
            <w:rStyle w:val="Hyperlink"/>
          </w:rPr>
          <w:t>http://ec.europa.eu/social/main.jsp?catId=521&amp;langId=mt&amp;agreementId=1106</w:t>
        </w:r>
      </w:hyperlink>
    </w:p>
  </w:footnote>
  <w:footnote w:id="25">
    <w:p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9">
        <w:r>
          <w:rPr>
            <w:rStyle w:val="Hyperlink"/>
          </w:rPr>
          <w:t>http://hw2014.healthy-workplaces.eu/mt/tools-and-resources/a-guide-to-psychosocial-risks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EU-OSHA, Stħarriġ Ewropew ta' Intrapriżi dwar Riskji Ġodda u Emerġenti - 2 (ESENER-2), 2014. Disponibbli fuq: </w:t>
      </w:r>
      <w:hyperlink r:id="rId10">
        <w:r>
          <w:rPr>
            <w:rStyle w:val="Hyperlink"/>
          </w:rPr>
          <w:t xml:space="preserve">https://osha.europa.eu/mt/surveys-and-statistics-osh/esener </w:t>
        </w:r>
      </w:hyperlink>
      <w:r>
        <w:t xml:space="preserve"> </w:t>
      </w:r>
    </w:p>
  </w:footnote>
  <w:footnote w:id="27">
    <w:p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Fid-Direttiva Qafas dwar is-Sigurtà u s-Saħħa fuq ix-Xogħol 89/391/KEE dawk huma msejħa "ħaddiema li jaqdu fid-djar"</w:t>
      </w:r>
    </w:p>
  </w:footnote>
  <w:footnote w:id="28">
    <w:p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C189 - Konvenzjoni dwar il-Ħaddiema Domestiċi, 2011 (Nru 189)</w:t>
      </w:r>
    </w:p>
  </w:footnote>
  <w:footnote w:id="29">
    <w:p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Ir-rapport ta' evalwazzjoni tal-Kontroll tal-idoneità fl-Anness 1 wera li anke jekk fil-livell makro-ekonomiku ma tkun tista' tiġi identifikata ebda korrelazzjoni bejn ir-rati tal-inċidenti u l-frekwenza tal-ispezzjonijiet, f'livell iktar mikro l-evidenza tal-evalwazzjoni tindika l-fatt li l-infurzar, u b'mod partikolari r-rwol magħqud tal-ispetturi li jinfurzaw il-leġiżlazzjoni u jipprovdu gwida dwar l-implimentazzjoni, jikkontribwixxi għall-konformità mal-acquis tas-saħħa u s-sikurezza fuq il-post tax-xogħol.</w:t>
      </w:r>
    </w:p>
  </w:footnote>
  <w:footnote w:id="30">
    <w:p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Ikkwotat fl-OECD (2000). Il-bini ta' bażi ​​ta' evidenza għall-Istrateġija tal-Kummissjoni dwar is-Saħħa u s-Sigurtà għall-2010 u lil hinn: Analiżi tal-letteratura dwar interventi biex titjieb il-konformità tas-saħħa u s-sikurezza, Eżekuttiv tas-Saħħa u s-Sigurtà 2004;</w:t>
      </w:r>
    </w:p>
  </w:footnote>
  <w:footnote w:id="31">
    <w:p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>David I. Levine Michael W. Toffel, Matthew S. Johnson, L-Ispezzjonijiet tas-Sigurtà tal-Gvern Randomizzati Inaqqsu l-Korrimenti tal-Ħaddiema b'ebda telf ta' impjieg traċċabbli, Xjenza, 18 ta' Mejju 2012, p 907-911.</w:t>
      </w:r>
    </w:p>
  </w:footnote>
  <w:footnote w:id="32">
    <w:p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Punteġġi iktar għoljin ta' spezzjoni tas-saħħa u s-sikurezza fuq il-post tax-xogħol jipprevedu r-rati tal-korrimenti ta' telf ta' impjieg tal-ħaddiema: </w:t>
      </w:r>
      <w:hyperlink r:id="rId11">
        <w:r>
          <w:rPr>
            <w:rStyle w:val="Hyperlink"/>
          </w:rPr>
          <w:t>https://www.ncbi.nlm.nih.gov/pubmed/9316705</w:t>
        </w:r>
      </w:hyperlink>
      <w:r>
        <w:t>;</w:t>
      </w:r>
    </w:p>
  </w:footnote>
  <w:footnote w:id="33">
    <w:p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 </w:t>
      </w:r>
      <w:r>
        <w:tab/>
        <w:t>Deċiżjoni (UE) 2016/344 tal-Parlament Ewropew u tal-Kunsill tad-9 ta' Marzu 2016 dwar l-istabbiliment ta' Pjattaforma Ewropea biex tissaħħaħ il-kooperazzjoni fl-indirizzar ta' xogħol mhux iddikjarat</w:t>
      </w:r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 Stħarriġ Ewropew ta' Intrapriżi dwar Riskji Ġodda u Emerġenti, Stħarriġ dwar il-Kundizzjonijiet tax-Xogħol Ewropej, modulu ad hoc tal-Istħarriġ dwar il-Forza tax-Xogħol tal-UE dwar l-inċidenti fuq ix-xogħol u problemi tas-saħħa relatati max-xogħol.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5145"/>
    <w:multiLevelType w:val="hybridMultilevel"/>
    <w:tmpl w:val="2EA86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34975"/>
    <w:multiLevelType w:val="multilevel"/>
    <w:tmpl w:val="A43E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8812EF"/>
    <w:multiLevelType w:val="hybridMultilevel"/>
    <w:tmpl w:val="FA507B8A"/>
    <w:lvl w:ilvl="0" w:tplc="18B8D14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52EA4"/>
    <w:multiLevelType w:val="hybridMultilevel"/>
    <w:tmpl w:val="23E68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F2B3C"/>
    <w:multiLevelType w:val="hybridMultilevel"/>
    <w:tmpl w:val="2EA86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040EF"/>
    <w:multiLevelType w:val="hybridMultilevel"/>
    <w:tmpl w:val="9A24FB1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04C45"/>
    <w:multiLevelType w:val="hybridMultilevel"/>
    <w:tmpl w:val="77FEC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B10930"/>
    <w:multiLevelType w:val="hybridMultilevel"/>
    <w:tmpl w:val="4B567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32656"/>
    <w:multiLevelType w:val="multilevel"/>
    <w:tmpl w:val="D4206B4A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bullet"/>
      <w:pStyle w:val="Heading3"/>
      <w:lvlText w:val=""/>
      <w:lvlJc w:val="left"/>
      <w:pPr>
        <w:tabs>
          <w:tab w:val="num" w:pos="1833"/>
        </w:tabs>
        <w:ind w:left="1833" w:hanging="840"/>
      </w:pPr>
      <w:rPr>
        <w:rFonts w:ascii="Symbol" w:hAnsi="Symbol" w:hint="default"/>
        <w:sz w:val="22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B0D6734"/>
    <w:multiLevelType w:val="hybridMultilevel"/>
    <w:tmpl w:val="CC3E0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564A97"/>
    <w:multiLevelType w:val="hybridMultilevel"/>
    <w:tmpl w:val="28466B14"/>
    <w:lvl w:ilvl="0" w:tplc="3C725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C607DC"/>
    <w:multiLevelType w:val="hybridMultilevel"/>
    <w:tmpl w:val="758E6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7E0D7A"/>
    <w:multiLevelType w:val="hybridMultilevel"/>
    <w:tmpl w:val="7B583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E17E7C"/>
    <w:multiLevelType w:val="hybridMultilevel"/>
    <w:tmpl w:val="73143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9F5684"/>
    <w:multiLevelType w:val="hybridMultilevel"/>
    <w:tmpl w:val="9CA25960"/>
    <w:lvl w:ilvl="0" w:tplc="C7582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1B5136"/>
    <w:multiLevelType w:val="hybridMultilevel"/>
    <w:tmpl w:val="E4D8DA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0"/>
  </w:num>
  <w:num w:numId="5">
    <w:abstractNumId w:val="4"/>
  </w:num>
  <w:num w:numId="6">
    <w:abstractNumId w:val="13"/>
  </w:num>
  <w:num w:numId="7">
    <w:abstractNumId w:val="14"/>
  </w:num>
  <w:num w:numId="8">
    <w:abstractNumId w:val="7"/>
  </w:num>
  <w:num w:numId="9">
    <w:abstractNumId w:val="8"/>
  </w:num>
  <w:num w:numId="10">
    <w:abstractNumId w:val="8"/>
  </w:num>
  <w:num w:numId="11">
    <w:abstractNumId w:val="8"/>
  </w:num>
  <w:num w:numId="12">
    <w:abstractNumId w:val="1"/>
  </w:num>
  <w:num w:numId="13">
    <w:abstractNumId w:val="9"/>
  </w:num>
  <w:num w:numId="14">
    <w:abstractNumId w:val="5"/>
  </w:num>
  <w:num w:numId="15">
    <w:abstractNumId w:val="2"/>
  </w:num>
  <w:num w:numId="16">
    <w:abstractNumId w:val="3"/>
  </w:num>
  <w:num w:numId="17">
    <w:abstractNumId w:val="15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1"/>
  </w:num>
  <w:num w:numId="26">
    <w:abstractNumId w:val="8"/>
  </w:num>
  <w:num w:numId="2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hideSpellingErrors/>
  <w:hideGrammaticalErrors/>
  <w:revisionView w:markup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ocStatus" w:val="Green"/>
    <w:docVar w:name="LW_CONFIDENCE" w:val=" "/>
    <w:docVar w:name="LW_CONST_RESTREINT_UE" w:val="RESTREINT UE"/>
    <w:docVar w:name="LW_CORRIGENDUM" w:val="&lt;UNUSED&gt;"/>
    <w:docVar w:name="LW_COVERPAGE_GUID" w:val="DE6C93C945594CDE93E7B5C8D54BD41C"/>
    <w:docVar w:name="LW_CROSSREFERENCE" w:val="{SWD(2017) 9 final}_x000b_{SWD(2017) 10 final}"/>
    <w:docVar w:name="LW_DocType" w:val="NORMAL"/>
    <w:docVar w:name="LW_EMISSION" w:val="10.1.2017"/>
    <w:docVar w:name="LW_EMISSION_ISODATE" w:val="2017-01-10"/>
    <w:docVar w:name="LW_EMISSION_LOCATION" w:val="BRX"/>
    <w:docVar w:name="LW_EMISSION_PREFIX" w:val="Brussell, "/>
    <w:docVar w:name="LW_EMISSION_SUFFIX" w:val=" "/>
    <w:docVar w:name="LW_ID_DOCTYPE_NONLW" w:val="CP-014"/>
    <w:docVar w:name="LW_LANGUE" w:val="MT"/>
    <w:docVar w:name="LW_MARKING" w:val="&lt;UNUSED&gt;"/>
    <w:docVar w:name="LW_NOM.INST" w:val="IL-KUMMISSJONI EWROPEA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17) 12"/>
    <w:docVar w:name="LW_REF.INTERNE" w:val="&lt;UNUSED&gt;"/>
    <w:docVar w:name="LW_SOUS.TITRE.OBJ.CP" w:val="&lt;UNUSED&gt;"/>
    <w:docVar w:name="LW_SUPERTITRE" w:val="&lt;UNUSED&gt;"/>
    <w:docVar w:name="LW_TITRE.OBJ.CP" w:val="Iktar Sa\u295?\u295?a u Sikurezza fuq ix-Xog\u295?ol g\u295?al Kul\u295?add - Modernizzazzjoni tal-Politika u tal-Le\u289?i\u380?lazzjoni tal-UE dwar is-Sa\u295?\u295?a u s-Sikurezza Okkupazzjonali"/>
    <w:docVar w:name="LW_TYPE.DOC.CP" w:val="KOMUNIKAZZJONI TAL-KUMMISSJONI LILL-PARLAMENT EWROPEW, LILL-KUNSILL, LILL-KUMITAT EKONOMIKU U SO\u266?JALI EWROPEW U LILL-KUMITAT TAR-RE\u288?JUNI"/>
    <w:docVar w:name="LW_TYPE.DOC.CP.USERTEXT" w:val="&lt;EMPTY&gt;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00" w:after="0" w:line="276" w:lineRule="auto"/>
      <w:jc w:val="left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0" w:line="271" w:lineRule="auto"/>
      <w:jc w:val="left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after="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 w:line="276" w:lineRule="auto"/>
      <w:jc w:val="left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 w:cs="Times New Roman"/>
      <w:sz w:val="24"/>
      <w:szCs w:val="20"/>
    </w:rPr>
  </w:style>
  <w:style w:type="paragraph" w:customStyle="1" w:styleId="Text1">
    <w:name w:val="Text 1"/>
    <w:basedOn w:val="Normal"/>
    <w:pPr>
      <w:ind w:left="482"/>
    </w:pPr>
  </w:style>
  <w:style w:type="paragraph" w:styleId="FootnoteText">
    <w:name w:val="footnote text"/>
    <w:aliases w:val="Fußnotentextf,Geneva 9,Font: Geneva 9,Boston 10,footnotes,Footnote Text Char2 Char,Footnote Text Char Char1 Char,Footnote Text Char2 Char Char Char,Footnote Text Char1 Char Char Char Char,fn,Fußnote,Char Char Car,f,Car,ft,o,Char,Carattere"/>
    <w:basedOn w:val="Normal"/>
    <w:link w:val="FootnoteTextChar"/>
    <w:uiPriority w:val="99"/>
    <w:qFormat/>
    <w:pPr>
      <w:ind w:left="357" w:hanging="357"/>
    </w:pPr>
    <w:rPr>
      <w:sz w:val="20"/>
    </w:rPr>
  </w:style>
  <w:style w:type="character" w:customStyle="1" w:styleId="FootnoteTextChar">
    <w:name w:val="Footnote Text Char"/>
    <w:aliases w:val="Fußnotentextf Char,Geneva 9 Char,Font: Geneva 9 Char,Boston 10 Char,footnotes Char,Footnote Text Char2 Char Char,Footnote Text Char Char1 Char Char,Footnote Text Char2 Char Char Char Char,Footnote Text Char1 Char Char Char Char Char"/>
    <w:basedOn w:val="DefaultParagraphFont"/>
    <w:link w:val="FootnoteTex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symbol,Footnote reference number,Times 10 Point,Exposant 3 Point,EN Footnote Reference,note TESI,Footnote,BVI fnr,Footnote Reference Number,E FNZ,-E Fußnotenzeichen,Footnote#,Ref,de nota al pie,SUPERS,Footnotes refss,callout"/>
    <w:basedOn w:val="DefaultParagraphFont"/>
    <w:unhideWhenUsed/>
    <w:qFormat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/>
      <w:jc w:val="left"/>
    </w:pPr>
    <w:rPr>
      <w:rFonts w:asciiTheme="minorHAnsi" w:eastAsiaTheme="minorEastAsia" w:hAnsiTheme="minorHAnsi" w:cstheme="minorBidi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200"/>
      <w:jc w:val="left"/>
    </w:pPr>
    <w:rPr>
      <w:rFonts w:asciiTheme="minorHAnsi" w:eastAsiaTheme="minorEastAsia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Theme="minorEastAsi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4" w:space="1" w:color="auto"/>
      </w:pBdr>
      <w:spacing w:after="200"/>
      <w:contextualSpacing/>
      <w:jc w:val="left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0" w:line="276" w:lineRule="auto"/>
      <w:jc w:val="left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pPr>
      <w:spacing w:after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 w:line="276" w:lineRule="auto"/>
      <w:ind w:left="360" w:right="360"/>
      <w:jc w:val="left"/>
    </w:pPr>
    <w:rPr>
      <w:rFonts w:asciiTheme="minorHAnsi" w:eastAsiaTheme="minorEastAsia" w:hAnsiTheme="minorHAnsi" w:cstheme="minorBidi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Pr>
      <w:rFonts w:eastAsiaTheme="minorEastAsia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1" w:color="auto"/>
      </w:pBdr>
      <w:spacing w:before="200" w:after="280" w:line="276" w:lineRule="auto"/>
      <w:ind w:left="1008" w:right="1152"/>
    </w:pPr>
    <w:rPr>
      <w:rFonts w:asciiTheme="minorHAnsi" w:eastAsiaTheme="minorEastAsia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EastAsia"/>
      <w:b/>
      <w:bCs/>
      <w:i/>
      <w:iCs/>
    </w:rPr>
  </w:style>
  <w:style w:type="character" w:styleId="SubtleEmphasis">
    <w:name w:val="Subtle Emphasis"/>
    <w:uiPriority w:val="19"/>
    <w:qFormat/>
    <w:rPr>
      <w:i/>
      <w:iCs/>
    </w:rPr>
  </w:style>
  <w:style w:type="character" w:styleId="IntenseEmphasis">
    <w:name w:val="Intense Emphasis"/>
    <w:uiPriority w:val="21"/>
    <w:qFormat/>
    <w:rPr>
      <w:b/>
      <w:bCs/>
    </w:rPr>
  </w:style>
  <w:style w:type="character" w:styleId="SubtleReference">
    <w:name w:val="Subtle Reference"/>
    <w:uiPriority w:val="31"/>
    <w:qFormat/>
    <w:rPr>
      <w:smallCaps/>
    </w:rPr>
  </w:style>
  <w:style w:type="character" w:styleId="IntenseReference">
    <w:name w:val="Intense Reference"/>
    <w:uiPriority w:val="32"/>
    <w:qFormat/>
    <w:rPr>
      <w:smallCaps/>
      <w:spacing w:val="5"/>
      <w:u w:val="single"/>
    </w:rPr>
  </w:style>
  <w:style w:type="character" w:styleId="BookTitle">
    <w:name w:val="Book Title"/>
    <w:uiPriority w:val="33"/>
    <w:qFormat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pPr>
      <w:keepNext w:val="0"/>
      <w:numPr>
        <w:numId w:val="0"/>
      </w:numPr>
      <w:spacing w:before="480" w:after="0" w:line="276" w:lineRule="auto"/>
      <w:contextualSpacing/>
      <w:jc w:val="left"/>
      <w:outlineLvl w:val="9"/>
    </w:pPr>
    <w:rPr>
      <w:rFonts w:asciiTheme="majorHAnsi" w:eastAsiaTheme="majorEastAsia" w:hAnsiTheme="majorHAnsi" w:cstheme="majorBidi"/>
      <w:bCs/>
      <w:smallCaps w:val="0"/>
      <w:sz w:val="28"/>
      <w:szCs w:val="28"/>
    </w:rPr>
  </w:style>
  <w:style w:type="paragraph" w:styleId="Caption">
    <w:name w:val="caption"/>
    <w:basedOn w:val="Normal"/>
    <w:next w:val="Normal"/>
    <w:uiPriority w:val="35"/>
    <w:semiHidden/>
    <w:unhideWhenUsed/>
    <w:pPr>
      <w:spacing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40"/>
    </w:p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/>
    </w:pPr>
    <w:rPr>
      <w:rFonts w:eastAsiaTheme="minorHAnsi"/>
      <w:szCs w:val="22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noProof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/>
    </w:pPr>
    <w:rPr>
      <w:noProof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jc w:val="left"/>
    </w:pPr>
    <w:rPr>
      <w:rFonts w:eastAsiaTheme="minorEastAsia"/>
      <w:szCs w:val="24"/>
      <w:lang w:val="en-GB" w:eastAsia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00" w:after="0" w:line="276" w:lineRule="auto"/>
      <w:jc w:val="left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0" w:line="271" w:lineRule="auto"/>
      <w:jc w:val="left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after="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 w:line="276" w:lineRule="auto"/>
      <w:jc w:val="left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 w:cs="Times New Roman"/>
      <w:sz w:val="24"/>
      <w:szCs w:val="20"/>
    </w:rPr>
  </w:style>
  <w:style w:type="paragraph" w:customStyle="1" w:styleId="Text1">
    <w:name w:val="Text 1"/>
    <w:basedOn w:val="Normal"/>
    <w:pPr>
      <w:ind w:left="482"/>
    </w:pPr>
  </w:style>
  <w:style w:type="paragraph" w:styleId="FootnoteText">
    <w:name w:val="footnote text"/>
    <w:aliases w:val="Fußnotentextf,Geneva 9,Font: Geneva 9,Boston 10,footnotes,Footnote Text Char2 Char,Footnote Text Char Char1 Char,Footnote Text Char2 Char Char Char,Footnote Text Char1 Char Char Char Char,fn,Fußnote,Char Char Car,f,Car,ft,o,Char,Carattere"/>
    <w:basedOn w:val="Normal"/>
    <w:link w:val="FootnoteTextChar"/>
    <w:uiPriority w:val="99"/>
    <w:qFormat/>
    <w:pPr>
      <w:ind w:left="357" w:hanging="357"/>
    </w:pPr>
    <w:rPr>
      <w:sz w:val="20"/>
    </w:rPr>
  </w:style>
  <w:style w:type="character" w:customStyle="1" w:styleId="FootnoteTextChar">
    <w:name w:val="Footnote Text Char"/>
    <w:aliases w:val="Fußnotentextf Char,Geneva 9 Char,Font: Geneva 9 Char,Boston 10 Char,footnotes Char,Footnote Text Char2 Char Char,Footnote Text Char Char1 Char Char,Footnote Text Char2 Char Char Char Char,Footnote Text Char1 Char Char Char Char Char"/>
    <w:basedOn w:val="DefaultParagraphFont"/>
    <w:link w:val="FootnoteTex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symbol,Footnote reference number,Times 10 Point,Exposant 3 Point,EN Footnote Reference,note TESI,Footnote,BVI fnr,Footnote Reference Number,E FNZ,-E Fußnotenzeichen,Footnote#,Ref,de nota al pie,SUPERS,Footnotes refss,callout"/>
    <w:basedOn w:val="DefaultParagraphFont"/>
    <w:unhideWhenUsed/>
    <w:qFormat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/>
      <w:jc w:val="left"/>
    </w:pPr>
    <w:rPr>
      <w:rFonts w:asciiTheme="minorHAnsi" w:eastAsiaTheme="minorEastAsia" w:hAnsiTheme="minorHAnsi" w:cstheme="minorBidi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200"/>
      <w:jc w:val="left"/>
    </w:pPr>
    <w:rPr>
      <w:rFonts w:asciiTheme="minorHAnsi" w:eastAsiaTheme="minorEastAsia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Theme="minorEastAsi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4" w:space="1" w:color="auto"/>
      </w:pBdr>
      <w:spacing w:after="200"/>
      <w:contextualSpacing/>
      <w:jc w:val="left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0" w:line="276" w:lineRule="auto"/>
      <w:jc w:val="left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pPr>
      <w:spacing w:after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 w:line="276" w:lineRule="auto"/>
      <w:ind w:left="360" w:right="360"/>
      <w:jc w:val="left"/>
    </w:pPr>
    <w:rPr>
      <w:rFonts w:asciiTheme="minorHAnsi" w:eastAsiaTheme="minorEastAsia" w:hAnsiTheme="minorHAnsi" w:cstheme="minorBidi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Pr>
      <w:rFonts w:eastAsiaTheme="minorEastAsia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1" w:color="auto"/>
      </w:pBdr>
      <w:spacing w:before="200" w:after="280" w:line="276" w:lineRule="auto"/>
      <w:ind w:left="1008" w:right="1152"/>
    </w:pPr>
    <w:rPr>
      <w:rFonts w:asciiTheme="minorHAnsi" w:eastAsiaTheme="minorEastAsia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EastAsia"/>
      <w:b/>
      <w:bCs/>
      <w:i/>
      <w:iCs/>
    </w:rPr>
  </w:style>
  <w:style w:type="character" w:styleId="SubtleEmphasis">
    <w:name w:val="Subtle Emphasis"/>
    <w:uiPriority w:val="19"/>
    <w:qFormat/>
    <w:rPr>
      <w:i/>
      <w:iCs/>
    </w:rPr>
  </w:style>
  <w:style w:type="character" w:styleId="IntenseEmphasis">
    <w:name w:val="Intense Emphasis"/>
    <w:uiPriority w:val="21"/>
    <w:qFormat/>
    <w:rPr>
      <w:b/>
      <w:bCs/>
    </w:rPr>
  </w:style>
  <w:style w:type="character" w:styleId="SubtleReference">
    <w:name w:val="Subtle Reference"/>
    <w:uiPriority w:val="31"/>
    <w:qFormat/>
    <w:rPr>
      <w:smallCaps/>
    </w:rPr>
  </w:style>
  <w:style w:type="character" w:styleId="IntenseReference">
    <w:name w:val="Intense Reference"/>
    <w:uiPriority w:val="32"/>
    <w:qFormat/>
    <w:rPr>
      <w:smallCaps/>
      <w:spacing w:val="5"/>
      <w:u w:val="single"/>
    </w:rPr>
  </w:style>
  <w:style w:type="character" w:styleId="BookTitle">
    <w:name w:val="Book Title"/>
    <w:uiPriority w:val="33"/>
    <w:qFormat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pPr>
      <w:keepNext w:val="0"/>
      <w:numPr>
        <w:numId w:val="0"/>
      </w:numPr>
      <w:spacing w:before="480" w:after="0" w:line="276" w:lineRule="auto"/>
      <w:contextualSpacing/>
      <w:jc w:val="left"/>
      <w:outlineLvl w:val="9"/>
    </w:pPr>
    <w:rPr>
      <w:rFonts w:asciiTheme="majorHAnsi" w:eastAsiaTheme="majorEastAsia" w:hAnsiTheme="majorHAnsi" w:cstheme="majorBidi"/>
      <w:bCs/>
      <w:smallCaps w:val="0"/>
      <w:sz w:val="28"/>
      <w:szCs w:val="28"/>
    </w:rPr>
  </w:style>
  <w:style w:type="paragraph" w:styleId="Caption">
    <w:name w:val="caption"/>
    <w:basedOn w:val="Normal"/>
    <w:next w:val="Normal"/>
    <w:uiPriority w:val="35"/>
    <w:semiHidden/>
    <w:unhideWhenUsed/>
    <w:pPr>
      <w:spacing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40"/>
    </w:p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/>
    </w:pPr>
    <w:rPr>
      <w:rFonts w:eastAsiaTheme="minorHAnsi"/>
      <w:szCs w:val="22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noProof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/>
    </w:pPr>
    <w:rPr>
      <w:noProof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jc w:val="left"/>
    </w:pPr>
    <w:rPr>
      <w:rFonts w:eastAsiaTheme="minorEastAsia"/>
      <w:szCs w:val="24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8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2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6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1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8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5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6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41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5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8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3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3.emf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emf"/><Relationship Id="rId29" Type="http://schemas.openxmlformats.org/officeDocument/2006/relationships/theme" Target="theme/theme1.xml"/><Relationship Id="rId41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social/main.jsp?catId=521&amp;langId=mt&amp;agreementId=1106" TargetMode="External"/><Relationship Id="rId3" Type="http://schemas.openxmlformats.org/officeDocument/2006/relationships/hyperlink" Target="http://www.eea.europa.eu/themes/human/human-biomonitoring" TargetMode="External"/><Relationship Id="rId7" Type="http://schemas.openxmlformats.org/officeDocument/2006/relationships/hyperlink" Target="https://osha.europa.eu/mt/themes/psychosocial-risks-and-stress" TargetMode="External"/><Relationship Id="rId2" Type="http://schemas.openxmlformats.org/officeDocument/2006/relationships/hyperlink" Target="http://www.hazchematwork.eu/" TargetMode="External"/><Relationship Id="rId1" Type="http://schemas.openxmlformats.org/officeDocument/2006/relationships/hyperlink" Target="http://www.ilo.org/wcmsp5/groups/public/---ed_protect/---protrav/---safework/documents/publication/wcms_215307.pdf" TargetMode="External"/><Relationship Id="rId6" Type="http://schemas.openxmlformats.org/officeDocument/2006/relationships/hyperlink" Target="http://www.oiraproject.eu/" TargetMode="External"/><Relationship Id="rId11" Type="http://schemas.openxmlformats.org/officeDocument/2006/relationships/hyperlink" Target="https://www.ncbi.nlm.nih.gov/pubmed/9316705" TargetMode="External"/><Relationship Id="rId5" Type="http://schemas.openxmlformats.org/officeDocument/2006/relationships/hyperlink" Target="https://osha.europa.eu/mt/tools-and-publications/publications/contexts-and-arrangements-occupational-safety-and-health-micro/view" TargetMode="External"/><Relationship Id="rId10" Type="http://schemas.openxmlformats.org/officeDocument/2006/relationships/hyperlink" Target="https://osha.europa.eu/mt/surveys-and-statistics-osh/esener" TargetMode="External"/><Relationship Id="rId4" Type="http://schemas.openxmlformats.org/officeDocument/2006/relationships/hyperlink" Target="http://ec.europa.eu/smart-regulation/refit/refit-platform/docs/recommendations/opinion_chemicals.pdf" TargetMode="External"/><Relationship Id="rId9" Type="http://schemas.openxmlformats.org/officeDocument/2006/relationships/hyperlink" Target="http://hw2014.healthy-workplaces.eu/mt/tools-and-resources/a-guide-to-psychosocial-ris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BF0CA-4BF1-41A2-8BA5-7D31B217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6887</Words>
  <Characters>50002</Characters>
  <Application>Microsoft Office Word</Application>
  <DocSecurity>0</DocSecurity>
  <Lines>892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2017-01-16T12:11:00Z</dcterms:created>
  <dcterms:modified xsi:type="dcterms:W3CDTF">2017-01-17T09:06:00Z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">
    <vt:lpwstr>1</vt:lpwstr>
  </property>
  <property fmtid="{D5CDD505-2E9C-101B-9397-08002B2CF9AE}" pid="3" name="Total parts">
    <vt:lpwstr>1</vt:lpwstr>
  </property>
  <property fmtid="{D5CDD505-2E9C-101B-9397-08002B2CF9AE}" pid="4" name="DocStatus">
    <vt:lpwstr>Green</vt:lpwstr>
  </property>
  <property fmtid="{D5CDD505-2E9C-101B-9397-08002B2CF9AE}" pid="5" name="Classification">
    <vt:lpwstr> </vt:lpwstr>
  </property>
</Properties>
</file>