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alt="F56BA6BA4BFB42E69D430D520CD68F28" style="width:450.35pt;height:366.1pt">
            <v:imagedata r:id="rId9" o:title=""/>
          </v:shape>
        </w:pict>
      </w:r>
    </w:p>
    <w:p>
      <w:pPr>
        <w:rPr>
          <w:noProof/>
        </w:rPr>
        <w:sectPr>
          <w:footerReference w:type="default" r:id="rId10"/>
          <w:pgSz w:w="11907" w:h="16839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MEMORANDUM TA’ SPJEGAZZJONI</w:t>
      </w:r>
    </w:p>
    <w:p>
      <w:pPr>
        <w:pStyle w:val="ManualHeading1"/>
        <w:rPr>
          <w:noProof/>
        </w:rPr>
      </w:pPr>
      <w:r>
        <w:rPr>
          <w:noProof/>
        </w:rPr>
        <w:t>1.</w:t>
      </w:r>
      <w:r>
        <w:rPr>
          <w:noProof/>
        </w:rPr>
        <w:tab/>
        <w:t>IL-KUNTEST TAL-PROPOSTA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</w:rPr>
        <w:t>•</w:t>
      </w:r>
      <w:r>
        <w:rPr>
          <w:noProof/>
        </w:rPr>
        <w:tab/>
        <w:t>Ir-raġunijiet għall-proposta u l-objettivi tagħha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b/>
          <w:noProof/>
          <w:u w:val="single"/>
        </w:rPr>
      </w:pPr>
      <w:r>
        <w:rPr>
          <w:b/>
          <w:noProof/>
          <w:u w:val="single"/>
        </w:rPr>
        <w:t>Introduzzjoni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Fit-12 ta' Mejju 2016, il-Kunsill adotta, fuq proposta mill-Kummissjoni, Deċiżjoni ta' Implimentazzjoni li tfassal Rakkomandazzjoni għal kontroll temporanju fil-fruntieri interni f'ċirkostanzi eċċezzjonali li jqiegħdu l-funzjonament ġenerali taż-żona Schengen f'riskju. Kienet l-ewwel darba li l-proċedura ta' salvagwardja tal-Artikolu 29 tal-Kodiċi tal-Fruntieri ta' Schengen ġiet użata. L-ikkumbinar ta' nuqqasijiet serji fil-maniġment tal-fruntiera esterna tal-Greċja dak iż-żmien u n-numru importanti ta' migranti mhux reġistrati preżenti fil-Greċja li setgħu ppruvaw jiċċaqilqu b'mod irregolari lejn Stati Membri oħra ħalqu ċirkustanzi eċċezzjonali li jikkostitwixxu theddida serja għall-politika pubblika u s-sigurtà interna u li jipperikolaw il-funzjonament ġenerali taż-żona Schengen.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Din ir-Rakkomandazzjoni kienet indirizzata lill ħames Stati ta' Schengen (l-Awstrija, il-Ġermanja, id-Danimarka, l-Iżvezja u n-Norveġja) u kkonċernat numru limitat ta' sezzjonijiet interni tal-fruntieri f'dawn l-Istati.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Ir-Rakkomandazzjoni ppermettiet għaż-żamma ta' kontrolli mmirati u proporzjonali għal perjodu ta' sitt xhur, jiġifieri sat-12 ta' Novembru 2016.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Skont l-Artikolu 29 tal-Kodiċi tal-Fruntieri ta' Schengen, dan il-perjodu jista' jiġi mtawwal f'konformità mal-kundizzjonijiet u l-proċedura stabbilita fl-istess Artikolu.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b/>
          <w:noProof/>
          <w:u w:val="single"/>
        </w:rPr>
      </w:pPr>
      <w:r>
        <w:rPr>
          <w:b/>
          <w:noProof/>
          <w:u w:val="single"/>
        </w:rPr>
        <w:t>Sitwazzjoni attwali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Wara r-Rakkomandazzjoni tal-Kunsill tat-12 ta' Mejju, il-ħames Stati ta' Schengen ikkonċernati nnotifikaw lill-Kummissjoni li huma kienu se jwettqu l-kontrolli temporanji rakkomandati fil-fruntieri interni.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Fir-rapport tagħha tat-28 ta' Settembru 2016, li bena fuq informazzjoni riċevuta mill-Istati ta' Schengen ikkonċernati, kif previst mir-Rakkomandazzjoni, il-Kummissjoni sabet li l-kontrolli fil-fruntieri setgħu baqgħu fil-limiti tar-Rakkomandazzjoni: il-kontrolli kienu limitati għar-rotot migratorji identifikati u t-theddid, kienu immirati u limitati fl-iskop, il-frekwenza, il-post u l-ħin, għal dak li kien strettament meħtieġ biex tiġi indirizzata t-theddida identifikata, u filwaqt li impatt ekonomiku ċert ma setax jiġi eskluż, dawn affettwaw ftit kemm jista' ikun possibbli l-qsim tal-fruntieri interni mill-pubbliku inġenerali. Barra minn dan, abbażi tal-informazzjoni għad-dispożizzjoni tagħha f'dak iż-żmien, il-Kummissjoni kkonkludiet li ma rat ebda bżonn li tipproponi emendi għar-Rakkomandazzjoni.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Fit-18 u l-21 ta' Ottubru 2016, l-Istati ta' Schengen ikkonċernati rraportaw għat-tieni darba lill-Kummissjoni dwar l-implimentazzjoni tar-Rakkomandazzjoni tal-Kunsill. L-informazzjoni pprovduta ssegwi xejra simili għad-dejta pprovduta għall-ewwel rapport (tnaqqis fin-numru ta' persuni li jiġu miċħuda dħul, kif ukoll fin-numru ta' applikazzjonijiet ta' ażil riċevuti) u għalhekk turi stabbilizzazzjoni progressiv tas-sitwazzjoni. Fl-20 ta' Ottubru, il-ħames Stati ta' Schengen kitbu lill-Kummissjoni b'mod li enfasizzaw il-bżonn tal-kontinwament tal-kontrolli temporanji fil-fruntieri. Is-Slovenja kitbet ukoll lill-Kummissjoni fis-6 ta' Ottubru biex tesprimi tħassib dwar il-kontinwament possibbli ta' kontrolli fil-fruntieri fuq il-fruntiera Awstrijaka-Slovena.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L-iskattar tal-Artikolu 29 tal-Kodiċi tal-Fruntieri ta' Schengen u l-adozzjoni ta' approċċ koordinat fuq livell tal-UE għal kontrolli temporanji fil-fruntieri kienu fost l-inizjattivi kkunsidrati mill-Pjan Direzzjonali "Lura lejn Schengen"</w:t>
      </w:r>
      <w:r>
        <w:rPr>
          <w:rStyle w:val="FootnoteReference"/>
          <w:noProof/>
        </w:rPr>
        <w:footnoteReference w:id="1"/>
      </w:r>
      <w:r>
        <w:rPr>
          <w:noProof/>
        </w:rPr>
        <w:t xml:space="preserve"> u li kienu mmirati sabiex joħolqu kundizzjonijiet għat-tneħħija tal-kontrolli fil-fruntieri interni u sabiex ikun hemm ritorn għal żona ta' Schengen li tiffunzjona b'mod normali sal-aħħar tal-2016.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Minkejja t-tnaqqis qawwi fin-numru ta' wasliet ta' migranti irregolari u applikanti għall-ażil fl-Unjoni Ewropea prinċipalment minħabba l-implimentazzjoni tad-Dikjarazzjoni bejn l-UE u t-Turkija, xorta hemm numru sinifikanti ta' migranti irregolari (madwar 60 000) li nqabdu fil-Greċja li jistgħu raġonevolment jiġu mistennija li jippruvaw jiċċaqilqu lejn Stati Membri oħrajn.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Barra minn dan, in-numru totali ta' applikazzjonijiet għall-ażil riċevuti mill-Istati ta' Schengen ikkonċernati mir-Rakkomandazzjoni jibqa' fattur rilevanti, anki jekk mhuwiex komparabbli man-numru ta' applikazzjonijiet riċevuti fl-istess waqt matul l-aħħar sena. In-numri kbar ta' wasliet ta' migranti irregolari u applikanti għall-ażil fl-Unjoni Ewropea sa mill-ħarifa tal-2015 qajmu sfidi sostanzjali għall-Istati Membri kollha tal-UE li jridu jittieħdu inkunsiderazzjoni. Dawn l-isfidi kkonċernaw l-iżgurar ta' akkomodazzjoni xierqa u aċċess għal sistemi ta' edukazzjoni u ta' saħħa lil dawk li waslu fl-aħħar sena. Barra minn dan, l-ipproċessar tal-akkumulazzjoni rimanenti u l-wasliet ulterjuri u t-talbiet għal protezzjoni jagħmlu pressjoni kontinwa fuq il-funzjonament tal-amministrazzjonijiet ta' dawk l-Istati.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Barra minn dan, azzjonijiet oħra previsti mill-Pjan Direzzjonali "Lura lejn Schengen", minkejja progress sinifikanti, xorta jeħtieġu ż-żmien biex jiġu implimentati bis-sħiħ u biex r-riżultati korrispondenti jiġu kkonfermati.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F'dan ir-rigward, il-Gwardja Ewropea tal-Fruntiera u tal-Kosta ġiet adottata u daħlet fis-seħħ fi żmien rekord. Madankollu, il-gruppi ta' reazzjoni rapida (riżorsi umani u tagħmir tekniku) u l-gruppi ta' ritorn rapidu jeħtieġu li jkunu stabbiliti u operazzjonali sas-7 ta' Diċembru 2016 u sas-7 ta' Jannar 2017 rispettivament. Jenħtieġ li l-ewwel valutazzjonijiet ta' vulnerabbiltà jiġu konklużi fl-ewwel tliet xhur tal-2017.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L-implimentazzjoni tad-Dikjarazzjoni bejn l-UE u t-Turkija tkompli tagħti r-riżultati. Madankollu, medja ta' 107 persuna tkompli tasal kuljum fuq il-gżejjer Griegi. Huwa importanti li jkompli jiġi żgurat li d-Dikjarazzjoni tiffunzjona fuq bażi sostenibbli. Barra minn dan, jibqa' bżonn kontinwu għall-kooperazzjoni miftehma fil-laqgħa tal-Mexxejja tal-Balkani tal-Punent, kif intwera min-numru kontinwu ta' wasliet fis-Serbja.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Iċ-ċirkostanzi eċċezzjonali li jikkostitwixxu theddida serja għall-ordni pubbliku u s-sigurtà interna u li jpoġġu f'riskju l-funzjonament taż-żona Schengen kollha għalhekk għadhom hemm.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b/>
          <w:noProof/>
          <w:u w:val="single"/>
        </w:rPr>
      </w:pPr>
      <w:r>
        <w:rPr>
          <w:b/>
          <w:noProof/>
          <w:u w:val="single"/>
        </w:rPr>
        <w:t>It-triq 'il quddiem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Fid-dawl tal-fatti msemmija hawn fuq, jidher li l-kundizzjonijiet li l-Pjan Direzzjonali "Lura lejn Schengen" kellu l-għan li joħloq sabiex jippermetti t-tneħħija tal-kontrolli fil-fruntieri interni kollha u r-ritorn għal funzjonament normali taż-żona Schengen għadhom mhumiex sodisfatti b'mod sħiħ. Madankollu kien hemm kisbiet kontinwi u importanti fit-triq lura lejn żona Schengen li tiffunzjona bis-sħiħ. Madankollu, f'dan l-istadju, is-sitwazzjoni fil-Greċja u tul ir-Rotta tal-Balkani tal-Punent tibqa' waħda fraġli u hemm pressjoni importanti fl-Istati Membri l-aktar affettwati mill-movimenti sekondarji ta' migranti irregolari li ġejjin mill-Greċja. L-implimentazzjoni sħiħa tal-Gwardja Ewropea tal-Fruntiera u tal-Kosta, li ssaħħaħ ulterjorment il-protezzjoni tal-fruntieri esterni tal-UE, se tiġi mwettqa sa Jannar 2017. L-implimentazzjoni ulterjuri tad-Dikjarazzjoni bejn l-UE u t-Turkija se tgħin fit-tnaqqis ulterjuri tan-numru ta' wasliet fl-UE u se tipprovdi spazju għas-sistemi nazzjonali biex jipproċessaw u jassorbu ulterjorment l-akkumulazzjoni ta' applikazzjonijiet għall-ażil u biex isaħħu l-kapaċitajiet ta' akkoljenza tagħhom.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L-applikazzjoni sħiħa tar-regoli ta' Dublin eżistenti trid tiġi stabbilita mill-ġdid b'mod progressiv, bil-parteċipazzjoni sħiħa tal-Greċja, f'konformità mar-rakkomandazzjonijiet tal-Kummissjoni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, filwaqt li jiġu mtejba dawn ir-regoli għall-futur ibbażati fuq is-solidarjetà u r-responsabbiltà. Barra minn dan, l-iskemi ta' rilokazzjoni ta’ emerġenza diġà fis-seħħ sa minn Settembru 2015 għandhom ikomplu jagħtu riżultati konkreti f'termini ta' numri ta' persuni rilokati. Fl-aħħar, ir-ritorni ta' persuni li ma għandhomx id-dritt ta' soġġorn fl-Unjoni Ewropea jridu jkomplu jiġu intensifikati.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Huwa għalhekk iġġustifikat li l-Istati Membri kkonċernati jitħallew jestendu l-kontrolli attwali fil-fruntieri interni bħala miżura eċċezzjonali għal perjodu proporzjonali ulterjuri. Abbażi tal-indikaturi fattwali disponibbli f'dan l-istadju, jeħtieġ li l-estensjoni ma taqbiżx tliet xhur.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b/>
          <w:noProof/>
          <w:u w:val="single"/>
        </w:rPr>
      </w:pPr>
      <w:r>
        <w:rPr>
          <w:b/>
          <w:noProof/>
          <w:u w:val="single"/>
        </w:rPr>
        <w:t>Kamp ta' applikazzjoni tal-proposta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Jeħtieġ li l-Istati ta' Schengen li attwalment qegħdin iwettqu kontroll temporanju fil-fruntieri interni skont ir-Rakkomandazzjoni tal-Kunsill tat-12 ta' Mejju 2016 jitħallew ikomplu jagħmlu dan.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Madankollu, minħabba s-sitwazzjoni tal-istabbilizzazzjoni progressiva, jeħtieġ li l-kontrolli fil-fruntieri jiġu adottati biss bħala miżura aħħarija meta miżuri oħra, anqas restrittivi minn traffiku transfruntier, bħal kontrolli mill-pulizija konsistenti mal-Artikolu 23 tal-Kodiċi tal-Fruntieri ta' Schengen, ma jistgħux jindirizzaw biżżejjed it-theddid identifikat. Għalhekk, l-Istati Membri li jiddeċiedu li jżommu l-kontroll fuq il-fruntiera skont din ir-Rakkomandazzjoni jeħtieġu, qabel ma jagħżlu għal kontinwazzjoni, jeżaminaw il-miżuri alternattivi disponibbli kollha għal kontrolli fuq il-fruntiera. L-Istati Membri kkonċernata jeħtieġu li jinformaw bl-eżitu ta' dan l-eżami fin-notifika tagħhom dwar iż-żamma tal-kontrolli fil-fruntieri interni lill-Istati Membri l-oħra, il-Parlament Ewropew u l-Kummissjoni.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Kif ddikjarat fil-konklużjonijiet tal-Kunsill Ewropew dwar il-migrazzjoni tal-20 ta' Ottubru 2016, il-proċess ta' "lura lejn Schengen" jinkludi l-aġġustament tal-kontrolli temporanji fil-fruntieri interni biex jiġu riflessi l-bżonnijiet attwali. Il-kontrolli fil-fruntiera interna jeħtieġu li jitwettqu abbażi ta' analiżi tar-riskju u intelliġenza, u li jkunu limitati fl-ambitu, fil-frekwenza, fil-post u fil-ħin, għal dak li huwa strettament meħtieġ għall-indirizzar tat-theddid serju u s-salvagwardja tal-ordni pubbliku u s-sigurtà interna. L-Istat Membru li jwettaq kontrolli fil-fruntieri interni skont din ir-Rakkomandazzjoni għandu jirreżamina kull ġimgħa il-bżonn, il-frekwenza, il-post u l-ħin tal-kontrolli, jaġġusta l-kontrolli għal-livell tat-theddida indirizzata, u jneħħihom b'mod progressiv kull fejn xieraq. L-Istat Membru li jwettaq il-kontrolli fil-fruntieri interni skont din ir-Rakkomandazzjoni jeħtieġ ukoll jikkonsulta regolarment mal-Istat(i) Membru(i) rilevanti bil-ħsieb li jiġi żgurat li l-kontrolli fil-fruntieri interni jsiru biss f'dawk il-partijiet tal-fruntiera interna fejn huwa meqjus meħtieġ u proporzjonat, f'konformità mal-Kodiċi tal-Fruntieri ta' Schengen.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Obbligu ta' rapportar aktar dettaljat għandu wkoll jiġi introdott. Wara kull xahar ta' implimentazzjoni ta' din ir-Rakkomandazzjoni, l-Istati Membri kkonċernati jeħtieġu jirraportaw lill-Kummissjoni dwar l-eżitu tal-kontrolli mwettqa u dwar il-valutazzjoni dwar il-bżonn kontinwu tat-tali kontrolli, fejn applikabbli. Dan ir-rapport jeħtieġ tal-inqas jinkludi n-numru totali ta' persuni kkontrollati, in-numru totali ta' rifjuti ta' dħul wara l-kontrolli, in-numru totali ta' deċiżjonijiet ta’ ritorn maħruġa wara l-kontrolli u n-numru totali ta' applikazzjonijiet għall-ażil riċevuti fil-fruntieri interni fejn il-kontrolli jkunu saru.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Il-Kummissjoni se tissorvelja mill-qrib l-applikazzjoni tar-Rakkomandazzjoni u s-sitwazzjoni eżistenti.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Konsistenza mad-dispożizzjonijiet eżistenti fil-qasam ta’ politika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Din ir-Rakkomandazzjoni sservi biex jiġu implimentati d-dispożizzjonijiet eżistenti fil-qasam ta’ politika.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</w:rPr>
        <w:t>•</w:t>
      </w:r>
      <w:r>
        <w:rPr>
          <w:noProof/>
        </w:rPr>
        <w:tab/>
        <w:t>Il-konsistenza ma' politiki oħra tal-Unjoni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Din ir-Rakkomandazzjoni għandha rabtiet mas-suq intern tal-Unjoni u mal-politika tal-migrazzjoni u tal-ażil.</w:t>
      </w:r>
    </w:p>
    <w:p>
      <w:pPr>
        <w:pStyle w:val="ManualHeading1"/>
        <w:rPr>
          <w:noProof/>
        </w:rPr>
      </w:pPr>
      <w:r>
        <w:rPr>
          <w:noProof/>
        </w:rPr>
        <w:t>2.</w:t>
      </w:r>
      <w:r>
        <w:rPr>
          <w:noProof/>
        </w:rPr>
        <w:tab/>
        <w:t>IL-BAŻI ĠURIDIKA, IS-SUSSIDJARJETÀ U L-PROPORZJONALITÀ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Bażi ġuridika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L-Artikolu 29 tar-Regolament (UE) Nru 2016/399 tal-Parlament Ewropew u tal-Kunsill tad-9 ta' Marzu 2016 dwar Kodiċi tal-Unjoni dwar ir-regoli li jirregolaw il-moviment ta’ persuni min-naħa għall-oħra tal-fruntiera (il-Kodiċi tal-Fruntieri ta' Schengen).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 xml:space="preserve">Is-sussidjarjetà (għall-kompetenza mhux esklużiva)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L-Artikolu 29 tar-Regolament (UE) Nru 2016/399 jispeċifika li l-Kunsill għandu jadotta rakkomandazzjoni għal kontroll fil-fruntieri interni abbażi ta' proposta tal-Kummissjoni.</w:t>
      </w:r>
    </w:p>
    <w:p>
      <w:pPr>
        <w:rPr>
          <w:noProof/>
        </w:rPr>
      </w:pPr>
      <w:r>
        <w:rPr>
          <w:noProof/>
        </w:rPr>
        <w:t>Hija meħtieġa l-azzjoni fil-livell tal-Unjoni fejn il-funzjonament ġenerali taż-żona mingħajr kontrolli fil-fruntieri interni jitqiegħed f’riskju.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Proporzjonalità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Din il-proposta ma tmurx lil hinn minn dak li hu meħtieġ biex jinkisbu l-objettivi segwiti.</w:t>
      </w:r>
    </w:p>
    <w:p>
      <w:pPr>
        <w:pStyle w:val="ManualHeading1"/>
        <w:rPr>
          <w:noProof/>
        </w:rPr>
      </w:pPr>
      <w:r>
        <w:rPr>
          <w:noProof/>
        </w:rPr>
        <w:t>3.</w:t>
      </w:r>
      <w:r>
        <w:rPr>
          <w:noProof/>
        </w:rPr>
        <w:tab/>
        <w:t>RIŻULTATI TAL-EVALWAZZJONIJIET EX POST, TAL-KONSULTAZZJONIJIET MAL-PARTIJIET INTERESSATI U TAL-VALUTAZZJONIJIET TAL-IMPATT.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Evalwazzjonijiet ex post / kontrolli tal-idoneità tal-leġiżlazzjoni eżistenti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mhux applikabbli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Konsultazzjonijiet mal-partijiet ikkonċernati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Minħabba l-urġenza tal-proposta, konsultazzjoni mal-parti kkonċernata ma kinitx fattibbli.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Il-ġbir u l-użu tal-għarfien espert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mhux applikabbli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Valutazzjoni tal-impatt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Minħabba l-perjodu ta' żmien limitat imsemmi u kont meħud tad-dejta mressqa mill-Istati Membri kkonċernati u dawk disponibbli dwar is-sitwazzjoni fil-Greċja, ma kinitx saret valutazzjoni tal-impatt kompluta. 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Idoneità regolatorja u simplifikazzjoni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mhux applikabbli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Drittijiet fundamentali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Il-protezzjoni tad-drittijiet fundamentali ġiet ikkunsidrata waqt it-tfassil tal-proposta.</w:t>
      </w:r>
    </w:p>
    <w:p>
      <w:pPr>
        <w:pStyle w:val="ManualHeading1"/>
        <w:rPr>
          <w:noProof/>
        </w:rPr>
      </w:pPr>
      <w:r>
        <w:rPr>
          <w:noProof/>
        </w:rPr>
        <w:t>4.</w:t>
      </w:r>
      <w:r>
        <w:rPr>
          <w:noProof/>
        </w:rPr>
        <w:tab/>
        <w:t>L-IMPLIKAZZJONIJIET BAĠITARJI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before="230" w:after="0" w:line="269" w:lineRule="exact"/>
        <w:ind w:right="86"/>
        <w:rPr>
          <w:noProof/>
        </w:rPr>
      </w:pPr>
      <w:r>
        <w:rPr>
          <w:noProof/>
        </w:rPr>
        <w:t>Il-miżura proposta ma għandha l-ebda effett fuq il-baġit tal-UE.</w:t>
      </w:r>
    </w:p>
    <w:p>
      <w:pPr>
        <w:rPr>
          <w:noProof/>
        </w:rPr>
        <w:sectPr>
          <w:footerReference w:type="default" r:id="rId11"/>
          <w:footerReference w:type="first" r:id="rId12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Rfrenceinterinstitutionnelle"/>
        <w:rPr>
          <w:noProof/>
        </w:rPr>
      </w:pPr>
      <w:r>
        <w:rPr>
          <w:noProof/>
        </w:rPr>
        <w:t>2016/0347 (NLE)</w:t>
      </w:r>
    </w:p>
    <w:p>
      <w:pPr>
        <w:pStyle w:val="Statut"/>
        <w:rPr>
          <w:noProof/>
        </w:rPr>
      </w:pPr>
      <w:r>
        <w:rPr>
          <w:noProof/>
        </w:rPr>
        <w:t>Proposta għal</w:t>
      </w:r>
    </w:p>
    <w:p>
      <w:pPr>
        <w:pStyle w:val="Typedudocument"/>
        <w:rPr>
          <w:noProof/>
        </w:rPr>
      </w:pPr>
      <w:r>
        <w:rPr>
          <w:noProof/>
        </w:rPr>
        <w:t>DEĊIŻJONI TA’ IMPLIMENTAZZJONI TAL-KUNSILL</w:t>
      </w:r>
    </w:p>
    <w:p>
      <w:pPr>
        <w:pStyle w:val="Titreobjet"/>
        <w:rPr>
          <w:noProof/>
        </w:rPr>
      </w:pPr>
      <w:r>
        <w:rPr>
          <w:noProof/>
        </w:rPr>
        <w:t>li tikkostitwixxi Rakkomandazzjoni għall-estenżjoni ta' kontroll temporanju fil-fruntieri interni f'ċirkostanzi eċċezzjonali li jqiegħdu l-funzjonament ġenerali taż-żona Schengen f'riskju</w:t>
      </w:r>
    </w:p>
    <w:p>
      <w:pPr>
        <w:pStyle w:val="Institutionquiagit"/>
        <w:rPr>
          <w:noProof/>
        </w:rPr>
      </w:pPr>
      <w:r>
        <w:rPr>
          <w:noProof/>
        </w:rPr>
        <w:t>IL-KUNSILL TAL-UNJONI EWROPEA,</w:t>
      </w:r>
    </w:p>
    <w:p>
      <w:pPr>
        <w:rPr>
          <w:noProof/>
        </w:rPr>
      </w:pPr>
      <w:r>
        <w:rPr>
          <w:noProof/>
        </w:rPr>
        <w:t xml:space="preserve">Wara li kkunsidrat it-Trattat dwar il-Funzjonament tal-Unjoni Ewropea, </w:t>
      </w:r>
    </w:p>
    <w:p>
      <w:pPr>
        <w:rPr>
          <w:noProof/>
        </w:rPr>
      </w:pPr>
      <w:r>
        <w:rPr>
          <w:noProof/>
        </w:rPr>
        <w:t>Wara li kkunsidra r-Regolament (UE) Nru 2016/399 tal-Parlament Ewropew u tal-Kunsill tad-9 ta' Marzu 2016 dwar Kodiċi tal-Unjoni dwar ir-regoli li jirregolaw il-moviment ta' persuni minn naħa għal oħra tal-fruntiera (il-Kodiċi tal-Fruntieri ta' Schengen)</w:t>
      </w:r>
      <w:r>
        <w:rPr>
          <w:rStyle w:val="FootnoteReference"/>
          <w:noProof/>
        </w:rPr>
        <w:footnoteReference w:id="3"/>
      </w:r>
      <w:r>
        <w:rPr>
          <w:noProof/>
        </w:rPr>
        <w:t>, u b’mod partikolaru l-Artikolu 29 tiegħu,</w:t>
      </w:r>
    </w:p>
    <w:p>
      <w:pPr>
        <w:rPr>
          <w:noProof/>
        </w:rPr>
      </w:pPr>
      <w:r>
        <w:rPr>
          <w:noProof/>
        </w:rPr>
        <w:t>Wara li kkunsidra l-proposta tal-Kummissjoni Ewropea,</w:t>
      </w:r>
    </w:p>
    <w:p>
      <w:pPr>
        <w:rPr>
          <w:noProof/>
        </w:rPr>
      </w:pPr>
      <w:r>
        <w:rPr>
          <w:noProof/>
        </w:rPr>
        <w:t>Billi: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</w:rPr>
        <w:t>F'konformità mal-Artikolu 29 tal-Kodiċi tal-Fruntieri ta' Schengen, fit-12 ta' Mejju 2016 il-Kunsill adotta Deċiżjoni ta' Implimentazzjoni li tfassal Rakkomandazzjoni għal kontroll temporanju fil-fruntieri interni f'ċirkostanzi eċċezzjonali li jqiegħdu l-funzjonament ġenerali taż-żona Schengen f'riskju.</w:t>
      </w:r>
    </w:p>
    <w:p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>Il-Kunsill irrakkomanda lil ħames Stati ta' Schengen (l-Awstrija, il-Ġermanja, id-Danimarka, l-Iżvezja u n-Norveġja) sabiex iżommu kontrolli proporzjonali temporanji fil-fruntieri għal massimu ta' sitt xhur mid-data tal-adozzjoni tad-Deċiżjoni ta' Implimentazzjoni, biex jindirizzaw it-theddida serja għall-ordni pubblika jew għas-sigurtà interna li tqum f'dawn l-Istati permezz tal-ikkombinar ta' nuqqasijiet f'kontroll fil-fruntiera esterna fil-Greċja u l-movimenti sekondarji ta' migranti irregolari li deħlin mill-Greċja u li beħsiebhom jiċċaqilqu lejn Stati ta' Schengen oħra.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>Fit-28 ta' Settembru 2016, il-Kummissjoni ħarġet it-Rapport tagħha dwar l-implimentazzjoni tad-Deċiżjoni ta' Implimentazzjoni. Hija kkonkludiet li l-kontrolli fil-fruntieri interni mwettqa mill-Awstrija, il-Ġermanja, id-Danimarka, l-Iżvezja u n-Norveġja kienu proporzjonali u f'konformità mar-Rakkomandazzjoni tal-Kunsill. Il-Kummissjoni kkonkludiet ulterjorment li, abbażi tal-informazzjoni disponibbli u r-rapporti riċevuti mill-Istati kkonċernati, hija ma rat ebda bżonn li tipproponi emendi għad-Deċiżjoni ta' Implimentazzjoni fiż-żmien ta' rapportar.</w:t>
      </w:r>
    </w:p>
    <w:p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 xml:space="preserve">Fit-18 u l-21 ta' Ottubru 2016, l-Istati ta' Schengen ikkonċernati rraportaw għat-tieni darba lill-Kummissjoni dwar l-implimentazzjoni tar-Rakkomandazzjoni tal-Kunsill.  L-informazzjoni pprovduta ssegwi xejra simili għad-dejta pprovduta għall-ewwel rapport (tnaqqis fin-numru ta' persuni li jiġu miċħuda dħul, kif ukoll fin-numru ta' applikazzjonijiet għall-ażil riċevuti) u għalhekk turi stabbilizzazzjoni progressiva tas-sitwazzjoni. </w:t>
      </w:r>
    </w:p>
    <w:p>
      <w:pPr>
        <w:pStyle w:val="ManualConsidrant"/>
        <w:rPr>
          <w:noProof/>
        </w:rPr>
      </w:pPr>
      <w:r>
        <w:t>(5)</w:t>
      </w:r>
      <w:r>
        <w:tab/>
      </w:r>
      <w:r>
        <w:rPr>
          <w:noProof/>
        </w:rPr>
        <w:t>Madankollu, minkejja tnaqqis qawwi fin-numru ta' wasliet ta' migranti irregolari u applikanti għall-ażil fl-Unjoni Ewropea, numru importanti ta' migranti irregolari jibqa' xorta waħda fil-Greċja kif ukoll fl-Istati Membri l-aktar affettwati mill-movimenti sekondarji ta' migranti irregolari li joriġinaw mill-Greċja. Abbażi tax-xejriet osservati fil-passat, huwa ġġustifikat li jkun mistenni li dawn il-persuni jistgħu jridu jiċċaqilqu irregolarment lejn Stati Membri oħra meta l-kontrolli fil-fruntiera, li jipprekludu l-moviment sekondarju tagħhom, jiġu mneħħija.</w:t>
      </w:r>
    </w:p>
    <w:p>
      <w:pPr>
        <w:pStyle w:val="ManualConsidrant"/>
        <w:rPr>
          <w:noProof/>
        </w:rPr>
      </w:pPr>
      <w:r>
        <w:t>(6)</w:t>
      </w:r>
      <w:r>
        <w:tab/>
      </w:r>
      <w:r>
        <w:rPr>
          <w:noProof/>
        </w:rPr>
        <w:t>In-numru akkumulat ta' applikazzjonijiet għall-ażil riċevuti sa mill-bidu tal-kriżi migratorja u l-applikazzjonijiet li għadhom deħlin għamel pressjoni sinifikanti fuq l-amministrazzjonijiet u s-servizzi nazzjonali kollha tal-UE u speċifikament fl-Istati ta' Schengen ikkonċernati bid-Deċiżjoni ta' Implimentazzjoni.</w:t>
      </w:r>
    </w:p>
    <w:p>
      <w:pPr>
        <w:pStyle w:val="ManualConsidrant"/>
        <w:rPr>
          <w:noProof/>
        </w:rPr>
      </w:pPr>
      <w:r>
        <w:t>(7)</w:t>
      </w:r>
      <w:r>
        <w:tab/>
      </w:r>
      <w:r>
        <w:rPr>
          <w:noProof/>
        </w:rPr>
        <w:t>Il-kontrolli fil-fruntieri interni ma jistgħux jiġu meqjusa f'iżolament minn fatturi importanti oħra. Fil-Komunikazzjoni tagħha "Lura lejn Schengen - Pjan Direzzjonali"</w:t>
      </w:r>
      <w:r>
        <w:rPr>
          <w:rStyle w:val="FootnoteReference"/>
          <w:noProof/>
        </w:rPr>
        <w:footnoteReference w:id="4"/>
      </w:r>
      <w:r>
        <w:rPr>
          <w:noProof/>
        </w:rPr>
        <w:t>, il-Kummissjoni identifikat id-diversi politiki li għandhom jiġu implimentati għal Żona Schengen li tiffunzjona bis-sħiħ.</w:t>
      </w:r>
    </w:p>
    <w:p>
      <w:pPr>
        <w:pStyle w:val="ManualConsidrant"/>
        <w:rPr>
          <w:noProof/>
        </w:rPr>
      </w:pPr>
      <w:r>
        <w:t>(8)</w:t>
      </w:r>
      <w:r>
        <w:tab/>
      </w:r>
      <w:r>
        <w:rPr>
          <w:noProof/>
        </w:rPr>
        <w:t>Il-Pjan Direzzjonali inkluda notevolment l-adozzjoni u l-implimentazzjoni tal-Gwardja Ewropea tal-Fruntieri u tal-Gwardja tal-Kosta. Ir-Regolament (UE) 2016/1624 tal-Parlament Ewropew u tal-Kunsill tal-14 ta' Settembru 2016 dwar il-Gwardja Ewropea tal-Fruntiera u tal-Kosta</w:t>
      </w:r>
      <w:r>
        <w:rPr>
          <w:rStyle w:val="FootnoteReference"/>
          <w:noProof/>
        </w:rPr>
        <w:footnoteReference w:id="5"/>
      </w:r>
      <w:r>
        <w:rPr>
          <w:noProof/>
        </w:rPr>
        <w:t xml:space="preserve"> li daħal fis-seħħ fis-6 ta' Ottubru 2016, f'perjodu ta' żmien ta' disa' xhur mill-preżentazzjoni tal-proposta tal-Kummissjoni, u wera l-impenn tal-atturi kollha involuti. Huwa mistenni li l-gruppi ta' reazzjoni rapida, li jkopru kemm ir-riżorsi umani u t-tagħmir tekniku, u l-gruppi ta' ritorn rapidu se jkunu stabbiliti u operazzjonali sas-7 ta' Diċembru 2016 u sas-7 ta' Jannar 2017 rispettivament. </w:t>
      </w:r>
    </w:p>
    <w:p>
      <w:pPr>
        <w:pStyle w:val="ManualConsidrant"/>
        <w:rPr>
          <w:noProof/>
        </w:rPr>
      </w:pPr>
      <w:r>
        <w:t>(9)</w:t>
      </w:r>
      <w:r>
        <w:tab/>
      </w:r>
      <w:r>
        <w:rPr>
          <w:noProof/>
        </w:rPr>
        <w:t>Element ieħor mhux identifikat fil-Pjan Direzzjonali "Lura lejn Schengen" hija l-implimentazzjoni b’suċċess tad-Dikjarazzjoni bejn l-UE u t-Turkija. Filwaqt li l-implimentazzjoni tad-Dikjarazzjoni, kif stabbilita fit-tielet rapport ta' progress</w:t>
      </w:r>
      <w:r>
        <w:rPr>
          <w:rStyle w:val="FootnoteReference"/>
          <w:noProof/>
        </w:rPr>
        <w:footnoteReference w:id="6"/>
      </w:r>
      <w:r>
        <w:rPr>
          <w:noProof/>
        </w:rPr>
        <w:t xml:space="preserve">, tkompli tagħti r-riżultati, huwa importanti li jitkompla li jiġi żgurat li d-Dikjarazzjoni tiffunżjona fuq bażi sostenibbli. Barra minn dan, jibqa' bżonn kontinwu għall-kooperazzjoni miftehma fil-laqgħa tal-Mexxejja tal-Balkani tal-Punent. </w:t>
      </w:r>
    </w:p>
    <w:p>
      <w:pPr>
        <w:pStyle w:val="ManualConsidrant"/>
        <w:rPr>
          <w:noProof/>
        </w:rPr>
      </w:pPr>
      <w:r>
        <w:t>(10)</w:t>
      </w:r>
      <w:r>
        <w:tab/>
      </w:r>
      <w:r>
        <w:rPr>
          <w:noProof/>
        </w:rPr>
        <w:t xml:space="preserve">Jirriżulta minn dak li ntqal hawn fuq li minkejja l-progress kontinwu u importanti fl-oqsma identifikati mill-Pjan Direzzjonali "Lura lejn Schengen" u stabbilizzazzjoni progressiva tas-sitwazzjoni, dawn l-azzjonijiet xorta jridu jiġu implimentati fis-sħiħ u r-riżultati korrispettivi jiġu kkonfermati. </w:t>
      </w:r>
    </w:p>
    <w:p>
      <w:pPr>
        <w:pStyle w:val="ManualConsidrant"/>
        <w:rPr>
          <w:noProof/>
        </w:rPr>
      </w:pPr>
      <w:r>
        <w:t>(11)</w:t>
      </w:r>
      <w:r>
        <w:tab/>
      </w:r>
      <w:r>
        <w:rPr>
          <w:noProof/>
        </w:rPr>
        <w:t>Iċ-ċirkostanzi eċċezzjonali li jikkostitwixxu theddida serja għall-ordni pubbliku u s-sigurtà interna u li jpoġġu f'riskju l-funzjonament ġenerali taż-żona Schengen kollha għalhekk għadhom hemm.</w:t>
      </w:r>
    </w:p>
    <w:p>
      <w:pPr>
        <w:pStyle w:val="ManualConsidrant"/>
        <w:rPr>
          <w:noProof/>
        </w:rPr>
      </w:pPr>
      <w:r>
        <w:t>(12)</w:t>
      </w:r>
      <w:r>
        <w:tab/>
      </w:r>
      <w:r>
        <w:rPr>
          <w:noProof/>
        </w:rPr>
        <w:t>Minħabba s-sitwazzjoni fraġli attwali fil-Greċja u r-residwu ta' pressjoni li għad hemm fl-Istati Membri l-aktar affettwati bil-movimenti sekondarji ta' migranti irregolari li ġejjin mill-Greċja, jidher għalhekk iġġustifikat li titħalla estenżjoni proporzjonali tal-kontrolli temporanji fil-fruntieri interni mill-Istati ta' Schengen li attwalment qegħdin iwettqu dawn il-kontrolli bħala miżura aħħarija f'rispons għal theddida serja għall-ordni pubblika jew għas-sigurtà interna, b'mod partikolari l-Awstrija, il-Ġermanja, id-Danimarka, l-Iżvezja u l-Istat assoċjat tan-Norveġja, f'konformità mal-Artikolu 29 tal-Kodiċi tal-Fruntieri ta' Schengen.</w:t>
      </w:r>
    </w:p>
    <w:p>
      <w:pPr>
        <w:pStyle w:val="ManualConsidrant"/>
        <w:rPr>
          <w:noProof/>
        </w:rPr>
      </w:pPr>
      <w:r>
        <w:t>(13)</w:t>
      </w:r>
      <w:r>
        <w:tab/>
      </w:r>
      <w:r>
        <w:rPr>
          <w:noProof/>
        </w:rPr>
        <w:t>Abbażi tal-indikaturi fattwali disponibbli f'dan l-istadju, jeħtieġ li din l-estenżjoni ma teċċedix tliet xhur mid-data tal-adozzjoni ta' din id-Deċiżjoni ta' Implimentazzjoni.</w:t>
      </w:r>
    </w:p>
    <w:p>
      <w:pPr>
        <w:pStyle w:val="ManualConsidrant"/>
        <w:rPr>
          <w:noProof/>
        </w:rPr>
      </w:pPr>
      <w:r>
        <w:t>(14)</w:t>
      </w:r>
      <w:r>
        <w:tab/>
      </w:r>
      <w:r>
        <w:rPr>
          <w:noProof/>
        </w:rPr>
        <w:t xml:space="preserve">L-Istati Membri li jiddeċiedu li jwettqu kontroll fil-fruntieri interni wara din id-Deċiżjoni ta' Implimentazzjoni jeħtieġu li jinnotifikaw lill-Istati Membri l-oħra, lill-Parlament Ewropew u lill-Kummissjoni kif xieraq. </w:t>
      </w:r>
    </w:p>
    <w:p>
      <w:pPr>
        <w:pStyle w:val="ManualConsidrant"/>
        <w:rPr>
          <w:noProof/>
        </w:rPr>
      </w:pPr>
      <w:r>
        <w:t>(15)</w:t>
      </w:r>
      <w:r>
        <w:tab/>
      </w:r>
      <w:r>
        <w:rPr>
          <w:noProof/>
        </w:rPr>
        <w:t>Qabel ma jagħżlu t-tali kontrolli, l-Istati Membri kkonċernati jeħtieġu li jeżaminaw jekk miżuri alternattivi oħra għal kontroll fil-fruntieri jistgħux jintużaw effettivament biex tiġi rrimedjata t-theddida identifikata. L-Istati Membri kkonċernati jeħtieġu jinformaw bl-eżitu ta' din ir-riflessjoni u r-raġunijiet għaliex għażlu l-kontrolli fil-fruntieri fin-notifiki tagħhom.</w:t>
      </w:r>
    </w:p>
    <w:p>
      <w:pPr>
        <w:pStyle w:val="ManualConsidrant"/>
        <w:rPr>
          <w:noProof/>
        </w:rPr>
      </w:pPr>
      <w:r>
        <w:t>(16)</w:t>
      </w:r>
      <w:r>
        <w:tab/>
      </w:r>
      <w:r>
        <w:rPr>
          <w:noProof/>
        </w:rPr>
        <w:t xml:space="preserve">Kif ddikjarat fil-konklużjonijiet tal-Kunsill Ewropew dwar il-migrazzjoni tal-20 ta' Ottubru 2016, il-proċess ta' "lura lejn Schengen" jinkludi l-aġġustament tal-kontrolli temporanji fil-fruntieri interni biex jiġu riflessi l-bżonnijiet attwali. Il-kontrolli taħt din id-Deċiżjoni ta' Implimentazzjoni jeħtieġu jiġu mwettqa biss sal-limitu meħtieġ, b'mod ristrett fl-intensifikar tagħhom għal minimu assolut meħtieġ. Pereżempju, meta matul perjodu partikolari jkun hemm fluss insinifikanti, il-kontrolli f'xi sezzjonijiet tal-fruntieri jistgħu għalhekk lanqas ikunu meħtieġa. Sabiex jiġi prekluż kemm jista' ikun il-qsim tal-fruntieri interni rilevanti għall-pubbliku inġenerali, biss il-kontrolli mmirati, il-kontrolli ta' analiżi tar-riskju u dawk bbażati fuq l-intelliġenza jistgħu jkollhom lok. Barra minn dan, il-bżonn ta' dawn il-kontrolli fis-sezzjonijiet tal-fruntieri rilevanti jeħtieġ li jiġi eżaminat u evalwat mill-ġdid b'mod regolari f'kooperazzjoni mal-Istati Membri kollha affettwati bl-għan li dawn il-kontrolli jiġu mnaqqsa. </w:t>
      </w:r>
    </w:p>
    <w:p>
      <w:pPr>
        <w:pStyle w:val="ManualConsidrant"/>
        <w:rPr>
          <w:noProof/>
        </w:rPr>
      </w:pPr>
      <w:r>
        <w:t>(17)</w:t>
      </w:r>
      <w:r>
        <w:tab/>
      </w:r>
      <w:r>
        <w:rPr>
          <w:noProof/>
        </w:rPr>
        <w:t>Fl-aħħar ta' kull xahar ta' implimentazzjoni ta' din id-Deċiżjoni ta' Implimentazzjoni, rapport komplut dwar ir-riżultati tal-kontrolli mwettqa jeħtieġ li jintbagħat lill-Kummissjoni, flimkien ma' valutazzjoni tal-bżonn kontinwu tagħhom fejn applikabbli. Dan ir-rapport jeħtieġ jinkludi n-numru totali ta' persuni kkontrollati, in-numru totali ta' rifjuti ta' dħul wara l-kontrolli, in-numru totali ta' deċiżjonijiet ta’ ritorn maħruġa wara l-kontrolli u n-numru totali ta' applikazzjonijiet għall-ażil riċevuti fil-fruntieri interni fejn il-kontrolli jkunu saru.</w:t>
      </w:r>
    </w:p>
    <w:p>
      <w:pPr>
        <w:pStyle w:val="ManualConsidrant"/>
        <w:rPr>
          <w:noProof/>
        </w:rPr>
      </w:pPr>
      <w:r>
        <w:t>(18)</w:t>
      </w:r>
      <w:r>
        <w:tab/>
      </w:r>
      <w:r>
        <w:rPr>
          <w:noProof/>
        </w:rPr>
        <w:t>Il-Kunsill jieħu nota li l-Kummissjoni ddikjarat li hija se tissorvelja mill-qrib l-applikazzjoni ta' din id-Deċiżjoni ta' Implimentazzjoni.</w:t>
      </w:r>
    </w:p>
    <w:p>
      <w:pPr>
        <w:rPr>
          <w:noProof/>
        </w:rPr>
      </w:pPr>
    </w:p>
    <w:p>
      <w:pPr>
        <w:pStyle w:val="Formuledadoption"/>
        <w:rPr>
          <w:noProof/>
        </w:rPr>
      </w:pPr>
      <w:r>
        <w:rPr>
          <w:noProof/>
        </w:rPr>
        <w:t xml:space="preserve">B'DAN JIRRAKKOMANDA LI: </w:t>
      </w:r>
    </w:p>
    <w:p>
      <w:pPr>
        <w:pStyle w:val="Titrearticle"/>
        <w:rPr>
          <w:noProof/>
        </w:rPr>
      </w:pPr>
    </w:p>
    <w:p>
      <w:pPr>
        <w:rPr>
          <w:noProof/>
        </w:rPr>
      </w:pPr>
      <w:r>
        <w:rPr>
          <w:noProof/>
        </w:rPr>
        <w:t xml:space="preserve">1. L-Awstrija, il-Ġermanja, id-Danimarka, l-Iżvezja u n-Norveġja jestendu l-kontrolli proporzjonali u temporanji fil-fruntieri għal perjodu massimu ta' tliet xhur, li jibda mid-data tal-adozzjoni ta' din id-Deċiżjoni ta' Implimentazzjoni, fil-fruntieri interni li ġejjin </w:t>
      </w:r>
    </w:p>
    <w:p>
      <w:pPr>
        <w:rPr>
          <w:noProof/>
        </w:rPr>
      </w:pPr>
      <w:r>
        <w:rPr>
          <w:noProof/>
        </w:rPr>
        <w:t>- l-Awstrija fil-fruntiera fuq l-art bejn l-Awstrija u l-Ungerija u fil-fruntiera fuq l-art bejn l-Awstrija u s-Slovenja;</w:t>
      </w:r>
    </w:p>
    <w:p>
      <w:pPr>
        <w:rPr>
          <w:noProof/>
        </w:rPr>
      </w:pPr>
      <w:r>
        <w:rPr>
          <w:noProof/>
        </w:rPr>
        <w:t>- il-Ġermanja fil-fruntiera fuq l-art bejn il-Ġermanja u l-Awstrija;</w:t>
      </w:r>
    </w:p>
    <w:p>
      <w:pPr>
        <w:rPr>
          <w:noProof/>
        </w:rPr>
      </w:pPr>
      <w:r>
        <w:rPr>
          <w:noProof/>
        </w:rPr>
        <w:t>- id-Danimarka fil-portijiet Daniżi b'konnessjonijiet bil-lanċa lejn il-Ġermanja u fil-fruntiera fuq l-art bejn id-Danimarka u l-Ġermanja;</w:t>
      </w:r>
    </w:p>
    <w:p>
      <w:pPr>
        <w:rPr>
          <w:noProof/>
        </w:rPr>
      </w:pPr>
      <w:r>
        <w:rPr>
          <w:noProof/>
        </w:rPr>
        <w:t>- l-Iżvezja fil-portijiet Żvediżi fir-Reġjun tal-Pulizija tan-Nofsinhar u tal-Punent u fuq il-pont Öresund;</w:t>
      </w:r>
    </w:p>
    <w:p>
      <w:pPr>
        <w:rPr>
          <w:noProof/>
        </w:rPr>
      </w:pPr>
      <w:r>
        <w:rPr>
          <w:noProof/>
        </w:rPr>
        <w:t>- in-Norveġja fil-portijiet Norveġiżi b'konnessjonijiet bil-lanċa lejn id-Danimarka, il-Ġermanja u l-Iżvezja.</w:t>
      </w:r>
    </w:p>
    <w:p>
      <w:pPr>
        <w:rPr>
          <w:noProof/>
        </w:rPr>
      </w:pPr>
      <w:r>
        <w:rPr>
          <w:noProof/>
        </w:rPr>
        <w:t>2. Qabel jiġu estiżi dawn il-kontrolli, l-Istati Membri kkonċernati jeħtieġu jagħmlu skambju ta' fehmiet mal-Istat(i) Membru/i rilevanti bil-ħsieb li jiġi żgurat li l-kontrolli fil-fruntieri interni jsiru biss fejn huwa meqjus neċessarju u proporzjonat. Barra minn dan, l-Istati Membri kkonċernati jeħtieġu li jiżguraw li l-kontrolli fil-fruntieri interni huma mwettqa biss bħala miżura aħħarija meta miżuri alternattivi oħra ma jistgħux jiksbu l-istess effett, u biss f'dawk il-partijiet tal-fruntiera interna fejn huwa meqjus neċessarju u proporzjonat, f'konformità mal-Kodiċi tal-Fruntieri ta' Schengen. L-Istati Membri kkonċernati jeħtieġu li jinnotifikaw lill-Istati Membri l-oħra, lill-Parlament Ewropew u lill-Kummissjoni kif xieraq.</w:t>
      </w:r>
    </w:p>
    <w:p>
      <w:pPr>
        <w:rPr>
          <w:noProof/>
        </w:rPr>
      </w:pPr>
      <w:r>
        <w:rPr>
          <w:noProof/>
        </w:rPr>
        <w:t>3. Il-kontroll fil-fruntiera jeħtieġ jibqa' immirat, ikun ibbażat fuq analiżi tar-riskju u intelliġenza u jkun limitat fl-iskop, fil-frekwenza, fil-post u fil-ħin, għal dak li huwa strettament meħtieġ għall-indirizzar tat-theddid serju u s-salvagwardja tal-ordni pubbliku u s-sigurtà interna. L-Istat Membru li jwettaq kontrolli fil-fruntieri interni skont din id-Deċiżjoni ta' Implimentazzjoni jeħtieġ li jirrevedi regolarment il-ħtieġa, il-frekwenza, il-post u l-ħin tal-kontrolli, jaġġusta l-intensifikar tal-kontrolli għal-livell tat-theddida indirizzata, filwaqt li jneħħihom b'mod progressiv kull fejn xieraq, u jirrapporta lill-Kummissjoni kull xahar.</w:t>
      </w:r>
    </w:p>
    <w:p>
      <w:pPr>
        <w:pStyle w:val="Fait"/>
        <w:rPr>
          <w:noProof/>
        </w:rPr>
      </w:pPr>
      <w:r>
        <w:rPr>
          <w:noProof/>
        </w:rPr>
        <w:t>Magħmul fi Strasburgu,</w:t>
      </w:r>
    </w:p>
    <w:p>
      <w:pPr>
        <w:pStyle w:val="Institutionquisigne"/>
        <w:rPr>
          <w:noProof/>
        </w:rPr>
      </w:pPr>
      <w:r>
        <w:rPr>
          <w:noProof/>
        </w:rPr>
        <w:tab/>
        <w:t>Għall-Kunsill</w:t>
      </w:r>
    </w:p>
    <w:p>
      <w:pPr>
        <w:pStyle w:val="Personnequisigne"/>
        <w:keepNext/>
        <w:rPr>
          <w:noProof/>
        </w:rPr>
      </w:pPr>
      <w:r>
        <w:rPr>
          <w:noProof/>
        </w:rPr>
        <w:tab/>
        <w:t>Il-President</w:t>
      </w:r>
    </w:p>
    <w:p>
      <w:pPr>
        <w:pStyle w:val="Personnequisigne"/>
        <w:rPr>
          <w:noProof/>
        </w:rPr>
      </w:pPr>
    </w:p>
    <w:sect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10</w:t>
    </w:r>
    <w:r>
      <w:fldChar w:fldCharType="end"/>
    </w:r>
    <w: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ab/>
        <w:t>Il-Komunikazzjoni mill-Kummissjoni lill-Parlament Ewropew, lill-Kunsill Ewropew u lill-Kunsill, “Lura lejn Schengen - Pjan Direzzjonali”, COM(2016) 120 finali.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ab/>
        <w:t>Ir-Rakkomandazzjoni tal-Kummissjoni tal-10 ta' Frar 2016 indirizzata lir-Repubblika Ellenika dwar il-miżuri urġenti li għandhom jittieħdu mill-Greċja sabiex jerġgħu jibdew it-trasferimenti skont ir-Regolament (UE) Nru 604/2013 – (C(2016) 871 finali); Ir-Rakkomandazzjoni tal-Kummissjoni tal-15 ta' Ġunju 2016 indirizzata lir-Repubblika Ellenika dwar il-miżuri urġenti speċifiċi li għandhom jittieħdu mill-Greċja sabiex jerġgħu jibdew it-trasferimenti skont ir-Regolament (UE) Nru 604/2013 – (C(2016) 3805 finali); Ir-Rakkomandazzjoni tal-Kummissjoni tat-28 ta' Settembru 2016 indirizzata lir-Repubblika Ellenika dwar il-miżuri urġenti speċifiċi li għandhom jittieħdu mill-Greċja sabiex jerġgħu jibdew it-trasferimenti skont ir-Regolament (UE) Nru 604/2013 – (C(2016) 6311 finali).</w:t>
      </w:r>
    </w:p>
  </w:footnote>
  <w:footnote w:id="3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ab/>
        <w:t>ĠU L 77, 23.3.2016, p. 1.</w:t>
      </w:r>
    </w:p>
  </w:footnote>
  <w:footnote w:id="4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ab/>
        <w:t>COM(2016) 120 finali.</w:t>
      </w:r>
    </w:p>
  </w:footnote>
  <w:footnote w:id="5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ab/>
        <w:t>ĠU L 251, 16.9.2016, p. 1-76.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ab/>
        <w:t>It-Tielet Rapport dwar il-Progress imwettaq fl-implimentazzjoni tad-Dikjarazzjoni bejn l-UE u t-Turkija (COM(2016) 634).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C49885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6BFC33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6A0268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4CE2EA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AD3AF49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C9F2F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C8DC5E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20E2D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1"/>
    <w:lvlOverride w:ilvl="0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12"/>
  </w:num>
  <w:num w:numId="12">
    <w:abstractNumId w:val="20"/>
  </w:num>
  <w:num w:numId="13">
    <w:abstractNumId w:val="11"/>
  </w:num>
  <w:num w:numId="14">
    <w:abstractNumId w:val="13"/>
  </w:num>
  <w:num w:numId="15">
    <w:abstractNumId w:val="9"/>
  </w:num>
  <w:num w:numId="16">
    <w:abstractNumId w:val="19"/>
  </w:num>
  <w:num w:numId="17">
    <w:abstractNumId w:val="8"/>
  </w:num>
  <w:num w:numId="18">
    <w:abstractNumId w:val="14"/>
  </w:num>
  <w:num w:numId="19">
    <w:abstractNumId w:val="16"/>
  </w:num>
  <w:num w:numId="20">
    <w:abstractNumId w:val="17"/>
  </w:num>
  <w:num w:numId="21">
    <w:abstractNumId w:val="10"/>
  </w:num>
  <w:num w:numId="22">
    <w:abstractNumId w:val="15"/>
  </w:num>
  <w:num w:numId="23">
    <w:abstractNumId w:val="21"/>
  </w:num>
  <w:num w:numId="24">
    <w:abstractNumId w:val="18"/>
  </w:num>
  <w:num w:numId="25">
    <w:abstractNumId w:val="12"/>
  </w:num>
  <w:num w:numId="26">
    <w:abstractNumId w:val="20"/>
  </w:num>
  <w:num w:numId="27">
    <w:abstractNumId w:val="11"/>
  </w:num>
  <w:num w:numId="28">
    <w:abstractNumId w:val="13"/>
  </w:num>
  <w:num w:numId="29">
    <w:abstractNumId w:val="9"/>
  </w:num>
  <w:num w:numId="30">
    <w:abstractNumId w:val="19"/>
  </w:num>
  <w:num w:numId="31">
    <w:abstractNumId w:val="8"/>
  </w:num>
  <w:num w:numId="32">
    <w:abstractNumId w:val="14"/>
  </w:num>
  <w:num w:numId="33">
    <w:abstractNumId w:val="16"/>
  </w:num>
  <w:num w:numId="34">
    <w:abstractNumId w:val="17"/>
  </w:num>
  <w:num w:numId="35">
    <w:abstractNumId w:val="10"/>
  </w:num>
  <w:num w:numId="36">
    <w:abstractNumId w:val="15"/>
  </w:num>
  <w:num w:numId="37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hideSpellingErrors/>
  <w:hideGrammaticalErrors/>
  <w:attachedTemplate r:id="rId1"/>
  <w:revisionView w:markup="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QCDateTime" w:val="2016-11-07 18:03:44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1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4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NFIDENCE" w:val=" "/>
    <w:docVar w:name="LW_CONST_RESTREINT_UE" w:val="RESTREINT UE"/>
    <w:docVar w:name="LW_CORRIGENDUM" w:val="&lt;UNUSED&gt;"/>
    <w:docVar w:name="LW_COVERPAGE_GUID" w:val="F56BA6BA4BFB42E69D430D520CD68F28"/>
    <w:docVar w:name="LW_CROSSREFERENCE" w:val="&lt;UNUSED&gt;"/>
    <w:docVar w:name="LW_DocType" w:val="COM"/>
    <w:docVar w:name="LW_EMISSION" w:val="25.10.2016"/>
    <w:docVar w:name="LW_EMISSION_ISODATE" w:val="2016-10-25"/>
    <w:docVar w:name="LW_EMISSION_LOCATION" w:val="STR"/>
    <w:docVar w:name="LW_EMISSION_PREFIX" w:val="Strasburgu, "/>
    <w:docVar w:name="LW_EMISSION_SUFFIX" w:val=" "/>
    <w:docVar w:name="LW_ID_DOCMODEL" w:val="SJ-020"/>
    <w:docVar w:name="LW_ID_DOCSIGNATURE" w:val="SJ-020"/>
    <w:docVar w:name="LW_ID_DOCSTRUCTURE" w:val="COM/PL/ORG"/>
    <w:docVar w:name="LW_ID_DOCTYPE" w:val="SJ-020"/>
    <w:docVar w:name="LW_ID_STATUT" w:val="SJ-020"/>
    <w:docVar w:name="LW_INTERETEEE.CP" w:val="&lt;UNUSED&gt;"/>
    <w:docVar w:name="LW_LANGUE" w:val="MT"/>
    <w:docVar w:name="LW_MARKING" w:val="&lt;UNUSED&gt;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NLE"/>
    <w:docVar w:name="LW_REF.II.NEW.CP_NUMBER" w:val="0347"/>
    <w:docVar w:name="LW_REF.II.NEW.CP_YEAR" w:val="2016"/>
    <w:docVar w:name="LW_REF.INST.NEW" w:val="COM"/>
    <w:docVar w:name="LW_REF.INST.NEW_ADOPTED" w:val="final"/>
    <w:docVar w:name="LW_REF.INST.NEW_TEXT" w:val="(2016) 711"/>
    <w:docVar w:name="LW_REF.INTERNE" w:val="&lt;UNUSED&gt;"/>
    <w:docVar w:name="LW_SOUS.TITRE.OBJ.CP" w:val="&lt;UNUSED&gt;"/>
    <w:docVar w:name="LW_STATUT.CP" w:val="Proposta g\u295?al"/>
    <w:docVar w:name="LW_SUPERTITRE" w:val="&lt;UNUSED&gt;"/>
    <w:docVar w:name="LW_TITRE.OBJ.CP" w:val="li tikkostitwixxi Rakkomandazzjoni g\u295?all-esten\u380?joni ta' kontroll temporanju fil-fruntieri interni f'\u267?irkostanzi e\u267?\u267?ezzjonali li jqieg\u295?du l-funzjonament \u289?enerali ta\u380?-\u380?ona Schengen f'riskju"/>
    <w:docVar w:name="LW_TYPE.DOC.CP" w:val="DE\u266?I\u379?JONI TA\u8217? IMPLIMENTAZZJONI TAL-KUNSIL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0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0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0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0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mt-MT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9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9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9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9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1"/>
      </w:numPr>
    </w:pPr>
  </w:style>
  <w:style w:type="paragraph" w:customStyle="1" w:styleId="Point1number">
    <w:name w:val="Point 1 (number)"/>
    <w:basedOn w:val="Normal"/>
    <w:pPr>
      <w:numPr>
        <w:ilvl w:val="2"/>
        <w:numId w:val="31"/>
      </w:numPr>
    </w:pPr>
  </w:style>
  <w:style w:type="paragraph" w:customStyle="1" w:styleId="Point2number">
    <w:name w:val="Point 2 (number)"/>
    <w:basedOn w:val="Normal"/>
    <w:pPr>
      <w:numPr>
        <w:ilvl w:val="4"/>
        <w:numId w:val="31"/>
      </w:numPr>
    </w:pPr>
  </w:style>
  <w:style w:type="paragraph" w:customStyle="1" w:styleId="Point3number">
    <w:name w:val="Point 3 (number)"/>
    <w:basedOn w:val="Normal"/>
    <w:pPr>
      <w:numPr>
        <w:ilvl w:val="6"/>
        <w:numId w:val="31"/>
      </w:numPr>
    </w:pPr>
  </w:style>
  <w:style w:type="paragraph" w:customStyle="1" w:styleId="Point0letter">
    <w:name w:val="Point 0 (letter)"/>
    <w:basedOn w:val="Normal"/>
    <w:pPr>
      <w:numPr>
        <w:ilvl w:val="1"/>
        <w:numId w:val="31"/>
      </w:numPr>
    </w:pPr>
  </w:style>
  <w:style w:type="paragraph" w:customStyle="1" w:styleId="Point1letter">
    <w:name w:val="Point 1 (letter)"/>
    <w:basedOn w:val="Normal"/>
    <w:pPr>
      <w:numPr>
        <w:ilvl w:val="3"/>
        <w:numId w:val="31"/>
      </w:numPr>
    </w:pPr>
  </w:style>
  <w:style w:type="paragraph" w:customStyle="1" w:styleId="Point2letter">
    <w:name w:val="Point 2 (letter)"/>
    <w:basedOn w:val="Normal"/>
    <w:pPr>
      <w:numPr>
        <w:ilvl w:val="5"/>
        <w:numId w:val="31"/>
      </w:numPr>
    </w:pPr>
  </w:style>
  <w:style w:type="paragraph" w:customStyle="1" w:styleId="Point3letter">
    <w:name w:val="Point 3 (letter)"/>
    <w:basedOn w:val="Normal"/>
    <w:pPr>
      <w:numPr>
        <w:ilvl w:val="7"/>
        <w:numId w:val="31"/>
      </w:numPr>
    </w:pPr>
  </w:style>
  <w:style w:type="paragraph" w:customStyle="1" w:styleId="Point4letter">
    <w:name w:val="Point 4 (letter)"/>
    <w:basedOn w:val="Normal"/>
    <w:pPr>
      <w:numPr>
        <w:ilvl w:val="8"/>
        <w:numId w:val="31"/>
      </w:numPr>
    </w:pPr>
  </w:style>
  <w:style w:type="paragraph" w:customStyle="1" w:styleId="Bullet0">
    <w:name w:val="Bullet 0"/>
    <w:basedOn w:val="Normal"/>
    <w:pPr>
      <w:numPr>
        <w:numId w:val="32"/>
      </w:numPr>
    </w:pPr>
  </w:style>
  <w:style w:type="paragraph" w:customStyle="1" w:styleId="Bullet1">
    <w:name w:val="Bullet 1"/>
    <w:basedOn w:val="Normal"/>
    <w:pPr>
      <w:numPr>
        <w:numId w:val="33"/>
      </w:numPr>
    </w:pPr>
  </w:style>
  <w:style w:type="paragraph" w:customStyle="1" w:styleId="Bullet2">
    <w:name w:val="Bullet 2"/>
    <w:basedOn w:val="Normal"/>
    <w:pPr>
      <w:numPr>
        <w:numId w:val="34"/>
      </w:numPr>
    </w:pPr>
  </w:style>
  <w:style w:type="paragraph" w:customStyle="1" w:styleId="Bullet3">
    <w:name w:val="Bullet 3"/>
    <w:basedOn w:val="Normal"/>
    <w:pPr>
      <w:numPr>
        <w:numId w:val="35"/>
      </w:numPr>
    </w:pPr>
  </w:style>
  <w:style w:type="paragraph" w:customStyle="1" w:styleId="Bullet4">
    <w:name w:val="Bullet 4"/>
    <w:basedOn w:val="Normal"/>
    <w:pPr>
      <w:numPr>
        <w:numId w:val="36"/>
      </w:numPr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7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0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0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0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0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mt-MT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9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9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9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9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1"/>
      </w:numPr>
    </w:pPr>
  </w:style>
  <w:style w:type="paragraph" w:customStyle="1" w:styleId="Point1number">
    <w:name w:val="Point 1 (number)"/>
    <w:basedOn w:val="Normal"/>
    <w:pPr>
      <w:numPr>
        <w:ilvl w:val="2"/>
        <w:numId w:val="31"/>
      </w:numPr>
    </w:pPr>
  </w:style>
  <w:style w:type="paragraph" w:customStyle="1" w:styleId="Point2number">
    <w:name w:val="Point 2 (number)"/>
    <w:basedOn w:val="Normal"/>
    <w:pPr>
      <w:numPr>
        <w:ilvl w:val="4"/>
        <w:numId w:val="31"/>
      </w:numPr>
    </w:pPr>
  </w:style>
  <w:style w:type="paragraph" w:customStyle="1" w:styleId="Point3number">
    <w:name w:val="Point 3 (number)"/>
    <w:basedOn w:val="Normal"/>
    <w:pPr>
      <w:numPr>
        <w:ilvl w:val="6"/>
        <w:numId w:val="31"/>
      </w:numPr>
    </w:pPr>
  </w:style>
  <w:style w:type="paragraph" w:customStyle="1" w:styleId="Point0letter">
    <w:name w:val="Point 0 (letter)"/>
    <w:basedOn w:val="Normal"/>
    <w:pPr>
      <w:numPr>
        <w:ilvl w:val="1"/>
        <w:numId w:val="31"/>
      </w:numPr>
    </w:pPr>
  </w:style>
  <w:style w:type="paragraph" w:customStyle="1" w:styleId="Point1letter">
    <w:name w:val="Point 1 (letter)"/>
    <w:basedOn w:val="Normal"/>
    <w:pPr>
      <w:numPr>
        <w:ilvl w:val="3"/>
        <w:numId w:val="31"/>
      </w:numPr>
    </w:pPr>
  </w:style>
  <w:style w:type="paragraph" w:customStyle="1" w:styleId="Point2letter">
    <w:name w:val="Point 2 (letter)"/>
    <w:basedOn w:val="Normal"/>
    <w:pPr>
      <w:numPr>
        <w:ilvl w:val="5"/>
        <w:numId w:val="31"/>
      </w:numPr>
    </w:pPr>
  </w:style>
  <w:style w:type="paragraph" w:customStyle="1" w:styleId="Point3letter">
    <w:name w:val="Point 3 (letter)"/>
    <w:basedOn w:val="Normal"/>
    <w:pPr>
      <w:numPr>
        <w:ilvl w:val="7"/>
        <w:numId w:val="31"/>
      </w:numPr>
    </w:pPr>
  </w:style>
  <w:style w:type="paragraph" w:customStyle="1" w:styleId="Point4letter">
    <w:name w:val="Point 4 (letter)"/>
    <w:basedOn w:val="Normal"/>
    <w:pPr>
      <w:numPr>
        <w:ilvl w:val="8"/>
        <w:numId w:val="31"/>
      </w:numPr>
    </w:pPr>
  </w:style>
  <w:style w:type="paragraph" w:customStyle="1" w:styleId="Bullet0">
    <w:name w:val="Bullet 0"/>
    <w:basedOn w:val="Normal"/>
    <w:pPr>
      <w:numPr>
        <w:numId w:val="32"/>
      </w:numPr>
    </w:pPr>
  </w:style>
  <w:style w:type="paragraph" w:customStyle="1" w:styleId="Bullet1">
    <w:name w:val="Bullet 1"/>
    <w:basedOn w:val="Normal"/>
    <w:pPr>
      <w:numPr>
        <w:numId w:val="33"/>
      </w:numPr>
    </w:pPr>
  </w:style>
  <w:style w:type="paragraph" w:customStyle="1" w:styleId="Bullet2">
    <w:name w:val="Bullet 2"/>
    <w:basedOn w:val="Normal"/>
    <w:pPr>
      <w:numPr>
        <w:numId w:val="34"/>
      </w:numPr>
    </w:pPr>
  </w:style>
  <w:style w:type="paragraph" w:customStyle="1" w:styleId="Bullet3">
    <w:name w:val="Bullet 3"/>
    <w:basedOn w:val="Normal"/>
    <w:pPr>
      <w:numPr>
        <w:numId w:val="35"/>
      </w:numPr>
    </w:pPr>
  </w:style>
  <w:style w:type="paragraph" w:customStyle="1" w:styleId="Bullet4">
    <w:name w:val="Bullet 4"/>
    <w:basedOn w:val="Normal"/>
    <w:pPr>
      <w:numPr>
        <w:numId w:val="36"/>
      </w:numPr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7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6DC4C-D0D9-4CE3-9911-1685337D2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0</TotalTime>
  <Pages>10</Pages>
  <Words>2847</Words>
  <Characters>21438</Characters>
  <Application>Microsoft Office Word</Application>
  <DocSecurity>0</DocSecurity>
  <Lines>324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18</cp:revision>
  <dcterms:created xsi:type="dcterms:W3CDTF">2016-11-07T14:19:00Z</dcterms:created>
  <dcterms:modified xsi:type="dcterms:W3CDTF">2016-11-07T17:03:00Z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Classification">
    <vt:lpwstr> </vt:lpwstr>
  </property>
  <property fmtid="{D5CDD505-2E9C-101B-9397-08002B2CF9AE}" pid="4" name="Version">
    <vt:lpwstr>5.8.86.0</vt:lpwstr>
  </property>
  <property fmtid="{D5CDD505-2E9C-101B-9397-08002B2CF9AE}" pid="5" name="Last edited using">
    <vt:lpwstr>LW 5.8.4, Build 20150407</vt:lpwstr>
  </property>
  <property fmtid="{D5CDD505-2E9C-101B-9397-08002B2CF9AE}" pid="6" name="Created using">
    <vt:lpwstr>LW 5.8.4, Build 20150407</vt:lpwstr>
  </property>
  <property fmtid="{D5CDD505-2E9C-101B-9397-08002B2CF9AE}" pid="7" name="Part">
    <vt:lpwstr>1</vt:lpwstr>
  </property>
  <property fmtid="{D5CDD505-2E9C-101B-9397-08002B2CF9AE}" pid="8" name="Total parts">
    <vt:lpwstr>1</vt:lpwstr>
  </property>
  <property fmtid="{D5CDD505-2E9C-101B-9397-08002B2CF9AE}" pid="9" name="LWTemplateID">
    <vt:lpwstr>SJ-020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