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alt="5FB725FECE0E4EB4A09B5788AEEC6596" style="width:450.75pt;height:436.5pt">
            <v:imagedata r:id="rId9" o:title=""/>
          </v:shape>
        </w:pict>
      </w:r>
    </w:p>
    <w:p>
      <w:pPr>
        <w:rPr>
          <w:noProof/>
        </w:rPr>
        <w:sectPr>
          <w:footerReference w:type="default" r:id="rId10"/>
          <w:pgSz w:w="11907" w:h="16839"/>
          <w:pgMar w:top="1134" w:right="1417" w:bottom="1134" w:left="1417" w:header="709" w:footer="709" w:gutter="0"/>
          <w:pgNumType w:start="1"/>
          <w:cols w:space="720"/>
          <w:docGrid w:linePitch="360"/>
        </w:sectPr>
      </w:pPr>
    </w:p>
    <w:p>
      <w:pPr>
        <w:pStyle w:val="Exposdesmotifstitre"/>
        <w:rPr>
          <w:noProof/>
        </w:rPr>
      </w:pPr>
      <w:bookmarkStart w:id="0" w:name="_GoBack"/>
      <w:bookmarkEnd w:id="0"/>
      <w:r>
        <w:rPr>
          <w:noProof/>
        </w:rPr>
        <w:lastRenderedPageBreak/>
        <w:t>MEMORANDUM TA’ SPJEGAZZJONI</w:t>
      </w:r>
    </w:p>
    <w:p>
      <w:pPr>
        <w:pStyle w:val="ManualHeading1"/>
        <w:rPr>
          <w:noProof/>
        </w:rPr>
      </w:pPr>
      <w:r>
        <w:rPr>
          <w:noProof/>
        </w:rPr>
        <w:t>1.</w:t>
      </w:r>
      <w:r>
        <w:rPr>
          <w:noProof/>
        </w:rPr>
        <w:tab/>
        <w:t>IL-KUNTEST TAL-PROPOSTA</w:t>
      </w:r>
    </w:p>
    <w:p>
      <w:pPr>
        <w:pStyle w:val="ManualHeading2"/>
        <w:rPr>
          <w:rFonts w:eastAsia="Arial Unicode MS"/>
          <w:noProof/>
        </w:rPr>
      </w:pPr>
      <w:r>
        <w:rPr>
          <w:noProof/>
          <w:color w:val="000000"/>
          <w:u w:color="000000"/>
          <w:bdr w:val="nil"/>
        </w:rPr>
        <w:t>•</w:t>
      </w:r>
      <w:r>
        <w:rPr>
          <w:noProof/>
        </w:rPr>
        <w:tab/>
        <w:t>Ir-raġunijiet għall-proposta u l-għanijiet tagħha</w:t>
      </w:r>
    </w:p>
    <w:p>
      <w:pPr>
        <w:pStyle w:val="Body"/>
        <w:rPr>
          <w:noProof/>
        </w:rPr>
      </w:pPr>
      <w:r>
        <w:rPr>
          <w:noProof/>
        </w:rPr>
        <w:t>Bit-teknoloġiji diġitali jeħfiefu d-distribuzzjoni tax-xogħlijiet u ta’ materjal protett ieħor, u l-aċċess għalihom; minn fost l-utenti Ewropej tal-internet, 49% jaċċessaw kontenut awdjoviżiv u mużikali u l-logħob online.</w:t>
      </w:r>
      <w:r>
        <w:rPr>
          <w:rStyle w:val="FootnoteReference"/>
          <w:noProof/>
        </w:rPr>
        <w:footnoteReference w:id="1"/>
      </w:r>
      <w:r>
        <w:rPr>
          <w:noProof/>
        </w:rPr>
        <w:t>. Kulma jmur, ix-xandara u l-fornituri tas-servizzi tat-trażmissjoni mill-ġdid qed jinvestu aktar fl-iżvilupp ta’ servizzi diġitali u online għad-distribuzzjoni tal-programmi tat-televiżjoni u tar-radju. B’mod partikolari l-offerti online tax-xandara jinkludu servizzi ta’ xandir simultanju (meta stazzjonijiet tat-televiżjoni u tar-radju jxandru fuq l-internet fl-istess waqt li jkun għaddej ix-xandir tradizzjonali terrestri, bil-kejbil jew bis-satellita), servizzi ta’ ripetizzjoni fuq it-televiżjoni</w:t>
      </w:r>
      <w:r>
        <w:rPr>
          <w:rStyle w:val="FootnoteReference"/>
          <w:noProof/>
        </w:rPr>
        <w:footnoteReference w:id="2"/>
      </w:r>
      <w:r>
        <w:rPr>
          <w:noProof/>
        </w:rPr>
        <w:t xml:space="preserve"> u podcasts. Għalkemm żdiedet il-varjetà tas-servizzi online, ħafna drabi l-programmi tax-xandara ma jibqgħux disponibbli online għaċ-ċittadini Ewropej li jgħixu fi Stati Membri oħra. Barra minn hekk, il-varjetà tal-istazzjonijiet tat-televiżjoni u tar-radju minn Stati Membri oħra li jipprovdu servizzi ta’ trażmissjoni mill-ġdid, tvarja madwar l-UE.</w:t>
      </w:r>
    </w:p>
    <w:p>
      <w:pPr>
        <w:pStyle w:val="Body"/>
        <w:rPr>
          <w:noProof/>
        </w:rPr>
      </w:pPr>
      <w:r>
        <w:rPr>
          <w:noProof/>
        </w:rPr>
        <w:t>L-organizzazzjonijiet tax-xandir kuljum ixandru għadd kbir ta’ aħbarijiet, programmi kulturali, divertenti u politiċi, jew dokumentarji li jkun awtorizzahom ħaddieħor jew li jkunu pproduċew huma stess. Dawn il-programmi jkun fihom varjetà ta’ kontenut protett bħal xogħol awdjoviżiv, mużikali, letterarju jew grafiku. Dan jeħtieġ awtorizzazzjoni kumplessa tad-drittijiet mingħand għadd kbir ta’ detenturi tad-drittijiet. Ħafna drabi l-awtorizzazzjoni tad-drittijiet tkun meħtieġa fi żmien qasir, b’mod partikolari meta jkunu qed jitħejjew l-aħbarijiet jew programmi tal-ġrajjiet kurrenti. Sabiex is-servizzi tagħhom jagħmluhom disponibbli lil hinn mill-fruntieri, l-organizzazzjonijiet tax-xandir ikollhom bżonn id-drittijiet meħtieġa għat-territorji rilevanti u dan iżid il-kumplessità tal-awtorizzazzjoni tad-drittijiet. Għax-xandir bis-satellita, l-awtorizzazzjoni tad-drittijiet ħfiefet bl-applikazzjoni tal-prinċipju tal-pajjiż tal-oriġini li hemm imnaqqax fid-Direttiva dwar is-Servizzi bil-Kejbil u bis-Satellita (id-Direttiva 93/83/KEE), li skontu x-xandara jistgħu jawtorizzaw id-drittijiet fi Stat Membru wieħed biss. Din id-Direttiva ma tapplikax meta x-xandar jawtorizza drittijiet għas-servizzi online tiegħu.</w:t>
      </w:r>
    </w:p>
    <w:p>
      <w:pPr>
        <w:pStyle w:val="Body"/>
        <w:rPr>
          <w:noProof/>
        </w:rPr>
      </w:pPr>
      <w:r>
        <w:rPr>
          <w:noProof/>
        </w:rPr>
        <w:t xml:space="preserve">L-operaturi tas-servizzi tat-trażmissjoni mill-ġdid, li jiġbru għadd kbir ta’ stazzjonijiet tat-televiżjoni u tar-radju f’pakketti, iħabbtu wiċċhom ukoll ma’ diffikultajiet biex jiksbu d-drittijiet kollha meħtieġa biex jerġgħu jittrażmettu l-programmi tat-televiżjoni u tar-radju tal-organizzazzjonijiet tax-xandir. Id-Direttiva dwar is-Servizzi bil-Kejbil u bis-Satellita tipprevedi sistema ta’ mmaniġġjar kollettiv obbligatorju għat-trażmissjonijiet mill-ġdid bil-kejbil ta’ xandiriet televiżivi u radjofoniċi minn Stati Membri oħra. Din is-sistema tiffaċilita l-awtorizzazzjoni tad-drittijiet u ma testendix għas-servizzi tat-trażmissjoni mill-ġdid provduti b’mezzi oħra għajr il-kejbil permezz ta’ netwerks tal-komunikazzjoni elettronika magħluqin, bħall-IPTV (televiżjoni/radju magħluq f’netwerks taċ-ċirkwit ibbażati fuq l-IPs). Għaldaqstant l-operaturi ta’ dawn is-servizzi tat-trażmissjoni mill-ġdid iġorru piż tqil tal-awtorizzazzjoni tad-drittijiet biex ikunu jistgħu jipprovdu s-servizzi tagħhom, b’mod partikolari meta dawn jerġgħu jittrażmettu xandiriet televiżivi u radjofoniċi minn Stati Membri oħra. </w:t>
      </w:r>
    </w:p>
    <w:p>
      <w:pPr>
        <w:pStyle w:val="Body"/>
        <w:rPr>
          <w:noProof/>
        </w:rPr>
      </w:pPr>
      <w:r>
        <w:rPr>
          <w:noProof/>
        </w:rPr>
        <w:t xml:space="preserve">Din il-proposta għandha l-għan li tadatta l-qafas ġuridiku tal-Unjoni biex tippromwovi l-forniment transfruntier ta’ servizzi online anċillari għax-xandiriet u li tiffaċilita t-trażmissjonijiet mill-ġdid diġitali fuq netwerks magħluqin ta’ programmi tat-televiżjoni u tar-radju li joriġinaw fi Stati Membri oħra. Din tindirizza d-diffikultajiet relatati mal-awtorizzazzjoni tad-drittijiet u b’hekk toħloq il-kundizzjonijiet biex ix-xandara u l-operaturi tas-servizzi tat-trażmissjoni mill-ġdid ikunu jistgħu joffru aċċess usa’ għall-programmi tat-televiżjoni u tar-radju madwar l-UE. Minħabba f’hekk, din il-proposta se tippromwovi l-aċċess tal-konsumaturi għal aktar programmi tat-televiżjoni u tar-radju li joriġinaw fi Stati Membri oħra, kemm fejn jidħlu s-servizzi online anċillari tal-organizzazzjonijiet tax-xandir u anki s-servizzi tat-trażmissjoni mill-ġdid. Il-proposta ddaħħal approċċ komuni fl-Unjoni filwaqt li żżomm livell għoli ta’ protezzjoni għad-detenturi tad-drittijiet. B’hekk, din tikkontribwixxi għall-funzjonament tas-suq intern bħala żona mingħajr fruntieri interni. </w:t>
      </w:r>
    </w:p>
    <w:p>
      <w:pPr>
        <w:pStyle w:val="ManualHeading2"/>
        <w:rPr>
          <w:rFonts w:eastAsia="Arial Unicode MS"/>
          <w:noProof/>
          <w:color w:val="000000"/>
          <w:u w:color="000000"/>
          <w:bdr w:val="nil"/>
        </w:rPr>
      </w:pPr>
      <w:r>
        <w:rPr>
          <w:noProof/>
          <w:color w:val="000000"/>
          <w:u w:color="000000"/>
          <w:bdr w:val="nil"/>
        </w:rPr>
        <w:t>•</w:t>
      </w:r>
      <w:r>
        <w:rPr>
          <w:noProof/>
        </w:rPr>
        <w:tab/>
        <w:t>Konsistenza mad-dispożizzjonijiet eżistenti f’dan il-qasam ta’ politika</w:t>
      </w:r>
    </w:p>
    <w:p>
      <w:pPr>
        <w:spacing w:after="240"/>
        <w:rPr>
          <w:noProof/>
        </w:rPr>
      </w:pPr>
      <w:r>
        <w:rPr>
          <w:noProof/>
        </w:rPr>
        <w:t>L-Istrateġija tas-Suq Uniku Diġitali</w:t>
      </w:r>
      <w:r>
        <w:rPr>
          <w:rStyle w:val="FootnoteReference"/>
          <w:noProof/>
        </w:rPr>
        <w:footnoteReference w:id="3"/>
      </w:r>
      <w:r>
        <w:rPr>
          <w:noProof/>
        </w:rPr>
        <w:t xml:space="preserve"> tipproponi firxa ta’ inizjattivi bil-għan li jinħoloq suq intern għall-kontenut u s-servizzi diġitali. F’Diċembru 2015, il-Kummissjoni għamlet l-ewwel pass bil-proposta għal Regolament tal-Parlament Ewropew u tal-Kunsill dwar l-iżgurar tal-portabbiltà transfruntier tas-servizzi tal-kontenut online fis-suq intern</w:t>
      </w:r>
      <w:r>
        <w:rPr>
          <w:rStyle w:val="FootnoteReference"/>
          <w:noProof/>
        </w:rPr>
        <w:footnoteReference w:id="4"/>
      </w:r>
      <w:r>
        <w:rPr>
          <w:noProof/>
        </w:rPr>
        <w:t xml:space="preserve">. </w:t>
      </w:r>
    </w:p>
    <w:p>
      <w:pPr>
        <w:spacing w:after="240"/>
        <w:rPr>
          <w:noProof/>
        </w:rPr>
      </w:pPr>
      <w:r>
        <w:rPr>
          <w:noProof/>
        </w:rPr>
        <w:t xml:space="preserve">Din il-proposta twieġeb wieħed mill-għanijiet ewlenin identifikati fl-Istrateġija tas-Suq Uniku Diġitali: li jissaħħaħ l-aċċess online usa’ għall-programmi tat-televiżjoni u tar-radju mill-utenti madwar l-UE. Jekk issir promozzjoni tal-forniment transfruntier tas-servizzi online anċillari għax-xandiriet u jeħfiefu t-trażmissjonijiet mill-ġdid tal-programmi tat-televiżjoni u tar-radju li joriġinaw fi Stati Membri oħra, ikun sar pass sinifikanti li jindirizza ostaklu speċifiku għall-aċċess transfruntier għall-kontenut imxandar għall-benefiċċju tal-utenti. </w:t>
      </w:r>
    </w:p>
    <w:p>
      <w:pPr>
        <w:pStyle w:val="Body"/>
        <w:rPr>
          <w:noProof/>
        </w:rPr>
      </w:pPr>
      <w:r>
        <w:rPr>
          <w:noProof/>
        </w:rPr>
        <w:t xml:space="preserve">Din il-proposta hi konsistenti mal-istrumenti legali fil-qasam tad-drittijiet tal-awtur, b’mod partikolari d-Direttiva 93/83/KEE, id-Direttiva 2001/29/KE, id-Direttiva 2006/115/KE u d-Direttiva 2014/26/UE. Dawk id-Direttivi, kif ukoll din il-proposta, jikkontribwixxu għall-funzjonament tas-suq intern, jiżguraw livell għoli ta’ protezzjoni għad-detenturi tad-drittijiet u jiffaċilitaw l-awtorizzazzjoni tad-drittijiet. </w:t>
      </w:r>
    </w:p>
    <w:p>
      <w:pPr>
        <w:pStyle w:val="Body"/>
        <w:rPr>
          <w:noProof/>
        </w:rPr>
      </w:pPr>
      <w:r>
        <w:rPr>
          <w:noProof/>
        </w:rPr>
        <w:t>Din il-proposta tikkontribwixxi wkoll għat-titjib fit-twassil transfruntier tas-servizzi tal-midja awdjoviżivi u għalhekk tikkumplimenta lid-Direttiva 2010/13/UE</w:t>
      </w:r>
      <w:bookmarkStart w:id="1" w:name="_Ref434401349"/>
      <w:r>
        <w:rPr>
          <w:rStyle w:val="FootnoteReference"/>
          <w:noProof/>
        </w:rPr>
        <w:footnoteReference w:id="5"/>
      </w:r>
      <w:bookmarkEnd w:id="1"/>
      <w:r>
        <w:rPr>
          <w:noProof/>
        </w:rPr>
        <w:t>.</w:t>
      </w:r>
    </w:p>
    <w:p>
      <w:pPr>
        <w:pStyle w:val="ManualHeading2"/>
        <w:rPr>
          <w:rFonts w:eastAsia="Arial Unicode MS"/>
          <w:noProof/>
        </w:rPr>
      </w:pPr>
      <w:r>
        <w:rPr>
          <w:noProof/>
          <w:color w:val="000000"/>
          <w:u w:color="000000"/>
          <w:bdr w:val="nil"/>
        </w:rPr>
        <w:t>•</w:t>
      </w:r>
      <w:r>
        <w:rPr>
          <w:noProof/>
        </w:rPr>
        <w:tab/>
        <w:t>Konsistenza ma’ politiki oħrajn tal-Unjoni</w:t>
      </w:r>
    </w:p>
    <w:p>
      <w:pPr>
        <w:pStyle w:val="Body"/>
        <w:rPr>
          <w:noProof/>
        </w:rPr>
      </w:pPr>
      <w:r>
        <w:rPr>
          <w:noProof/>
        </w:rPr>
        <w:t>Skont l-Artikolu 167 tat-Trattat dwar il-Funzjonament tal-Unjoni Ewropea (it-TFUE), l-Unjoni għandha tqis l-aspetti kulturali fl-azzjoni tagħha skont it-Trattati. Din il-proposta tiffaċilita l-aċċess għall-programmi tat-televiżjoni u tar-radju u b’hekk ittejjeb l-aċċess għall-kontenut kulturali, l-aħbarijiet u l-informazzjoni.</w:t>
      </w:r>
    </w:p>
    <w:p>
      <w:pPr>
        <w:pStyle w:val="Body"/>
        <w:rPr>
          <w:noProof/>
        </w:rPr>
      </w:pPr>
      <w:r>
        <w:rPr>
          <w:noProof/>
        </w:rPr>
        <w:t>Din il-proposta tikkontribwixxi għall-promozzjoni tal-interessi tal-konsumaturi billi tippromwovi aktar aċċess għall-programmi tat-televiżjoni u tar-radju minn Stati Membri oħra u għalhekk hija konsistenti mal-politiki tal-UE fil-qasam tal-protezzjoni tal-konsumaturi u mal-Artikolu 169 tat-TFUE.</w:t>
      </w:r>
    </w:p>
    <w:p>
      <w:pPr>
        <w:pStyle w:val="ManualHeading1"/>
        <w:rPr>
          <w:noProof/>
        </w:rPr>
      </w:pPr>
      <w:r>
        <w:rPr>
          <w:noProof/>
        </w:rPr>
        <w:t>2.</w:t>
      </w:r>
      <w:r>
        <w:rPr>
          <w:noProof/>
        </w:rPr>
        <w:tab/>
        <w:t>IL-BAŻI ĠURIDIKA, IS-SUSSIDJARJETÀ U L-PROPORZJONALITÀ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Il-bażi ġuridika</w:t>
      </w:r>
    </w:p>
    <w:p>
      <w:pPr>
        <w:pStyle w:val="Body"/>
        <w:rPr>
          <w:noProof/>
        </w:rPr>
      </w:pPr>
      <w:r>
        <w:rPr>
          <w:noProof/>
        </w:rPr>
        <w:t>Il-proposta għal Regolament hija bbażata fuq l-Artikolu 114 tat-TFUE. Dan l-Artikolu jagħti s-setgħa lill-UE biex tadotta miżuri li bħala għan għandhom it-twaqqif u l-funzjonament tas-suq intern. Dan jinkludi l-libertà li jingħataw u jinkisbu servizzi.</w:t>
      </w:r>
    </w:p>
    <w:p>
      <w:pPr>
        <w:pStyle w:val="Body"/>
        <w:rPr>
          <w:noProof/>
        </w:rPr>
      </w:pPr>
      <w:r>
        <w:rPr>
          <w:noProof/>
        </w:rPr>
        <w:t>L-UE armonizzat id-drittijiet li huma rilevanti għat-tixrid online tax-xogħlijiet u ta’ materjal protett ieħor kif ukoll għat-trażmissjoni mill-ġdid tal-programmi tat-televiżjoni u tar-radju (notevolment id-drittijiet tar-riproduzzjoni, tal-komunikazzjoni lill-pubbliku u tad-disponibbiltà) fid-Direttiva 2001/29.</w:t>
      </w:r>
    </w:p>
    <w:p>
      <w:pPr>
        <w:pStyle w:val="Body"/>
        <w:rPr>
          <w:noProof/>
        </w:rPr>
      </w:pPr>
      <w:r>
        <w:rPr>
          <w:noProof/>
        </w:rPr>
        <w:t xml:space="preserve">Din il-proposta għal Regolament għandha x’taqsam mat-tħaffif tal-awtorizzazzjoni tad-drittijiet għal servizzi online anċillari mill-organizzazzjonijiet tax-xandir billi ddaħħal il-prinċipju tal-pajjiż tal-oriġini, li skontu l-att rilevanti tad-drittijiet tal-awtur isseħħ biss fl-Istat Membru fejn tkun stabbilita l-organizzazzjoni tax-xandir. Din tiffaċilita wkoll l-awtorizzazzjoni tad-drittijiet għal servizzi tat-trażmissjoni mill-ġdid provduti b’netwerks magħluqin (għajr il-kejbil), billi tintroduċi regoli dwar l-immaniġġjar kollettiv obbligatorju. Il-proposta għandha l-għan li fost l-oħrajn tqis il-bidliet fit-teknoloġija li jeħtieġu l-adattament tal-qafas ġuridiku armonizzat qabel. </w:t>
      </w:r>
    </w:p>
    <w:p>
      <w:pPr>
        <w:pStyle w:val="Body"/>
        <w:rPr>
          <w:noProof/>
        </w:rPr>
      </w:pPr>
      <w:r>
        <w:rPr>
          <w:noProof/>
        </w:rPr>
        <w:t>L-istrument propost hu Regolament għax hemm bżonn li jkun żgurat li r-regoli jilħqu l-għan b’mod uniformi u li jkunu applikabbli direttament.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 xml:space="preserve">Is-sussidjarjetà (għal kompetenza mhux esklussiva) </w:t>
      </w:r>
    </w:p>
    <w:p>
      <w:pPr>
        <w:pStyle w:val="Body"/>
        <w:rPr>
          <w:noProof/>
        </w:rPr>
      </w:pPr>
      <w:r>
        <w:rPr>
          <w:noProof/>
        </w:rPr>
        <w:t>Essenzjalment, il-kwistjoni li tindirizza din il-proposta, jiġifieri l-aċċess usa’ għall-programmi tat-televiżjoni u tar-radju għaċ-ċittadini madwar l-Unjoni, għandha natura transfruntiera. Bi strument tal-Unjoni biss tista’ tiġi stabbilita regola li tapplika l-prinċipju tal-pajjiż tal-oriġini għat-trażmissjonijiet transfruntieri tal-programmi tat-televiżjoni u tar-radju. Fejn jidħol l-eżerċizzju tad-drittijiet tat-trażmissjoni mill-ġdid, bi strument tal-Unjoni biss tista’ titneħħa l-frammentazzjoni eżistenti tas-suq fil-mod kif dawn id-drittijiet jiġu mmaniġġjati għas-servizzi tat-trażmissjoni mill-ġdid diġitali, u b’hekk tkun żgurata ċ-ċertezza legali għall-operaturi tat-trażmissjoni mill-ġdid. Madankollu, ċerti dispożizzjonijiet speċifiċi li għandhom x’jaqsmu mal-applikazzjoni tal-immaniġġjar kollettiv obbligatorju għas-servizzi tat-trażmissjoni mill-ġdid diġitali provduti b’netwerks magħluqin għandhom jiddeterminawhom l-Istati Membri.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Il-proporzjonalità</w:t>
      </w:r>
    </w:p>
    <w:p>
      <w:pPr>
        <w:pStyle w:val="Body"/>
        <w:rPr>
          <w:noProof/>
          <w:shd w:val="clear" w:color="auto" w:fill="FFFF00"/>
        </w:rPr>
      </w:pPr>
      <w:r>
        <w:rPr>
          <w:noProof/>
        </w:rPr>
        <w:t>Il-proposta tistabbilixxi mekkaniżmi ta’ appoġġ ħalli tiffaċilita l-awtorizzazzjoni tad-drittijiet tal-awtur u ta’ drittijiet relatati fejn jidħlu ċerti tipi ta’ trażmissjonijiet online u trażmissjonijiet mill-ġdid tal-programmi tat-televiżjoni u tar-radju, b’netwerks magħluqin. Din hi mmirata u tkopri biss oqsma speċifiċi tas-suq (servizzi online anċillari tax-xandara u ċerti servizzi ta’ trażmissjoni mill-ġdid provduti bl-IPTV u b’netwerks tal-komunikazzjoni elettronika “magħluqin” oħrajn) filwaqt li xi servizzi oħrajn (bħas-servizzi on-demand li mhumiex marbutin ma’ xi xandira) huma ’l barra mill-kamp ta’ applikazzjoni tagħha. Barra minn hekk, il-proposta ma tobbliga lill-ebda organizzazzjoni tax-xandir biex tipprovdi s-servizzi online anċillari tagħha bejn il-fruntieri, u lanqas ma tobbliga lill-operaturi tas-servizzi tat-trażmissjoni mill-ġdid biex joffru programmi minn Stati Membri oħra. Il-proposta ma timpedix l-eżerċizzju tal-libertà kuntrattwali tal-partijiet milli jillimitaw l-isfruttament tad-drittijiet affettwati bil-prinċipju tal-pajjiż tal-oriġini applikat b’konformità mal-liġi tal-Unjoni.</w:t>
      </w:r>
    </w:p>
    <w:p>
      <w:pPr>
        <w:pStyle w:val="Body"/>
        <w:rPr>
          <w:noProof/>
        </w:rPr>
      </w:pPr>
      <w:r>
        <w:rPr>
          <w:noProof/>
        </w:rPr>
        <w:t>Fejn tidħol ir-regola tal-pajjiż tal-oriġini applikabbli għall-awtorizzazzjoni tad-drittijiet għal servizzi online anċillari tax-xandara, din tillokalizza biss l-atti rilevanti tad-drittijiet tal-awtur għall-finijiet tal-eżerċitar tad-drittijiet (eż. l-akkwist ta’ liċenzja). Għalhekk il-pajjiż tal-oriġini ma jaffettwax il-lokalizzazzjoni tal-atti rilevanti tad-drittijiet tal-awtur meta d-drittijiet ma jkunux ġew awtorizzati (jiġifieri fil-każ ta’ trażmissjonijiet mhux awtorizzati).</w:t>
      </w:r>
    </w:p>
    <w:p>
      <w:pPr>
        <w:pStyle w:val="Body"/>
        <w:rPr>
          <w:noProof/>
        </w:rPr>
      </w:pPr>
      <w:r>
        <w:rPr>
          <w:noProof/>
        </w:rPr>
        <w:t xml:space="preserve">Fejn jidħlu d-drittijiet tat-trażmissjoni mill-ġdid, il-proposta taffettwa biss l-eżerċizzju tad-drittijiet tat-trażmissjoni mill-ġdid filwaqt li dawn id-drittijiet tħallihom intatti. Barra minn hekk, il-proposta tkopri t-trażmissjonijiet mill-ġdid fejn għandhom x’jaqsmu l-programmi tat-televiżjoni u tar-radju li joriġinaw fi Stati Membri oħra. 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L-għażla tal-istrument</w:t>
      </w:r>
    </w:p>
    <w:p>
      <w:pPr>
        <w:pStyle w:val="Body"/>
        <w:rPr>
          <w:noProof/>
        </w:rPr>
      </w:pPr>
      <w:r>
        <w:rPr>
          <w:noProof/>
        </w:rPr>
        <w:t>Regolament hu applikabbli direttament fl-Istati Membri u għalhekk dan l-istrument jiżgura applikazzjoni uniformi tar-regoli madwar l-Unjoni u li jidħlu fis-seħħ fl-istess ħin. Dan jippermetti li l-fornituri tas-servizzi li joperaw f’territorji differenti jkunu żgurati ċertezza legali sħiħa. L-applikabbiltà diretta tad-dispożizzjonijiet ta’ din il-proposta tevita l-frammentazzjoni legali u tipprovdi sett ta’ regoli armonizzati biex jeħfief il-forniment transfruntier tal-programmi tat-televiżjoni u tar-radju u tas-servizzi tat-trażmissjoni mill-ġdid.</w:t>
      </w:r>
    </w:p>
    <w:p>
      <w:pPr>
        <w:pStyle w:val="ManualHeading1"/>
        <w:rPr>
          <w:noProof/>
        </w:rPr>
      </w:pPr>
      <w:r>
        <w:rPr>
          <w:noProof/>
        </w:rPr>
        <w:t>3.</w:t>
      </w:r>
      <w:r>
        <w:rPr>
          <w:noProof/>
        </w:rPr>
        <w:tab/>
        <w:t xml:space="preserve">IR-RIŻULTATI TAL-EVALWAZZJONIJIET </w:t>
      </w:r>
      <w:r>
        <w:rPr>
          <w:i/>
          <w:noProof/>
        </w:rPr>
        <w:t>EX-POST</w:t>
      </w:r>
      <w:r>
        <w:rPr>
          <w:noProof/>
        </w:rPr>
        <w:t>, TAL-KONSULTAZZJONIJIET TAL-PARTIJIET KONĊERNATI U TAL-VALUTAZZJONIJIET TAL-IMPATT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 xml:space="preserve">Evalwazzjonijiet </w:t>
      </w:r>
      <w:r>
        <w:rPr>
          <w:i/>
          <w:noProof/>
        </w:rPr>
        <w:t>ex-post</w:t>
      </w:r>
      <w:r>
        <w:rPr>
          <w:noProof/>
        </w:rPr>
        <w:t>/kontrolli tal-idoneità tal-leġiżlazzjoni eżistenti</w:t>
      </w:r>
    </w:p>
    <w:p>
      <w:pPr>
        <w:pStyle w:val="Body"/>
        <w:rPr>
          <w:noProof/>
        </w:rPr>
      </w:pPr>
      <w:r>
        <w:rPr>
          <w:noProof/>
        </w:rPr>
        <w:t>Il-Kummissjoni għamlet evalwazzjoni tad-Direttiva 93/83/KEE</w:t>
      </w:r>
      <w:r>
        <w:rPr>
          <w:rStyle w:val="FootnoteReference"/>
          <w:noProof/>
        </w:rPr>
        <w:footnoteReference w:id="6"/>
      </w:r>
      <w:r>
        <w:rPr>
          <w:noProof/>
        </w:rPr>
        <w:t xml:space="preserve"> u b’mod partikolari tal-effettività u tar-rilevanza tal-prinċipju tal-pajjiż tal-oriġini kif japplika għat-trażmissjonijiet bis-satellita u tar-regoli dwar l-immaniġġjar kollettiv obbligatorju għat-trażmissjonijiet mill-ġdid bil-kejbil. L-evalwazzjoni turi li dawn il-mekkaniżmi jiffaċilitaw l-awtorizzazzjoni tad-drittijiet tal-awtur u ta’ drittijiet relatati għal xandiriet transfruntieri bis-satellita u għal trażmissjonijiet mill-ġdid simultanji bil-kejbil ta’ xandiriet minn Stati Membri oħra. Iżda din toħroġ fid-dieher li d-Direttiva 93/83/KEE – minħabba n-natura speċifika għat-teknoloġiji li għandhom id-dispożizzjonijiet tagħha – ma tapplikax għat-teknoloġiji diġitali l-ġodda li jintużaw għat-trażmissjoni u għat-trażmissjoni mill-ġdid tal-programmi tat-televiżjoni u tar-radju u li żviluppaw fl-aħħar snin. 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Konsultazzjonijiet mal-partijiet konċernati</w:t>
      </w:r>
    </w:p>
    <w:p>
      <w:pPr>
        <w:pStyle w:val="Body"/>
        <w:spacing w:before="0" w:after="240"/>
        <w:rPr>
          <w:noProof/>
        </w:rPr>
      </w:pPr>
      <w:r>
        <w:rPr>
          <w:noProof/>
        </w:rPr>
        <w:t>Bejn l-24 ta’ Awwissu u s-16 ta’ Novembru 2015</w:t>
      </w:r>
      <w:r>
        <w:rPr>
          <w:rStyle w:val="FootnoteReference"/>
          <w:noProof/>
        </w:rPr>
        <w:footnoteReference w:id="7"/>
      </w:r>
      <w:r>
        <w:rPr>
          <w:noProof/>
        </w:rPr>
        <w:t xml:space="preserve"> saret konsultazzjoni pubblika dwar ir-rieżami tad-Direttiva 93/83/KEE. Din talbet rispons dwar il-funzjonament tar-regoli relatati mal-awtorizzazzjoni tad-drittijiet għax-xandara bis-satellita u għall-operaturi tal-kejbil, u analizzat jekk hemmx bżonn li dawn ir-regoli jitwessgħu għat-trażmissjonijiet online u għat-trażmissjonijiet mill-ġdid b’mezzi oħra għajr il-kejbil. Barra minn hekk, bejn l-2015 u l-2016, il-Kummissjoni kellha diskussjonijiet estensivi mal-partijiet konċernati (xandara pubbliċi u kummerċjali, operaturi tat-telekomunikazzjoni, detenturi tad-drittijiet u organizzazzjonijiet tal-immaniġġjar kollettiv (CMOs)) biex tiddiskuti kwistjonijiet relatati mat-trażmissjonijiet online u mat-trażmissjonijiet mill-ġdid tal-programmi tat-televiżjoni u tar-radju.</w:t>
      </w:r>
    </w:p>
    <w:p>
      <w:pPr>
        <w:pStyle w:val="Body"/>
        <w:spacing w:before="0" w:after="240"/>
        <w:rPr>
          <w:noProof/>
        </w:rPr>
      </w:pPr>
      <w:r>
        <w:rPr>
          <w:noProof/>
        </w:rPr>
        <w:t xml:space="preserve">Ġeneralment, il-konsumaturi huma favur estensjoni wiesgħa tal-prinċipju tal-pajjiż tal-oriġini b’mod li jkun ikopri s-servizzi online kollha, anki jekk xi wħud jidhrilhom li dan il-mekkaniżmu jaf ma jkunx biżżejjed biex jiżgura l-aċċess transfruntier. Ix-xandara tas-servizz pubbliku kollha u r-radjijiet kummerċjali talbu biex il-prinċipju tal-pajjiż tal-oriġini jiġi applikat għas-servizzi online relatati max-xandir. Min-naħa l-oħra, ix-xandara kummerċjali, id-detenturi tad-drittijiet u l-organizzazzjonijiet tal-immaniġġjar kollettiv esprimew riżervi qawwija fuq l-estensjoni tal-applikazzjoni tal-prinċipju tal-pajjiż tal-oriġini. Dawn jidhrilhom li estensjoni bħal din tillimita l-abbiltà tagħhom biex jilliċenzjaw id-drittijiet fuq bażi territorjali. </w:t>
      </w:r>
    </w:p>
    <w:p>
      <w:pPr>
        <w:pStyle w:val="Body"/>
        <w:spacing w:after="0"/>
        <w:rPr>
          <w:noProof/>
        </w:rPr>
      </w:pPr>
      <w:r>
        <w:rPr>
          <w:noProof/>
        </w:rPr>
        <w:t xml:space="preserve">Il-konsumaturi, l-operaturi tat-telekomunikazzjoni u tal-kejbil, ix-xandara tas-servizz pubbliku u l-maġġoranza vasta tal-organizzazzjonijiet tal-immaniġġjar kollettiv jaqblu ma’ eventwali estensjoni tal-immaniġġjar kollettiv obbligatorju għat-trażmissjonijiet mill-ġdid simultanji tal-programmi tat-televiżjoni u tar-radju fuq pjattaformi oħra għajr il-kejbil. Ħafna organizzazzjonijiet tal-immaniġġjar kollettiv u xandara tas-servizz pubbliku kif ukoll xi operaturi tat-telekomunikazzjoni u tal-kejbil jinsistu li estensjoni għandha tkun limitata għal “ambjenti magħluqin” li jiffunzjonaw b’mod paragunabbli mal-kejbil. Ħafna mid-detenturi tad-drittijiet huma kontra eventwali estensjoni tar-reġim tal-immaniġġjar kollettiv obbligatorju minħabba l-effetti negattivi potenzjali fuq is-swieq. Anki x-xandara kummerċjali jidher li qed jopponuha. </w:t>
      </w:r>
    </w:p>
    <w:p>
      <w:pPr>
        <w:pStyle w:val="Body"/>
        <w:spacing w:after="0"/>
        <w:rPr>
          <w:noProof/>
        </w:rPr>
      </w:pPr>
      <w:r>
        <w:rPr>
          <w:noProof/>
        </w:rPr>
        <w:t xml:space="preserve">Il-miżuri previsti f’din il-proposta jqisu għadd ta’ tħassib li wrew il-partijiet konċernati, b’mod partikolari fir-rigward tal-kamp ta’ applikazzjoni tal-estensjoni tal-prinċipju tal-pajjiż tal-oriġini (eż. is-servizzi tal-VoD tax-xandara huma ’l barra mill-kamp ta’ applikazzjoni u l-intervent għandu x’jaqsam biss mal-awtorizzazzjoni tad-drittijiet meħtieġa għas-servizzi online anċillari) u tal-mekkaniżmu tal-immaniġġjar kollettiv obbligatorju tad-drittijiet (li hu limitat għan-netwerks magħluqin). 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Il-ġbir u l-użu tal-għarfien espert</w:t>
      </w:r>
    </w:p>
    <w:p>
      <w:pPr>
        <w:pStyle w:val="Body"/>
        <w:tabs>
          <w:tab w:val="left" w:pos="567"/>
        </w:tabs>
        <w:spacing w:before="240" w:after="240"/>
        <w:rPr>
          <w:noProof/>
        </w:rPr>
      </w:pPr>
      <w:r>
        <w:rPr>
          <w:noProof/>
        </w:rPr>
        <w:t>Saru studji legali</w:t>
      </w:r>
      <w:r>
        <w:rPr>
          <w:rStyle w:val="FootnoteReference"/>
          <w:noProof/>
        </w:rPr>
        <w:footnoteReference w:id="8"/>
      </w:r>
      <w:r>
        <w:rPr>
          <w:noProof/>
        </w:rPr>
        <w:t xml:space="preserve"> u ekonomiċi</w:t>
      </w:r>
      <w:r>
        <w:rPr>
          <w:rStyle w:val="FootnoteReference"/>
          <w:noProof/>
        </w:rPr>
        <w:footnoteReference w:id="9"/>
      </w:r>
      <w:r>
        <w:rPr>
          <w:noProof/>
        </w:rPr>
        <w:t xml:space="preserve"> fuq l-applikazzjoni tar-regoli tal-UE dwar id-drittijiet tal-awtur fl-ambjent diġitali (b’mod partikolari fir-rigward tat-trażmissjonijiet online u tat-trażmissjonijiet mill-ġdid b’netwerks diġitali). Barra minn hekk, fl-2015/2016 sar studju biex jappoġġa l-evalwazzjoni tad-Direttiva dwar is-Servizzi bil-Kejbil u bis-Satellita u l-valutazzjoni tal-eventwali estensjoni tagħha</w:t>
      </w:r>
      <w:r>
        <w:rPr>
          <w:rStyle w:val="FootnoteReference"/>
          <w:noProof/>
        </w:rPr>
        <w:footnoteReference w:id="10"/>
      </w:r>
      <w:r>
        <w:rPr>
          <w:noProof/>
        </w:rPr>
        <w:t xml:space="preserve">. 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Il-valutazzjoni tal-impatt</w:t>
      </w:r>
    </w:p>
    <w:p>
      <w:pPr>
        <w:pStyle w:val="Body"/>
        <w:spacing w:before="0" w:after="240"/>
        <w:rPr>
          <w:noProof/>
        </w:rPr>
      </w:pPr>
      <w:r>
        <w:rPr>
          <w:noProof/>
        </w:rPr>
        <w:t>Għal din il-proposta saret valutazzjoni tal-impatt</w:t>
      </w:r>
      <w:r>
        <w:rPr>
          <w:rStyle w:val="FootnoteReference"/>
          <w:noProof/>
        </w:rPr>
        <w:footnoteReference w:id="11"/>
      </w:r>
      <w:r>
        <w:rPr>
          <w:noProof/>
        </w:rPr>
        <w:t>. Fit-22 ta’ Lulju 2016, il-Bord tal-Iskrutinju Regolatorju ta opinjoni pożittiva dwar il-ħsieb li l-valutazzjoni tal-impatt se tkompli tittejjeb</w:t>
      </w:r>
      <w:r>
        <w:rPr>
          <w:rStyle w:val="FootnoteReference"/>
          <w:noProof/>
        </w:rPr>
        <w:footnoteReference w:id="12"/>
      </w:r>
      <w:r>
        <w:rPr>
          <w:noProof/>
        </w:rPr>
        <w:t>. Il-Valutazzjoni tal-Impatt finali tinkludi l-kummenti ta’ din l-opinjoni.</w:t>
      </w:r>
    </w:p>
    <w:p>
      <w:pPr>
        <w:pStyle w:val="Text1"/>
        <w:ind w:left="0"/>
        <w:rPr>
          <w:noProof/>
        </w:rPr>
      </w:pPr>
      <w:r>
        <w:rPr>
          <w:noProof/>
        </w:rPr>
        <w:t>Il-valutazzjoni tal-impatt tistħarreġ żewġ settijiet ta’ alternattivi ta’ politika bil-għan li teħfief l-awtorizzazzjoni tad-drittijiet (i) għat-trażmissjonijiet online tal-programmi tat-televiżjoni u tar-radju; u (ii) għat-trażmissjonijiet mill-ġdid diġitali tal-programmi tat-televiżjoni u tar-radju.</w:t>
      </w:r>
    </w:p>
    <w:p>
      <w:pPr>
        <w:pStyle w:val="Text1"/>
        <w:ind w:left="0"/>
        <w:rPr>
          <w:noProof/>
        </w:rPr>
      </w:pPr>
      <w:r>
        <w:rPr>
          <w:noProof/>
        </w:rPr>
        <w:t>Fejn jidħlu t-trażmissjonijiet online tal-programmi tat-televiżjoni u tar-radju, ġew eżaminati tliet alternattivi ta’ politika minbarra x-xenarju bażi. Alternattiva mhux leġiżlattiva (l-Alternattiva 1), li tikkonsisti fil-promozzjoni ta’ ftehimiet volontarji biex teħfief l-awtorizzazzjoni tad-drittijiet għal ċerti servizzi online tax-xandara, ingħatat il-ġenb għax l-eżitu tagħha hu inċert, jiddependi fuq ir-rieda tal-partijiet konċernati biex jilliċenzjaw id-drittijiet, u ma jiżgurax reġim tal-liċenzjar omoġenju. L-applikazzjoni tal-prinċipju tal-pajjiż tal-oriġini għat-trażmissjonijiet online ġiet eżaminata permezz ta’ żewġ alternattivi leġiżlattivi: bl-Alternattiva 2, il-kamp ta’ applikazzjoni ikun limitat għas-servizzi online tax-xandara li huma anċillari għall-ewwel xandiriet (notevolment is-servizzi tax-xandir simultanju u s-servizzi tar-ripetizzjoni); bl-Alternattiva 3, l-applikazzjoni tiġi estiża għat-trażmissjonijiet online li mhumiex marbutin ma’ xi xandira (is-servizzi tal-webcasting). L-Alternattiva 2 tnaqqas ġmielu l-ispejjeż tat-transazzjoni li jġarrbu x-xandara li huma lesti jagħmlu t-trażmissjonijiet tagħhom disponibbli online u bejn il-fruntieri. Fil-prinċipju, l-Alternattiva 3 għandha testendi dawn il-benefiċċji għall-webcasters; madankollu, meta jitqies li s-suq tal-webcasting għadu fi stadju ta’ żvilupp u li l-operaturi online jistgħu jċaqilqu faċilment l-istabbiliment tagħhom fl-UE, din toħloq ukoll ċerta inċertezza legali għad-detenturi tad-drittijiet u tista’ twassal biex jonqos il-livell tal-protezzjoni. Għalhekk l-Alternattiva 3 ngħatat il-ġenb. L-Alternattiva 2, jiġifieri l-applikazzjoni tal-prinċipju tal-pajjiż tal-oriġini biss għal ċerti servizzi online identifikati sew tax-xandara, tqieset aktar xierqa. Din l-alternattiva tnaqqas l-ispejjeż tat-transazzjoni relatati mat-trażmissjonijiet transfruntieri u għalhekk tiftaħ opportunitajiet ġodda għax-xandara biex joffru s-servizzi online tagħhom bejn il-fruntieri, b’mod partikolari fejn jidħol il-kontenut li ma għandux esklussività territorjali. Din l-alternattiva ma żżommx lid-detenturi tad-drittijiet u lix-xandara milli jkomplu jilliċenzjaw id-drittijiet fuq bażi territorjali, soġġetta għar-rekwiżiti tal-liġi nazzjonali u tal-UE.</w:t>
      </w:r>
    </w:p>
    <w:p>
      <w:pPr>
        <w:pStyle w:val="Body"/>
        <w:rPr>
          <w:noProof/>
        </w:rPr>
      </w:pPr>
      <w:r>
        <w:rPr>
          <w:noProof/>
        </w:rPr>
        <w:t xml:space="preserve">Fejn jidħlu t-trażmissjonijiet mill-ġdid diġitali tal-programmi tat-televiżjoni u tar-radju tqiesu żewġ alternattivi ta’ politika, minbarra x-xenarju bażi. Bl-Alternattiva 1, il-kamp ta’ applikazzjoni tal-immaniġġjar kollettiv obbligatorju tad-drittijiet ikun limitat għas-servizzi tat-trażmissjoni mill-ġdid tal-IPTV u għal servizzi oħrajn tat-trażmissjoni mill-ġdid provduti b’netwerks tal-komunikazzjoni elettronika “magħluqin”, filwaqt li bl-Alternattiva 2 il-kamp ta’ applikazzjoni tal-immaniġġjar kollettiv obbligatorju tad-drittijiet ikun ikopri wkoll is-servizzi tat-trażmissjoni mill-ġdid over-the-top meta dawn jiġu provduti lil għadd definit ta’ utenti. Għalkemm bl-Alternattiva 2 hemm firxa usa’ ta’ servizzi tat-trażmissjoni mill-ġdid li jibbenefikaw minn inqas spejjeż tat-transazzjoni għall-awtorizzazzjoni tad-drittijiet, din iġġib magħha ċerti riskji li jimminaw id-drittijiet online esklussivi tad-detenturi tad-drittijiet u l-istrateġiji tad-distribuzzjoni, u b’hekk jonqos id-dħul mil-liċenzjar. L-Alternattiva 1 ma ppreżentatx dan ir-riskju għax il-biċċa l-kbira tas-servizzi tat-trażmissjoni mill-ġdid provduti b’netwerks tal-komunikazzjoni elettronika “magħluqin” jistrieħu fuq l-infrastrutturi stabbiliti li jkun hemm f’xi territorju partikolari. L-Alternattiva 1 intgħażlet bħala l-alternattiva preferuta. Din mistennija żżid l-għażla tal-konsumaturi mil-lat ta’ servizzi tat-trażmissjoni mill-ġdid tax-xandiriet televiżivi u radjofoniċi minn Stati Membri oħra.  </w:t>
      </w:r>
    </w:p>
    <w:p>
      <w:pPr>
        <w:pStyle w:val="Body"/>
        <w:rPr>
          <w:noProof/>
        </w:rPr>
      </w:pPr>
      <w:r>
        <w:rPr>
          <w:noProof/>
        </w:rPr>
        <w:t>Il-proposta hi mistennija tagħti riżultati pożittivi mil-lat ta’ benefiċċji u spejjeż. Għandhom jonqsu l-ispejjeż tat-transazzjoni assoċjati mal-awtorizzazzjoni tad-drittijiet u b’hekk din l-alternattiva tiffavorixxi għażla aħjar għall-konsumaturi mingħajr ma tolqot ħażin lid-detenturi tad-drittijiet. Barra minn hekk, il-proposta jaf toħloq opportunitajiet ġodda tal-liċenzjar għad-detenturi tad-drittijiet u dħul addizzjonali mil-liċenzjar.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L-idoneità regolatorja u s-simplifikazzjoni</w:t>
      </w:r>
    </w:p>
    <w:p>
      <w:pPr>
        <w:pStyle w:val="Body"/>
        <w:rPr>
          <w:noProof/>
        </w:rPr>
      </w:pPr>
      <w:r>
        <w:rPr>
          <w:noProof/>
        </w:rPr>
        <w:t>Il-proposta se tnaqqas l-ispejjeż tat-transazzjoni li jġarrbu x-xandara tat-televiżjoni u tar-radju kif ukoll il-fornituri tas-servizzi tat-trażmissjoni mill-ġdid, u għalhekk hi pożittiva għall-SMEs attivi f’dan il-qasam. Din mistennija wkoll tkun ta’ benefiċċju għad-detenturi tad-drittijiet, l-aktar għad-detenturi tad-drittijiet individwali, il-mikrointrapriżi u l-SMEs li ma għandhomx il-kapaċità jimmaniġġjaw ftehimiet individwali tal-liċenzjar ma’ għadd kbir ta’ fornituri tas-servizzi f’territorji differenti. Għalhekk jidher li la hemm bżonn eżenzjonijiet għall-mikrokumpaniji u lanqas miżuri ta’ mitigazzjoni favur l-SMEs.</w:t>
      </w:r>
    </w:p>
    <w:p>
      <w:pPr>
        <w:pStyle w:val="Body"/>
        <w:rPr>
          <w:noProof/>
        </w:rPr>
      </w:pPr>
      <w:r>
        <w:rPr>
          <w:noProof/>
        </w:rPr>
        <w:t xml:space="preserve">L-iżviluppi teknoloġiċi l-ġodda ġew eżaminati bir-reqqa u tqiesu f’din il-proposta, li tiffoka fuq it-trażmissjonijiet online u t-trażmissjonijiet mill-ġdid diġitali tal-programmi tat-televiżjoni u tar-radju. Ċerti tipi ta’ servizzi tat-trażmissjoni online u tat-trasmissjoni mill-ġdid tħallew barra mill-kamp ta’ applikazzjoni ta’ din il-proposta, l-aktar minħabba l-inċertezza marbuta mal-iżviluppi attwali fis-suq u n-natura bikrija ta’ ċerti servizzi. 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Id-drittijiet fundamentali</w:t>
      </w:r>
    </w:p>
    <w:p>
      <w:pPr>
        <w:pStyle w:val="Body"/>
        <w:rPr>
          <w:noProof/>
        </w:rPr>
      </w:pPr>
      <w:r>
        <w:rPr>
          <w:noProof/>
        </w:rPr>
        <w:t xml:space="preserve">Il-proposta tistabbilixxi reġimi tal-liċenzjar li japplikaw għal ċerti tipi ta’ trażmissjonijiet online transfruntieri u trażmissjonijiet mill-ġdid b’netwerks magħluqin, u b’hekk se jkollha impatt limitat fuq id-drittijiet tal-awtur bħala dritt tal-proprjetà jew fuq il-libertà ta’ intrapriża, protetti bl-Artikoli 17 u 16 tal-Karta tad-Drittijiet Fundamentali tal-Unjoni Ewropea. Fl-istess ħin, il-proposta se jkollha impatt pożittiv fuq il-libertà tal-espressjoni u tal-informazzjoni, protetta bl-Artikolu 11 tal-Karta, għax din se żżid il-forniment u r-riċeviment transfruntieri tal-programmi tat-televiżjoni u tar-radju li joriġinaw fi Stati Membri oħra. </w:t>
      </w:r>
    </w:p>
    <w:p>
      <w:pPr>
        <w:pStyle w:val="ManualHeading1"/>
        <w:rPr>
          <w:noProof/>
        </w:rPr>
      </w:pPr>
      <w:r>
        <w:rPr>
          <w:noProof/>
        </w:rPr>
        <w:t>4.</w:t>
      </w:r>
      <w:r>
        <w:rPr>
          <w:noProof/>
        </w:rPr>
        <w:tab/>
        <w:t>L-IMPLIKAZZJONIJIET BAĠITARJI</w:t>
      </w:r>
    </w:p>
    <w:p>
      <w:pPr>
        <w:pStyle w:val="Body"/>
        <w:rPr>
          <w:noProof/>
        </w:rPr>
      </w:pPr>
      <w:r>
        <w:rPr>
          <w:noProof/>
        </w:rPr>
        <w:t>Il-proposta ma għandha l-ebda impatt fuq il-baġit tal-Unjoni Ewropea.</w:t>
      </w:r>
    </w:p>
    <w:p>
      <w:pPr>
        <w:pStyle w:val="ManualHeading1"/>
        <w:rPr>
          <w:noProof/>
        </w:rPr>
      </w:pPr>
      <w:r>
        <w:rPr>
          <w:noProof/>
        </w:rPr>
        <w:t>5.</w:t>
      </w:r>
      <w:r>
        <w:rPr>
          <w:noProof/>
        </w:rPr>
        <w:tab/>
        <w:t>ELEMENTI OĦRAJN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Il-pjanijiet ta’ implimentazzjoni u l-arranġamenti għall-monitoraġġ, l-evalwazzjoni u r-rappurtar</w:t>
      </w:r>
    </w:p>
    <w:p>
      <w:pPr>
        <w:pStyle w:val="ManualHeading2"/>
        <w:ind w:left="0" w:firstLine="0"/>
        <w:rPr>
          <w:b w:val="0"/>
          <w:bCs/>
          <w:noProof/>
        </w:rPr>
      </w:pPr>
      <w:r>
        <w:rPr>
          <w:b w:val="0"/>
          <w:noProof/>
        </w:rPr>
        <w:t xml:space="preserve">L-ewwel ġbir tad-dejta għandu jsir meta r-Regolament jidħol fis-seħħ ħalli dan jistabbilixxi l-bażi għall-evalwazzjonijiet futuri. Imbagħad il-proċess tal-monitoraġġ jiffoka fuq il-progress li jkun sar b’rabta mad-disponibbiltà transfruntiera tal-programmi tat-televiżjoni u tar-radju, filwaqt li l-ġbir tad-dejta jsir kull sentejn sa tlieta. </w:t>
      </w:r>
    </w:p>
    <w:p>
      <w:pPr>
        <w:pStyle w:val="Body"/>
        <w:rPr>
          <w:noProof/>
        </w:rPr>
      </w:pPr>
      <w:r>
        <w:rPr>
          <w:noProof/>
        </w:rPr>
        <w:t>B’konformità mal-Artikolu 6 tal-proposta, il-Kummissjoni se tagħmel rieżami tar-Regolament u se tippreżenta rapport fuq is-sejbiet ewlenin lill-Parlament Ewropew, lill-Kunsill u lill-Kumitat Ekonomiku u Soċjali Ewropew. Dak ir-rapport se jkun fih valutazzjoni tal-effetti tar-Regolament fuq l-aċċessibbiltà transfruntiera tas-servizzi online anċillari. Ir-rieżami għandu jsir skont il-Linji Gwida tal-Kummissjoni għal Regolamentazzjoni Aħjar.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Spjegazzjoni fid-dettall tad-dispożizzjonijiet speċifiċi tal-proposta</w:t>
      </w:r>
    </w:p>
    <w:p>
      <w:pPr>
        <w:pStyle w:val="Body"/>
        <w:rPr>
          <w:noProof/>
        </w:rPr>
      </w:pPr>
      <w:r>
        <w:rPr>
          <w:noProof/>
        </w:rPr>
        <w:t xml:space="preserve">L-Artikolu 1 jiddefinixxi s-servizzi koperti bil-miżuri (b’mod partikolari s-“servizzi online anċillari” u s-servizzi tat-“trażmissjoni mill-ġdid”). Dawn id-definizzjonijiet se jiġu applikati b’mod uniformi fl-Unjoni. </w:t>
      </w:r>
    </w:p>
    <w:p>
      <w:pPr>
        <w:pStyle w:val="Body"/>
        <w:rPr>
          <w:noProof/>
        </w:rPr>
      </w:pPr>
      <w:r>
        <w:rPr>
          <w:noProof/>
        </w:rPr>
        <w:t>L-Artikolu 2 jistabbilixxi li l-atti tad-drittijiet tal-awtur li huma rilevanti għall-forniment tas-servizz online anċillari se jseħħu biss fl-Istat Membru fejn hi stabbilita l-organizzazzjoni tax-xandir. Il-kunċett ta’ “stabbiliment ewlieni” ta’ organizzazzjoni tax-xandir ikun b’konformità mal-liġi tal-Unjoni.</w:t>
      </w:r>
    </w:p>
    <w:p>
      <w:pPr>
        <w:pStyle w:val="Body"/>
        <w:rPr>
          <w:noProof/>
        </w:rPr>
      </w:pPr>
      <w:r>
        <w:rPr>
          <w:noProof/>
        </w:rPr>
        <w:t>L-Artikoli 3 u 4 jirregolaw l-eżerċizzju tad-dritt tat-trażmissjoni mill-ġdid li tkopri l-proposta. Dawn jistabbilixxu regoli li huma simili għal dawk stabbiliti fl-Artikoli 9 u 10 tad-Direttiva 93/83/KE fir-rigward tat-trażmissjonijiet mill-ġdid bil-kejbil. L-Artikolu 3 jagħti ċerta diskrezzjoni lill-Istati Membri bħalma jiġri fil-każ tat-trażmissjoni mill-ġdid bil-kejbil skont id-Direttiva 93/83/KE. L-Artikoli 3 u 4 jinkludu dispożizzjonijiet dwar l-immaniġġjar kollettiv obbligatorju tad-drittijiet tal-awtur u ta’ drittijiet relatati li huma rilevanti għat-trażmissjoni mill-ġdid, dwar preżunzjonijiet legali ta’ rappreżentazzjoni mill-organizzazzjonijiet tal-immaniġġjar kollettiv u dwar l-eżerċizzju tal-dritt tat-trażmissjoni mill-ġdid bil-kejbil mill-organizzazzjonijiet tax-xandir.</w:t>
      </w:r>
    </w:p>
    <w:p>
      <w:pPr>
        <w:pStyle w:val="Body"/>
        <w:rPr>
          <w:noProof/>
        </w:rPr>
      </w:pPr>
      <w:r>
        <w:rPr>
          <w:noProof/>
        </w:rPr>
        <w:t>L-Artikolu 5 jistabbilixxi d-dispożizzjonijiet tranżitorji.</w:t>
      </w:r>
    </w:p>
    <w:p>
      <w:pPr>
        <w:pStyle w:val="Body"/>
        <w:rPr>
          <w:noProof/>
        </w:rPr>
      </w:pPr>
      <w:r>
        <w:rPr>
          <w:noProof/>
        </w:rPr>
        <w:t xml:space="preserve">L-Artikolu 6 jipprovdi li l-Kummissjoni għandha twettaq rieżami ta’ dan ir-Regolament u tippreżenta rapport fuq is-sejbiet ewlenin tiegħu. Dan jobbliga lill-Istati Membri biex jipprovdu lill-Kummissjoni l-informazzjoni kollha meħtieġa għat-tħejjija tar-rapport. </w:t>
      </w:r>
    </w:p>
    <w:p>
      <w:pPr>
        <w:pStyle w:val="Body"/>
        <w:rPr>
          <w:noProof/>
        </w:rPr>
      </w:pPr>
      <w:r>
        <w:rPr>
          <w:noProof/>
        </w:rPr>
        <w:t>L-Artikolu 7 jistabbilixxi d-dispożizzjonijiet finali, jiġifieri d-data tad-dħul fis-seħħ tar-Regolament u minn meta għandu japplika.</w:t>
      </w:r>
    </w:p>
    <w:p>
      <w:pPr>
        <w:rPr>
          <w:noProof/>
        </w:rPr>
        <w:sectPr>
          <w:footerReference w:type="default" r:id="rId11"/>
          <w:footerReference w:type="first" r:id="rId12"/>
          <w:pgSz w:w="11907" w:h="16839"/>
          <w:pgMar w:top="1134" w:right="1417" w:bottom="1134" w:left="1417" w:header="709" w:footer="709" w:gutter="0"/>
          <w:pgNumType w:start="1"/>
          <w:cols w:space="708"/>
          <w:docGrid w:linePitch="360"/>
        </w:sectPr>
      </w:pPr>
    </w:p>
    <w:p>
      <w:pPr>
        <w:pStyle w:val="Rfrenceinterinstitutionnelle"/>
        <w:rPr>
          <w:noProof/>
        </w:rPr>
      </w:pPr>
      <w:r>
        <w:rPr>
          <w:noProof/>
        </w:rPr>
        <w:t>2016/0284 (COD)</w:t>
      </w:r>
    </w:p>
    <w:p>
      <w:pPr>
        <w:pStyle w:val="Statut"/>
        <w:rPr>
          <w:noProof/>
        </w:rPr>
      </w:pPr>
      <w:r>
        <w:rPr>
          <w:noProof/>
        </w:rPr>
        <w:t>Proposta għal</w:t>
      </w:r>
    </w:p>
    <w:p>
      <w:pPr>
        <w:pStyle w:val="Typedudocument"/>
        <w:rPr>
          <w:noProof/>
        </w:rPr>
      </w:pPr>
      <w:r>
        <w:rPr>
          <w:noProof/>
        </w:rPr>
        <w:t>REGOLAMENT TAL-PARLAMENT EWROPEW U TAL-KUNSILL</w:t>
      </w:r>
    </w:p>
    <w:p>
      <w:pPr>
        <w:pStyle w:val="Titreobjet"/>
        <w:rPr>
          <w:noProof/>
        </w:rPr>
      </w:pPr>
      <w:r>
        <w:rPr>
          <w:noProof/>
        </w:rPr>
        <w:t>li jistabbilixxi regoli dwar l-eżerċizzju tad-dritt tal-awtur u ta’ drittijiet relatati li japplikaw għal ċerti trażmissjonijiet online tal-organizzazzjonijiet tax-xandir u għal trażmissjonijiet mill-ġdid tal-programmi tat-televiżjoni u tar-radju</w:t>
      </w:r>
    </w:p>
    <w:p>
      <w:pPr>
        <w:pStyle w:val="IntrtEEE"/>
        <w:rPr>
          <w:noProof/>
        </w:rPr>
      </w:pPr>
      <w:r>
        <w:rPr>
          <w:noProof/>
        </w:rPr>
        <w:t>(Test b’rilevanza għaż-ŻEE)</w:t>
      </w:r>
    </w:p>
    <w:p>
      <w:pPr>
        <w:pStyle w:val="Institutionquiagit"/>
        <w:rPr>
          <w:noProof/>
        </w:rPr>
      </w:pPr>
      <w:r>
        <w:rPr>
          <w:noProof/>
        </w:rPr>
        <w:t>IL-PARLAMENT EWROPEW U L-KUNSILL TAL-UNJONI EWROPEA,</w:t>
      </w:r>
    </w:p>
    <w:p>
      <w:pPr>
        <w:rPr>
          <w:noProof/>
        </w:rPr>
      </w:pPr>
      <w:r>
        <w:rPr>
          <w:noProof/>
        </w:rPr>
        <w:t>Wara li kkunsidraw it-Trattat dwar il-Funzjonament tal-Unjoni Ewropea, u b’mod partikolari l-Artikolu 114 tiegħu,</w:t>
      </w:r>
    </w:p>
    <w:p>
      <w:pPr>
        <w:rPr>
          <w:noProof/>
        </w:rPr>
      </w:pPr>
      <w:r>
        <w:rPr>
          <w:noProof/>
        </w:rPr>
        <w:t>Wara li kkunsidraw il-proposta tal-Kummissjoni Ewropea,</w:t>
      </w:r>
    </w:p>
    <w:p>
      <w:pPr>
        <w:rPr>
          <w:noProof/>
        </w:rPr>
      </w:pPr>
      <w:r>
        <w:rPr>
          <w:noProof/>
        </w:rPr>
        <w:t>Wara li l-abbozz tal-att leġiżlattiv intbagħat lill-parlamenti nazzjonali,</w:t>
      </w:r>
    </w:p>
    <w:p>
      <w:pPr>
        <w:rPr>
          <w:noProof/>
        </w:rPr>
      </w:pPr>
      <w:r>
        <w:rPr>
          <w:noProof/>
        </w:rPr>
        <w:t>Wara li kkunsidraw l-opinjoni tal-Kumitat Ekonomiku u Soċjali Ewropew</w:t>
      </w:r>
      <w:r>
        <w:rPr>
          <w:rStyle w:val="FootnoteReference"/>
          <w:noProof/>
        </w:rPr>
        <w:footnoteReference w:id="13"/>
      </w:r>
      <w:r>
        <w:rPr>
          <w:noProof/>
        </w:rPr>
        <w:t xml:space="preserve">, </w:t>
      </w:r>
    </w:p>
    <w:p>
      <w:pPr>
        <w:rPr>
          <w:noProof/>
        </w:rPr>
      </w:pPr>
      <w:r>
        <w:rPr>
          <w:noProof/>
        </w:rPr>
        <w:t>Wara li kkunsidraw l-opinjoni tal-Kumitat tar-Reġjuni</w:t>
      </w:r>
      <w:r>
        <w:rPr>
          <w:rStyle w:val="FootnoteReference"/>
          <w:noProof/>
        </w:rPr>
        <w:footnoteReference w:id="14"/>
      </w:r>
      <w:r>
        <w:rPr>
          <w:noProof/>
        </w:rPr>
        <w:t xml:space="preserve">, </w:t>
      </w:r>
    </w:p>
    <w:p>
      <w:pPr>
        <w:rPr>
          <w:noProof/>
        </w:rPr>
      </w:pPr>
      <w:r>
        <w:rPr>
          <w:noProof/>
        </w:rPr>
        <w:t>Filwaqt li jaġixxu skont il-proċedura leġiżlattiva ordinarja,</w:t>
      </w:r>
    </w:p>
    <w:p>
      <w:pPr>
        <w:rPr>
          <w:noProof/>
        </w:rPr>
      </w:pPr>
      <w:r>
        <w:rPr>
          <w:noProof/>
        </w:rPr>
        <w:t>Billi:</w:t>
      </w:r>
    </w:p>
    <w:p>
      <w:pPr>
        <w:pStyle w:val="ManualConsidrant"/>
        <w:rPr>
          <w:noProof/>
          <w:shd w:val="clear" w:color="auto" w:fill="FFFF00"/>
        </w:rPr>
      </w:pPr>
      <w:r>
        <w:t>(1)</w:t>
      </w:r>
      <w:r>
        <w:tab/>
      </w:r>
      <w:r>
        <w:rPr>
          <w:noProof/>
        </w:rPr>
        <w:t xml:space="preserve">Bħala kontribut għall-funzjonament tas-suq intern, hemm bżonn li jitwessa’ t-tixrid tal-programmi tat-televiżjoni u tar-radju li joriġinaw fi Stati Membri oħra għall-benefiċċju tal-utenti madwar l-Unjoni, billi jeħfief il-liċenzjar tad-drittijiet tal-awtur u ta’ drittijiet relatati għal xogħlijiet u materjal protett ieħor li jkun fihom ix-xandiriet ta’ programmi bħal dawn. Fil-fatt, il-programmi tat-televiżjoni u tar-radju huma mezz importanti li jippromwovi d-diversità kulturali u lingwistika, il-koeżjoni soċjali u l-aċċess għall-informazzjoni. </w:t>
      </w:r>
    </w:p>
    <w:p>
      <w:pPr>
        <w:pStyle w:val="ManualConsidrant"/>
        <w:rPr>
          <w:noProof/>
        </w:rPr>
      </w:pPr>
      <w:r>
        <w:t>(2)</w:t>
      </w:r>
      <w:r>
        <w:tab/>
      </w:r>
      <w:r>
        <w:rPr>
          <w:noProof/>
        </w:rPr>
        <w:t xml:space="preserve">L-iżvilupp tat-teknoloġiji diġitali u l-internet biddlu d-distribuzzjoni tal-programmi tat-televiżjoni u tar-radju u l-aċċess għalihom. Kulma jmur l-utenti qed jistennew dejjem aktar li jkollhom aċċess għall-programmi tat-televiżjoni u tar-radju kemm diretti kif ukoll on-demand, permezz ta’ mezzi tradizzjonali bħas-satellita jew il-kejbil u anki b’servizzi online. Għaldaqstant, minbarra x-xandiriet tagħhom stess tal-programmi tat-televiżjoni u tar-radju, kulma jmur l-organizzazzjonijiet tax-xandir qed joffru dejjem aktar servizzi online anċillari għax-xandir tagħhom, bħalma huma s-servizzi tax-xandir simultanju u s-servizzi tar-ripetizzjoni. L-operaturi tas-servizzi tat-trażmissjoni mill-ġdid li jiġbru l-programmi tat-televiżjoni u tar-radju f’pakketti u jipprovduhom lill-utenti waqt l-ewwel trażmissjoni tax-xandira, mingħajr bidla u mingħajr tqassir, jużaw diversi tekniki tat-trażmissjoni mill-ġdid bħall-kejbil, is-satellita, it-terrestri diġitali, netwerks taċ-ċirkwit magħluqin ibbażati fuq l-IPs jew netwerks mobbli kif ukoll l-internet miftuħ. Min-naħa tal-utenti, kulma jmur qed tiżdied id-domanda għal aċċess għal xandiriet tal-programmi tat-televiżjoni u tar-radju li ma joriġinawx biss fl-Istat Membru tagħhom iżda anki fi Stati Membri oħra tal-UE, fosthom mingħand membri tal-minoranzi lingwistiċi tal-Unjoni u mingħand persuni li jgħixu fi Stat Membru ieħor li mhux l-Istat Membru tal-oriġini tagħhom. </w:t>
      </w:r>
    </w:p>
    <w:p>
      <w:pPr>
        <w:pStyle w:val="ManualConsidrant"/>
        <w:rPr>
          <w:noProof/>
        </w:rPr>
      </w:pPr>
      <w:r>
        <w:t>(3)</w:t>
      </w:r>
      <w:r>
        <w:tab/>
      </w:r>
      <w:r>
        <w:rPr>
          <w:noProof/>
        </w:rPr>
        <w:t xml:space="preserve">Hemm bosta ostakli li jfixklu l-forniment tas-servizzi online anċillari għax-xandiriet u l-forniment tas-servizzi tat-trażmissjoni mill-ġdid, u b’hekk ixekklu l-moviment liberu tal-programmi tat-televiżjoni u tar-radju fi ħdan l-Unjoni. L-organizzazzjonijiet tax-xandir jittrażmettu kuljum ħafna sigħat ta’ aħbarijiet, programmi kulturali, divertenti jew politiċi, jew dokumentarji, Dawn il-programmi jkun fihom varjetà ta’ kontenut bħal xogħol awdjoviżiv, mużikali, letterarju jew grafiku li hu protett bid-drittijiet tal-awtur u/jew bi drittijiet relatati skont il-liġi tal-Unjoni. Dan joħloq proċess kumpless biex tinkiseb l-awtorizzazzjoni tad-drittijiet mingħand għadd kbir ta’ detenturi tad-drittijiet u għal kategoriji differenti ta’ xogħlijiet u ta’ materjal protett ieħor. Ħafna drabi l-awtorizzazzjoni tad-drittijiet tkun meħtieġa fi żmien qasir, b’mod partikolari meta jkunu qed jitħejjew l-aħbarijiet jew programmi tal-ġrajjiet kurrenti. Sabiex is-servizzi tagħhom jagħmluhom disponibbli lil hinn mill-fruntieri, l-organizzazzjonijiet tax-xandir ikollhom bżonn id-drittijiet meħtieġa għal xogħlijiet u materjal protett ieħor għal kull territorju rilevanti u dan iżid il-kumplessità tal-awtorizzazzjoni tad-drittijiet. </w:t>
      </w:r>
    </w:p>
    <w:p>
      <w:pPr>
        <w:pStyle w:val="ManualConsidrant"/>
        <w:rPr>
          <w:noProof/>
          <w:shd w:val="clear" w:color="auto" w:fill="FFFF00"/>
        </w:rPr>
      </w:pPr>
      <w:r>
        <w:t>(4)</w:t>
      </w:r>
      <w:r>
        <w:tab/>
      </w:r>
      <w:r>
        <w:rPr>
          <w:noProof/>
        </w:rPr>
        <w:t xml:space="preserve">L-operaturi tas-servizzi tat-trażmissjoni mill-ġdid, li normalment joffru bosta programmi li jużaw diversi xogħlijiet u materjal protett ieħor li jkunu inklużi fil-programmi tat-televiżjoni u tar-radju trażmessi mill-ġdid, ikollhom żmien qasir ħafna biex jiksbu l-liċenzji meħtieġa u għalhekk ikollhom iġorru piż sinifikanti tal-awtorizzazzjoni tad-drittijiet. Hemm ukoll riskju għad-detenturi tad-drittijiet li x-xogħlijiet tagħhom u materjal protett ieħor tagħhom jiġu sfruttati mingħajr l-awtorizzazzjoni tagħhom jew ħlas lilhom, </w:t>
      </w:r>
    </w:p>
    <w:p>
      <w:pPr>
        <w:pStyle w:val="ManualConsidrant"/>
        <w:rPr>
          <w:rStyle w:val="FootnoteReference1"/>
          <w:noProof/>
          <w:shd w:val="clear" w:color="auto" w:fill="FFFF00"/>
          <w:vertAlign w:val="baseline"/>
        </w:rPr>
      </w:pPr>
      <w:r>
        <w:rPr>
          <w:rStyle w:val="FootnoteReference1"/>
        </w:rPr>
        <w:t>(5)</w:t>
      </w:r>
      <w:r>
        <w:rPr>
          <w:rStyle w:val="FootnoteReference1"/>
        </w:rPr>
        <w:tab/>
      </w:r>
      <w:r>
        <w:rPr>
          <w:noProof/>
        </w:rPr>
        <w:t>Id-drittijiet fejn jidħlu x-xogħlijiet u materjal protett ieħor huma armonizzati, fost l-oħrajn, bid-Direttiva 2001/29/KE tal-Parlament Ewropew u tal-Kunsill</w:t>
      </w:r>
      <w:r>
        <w:rPr>
          <w:rStyle w:val="FootnoteReference"/>
          <w:noProof/>
        </w:rPr>
        <w:footnoteReference w:id="15"/>
      </w:r>
      <w:r>
        <w:rPr>
          <w:noProof/>
        </w:rPr>
        <w:t xml:space="preserve"> u bid-Direttiva 2006/115/KE tal-Parlament Ewropew u tal-Kunsill</w:t>
      </w:r>
      <w:r>
        <w:rPr>
          <w:rStyle w:val="FootnoteReference"/>
          <w:noProof/>
        </w:rPr>
        <w:footnoteReference w:id="16"/>
      </w:r>
      <w:r>
        <w:rPr>
          <w:noProof/>
        </w:rPr>
        <w:t>.</w:t>
      </w:r>
    </w:p>
    <w:p>
      <w:pPr>
        <w:pStyle w:val="ManualConsidrant"/>
        <w:rPr>
          <w:noProof/>
        </w:rPr>
      </w:pPr>
      <w:r>
        <w:t>(6)</w:t>
      </w:r>
      <w:r>
        <w:tab/>
      </w:r>
      <w:r>
        <w:rPr>
          <w:noProof/>
        </w:rPr>
        <w:t>Id-Direttiva 93/83/KEE</w:t>
      </w:r>
      <w:r>
        <w:rPr>
          <w:rStyle w:val="FootnoteReference"/>
          <w:noProof/>
        </w:rPr>
        <w:footnoteReference w:id="17"/>
      </w:r>
      <w:r>
        <w:rPr>
          <w:noProof/>
        </w:rPr>
        <w:t xml:space="preserve"> tiffaċilita x-xandir transfruntier bis-satellita u t-trażmissjoni mill-ġdid bil-kejbil tal-programmi tat-televiżjoni u tar-radju minn Stati Membri oħra tal-Unjoni. Madankollu, id-dispożizzjonijiet ta’ dik id-Direttiva dwar it-trażmissjonijiet tal-organizzazzjonijiet tax-xandir huma limitati għat-trażmissjonijiet bis-satellita u għalhekk ma japplikawx għas-servizzi online anċillari għax-xandir filwaqt li d-dispożizzjonijiet dwar trażmissjonijiet mill-ġdid tal-programmi tat-televiżjoni u tar-radju minn Stati Membri oħra huma limitati għat-trażmissjonijiet mill-ġdid simultanji, mhux mibdulin u mhux imqassrin bil-kejbil jew b’sistemi microwave u ma jestendux għat-trażmissjonijiet mill-ġdid permezz ta’ teknoloġiji oħra. </w:t>
      </w:r>
    </w:p>
    <w:p>
      <w:pPr>
        <w:pStyle w:val="ManualConsidrant"/>
        <w:rPr>
          <w:noProof/>
        </w:rPr>
      </w:pPr>
      <w:r>
        <w:t>(7)</w:t>
      </w:r>
      <w:r>
        <w:tab/>
      </w:r>
      <w:r>
        <w:rPr>
          <w:noProof/>
        </w:rPr>
        <w:t xml:space="preserve">Għalhekk, il-forniment transfruntier tas-servizzi online anċillari għax-xandir u t-trażmissjonijiet mill-ġdid tal-programmi tat-televiżjoni u tar-radju li joriġinaw fi Stati Membri oħra għandhom jeħfiefu billi jiġi adattat il-qafas ġuridiku dwar l-eżerċizzju tad-drittijiet tal-awtur u ta’ drittijiet relatati li huma rilevanti għal dawn l-attivitajiet. </w:t>
      </w:r>
    </w:p>
    <w:p>
      <w:pPr>
        <w:pStyle w:val="ManualConsidrant"/>
        <w:rPr>
          <w:noProof/>
        </w:rPr>
      </w:pPr>
      <w:r>
        <w:t>(8)</w:t>
      </w:r>
      <w:r>
        <w:tab/>
      </w:r>
      <w:r>
        <w:rPr>
          <w:noProof/>
        </w:rPr>
        <w:t xml:space="preserve">Is-servizzi online anċillari li jkopri dan ir-Regolament huma dawk tas-servizzi li joffru l-organizzazzjonijiet tax-xandir li għandhom rabta ċara u subordinata max-xandir. Dawn jinkludu s-servizzi li jagħtu aċċess għall-programmi tat-televiżjoni u tar-radju b’mod lineari u fl-istess waqt tax-xandir u s-servizzi li jagħtu aċċess, fi żmien definit wara x-xandira, għall-programmi tat-televiżjoni u tar-radju li tkun diġà xandret l-organizzazzjoni tax-xandir (l-hekk imsejħa servizzi tar-ripetizzjoni). Barra minn hekk, is-servizzi online anċillari jinkludu s-servizzi li jagħtu aċċess għal materjal li jagħni jew inkella jespandi l-programmi tat-televiżjoni u tar-radju li xandret l-organizzazzjoni tax-xandir, fosthom bi previżjoni, estensjoni, supplimentar jew reviżjoni tal-kontenut tal-programm rilevanti. L-għoti tal-aċċess għal xogħol individwali jew materjal protett ieħor individwi li jkun inkorporat fi programm tat-televiżjoni jew tar-radju ma għandux jitqies bħala servizz online anċillari. Bl-istess mod, l-għoti tal-aċċess għal xogħlijiet jew materjal protett ieħor b’mod indipendenti mix-xandir, bħalma huma s-servizzi li jagħtu aċċess għal xogħlijiet mużikali jew awdjoviżivi individwali, albums tal-mużika jew vidjos, ma jaqax taħt id-definizzjoni ta’ servizz online anċillari. </w:t>
      </w:r>
    </w:p>
    <w:p>
      <w:pPr>
        <w:pStyle w:val="ManualConsidrant"/>
        <w:rPr>
          <w:noProof/>
        </w:rPr>
      </w:pPr>
      <w:r>
        <w:t>(9)</w:t>
      </w:r>
      <w:r>
        <w:tab/>
      </w:r>
      <w:r>
        <w:rPr>
          <w:noProof/>
        </w:rPr>
        <w:t xml:space="preserve">Sabiex teħfief l-awtorizzazzjoni tad-drittijiet għall-forniment tas-servizzi online anċillari bejn il-fruntieri, hemm bżonn jiġi previst it-twaqqif tal-prinċipju tal-pajjiż tal-oriġini fejn jidħol l-eżerċizzju tad-drittijiet tal-awtur u ta’ drittijiet relatati li huma rilevanti għall-atti li jsiru waqt il-forniment tas-servizzi online anċillari, l-aċċess għalihom jew l-użu tagħhom. Il-prinċipju tal-pajjiż tal-oriġini għandu japplika esklussivament għar-rabta bejn id-detenturi tad-drittijiet (jew l-entitajiet li jirrappreżentawhom, bħalma huma l-organizzazzjonijiet tal-immaniġġjar kollettiv) u l-organizzazzjonijiet tax-xandir, u għandu japplika biss għall-fini tal-forniment tas-servizzi online anċillari, tal-aċċess għalihom jew tal-użu tagħhom. Il-prinċipju tal-pajjiż tal-oriġini ma għandux japplika għal xi komunikazzjoni sussegwenti lill-pubbliku jew għal riproduzzjoni tal-kontenut li jkun protett bid-drittijiet tal-awtur jew bi drittijiet relatati u li jkun jinsab fis-servizz online anċillari. </w:t>
      </w:r>
    </w:p>
    <w:p>
      <w:pPr>
        <w:pStyle w:val="ManualConsidrant"/>
        <w:rPr>
          <w:noProof/>
        </w:rPr>
      </w:pPr>
      <w:r>
        <w:t>(10)</w:t>
      </w:r>
      <w:r>
        <w:tab/>
      </w:r>
      <w:r>
        <w:rPr>
          <w:noProof/>
        </w:rPr>
        <w:t xml:space="preserve">Billi l-forniment tas-servizzi online anċillari, l-aċċess għalihom jew l-użu tagħhom jitqiesu li jseħħu biss fl-Istat Membru fejn l-organizzazzjoni tax-xandir għandha l-istabbiliment ewlieni tagħha, filwaqt li </w:t>
      </w:r>
      <w:r>
        <w:rPr>
          <w:i/>
          <w:noProof/>
        </w:rPr>
        <w:t>de facto</w:t>
      </w:r>
      <w:r>
        <w:rPr>
          <w:noProof/>
        </w:rPr>
        <w:t xml:space="preserve"> s-servizzi online anċillari jistgħu jiġu pprovduti bejn il-fruntieri lil Stati Membri oħra, hemm bżonn li jkun żgurat li meta jiġu biex jaslu għall-ammont tal-ħlas li għandu jingħata għad-drittijiet inkwistjoni, il-partijiet għandhom iqisu l-aspetti kollha tas-servizz online anċillari bħall-karatteristiċi tas-servizz, l-udjenza, inkluż l-udjenza fl-Istat Membru fejn l-organizzazzjoni tax-xandir ikollha l-istabbiliment ewlieni tagħha u fi Stati Membri oħra fejn jiġi aċċessat u jintuża s-servizz online anċillari, kif ukoll il-verżjoni tal-lingwa.</w:t>
      </w:r>
    </w:p>
    <w:p>
      <w:pPr>
        <w:pStyle w:val="ManualConsidrant"/>
        <w:rPr>
          <w:noProof/>
          <w:shd w:val="clear" w:color="auto" w:fill="FFFF00"/>
        </w:rPr>
      </w:pPr>
      <w:r>
        <w:t>(11)</w:t>
      </w:r>
      <w:r>
        <w:tab/>
      </w:r>
      <w:r>
        <w:rPr>
          <w:noProof/>
        </w:rPr>
        <w:t>Bil-prinċipju tal-libertà kuntrattwali, se jkun jista’ jibqa’ jiġi limitat l-isfruttament tad-drittijiet milquta mill-prinċipju tal-pajjiż tal-oriġini stabbilit f’dan ir-Regolament, b’mod speċjali fejn jidħlu ċerti mezzi tekniċi tat-trażmissjoni jew ċerti verżjonijiet tal-lingwa, diment li dawn il-limitazzjonijiet fl-isfruttament ta’ dawk id-drittijiet ikunu konformi mal-liġi tal-Unjoni.</w:t>
      </w:r>
    </w:p>
    <w:p>
      <w:pPr>
        <w:pStyle w:val="ManualConsidrant"/>
        <w:rPr>
          <w:noProof/>
        </w:rPr>
      </w:pPr>
      <w:r>
        <w:t>(12)</w:t>
      </w:r>
      <w:r>
        <w:tab/>
      </w:r>
      <w:r>
        <w:rPr>
          <w:noProof/>
        </w:rPr>
        <w:t xml:space="preserve">L-operaturi tas-servizzi tat-trażmissjoni mill-ġdid offruti bis-satelliti, bit-terrestri diġitali, b’netwerks taċ-ċirkwit magħluqin ibbażati fuq l-IPs, b’netwerks mobbli u b’netwerks simili, jipprovdu servizzi li huma ekwivalenti għal dawk li jipprovdu l-operaturi tas-servizzi tat-trażmissjoni mill-ġdid bil-kejbil meta dawn jittrażmettu mill-ġdid l-ewwel trażmissjoni tal-programmi tat-televiżjoni jew tar-radju minn Stat Membru ieħor, b’mod simultanju, b’mod mhux mibdul u b’mod mhux imqassar, biex jaslu għand il-pubbliku, meta din l-ewwel trażmissjoni ssir bil-fili jew fl-ajru, inkluż bis-satellita iżda mhux bit-trażmissjonijiet online, u tkun maħsuba biex tasal għand il-pubbliku. Għaldaqstant dawn għandhom jaqgħu fil-kamp ta’ applikazzjoni ta’ dan ir-Regolament u jibbenefikaw mill-mekkaniżmu li jintroduċi l-immaniġġjar kollettiv obbligatorju tad-drittijiet. Is-servizzi tat-trażmissjoni mill-ġdid li jiġu offruti fuq l-internet miftuħ għandhom jiġu esklużi mill-kamp ta’ applikazzjoni ta’ dan ir-Regolament għax dawn is-servizzi għandhom karatteristiċi differenti. Dawn mhumiex marbutin ma’ xi infrastruttura partikolari u l-kapaċità tagħhom li jiżguraw ambjent ikkontrollat hi limitata meta mqabbla pereżempju mad-distribuzzjoni bil-kejbil jew b’netwerks taċ-ċirkwit magħluqin ibbażati fuq l-IPs.  </w:t>
      </w:r>
    </w:p>
    <w:p>
      <w:pPr>
        <w:pStyle w:val="ManualConsidrant"/>
        <w:rPr>
          <w:noProof/>
        </w:rPr>
      </w:pPr>
      <w:r>
        <w:t>(13)</w:t>
      </w:r>
      <w:r>
        <w:tab/>
      </w:r>
      <w:r>
        <w:rPr>
          <w:noProof/>
        </w:rPr>
        <w:t>Sabiex tingħata ċ-ċertezza legali lill-operaturi tas-servizzi tat-trażmissjoni mill-ġdid offruti bis-satellita, bit-terrestri diġitali, b’netwerks taċ-ċirkwit magħluqin ibbażati fuq l-IPs, b’netwerks mobbli jew b’netwerks simili, u sabiex jingħelbu d-differenzi fil-liġi nazzjonali rigward dawn is-servizzi tat-trażmissjoni mill-ġdid, għandhom japplikaw regoli simili għal dawk li japplikaw għat-trażmissjoni mill-ġdid bil-kejbil kif definit fid-Direttiva 93/83/KEE. Ir-regoli stabbiliti f’dik id-Direttiva jinkludu l-obbligu li jiġi eżerċitat id-dritt li tingħata jew tiġi rrifjutata awtorizzazzjoni lil xi operatur ta’ servizz tat-trażmissjoni mill-ġdid permezz ta’ organizzazzjoni tal-immaniġġjar kollettiv. Dan isir mingħajr preġudizzju għad-Direttiva 2014/26/UE</w:t>
      </w:r>
      <w:r>
        <w:rPr>
          <w:rStyle w:val="FootnoteReference"/>
          <w:noProof/>
        </w:rPr>
        <w:footnoteReference w:id="18"/>
      </w:r>
      <w:r>
        <w:rPr>
          <w:noProof/>
        </w:rPr>
        <w:t xml:space="preserve"> u b’mod partikolari għad-dispożizzjonijiet li għandhom x’jaqsmu mad-drittijiet tad-detenturi tad-drittijiet fejn tidħol l-għażla ta’ organizzazzjoni tal-immaniġġjar kollettiv. </w:t>
      </w:r>
    </w:p>
    <w:p>
      <w:pPr>
        <w:pStyle w:val="ManualConsidrant"/>
        <w:rPr>
          <w:noProof/>
        </w:rPr>
      </w:pPr>
      <w:r>
        <w:t>(14)</w:t>
      </w:r>
      <w:r>
        <w:tab/>
      </w:r>
      <w:r>
        <w:rPr>
          <w:noProof/>
        </w:rPr>
        <w:t xml:space="preserve">Kull dritt miżmum mill-organizzazzjonijiet tax-xandir stess fejn jidħlu x-xandiriet tagħhom, inkluż id-drittijiet fil-kontenut tal-programmi, għandu jiġi eżentat mill-immaniġġjar kollettiv obbligatorju tad-drittijiet applikabbli għat-trażmissjonijiet mill-ġdid. Ġeneralment l-operaturi tas-servizzi tat-trażmissjoni mill-ġdid u l-organizzazzjonijiet tax-xandir ikollhom relazzjonijiet kummerċjali kontinwi tant li l-operaturi tas-servizzi tat-trażmissjoni mill-ġdid ikunu jafu l-identità tal-organizzazzjonijiet tax-xandir, u għalhekk il-ħidma mal-organizzazzjonijiet tax-xandir biex tinkiseb l-awtorizzazzjoni tad-drittijiet hija relattivament sempliċi. B’hekk, biex jiksbu l-liċenzji meħtieġa mingħand l-organizzazzjonijiet tax-xandir, l-operaturi tas-servizzi tat-trażmissjoni mill-ġdid ma jġorrux l-istess piż daqs meta jkunu jridu jiksbu liċenzji mingħand id-detenturi tad-drittijiet tax-xogħlijiet u ta’ materjal protett ieħor li jkunu inklużi fil-programmi tat-televiżjoni u tar-radju trażmessi mill-ġdid. Għalhekk il-proċess tal-liċenzjar ma jeħtieġx simplifikazzjoni fejn jidħlu d-drittijiet miżmuma mill-organizzazzjonijiet tax-xandir. </w:t>
      </w:r>
    </w:p>
    <w:p>
      <w:pPr>
        <w:pStyle w:val="ManualConsidrant"/>
        <w:rPr>
          <w:noProof/>
        </w:rPr>
      </w:pPr>
      <w:r>
        <w:t>(15)</w:t>
      </w:r>
      <w:r>
        <w:tab/>
      </w:r>
      <w:r>
        <w:rPr>
          <w:noProof/>
        </w:rPr>
        <w:t xml:space="preserve">Sabiex tkun evitata ċirkonvenzjoni tal-applikazzjoni tal-prinċipju tal-pajjiż tal-oriġini bl-estensjoni tal-perjodu taż-żmien tal-ftehimiet eżistenti dwar l-eżerċizzju tad-drittijiet tal-awtur u ta’ drittijiet relatati li huma rilevanti għall-forniment tas-servizzi anċillari online, għall-aċċess għalihom jew għall-użu tagħhom, hemm bżonn li l-prinċipju tal-pajjiż tal-oriġini jiġi applikat ukoll għall-ftehimiet eżistenti iżda b’perjodu tranżitorju.  </w:t>
      </w:r>
    </w:p>
    <w:p>
      <w:pPr>
        <w:pStyle w:val="ManualConsidrant"/>
        <w:rPr>
          <w:noProof/>
        </w:rPr>
      </w:pPr>
      <w:r>
        <w:t>(16)</w:t>
      </w:r>
      <w:r>
        <w:tab/>
      </w:r>
      <w:r>
        <w:rPr>
          <w:noProof/>
        </w:rPr>
        <w:t xml:space="preserve">Dan ir-Regolament jirrispetta d-drittijiet fundamentali u josserva l-prinċipji rikonoxxuti fil-Karta tad-Drittijiet Fundamentali tal-Unjoni Ewropea. Filwaqt li jista’ jkun hemm indħil fl-eżerċizzju tad-drittijiet tad-detenturi tad-drittijiet sa fejn l-immaniġġjar kollettiv obbligatorju huwa meħtieġ għall-eżerċizzju tad-dritt tal-komunikazzjoni lill-pubbliku fejn tidħol it-trażmissjoni mill-ġdid, hemm bżonn li din il-kundizzjoni tiġi preskritta b’mod immirat għal servizzi speċifiċi u b’mod li jkun jista’ jsir tixrid usa’ transfruntier tal-programmi tat-televiżjoni u tar-radju billi teħfief l-awtorizzazzjoni ta’ dawn id-drittijiet. </w:t>
      </w:r>
    </w:p>
    <w:p>
      <w:pPr>
        <w:pStyle w:val="ManualConsidrant"/>
        <w:rPr>
          <w:noProof/>
        </w:rPr>
      </w:pPr>
      <w:r>
        <w:t>(17)</w:t>
      </w:r>
      <w:r>
        <w:tab/>
      </w:r>
      <w:r>
        <w:rPr>
          <w:noProof/>
        </w:rPr>
        <w:t xml:space="preserve">Sabiex jintlaħaq l-għan li ssir promozzjoni tal-forniment transfruntier tas-servizzi online anċillari u li teħfief it-trażmissjoni mill-ġdid tal-programmi tat-televiżjoni u tar-radju li joriġinaw fi Stati Membri oħra, jixraq li jiġi adottat Regolament li japplika direttament fl-Istati Membri. Ir-Regolament hemm bżonnu wkoll biex ikun żgurat li ssir applikazzjoni uniformi tar-regoli madwar l-Istati Membri u li dawn jidħlu fis-seħħ fl-istess ħin fejn jidħlu t-trażmissjonijiet u t-trażmissjonijiet mill-ġdid konċernati kollha. L-applikabbiltà diretta tar-Regolament tnaqqas il-frammentazzjoni legali u tipprovdi aktar uniformità billi ddaħħal sett armonizzat ta’ regoli li jippromwovu ċ-ċirkolazzjoni ħielsa tal-programmi tat-televiżjoni u tar-radju li joriġinaw fi Stati Membri oħra. </w:t>
      </w:r>
    </w:p>
    <w:p>
      <w:pPr>
        <w:pStyle w:val="ManualConsidrant"/>
        <w:rPr>
          <w:noProof/>
        </w:rPr>
      </w:pPr>
      <w:r>
        <w:t>(18)</w:t>
      </w:r>
      <w:r>
        <w:tab/>
      </w:r>
      <w:r>
        <w:rPr>
          <w:noProof/>
        </w:rPr>
        <w:t>Wara li r-Regolament ikun ilu fis-seħħ għal perjodu taż-żmien, dan għandu jsirlu rieżami biex jiġi vvalutat, fost l-oħrajn, kemm żdied il-forniment transfruntier tas-servizzi online anċillari għall-benefiċċju tal-konsumaturi Ewropej u b’hekk ukoll għall-benefiċċju li titjieb id-diversità kulturali fl-Unjoni.</w:t>
      </w:r>
    </w:p>
    <w:p>
      <w:pPr>
        <w:pStyle w:val="ManualConsidrant"/>
        <w:rPr>
          <w:noProof/>
        </w:rPr>
      </w:pPr>
      <w:r>
        <w:t>(19)</w:t>
      </w:r>
      <w:r>
        <w:tab/>
      </w:r>
      <w:r>
        <w:rPr>
          <w:noProof/>
        </w:rPr>
        <w:t xml:space="preserve">Billi l-għan ta’ dan ir-Regolament, jiġifieri li ssir promozzjoni tal-forniment transfruntier tas-servizzi online anċillari u li jeħfiefu t-trażmissjonijiet mill-ġdid tal-programmi tat-televiżjoni u tar-radju li joriġinaw fi Stati Membri oħra, ma jistax jintlaħaq biżżejjed mill-Istati Membri, u għalhekk jista’ jintlaħaq aħjar fil-livell tal-Unjoni minħabba l-iskala u l-effetti tiegħu, l-Unjoni tista’ tadotta miżuri b’konformità mal-prinċipju tas-sussidjarjetà kif stabbilit fl-Artikolu 5 tat-Trattat dwar l-Unjoni Ewropea. B’konformità mal-prinċipju tal-proporzjonalità kif stabbilit fl-istess Artikolu, dan ir-Regolament ma jmurx lil hinn minn dak meħtieġ biex jintlaħaq l-għan tiegħu. Fejn jidħol il-forniment transfruntier tas-servizzi online anċillari, dan ir-Regolament jistabbilixxi mekkaniżmi ta’ appoġġ li jiffaċilitaw l-awtorizzazzjoni tad-drittijiet tal-awtur u ta’ drittijiet relatati. Dan ir-Regolament ma jobbligax lill-organizzazzjonijiet tax-xandir biex jipprovdu dawn is-servizzi bejn il-fruntieri. Dan ir-Regolament lanqas ma jobbliga lill-operaturi tas-servizzi tat-trażmissjoni mill-ġdid biex fis-servizzi tagħhom jinkludu programmi tat-televiżjoni jew tar-radju li joriġinaw fi Stati Membri oħra. Dan ir-Regolament jikkonċerna biss l-eżerċizzju ta’ ċerti drittijiet tat-trażmissjoni mill-ġdid sakemm ikun meħtieġ għas-simplifikazzjoni tal-liċenzjar tad-drittijiet tal-awtur u ta’ drittijiet relatati għal dawn is-servizzi, u rigward biss il-programmi tat-televiżjoni u tar-radju li joriġinaw fi Stati Membri oħra tal-Unjoni,  </w:t>
      </w:r>
    </w:p>
    <w:p>
      <w:pPr>
        <w:pStyle w:val="Formuledadoption"/>
        <w:rPr>
          <w:noProof/>
        </w:rPr>
      </w:pPr>
      <w:r>
        <w:rPr>
          <w:noProof/>
        </w:rPr>
        <w:t>ADOTTAW DAN IR-REGOLAMENT:</w:t>
      </w:r>
    </w:p>
    <w:p>
      <w:pPr>
        <w:pStyle w:val="Titrearticle"/>
        <w:rPr>
          <w:i w:val="0"/>
          <w:iCs/>
          <w:noProof/>
        </w:rPr>
      </w:pPr>
      <w:r>
        <w:rPr>
          <w:noProof/>
        </w:rPr>
        <w:t>Artikolu 1</w:t>
      </w:r>
      <w:r>
        <w:rPr>
          <w:noProof/>
        </w:rPr>
        <w:br/>
        <w:t>Definizzjonijiet</w:t>
      </w:r>
    </w:p>
    <w:p>
      <w:pPr>
        <w:tabs>
          <w:tab w:val="left" w:pos="142"/>
        </w:tabs>
        <w:rPr>
          <w:noProof/>
        </w:rPr>
      </w:pPr>
      <w:r>
        <w:rPr>
          <w:noProof/>
        </w:rPr>
        <w:t>Għall-finijiet ta’ dan ir-Regolament, għandhom japplikaw dawn id-definizzjonijiet:</w:t>
      </w:r>
    </w:p>
    <w:p>
      <w:pPr>
        <w:pStyle w:val="Point0letter"/>
        <w:numPr>
          <w:ilvl w:val="1"/>
          <w:numId w:val="6"/>
        </w:numPr>
        <w:rPr>
          <w:noProof/>
        </w:rPr>
      </w:pPr>
      <w:r>
        <w:rPr>
          <w:noProof/>
        </w:rPr>
        <w:t>“servizz online anċillari” tfisser servizz online li jikkonsisti fil-forniment lill-pubbliku, minn organizzazzjoni tax-xandir jew bil-kontroll u bir-responsabbiltà tagħha, ta’ programmi tat-televiżjoni jew tar-radju b’mod simultanju max-xandira tal-organizzazzjoni tax-xandir jew wara perjodu taż-żmien definit mix-xandira, kif ukoll ta’ kull materjal prodott mill-organizzazzjoni tax-xandir jew għaliha li jkun anċillari għal dan ix-xandir;</w:t>
      </w:r>
    </w:p>
    <w:p>
      <w:pPr>
        <w:pStyle w:val="Point0letter"/>
        <w:numPr>
          <w:ilvl w:val="1"/>
          <w:numId w:val="6"/>
        </w:numPr>
        <w:rPr>
          <w:noProof/>
        </w:rPr>
      </w:pPr>
      <w:r>
        <w:rPr>
          <w:noProof/>
        </w:rPr>
        <w:t>“trażmissjoni mill-ġdid” tfisser trażmissjoni mill-ġdid simultanja, mhux mibdula u mhux imqassra, minbarra t-trażmissjoni mill-ġdid bil-kejbil kif definit fid-Direttiva 93/83/KEE u minbarra t-trażmissjoni mill-ġdid provduta b’servizz tal-aċċess għall-internet kif definit fir-Regolament (UE) Nru 2015/2120 tal-Parlament Ewropew u tal-Kunsill</w:t>
      </w:r>
      <w:r>
        <w:rPr>
          <w:rStyle w:val="FootnoteReference"/>
          <w:noProof/>
        </w:rPr>
        <w:footnoteReference w:id="19"/>
      </w:r>
      <w:r>
        <w:rPr>
          <w:noProof/>
        </w:rPr>
        <w:t>, bil-ħsieb li l-pubbliku jirċievi l-ewwel trażmissjoni minn Stat Membru ieħor bil-fili jew fl-arja, inkluż bis-satellita iżda mhux bi trażmissjoni online, tal-programmi tat-televiżjoni jew tar-radju maħsuba biex jaslu għand il-pubbliku, diment li din it-trażmissjoni mill-ġdid tagħmilha parti oħra għajr l-organizzazzjoni tax-xandir li tkun għamlet l-ewwel trażmissjoni jew diment li din it-trażmissjoni tkun saret bil-kontroll u bir-responsabbiltà tagħha.</w:t>
      </w:r>
    </w:p>
    <w:p>
      <w:pPr>
        <w:pStyle w:val="Titrearticle"/>
        <w:keepLines/>
        <w:rPr>
          <w:i w:val="0"/>
          <w:iCs/>
          <w:noProof/>
        </w:rPr>
      </w:pPr>
      <w:r>
        <w:rPr>
          <w:noProof/>
        </w:rPr>
        <w:t>Artikolu 2</w:t>
      </w:r>
      <w:r>
        <w:rPr>
          <w:noProof/>
        </w:rPr>
        <w:br/>
        <w:t>L-applikazzjoni tal-prinċipju tal-pajjiż tal-oriġini għas-servizzi online anċillari</w:t>
      </w:r>
    </w:p>
    <w:p>
      <w:pPr>
        <w:pStyle w:val="Point0number"/>
        <w:numPr>
          <w:ilvl w:val="0"/>
          <w:numId w:val="5"/>
        </w:numPr>
        <w:rPr>
          <w:noProof/>
        </w:rPr>
      </w:pPr>
      <w:r>
        <w:rPr>
          <w:noProof/>
        </w:rPr>
        <w:t xml:space="preserve">L-atti tal-komunikazzjoni lill-pubbliku u tad-disponibbiltà li jseħħu waqt il-forniment tas-servizz online anċillari minn organizzazzjoni tax-xandir jew bil-kontroll u bir-responsabbiltà tagħha kif ukoll l-atti tar-riproduzzjoni li huma meħtieġa għall-forniment tas-servizzi online anċillari, l-aċċess għalihom jew l-użu tagħhom, għall-finijiet tal-eżerċizzju tad-drittijiet tal-awtur u ta’ drittijiet relatati li huma rilevanti għal dawn l-atti, għandhom jitqiesu li qed iseħħu biss fl-Istat Membru fejn l-organizzazzjoni tax-xandir għandha l-istabbiliment ewlieni tagħha.  </w:t>
      </w:r>
    </w:p>
    <w:p>
      <w:pPr>
        <w:pStyle w:val="Point0number"/>
        <w:numPr>
          <w:ilvl w:val="0"/>
          <w:numId w:val="5"/>
        </w:numPr>
        <w:rPr>
          <w:noProof/>
        </w:rPr>
      </w:pPr>
      <w:r>
        <w:rPr>
          <w:noProof/>
        </w:rPr>
        <w:t xml:space="preserve">Meta jiġu biex jiffissaw l-ammont tal-ħlas li għandu jingħata għad-drittijiet skont il-prinċipju tal-pajjiż tal-oriġini kif stabbilit fil-paragrafu 1, il-partijiet għandhom jikkunsidraw l-aspetti kollha tas-servizz online anċillari bħalma huma l-karatteristiċi tas-servizz online anċillari, l-udjenza, u l-verżjoni tal-lingwa. </w:t>
      </w:r>
    </w:p>
    <w:p>
      <w:pPr>
        <w:pStyle w:val="Titrearticle"/>
        <w:keepLines/>
        <w:rPr>
          <w:noProof/>
        </w:rPr>
      </w:pPr>
      <w:r>
        <w:rPr>
          <w:noProof/>
        </w:rPr>
        <w:t>Artikolu 3</w:t>
      </w:r>
      <w:r>
        <w:rPr>
          <w:noProof/>
        </w:rPr>
        <w:br/>
        <w:t>L-eżerċizzju tad-drittijiet fit-trażmissjoni mill-ġdid mid-detenturi tad-drittijiet għajr l-organizzazzjonijiet tax-xandir</w:t>
      </w:r>
    </w:p>
    <w:p>
      <w:pPr>
        <w:pStyle w:val="Point0number"/>
        <w:numPr>
          <w:ilvl w:val="0"/>
          <w:numId w:val="7"/>
        </w:numPr>
        <w:rPr>
          <w:noProof/>
        </w:rPr>
      </w:pPr>
      <w:r>
        <w:rPr>
          <w:noProof/>
        </w:rPr>
        <w:t xml:space="preserve">Id-detenturi tad-drittijiet tal-awtur u ta’ drittijiet relatati għajr l-organizzazzjonijiet tax-xandir jistgħu jeżerċitaw id-drittijiet tagħhom biex jagħtu jew jirrifjutaw l-awtorizzazzjoni għal trażmissjoni mill-ġdid biss permezz ta’ organizzazzjoni tal-immaniġġjar kollettiv. </w:t>
      </w:r>
    </w:p>
    <w:p>
      <w:pPr>
        <w:pStyle w:val="Point0number"/>
        <w:numPr>
          <w:ilvl w:val="0"/>
          <w:numId w:val="7"/>
        </w:numPr>
        <w:rPr>
          <w:noProof/>
        </w:rPr>
      </w:pPr>
      <w:r>
        <w:rPr>
          <w:noProof/>
        </w:rPr>
        <w:t xml:space="preserve">Meta detentur ta’ dritt ma jkunx ittrasferixxa l-immaniġġjar tad-dritt imsemmi fil-paragrafu 1 lil organizzazzjoni tal-immaniġġjar kollettiv, l-organizzazzjoni tal-immaniġġjar kollettiv li timmaniġġja d-drittijiet tal-istess kategorija fit-territorju tal-Istat Membru li għalih l-operatur tas-servizz tat-trażmissjoni mill-ġdid ikun qed jipprova jikseb awtorizzazzjoni tad-drittijiet għal trażmissjoni mill-ġdid, għandha titqies li għandha l-mandat biex timmaniġġja d-dritt f’isem dan id-detentur tad-dritt. </w:t>
      </w:r>
    </w:p>
    <w:p>
      <w:pPr>
        <w:pStyle w:val="Point0number"/>
        <w:numPr>
          <w:ilvl w:val="0"/>
          <w:numId w:val="7"/>
        </w:numPr>
        <w:rPr>
          <w:noProof/>
        </w:rPr>
      </w:pPr>
      <w:r>
        <w:rPr>
          <w:noProof/>
        </w:rPr>
        <w:t>Meta jkun hemm aktar minn organizzazzjoni waħda tal-immaniġġjar kollettiv li tkun qed timmaniġġja d-drittijiet ta’ dik il-kategorija fit-territorju ta’ dak l-Istat Membru, id-detentur tad-drittijiet għandu jkun liberu li jagħżel liema minn dawk l-organizzazzjonijiet tal-immaniġġjar kollettiv għandu jkollha l-mandat li timmaniġġja d-dritt tiegħu. Jekk f’din is-sitwazzjoni, id-detentur tad-dritt ma jagħżel l-ebda organizzazzjoni tal-immaniġġjar kollettiv, għandu jitħalla f’idejn l-Istat Membru li għat-territorju tiegħu l-operatur tas-servizz tat-trażmissjoni mill-ġdid ikun qed jipprova jikseb awtorizzazzjoni tad-drittijiet għal trażmissjoni mill-ġdid, biex jindika liema organizzazzjoni tal-immaniġġjar kollettiv hi meqjusa li għandha l-mandat biex timmaniġġja d-dritt ta’ dak id-detentur tad-dritt.</w:t>
      </w:r>
    </w:p>
    <w:p>
      <w:pPr>
        <w:pStyle w:val="Point0number"/>
        <w:numPr>
          <w:ilvl w:val="0"/>
          <w:numId w:val="7"/>
        </w:numPr>
        <w:rPr>
          <w:noProof/>
        </w:rPr>
      </w:pPr>
      <w:r>
        <w:rPr>
          <w:noProof/>
        </w:rPr>
        <w:t xml:space="preserve">Detentur ta’ dritt għandu jkollu l-istess drittijiet u obbligi li joħorġu mill-ftehim bejn l-operatur tas-servizz tat-trażmissjoni mill-ġdid u l-organizzazzjoni tal-immaniġġjar kollettiv li hi meqjusa li għandha l-mandat biex timmaniġġja d-dritt tiegħu, daqs id-detenturi tad-drittijiet li jkunu taw il-mandat lil dik l-organizzazzjoni tal-immaniġġjar kollettiv, u dan għandu jkun jista’ jinvoka dawk id-drittijiet fi żmien perjodu taż-żmien stabbilit mill-Istat Membru konċernat li ma jkunx iqsar minn tliet snin mid-data tat-trażmissjoni mill-ġdid li tittrażmetti x-xogħol tiegħu jew xi materjal protett ieħor tiegħu. </w:t>
      </w:r>
    </w:p>
    <w:p>
      <w:pPr>
        <w:pStyle w:val="Point0number"/>
        <w:numPr>
          <w:ilvl w:val="0"/>
          <w:numId w:val="7"/>
        </w:numPr>
        <w:rPr>
          <w:noProof/>
        </w:rPr>
      </w:pPr>
      <w:r>
        <w:rPr>
          <w:noProof/>
        </w:rPr>
        <w:t xml:space="preserve">Stat Membru jista’ jipprovdi li, meta detentur ta’ dritt jawtorizza l-ewwel trażmissjoni fit-territorju tiegħu ta’ xogħol jew materjal protett ieħor, dan id-detentur tad-dritt għandu jitqies li jkun qabel li ma jeżerċitax id-drittijiet tiegħu ta’ trażmissjoni mill-ġdid fuq bażi individwali iżda li jeżerċitahom skont id-dispożizzjonijiet ta’ dan ir-Regolament. </w:t>
      </w:r>
    </w:p>
    <w:p>
      <w:pPr>
        <w:pStyle w:val="Titrearticle"/>
        <w:keepLines/>
        <w:rPr>
          <w:i w:val="0"/>
          <w:iCs/>
          <w:noProof/>
        </w:rPr>
      </w:pPr>
      <w:r>
        <w:rPr>
          <w:noProof/>
        </w:rPr>
        <w:t>Artikolu 4</w:t>
      </w:r>
      <w:r>
        <w:rPr>
          <w:noProof/>
        </w:rPr>
        <w:br/>
        <w:t>L-eżerċizzju tad-drittijiet fit-trażmissjoni mill-ġdid mill-organizzazzjonijiet tax-xandir</w:t>
      </w:r>
    </w:p>
    <w:p>
      <w:pPr>
        <w:rPr>
          <w:noProof/>
        </w:rPr>
      </w:pPr>
      <w:r>
        <w:rPr>
          <w:noProof/>
        </w:rPr>
        <w:t xml:space="preserve">L-Artikolu 3 ma japplikax għad-drittijiet eżerċitati minn organizzazzjoni tax-xandir għar-rigward ta’ trażmissjoni tagħha stess, irrispettivament minn jekk id-drittijiet inkwistjoni jkunux tagħha jew ikunux ġew ittrasferiti lilha mingħand detenturi oħrajn tad-drittijiet tal-awtur jew ta’ drittijiet relatati. </w:t>
      </w:r>
    </w:p>
    <w:p>
      <w:pPr>
        <w:pStyle w:val="Titrearticle"/>
        <w:rPr>
          <w:i w:val="0"/>
          <w:iCs/>
          <w:noProof/>
        </w:rPr>
      </w:pPr>
      <w:r>
        <w:rPr>
          <w:noProof/>
        </w:rPr>
        <w:t>Artikolu 5</w:t>
      </w:r>
      <w:r>
        <w:rPr>
          <w:noProof/>
        </w:rPr>
        <w:br/>
        <w:t xml:space="preserve">Dispożizzjoni tranżitorja </w:t>
      </w:r>
    </w:p>
    <w:p>
      <w:pPr>
        <w:rPr>
          <w:noProof/>
        </w:rPr>
      </w:pPr>
      <w:r>
        <w:rPr>
          <w:noProof/>
        </w:rPr>
        <w:t>Il-ftehimiet dwar l-eżerċizzju tad-drittijiet tal-awtur u ta’ drittijiet relatati li huma rilevanti għall-atti tal-komunikazzjoni lill-pubbliku u għall-atti tad-disponibbiltà li jseħħu waqt il-forniment ta’ servizz online anċillari kif ukoll għall-atti tar-riproduzzjoni li huma meħtieġa għall-forniment ta’ servizz online anċillari, l-aċċess għalih jew l-użu tiegħu li jkunu fis-seħħ fi [</w:t>
      </w:r>
      <w:r>
        <w:rPr>
          <w:i/>
          <w:noProof/>
        </w:rPr>
        <w:t>the date mentioned in Article 7(2), to be inserted by OPOCE</w:t>
      </w:r>
      <w:r>
        <w:rPr>
          <w:noProof/>
        </w:rPr>
        <w:t>] għandhom ikunu soġġetti għall-Artikolu 2 minn [</w:t>
      </w:r>
      <w:r>
        <w:rPr>
          <w:i/>
          <w:noProof/>
        </w:rPr>
        <w:t>the date mentioned in Article 7(2) + 2 years, to be inserted by OPOCE</w:t>
      </w:r>
      <w:r>
        <w:rPr>
          <w:noProof/>
        </w:rPr>
        <w:t>], jekk dawn ikunu jiskadu wara dik id-data.</w:t>
      </w:r>
    </w:p>
    <w:p>
      <w:pPr>
        <w:pStyle w:val="Titrearticle"/>
        <w:rPr>
          <w:i w:val="0"/>
          <w:iCs/>
          <w:noProof/>
        </w:rPr>
      </w:pPr>
      <w:r>
        <w:rPr>
          <w:noProof/>
        </w:rPr>
        <w:t>Artikolu 6</w:t>
      </w:r>
      <w:r>
        <w:rPr>
          <w:noProof/>
        </w:rPr>
        <w:br/>
        <w:t>Ir-rieżami</w:t>
      </w:r>
    </w:p>
    <w:p>
      <w:pPr>
        <w:pStyle w:val="Point0number"/>
        <w:numPr>
          <w:ilvl w:val="0"/>
          <w:numId w:val="8"/>
        </w:numPr>
        <w:rPr>
          <w:noProof/>
        </w:rPr>
      </w:pPr>
      <w:r>
        <w:rPr>
          <w:noProof/>
        </w:rPr>
        <w:t>Sa mhux aktar tard minn [</w:t>
      </w:r>
      <w:r>
        <w:rPr>
          <w:i/>
          <w:noProof/>
        </w:rPr>
        <w:t>3 years after the date mentioned in Article 7(2) to be inserted by OPOCE</w:t>
      </w:r>
      <w:r>
        <w:rPr>
          <w:noProof/>
        </w:rPr>
        <w:t xml:space="preserve">], il-Kummissjoni għandha tagħmel rieżami ta’ dan ir-Regolament u tippreżenta rapport fuq is-sejbiet ewlenin lill-Parlament Ewropew, lill-Kunsill u lill-Kumitat Ekonomiku u Soċjali Ewropew. </w:t>
      </w:r>
    </w:p>
    <w:p>
      <w:pPr>
        <w:pStyle w:val="Point0number"/>
        <w:numPr>
          <w:ilvl w:val="0"/>
          <w:numId w:val="8"/>
        </w:numPr>
        <w:rPr>
          <w:noProof/>
        </w:rPr>
      </w:pPr>
      <w:r>
        <w:rPr>
          <w:noProof/>
        </w:rPr>
        <w:t xml:space="preserve">Għat-tħejjija tar-rapport imsemmi fil-paragrafu 1, l-Istati Membri għandhom jipprovdu l-informazzjoni meħtieġa lill-Kummissjoni. </w:t>
      </w:r>
    </w:p>
    <w:p>
      <w:pPr>
        <w:pStyle w:val="Titrearticle"/>
        <w:rPr>
          <w:i w:val="0"/>
          <w:iCs/>
          <w:noProof/>
        </w:rPr>
      </w:pPr>
      <w:r>
        <w:rPr>
          <w:noProof/>
        </w:rPr>
        <w:t>Artikolu 7</w:t>
      </w:r>
      <w:r>
        <w:rPr>
          <w:noProof/>
        </w:rPr>
        <w:br/>
        <w:t>Dispożizzjonijiet finali</w:t>
      </w:r>
    </w:p>
    <w:p>
      <w:pPr>
        <w:ind w:left="709" w:hanging="709"/>
        <w:rPr>
          <w:noProof/>
        </w:rPr>
      </w:pPr>
      <w:r>
        <w:rPr>
          <w:noProof/>
        </w:rPr>
        <w:t>(1)</w:t>
      </w:r>
      <w:r>
        <w:rPr>
          <w:noProof/>
        </w:rPr>
        <w:tab/>
        <w:t>Dan ir-Regolament għandu jidħol fis-seħħ fl-għoxrin jum wara l-pubblikazzjoni tiegħu f’</w:t>
      </w:r>
      <w:r>
        <w:rPr>
          <w:i/>
          <w:noProof/>
        </w:rPr>
        <w:t>Il-Ġurnal Uffiċjali tal-Unjoni Ewropea</w:t>
      </w:r>
      <w:r>
        <w:rPr>
          <w:noProof/>
        </w:rPr>
        <w:t>.</w:t>
      </w:r>
    </w:p>
    <w:p>
      <w:pPr>
        <w:ind w:left="709" w:hanging="709"/>
        <w:rPr>
          <w:noProof/>
        </w:rPr>
      </w:pPr>
      <w:r>
        <w:rPr>
          <w:noProof/>
        </w:rPr>
        <w:t xml:space="preserve">(2) </w:t>
      </w:r>
      <w:r>
        <w:rPr>
          <w:noProof/>
        </w:rPr>
        <w:tab/>
        <w:t>Dan għandu japplika minn [</w:t>
      </w:r>
      <w:r>
        <w:rPr>
          <w:i/>
          <w:noProof/>
        </w:rPr>
        <w:t>6 months</w:t>
      </w:r>
      <w:r>
        <w:rPr>
          <w:noProof/>
        </w:rPr>
        <w:t xml:space="preserve"> </w:t>
      </w:r>
      <w:r>
        <w:rPr>
          <w:i/>
          <w:noProof/>
        </w:rPr>
        <w:t>following the day of its publication, to be inserted by OPOCE</w:t>
      </w:r>
      <w:r>
        <w:rPr>
          <w:noProof/>
        </w:rPr>
        <w:t>].</w:t>
      </w:r>
    </w:p>
    <w:p>
      <w:pPr>
        <w:pStyle w:val="Applicationdirecte"/>
        <w:rPr>
          <w:noProof/>
        </w:rPr>
      </w:pPr>
      <w:r>
        <w:rPr>
          <w:noProof/>
        </w:rPr>
        <w:t>Dan ir-Regolament għandu jorbot fl-intier tiegħu u japplika direttament fl-Istati Membri kollha.</w:t>
      </w:r>
    </w:p>
    <w:p>
      <w:pPr>
        <w:pStyle w:val="Fait"/>
        <w:rPr>
          <w:noProof/>
        </w:rPr>
      </w:pPr>
      <w:r>
        <w:rPr>
          <w:noProof/>
        </w:rPr>
        <w:t>Magħmul fi Brussell,</w:t>
      </w:r>
    </w:p>
    <w:p>
      <w:pPr>
        <w:pStyle w:val="Institutionquisigne"/>
        <w:rPr>
          <w:noProof/>
        </w:rPr>
      </w:pPr>
      <w:r>
        <w:rPr>
          <w:noProof/>
        </w:rPr>
        <w:t>Għall-Parlament Ewropew</w:t>
      </w:r>
      <w:r>
        <w:rPr>
          <w:noProof/>
        </w:rPr>
        <w:tab/>
        <w:t>Għall-Kunsill</w:t>
      </w:r>
    </w:p>
    <w:p>
      <w:pPr>
        <w:pStyle w:val="Personnequisigne"/>
        <w:rPr>
          <w:noProof/>
        </w:rPr>
      </w:pPr>
      <w:r>
        <w:rPr>
          <w:noProof/>
        </w:rPr>
        <w:t>Il-President</w:t>
      </w:r>
      <w:r>
        <w:rPr>
          <w:noProof/>
        </w:rPr>
        <w:tab/>
        <w:t>Il-President</w:t>
      </w:r>
    </w:p>
    <w:sectPr>
      <w:pgSz w:w="11907" w:h="1683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MT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MT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MT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16</w:t>
    </w:r>
    <w:r>
      <w:fldChar w:fldCharType="end"/>
    </w:r>
    <w: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MT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ab/>
      </w:r>
      <w:r>
        <w:rPr>
          <w:rStyle w:val="FootnoteReference"/>
        </w:rPr>
        <w:footnoteRef/>
      </w:r>
      <w:r>
        <w:t>Sors: Il-Eurostat, ‘Community survey on ICT usage in households and by individuals’, 2014.</w:t>
      </w:r>
    </w:p>
  </w:footnote>
  <w:footnote w:id="2">
    <w:p>
      <w:pPr>
        <w:pStyle w:val="FootnoteText"/>
        <w:ind w:left="709" w:hanging="709"/>
      </w:pPr>
      <w:r>
        <w:rPr>
          <w:rStyle w:val="FootnoteReference"/>
        </w:rPr>
        <w:footnoteRef/>
      </w:r>
      <w:r>
        <w:tab/>
        <w:t>Il-kunċett ta’ “ripetizzjoni” fuq it-televiżjoni, meta l-konsumaturi jkunu jistgħu jaraw il-programmi xħin jixtiequ huma, ġeneralment ikun ibbażat fuq awtorizzazzjoni tad-drittijiet għall-ipprogrammar li tkun miftuħa għal żmien limitat, tipikament minn 7 sa 30 jum wara t-trażmissjoni.</w:t>
      </w:r>
    </w:p>
  </w:footnote>
  <w:footnote w:id="3">
    <w:p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>
        <w:tab/>
        <w:t>COM(2015) 192 final.</w:t>
      </w:r>
    </w:p>
  </w:footnote>
  <w:footnote w:id="4">
    <w:p>
      <w:pPr>
        <w:pStyle w:val="FootnoteText"/>
        <w:ind w:left="0" w:firstLine="0"/>
        <w:rPr>
          <w:lang w:val="pt-PT"/>
        </w:rPr>
      </w:pPr>
      <w:r>
        <w:rPr>
          <w:rStyle w:val="FootnoteReference"/>
        </w:rPr>
        <w:footnoteRef/>
      </w:r>
      <w:r>
        <w:tab/>
        <w:t>COM(2015) 627 final.</w:t>
      </w:r>
    </w:p>
  </w:footnote>
  <w:footnote w:id="5">
    <w:p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>
        <w:tab/>
        <w:t>ĠU L 95, 15.4.2010, p. 1-24.</w:t>
      </w:r>
    </w:p>
  </w:footnote>
  <w:footnote w:id="6">
    <w:p>
      <w:pPr>
        <w:pStyle w:val="FootnoteText"/>
      </w:pPr>
      <w:r>
        <w:rPr>
          <w:rStyle w:val="FootnoteReference"/>
        </w:rPr>
        <w:footnoteRef/>
      </w:r>
      <w:r>
        <w:tab/>
      </w:r>
      <w:r>
        <w:rPr>
          <w:rStyle w:val="FootnoteReference"/>
        </w:rPr>
        <w:footnoteRef/>
      </w:r>
      <w:r>
        <w:t xml:space="preserve">Ara l-Evalwazzjoni (REFIT) </w:t>
      </w:r>
      <w:r>
        <w:rPr>
          <w:i/>
        </w:rPr>
        <w:t>ex-post</w:t>
      </w:r>
      <w:r>
        <w:t xml:space="preserve"> tad-Direttiva dwar is-Servizzi bil-Kejbil u bis-Satellita (id-Direttiva 93/83/KEE).</w:t>
      </w:r>
    </w:p>
  </w:footnote>
  <w:footnote w:id="7">
    <w:p>
      <w:pPr>
        <w:pStyle w:val="FootnoteText"/>
        <w:ind w:left="709" w:hanging="709"/>
      </w:pPr>
      <w:r>
        <w:rPr>
          <w:rStyle w:val="FootnoteReference"/>
        </w:rPr>
        <w:footnoteRef/>
      </w:r>
      <w:r>
        <w:tab/>
        <w:t xml:space="preserve">Ara r-Rapport fil-Qosor fuq ir-Rispons għall-Konsultazzjoni Pubblika dwar ir-Rieżami tad-Direttiva dwar is-Servizzi bil-Kejbil u bis-Satellita </w:t>
      </w:r>
      <w:hyperlink r:id="rId1">
        <w:r>
          <w:rPr>
            <w:rStyle w:val="Link"/>
          </w:rPr>
          <w:t>https://ec.europa.eu/digital-single-market/en/news/full-report-public-consultation-review-eu-satellite-and-cable-directive</w:t>
        </w:r>
      </w:hyperlink>
    </w:p>
  </w:footnote>
  <w:footnote w:id="8">
    <w:p>
      <w:pPr>
        <w:pStyle w:val="FootnoteText"/>
      </w:pPr>
      <w:r>
        <w:rPr>
          <w:rStyle w:val="FootnoteReference"/>
        </w:rPr>
        <w:footnoteRef/>
      </w:r>
      <w:r>
        <w:tab/>
      </w:r>
      <w:r>
        <w:rPr>
          <w:rStyle w:val="FootnoteReference"/>
        </w:rPr>
        <w:footnoteRef/>
      </w:r>
      <w:r>
        <w:t xml:space="preserve">Studju fuq l-applikazzjoni tad-Direttiva 2001/29/KE dwar id-drittijiet tal-awtur u drittijiet relatati fis-soċjetà tal-informazzjoni (b’mod partikolari ara l-parti dwar ir-“retransmission of copyright-protected content in digital networks”, jiġifieri dwar it-trażmissjoni mill-ġdid ta’ kontenut protett bid-drittijiet tal-awtur fin-netwerks diġitali): </w:t>
      </w:r>
      <w:hyperlink r:id="rId2">
        <w:r>
          <w:rPr>
            <w:rStyle w:val="Link"/>
          </w:rPr>
          <w:t>http://ec.europa.eu/internal_market/copyright/studies/index_en.htm</w:t>
        </w:r>
      </w:hyperlink>
      <w:r>
        <w:t xml:space="preserve">; </w:t>
      </w:r>
    </w:p>
    <w:p>
      <w:pPr>
        <w:pStyle w:val="FootnoteText"/>
      </w:pPr>
      <w:r>
        <w:tab/>
        <w:t xml:space="preserve">Studju dwar id-dritt tad-disponibbiltà u r-rabta tiegħu mad-dritt tar-riproduzzjoni għal trażmissjonijiet diġitali transfruntieri: </w:t>
      </w:r>
      <w:hyperlink r:id="rId3">
        <w:r>
          <w:rPr>
            <w:rStyle w:val="Link"/>
          </w:rPr>
          <w:t>http://ec.europa.eu/internal_market/copyright/docs/studies/141219-study_en.pdf</w:t>
        </w:r>
      </w:hyperlink>
    </w:p>
  </w:footnote>
  <w:footnote w:id="9">
    <w:p>
      <w:pPr>
        <w:pStyle w:val="FootnoteText"/>
      </w:pPr>
      <w:r>
        <w:rPr>
          <w:rStyle w:val="FootnoteReference"/>
        </w:rPr>
        <w:footnoteRef/>
      </w:r>
      <w:r>
        <w:tab/>
      </w:r>
      <w:r>
        <w:rPr>
          <w:rStyle w:val="FootnoteReference"/>
        </w:rPr>
        <w:footnoteRef/>
      </w:r>
      <w:r>
        <w:t>Analiżi Ekonomika tat-Territorjalità tad-Dritt tad-Disponibbiltà fl-UE: http://ec.europa.eu/internal_market/copyright/docs/studies/1403_study1_en.pdf</w:t>
      </w:r>
    </w:p>
  </w:footnote>
  <w:footnote w:id="10">
    <w:p>
      <w:pPr>
        <w:pStyle w:val="FootnoteText"/>
      </w:pPr>
      <w:r>
        <w:rPr>
          <w:rStyle w:val="FootnoteReference"/>
        </w:rPr>
        <w:footnoteRef/>
      </w:r>
      <w:r>
        <w:tab/>
        <w:t>Stħarriġ u ġbir tad-dejta li jappoġġaw l-evalwazzjoni tad-Direttiva 93/83/KEE dwar is-Servizzi bil-Kejbil u bis-Satellita u l-valutazzjoni tal-eventwali estensjoni tagħha, 2016 [</w:t>
      </w:r>
      <w:r>
        <w:rPr>
          <w:i/>
        </w:rPr>
        <w:t>Add reference when published</w:t>
      </w:r>
      <w:r>
        <w:t xml:space="preserve">]. </w:t>
      </w:r>
    </w:p>
  </w:footnote>
  <w:footnote w:id="11">
    <w:p>
      <w:pPr>
        <w:pStyle w:val="FootnoteText"/>
      </w:pPr>
      <w:r>
        <w:rPr>
          <w:rStyle w:val="FootnoteReference"/>
        </w:rPr>
        <w:footnoteRef/>
      </w:r>
      <w:r>
        <w:tab/>
      </w:r>
      <w:r>
        <w:rPr>
          <w:rStyle w:val="FootnoteReference"/>
        </w:rPr>
        <w:footnoteRef/>
      </w:r>
      <w:r>
        <w:t>[</w:t>
      </w:r>
      <w:r>
        <w:rPr>
          <w:i/>
        </w:rPr>
        <w:t>Add link to IA and Executive Summary</w:t>
      </w:r>
      <w:r>
        <w:t>]</w:t>
      </w:r>
    </w:p>
  </w:footnote>
  <w:footnote w:id="12">
    <w:p>
      <w:pPr>
        <w:pStyle w:val="FootnoteText"/>
      </w:pPr>
      <w:r>
        <w:rPr>
          <w:rStyle w:val="FootnoteReference"/>
        </w:rPr>
        <w:footnoteRef/>
      </w:r>
      <w:r>
        <w:tab/>
      </w:r>
      <w:r>
        <w:rPr>
          <w:rStyle w:val="FootnoteReference"/>
        </w:rPr>
        <w:footnoteRef/>
      </w:r>
      <w:r>
        <w:t>[</w:t>
      </w:r>
      <w:r>
        <w:rPr>
          <w:i/>
        </w:rPr>
        <w:t>Add link to RSB opinion</w:t>
      </w:r>
      <w:r>
        <w:t>]</w:t>
      </w:r>
    </w:p>
  </w:footnote>
  <w:footnote w:id="13">
    <w:p>
      <w:pPr>
        <w:pStyle w:val="FootnoteText"/>
      </w:pPr>
      <w:r>
        <w:rPr>
          <w:rStyle w:val="FootnoteReference"/>
        </w:rPr>
        <w:footnoteRef/>
      </w:r>
      <w:r>
        <w:tab/>
        <w:t>ĠU C , , p. .</w:t>
      </w:r>
    </w:p>
  </w:footnote>
  <w:footnote w:id="14">
    <w:p>
      <w:pPr>
        <w:pStyle w:val="FootnoteText"/>
      </w:pPr>
      <w:r>
        <w:rPr>
          <w:rStyle w:val="FootnoteReference"/>
        </w:rPr>
        <w:footnoteRef/>
      </w:r>
      <w:r>
        <w:tab/>
        <w:t>ĠU C , , p. .</w:t>
      </w:r>
    </w:p>
  </w:footnote>
  <w:footnote w:id="15">
    <w:p>
      <w:pPr>
        <w:pStyle w:val="FootnoteText"/>
      </w:pPr>
      <w:r>
        <w:rPr>
          <w:rStyle w:val="FootnoteReference"/>
        </w:rPr>
        <w:footnoteRef/>
      </w:r>
      <w:r>
        <w:tab/>
        <w:t>Id-Direttiva 2001/29/KE tal-Parlament Ewropew u tal-Kunsill tat-22 ta’ Mejju 2001 dwar l-armonizzazzjoni ta’ ċerti aspetti ta’ drittijiet tal-awtur u drittijiet relatati fis-soċjetà tal-informazzjoni, ĠU L 167, 22.6.2001, p. 10-19.</w:t>
      </w:r>
    </w:p>
  </w:footnote>
  <w:footnote w:id="16">
    <w:p>
      <w:pPr>
        <w:pStyle w:val="FootnoteText"/>
      </w:pPr>
      <w:r>
        <w:rPr>
          <w:rStyle w:val="FootnoteReference"/>
        </w:rPr>
        <w:footnoteRef/>
      </w:r>
      <w:r>
        <w:tab/>
      </w:r>
      <w:r>
        <w:rPr>
          <w:rStyle w:val="FootnoteReference"/>
        </w:rPr>
        <w:footnoteRef/>
      </w:r>
      <w:r>
        <w:t>Id-Direttiva 2006/115/KE tal-Parlament Ewropew u tal-Kunsill tat-12 ta’ Diċembru 2006 dwar dritt ta’ kiri u dritt ta’ self u dwar ċerti drittijiet relatati mad-drittijiet tal-awtur fil-qasam tal-proprjetà intellettwali (verżjoni kodifikata), ĠU L 376, 27.12.2006, p. 28-35.</w:t>
      </w:r>
    </w:p>
  </w:footnote>
  <w:footnote w:id="17">
    <w:p>
      <w:pPr>
        <w:pStyle w:val="FootnoteText"/>
      </w:pPr>
      <w:r>
        <w:rPr>
          <w:rStyle w:val="FootnoteReference"/>
        </w:rPr>
        <w:footnoteRef/>
      </w:r>
      <w:r>
        <w:tab/>
        <w:t>Id-Direttiva tal-Kunsill 93/83/KEE tas-27 ta’ Settembru 1993 dwar il-koordinazzjoni ta’ ċerti regoli dwar id-drittijiet tal-awtur u drittijiet relatati ma’ drittijiet tal-awtur applikabbli għal xandir bis-satellita u ritrażmissjoni bil-cable, ĠU L 248, 6.10.1993, p. 15-21.</w:t>
      </w:r>
    </w:p>
  </w:footnote>
  <w:footnote w:id="18">
    <w:p>
      <w:pPr>
        <w:pStyle w:val="FootnoteText"/>
      </w:pPr>
      <w:r>
        <w:rPr>
          <w:rStyle w:val="FootnoteReference"/>
        </w:rPr>
        <w:footnoteRef/>
      </w:r>
      <w:r>
        <w:tab/>
        <w:t>Id-Direttiva 2014/26/UE tal-Parlament Ewropew u tal-Kunsill tas-26 ta’ Frar 2014 dwar l-immaniġġjar kollettiv tad-drittijiet tal-awtur u drittijiet relatati u ħruġ ta’ liċenzji multiterritorjali ta’ drittijiet f’xogħlijiet mużikali għall-użu onlajn fis-suq intern, ĠU L 84, 20.3.2014, p. 72-98.</w:t>
      </w:r>
    </w:p>
  </w:footnote>
  <w:footnote w:id="19">
    <w:p>
      <w:pPr>
        <w:pStyle w:val="FootnoteText"/>
      </w:pPr>
      <w:r>
        <w:rPr>
          <w:rStyle w:val="FootnoteReference"/>
        </w:rPr>
        <w:footnoteRef/>
      </w:r>
      <w:r>
        <w:tab/>
        <w:t>Ir-Regolament (UE) 2015/2120 tal-Parlament Ewropew u tal-Kunsill tal-25 ta’ Novembru 2015 li jistabbilixxi miżuri dwar aċċess għal internet miftuħ u li jemenda d-Direttiva 2002/22/KE dwar servizz universali u d-drittijiet tal-utenti li jirrelataw ma’ netwerks u servizzi ta’ komunikazzjonijiet elettroniċi u r-Regolament (UE) Nru 531/2012 dwar roaming fuq netwerks pubbliċi ta’ komunikazzjoni mobbli fi ħdan l-Unjoni, ĠU L 310, 26.11.2015, p. 1.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7F02F72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78FA9D7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6E84273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F2BA63F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AAEA82A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4E4AF88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AA7E57C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B57E1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</w:num>
  <w:num w:numId="10">
    <w:abstractNumId w:val="6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12"/>
  </w:num>
  <w:num w:numId="16">
    <w:abstractNumId w:val="20"/>
  </w:num>
  <w:num w:numId="17">
    <w:abstractNumId w:val="11"/>
  </w:num>
  <w:num w:numId="18">
    <w:abstractNumId w:val="13"/>
  </w:num>
  <w:num w:numId="19">
    <w:abstractNumId w:val="9"/>
  </w:num>
  <w:num w:numId="20">
    <w:abstractNumId w:val="19"/>
  </w:num>
  <w:num w:numId="21">
    <w:abstractNumId w:val="8"/>
  </w:num>
  <w:num w:numId="22">
    <w:abstractNumId w:val="14"/>
  </w:num>
  <w:num w:numId="23">
    <w:abstractNumId w:val="16"/>
  </w:num>
  <w:num w:numId="24">
    <w:abstractNumId w:val="17"/>
  </w:num>
  <w:num w:numId="25">
    <w:abstractNumId w:val="10"/>
  </w:num>
  <w:num w:numId="26">
    <w:abstractNumId w:val="15"/>
  </w:num>
  <w:num w:numId="27">
    <w:abstractNumId w:val="21"/>
  </w:num>
  <w:num w:numId="28">
    <w:abstractNumId w:val="18"/>
  </w:num>
  <w:num w:numId="29">
    <w:abstractNumId w:val="12"/>
  </w:num>
  <w:num w:numId="30">
    <w:abstractNumId w:val="20"/>
  </w:num>
  <w:num w:numId="31">
    <w:abstractNumId w:val="11"/>
  </w:num>
  <w:num w:numId="32">
    <w:abstractNumId w:val="13"/>
  </w:num>
  <w:num w:numId="33">
    <w:abstractNumId w:val="9"/>
  </w:num>
  <w:num w:numId="34">
    <w:abstractNumId w:val="19"/>
  </w:num>
  <w:num w:numId="35">
    <w:abstractNumId w:val="8"/>
  </w:num>
  <w:num w:numId="36">
    <w:abstractNumId w:val="14"/>
  </w:num>
  <w:num w:numId="37">
    <w:abstractNumId w:val="16"/>
  </w:num>
  <w:num w:numId="38">
    <w:abstractNumId w:val="17"/>
  </w:num>
  <w:num w:numId="39">
    <w:abstractNumId w:val="10"/>
  </w:num>
  <w:num w:numId="40">
    <w:abstractNumId w:val="15"/>
  </w:num>
  <w:num w:numId="41">
    <w:abstractNumId w:val="2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hideSpellingErrors/>
  <w:hideGrammaticalErrors/>
  <w:attachedTemplate r:id="rId1"/>
  <w:revisionView w:markup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PAGE_EXISTS" w:val="True"/>
    <w:docVar w:name="DQCDateTime" w:val="2016-10-04 11:04:32"/>
    <w:docVar w:name="DQCResult_Distribution" w:val="0;1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8"/>
    <w:docVar w:name="DQCResult_ModifiedMarkers" w:val="0;0"/>
    <w:docVar w:name="DQCResult_ModifiedNumbering" w:val="0;0"/>
    <w:docVar w:name="DQCResult_Objects" w:val="0;0"/>
    <w:docVar w:name="DQCResult_Sections" w:val="0;1"/>
    <w:docVar w:name="DQCResult_StructureCheck" w:val="0;0"/>
    <w:docVar w:name="DQCResult_SuperfluousWhitespace" w:val="0;6"/>
    <w:docVar w:name="DQCResult_UnknownFonts" w:val="0;0"/>
    <w:docVar w:name="DQCResult_UnknownStyles" w:val="0;37"/>
    <w:docVar w:name="DQCStatus" w:val="Green"/>
    <w:docVar w:name="DQCVersion" w:val="3"/>
    <w:docVar w:name="DQCWithWarnings" w:val="0"/>
    <w:docVar w:name="LW_CONFIDENCE" w:val=" "/>
    <w:docVar w:name="LW_CONST_RESTREINT_UE" w:val="RESTREINT UE"/>
    <w:docVar w:name="LW_CORRIGENDUM" w:val="&lt;UNUSED&gt;"/>
    <w:docVar w:name="LW_COVERPAGE_GUID" w:val="5FB725FECE0E4EB4A09B5788AEEC6596"/>
    <w:docVar w:name="LW_CROSSREFERENCE" w:val="{SWD(2016) 301 final}_x000b_{SWD(2016) 302 final}"/>
    <w:docVar w:name="LW_DocType" w:val="COM"/>
    <w:docVar w:name="LW_EMISSION" w:val="14.9.2016"/>
    <w:docVar w:name="LW_EMISSION_ISODATE" w:val="2016-09-14"/>
    <w:docVar w:name="LW_EMISSION_LOCATION" w:val="BRX"/>
    <w:docVar w:name="LW_EMISSION_PREFIX" w:val="Brussell, "/>
    <w:docVar w:name="LW_EMISSION_SUFFIX" w:val=" "/>
    <w:docVar w:name="LW_ID_DOCMODEL" w:val="SJ-023"/>
    <w:docVar w:name="LW_ID_DOCSIGNATURE" w:val="SJ-023"/>
    <w:docVar w:name="LW_ID_DOCSTRUCTURE" w:val="COM/PL/ORG"/>
    <w:docVar w:name="LW_ID_DOCTYPE" w:val="SJ-023"/>
    <w:docVar w:name="LW_ID_STATUT" w:val="SJ-023"/>
    <w:docVar w:name="LW_INTERETEEE.CP" w:val="(Test b\u8217?rilevanza g\u295?a\u380?-\u379?EE)"/>
    <w:docVar w:name="LW_LANGUE" w:val="MT"/>
    <w:docVar w:name="LW_MARKING" w:val="&lt;UNUSED&gt;"/>
    <w:docVar w:name="LW_NOM.INST" w:val="IL-KUMMISSJONI EWROPEA"/>
    <w:docVar w:name="LW_NOM.INST_JOINTDOC" w:val="&lt;EMPTY&gt;"/>
    <w:docVar w:name="LW_PART_NBR" w:val="1"/>
    <w:docVar w:name="LW_PART_NBR_TOTAL" w:val="1"/>
    <w:docVar w:name="LW_REF.II.NEW.CP" w:val="COD"/>
    <w:docVar w:name="LW_REF.II.NEW.CP_NUMBER" w:val="0284"/>
    <w:docVar w:name="LW_REF.II.NEW.CP_YEAR" w:val="2016"/>
    <w:docVar w:name="LW_REF.INST.NEW" w:val="COM"/>
    <w:docVar w:name="LW_REF.INST.NEW_ADOPTED" w:val="final"/>
    <w:docVar w:name="LW_REF.INST.NEW_TEXT" w:val="(2016) 594"/>
    <w:docVar w:name="LW_REF.INTERNE" w:val="&lt;UNUSED&gt;"/>
    <w:docVar w:name="LW_SOUS.TITRE.OBJ.CP" w:val="&lt;UNUSED&gt;"/>
    <w:docVar w:name="LW_STATUT.CP" w:val="Proposta g\u295?al"/>
    <w:docVar w:name="LW_SUPERTITRE" w:val="&lt;UNUSED&gt;"/>
    <w:docVar w:name="LW_TITRE.OBJ.CP" w:val="li jistabbilixxi regoli dwar l-e\u380?er\u267?izzju tad-dritt tal-awtur u ta\u8217? drittijiet relatati li japplikaw g\u295?al \u267?erti tra\u380?missjonijiet online tal-organizzazzjonijiet tax-xandir u g\u295?al tra\u380?missjonijiet mill-\u289?did tal-programmi tat-televi\u380?joni u tar-radju"/>
    <w:docVar w:name="LW_TYPE.DOC.CP" w:val="REGOLAMENT TAL-PARLAMENT EWROPEW U TAL-KUNSILL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t-MT" w:eastAsia="mt-MT" w:bidi="mt-MT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34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34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34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34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Link">
    <w:name w:val="Link"/>
    <w:rPr>
      <w:color w:val="0000FF"/>
      <w:u w:val="single" w:color="0000FF"/>
      <w:lang w:val="mt-MT"/>
    </w:rPr>
  </w:style>
  <w:style w:type="character" w:customStyle="1" w:styleId="FootnoteReference1">
    <w:name w:val="Footnote Reference1"/>
    <w:aliases w:val="Footnote Reference Superscript,BVI fnr,Footnote symbol,Footnote,FR + (Complex) Arial,(Latin) 9 pt,(Complex) 10 pt + (Compl...,Nota,Appel note de bas de p,SUPERS,Footnotemark,FR,Footnotemark1,Footnotemark2,FR1,Footnotemark3,FR2,F"/>
    <w:rPr>
      <w:vertAlign w:val="superscript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13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mt-M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mt-MT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mt-MT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28"/>
      </w:numPr>
    </w:pPr>
  </w:style>
  <w:style w:type="paragraph" w:customStyle="1" w:styleId="Tiret1">
    <w:name w:val="Tiret 1"/>
    <w:basedOn w:val="Point1"/>
    <w:pPr>
      <w:numPr>
        <w:numId w:val="29"/>
      </w:numPr>
    </w:pPr>
  </w:style>
  <w:style w:type="paragraph" w:customStyle="1" w:styleId="Tiret2">
    <w:name w:val="Tiret 2"/>
    <w:basedOn w:val="Point2"/>
    <w:pPr>
      <w:numPr>
        <w:numId w:val="30"/>
      </w:numPr>
    </w:pPr>
  </w:style>
  <w:style w:type="paragraph" w:customStyle="1" w:styleId="Tiret3">
    <w:name w:val="Tiret 3"/>
    <w:basedOn w:val="Point3"/>
    <w:pPr>
      <w:numPr>
        <w:numId w:val="31"/>
      </w:numPr>
    </w:pPr>
  </w:style>
  <w:style w:type="paragraph" w:customStyle="1" w:styleId="Tiret4">
    <w:name w:val="Tiret 4"/>
    <w:basedOn w:val="Point4"/>
    <w:pPr>
      <w:numPr>
        <w:numId w:val="32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33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33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33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33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5"/>
      </w:numPr>
    </w:pPr>
  </w:style>
  <w:style w:type="paragraph" w:customStyle="1" w:styleId="Point1number">
    <w:name w:val="Point 1 (number)"/>
    <w:basedOn w:val="Normal"/>
    <w:pPr>
      <w:numPr>
        <w:ilvl w:val="2"/>
        <w:numId w:val="35"/>
      </w:numPr>
    </w:pPr>
  </w:style>
  <w:style w:type="paragraph" w:customStyle="1" w:styleId="Point2number">
    <w:name w:val="Point 2 (number)"/>
    <w:basedOn w:val="Normal"/>
    <w:pPr>
      <w:numPr>
        <w:ilvl w:val="4"/>
        <w:numId w:val="35"/>
      </w:numPr>
    </w:pPr>
  </w:style>
  <w:style w:type="paragraph" w:customStyle="1" w:styleId="Point3number">
    <w:name w:val="Point 3 (number)"/>
    <w:basedOn w:val="Normal"/>
    <w:pPr>
      <w:numPr>
        <w:ilvl w:val="6"/>
        <w:numId w:val="35"/>
      </w:numPr>
    </w:pPr>
  </w:style>
  <w:style w:type="paragraph" w:customStyle="1" w:styleId="Point0letter">
    <w:name w:val="Point 0 (letter)"/>
    <w:basedOn w:val="Normal"/>
    <w:pPr>
      <w:numPr>
        <w:ilvl w:val="1"/>
        <w:numId w:val="35"/>
      </w:numPr>
    </w:pPr>
  </w:style>
  <w:style w:type="paragraph" w:customStyle="1" w:styleId="Point1letter">
    <w:name w:val="Point 1 (letter)"/>
    <w:basedOn w:val="Normal"/>
    <w:pPr>
      <w:numPr>
        <w:ilvl w:val="3"/>
        <w:numId w:val="35"/>
      </w:numPr>
    </w:pPr>
  </w:style>
  <w:style w:type="paragraph" w:customStyle="1" w:styleId="Point2letter">
    <w:name w:val="Point 2 (letter)"/>
    <w:basedOn w:val="Normal"/>
    <w:pPr>
      <w:numPr>
        <w:ilvl w:val="5"/>
        <w:numId w:val="35"/>
      </w:numPr>
    </w:pPr>
  </w:style>
  <w:style w:type="paragraph" w:customStyle="1" w:styleId="Point3letter">
    <w:name w:val="Point 3 (letter)"/>
    <w:basedOn w:val="Normal"/>
    <w:pPr>
      <w:numPr>
        <w:ilvl w:val="7"/>
        <w:numId w:val="35"/>
      </w:numPr>
    </w:pPr>
  </w:style>
  <w:style w:type="paragraph" w:customStyle="1" w:styleId="Point4letter">
    <w:name w:val="Point 4 (letter)"/>
    <w:basedOn w:val="Normal"/>
    <w:pPr>
      <w:numPr>
        <w:ilvl w:val="8"/>
        <w:numId w:val="35"/>
      </w:numPr>
    </w:pPr>
  </w:style>
  <w:style w:type="paragraph" w:customStyle="1" w:styleId="Bullet0">
    <w:name w:val="Bullet 0"/>
    <w:basedOn w:val="Normal"/>
    <w:pPr>
      <w:numPr>
        <w:numId w:val="36"/>
      </w:numPr>
    </w:pPr>
  </w:style>
  <w:style w:type="paragraph" w:customStyle="1" w:styleId="Bullet1">
    <w:name w:val="Bullet 1"/>
    <w:basedOn w:val="Normal"/>
    <w:pPr>
      <w:numPr>
        <w:numId w:val="37"/>
      </w:numPr>
    </w:pPr>
  </w:style>
  <w:style w:type="paragraph" w:customStyle="1" w:styleId="Bullet2">
    <w:name w:val="Bullet 2"/>
    <w:basedOn w:val="Normal"/>
    <w:pPr>
      <w:numPr>
        <w:numId w:val="38"/>
      </w:numPr>
    </w:pPr>
  </w:style>
  <w:style w:type="paragraph" w:customStyle="1" w:styleId="Bullet3">
    <w:name w:val="Bullet 3"/>
    <w:basedOn w:val="Normal"/>
    <w:pPr>
      <w:numPr>
        <w:numId w:val="39"/>
      </w:numPr>
    </w:pPr>
  </w:style>
  <w:style w:type="paragraph" w:customStyle="1" w:styleId="Bullet4">
    <w:name w:val="Bullet 4"/>
    <w:basedOn w:val="Normal"/>
    <w:pPr>
      <w:numPr>
        <w:numId w:val="40"/>
      </w:numPr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41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t-MT" w:eastAsia="mt-MT" w:bidi="mt-MT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34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34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34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34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Link">
    <w:name w:val="Link"/>
    <w:rPr>
      <w:color w:val="0000FF"/>
      <w:u w:val="single" w:color="0000FF"/>
      <w:lang w:val="mt-MT"/>
    </w:rPr>
  </w:style>
  <w:style w:type="character" w:customStyle="1" w:styleId="FootnoteReference1">
    <w:name w:val="Footnote Reference1"/>
    <w:aliases w:val="Footnote Reference Superscript,BVI fnr,Footnote symbol,Footnote,FR + (Complex) Arial,(Latin) 9 pt,(Complex) 10 pt + (Compl...,Nota,Appel note de bas de p,SUPERS,Footnotemark,FR,Footnotemark1,Footnotemark2,FR1,Footnotemark3,FR2,F"/>
    <w:rPr>
      <w:vertAlign w:val="superscript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13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mt-M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mt-MT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mt-MT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28"/>
      </w:numPr>
    </w:pPr>
  </w:style>
  <w:style w:type="paragraph" w:customStyle="1" w:styleId="Tiret1">
    <w:name w:val="Tiret 1"/>
    <w:basedOn w:val="Point1"/>
    <w:pPr>
      <w:numPr>
        <w:numId w:val="29"/>
      </w:numPr>
    </w:pPr>
  </w:style>
  <w:style w:type="paragraph" w:customStyle="1" w:styleId="Tiret2">
    <w:name w:val="Tiret 2"/>
    <w:basedOn w:val="Point2"/>
    <w:pPr>
      <w:numPr>
        <w:numId w:val="30"/>
      </w:numPr>
    </w:pPr>
  </w:style>
  <w:style w:type="paragraph" w:customStyle="1" w:styleId="Tiret3">
    <w:name w:val="Tiret 3"/>
    <w:basedOn w:val="Point3"/>
    <w:pPr>
      <w:numPr>
        <w:numId w:val="31"/>
      </w:numPr>
    </w:pPr>
  </w:style>
  <w:style w:type="paragraph" w:customStyle="1" w:styleId="Tiret4">
    <w:name w:val="Tiret 4"/>
    <w:basedOn w:val="Point4"/>
    <w:pPr>
      <w:numPr>
        <w:numId w:val="32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33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33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33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33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5"/>
      </w:numPr>
    </w:pPr>
  </w:style>
  <w:style w:type="paragraph" w:customStyle="1" w:styleId="Point1number">
    <w:name w:val="Point 1 (number)"/>
    <w:basedOn w:val="Normal"/>
    <w:pPr>
      <w:numPr>
        <w:ilvl w:val="2"/>
        <w:numId w:val="35"/>
      </w:numPr>
    </w:pPr>
  </w:style>
  <w:style w:type="paragraph" w:customStyle="1" w:styleId="Point2number">
    <w:name w:val="Point 2 (number)"/>
    <w:basedOn w:val="Normal"/>
    <w:pPr>
      <w:numPr>
        <w:ilvl w:val="4"/>
        <w:numId w:val="35"/>
      </w:numPr>
    </w:pPr>
  </w:style>
  <w:style w:type="paragraph" w:customStyle="1" w:styleId="Point3number">
    <w:name w:val="Point 3 (number)"/>
    <w:basedOn w:val="Normal"/>
    <w:pPr>
      <w:numPr>
        <w:ilvl w:val="6"/>
        <w:numId w:val="35"/>
      </w:numPr>
    </w:pPr>
  </w:style>
  <w:style w:type="paragraph" w:customStyle="1" w:styleId="Point0letter">
    <w:name w:val="Point 0 (letter)"/>
    <w:basedOn w:val="Normal"/>
    <w:pPr>
      <w:numPr>
        <w:ilvl w:val="1"/>
        <w:numId w:val="35"/>
      </w:numPr>
    </w:pPr>
  </w:style>
  <w:style w:type="paragraph" w:customStyle="1" w:styleId="Point1letter">
    <w:name w:val="Point 1 (letter)"/>
    <w:basedOn w:val="Normal"/>
    <w:pPr>
      <w:numPr>
        <w:ilvl w:val="3"/>
        <w:numId w:val="35"/>
      </w:numPr>
    </w:pPr>
  </w:style>
  <w:style w:type="paragraph" w:customStyle="1" w:styleId="Point2letter">
    <w:name w:val="Point 2 (letter)"/>
    <w:basedOn w:val="Normal"/>
    <w:pPr>
      <w:numPr>
        <w:ilvl w:val="5"/>
        <w:numId w:val="35"/>
      </w:numPr>
    </w:pPr>
  </w:style>
  <w:style w:type="paragraph" w:customStyle="1" w:styleId="Point3letter">
    <w:name w:val="Point 3 (letter)"/>
    <w:basedOn w:val="Normal"/>
    <w:pPr>
      <w:numPr>
        <w:ilvl w:val="7"/>
        <w:numId w:val="35"/>
      </w:numPr>
    </w:pPr>
  </w:style>
  <w:style w:type="paragraph" w:customStyle="1" w:styleId="Point4letter">
    <w:name w:val="Point 4 (letter)"/>
    <w:basedOn w:val="Normal"/>
    <w:pPr>
      <w:numPr>
        <w:ilvl w:val="8"/>
        <w:numId w:val="35"/>
      </w:numPr>
    </w:pPr>
  </w:style>
  <w:style w:type="paragraph" w:customStyle="1" w:styleId="Bullet0">
    <w:name w:val="Bullet 0"/>
    <w:basedOn w:val="Normal"/>
    <w:pPr>
      <w:numPr>
        <w:numId w:val="36"/>
      </w:numPr>
    </w:pPr>
  </w:style>
  <w:style w:type="paragraph" w:customStyle="1" w:styleId="Bullet1">
    <w:name w:val="Bullet 1"/>
    <w:basedOn w:val="Normal"/>
    <w:pPr>
      <w:numPr>
        <w:numId w:val="37"/>
      </w:numPr>
    </w:pPr>
  </w:style>
  <w:style w:type="paragraph" w:customStyle="1" w:styleId="Bullet2">
    <w:name w:val="Bullet 2"/>
    <w:basedOn w:val="Normal"/>
    <w:pPr>
      <w:numPr>
        <w:numId w:val="38"/>
      </w:numPr>
    </w:pPr>
  </w:style>
  <w:style w:type="paragraph" w:customStyle="1" w:styleId="Bullet3">
    <w:name w:val="Bullet 3"/>
    <w:basedOn w:val="Normal"/>
    <w:pPr>
      <w:numPr>
        <w:numId w:val="39"/>
      </w:numPr>
    </w:pPr>
  </w:style>
  <w:style w:type="paragraph" w:customStyle="1" w:styleId="Bullet4">
    <w:name w:val="Bullet 4"/>
    <w:basedOn w:val="Normal"/>
    <w:pPr>
      <w:numPr>
        <w:numId w:val="40"/>
      </w:numPr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41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footnotes.xml.rels><?xml version='1.0' encoding='UTF-8' standalone='yes'?>
<Relationships xmlns="http://schemas.openxmlformats.org/package/2006/relationships"><Relationship Id="rId3" Type="http://schemas.openxmlformats.org/officeDocument/2006/relationships/hyperlink" Target="http://ec.europa.eu/internal_market/copyright/docs/studies/141219-study_en.pdf" TargetMode="External"/><Relationship Id="rId2" Type="http://schemas.openxmlformats.org/officeDocument/2006/relationships/hyperlink" Target="http://ec.europa.eu/internal_market/copyright/studies/index_en.htm" TargetMode="External"/><Relationship Id="rId1" Type="http://schemas.openxmlformats.org/officeDocument/2006/relationships/hyperlink" Target="https://ec.europa.eu/digital-single-market/en/news/full-report-public-consultation-review-eu-satellite-and-cable-directive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82F42-811C-4525-9D81-E56C183B6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1</TotalTime>
  <Pages>17</Pages>
  <Words>5545</Words>
  <Characters>44029</Characters>
  <Application>Microsoft Office Word</Application>
  <DocSecurity>0</DocSecurity>
  <Lines>620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19</cp:revision>
  <cp:lastPrinted>2016-09-05T08:11:00Z</cp:lastPrinted>
  <dcterms:created xsi:type="dcterms:W3CDTF">2016-09-30T12:32:00Z</dcterms:created>
  <dcterms:modified xsi:type="dcterms:W3CDTF">2016-10-04T09:04:00Z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COM/PL/ORG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Part">
    <vt:lpwstr>1</vt:lpwstr>
  </property>
  <property fmtid="{D5CDD505-2E9C-101B-9397-08002B2CF9AE}" pid="8" name="Total parts">
    <vt:lpwstr>1</vt:lpwstr>
  </property>
  <property fmtid="{D5CDD505-2E9C-101B-9397-08002B2CF9AE}" pid="9" name="LWTemplateID">
    <vt:lpwstr>SJ-023</vt:lpwstr>
  </property>
  <property fmtid="{D5CDD505-2E9C-101B-9397-08002B2CF9AE}" pid="10" name="DQCStatus">
    <vt:lpwstr>Green (DQC version 03)</vt:lpwstr>
  </property>
  <property name="OP_sanitized" fmtid="{D5CDD505-2E9C-101B-9397-08002B2CF9AE}" pid="11">
    <vt:lpwstr>True</vt:lpwstr>
  </property>
</Properties>
</file>