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FF76F915A95E469B97D072DCAB88D467" style="width:450.45pt;height:365.7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IL-KUNTEST TAL-PROPOSTA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Skont l-Artikolu 395(1) tad-Direttiva 2006/112/KE tat-28 ta’ Novembru 2006 dwar is-sistema komuni ta’ taxxa fuq il-valur miżjud (minn hawn ’il quddiem “id-Direttiva tal-VAT”), il-Kunsill, billi jaġixxi unanimament fuq proposta mill-Kummissjoni, jista’ jawtorizza li Stat Membru japplika miżuri speċjali għal deroga mid-dispożizzjonijiet ta’ dik id-Direttiva biex tiġi ssimplifikata l-proċedura tal-ġbir tal-VAT jew biex jiġu evitati ċerti forom ta’ evażjoni jew ta’ evitar tat-taxxa.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Permezz ta’ ittra rreġistrata mal-Kummissjoni fid-9 ta’ Frar 2016, ir-Rumanija talbet estensjoni tad-deroga mill-Artikolu 193 tad-Direttiva tal-VAT biex jiġi applikat mekkaniżmu tar-reverse charge għall-prodotti tal-injam. B’konformità mal-Artikolu 395(2) tad-Direttiva tal-VAT, il-Kummissjoni infurmat lill-Istati Membri l-oħra bit-talba tar-Rumanija, permezz ta’ ittra datata t-23 ta’ Marzu 2016. Permezz tal-ittra tad-29 ta' Marzu 2016, il-Kummissjoni nnotifikat lir-Rumanija li kellha l-informazzjoni kollha meħtieġa biex tqis it-talba.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Il-Kuntest Ġenerali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Bħala regola ġenerali, l-Artikolu 193 tad-Direttiva tal-VAT jistipula li l-persuna taxxabbli li tkun qed tipprovdi merkanzija jew servizzi normalment hija responsabbli għall-ħlas tat-taxxa fuq il-valur miżjud (VAT).</w:t>
      </w:r>
    </w:p>
    <w:p>
      <w:pPr>
        <w:rPr>
          <w:noProof/>
        </w:rPr>
      </w:pPr>
      <w:r>
        <w:rPr>
          <w:noProof/>
        </w:rPr>
        <w:t xml:space="preserve">Skont l-Artikolu 395 tad-Direttiva tal-VAT, fl-2009 ir-Rumanija talbet deroga biex tkun awtorizzata tapplika l-mekkaniżmu tar-reverse charge għal, </w:t>
      </w:r>
      <w:r>
        <w:rPr>
          <w:i/>
          <w:noProof/>
        </w:rPr>
        <w:t>inter alia</w:t>
      </w:r>
      <w:r>
        <w:rPr>
          <w:noProof/>
        </w:rPr>
        <w:t>, provvisti ta’ prodotti tal-injam. Skont din il-proċedura, il-persuna taxxabbli, li għaliha jsiru l-provvisti, issir responsabbli għall-ħlas tal-VAT. Dawn il-prodotti tal-injam jinkludu, b'mod aktar speċifiku, injam mhux maqtugħ, injam tond jew bix-xaqq biex jinħadem, injam biex jintuża bħala fjuwil, prodotti tal-injam, kif ukoll injam bit-tarf kwadru jew imxellef u injam ħarex, ipproċessat jew nofsu maħdum.</w:t>
      </w:r>
    </w:p>
    <w:p>
      <w:pPr>
        <w:rPr>
          <w:noProof/>
        </w:rPr>
      </w:pPr>
      <w:r>
        <w:rPr>
          <w:noProof/>
        </w:rPr>
        <w:t>Din it-talba ġiet approvata mid-Deċiżjoni ta' Implimentazzjoni tal-Kunsill 2010/583/UE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sal-31 ta’ Diċembru 2013 u, fir-rigward tal-prodotti tal-injam, sussegwentement estiża sal-31 ta’ Diċembru 2016 bid-Deċiżjoni ta' Implimentazzjoni tal-Kunsill 2013/676/UE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Ir-Rumanija issa talbet għall-estensjoni tad-deroga dwar l-applikazzjoni tal-mekkaniżmu tar-reverse charge għal provvisti ta’ dawn il-prodotti tal-injam.</w:t>
      </w:r>
    </w:p>
    <w:p>
      <w:pPr>
        <w:rPr>
          <w:noProof/>
        </w:rPr>
      </w:pPr>
      <w:r>
        <w:rPr>
          <w:noProof/>
        </w:rPr>
        <w:t>Abbażi tar-rapport mibgħut mir-Rumanija, li ġie ppreżentat flimkien mat-talba għall-estensjoni tal-miżura, il-ħatra tar-riċevitur bħala l-persuna responsabbli għall-ħlas tal-VAT fuq il-provvisti tal-prodotti tal-injam imsemmija hawn fuq kellha l-effett li tipprevjeni l-evażjoni u l-evitar tat-taxxa f’dan is-settur li huwa kkaratterizzat minn għadd kbir ta’ bejjiegħa mill-gdid u intermedjarji żgħar li deher li kien diffiċli biex jiġu kkontrollati. Għaldaqstant, l-estensjoni għal perjodu limitat ieħor tidher ġustifikabbli billi ma jidhirx li l-</w:t>
      </w:r>
      <w:r>
        <w:rPr>
          <w:noProof/>
        </w:rPr>
        <w:lastRenderedPageBreak/>
        <w:t>miżura kellha impatt negattiv fuq il-frodi fil-livell tal-bejgħ bl-imnut, jew f’setturi oħrajn fi Stati Membri oħra.</w:t>
      </w:r>
    </w:p>
    <w:p>
      <w:pPr>
        <w:rPr>
          <w:noProof/>
        </w:rPr>
      </w:pPr>
      <w:r>
        <w:rPr>
          <w:noProof/>
        </w:rPr>
        <w:t>Madankollu, kull estensjoni ġdida għandha tkun limitata fiż-żmien biex ikun jista’ jiġi vvalutat jekk il-kundizzjonijiet li fuqhom hija msejsa jkunux għadhom validi. Għaldaqstant huwa propost li t-talba tingħata sal-31 ta’ Diċembru 2019 u li r-Rumanija għandha tippreżenta rapport, li jkun jinkludi reviżjoni tal-effiċjenza tal-miżura u evalwazzjoni tar-riskju ta’ frodi fis-settur tal-injam, jekk tkun prevista talba għal estensjoni ġdida wara dik id-data.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IL-BAŻI ĠURIDIKA, IS-SUSSIDJARJETÀ U L-PROPORZJONALITÀ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Bażi legali</w:t>
      </w:r>
    </w:p>
    <w:p>
      <w:pPr>
        <w:rPr>
          <w:noProof/>
        </w:rPr>
      </w:pPr>
      <w:r>
        <w:rPr>
          <w:noProof/>
        </w:rPr>
        <w:t>L-Artikolu 395 tad-Direttiva tal-VAT.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Is-sussidjarjetà (għal kompetenza mhux esklużiva) </w:t>
      </w:r>
    </w:p>
    <w:p>
      <w:pPr>
        <w:rPr>
          <w:noProof/>
        </w:rPr>
      </w:pPr>
      <w:r>
        <w:rPr>
          <w:noProof/>
        </w:rPr>
        <w:t>Meta titqies id-dispożizzjoni tad-Direttiva tal-VAT li fuqha hija bbażata l-proposta, il-proposta taqa' fil-kompetenza esklussiva tal-Unjoni. Għaldaqstant, il-prinċipju tas-sussidjarjetà ma japplikax.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Il-Proporzjonalità</w:t>
      </w:r>
    </w:p>
    <w:p>
      <w:pPr>
        <w:rPr>
          <w:noProof/>
        </w:rPr>
      </w:pPr>
      <w:r>
        <w:rPr>
          <w:noProof/>
        </w:rPr>
        <w:t>Id-Deċiżjoni tikkonċerna awtorizzazzjoni mogħtija lil Stat Membru fuq talba tiegħu stess u ma tikkostitwixxi l-ebda obbligu.</w:t>
      </w:r>
    </w:p>
    <w:p>
      <w:pPr>
        <w:rPr>
          <w:noProof/>
        </w:rPr>
      </w:pPr>
      <w:r>
        <w:rPr>
          <w:noProof/>
        </w:rPr>
        <w:t xml:space="preserve">Minħabba l-kamp ta’ applikazzjoni limitat tad-deroga, il-miżura speċjali hija proporzjonata mal-għan li qed jiġi segwit, jiġifieri l-prevenzjoni ta' ċerti forom ta' evażjoni jew evitar tat-taxxa f'settur speċifiku.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L-għażla tal-istrument</w:t>
      </w:r>
    </w:p>
    <w:p>
      <w:pPr>
        <w:rPr>
          <w:noProof/>
        </w:rPr>
      </w:pPr>
      <w:r>
        <w:rPr>
          <w:noProof/>
        </w:rPr>
        <w:t>Skont l-Artikolu 395 tad-Direttiva tal-VAT, deroga mir-regoli komuni tal-VAT hija possibbli biss bl-awtorizzazzjoni tal-Kunsill li jaġixxi unanimament fuq proposta mill-Kummissjoni. Barra minn hekk, Deċiżjoni tal-Kunsill hija l-aktar strument adattat billi tista' tiġi indirizzata lil Stati Membri individwali.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RIŻULTATI TAL-EVALWAZZJONIJIET EX POST, TAL-KONSULTAZZJONIJIET MAL-PARTIJIET IKKONĊERNATI U TAL-VALUTAZZJONIJIET TAL-IMPATT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Il-konsultazzjoni mal-partijiet ikkonċernati</w:t>
      </w:r>
    </w:p>
    <w:p>
      <w:pPr>
        <w:rPr>
          <w:noProof/>
        </w:rPr>
      </w:pPr>
      <w:r>
        <w:rPr>
          <w:noProof/>
        </w:rPr>
        <w:t>Din il-proposta hija bbażata fuq talba mir-Rumanija u tikkonċerna biss lil dan l-Istat Membru.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Il-ġbir u l-użu tal-għarfien espert</w:t>
      </w:r>
    </w:p>
    <w:p>
      <w:pPr>
        <w:rPr>
          <w:noProof/>
        </w:rPr>
      </w:pPr>
      <w:r>
        <w:rPr>
          <w:noProof/>
        </w:rPr>
        <w:t>Ma kienx hemm bżonn ta’ għarfien espert estern.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Il-valutazzjoni tal-impatt</w:t>
      </w:r>
    </w:p>
    <w:p>
      <w:pPr>
        <w:rPr>
          <w:noProof/>
        </w:rPr>
      </w:pPr>
      <w:r>
        <w:rPr>
          <w:noProof/>
        </w:rPr>
        <w:t>Il-proposta għad-Deċiżjoni għandha l-għan li tipprevjeni ċerti forom ta’ evażjoni jew ta’ evitar tat-taxxa fis-settur tal-injam u għalhekk għandha impatt potenzjalment pożittiv billi se tkompli tipprevjeni skemi ta’ frodi li ġew applikati qabel f’dan is-settur tal-injam. Skont ir-Rumanija, jekk din il-miżura ma tiġix estiża, il-qawmien mill-ġdid ta' dawn l-iskemi ma jkunx jista' jiġi evitat.</w:t>
      </w:r>
    </w:p>
    <w:p>
      <w:pPr>
        <w:rPr>
          <w:noProof/>
        </w:rPr>
      </w:pPr>
      <w:r>
        <w:rPr>
          <w:noProof/>
        </w:rPr>
        <w:lastRenderedPageBreak/>
        <w:t>Madankollu, minħabba l-kamp ta' applikazzjoni ristrett tad-deroga u l-applikazzjoni limitata fiż-żmien, f'kull każ l-impatt se jkun limitat.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L-IMPLIKAZZJONIJIET BAĠITARJI</w:t>
      </w:r>
    </w:p>
    <w:p>
      <w:pPr>
        <w:rPr>
          <w:noProof/>
        </w:rPr>
      </w:pPr>
      <w:r>
        <w:rPr>
          <w:noProof/>
        </w:rPr>
        <w:t>Il-proposta mhu se jkollha l-ebda implikazzjoni negattiva għall-baġit tal-UE.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>
      <w:pPr>
        <w:rPr>
          <w:noProof/>
        </w:rPr>
      </w:pPr>
      <w:r>
        <w:rPr>
          <w:noProof/>
        </w:rPr>
        <w:t>Il-proposta tinkludi klawżola ta’ estinzjoni; terminu preskrittiv awtomatiku li huwa stabbilit għall-31 ta’ Diċembru 2019.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2016/0163 (NLE)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DEĊIŻJONI TA’ IMPLIMENTAZZJONI TAL-KUNSILL</w:t>
      </w:r>
    </w:p>
    <w:p>
      <w:pPr>
        <w:pStyle w:val="Titreobjet"/>
        <w:rPr>
          <w:noProof/>
        </w:rPr>
      </w:pPr>
      <w:r>
        <w:rPr>
          <w:noProof/>
        </w:rPr>
        <w:t>li temenda d-Deċiżjoni ta’ Implimentazzjoni tal-Kunsill 2013/676/UE li tawtorizza lir-Rumanija biex tkompli tapplika miżura speċjali ta' deroga mill-Artikolu 193 tad-Direttiva 2006/112/KE dwar is-sistema komuni ta' taxxa fuq il-valur miżjud</w:t>
      </w:r>
    </w:p>
    <w:p>
      <w:pPr>
        <w:pStyle w:val="Institutionquiagit"/>
        <w:rPr>
          <w:noProof/>
        </w:rPr>
      </w:pPr>
      <w:r>
        <w:rPr>
          <w:noProof/>
        </w:rPr>
        <w:t>IL-KUNSILL TAL-UNJONI EWROPEA,</w:t>
      </w:r>
    </w:p>
    <w:p>
      <w:pPr>
        <w:rPr>
          <w:noProof/>
        </w:rPr>
      </w:pPr>
      <w:r>
        <w:rPr>
          <w:noProof/>
        </w:rPr>
        <w:t xml:space="preserve">Wara li kkunsidra t-Trattat dwar il-Funzjonament tal-Unjoni Ewropea, </w:t>
      </w:r>
    </w:p>
    <w:p>
      <w:pPr>
        <w:rPr>
          <w:noProof/>
        </w:rPr>
      </w:pPr>
      <w:r>
        <w:rPr>
          <w:noProof/>
        </w:rPr>
        <w:t>Wara li kkunsidra d-Direttiva tal-Kunsill 2006/112/KE tat-28 ta' Novembru 2006 dwar is-sistema komuni ta' taxxa fuq il-valur miżjud</w:t>
      </w:r>
      <w:r>
        <w:rPr>
          <w:rStyle w:val="FootnoteReference"/>
          <w:noProof/>
        </w:rPr>
        <w:footnoteReference w:id="3"/>
      </w:r>
      <w:r>
        <w:rPr>
          <w:noProof/>
        </w:rPr>
        <w:t>, u b'mod partikolari l-Artikolu 395 tagħha,</w:t>
      </w:r>
    </w:p>
    <w:p>
      <w:pPr>
        <w:rPr>
          <w:noProof/>
        </w:rPr>
      </w:pPr>
      <w:r>
        <w:rPr>
          <w:noProof/>
        </w:rPr>
        <w:t>Wara li kkunsidra l-proposta tal-Kummissjoni Ewropea,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L-Artikolu 193 tad-Direttiva 2006/112/KE jipprevedi li persuna taxxabbli li tipprovdi merkanzija jew servizzi hija, bħala regola ġenerali, responsabbli għall-ħlas tat-taxxa fuq il-valur miżjud (VAT) lill-awtoritajiet tat-taxxa.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Id-Deċiżjoni ta' Implimentazzjoni tal-Kunsill 2010/583/UE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u sussegwentament id-Deċiżjoni ta' Implimentazzjoni tal-Kunsill 2013/676/UE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awtorizzaw lir-Rumanija biex tapplika miżura ta’ deroga biex taħtar persuna responsabbli għall-ħlas tal-VAT fil-każ ta' provvisti ta’ prodotti tal-injam minn persuni taxxabbli.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Permezz tal-ittra rreġistrata mal-Kummissjoni fid-9 ta’ Frar 2016, ir-Rumanija talbet l-awtorizzazzjoni biex tkompli tapplika l-miżura wara l-31 ta' Diċembru 2016.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Il-Kummissjoni informat lill-Istati Membri l-oħra bit-talba tar-Rumanija f'ittra datata t-23 ta' Marzu 2016. Permezz ta' ittra ddatata d-29 ta' Marzu 2016, il-Kummissjoni nnotifikat lir-Rumanija li kellha l-informazzjoni kollha meħtieġa biex tqis it-talba.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Qabel din l-awtorizzazzjoni biex tiġi applikata r-reverse charge għall-provvisti tal-injam, ir-Rumanija kellha problemi fis-suq tal-injam minħabba n-natura tas-suq u n-negozji involuti. Skont ir-rapport tar-Rumanija, ippreżentat flimkien mat-talba għall-estensjoni tal-miżura, il-ħatra tar-riċevitur bħala l-persuna responsabbli għall-ħlas tal-VAT kellha l-effett li tipprevjeni l-evażjoni u l-evitar tat-taxxa f’dan is-settur u għalhekk tibqa’ ġustifikata.</w:t>
      </w:r>
    </w:p>
    <w:p>
      <w:pPr>
        <w:pStyle w:val="ManualConsidrant"/>
        <w:rPr>
          <w:noProof/>
        </w:rPr>
      </w:pPr>
      <w:r>
        <w:lastRenderedPageBreak/>
        <w:t>(6)</w:t>
      </w:r>
      <w:r>
        <w:tab/>
      </w:r>
      <w:r>
        <w:rPr>
          <w:noProof/>
        </w:rPr>
        <w:t>Il-miżura hija proporzjonata mal-għanijiet li riedu jintlaħqu peress li mhijiex maħsuba biex tapplika b'mod ġenerali, iżda biss għal operazzjonijiet speċifiċi ħafna f'settur li jippreżenta problemi konsiderevoli ta' evażjoni jew evitar tat-taxxa.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Il-miżura, fil-fehma tal-Kummissjoni, m'għandux ikollha xi impatt negattiv fuq il-prevenzjoni ta' frodi fil-livell tal-bejgħ bl-imnut, f’setturi oħra jew fi Stati Membri oħra.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L-awtorizzazzjoni għandha tkun limitata sal-31 ta’ Diċembru 2019.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Fl-eventwalità li r-Rumanija tqis il-ħtieġa ta' estensjoni oħra lil hinn mill-2019, għandu jitressaq rapport ġdid flimkien mat-talba għall-estensjoni lill-Kummissjoni mhux aktar tard mill-1 ta’ April 2019.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Il-miżura ta' deroga ma għandha l-ebda impatt negattiv fuq ir-riżorsi proprji tal-Unjoni li jirriżultaw mill-VAT.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Għaldaqstant, id-Deċiżjoni ta' Implimentazzjoni 2013/676/UE għandha tiġi emendata skont dan,</w:t>
      </w:r>
    </w:p>
    <w:p>
      <w:pPr>
        <w:pStyle w:val="Formuledadoption"/>
        <w:rPr>
          <w:noProof/>
        </w:rPr>
      </w:pPr>
      <w:r>
        <w:rPr>
          <w:noProof/>
        </w:rPr>
        <w:t xml:space="preserve">ADOTTA DIN ID-DEĊIŻJONI: </w:t>
      </w:r>
    </w:p>
    <w:p>
      <w:pPr>
        <w:pStyle w:val="Titrearticle"/>
        <w:rPr>
          <w:noProof/>
        </w:rPr>
      </w:pPr>
      <w:r>
        <w:rPr>
          <w:noProof/>
        </w:rPr>
        <w:t>Artikolu 1</w:t>
      </w:r>
    </w:p>
    <w:p>
      <w:pPr>
        <w:rPr>
          <w:noProof/>
        </w:rPr>
      </w:pPr>
      <w:r>
        <w:rPr>
          <w:noProof/>
        </w:rPr>
        <w:t>Id-Deċiżjoni ta' Implimentazzjoni 2013/676/UE hija emendata kif ġej:</w:t>
      </w:r>
    </w:p>
    <w:p>
      <w:pPr>
        <w:rPr>
          <w:noProof/>
        </w:rPr>
      </w:pPr>
      <w:r>
        <w:rPr>
          <w:noProof/>
        </w:rPr>
        <w:t>Fl-Artikolu 1, id-data “31 ta’ Diċembru 2016” issir “31 ta’ Diċembru 2019”.</w:t>
      </w:r>
    </w:p>
    <w:p>
      <w:pPr>
        <w:rPr>
          <w:noProof/>
        </w:rPr>
      </w:pPr>
      <w:r>
        <w:rPr>
          <w:noProof/>
        </w:rPr>
        <w:t>Fl-Artikolu 3, id-data “1 ta’ April 2016” issir “1 ta’ April 2019”.</w:t>
      </w:r>
    </w:p>
    <w:p>
      <w:pPr>
        <w:pStyle w:val="Titrearticle"/>
        <w:rPr>
          <w:noProof/>
        </w:rPr>
      </w:pPr>
      <w:r>
        <w:rPr>
          <w:noProof/>
        </w:rPr>
        <w:t>Artikolu 2</w:t>
      </w:r>
    </w:p>
    <w:p>
      <w:pPr>
        <w:rPr>
          <w:noProof/>
        </w:rPr>
      </w:pPr>
      <w:r>
        <w:rPr>
          <w:noProof/>
        </w:rPr>
        <w:t>Din id-Deċiżjoni hija indirizzata lir-Rumanija.</w:t>
      </w:r>
    </w:p>
    <w:p>
      <w:pPr>
        <w:pStyle w:val="Fait"/>
        <w:rPr>
          <w:noProof/>
        </w:rPr>
      </w:pPr>
      <w:r>
        <w:rPr>
          <w:noProof/>
        </w:rP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ab/>
        <w:t>Il-President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Id-Deċiżjoni ta' Implimentazzjoni tal-Kunsill 2010/583/UE tas-27 ta' Settembru 2010 li tawtorizza lir-Rumanija biex tintroduċi miżura speċjali ta' deroga mill-Artikolu 193 tad-Direttiva 2006/112/KE dwar is-sistema komuni ta' taxxa fuq il-valur miżjud (ĠU L 256, 30.9.2010, p. 27).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Id-Deċiżjoni ta' Implimentazzjoni tal-Kunsill 2013/676/UE tal-15 ta' Novembru 2013 li tawtorizza lir-Rumanija biex tkompli tapplika miżura speċjali ta' deroga mill-Artikolu 193 tad-Direttiva 2006/112/KE dwar is-sistema komuni ta' taxxa fuq il-valur miżjud (ĠU L 316, 27.11.2013, p. 31).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ĠU L 347, 11.12.12006, p. 1.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Id-Deċiżjoni ta’ Implimentazzjoni tal-Kunsill 2010/583/UE tas-27 ta’ Settembru 2010 li tawtorizza lir-Rumanija biex tintroduċi miżura speċjali ta’ deroga mill-Artikolu 193 tad-Direttiva 2006/112/KE dwar is-sistema komuni ta’ taxxa fuq il-valur miżjud (ĠU L 256, 30.9.2010, p. 27).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Id-Deċiżjoni ta' Implimentazzjoni tal-Kunsill 2013/676/UE tal-15 ta' Novembru 2013 li tawtorizza lir-Rumanija biex tkompli tapplika miżura speċjali ta' deroga mill-Artikolu 193 tad-Direttiva 2006/112/KE dwar is-sistema komuni ta' taxxa fuq il-valur miżjud (ĠU L 316, 27.11.2013, p. 31).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C807E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64832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E6A3A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AD8C0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C2CB1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792D1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A3C79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F8EAD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26 10:00:2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1"/>
    <w:docVar w:name="LW_CONFIDENCE" w:val=" "/>
    <w:docVar w:name="LW_CONST_RESTREINT_UE" w:val="RESTREINT UE"/>
    <w:docVar w:name="LW_CORRIGENDUM" w:val="&lt;UNUSED&gt;"/>
    <w:docVar w:name="LW_COVERPAGE_GUID" w:val="FF76F915A95E469B97D072DCAB88D467"/>
    <w:docVar w:name="LW_CROSSREFERENCE" w:val="&lt;UNUSED&gt;"/>
    <w:docVar w:name="LW_DocType" w:val="COM"/>
    <w:docVar w:name="LW_EMISSION" w:val="1.6.2016"/>
    <w:docVar w:name="LW_EMISSION_ISODATE" w:val="2016-06-01"/>
    <w:docVar w:name="LW_EMISSION_LOCATION" w:val="BRX"/>
    <w:docVar w:name="LW_EMISSION_PREFIX" w:val="Brussell, "/>
    <w:docVar w:name="LW_EMISSION_SUFFIX" w:val=" "/>
    <w:docVar w:name="LW_ID_DOCMODEL" w:val="SJ-020"/>
    <w:docVar w:name="LW_ID_DOCSIGNATURE" w:val="SJ-020"/>
    <w:docVar w:name="LW_ID_DOCSTRUCTURE" w:val="COM/PL/ORG"/>
    <w:docVar w:name="LW_ID_DOCTYPE" w:val="SJ-020"/>
    <w:docVar w:name="LW_ID_STATUT" w:val="SJ-020"/>
    <w:docVar w:name="LW_INTERETEEE.CP" w:val="&lt;UNUSED&gt;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63"/>
    <w:docVar w:name="LW_REF.II.NEW.CP_YEAR" w:val="2016"/>
    <w:docVar w:name="LW_REF.INST.NEW" w:val="COM"/>
    <w:docVar w:name="LW_REF.INST.NEW_ADOPTED" w:val="final"/>
    <w:docVar w:name="LW_REF.INST.NEW_TEXT" w:val="(2016) 354"/>
    <w:docVar w:name="LW_REF.INTERNE" w:val="&lt;UNUSED&gt;"/>
    <w:docVar w:name="LW_SOUS.TITRE.OBJ.CP" w:val="&lt;UNUSED&gt;"/>
    <w:docVar w:name="LW_STATUT.CP" w:val="Proposta g\u295?al"/>
    <w:docVar w:name="LW_SUPERTITRE" w:val="&lt;UNUSED&gt;"/>
    <w:docVar w:name="LW_TITRE.OBJ.CP" w:val="li temenda d-De\u267?i\u380?joni ta\u8217? Implimentazzjoni tal-Kunsill 2013/676/UE li tawtorizza lir-Rumanija biex tkompli tapplika mi\u380?ura spe\u267?jali ta' deroga mill-Artikolu 193 tad-Direttiva 2006/112/KE dwar is-sistema komuni ta' taxxa fuq il-valur mi\u380?jud"/>
    <w:docVar w:name="LW_TYPE.DOC.CP" w:val="DE\u266?I\u379?JONI TA\u8217? IMPLIMENTAZZJONI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5C08-1459-4799-9184-EAC77E85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6</Pages>
  <Words>1101</Words>
  <Characters>7942</Characters>
  <Application>Microsoft Office Word</Application>
  <DocSecurity>0</DocSecurity>
  <Lines>139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2016-04-05T13:37:00Z</cp:lastPrinted>
  <dcterms:created xsi:type="dcterms:W3CDTF">2016-05-23T12:08:00Z</dcterms:created>
  <dcterms:modified xsi:type="dcterms:W3CDTF">2016-05-26T08:00:00Z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SJ-020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