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36" w:rsidRDefault="00AC2B36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AADB36CE51C46A3B8E4A76390AD55D3" style="width:450.75pt;height:375.75pt">
            <v:imagedata r:id="rId9" o:title=""/>
          </v:shape>
        </w:pict>
      </w:r>
    </w:p>
    <w:p w:rsidR="00AC2B36" w:rsidRDefault="00AC2B36">
      <w:pPr>
        <w:rPr>
          <w:noProof/>
        </w:rPr>
        <w:sectPr w:rsidR="00AC2B36"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  <w:bookmarkStart w:id="0" w:name="DQCErrorScope073C6735B5294393BA36BB6B97B"/>
    </w:p>
    <w:bookmarkEnd w:id="0"/>
    <w:p w:rsidR="00AC2B36" w:rsidRDefault="00AC2B36">
      <w:pPr>
        <w:pStyle w:val="Exposdesmotifstitre"/>
        <w:rPr>
          <w:noProof/>
        </w:rPr>
      </w:pPr>
      <w:r>
        <w:rPr>
          <w:noProof/>
        </w:rPr>
        <w:t>MEMORANDUM TA’ SPJEGAZZJONI</w:t>
      </w:r>
    </w:p>
    <w:p w:rsidR="00AC2B36" w:rsidRDefault="00AC2B36">
      <w:pPr>
        <w:pStyle w:val="ManualHeading1"/>
        <w:tabs>
          <w:tab w:val="clear" w:pos="850"/>
          <w:tab w:val="left" w:pos="426"/>
        </w:tabs>
        <w:ind w:left="567" w:hanging="567"/>
        <w:rPr>
          <w:noProof/>
        </w:rPr>
      </w:pPr>
      <w:bookmarkStart w:id="1" w:name="DQCErrorScope216590AE45EA4F1A9B8ABEA8D13"/>
      <w:r>
        <w:rPr>
          <w:noProof/>
        </w:rPr>
        <w:t>1.</w:t>
      </w:r>
      <w:r>
        <w:rPr>
          <w:noProof/>
        </w:rPr>
        <w:tab/>
        <w:t>IL-KUNTEST TAL-PROPOSTA</w:t>
      </w:r>
    </w:p>
    <w:p w:rsidR="00AC2B36" w:rsidRDefault="00AC2B36">
      <w:pPr>
        <w:pStyle w:val="ManualHeading2"/>
        <w:ind w:hanging="283"/>
        <w:rPr>
          <w:rFonts w:eastAsia="Arial Unicode MS"/>
          <w:noProof/>
        </w:rPr>
      </w:pPr>
      <w:bookmarkStart w:id="2" w:name="DQCErrorScopeDFA7FB7C0D78453AACD5FA5F992"/>
      <w:bookmarkEnd w:id="1"/>
      <w:r>
        <w:rPr>
          <w:noProof/>
          <w:color w:val="000000"/>
          <w:u w:color="000000"/>
        </w:rPr>
        <w:t>•</w:t>
      </w:r>
      <w:r>
        <w:rPr>
          <w:noProof/>
        </w:rPr>
        <w:tab/>
        <w:t>Ir-raġunijiet għall-proposta u l-għanijiet tagħha</w:t>
      </w:r>
    </w:p>
    <w:bookmarkEnd w:id="2"/>
    <w:p w:rsidR="00AC2B36" w:rsidRDefault="00AC2B36">
      <w:pPr>
        <w:rPr>
          <w:noProof/>
          <w:color w:val="000000"/>
        </w:rPr>
      </w:pPr>
      <w:r>
        <w:rPr>
          <w:noProof/>
          <w:color w:val="000000"/>
        </w:rPr>
        <w:t>Il-21 Konferenza tal-Partijiet għall-Konvenzjoni tan-Nazzjonijiet Uniti dwar it-Tibdil fil-Klima adottat b'suċċess il-Ftehim ta’ Pariġi li għandu l-għan jillimita ż-żieda fit-temperatura globali b'ferm inqas minn 2 C meta mqabbla mal-livelli preindustrijali, u jkompli l-isforzi biex jillimita ż-żieda fit-temperatura għal 1.5°. Sal-2050, għallinqas l-emissjonijiet tal-gassijiet serra għandhom jonqsu sa 50% inqas mil-livelli tagħhom fl-1990. Sabiex jinkiseb dan it-tnaqqis fl-emissjonijiet, kull settur tal-ekonomija għandu jagħti sehmu, inkluż dak tal-avjazzjoni internazzjonali.</w:t>
      </w:r>
    </w:p>
    <w:p w:rsidR="00AC2B36" w:rsidRDefault="00AC2B36">
      <w:pPr>
        <w:rPr>
          <w:noProof/>
        </w:rPr>
      </w:pPr>
      <w:r>
        <w:rPr>
          <w:noProof/>
        </w:rPr>
        <w:t xml:space="preserve">Mill-avjazzjoni internazzjonali, l-emissjonijiet tal-gassijiet serra jirrappreżentaw aktar minn 2% tal-emissjonijiet globali u qed jikbru b’mod esponenzjali, bi previżjonijiet għall-2050 li jekk kollox jibqa’ kif inhu, dawn l-emissjonijiet mill-attivitajiet tal-avjazzjoni jaf jiżdiedu aktar minn 200% meta mqabbla mal-livelli fi żmienna. Il-Komunikazzjoni tal-Kummissjoni lill-Parlament Ewropew u lill-Kunsill dwar </w:t>
      </w:r>
      <w:r>
        <w:rPr>
          <w:i/>
          <w:noProof/>
        </w:rPr>
        <w:t>Il-Protokoll ta’ Pariġi – Pjan ta’ Azzjoni għal ġlieda kontra t-tibdil fil-klima globali wara l-2020</w:t>
      </w:r>
      <w:r>
        <w:rPr>
          <w:rStyle w:val="FootnoteReference"/>
          <w:i/>
          <w:noProof/>
        </w:rPr>
        <w:footnoteReference w:id="2"/>
      </w:r>
      <w:r>
        <w:rPr>
          <w:noProof/>
        </w:rPr>
        <w:t xml:space="preserve"> tenfasizza li qabel tintemm l-2016, l-ICAO għandha tirregola b’mod effettiv l-emissjonijiet mill-avjazzjoni internazzjonali. Minkejja l-iżviluppi teknoloġiċi, il-potenzjal għal tnaqqis</w:t>
      </w:r>
      <w:bookmarkStart w:id="3" w:name="DQCErrorScope14C88697CF9C4A31B81CDD83556"/>
      <w:r>
        <w:rPr>
          <w:noProof/>
        </w:rPr>
        <w:t xml:space="preserve">  </w:t>
      </w:r>
      <w:bookmarkEnd w:id="3"/>
      <w:r>
        <w:rPr>
          <w:noProof/>
        </w:rPr>
        <w:t>fl-emissjonijiet globali hu limitat fis-settur tal-avjazzjoni, u għaldaqstant mod xieraq kif dan is-settur jista' jagħtu sehmu għal tnaqqis</w:t>
      </w:r>
      <w:bookmarkStart w:id="4" w:name="DQCErrorScope77018EF5B21D490E8C1606F4E26"/>
      <w:r>
        <w:rPr>
          <w:noProof/>
        </w:rPr>
        <w:t xml:space="preserve">  </w:t>
      </w:r>
      <w:bookmarkEnd w:id="4"/>
      <w:r>
        <w:rPr>
          <w:noProof/>
        </w:rPr>
        <w:t>fl-emissjonijiet globali huma permezz ta' miżuri bbażati fuq is-suq. Fit-38 Sessjoni tal-Assemblea tal-ICAO (fl-2013), ġie deċiż li tinħoloq miżura globali unika bbażata fuq is-suq li tkun tindirizza l-emissjonijiet mill-avjazzjoni internazzjonali bil-ħsieb li fl-2016 matul id-39 Sessjoni tal-Assemblea tal-ICAO (bejn is-27 ta' Settembru u s-7 ta' Ottubru) tittieħed deċiżjoni għall-implimentazzjoni tal-iskema mill-2020</w:t>
      </w:r>
      <w:r>
        <w:rPr>
          <w:rStyle w:val="FootnoteReference"/>
          <w:noProof/>
        </w:rPr>
        <w:footnoteReference w:id="3"/>
      </w:r>
      <w:r>
        <w:rPr>
          <w:noProof/>
          <w:color w:val="000000"/>
        </w:rPr>
        <w:t>.</w:t>
      </w:r>
    </w:p>
    <w:p w:rsidR="00AC2B36" w:rsidRDefault="00AC2B36">
      <w:pPr>
        <w:rPr>
          <w:noProof/>
        </w:rPr>
      </w:pPr>
      <w:r>
        <w:rPr>
          <w:noProof/>
        </w:rPr>
        <w:t>Għaldaqstant hemm bżonn li minnufih u qabel l-Assemblea tal-ICAO li jmiss tiġi adottata l-pożizzjoni li l-Istati Membri, li qed jaġixxu b’mod konġunt fl-interess tal-UE, iridu jżommu fejn tidħol id-deċiżjoni li għandha tieħu l-ICAO.</w:t>
      </w:r>
    </w:p>
    <w:p w:rsidR="00AC2B36" w:rsidRDefault="00AC2B36">
      <w:pPr>
        <w:rPr>
          <w:noProof/>
        </w:rPr>
      </w:pPr>
      <w:r>
        <w:rPr>
          <w:noProof/>
        </w:rPr>
        <w:t>Il-pożizzjoni tal-Unjoni għandhom jesprimuha l-Kummissjoni u l-Istati Membri fil-korpi tal-ICAO. Sabiex tissawwar proposta għal strument bħal dan jinvolvu ruħhom bosta korpi tal-ICAO, fosthom il-Kunsill tal-ICAO. Hu meħtieġ ukoll li tiġi adottata pożizzjoni tal-UE ħalli tkun żgurata l-konsistenza mal-liġi eżistenti tal-UE.</w:t>
      </w:r>
    </w:p>
    <w:p w:rsidR="00AC2B36" w:rsidRDefault="00AC2B36">
      <w:pPr>
        <w:pStyle w:val="ManualHeading2"/>
        <w:ind w:hanging="283"/>
        <w:rPr>
          <w:rFonts w:eastAsia="Arial Unicode MS"/>
          <w:noProof/>
          <w:color w:val="000000"/>
          <w:u w:color="000000"/>
        </w:rPr>
      </w:pPr>
      <w:bookmarkStart w:id="5" w:name="DQCErrorScopeF5A8E1855594403686645D63D91"/>
      <w:r>
        <w:rPr>
          <w:noProof/>
          <w:color w:val="000000"/>
          <w:u w:color="000000"/>
        </w:rPr>
        <w:t>•</w:t>
      </w:r>
      <w:r>
        <w:rPr>
          <w:noProof/>
        </w:rPr>
        <w:tab/>
        <w:t>Il-konsistenza mad-dispożizzjonijiet politiċi eżistenti f'dan il-qasam ta’ politika</w:t>
      </w:r>
    </w:p>
    <w:bookmarkEnd w:id="5"/>
    <w:p w:rsidR="00AC2B36" w:rsidRDefault="00AC2B36">
      <w:pPr>
        <w:rPr>
          <w:noProof/>
        </w:rPr>
      </w:pPr>
      <w:r>
        <w:rPr>
          <w:noProof/>
        </w:rPr>
        <w:t>Jekk sal-2002 fl-ICAO ma tiġi miftiehma l-ebda azzjoni, id-Deċiżjoni 1600/2002/KE tal-Parlament Ewropew u tal-Kunsill titlob lill-Unjoni biex tidentifika u tieħu azzjonijiet speċifiċi ħalli jonqsu l-emissjonijiet tal-gassijiet serra mill-avjazzjoni. Wara li t-33 Sessjoni tal-Assemblea tal-ICAO (fl-2001) ddeċidiet li tapprova sistema ta' skambju miftuħ ta' kwoti tal-emissjonijiet għall-avjazzjoni internazzjonali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u li sal-35 Sessjoni tal-Assemblea tal-ICAO (fl-2004) tiżviluppa gwida biex l-emissjonijiet mill-avjazzjoni internazzjonali jiġu inkorporati fl-iskemi tal-Istati Kontraenti tal-ICAO għall-iskambju ta' kwoti tal-emissjonijiet</w:t>
      </w:r>
      <w:r>
        <w:rPr>
          <w:rStyle w:val="FootnoteReference"/>
          <w:noProof/>
        </w:rPr>
        <w:footnoteReference w:id="5"/>
      </w:r>
      <w:r>
        <w:rPr>
          <w:noProof/>
        </w:rPr>
        <w:t>, il-Parlament Ewropew u l-Kunsill adottaw id-Direttiva 2008/101/KE li temenda d-Direttiva 2003/87/KE li tistabbilixxi skema għall-iskambju ta’ kwoti ta’ emissjonijiet ta’ gassijiet serra sabiex tinkludi l-attivitajiet tal-avjazzjoni</w:t>
      </w:r>
      <w:r>
        <w:rPr>
          <w:rStyle w:val="FootnoteReference"/>
          <w:noProof/>
        </w:rPr>
        <w:footnoteReference w:id="6"/>
      </w:r>
      <w:r>
        <w:rPr>
          <w:noProof/>
        </w:rPr>
        <w:t>.</w:t>
      </w:r>
    </w:p>
    <w:p w:rsidR="00AC2B36" w:rsidRDefault="00AC2B36">
      <w:pPr>
        <w:autoSpaceDE w:val="0"/>
        <w:autoSpaceDN w:val="0"/>
        <w:adjustRightInd w:val="0"/>
        <w:spacing w:before="0" w:after="0"/>
        <w:rPr>
          <w:noProof/>
        </w:rPr>
      </w:pPr>
      <w:r>
        <w:rPr>
          <w:noProof/>
        </w:rPr>
        <w:t>Minbarra li ddeċidiet li tiżviluppa miżura globali bbażata fuq is-suq, it-38 Sessjoni tal-Assemblea tal-ICAO (fl-2013) iddeċidiet li l-ICAO u l-Istati Membri tagħha, flimkien mal-organizzazzjonijiet rilevanti, se jaħdmu id f'id u jagħmlu l-almu tagħhom biex tintlaħaq mira indikattiva kollettiva u globali għat-terminu medju li mill-2020, l-emissjonijiet netti u globali tal-karbonju mill-avjazzjoni internazzjonali jinżammu fl-istess livell. Fl-2020 hu mistenni li l-emissjonijiet mill-avjazzjoni internazzjonali jkunu madwar 70% ogħla mill-2005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u b’mod konsistenti l-Unjoni u l-Istati Membri tagħha argumentaw li l-mira ta’ tnaqqis globali fl-emissjonijiet tal-gassijiet serra mill-avjazzjoni internazzjonali għandha tkun tnaqqis ta’ 10% sal-2020 meta mqabbla mal-livelli fl-2005. Iżda jidher li hu l-waqt opportun għall-Unjoni biex tippromwovi li fi żmien pjuttost qasir tiġi żviluppata miżura globali bbażata fuq is-suq ħalli l-emissjonijiet tal-gassijiet serra mill-avjazzjoni internazzjonali jiġu limitati sal-livelli tagħhom fl-2020, filwaqt li titqies il-possibbiltà li matul iż-żmien issir reviżjoni tal-miri, kif xieraq.</w:t>
      </w:r>
    </w:p>
    <w:p w:rsidR="00AC2B36" w:rsidRDefault="00AC2B36">
      <w:pPr>
        <w:rPr>
          <w:noProof/>
        </w:rPr>
      </w:pPr>
      <w:r>
        <w:rPr>
          <w:noProof/>
        </w:rPr>
        <w:t>Biex matul id-39 Sessjoni tal-Assemblea tal-ICAO (fl-2016) jitħaffef il-progress għal strument xieraq, il-leġiżlaturi tal-Unjoni ddeċidew li temporanjament iqisu li r-rekwiżiti tad-Direttiva 2003/87/KE huma ssodisfati fejn jidħlu t-titjiriet minn u lejn l-ajrudromi fil-pajjiżi li mhumiex fiż-Żona Ekonomika Ewropea (iż-ŻEE)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. Wara d-39 Sessjoni tal-Assemblea tal-ICAO (fl-2016), il-Kummissjoni għandha tirrapporta lill-Parlament Ewropew u lill-Kunsill dwar l-azzjonijiet li jimplimentaw strument internazzjonali dwar miżura globali bbażata fuq is-suq mill-2020, biex l-emissjonijiet tal-gassijiet serra mill-avjazzjoni jonqsu b’mod li mhux diskriminatorju. Fir-rapport tagħha, il-Kummissjoni għandha tikkunsidra dawk l-iżviluppi fil-kamp ta' applikazzjoni adattat għall-kopertura tal-emissjonijiet tal-attività minn jew lejn l-ajrudromi li jinsabu f'pajjiżi li mhumiex fiż-ŻEE mill-1 ta' Jannar 2017 'il quddiem, u meta xieraq din għandha tinkludi proposti b'reazzjoni għalihom. </w:t>
      </w:r>
    </w:p>
    <w:p w:rsidR="00AC2B36" w:rsidRDefault="00AC2B36">
      <w:pPr>
        <w:pStyle w:val="ManualHeading2"/>
        <w:ind w:hanging="283"/>
        <w:rPr>
          <w:rFonts w:eastAsia="Arial Unicode MS"/>
          <w:noProof/>
        </w:rPr>
      </w:pPr>
      <w:bookmarkStart w:id="6" w:name="DQCErrorScopeEA04D857D62447838079FB1C237"/>
      <w:r>
        <w:rPr>
          <w:noProof/>
          <w:color w:val="000000"/>
          <w:u w:color="000000"/>
        </w:rPr>
        <w:t>•</w:t>
      </w:r>
      <w:r>
        <w:rPr>
          <w:noProof/>
        </w:rPr>
        <w:tab/>
        <w:t>Il-konsistenza ma' politiki oħrajn tal-Unjoni</w:t>
      </w:r>
    </w:p>
    <w:bookmarkEnd w:id="6"/>
    <w:p w:rsidR="00AC2B36" w:rsidRDefault="00AC2B36">
      <w:pPr>
        <w:spacing w:before="0" w:after="240"/>
        <w:rPr>
          <w:noProof/>
          <w:sz w:val="23"/>
          <w:szCs w:val="23"/>
        </w:rPr>
      </w:pPr>
      <w:r>
        <w:rPr>
          <w:noProof/>
        </w:rPr>
        <w:t>Id-Deċiżjoni proposta hija konsistenti ma’ politiki oħrajn tal-Unjoni, b'mod partikulari l-politiki tal-Unjoni għall-enerġija, għall-ambjent u għat-trasport</w:t>
      </w:r>
      <w:r>
        <w:rPr>
          <w:rStyle w:val="FootnoteReference"/>
          <w:noProof/>
        </w:rPr>
        <w:footnoteReference w:id="9"/>
      </w:r>
      <w:r>
        <w:rPr>
          <w:noProof/>
          <w:color w:val="000000"/>
        </w:rPr>
        <w:t>, u tikkumplimentahom.</w:t>
      </w:r>
    </w:p>
    <w:p w:rsidR="00AC2B36" w:rsidRDefault="00AC2B36">
      <w:pPr>
        <w:spacing w:before="0" w:after="240"/>
        <w:rPr>
          <w:noProof/>
          <w:sz w:val="23"/>
          <w:szCs w:val="23"/>
        </w:rPr>
      </w:pPr>
      <w:bookmarkStart w:id="7" w:name="DQCErrorScope70B854C7B7EC4E4491C8841F7A9"/>
      <w:r>
        <w:rPr>
          <w:noProof/>
          <w:sz w:val="23"/>
        </w:rPr>
        <w:t xml:space="preserve"> </w:t>
      </w:r>
      <w:bookmarkEnd w:id="7"/>
      <w:r>
        <w:rPr>
          <w:noProof/>
        </w:rPr>
        <w:t>Din it-tranżizzjoni lejn enerġija nadifa u globali teħtieġ bidliet fl-aġir kummerċjali u tal-investiment u inċentivi tul l-ispettru kollu tal-politika.</w:t>
      </w:r>
    </w:p>
    <w:p w:rsidR="00AC2B36" w:rsidRDefault="00AC2B36">
      <w:pPr>
        <w:pStyle w:val="ManualHeading1"/>
        <w:tabs>
          <w:tab w:val="clear" w:pos="850"/>
          <w:tab w:val="left" w:pos="426"/>
        </w:tabs>
        <w:ind w:left="426" w:hanging="426"/>
        <w:rPr>
          <w:noProof/>
        </w:rPr>
      </w:pPr>
      <w:bookmarkStart w:id="8" w:name="DQCErrorScope2339E3F9BCA543609B77F33D2DB"/>
      <w:r>
        <w:rPr>
          <w:noProof/>
        </w:rPr>
        <w:t>2.</w:t>
      </w:r>
      <w:r>
        <w:rPr>
          <w:noProof/>
        </w:rPr>
        <w:tab/>
        <w:t>IL-BAŻI ĠURIDIKA, IS-SUSSIDJARJETÀ U L-PROPORZJONALITÀ</w:t>
      </w:r>
    </w:p>
    <w:p w:rsidR="00AC2B36" w:rsidRDefault="00AC2B36">
      <w:pPr>
        <w:pStyle w:val="ManualHeading2"/>
        <w:ind w:hanging="283"/>
        <w:rPr>
          <w:rFonts w:eastAsia="Arial Unicode MS"/>
          <w:noProof/>
          <w:u w:color="000000"/>
        </w:rPr>
      </w:pPr>
      <w:bookmarkStart w:id="9" w:name="DQCErrorScope94673B5CE8574BFD83687A9C55C"/>
      <w:bookmarkEnd w:id="8"/>
      <w:r>
        <w:rPr>
          <w:noProof/>
        </w:rPr>
        <w:t>•</w:t>
      </w:r>
      <w:r>
        <w:rPr>
          <w:noProof/>
        </w:rPr>
        <w:tab/>
        <w:t>Bażi ġuridika</w:t>
      </w:r>
    </w:p>
    <w:bookmarkEnd w:id="9"/>
    <w:p w:rsidR="00AC2B36" w:rsidRDefault="00AC2B36">
      <w:pPr>
        <w:spacing w:before="0" w:after="240"/>
        <w:rPr>
          <w:noProof/>
        </w:rPr>
      </w:pPr>
      <w:r>
        <w:rPr>
          <w:noProof/>
        </w:rPr>
        <w:t xml:space="preserve">Il-proposta qed issir skont l-Artikolu 192(1), flimkien mal-Artikolu 218(9) tat-TFUE. </w:t>
      </w:r>
    </w:p>
    <w:p w:rsidR="00AC2B36" w:rsidRDefault="00AC2B36">
      <w:pPr>
        <w:spacing w:before="0" w:after="240"/>
        <w:rPr>
          <w:noProof/>
        </w:rPr>
      </w:pPr>
      <w:r>
        <w:rPr>
          <w:noProof/>
        </w:rPr>
        <w:t>L-Artikolu 218(9) tat-TFUE jistipula l-proċedura biex jiġu stabbiliti l-pożizzjonijiet f’isem l-Unjoni f’korp imwaqqaf bi ftehim, meta dak il-korp jintalab jadotta atti li jkollhom effetti legali.</w:t>
      </w:r>
    </w:p>
    <w:p w:rsidR="00AC2B36" w:rsidRDefault="00AC2B36">
      <w:pPr>
        <w:spacing w:before="0" w:after="240"/>
        <w:rPr>
          <w:noProof/>
        </w:rPr>
      </w:pPr>
      <w:r>
        <w:rPr>
          <w:noProof/>
        </w:rPr>
        <w:t>F’dan il-każ, l-att li mistennija tadotta l-Assemblea tal-ICAO ikollu l-effetti legali indikati fl-Artikolu 28a tad-Direttiva 2003/87/KE.</w:t>
      </w:r>
    </w:p>
    <w:p w:rsidR="00AC2B36" w:rsidRDefault="00AC2B36">
      <w:pPr>
        <w:spacing w:before="0" w:after="240"/>
        <w:rPr>
          <w:noProof/>
        </w:rPr>
      </w:pPr>
      <w:r>
        <w:rPr>
          <w:noProof/>
        </w:rPr>
        <w:t>F'konformità mal-Artikoli 192(1) u 191 tat-TFUE, l-Unjoni Ewropea għandha tagħti sehemha biex fost l-oħrajn jintlaħqu l-għanijiet li ġejjin: il-preservazzjoni, il-protezzjoni u t-titjib tal-kwalità tal-ambjent; il-promozzjoni ta' miżuri fil-livell internazzjonali sabiex jittrattaw problemi ambjentali reġjonali jew globali, u b'mod partikolari li jiġġieldu t-tibdil fil-klima.</w:t>
      </w:r>
    </w:p>
    <w:p w:rsidR="00AC2B36" w:rsidRDefault="00AC2B36">
      <w:pPr>
        <w:pStyle w:val="ManualHeading2"/>
        <w:ind w:hanging="283"/>
        <w:rPr>
          <w:noProof/>
          <w:sz w:val="23"/>
          <w:szCs w:val="23"/>
        </w:rPr>
      </w:pPr>
      <w:bookmarkStart w:id="10" w:name="DQCErrorScope67565317660B4903B4EF6543365"/>
    </w:p>
    <w:p w:rsidR="00AC2B36" w:rsidRDefault="00AC2B36">
      <w:pPr>
        <w:pStyle w:val="ManualHeading2"/>
        <w:ind w:hanging="283"/>
        <w:rPr>
          <w:rFonts w:eastAsia="Arial Unicode MS"/>
          <w:noProof/>
          <w:u w:color="000000"/>
        </w:rPr>
      </w:pPr>
      <w:bookmarkStart w:id="11" w:name="DQCErrorScopeF760D52F946045DAADD8889AB36"/>
      <w:bookmarkEnd w:id="10"/>
      <w:r>
        <w:rPr>
          <w:noProof/>
        </w:rPr>
        <w:t>•</w:t>
      </w:r>
      <w:r>
        <w:rPr>
          <w:noProof/>
        </w:rPr>
        <w:tab/>
        <w:t>L-għażla tal-istrument</w:t>
      </w:r>
    </w:p>
    <w:bookmarkEnd w:id="11"/>
    <w:p w:rsidR="00AC2B36" w:rsidRDefault="00AC2B36">
      <w:pP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L-Artikolu 218(9) tat-TFUE jipprovdi għal Deċiżjoni tal-Kunsill bħala l-istrumenti applikabbli.</w:t>
      </w:r>
    </w:p>
    <w:p w:rsidR="00AC2B36" w:rsidRDefault="00AC2B36">
      <w:pPr>
        <w:pStyle w:val="ManualHeading1"/>
        <w:tabs>
          <w:tab w:val="clear" w:pos="850"/>
          <w:tab w:val="left" w:pos="426"/>
        </w:tabs>
        <w:ind w:left="426" w:hanging="426"/>
        <w:rPr>
          <w:noProof/>
        </w:rPr>
      </w:pPr>
      <w:bookmarkStart w:id="12" w:name="DQCErrorScopeFD7792F9B2F647D0B9AB1EFE853"/>
      <w:r>
        <w:rPr>
          <w:noProof/>
        </w:rPr>
        <w:t>3.</w:t>
      </w:r>
      <w:r>
        <w:rPr>
          <w:noProof/>
        </w:rPr>
        <w:tab/>
        <w:t xml:space="preserve">IR-RIŻULTATI TAL-EVALWAZZJONIJIET </w:t>
      </w:r>
      <w:r>
        <w:rPr>
          <w:i/>
          <w:noProof/>
        </w:rPr>
        <w:t>EX POST</w:t>
      </w:r>
      <w:r>
        <w:rPr>
          <w:noProof/>
        </w:rPr>
        <w:t>, TAL-KONSULTAZZJONIJIET TAL-PARTIJIET KONĊERNATI U TAL-VALUTAZZJONIJIET TAL-IMPATT</w:t>
      </w:r>
    </w:p>
    <w:bookmarkEnd w:id="12"/>
    <w:p w:rsidR="00AC2B36" w:rsidRDefault="00AC2B36">
      <w:pPr>
        <w:spacing w:before="0" w:after="240"/>
        <w:rPr>
          <w:rFonts w:eastAsia="Arial Unicode MS"/>
          <w:noProof/>
        </w:rPr>
      </w:pPr>
      <w:r>
        <w:rPr>
          <w:noProof/>
        </w:rPr>
        <w:t>Mhux applikabbli</w:t>
      </w:r>
    </w:p>
    <w:p w:rsidR="00AC2B36" w:rsidRDefault="00AC2B36">
      <w:pPr>
        <w:pStyle w:val="ManualHeading1"/>
        <w:tabs>
          <w:tab w:val="clear" w:pos="850"/>
          <w:tab w:val="left" w:pos="426"/>
        </w:tabs>
        <w:ind w:left="426" w:hanging="426"/>
        <w:rPr>
          <w:noProof/>
        </w:rPr>
      </w:pPr>
      <w:bookmarkStart w:id="13" w:name="DQCErrorScope62669E124B6D4F2D9CED100DA93"/>
      <w:r>
        <w:rPr>
          <w:noProof/>
        </w:rPr>
        <w:t>4.</w:t>
      </w:r>
      <w:r>
        <w:rPr>
          <w:noProof/>
        </w:rPr>
        <w:tab/>
        <w:t>L-IMPLIKAZZJONIJIET BAĠITARJI</w:t>
      </w:r>
    </w:p>
    <w:bookmarkEnd w:id="13"/>
    <w:p w:rsidR="00AC2B36" w:rsidRDefault="00AC2B36">
      <w:pPr>
        <w:spacing w:before="0" w:after="240"/>
        <w:rPr>
          <w:rFonts w:eastAsia="Arial Unicode MS"/>
          <w:noProof/>
        </w:rPr>
      </w:pPr>
      <w:r>
        <w:rPr>
          <w:noProof/>
          <w:sz w:val="23"/>
        </w:rPr>
        <w:t>Din il-proposta ma għandhiex implikazzjoni fuq il-baġit tal-Unjoni Ewropea.</w:t>
      </w:r>
    </w:p>
    <w:p w:rsidR="00AC2B36" w:rsidRDefault="00AC2B36">
      <w:pPr>
        <w:pStyle w:val="ManualHeading1"/>
        <w:tabs>
          <w:tab w:val="clear" w:pos="850"/>
          <w:tab w:val="left" w:pos="426"/>
        </w:tabs>
        <w:ind w:left="426" w:hanging="426"/>
        <w:rPr>
          <w:noProof/>
        </w:rPr>
      </w:pPr>
      <w:bookmarkStart w:id="14" w:name="DQCErrorScope4B7B988713CA4380B54DCCA014F"/>
      <w:r>
        <w:rPr>
          <w:noProof/>
        </w:rPr>
        <w:t>5.</w:t>
      </w:r>
      <w:r>
        <w:rPr>
          <w:noProof/>
        </w:rPr>
        <w:tab/>
        <w:t>ELEMENTI OĦRA</w:t>
      </w:r>
    </w:p>
    <w:bookmarkEnd w:id="14"/>
    <w:p w:rsidR="00AC2B36" w:rsidRDefault="00AC2B36">
      <w:pPr>
        <w:spacing w:before="0" w:after="240"/>
        <w:rPr>
          <w:rFonts w:eastAsia="Arial Unicode MS"/>
          <w:noProof/>
        </w:rPr>
      </w:pPr>
      <w:r>
        <w:rPr>
          <w:noProof/>
        </w:rPr>
        <w:t>Ma japplikax</w:t>
      </w:r>
    </w:p>
    <w:p w:rsidR="00AC2B36" w:rsidRDefault="00AC2B36">
      <w:pPr>
        <w:spacing w:before="0" w:after="240"/>
        <w:rPr>
          <w:noProof/>
        </w:rPr>
      </w:pPr>
      <w:bookmarkStart w:id="15" w:name="DQCErrorScopeF683BE6658D046C59E936726263"/>
    </w:p>
    <w:p w:rsidR="00AC2B36" w:rsidRDefault="00AC2B36">
      <w:pPr>
        <w:spacing w:before="0" w:after="240"/>
        <w:rPr>
          <w:noProof/>
        </w:rPr>
      </w:pPr>
      <w:bookmarkStart w:id="16" w:name="DQCErrorScopeA1A066C89F474EF0A8B71E2C252"/>
      <w:bookmarkEnd w:id="15"/>
    </w:p>
    <w:bookmarkEnd w:id="16"/>
    <w:p w:rsidR="00AC2B36" w:rsidRDefault="00AC2B36">
      <w:pPr>
        <w:pStyle w:val="Rfrenceinterinstitutionnelle"/>
        <w:rPr>
          <w:noProof/>
        </w:rPr>
      </w:pPr>
      <w:r>
        <w:rPr>
          <w:noProof/>
        </w:rPr>
        <w:t>2016/0094 (NLE)</w:t>
      </w:r>
    </w:p>
    <w:p w:rsidR="00AC2B36" w:rsidRDefault="00AC2B36">
      <w:pPr>
        <w:pStyle w:val="Statut"/>
        <w:rPr>
          <w:noProof/>
        </w:rPr>
      </w:pPr>
      <w:r>
        <w:rPr>
          <w:noProof/>
        </w:rPr>
        <w:t>Proposta għal</w:t>
      </w:r>
    </w:p>
    <w:p w:rsidR="00AC2B36" w:rsidRDefault="00AC2B36">
      <w:pPr>
        <w:pStyle w:val="Typedudocument"/>
        <w:rPr>
          <w:noProof/>
        </w:rPr>
      </w:pPr>
      <w:r>
        <w:rPr>
          <w:noProof/>
        </w:rPr>
        <w:t>DEĊIŻJONI TAL-KUNSILL</w:t>
      </w:r>
    </w:p>
    <w:p w:rsidR="00AC2B36" w:rsidRDefault="00AC2B36">
      <w:pPr>
        <w:pStyle w:val="Titreobjet"/>
        <w:rPr>
          <w:noProof/>
        </w:rPr>
      </w:pPr>
      <w:r>
        <w:rPr>
          <w:noProof/>
        </w:rPr>
        <w:t>dwar il-pożizzjoni li għandha tiġi adottata f’isem l-Unjoni Ewropea, fir-rigward ta’ strument internazzjonali li l-korpi tal-ICAO għandhom jelaboraw bil-ħsieb li jwassal għall-implimentazzjoni ta’ miżura globali unika bbażata fuq is-suq mill-2020 li tkun tindirizza l-emissjonijiet mill-avjazzjoni internazzjonali</w:t>
      </w:r>
    </w:p>
    <w:p w:rsidR="00AC2B36" w:rsidRDefault="00AC2B36">
      <w:pPr>
        <w:rPr>
          <w:noProof/>
        </w:rPr>
      </w:pPr>
      <w:bookmarkStart w:id="17" w:name="DQCErrorScope3AA6BF8168B544819D32AB650DE"/>
      <w:r>
        <w:rPr>
          <w:noProof/>
        </w:rPr>
        <w:t xml:space="preserve"> </w:t>
      </w:r>
      <w:bookmarkEnd w:id="17"/>
      <w:r>
        <w:rPr>
          <w:noProof/>
        </w:rPr>
        <w:t>IL-KUNSILL TAL-UNJONI EWROPEA,</w:t>
      </w:r>
    </w:p>
    <w:p w:rsidR="00AC2B36" w:rsidRDefault="00AC2B36">
      <w:pPr>
        <w:rPr>
          <w:noProof/>
        </w:rPr>
      </w:pPr>
      <w:r>
        <w:rPr>
          <w:noProof/>
        </w:rPr>
        <w:t>Wara li kkunsidra t-Trattat dwar il-Funzjonament tal-Unjoni Ewropea, u b’mod partikolari l-Artikolu 192(1), flimkien mal-Artikolu 218(9) tiegħu,</w:t>
      </w:r>
    </w:p>
    <w:p w:rsidR="00AC2B36" w:rsidRDefault="00AC2B36">
      <w:pPr>
        <w:rPr>
          <w:noProof/>
        </w:rPr>
      </w:pPr>
      <w:r>
        <w:rPr>
          <w:noProof/>
        </w:rPr>
        <w:t>Wara li kkunsidra l-proposta tal-Kummissjoni Ewropea,</w:t>
      </w:r>
    </w:p>
    <w:p w:rsidR="00AC2B36" w:rsidRDefault="00AC2B36">
      <w:pPr>
        <w:rPr>
          <w:noProof/>
        </w:rPr>
      </w:pPr>
      <w:r>
        <w:rPr>
          <w:noProof/>
        </w:rPr>
        <w:t>Billi:</w:t>
      </w:r>
    </w:p>
    <w:p w:rsidR="00AC2B36" w:rsidRDefault="00AC2B36">
      <w:pPr>
        <w:ind w:left="709" w:hanging="709"/>
        <w:rPr>
          <w:noProof/>
          <w:color w:val="000000"/>
        </w:rPr>
      </w:pPr>
      <w:bookmarkStart w:id="18" w:name="DQPStarAt1DQPStarAt29A08E2759CC4ACDBEC81"/>
      <w:bookmarkStart w:id="19" w:name="DQCErrorScope747CD15C19D5494794D62D8E12E"/>
      <w:bookmarkEnd w:id="18"/>
      <w:r>
        <w:rPr>
          <w:noProof/>
        </w:rPr>
        <w:t>(1)</w:t>
      </w:r>
      <w:r>
        <w:rPr>
          <w:noProof/>
        </w:rPr>
        <w:tab/>
        <w:t xml:space="preserve">Mill-avjazzjoni internazzjonali, l-emissjonijiet tal-gassijiet serra jirrappreżentaw aktar minn 2% tal-emissjonijiet globali u qed jikbru b’mod esponenzjali, bi previżjonijiet għall-2050 li jekk kollox jibqa’ kif inhu, dawn l-emissjonijiet mill-attivitajiet tal-avjazzjoni jaf jiżdiedu aktar minn 200% meta mqabbla mal-livelli fi żmienna. </w:t>
      </w:r>
      <w:r>
        <w:rPr>
          <w:noProof/>
          <w:color w:val="000000"/>
        </w:rPr>
        <w:t>Sal-2050, għallinqas l-emissjonijiet tal-gassijiet serra għandhom jonqsu sa 50% inqas mil-livelli tagħhom fl-1990. Sabiex jinkiseb dan it-tnaqqis fl-emissjonijiet, kull settur tal-ekonomija għandu jagħti sehmu, inkluż dak tal-avjazzjoni internazzjonali.</w:t>
      </w:r>
    </w:p>
    <w:p w:rsidR="00AC2B36" w:rsidRDefault="00AC2B36">
      <w:pPr>
        <w:ind w:left="720"/>
        <w:rPr>
          <w:noProof/>
          <w:color w:val="000000"/>
        </w:rPr>
      </w:pPr>
      <w:bookmarkStart w:id="20" w:name="DQCErrorScopeB4712665D857431F93A23522C15"/>
      <w:bookmarkEnd w:id="19"/>
      <w:r>
        <w:rPr>
          <w:noProof/>
          <w:color w:val="000000"/>
        </w:rPr>
        <w:t>F'Diċembru tal-2015, il-21 Konferenza tal-Partijiet għall-Konvenzjoni tan-Nazzjonijiet Uniti dwar it-Tibdil fil-Klima ġiet konkluża b'suċċess bl-adozzjoni tal-Ftehim ta’ Pariġi li għandu l-għan jillimita ż-żieda fit-temperatura globali b'ferm inqas minn 2°C meta mqabbla mal-livelli preindustrijali, u jkompli l-isforzi biex jillimita ż-żieda fit-temperatura għal 1,5°.</w:t>
      </w:r>
    </w:p>
    <w:p w:rsidR="00AC2B36" w:rsidRDefault="00AC2B36">
      <w:pPr>
        <w:ind w:left="709" w:hanging="709"/>
        <w:rPr>
          <w:noProof/>
        </w:rPr>
      </w:pPr>
      <w:bookmarkStart w:id="21" w:name="DQCErrorScopeC5C7D0C574B74E90AB0B9F07505"/>
      <w:bookmarkEnd w:id="20"/>
      <w:r>
        <w:rPr>
          <w:noProof/>
        </w:rPr>
        <w:t>(2)</w:t>
      </w:r>
      <w:r>
        <w:rPr>
          <w:noProof/>
        </w:rPr>
        <w:tab/>
        <w:t>L-</w:t>
      </w:r>
      <w:r>
        <w:rPr>
          <w:noProof/>
          <w:color w:val="000000"/>
        </w:rPr>
        <w:t>Organizzazzjoni tal-Avjazzjoni Ċivili Internazzjonali (l-ICAO) ġiet stabbilita bil</w:t>
      </w:r>
      <w:r>
        <w:rPr>
          <w:noProof/>
        </w:rPr>
        <w:t>-Konvenzjoni ta' Chicago dwar l-Avjazzjoni Ċivili Internazzjonali tal-1944. L-Istati Membri kollha huma Partijiet Kontraenti għal dik il-Konvenzjoni u membri fl-ICAO, filwaqt li l-Unjoni għandha status ta’ osservatur f’ċertu laqgħat tal-ICAO, inkluża l-Assemblea triennali tal-ICAO. L-Unjoni u l-Istati Membri kollha tagħha huma Partijiet għall-Protokoll ta’ Kjoto tal-1997, li jobbligahom isegwu l-limitazzjoni tal-emissjonijiet tal-gassijiet serra mill-avjazzjoni internazzjonali permezz tal-ICAO. Jekk sal-2002 fl-ICAO ma tiġi miftiehma l-ebda azzjoni, id-Deċiżjoni 1600/2002/KE tal-Parlament Ewropew u tal-Kunsill titlob lill-Unjoni biex tidentifika u tieħu azzjonijiet speċifiċi ħalli jonqsu l-emissjonijiet tal-gassijiet serra mill-avjazzjoni.</w:t>
      </w:r>
    </w:p>
    <w:p w:rsidR="00AC2B36" w:rsidRDefault="00AC2B36">
      <w:pPr>
        <w:ind w:left="709" w:hanging="709"/>
        <w:rPr>
          <w:noProof/>
        </w:rPr>
      </w:pPr>
      <w:bookmarkStart w:id="22" w:name="DQCErrorScopeDF61BF89C6C645728CA9D4B1BC8"/>
      <w:bookmarkEnd w:id="21"/>
      <w:r>
        <w:rPr>
          <w:noProof/>
        </w:rPr>
        <w:t>(3)</w:t>
      </w:r>
      <w:r>
        <w:rPr>
          <w:noProof/>
        </w:rPr>
        <w:tab/>
        <w:t>It-33 Sessjoni tal-Assemblea tal-ICAO (fl-2001) approvat sistema ta' skambju miftuħ ta' kwoti tal-emissjonijiet għall-avjazzjoni internazzjonali</w:t>
      </w:r>
      <w:r>
        <w:rPr>
          <w:rStyle w:val="FootnoteReference"/>
          <w:noProof/>
        </w:rPr>
        <w:footnoteReference w:id="10"/>
      </w:r>
      <w:r>
        <w:rPr>
          <w:noProof/>
        </w:rPr>
        <w:t>. Fl-2004, il-Kumitat tal-ICAO dwar il-Protezzjoni tal-Ambjent mill-Avjazzjoni rrakkomanda li ma għandhiex tibqa' tiġi żviluppata sistema ta' skambju tal-kwoti tal-emissjonijiet speċifika għall-avjazzjoni u bbażata fuq strument legali ġdid fl-awspiċi tal-ICAO. Il-35 Sessjoni tal-Assemblea tal-ICAO (fl-2004) approvat l-iskambju miftuħ ta’ kwoti tal-emissjonijiet u l-possibilità li l-Istati jinkorporaw l-emissjonijiet mill-avjazzjoni internazzjonali fl-iskemi tagħhom tal-iskambju tal-kwoti tal-emissjonijiet</w:t>
      </w:r>
      <w:r>
        <w:rPr>
          <w:rStyle w:val="FootnoteReference"/>
          <w:noProof/>
        </w:rPr>
        <w:footnoteReference w:id="11"/>
      </w:r>
      <w:r>
        <w:rPr>
          <w:noProof/>
        </w:rPr>
        <w:t>, iżda s-36 Sessjoni tal-Assemblea tal-ICAO (fl-2007) ħeġġet l-eżenzjoni tal-operaturi tal-inġenji tal-ajru bbażati fi Stati oħra sakemm din ma tiġix miftiehma bilateralment</w:t>
      </w:r>
      <w:r>
        <w:rPr>
          <w:rStyle w:val="FootnoteReference"/>
          <w:noProof/>
        </w:rPr>
        <w:footnoteReference w:id="12"/>
      </w:r>
      <w:r>
        <w:rPr>
          <w:noProof/>
        </w:rPr>
        <w:t>. L-Unjoni, l-Istati Membri tagħha u Stati Ewropej oħra żammew id-dritt b’mod konsistenti li japplikaw miżuri bbażati fuq is-suq (MBMs), b'mod mhux diskriminatorju, għal kull operatur tal-inġenji tal-ajru li jipprovdi servizzi minn, lejn jew fit-territorju tagħhom, filwaqt li fakkru li l-Konvenzjoni ta’ Chicago tirrikonoxxi d-drittijiet tal-Partijiet li japplikaw il-liġijiet u r-regolamenti tal-ajru tagħhom għall-inġenji tal-ajru tal-Istati kollha, b'mod mhux diskriminatorju</w:t>
      </w:r>
      <w:r>
        <w:rPr>
          <w:rStyle w:val="FootnoteReference"/>
          <w:noProof/>
        </w:rPr>
        <w:footnoteReference w:id="13"/>
      </w:r>
      <w:r>
        <w:rPr>
          <w:noProof/>
        </w:rPr>
        <w:t>, li jipprovdu servizzi lejn, minn jew fit-territorju tagħhom.</w:t>
      </w:r>
    </w:p>
    <w:p w:rsidR="00AC2B36" w:rsidRDefault="00AC2B36">
      <w:pPr>
        <w:ind w:left="709" w:hanging="709"/>
        <w:rPr>
          <w:noProof/>
        </w:rPr>
      </w:pPr>
      <w:bookmarkStart w:id="23" w:name="DQCErrorScope82AE98B8D47245629E0537839AE"/>
      <w:bookmarkEnd w:id="22"/>
      <w:r>
        <w:rPr>
          <w:noProof/>
        </w:rPr>
        <w:t>(4)</w:t>
      </w:r>
      <w:r>
        <w:rPr>
          <w:noProof/>
        </w:rPr>
        <w:tab/>
        <w:t>Filwaqt li jqisu li l-limitazzjoni fl-emissjonijiet tal-gassijiet serra mill-avjazzjoni hija kontribut essenzjali f’konformità mal-impenji ta’ tnaqqis fl-emissjonijiet globali, il-Parlament Ewropew u l-Kunsill adottaw id-Direttiva 2008/101/KE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 li temenda d-Direttiva 2003/87/KE tal-Parlament Ewropew u tal-Kunsill tat-13 ta’ Ottubru 2003 li tistabbilixxi skema għall-iskambju ta’ kwoti ta’ emissjonijiet ta’ gassijiet serra ġewwa l-Komunità u li temenda d-Direttiva 96/61/KE</w:t>
      </w:r>
      <w:r>
        <w:rPr>
          <w:rStyle w:val="FootnoteReference"/>
          <w:noProof/>
        </w:rPr>
        <w:footnoteReference w:id="15"/>
      </w:r>
      <w:r>
        <w:rPr>
          <w:noProof/>
        </w:rPr>
        <w:t>. Il-ħames premessa tad-Direttiva 2008/101/KE tiddikjara li l-UE għandha tiżgura li ftehim globali bħal dan li jkollu l-ħsieb irażżan iż-żieda fit-temperatura globali, ikun fih miżuri biex jonqsu l-emissjonijiet tal-gassijiet serra mill-avjazzjoni internazzjonali u jekk dan ikun il-każ, il-Kummissjoni għandha tikkunsidra liema emendi huma meħtieġa fid-Direttiva 2003/87/KE, fejn din tapplika għall-operaturi tal-inġenji tal-ajru.</w:t>
      </w:r>
    </w:p>
    <w:p w:rsidR="00AC2B36" w:rsidRDefault="00AC2B36">
      <w:pPr>
        <w:ind w:left="709" w:hanging="709"/>
        <w:rPr>
          <w:noProof/>
          <w:color w:val="000000"/>
        </w:rPr>
      </w:pPr>
      <w:bookmarkStart w:id="24" w:name="DQCErrorScope41B93D6955F4413BACD600B3713"/>
      <w:bookmarkEnd w:id="23"/>
      <w:r>
        <w:rPr>
          <w:noProof/>
        </w:rPr>
        <w:t>(5)</w:t>
      </w:r>
      <w:r>
        <w:rPr>
          <w:noProof/>
        </w:rPr>
        <w:tab/>
        <w:t xml:space="preserve">Il-Komunikazzjoni tal-Kummissjoni lill-Parlament Ewropew u lill-Kunsill dwar </w:t>
      </w:r>
      <w:r>
        <w:rPr>
          <w:i/>
          <w:noProof/>
        </w:rPr>
        <w:t>Il-Protokoll ta’ Pariġi – Pjan ta’ Azzjoni għal ġlieda kontra t-tibdil fil-klima globali wara l-2020</w:t>
      </w:r>
      <w:r>
        <w:rPr>
          <w:rStyle w:val="FootnoteReference"/>
          <w:i/>
          <w:noProof/>
        </w:rPr>
        <w:footnoteReference w:id="16"/>
      </w:r>
      <w:r>
        <w:rPr>
          <w:noProof/>
        </w:rPr>
        <w:t xml:space="preserve"> tenfasizza li qabel tintemm l-2016, l-Organizzazzjoni tal-Avjazzjoni Ċivili Internazzjonali (l-ICAO) għandha tirregola b’mod effettiv l-emissjonijiet mill-avjazzjoni internazzjonali. Il-laqgħa li jmiss tal-Assemblea tal-ICAO se ssir fl-2016, u matulha għandu jintlaħaq ftehim fuq strument internazzjonali li jwassal għall-implimentazzjoni sal-2020 ta’ miżura globali unika bbażata fuq is-suq li tindirizza l-emissjonijiet mill-avjazzjoni internazzjonali</w:t>
      </w:r>
    </w:p>
    <w:p w:rsidR="00AC2B36" w:rsidRDefault="00AC2B36">
      <w:pPr>
        <w:autoSpaceDE w:val="0"/>
        <w:autoSpaceDN w:val="0"/>
        <w:adjustRightInd w:val="0"/>
        <w:spacing w:before="0" w:after="0"/>
        <w:ind w:left="709" w:hanging="709"/>
        <w:rPr>
          <w:noProof/>
        </w:rPr>
      </w:pPr>
      <w:bookmarkStart w:id="25" w:name="DQCErrorScopeA21F058DA0474094BE3A1ED13F7"/>
      <w:bookmarkEnd w:id="24"/>
      <w:r>
        <w:rPr>
          <w:noProof/>
          <w:color w:val="000000"/>
        </w:rPr>
        <w:t>(6)</w:t>
      </w:r>
      <w:r>
        <w:rPr>
          <w:noProof/>
        </w:rPr>
        <w:tab/>
        <w:t>It-38 Sessjoni tal-Assemblea tal-ICAO (fl-2013) iddeċidiet li l-ICAO u l-Istati Membri tagħha, flimkien mal-organizzazzjonijiet rilevanti, se jaħdmu id f'id u jagħmlu l-almu tagħhom biex tintlaħaq mira indikattiva kollettiva u globali għat-terminu medju li mill-2020, l-emissjonijiet netti u globali tal-karbonju mill-avjazzjoni internazzjonali jinżammu fl-istess livell ("l-għan tal-ICAO), u ddeċidiet li tiżviluppa miżura globali bbażata fuq is-suq għall-avjazzjoni internazzjoni u li tirrapporta r-riżultati ta' ħidmitha biex tittieħed deċiżjoni waqt id-39 Sessjoni tal-Assemblea tal-ICAO (fl-2016). Fl-2020 hu mistenni li l-emissjonijiet mill-avjazzjoni internazzjonali jkunu madwar 70% ogħla mill-2005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u b’mod konsistenti l-Unjoni u l-Istati Membri tagħha argumentaw li l-mira ta’ tnaqqis globali fl-emissjonijiet tal-gassijiet serra mill-avjazzjoni internazzjonali għandha tkun tnaqqis ta’ 10% sal-2020 meta mqabbla mal-livelli fl-2005. Iżda jidher li hu l-waqt opportun għall-Unjoni biex tippromwovi li fi żmien pjuttost qasir tiġi żviluppata miżura globali bbażata fuq is-suq ħalli l-emissjonijiet tal-gassijiet serra mill-avjazzjoni internazzjonali jiġu limitati sal-livelli tagħhom fl-2020, filwaqt li titqies il-possibbiltà li matul iż-żmien issir reviżjoni tal-mira, kif xieraq.</w:t>
      </w:r>
    </w:p>
    <w:p w:rsidR="00AC2B36" w:rsidRDefault="00AC2B36">
      <w:pPr>
        <w:ind w:left="709" w:hanging="709"/>
        <w:rPr>
          <w:noProof/>
        </w:rPr>
      </w:pPr>
      <w:bookmarkStart w:id="26" w:name="DQCErrorScope3DCAE038AE414A24B9A6C941F26"/>
      <w:bookmarkEnd w:id="25"/>
      <w:r>
        <w:rPr>
          <w:noProof/>
        </w:rPr>
        <w:t>(7)</w:t>
      </w:r>
      <w:r>
        <w:rPr>
          <w:noProof/>
        </w:rPr>
        <w:tab/>
        <w:t>Biex fl-Assemblea tal-ICAO tal-2016 jitħaffef il-progress għal strument xieraq, il-leġiżlatur tal-Unjoni ddeċieda li temporanjament iqis li r-rekwiżiti tad-Direttiva 2003/87/KE huma ssodisfati fejn jidħlu t-titjiriet minn u lejn l-ajrudromi fil-pajjiżi li mhumiex fiż-Żona Ekonomika Ewropea (iż-ŻEE). B'dan, l-Unjoni enfasizzat li r-rekwiżiti legali jistgħu jiġu applikati fejn jidħlu t-titjiriet minn u lejn l-ajrudromi li jinsabu fi Stati taż-ŻEE, bl-istess mod bħalma r-rekwiżiti legali jistgħu jiġu applikati fejn jidħlu t-titjiriet bejn dawn l-ajrudromi</w:t>
      </w:r>
      <w:r>
        <w:rPr>
          <w:rStyle w:val="FootnoteReference"/>
          <w:noProof/>
        </w:rPr>
        <w:footnoteReference w:id="18"/>
      </w:r>
      <w:r>
        <w:rPr>
          <w:noProof/>
        </w:rPr>
        <w:t>.</w:t>
      </w:r>
    </w:p>
    <w:p w:rsidR="00AC2B36" w:rsidRDefault="00AC2B36">
      <w:pPr>
        <w:pStyle w:val="Normal1"/>
        <w:ind w:left="709" w:hanging="709"/>
        <w:rPr>
          <w:noProof/>
          <w:color w:val="000000"/>
        </w:rPr>
      </w:pPr>
      <w:bookmarkStart w:id="27" w:name="DQCErrorScope8F9C7E41A4084491A302CDB542F"/>
      <w:bookmarkStart w:id="28" w:name="DQCErrorScopeC11CC767D2534A548F3CAAA21B7"/>
      <w:bookmarkEnd w:id="26"/>
      <w:r>
        <w:rPr>
          <w:noProof/>
          <w:color w:val="000000"/>
        </w:rPr>
        <w:t>(8)</w:t>
      </w:r>
      <w:r>
        <w:rPr>
          <w:noProof/>
        </w:rPr>
        <w:tab/>
      </w:r>
      <w:r>
        <w:rPr>
          <w:noProof/>
          <w:color w:val="000000"/>
        </w:rPr>
        <w:t xml:space="preserve">Kif emendata, id-Direttiva 2003/87/KE tistabbilixxi ċertu obbligi għall-Kummissjoni wara d-39 Sessjoni tal-Assemblea tal-ICAO (fl-2016). </w:t>
      </w:r>
      <w:r>
        <w:rPr>
          <w:noProof/>
        </w:rPr>
        <w:t>Il-Kummissjoni għandha tirrapporta lill-Parlament Ewropew u lill-Kunsill dwar l-azzjonijiet li jimplimentaw strument internazzjonali dwar miżura globali bbażata fuq is-suq mill-2020, biex l-emissjonijiet tal-gassijiet serra mill-avjazzjoni jonqsu b’mod li mhux diskriminatorju.</w:t>
      </w:r>
      <w:r>
        <w:rPr>
          <w:noProof/>
          <w:color w:val="000000"/>
        </w:rPr>
        <w:t xml:space="preserve"> Fir-rapport tagħha, il-Kummissjoni għandha tikkunsidra dawk l-iżviluppi fil-kamp ta' applikazzjoni adattat għall-kopertura tal-emissjonijiet tal-attività minn jew lejn l-ajrudromi li jinsabu f'pajjiżi li mhumiex fiż-ŻEE mill-1 ta' Jannar 2017 'il quddiem, u meta xieraq din għandha tinkludi proposti b'reazzjoni għalihom.</w:t>
      </w:r>
      <w:bookmarkEnd w:id="27"/>
    </w:p>
    <w:p w:rsidR="00AC2B36" w:rsidRDefault="00AC2B36">
      <w:pPr>
        <w:pStyle w:val="Normal1"/>
        <w:ind w:left="709" w:hanging="709"/>
        <w:rPr>
          <w:noProof/>
          <w:color w:val="000000"/>
          <w:highlight w:val="yellow"/>
        </w:rPr>
      </w:pPr>
      <w:bookmarkStart w:id="29" w:name="DQCErrorScope9AC847117B304E2AA2347C10EB6"/>
      <w:bookmarkStart w:id="30" w:name="DQCErrorScopeF70B70FA7E3A4586ADF47D98CFB"/>
      <w:bookmarkEnd w:id="28"/>
      <w:r>
        <w:rPr>
          <w:noProof/>
          <w:color w:val="000000"/>
        </w:rPr>
        <w:t>(9)</w:t>
      </w:r>
      <w:r>
        <w:rPr>
          <w:noProof/>
        </w:rPr>
        <w:tab/>
        <w:t>Għandha tiġi stabbilita l-pożizzjoni li trid tieħu l-Unjoni fejn jidħol l-istrument internazzjonali li jrid jinħoloq fl-ICAO bil-ħsieb li jwassal għall-implimentazzjoni ta’ miżura globali unika bbażata fuq is-suq mill-2020 għall-emissjonijiet mill-avjazzjoni internazzjonali.</w:t>
      </w:r>
      <w:bookmarkEnd w:id="29"/>
    </w:p>
    <w:p w:rsidR="00AC2B36" w:rsidRDefault="00AC2B36">
      <w:pPr>
        <w:pStyle w:val="Normal1"/>
        <w:ind w:left="709" w:hanging="709"/>
        <w:rPr>
          <w:noProof/>
        </w:rPr>
      </w:pPr>
      <w:bookmarkStart w:id="31" w:name="DQCErrorScope483BEDB85C464F9AAF0BEC694F3"/>
      <w:bookmarkStart w:id="32" w:name="DQCErrorScope08CF8D60616C4DA0B41AC190C27"/>
      <w:bookmarkEnd w:id="30"/>
      <w:r>
        <w:rPr>
          <w:noProof/>
        </w:rPr>
        <w:t>(10)</w:t>
      </w:r>
      <w:r>
        <w:rPr>
          <w:noProof/>
        </w:rPr>
        <w:tab/>
        <w:t>Hu meħtieġ li l-Unjoni tadotta pożizzjoni ferm qabel l-Assemblea tal-ICAO li jmiss,</w:t>
      </w:r>
      <w:bookmarkEnd w:id="31"/>
    </w:p>
    <w:p w:rsidR="00AC2B36" w:rsidRDefault="00AC2B36">
      <w:pPr>
        <w:rPr>
          <w:noProof/>
        </w:rPr>
      </w:pPr>
      <w:bookmarkStart w:id="33" w:name="DQCErrorScope033C572BCE774F1DB9A66B1A7F2"/>
      <w:bookmarkEnd w:id="32"/>
    </w:p>
    <w:bookmarkEnd w:id="33"/>
    <w:p w:rsidR="00AC2B36" w:rsidRDefault="00AC2B36">
      <w:pPr>
        <w:rPr>
          <w:noProof/>
        </w:rPr>
      </w:pPr>
      <w:r>
        <w:rPr>
          <w:noProof/>
        </w:rPr>
        <w:t>ADOTTA DIN ID-DEĊIŻJONI:</w:t>
      </w:r>
    </w:p>
    <w:p w:rsidR="00AC2B36" w:rsidRDefault="00AC2B36">
      <w:pPr>
        <w:pStyle w:val="Titrearticle"/>
        <w:rPr>
          <w:noProof/>
        </w:rPr>
      </w:pPr>
      <w:r>
        <w:rPr>
          <w:noProof/>
        </w:rPr>
        <w:t>Artikolu 1</w:t>
      </w:r>
    </w:p>
    <w:p w:rsidR="00AC2B36" w:rsidRDefault="00AC2B36">
      <w:pPr>
        <w:rPr>
          <w:noProof/>
        </w:rPr>
      </w:pPr>
      <w:r>
        <w:rPr>
          <w:noProof/>
        </w:rPr>
        <w:t>Il-pożizzjoni li għandha tittieħed f’isem l-Unjoni Ewropea li twassal għal strument għal miżura globali bbażata fuq is-suq fl-ICAO, għandha tkun skont l-Anness ta' din id-Deċiżjoni, u fil-korpi tal-ICAO għandha tiġi espressa mill-Kummissjoni u mill-Istati Membri li jaġixxu b’mod konġunt, fl-interess tal-Unjoni.</w:t>
      </w:r>
    </w:p>
    <w:p w:rsidR="00AC2B36" w:rsidRDefault="00AC2B36">
      <w:pPr>
        <w:pStyle w:val="Titrearticle"/>
        <w:rPr>
          <w:noProof/>
        </w:rPr>
      </w:pPr>
      <w:r>
        <w:rPr>
          <w:noProof/>
        </w:rPr>
        <w:t>Artikolu 2</w:t>
      </w:r>
    </w:p>
    <w:p w:rsidR="00AC2B36" w:rsidRDefault="00AC2B36">
      <w:pPr>
        <w:autoSpaceDE w:val="0"/>
        <w:autoSpaceDN w:val="0"/>
        <w:adjustRightInd w:val="0"/>
        <w:spacing w:before="0" w:after="0"/>
        <w:rPr>
          <w:noProof/>
        </w:rPr>
      </w:pPr>
      <w:r>
        <w:rPr>
          <w:noProof/>
        </w:rPr>
        <w:t>Lill-korpi rilevanti tal-Kunsill, il-Kummissjoni għandha żżommhom infurmati bis-sħiħ fuq id-diskussjonijiet li għaddejjin. Sabiex il-Kummissjoni tkun infurmata bis-sħiħ fuq il-fehmiet tal-Kunsill fejn tidħol l-applikazzjoni xierqa tat-termini tal-Anness, matul il-proċess il-Kummissjoni għandha tikkonsulta ma' dawn il-korpi, kull meta dan ikun meħtieġ, b'rabta mal-iżviluppi fil-korpi tal-ICAO.</w:t>
      </w:r>
    </w:p>
    <w:p w:rsidR="00AC2B36" w:rsidRDefault="00AC2B36">
      <w:pPr>
        <w:pStyle w:val="Fait"/>
        <w:rPr>
          <w:noProof/>
        </w:rPr>
      </w:pPr>
      <w:r>
        <w:rPr>
          <w:noProof/>
        </w:rPr>
        <w:t>Magħmul fi Brussell,</w:t>
      </w:r>
    </w:p>
    <w:p w:rsidR="00AC2B36" w:rsidRDefault="00AC2B36">
      <w:pPr>
        <w:pStyle w:val="Institutionquisigne"/>
        <w:rPr>
          <w:noProof/>
        </w:rPr>
      </w:pPr>
      <w:r>
        <w:rPr>
          <w:noProof/>
        </w:rPr>
        <w:tab/>
        <w:t>Għall-Kunsill</w:t>
      </w:r>
    </w:p>
    <w:p w:rsidR="00AC2B36" w:rsidRDefault="00AC2B36">
      <w:pPr>
        <w:pStyle w:val="Personnequisigne"/>
        <w:rPr>
          <w:noProof/>
        </w:rPr>
      </w:pPr>
      <w:r>
        <w:rPr>
          <w:noProof/>
        </w:rPr>
        <w:tab/>
        <w:t>Il-President</w:t>
      </w:r>
    </w:p>
    <w:sectPr w:rsidR="00AC2B36" w:rsidSect="00AC2B36">
      <w:footerReference w:type="default" r:id="rId11"/>
      <w:footerReference w:type="first" r:id="rId12"/>
      <w:pgSz w:w="11907" w:h="16839"/>
      <w:pgMar w:top="1134" w:right="1417" w:bottom="1134" w:left="1417" w:header="709" w:footer="709" w:gutter="0"/>
      <w:pgNumType w:start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36" w:rsidRDefault="00AC2B36">
      <w:pPr>
        <w:pStyle w:val="Fichefinanciretitre"/>
      </w:pPr>
      <w:r>
        <w:separator/>
      </w:r>
    </w:p>
  </w:endnote>
  <w:endnote w:type="continuationSeparator" w:id="0">
    <w:p w:rsidR="00AC2B36" w:rsidRDefault="00AC2B36">
      <w:pPr>
        <w:pStyle w:val="Fichefinanciretitre"/>
      </w:pPr>
      <w:r>
        <w:continuationSeparator/>
      </w:r>
    </w:p>
  </w:endnote>
  <w:endnote w:type="continuationNotice" w:id="1">
    <w:p w:rsidR="00AC2B36" w:rsidRDefault="00AC2B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36" w:rsidRDefault="00AC2B3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36" w:rsidRDefault="00AC2B3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36" w:rsidRDefault="00AC2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36" w:rsidRDefault="00AC2B36">
      <w:pPr>
        <w:pStyle w:val="Fichefinanciretitre"/>
      </w:pPr>
      <w:r>
        <w:separator/>
      </w:r>
    </w:p>
  </w:footnote>
  <w:footnote w:type="continuationSeparator" w:id="0">
    <w:p w:rsidR="00AC2B36" w:rsidRDefault="00AC2B36">
      <w:pPr>
        <w:pStyle w:val="Fichefinanciretitre"/>
      </w:pPr>
      <w:r>
        <w:continuationSeparator/>
      </w:r>
    </w:p>
  </w:footnote>
  <w:footnote w:type="continuationNotice" w:id="1">
    <w:p w:rsidR="00AC2B36" w:rsidRDefault="00AC2B36">
      <w:pPr>
        <w:spacing w:before="0" w:after="0"/>
      </w:pPr>
    </w:p>
  </w:footnote>
  <w:footnote w:id="2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</w:r>
      <w:r>
        <w:rPr>
          <w:color w:val="000000"/>
          <w:lang w:val="pt-PT"/>
        </w:rPr>
        <w:t>COM(2015) 81, l-4 ta' Marzu 2015</w:t>
      </w:r>
    </w:p>
  </w:footnote>
  <w:footnote w:id="3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Riżoluzzjoni tal-ICAO A38-18 (2013)</w:t>
      </w:r>
    </w:p>
  </w:footnote>
  <w:footnote w:id="4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Ir-Riżoluzzjoni tal-ICAO A33-7 (2001)</w:t>
      </w:r>
    </w:p>
  </w:footnote>
  <w:footnote w:id="5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Ir-Riżoluzzjoni tal-ICAO A35-5 (2004)</w:t>
      </w:r>
    </w:p>
  </w:footnote>
  <w:footnote w:id="6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ĠU L 275, 25.10.2003, p. 32.</w:t>
      </w:r>
    </w:p>
  </w:footnote>
  <w:footnote w:id="7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Ara r-riżervi tar-Riżoluzzjoni tal-ICAO tal-2013, fin-nota 4 ta’ qiegħ il-paġna hawn fuq.</w:t>
      </w:r>
    </w:p>
  </w:footnote>
  <w:footnote w:id="8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Ir-Regolament (UE) Nru 421/2014 tal-Parlament Ewropew u tal-Kunsill.</w:t>
      </w:r>
    </w:p>
  </w:footnote>
  <w:footnote w:id="9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COM(2016) 110 final</w:t>
      </w:r>
    </w:p>
  </w:footnote>
  <w:footnote w:id="10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Ir-Riżoluzzjoni tal-ICAO A33-7</w:t>
      </w:r>
    </w:p>
  </w:footnote>
  <w:footnote w:id="11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t-PT"/>
        </w:rPr>
        <w:tab/>
        <w:t>Ir-Riżoluzzjoni tal-ICAO A35-5</w:t>
      </w:r>
    </w:p>
  </w:footnote>
  <w:footnote w:id="12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it-IT"/>
        </w:rPr>
        <w:tab/>
        <w:t>L-Appendiċi L tar-Riżoluzzjoni A36-22</w:t>
      </w:r>
    </w:p>
  </w:footnote>
  <w:footnote w:id="13">
    <w:p w:rsidR="00AC2B36" w:rsidRDefault="00AC2B36">
      <w:pPr>
        <w:pStyle w:val="FootnoteText"/>
        <w:jc w:val="left"/>
      </w:pPr>
      <w:r>
        <w:rPr>
          <w:rStyle w:val="FootnoteReference"/>
        </w:rPr>
        <w:footnoteRef/>
      </w:r>
      <w:r>
        <w:rPr>
          <w:lang w:val="it-IT"/>
        </w:rPr>
        <w:tab/>
        <w:t xml:space="preserve">Riżervi dwar ir-Riżoluzzjoni tal-ICAO tal-2007, ir-Riżoluzzjoni tal-ICAO, tal-2010, id-Deċiżjoni tal-Kunsill tal-ICAO fl-2012 li tapprova d-Dikjarazzjoni ta’ Delhi, u ir-Riżoluzzjoni tal-ICAO tal-2013, ara </w:t>
      </w:r>
      <w:hyperlink r:id="rId1">
        <w:r>
          <w:rPr>
            <w:rStyle w:val="Hyperlink"/>
            <w:noProof/>
            <w:lang w:val="it-IT"/>
          </w:rPr>
          <w:t>http://ec.europa.eu/clima/policies/transport/aviation/documentation_en.htm</w:t>
        </w:r>
      </w:hyperlink>
      <w:r>
        <w:rPr>
          <w:lang w:val="it-IT"/>
        </w:rPr>
        <w:t xml:space="preserve"> </w:t>
      </w:r>
    </w:p>
  </w:footnote>
  <w:footnote w:id="14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l-PL"/>
        </w:rPr>
        <w:tab/>
        <w:t>ĠU L 8, 13.1.2009, p. 3</w:t>
      </w:r>
    </w:p>
  </w:footnote>
  <w:footnote w:id="15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l-PL"/>
        </w:rPr>
        <w:tab/>
        <w:t>ĠU L 275, 25.10.2003, p. 32</w:t>
      </w:r>
    </w:p>
  </w:footnote>
  <w:footnote w:id="16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l-PL"/>
        </w:rPr>
        <w:tab/>
      </w:r>
      <w:r>
        <w:rPr>
          <w:color w:val="000000"/>
          <w:lang w:val="pl-PL"/>
        </w:rPr>
        <w:t>COM(2015) 81, l-4 ta' Marzu 2015</w:t>
      </w:r>
    </w:p>
  </w:footnote>
  <w:footnote w:id="17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l-PL"/>
        </w:rPr>
        <w:tab/>
        <w:t>Ara r-riżervi tar-Riżoluzzjoni tal-ICAO tal-2013, fin-nota 4 ta’ qiegħ il-paġna hawn fuq.</w:t>
      </w:r>
    </w:p>
  </w:footnote>
  <w:footnote w:id="18">
    <w:p w:rsidR="00AC2B36" w:rsidRDefault="00AC2B36">
      <w:pPr>
        <w:pStyle w:val="FootnoteText"/>
      </w:pPr>
      <w:r>
        <w:rPr>
          <w:rStyle w:val="FootnoteReference"/>
        </w:rPr>
        <w:footnoteRef/>
      </w:r>
      <w:r>
        <w:rPr>
          <w:lang w:val="pl-PL"/>
        </w:rPr>
        <w:tab/>
        <w:t>Ir-Regolament (UE) Nru 421/2014 tal-Parlament Ewropew u tal-Kunsill tas-16 ta' April 2014 li jemenda d-Direttiva 2003/87/KE li tistabbilixxi skema għall-iskambju ta' kwoti ta' emissjonijiet ta' gassijiet serra ġewwa l-Komunità, fid-dawl tal-implimentazzjoni sal-2020 ta' ftehim internazzjonali li japplika miżura globali unika bbażata fuq is-suq għal emissjonijiet tal-avjazzjoni internazzjonali, ĠU L 129, 30.4.2014, p. 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3F49A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4C84E6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EBE08E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1"/>
    <w:multiLevelType w:val="singleLevel"/>
    <w:tmpl w:val="AED6C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06093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9E4B7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750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21010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350FB1"/>
    <w:multiLevelType w:val="multilevel"/>
    <w:tmpl w:val="30847FD6"/>
    <w:lvl w:ilvl="0">
      <w:start w:val="1"/>
      <w:numFmt w:val="decimal"/>
      <w:lvlRestart w:val="0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05E43525"/>
    <w:multiLevelType w:val="multilevel"/>
    <w:tmpl w:val="76202BFE"/>
    <w:lvl w:ilvl="0">
      <w:start w:val="1"/>
      <w:numFmt w:val="decimal"/>
      <w:lvlRestart w:val="0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12DD5905"/>
    <w:multiLevelType w:val="singleLevel"/>
    <w:tmpl w:val="6CB4B73E"/>
    <w:name w:val="List Bullet 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4E930D7"/>
    <w:multiLevelType w:val="multilevel"/>
    <w:tmpl w:val="EFD2E05E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>
    <w:nsid w:val="3E191884"/>
    <w:multiLevelType w:val="singleLevel"/>
    <w:tmpl w:val="3020C764"/>
    <w:name w:val="List Bullet 3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7">
    <w:nsid w:val="40315490"/>
    <w:multiLevelType w:val="singleLevel"/>
    <w:tmpl w:val="1F86C700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1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2">
    <w:nsid w:val="596D67A1"/>
    <w:multiLevelType w:val="singleLevel"/>
    <w:tmpl w:val="9AC8831A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4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F8C3B69"/>
    <w:multiLevelType w:val="multilevel"/>
    <w:tmpl w:val="9B14DAA8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62A8042C"/>
    <w:multiLevelType w:val="singleLevel"/>
    <w:tmpl w:val="CCF20C06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8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0">
    <w:nsid w:val="6A6901C1"/>
    <w:multiLevelType w:val="singleLevel"/>
    <w:tmpl w:val="208841AE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>
    <w:nsid w:val="6D2B5511"/>
    <w:multiLevelType w:val="singleLevel"/>
    <w:tmpl w:val="74A09970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2">
    <w:nsid w:val="78A241BD"/>
    <w:multiLevelType w:val="singleLevel"/>
    <w:tmpl w:val="53C4DF3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3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5">
    <w:nsid w:val="7D8820A0"/>
    <w:multiLevelType w:val="singleLevel"/>
    <w:tmpl w:val="54F6C7B4"/>
    <w:name w:val="List Dash 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6">
    <w:nsid w:val="7F7154E1"/>
    <w:multiLevelType w:val="singleLevel"/>
    <w:tmpl w:val="E3F6D2C6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6"/>
  </w:num>
  <w:num w:numId="10">
    <w:abstractNumId w:val="33"/>
  </w:num>
  <w:num w:numId="11">
    <w:abstractNumId w:val="13"/>
  </w:num>
  <w:num w:numId="12">
    <w:abstractNumId w:val="9"/>
  </w:num>
  <w:num w:numId="13">
    <w:abstractNumId w:val="8"/>
  </w:num>
  <w:num w:numId="14">
    <w:abstractNumId w:val="31"/>
  </w:num>
  <w:num w:numId="15">
    <w:abstractNumId w:val="30"/>
  </w:num>
  <w:num w:numId="16">
    <w:abstractNumId w:val="10"/>
  </w:num>
  <w:num w:numId="17">
    <w:abstractNumId w:val="16"/>
  </w:num>
  <w:num w:numId="18">
    <w:abstractNumId w:val="36"/>
  </w:num>
  <w:num w:numId="19">
    <w:abstractNumId w:val="17"/>
  </w:num>
  <w:num w:numId="20">
    <w:abstractNumId w:val="27"/>
  </w:num>
  <w:num w:numId="21">
    <w:abstractNumId w:val="22"/>
  </w:num>
  <w:num w:numId="22">
    <w:abstractNumId w:val="32"/>
  </w:num>
  <w:num w:numId="23">
    <w:abstractNumId w:val="35"/>
  </w:num>
  <w:num w:numId="24">
    <w:abstractNumId w:val="25"/>
  </w:num>
  <w:num w:numId="25">
    <w:abstractNumId w:val="18"/>
  </w:num>
  <w:num w:numId="26">
    <w:abstractNumId w:val="29"/>
  </w:num>
  <w:num w:numId="27">
    <w:abstractNumId w:val="15"/>
  </w:num>
  <w:num w:numId="28">
    <w:abstractNumId w:val="19"/>
  </w:num>
  <w:num w:numId="29">
    <w:abstractNumId w:val="12"/>
  </w:num>
  <w:num w:numId="30">
    <w:abstractNumId w:val="28"/>
  </w:num>
  <w:num w:numId="31">
    <w:abstractNumId w:val="11"/>
  </w:num>
  <w:num w:numId="32">
    <w:abstractNumId w:val="20"/>
  </w:num>
  <w:num w:numId="33">
    <w:abstractNumId w:val="23"/>
  </w:num>
  <w:num w:numId="34">
    <w:abstractNumId w:val="24"/>
  </w:num>
  <w:num w:numId="35">
    <w:abstractNumId w:val="14"/>
  </w:num>
  <w:num w:numId="36">
    <w:abstractNumId w:val="21"/>
  </w:num>
  <w:num w:numId="37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QCDateTime" w:val="2016-04-07 08:08:49"/>
    <w:docVar w:name="DQCHighlighting" w:val="0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22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9"/>
    <w:docVar w:name="DQCResult_UnknownFonts" w:val="0;0"/>
    <w:docVar w:name="DQCResult_UnknownStyles" w:val="0;3"/>
    <w:docVar w:name="DQCStatus" w:val="Yellow"/>
    <w:docVar w:name="DQCVersion" w:val="3"/>
    <w:docVar w:name="DQCWithWarnings" w:val="1"/>
    <w:docVar w:name="LW_CONFIDENCE" w:val=" "/>
    <w:docVar w:name="LW_CONST_RESTREINT_UE" w:val="RESTREINT UE"/>
    <w:docVar w:name="LW_CORRIGENDUM" w:val="&lt;UNUSED&gt;"/>
    <w:docVar w:name="LW_COVERPAGE_GUID" w:val="EAADB36CE51C46A3B8E4A76390AD55D3"/>
    <w:docVar w:name="LW_CROSSREFERENCE" w:val="&lt;UNUSED&gt;"/>
    <w:docVar w:name="LW_DocType" w:val="COM"/>
    <w:docVar w:name="LW_EMISSION" w:val="8.4.2016"/>
    <w:docVar w:name="LW_EMISSION_ISODATE" w:val="2016-04-08"/>
    <w:docVar w:name="LW_EMISSION_LOCATION" w:val="BRX"/>
    <w:docVar w:name="LW_EMISSION_PREFIX" w:val="Brussell, "/>
    <w:docVar w:name="LW_EMISSION_SUFFIX" w:val=" "/>
    <w:docVar w:name="LW_FAITA" w:val="Done at Brussels,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ST.SIGNE" w:val="_For the Council"/>
    <w:docVar w:name="LW_INTERETEEE.CP" w:val="&lt;UNUSED&gt;"/>
    <w:docVar w:name="LW_LANGUE" w:val="MT"/>
    <w:docVar w:name="LW_MARKING" w:val="&lt;UNUSED&gt;"/>
    <w:docVar w:name="LW_NOM.INST" w:val="IL-KUMMISSJONI EWROPEA"/>
    <w:docVar w:name="LW_NOM.INST_JOINTDOC" w:val="&lt;EMPTY&gt;"/>
    <w:docVar w:name="LW_PART_NBR" w:val="1"/>
    <w:docVar w:name="LW_PART_NBR_TOTAL" w:val="1"/>
    <w:docVar w:name="LW_PERS.SIGNE" w:val="_The President"/>
    <w:docVar w:name="LW_REF.II.NEW.CP" w:val="NLE"/>
    <w:docVar w:name="LW_REF.II.NEW.CP_NUMBER" w:val="0094"/>
    <w:docVar w:name="LW_REF.II.NEW.CP_YEAR" w:val="2016"/>
    <w:docVar w:name="LW_REF.INST.NEW" w:val="COM"/>
    <w:docVar w:name="LW_REF.INST.NEW_ADOPTED" w:val="final"/>
    <w:docVar w:name="LW_REF.INST.NEW_TEXT" w:val="(2016) 183"/>
    <w:docVar w:name="LW_REF.INTERNE" w:val="&lt;UNUSED&gt;"/>
    <w:docVar w:name="LW_SOUS.TITRE.OBJ.CP" w:val="&lt;UNUSED&gt;"/>
    <w:docVar w:name="LW_STATUT.CP" w:val="Proposta g\u295?al"/>
    <w:docVar w:name="LW_SUPERTITRE" w:val="&lt;UNUSED&gt;"/>
    <w:docVar w:name="LW_TITRE.OBJ.CP" w:val="dwar il-po\u380?izzjoni li g\u295?andha ti\u289?i adottata f\u8217?isem l-Unjoni Ewropea, fir-rigward ta\u8217? strument internazzjonali li l-korpi tal-ICAO g\u295?andhom jelaboraw bil-\u295?sieb li jwassal g\u295?all-implimentazzjoni ta\u8217? mi\u380?ura globali unika bba\u380?ata fuq is-suq mill-2020 li tkun tindirizza l-emissjonijiet mill-avjazzjoni internazzjonali"/>
    <w:docVar w:name="LW_TYPE.DOC.CP" w:val="DE\u266?I\u379?JONI TAL-KUNSILL"/>
  </w:docVars>
  <w:rsids>
    <w:rsidRoot w:val="00AC2B36"/>
    <w:rsid w:val="00A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2"/>
      <w:lang w:val="mt-MT"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b/>
      <w:bCs/>
      <w:smallCaps/>
      <w:sz w:val="24"/>
      <w:szCs w:val="28"/>
      <w:lang w:val="mt-MT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b/>
      <w:bCs/>
      <w:sz w:val="24"/>
      <w:szCs w:val="26"/>
      <w:lang w:val="mt-MT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bCs/>
      <w:i/>
      <w:sz w:val="24"/>
      <w:szCs w:val="22"/>
      <w:lang w:val="mt-MT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bCs/>
      <w:iCs/>
      <w:sz w:val="24"/>
      <w:szCs w:val="22"/>
      <w:lang w:val="mt-MT" w:eastAsia="en-GB"/>
    </w:rPr>
  </w:style>
  <w:style w:type="paragraph" w:styleId="ListNumber">
    <w:name w:val="List Number"/>
    <w:basedOn w:val="Normal"/>
    <w:uiPriority w:val="99"/>
    <w:pPr>
      <w:numPr>
        <w:numId w:val="9"/>
      </w:numPr>
    </w:pPr>
    <w:rPr>
      <w:lang w:eastAsia="de-DE"/>
    </w:rPr>
  </w:style>
  <w:style w:type="paragraph" w:customStyle="1" w:styleId="ListNumberLevel2">
    <w:name w:val="List Number (Level 2)"/>
    <w:basedOn w:val="Normal"/>
    <w:pPr>
      <w:numPr>
        <w:ilvl w:val="1"/>
        <w:numId w:val="9"/>
      </w:numPr>
    </w:pPr>
    <w:rPr>
      <w:lang w:eastAsia="de-DE"/>
    </w:rPr>
  </w:style>
  <w:style w:type="paragraph" w:customStyle="1" w:styleId="ListNumberLevel3">
    <w:name w:val="List Number (Level 3)"/>
    <w:basedOn w:val="Normal"/>
    <w:pPr>
      <w:numPr>
        <w:ilvl w:val="2"/>
        <w:numId w:val="9"/>
      </w:numPr>
    </w:pPr>
    <w:rPr>
      <w:lang w:eastAsia="de-DE"/>
    </w:rPr>
  </w:style>
  <w:style w:type="paragraph" w:customStyle="1" w:styleId="ListNumberLevel4">
    <w:name w:val="List Number (Level 4)"/>
    <w:basedOn w:val="Normal"/>
    <w:pPr>
      <w:numPr>
        <w:ilvl w:val="3"/>
        <w:numId w:val="9"/>
      </w:numPr>
    </w:pPr>
    <w:rPr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36"/>
    <w:rPr>
      <w:sz w:val="0"/>
      <w:szCs w:val="0"/>
      <w:lang w:val="mt-MT" w:eastAsia="en-GB"/>
    </w:rPr>
  </w:style>
  <w:style w:type="paragraph" w:styleId="Caption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customStyle="1" w:styleId="ListNumber1">
    <w:name w:val="List Number 1"/>
    <w:basedOn w:val="Text1"/>
    <w:pPr>
      <w:numPr>
        <w:numId w:val="10"/>
      </w:numPr>
    </w:pPr>
    <w:rPr>
      <w:lang w:eastAsia="de-DE"/>
    </w:rPr>
  </w:style>
  <w:style w:type="paragraph" w:styleId="ListNumber2">
    <w:name w:val="List Number 2"/>
    <w:basedOn w:val="Normal"/>
    <w:uiPriority w:val="99"/>
    <w:pPr>
      <w:numPr>
        <w:numId w:val="11"/>
      </w:numPr>
    </w:pPr>
    <w:rPr>
      <w:lang w:eastAsia="de-DE"/>
    </w:rPr>
  </w:style>
  <w:style w:type="paragraph" w:styleId="ListNumber3">
    <w:name w:val="List Number 3"/>
    <w:basedOn w:val="Normal"/>
    <w:uiPriority w:val="99"/>
    <w:pPr>
      <w:numPr>
        <w:numId w:val="12"/>
      </w:numPr>
    </w:pPr>
    <w:rPr>
      <w:lang w:eastAsia="de-DE"/>
    </w:rPr>
  </w:style>
  <w:style w:type="paragraph" w:styleId="ListNumber4">
    <w:name w:val="List Number 4"/>
    <w:basedOn w:val="Normal"/>
    <w:uiPriority w:val="99"/>
    <w:pPr>
      <w:numPr>
        <w:numId w:val="13"/>
      </w:numPr>
    </w:pPr>
    <w:rPr>
      <w:lang w:eastAsia="de-DE"/>
    </w:rPr>
  </w:style>
  <w:style w:type="paragraph" w:customStyle="1" w:styleId="ListNumber1Level2">
    <w:name w:val="List Number 1 (Level 2)"/>
    <w:basedOn w:val="Text1"/>
    <w:pPr>
      <w:numPr>
        <w:ilvl w:val="1"/>
        <w:numId w:val="10"/>
      </w:numPr>
    </w:pPr>
    <w:rPr>
      <w:lang w:eastAsia="de-DE"/>
    </w:rPr>
  </w:style>
  <w:style w:type="paragraph" w:customStyle="1" w:styleId="ListNumber2Level2">
    <w:name w:val="List Number 2 (Level 2)"/>
    <w:basedOn w:val="Text2"/>
    <w:pPr>
      <w:numPr>
        <w:ilvl w:val="1"/>
        <w:numId w:val="11"/>
      </w:numPr>
    </w:pPr>
    <w:rPr>
      <w:lang w:eastAsia="de-DE"/>
    </w:rPr>
  </w:style>
  <w:style w:type="paragraph" w:customStyle="1" w:styleId="ListNumber3Level2">
    <w:name w:val="List Number 3 (Level 2)"/>
    <w:basedOn w:val="Text3"/>
    <w:pPr>
      <w:numPr>
        <w:ilvl w:val="1"/>
        <w:numId w:val="12"/>
      </w:numPr>
    </w:pPr>
    <w:rPr>
      <w:lang w:eastAsia="de-DE"/>
    </w:rPr>
  </w:style>
  <w:style w:type="paragraph" w:customStyle="1" w:styleId="ListNumber4Level2">
    <w:name w:val="List Number 4 (Level 2)"/>
    <w:basedOn w:val="Text4"/>
    <w:pPr>
      <w:numPr>
        <w:ilvl w:val="1"/>
        <w:numId w:val="13"/>
      </w:numPr>
    </w:pPr>
    <w:rPr>
      <w:lang w:eastAsia="de-DE"/>
    </w:rPr>
  </w:style>
  <w:style w:type="paragraph" w:customStyle="1" w:styleId="ListNumber1Level3">
    <w:name w:val="List Number 1 (Level 3)"/>
    <w:basedOn w:val="Text1"/>
    <w:pPr>
      <w:numPr>
        <w:ilvl w:val="2"/>
        <w:numId w:val="10"/>
      </w:numPr>
    </w:pPr>
    <w:rPr>
      <w:lang w:eastAsia="de-DE"/>
    </w:rPr>
  </w:style>
  <w:style w:type="paragraph" w:customStyle="1" w:styleId="ListNumber2Level3">
    <w:name w:val="List Number 2 (Level 3)"/>
    <w:basedOn w:val="Text2"/>
    <w:pPr>
      <w:numPr>
        <w:ilvl w:val="2"/>
        <w:numId w:val="11"/>
      </w:numPr>
    </w:pPr>
    <w:rPr>
      <w:lang w:eastAsia="de-DE"/>
    </w:rPr>
  </w:style>
  <w:style w:type="paragraph" w:customStyle="1" w:styleId="ListNumber3Level3">
    <w:name w:val="List Number 3 (Level 3)"/>
    <w:basedOn w:val="Text3"/>
    <w:pPr>
      <w:numPr>
        <w:ilvl w:val="2"/>
        <w:numId w:val="12"/>
      </w:numPr>
    </w:pPr>
    <w:rPr>
      <w:lang w:eastAsia="de-DE"/>
    </w:rPr>
  </w:style>
  <w:style w:type="paragraph" w:customStyle="1" w:styleId="ListNumber4Level3">
    <w:name w:val="List Number 4 (Level 3)"/>
    <w:basedOn w:val="Text4"/>
    <w:pPr>
      <w:numPr>
        <w:ilvl w:val="2"/>
        <w:numId w:val="13"/>
      </w:numPr>
    </w:pPr>
    <w:rPr>
      <w:lang w:eastAsia="de-DE"/>
    </w:rPr>
  </w:style>
  <w:style w:type="paragraph" w:customStyle="1" w:styleId="ListNumber1Level4">
    <w:name w:val="List Number 1 (Level 4)"/>
    <w:basedOn w:val="Text1"/>
    <w:pPr>
      <w:numPr>
        <w:ilvl w:val="3"/>
        <w:numId w:val="10"/>
      </w:numPr>
    </w:pPr>
    <w:rPr>
      <w:lang w:eastAsia="de-DE"/>
    </w:rPr>
  </w:style>
  <w:style w:type="paragraph" w:customStyle="1" w:styleId="ListNumber2Level4">
    <w:name w:val="List Number 2 (Level 4)"/>
    <w:basedOn w:val="Text2"/>
    <w:pPr>
      <w:numPr>
        <w:ilvl w:val="3"/>
        <w:numId w:val="11"/>
      </w:numPr>
    </w:pPr>
    <w:rPr>
      <w:lang w:eastAsia="de-DE"/>
    </w:rPr>
  </w:style>
  <w:style w:type="paragraph" w:customStyle="1" w:styleId="ListNumber3Level4">
    <w:name w:val="List Number 3 (Level 4)"/>
    <w:basedOn w:val="Text3"/>
    <w:pPr>
      <w:numPr>
        <w:ilvl w:val="3"/>
        <w:numId w:val="12"/>
      </w:numPr>
    </w:pPr>
    <w:rPr>
      <w:lang w:eastAsia="de-DE"/>
    </w:rPr>
  </w:style>
  <w:style w:type="paragraph" w:customStyle="1" w:styleId="ListNumber4Level4">
    <w:name w:val="List Number 4 (Level 4)"/>
    <w:basedOn w:val="Text4"/>
    <w:pPr>
      <w:numPr>
        <w:ilvl w:val="3"/>
        <w:numId w:val="13"/>
      </w:numPr>
    </w:pPr>
    <w:rPr>
      <w:lang w:eastAsia="de-DE"/>
    </w:rPr>
  </w:style>
  <w:style w:type="paragraph" w:styleId="ListBullet">
    <w:name w:val="List Bullet"/>
    <w:basedOn w:val="Normal"/>
    <w:uiPriority w:val="99"/>
    <w:pPr>
      <w:numPr>
        <w:numId w:val="14"/>
      </w:numPr>
    </w:pPr>
    <w:rPr>
      <w:lang w:eastAsia="de-DE"/>
    </w:rPr>
  </w:style>
  <w:style w:type="paragraph" w:customStyle="1" w:styleId="ListBullet1">
    <w:name w:val="List Bullet 1"/>
    <w:basedOn w:val="Normal"/>
    <w:pPr>
      <w:numPr>
        <w:numId w:val="15"/>
      </w:numPr>
    </w:pPr>
    <w:rPr>
      <w:lang w:eastAsia="de-DE"/>
    </w:rPr>
  </w:style>
  <w:style w:type="paragraph" w:styleId="ListBullet2">
    <w:name w:val="List Bullet 2"/>
    <w:basedOn w:val="Normal"/>
    <w:uiPriority w:val="99"/>
    <w:pPr>
      <w:numPr>
        <w:numId w:val="16"/>
      </w:numPr>
    </w:pPr>
    <w:rPr>
      <w:lang w:eastAsia="de-DE"/>
    </w:rPr>
  </w:style>
  <w:style w:type="paragraph" w:styleId="ListBullet3">
    <w:name w:val="List Bullet 3"/>
    <w:basedOn w:val="Normal"/>
    <w:uiPriority w:val="99"/>
    <w:pPr>
      <w:numPr>
        <w:numId w:val="17"/>
      </w:numPr>
    </w:pPr>
    <w:rPr>
      <w:lang w:eastAsia="de-DE"/>
    </w:rPr>
  </w:style>
  <w:style w:type="paragraph" w:styleId="ListBullet4">
    <w:name w:val="List Bullet 4"/>
    <w:basedOn w:val="Normal"/>
    <w:uiPriority w:val="99"/>
    <w:pPr>
      <w:numPr>
        <w:numId w:val="18"/>
      </w:numPr>
    </w:pPr>
    <w:rPr>
      <w:lang w:eastAsia="de-DE"/>
    </w:rPr>
  </w:style>
  <w:style w:type="paragraph" w:customStyle="1" w:styleId="ListDash">
    <w:name w:val="List Dash"/>
    <w:basedOn w:val="Normal"/>
    <w:pPr>
      <w:numPr>
        <w:numId w:val="19"/>
      </w:numPr>
    </w:pPr>
    <w:rPr>
      <w:lang w:eastAsia="de-DE"/>
    </w:rPr>
  </w:style>
  <w:style w:type="paragraph" w:customStyle="1" w:styleId="ListDash1">
    <w:name w:val="List Dash 1"/>
    <w:basedOn w:val="Normal"/>
    <w:pPr>
      <w:numPr>
        <w:numId w:val="20"/>
      </w:numPr>
    </w:pPr>
    <w:rPr>
      <w:lang w:eastAsia="de-DE"/>
    </w:rPr>
  </w:style>
  <w:style w:type="paragraph" w:customStyle="1" w:styleId="ListDash2">
    <w:name w:val="List Dash 2"/>
    <w:basedOn w:val="Normal"/>
    <w:pPr>
      <w:numPr>
        <w:numId w:val="21"/>
      </w:numPr>
    </w:pPr>
    <w:rPr>
      <w:lang w:eastAsia="de-DE"/>
    </w:rPr>
  </w:style>
  <w:style w:type="paragraph" w:customStyle="1" w:styleId="ListDash3">
    <w:name w:val="List Dash 3"/>
    <w:basedOn w:val="Normal"/>
    <w:pPr>
      <w:numPr>
        <w:numId w:val="22"/>
      </w:numPr>
    </w:pPr>
    <w:rPr>
      <w:lang w:eastAsia="de-DE"/>
    </w:rPr>
  </w:style>
  <w:style w:type="paragraph" w:customStyle="1" w:styleId="ListDash4">
    <w:name w:val="List Dash 4"/>
    <w:basedOn w:val="Normal"/>
    <w:pPr>
      <w:numPr>
        <w:numId w:val="23"/>
      </w:numPr>
    </w:pPr>
    <w:rPr>
      <w:lang w:eastAsia="de-DE"/>
    </w:rPr>
  </w:style>
  <w:style w:type="paragraph" w:styleId="TableofFigures">
    <w:name w:val="table of figures"/>
    <w:basedOn w:val="Normal"/>
    <w:next w:val="Normal"/>
    <w:uiPriority w:val="99"/>
    <w:semiHidden/>
  </w:style>
  <w:style w:type="character" w:styleId="CommentReference">
    <w:name w:val="annotation reference"/>
    <w:basedOn w:val="DefaultParagraphFont"/>
    <w:uiPriority w:val="99"/>
    <w:semiHidden/>
    <w:rPr>
      <w:sz w:val="16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B36"/>
    <w:rPr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36"/>
    <w:rPr>
      <w:b/>
      <w:bCs/>
      <w:lang w:val="mt-MT" w:eastAsia="en-GB"/>
    </w:rPr>
  </w:style>
  <w:style w:type="character" w:styleId="Hyperlink">
    <w:name w:val="Hyperlink"/>
    <w:basedOn w:val="DefaultParagraphFont"/>
    <w:uiPriority w:val="99"/>
    <w:rPr>
      <w:color w:val="0000FF"/>
      <w:u w:val="single"/>
      <w:shd w:val="clear" w:color="auto" w:fill="auto"/>
    </w:rPr>
  </w:style>
  <w:style w:type="paragraph" w:customStyle="1" w:styleId="Normal1">
    <w:name w:val="Normal1"/>
    <w:basedOn w:val="Normal"/>
    <w:pPr>
      <w:spacing w:after="0"/>
    </w:pPr>
  </w:style>
  <w:style w:type="paragraph" w:customStyle="1" w:styleId="Default">
    <w:name w:val="Default"/>
    <w:pPr>
      <w:autoSpaceDE w:val="0"/>
      <w:autoSpaceDN w:val="0"/>
      <w:adjustRightInd w:val="0"/>
      <w:spacing w:after="200" w:line="276" w:lineRule="auto"/>
    </w:pPr>
    <w:rPr>
      <w:rFonts w:ascii="Symbol" w:hAnsi="Symbol" w:cs="Symbol"/>
      <w:color w:val="000000"/>
      <w:sz w:val="24"/>
      <w:szCs w:val="24"/>
      <w:lang w:val="en-GB" w:eastAsia="en-GB"/>
    </w:rPr>
  </w:style>
  <w:style w:type="character" w:customStyle="1" w:styleId="super">
    <w:name w:val="super"/>
    <w:rPr>
      <w:sz w:val="17"/>
      <w:shd w:val="clear" w:color="auto" w:fill="auto"/>
      <w:vertAlign w:val="superscript"/>
    </w:rPr>
  </w:style>
  <w:style w:type="paragraph" w:styleId="Revision">
    <w:name w:val="Revision"/>
    <w:hidden/>
    <w:uiPriority w:val="99"/>
    <w:semiHidden/>
    <w:pPr>
      <w:spacing w:after="200" w:line="276" w:lineRule="auto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eastAsia="Times New Roman"/>
      <w:sz w:val="22"/>
      <w:lang w:val="mt-MT"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/>
      <w:sz w:val="24"/>
      <w:shd w:val="clear" w:color="auto" w:fill="auto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/>
      <w:sz w:val="20"/>
      <w:shd w:val="clear" w:color="auto" w:fill="auto"/>
      <w:lang w:val="en-GB" w:eastAsia="x-none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rPr>
      <w:color w:val="0000FF"/>
      <w:shd w:val="clear" w:color="auto" w:fill="auto"/>
    </w:rPr>
  </w:style>
  <w:style w:type="character" w:customStyle="1" w:styleId="Marker1">
    <w:name w:val="Marker1"/>
    <w:rPr>
      <w:color w:val="008000"/>
      <w:shd w:val="clear" w:color="auto" w:fill="auto"/>
    </w:rPr>
  </w:style>
  <w:style w:type="character" w:customStyle="1" w:styleId="Marker2">
    <w:name w:val="Marker2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rPr>
      <w:b/>
      <w:u w:val="single"/>
      <w:shd w:val="clear" w:color="auto" w:fill="auto"/>
    </w:rPr>
  </w:style>
  <w:style w:type="character" w:customStyle="1" w:styleId="Deleted">
    <w:name w:val="Deleted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79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79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88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879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88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0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14" Type="http://schemas.openxmlformats.org/officeDocument/2006/relationships/theme" Target="theme/theme1.xml"/><Relationship Id="rId9" Type="http://schemas.openxmlformats.org/officeDocument/2006/relationships/image" Target="media/image1.jpeg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ec.europa.eu/clima/policies/transport/aviation/documentation_en.ht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2544-CE25-44D0-A987-F20CB44D2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22CA-1173-4288-BEAF-4D07C0BA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3</TotalTime>
  <Pages>8</Pages>
  <Words>1914</Words>
  <Characters>14457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cp:lastPrinted>2016-03-08T15:52:00Z</cp:lastPrinted>
  <dcterms:created xsi:type="dcterms:W3CDTF">2016-04-07T06:08:00Z</dcterms:created>
  <dcterms:modified xsi:type="dcterms:W3CDTF">2016-04-07T12:57:00Z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5.8.40.0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5.8, Build 20111205</vt:lpwstr>
  </property>
  <property fmtid="{D5CDD505-2E9C-101B-9397-08002B2CF9AE}" pid="7" name="_NewReviewCycle">
    <vt:lpwstr/>
  </property>
  <property fmtid="{D5CDD505-2E9C-101B-9397-08002B2CF9AE}" pid="8" name="LWTemplateID">
    <vt:lpwstr>SJ-019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DQCStatus">
    <vt:lpwstr>Yellow (DQC version 03)</vt:lpwstr>
  </property>
  <property name="OP_sanitized" fmtid="{D5CDD505-2E9C-101B-9397-08002B2CF9AE}" pid="12">
    <vt:lpwstr>True</vt:lpwstr>
  </property>
</Properties>
</file>