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Pagedecouverture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2" type="#_x0000_t75" alt="DE9E32F2F5B241CB97879FDB3E46E56A" style="width:450.45pt;height:324.9pt">
            <v:imagedata r:id="rId9" o:title=""/>
          </v:shape>
        </w:pict>
      </w:r>
    </w:p>
    <w:p>
      <w:pPr>
        <w:rPr>
          <w:noProof/>
        </w:rPr>
        <w:sectPr>
          <w:footerReference w:type="default" r:id="rId10"/>
          <w:pgSz w:w="11907" w:h="16839"/>
          <w:pgMar w:top="1134" w:right="1417" w:bottom="1134" w:left="1417" w:header="709" w:footer="709" w:gutter="0"/>
          <w:pgNumType w:start="1"/>
          <w:cols w:space="720"/>
          <w:docGrid w:linePitch="360"/>
        </w:sectPr>
      </w:pPr>
    </w:p>
    <w:p>
      <w:pPr>
        <w:pStyle w:val="Exposdesmotifstitre"/>
        <w:rPr>
          <w:noProof/>
        </w:rPr>
      </w:pPr>
      <w:bookmarkStart w:id="0" w:name="_GoBack"/>
      <w:bookmarkEnd w:id="0"/>
    </w:p>
    <w:p>
      <w:pPr>
        <w:rPr>
          <w:noProof/>
        </w:rPr>
      </w:pPr>
    </w:p>
    <w:p>
      <w:pPr>
        <w:pStyle w:val="Statut"/>
        <w:rPr>
          <w:noProof/>
        </w:rPr>
      </w:pPr>
      <w:r>
        <w:rPr>
          <w:noProof/>
        </w:rPr>
        <w:t>Rakkomandazzjoni għal</w:t>
      </w:r>
    </w:p>
    <w:p>
      <w:pPr>
        <w:pStyle w:val="Typedudocument"/>
        <w:rPr>
          <w:noProof/>
        </w:rPr>
      </w:pPr>
      <w:r>
        <w:rPr>
          <w:noProof/>
        </w:rPr>
        <w:t>RAKKOMANDAZZJONI TAL-KUNSILL</w:t>
      </w:r>
    </w:p>
    <w:p>
      <w:pPr>
        <w:pStyle w:val="Titreobjet"/>
        <w:rPr>
          <w:noProof/>
        </w:rPr>
      </w:pPr>
      <w:r>
        <w:rPr>
          <w:noProof/>
        </w:rPr>
        <w:t>dwar il-politika ekonomika taż-żona tal-euro</w:t>
      </w:r>
    </w:p>
    <w:p>
      <w:pPr>
        <w:pStyle w:val="Institutionquiagit"/>
        <w:rPr>
          <w:noProof/>
        </w:rPr>
      </w:pPr>
      <w:r>
        <w:rPr>
          <w:noProof/>
        </w:rPr>
        <w:t>IL-KUNSILL TAL-UNJONI EWROPEA,</w:t>
      </w:r>
    </w:p>
    <w:p>
      <w:pPr>
        <w:autoSpaceDE w:val="0"/>
        <w:autoSpaceDN w:val="0"/>
        <w:adjustRightInd w:val="0"/>
        <w:spacing w:after="0"/>
        <w:rPr>
          <w:noProof/>
          <w:szCs w:val="24"/>
        </w:rPr>
      </w:pPr>
      <w:r>
        <w:rPr>
          <w:noProof/>
        </w:rPr>
        <w:t>Wara li kkunsidra t-Trattat dwar il-Funzjonament tal-Unjoni Ewropea, u b’mod partikolari l-Artikolu 136, flimkien mal-Artikolu 121(2) tiegħu,</w:t>
      </w:r>
    </w:p>
    <w:p>
      <w:pPr>
        <w:autoSpaceDE w:val="0"/>
        <w:autoSpaceDN w:val="0"/>
        <w:adjustRightInd w:val="0"/>
        <w:spacing w:after="0"/>
        <w:rPr>
          <w:noProof/>
          <w:szCs w:val="24"/>
        </w:rPr>
      </w:pPr>
      <w:r>
        <w:rPr>
          <w:noProof/>
        </w:rPr>
        <w:t>Wara li kkunsidra r-Regolament tal-Kunsill (KE) Nru 1466/97 tas-7 ta’ Lulju 1997 dwar it-tisħiħ tas-sorveljanza ta' pożizzjonijiet tal-baġit u s-sorveljanza u l-koordinazzjoni tal-politika ekonomika</w:t>
      </w:r>
      <w:r>
        <w:rPr>
          <w:rStyle w:val="FootnoteReference"/>
          <w:noProof/>
        </w:rPr>
        <w:footnoteReference w:id="2"/>
      </w:r>
      <w:r>
        <w:rPr>
          <w:noProof/>
        </w:rPr>
        <w:t>, u partikolarment l-Artikolu 5(2) tiegħu,</w:t>
      </w:r>
    </w:p>
    <w:p>
      <w:pPr>
        <w:autoSpaceDE w:val="0"/>
        <w:autoSpaceDN w:val="0"/>
        <w:adjustRightInd w:val="0"/>
        <w:spacing w:after="0"/>
        <w:rPr>
          <w:noProof/>
          <w:szCs w:val="24"/>
        </w:rPr>
      </w:pPr>
      <w:r>
        <w:rPr>
          <w:noProof/>
        </w:rPr>
        <w:t>Wara li kkunsidra r-Regolament (UE) Nru 1176/2011 tal-Parlament Ewropew u tal-Kunsill tas-16 ta' Novembru 2011 dwar il-prevenzjoni u l-korrezzjoni tal-iżbilanċi makroekonomiċi</w:t>
      </w:r>
      <w:r>
        <w:rPr>
          <w:rStyle w:val="FootnoteReference"/>
          <w:noProof/>
        </w:rPr>
        <w:footnoteReference w:id="3"/>
      </w:r>
      <w:r>
        <w:rPr>
          <w:noProof/>
        </w:rPr>
        <w:t>, u b'mod partikolari l-Artikolu 6(1) tiegħu,</w:t>
      </w:r>
    </w:p>
    <w:p>
      <w:pPr>
        <w:autoSpaceDE w:val="0"/>
        <w:autoSpaceDN w:val="0"/>
        <w:adjustRightInd w:val="0"/>
        <w:spacing w:after="0"/>
        <w:rPr>
          <w:noProof/>
          <w:sz w:val="16"/>
          <w:szCs w:val="16"/>
        </w:rPr>
      </w:pPr>
      <w:r>
        <w:rPr>
          <w:noProof/>
        </w:rPr>
        <w:t>Wara li kkunsidra r-rakkomandazzjoni tal-Kummissjoni Ewropea,</w:t>
      </w:r>
    </w:p>
    <w:p>
      <w:pPr>
        <w:autoSpaceDE w:val="0"/>
        <w:autoSpaceDN w:val="0"/>
        <w:adjustRightInd w:val="0"/>
        <w:spacing w:after="0"/>
        <w:rPr>
          <w:noProof/>
          <w:szCs w:val="24"/>
        </w:rPr>
      </w:pPr>
      <w:r>
        <w:rPr>
          <w:noProof/>
        </w:rPr>
        <w:t>Wara li kkunsidra l-konklużjonijiet tal-Kunsill Ewropew,</w:t>
      </w:r>
    </w:p>
    <w:p>
      <w:pPr>
        <w:autoSpaceDE w:val="0"/>
        <w:autoSpaceDN w:val="0"/>
        <w:adjustRightInd w:val="0"/>
        <w:spacing w:after="0"/>
        <w:rPr>
          <w:noProof/>
          <w:szCs w:val="24"/>
        </w:rPr>
      </w:pPr>
      <w:r>
        <w:rPr>
          <w:noProof/>
        </w:rPr>
        <w:t>Wara li kkunsidra l-opinjoni tal-Kumitat Ekonomiku u Finanzjarju,</w:t>
      </w:r>
    </w:p>
    <w:p>
      <w:pPr>
        <w:rPr>
          <w:noProof/>
          <w:szCs w:val="24"/>
        </w:rPr>
      </w:pPr>
      <w:r>
        <w:rPr>
          <w:noProof/>
        </w:rPr>
        <w:t>Wara li kkunsidra l-opinjoni tal-Kumitat tal-Politika Ekonomika,</w:t>
      </w:r>
    </w:p>
    <w:p>
      <w:pPr>
        <w:rPr>
          <w:noProof/>
          <w:color w:val="000000"/>
          <w:szCs w:val="24"/>
        </w:rPr>
      </w:pPr>
      <w:r>
        <w:rPr>
          <w:noProof/>
          <w:color w:val="000000"/>
        </w:rPr>
        <w:t xml:space="preserve">Billi: </w:t>
      </w:r>
    </w:p>
    <w:p>
      <w:pPr>
        <w:pStyle w:val="ManualConsidrant"/>
        <w:rPr>
          <w:noProof/>
        </w:rPr>
      </w:pPr>
      <w:r>
        <w:rPr>
          <w:noProof/>
        </w:rPr>
        <w:t>(1)</w:t>
      </w:r>
      <w:r>
        <w:rPr>
          <w:noProof/>
        </w:rPr>
        <w:tab/>
        <w:t xml:space="preserve">L-irkupru ekonomiku fiż-żona tal-euro għadu għaddej, iżda għadu fraġli. Kien hemm progress sinjifikanti matul l-aħħar snin: Mill-2015, il-PDG taż-żona tal-euro mar lura għal-livell ta’ qabel il-kriżi f’termini reali u l-qgħad naqas għal-livell l-aktar baxx mill-2010-11. Madankollu d-domanda aggregata għadha batuta, l-inflazzjoni qiegħda ’l isfel sew mill-mira, minkejja politika monetarja akkomodanti ħafna mill-Bank Ċentrali Ewropew, u  t-tkabbir hu mxekkel minn dak li ħalliet warajha l-kriżi, bħal żbilanċi makroekonomiċi persistenti u livell għoli ta’ dejn fis-setturi kollha tal-ekonomija, li jirrikjedu diżingranaġġ u t-tnaqqis tar-riżorsi disponibbli għall-konsum u l-investiment. Barra minn hekk, filwaqt li l-potenzjal ta’ tkabbir tal-ekonomija taż-żona tal-euro kellu t-tendenza ta’ tnaqqis fit-tul, din kienet aċċentwata aktar mill-kriżi. Minkejja sinjali ta’ titjib, il-lakuna persistenti tal-investimenti u l-livelli għolja ta’ qgħad joħolqu r-riskji ulterjuri ta’ prospetti ta’ tkabbir batuti. Ippersistiet in-natura assimetrika tal-ibbilanċjar mill-ġdid tal-ekonomija taż-żona tal-euro, u kienu biss il-pajjiżi debituri netti li kkoreġew l-iżbilanċi tagħhom, u qed iwasslu għal żieda fil-bilanċ pożittiv tal-kont kurrenti. Bħala parti minn ftehim globali fi ħdan il-G20, l-Istati </w:t>
      </w:r>
      <w:r>
        <w:rPr>
          <w:noProof/>
        </w:rPr>
        <w:lastRenderedPageBreak/>
        <w:t>Membri taż-żona tal-euro huma msejħa biex jużaw l-għodod kollha tal-politika monetarja, fiskali u strutturali — individwalment u kollettivament — biex jiksbu tkabbir b’saħħtu, sostenibbli, ibbilanċjat u inklużiv.</w:t>
      </w:r>
    </w:p>
    <w:p>
      <w:pPr>
        <w:pStyle w:val="ManualConsidrant"/>
        <w:rPr>
          <w:noProof/>
        </w:rPr>
      </w:pPr>
      <w:r>
        <w:rPr>
          <w:noProof/>
        </w:rPr>
        <w:t>(2)</w:t>
      </w:r>
      <w:r>
        <w:rPr>
          <w:noProof/>
        </w:rPr>
        <w:tab/>
        <w:t>Riformi strutturali ambizzjużi għandhom jiffaċilitaw ir-riallokazzjoni effiċjenti u bla xkiel ta’ riżorsi umani kif ukoll ta’ kapital, jgħinu biex jiġu indirizzati l-isfidi ta’ bidliet teknoloġiċi u strutturali kontinwi. Huma meħtieġa riformi li joħolqu klima li tgħin lin-negozju, jikkompletaw is-Suq Uniku u jneħħu l-ostakli għall-investiment. Dawn l-isforzi huma kruċjali sabiex jiżdiedu l-produttività u l-impjiegi, tissaħħaħ il-konverġenza u jissaħħu t-tkabbir potenzjali u l-kapaċità ta’ aġġustament tal-ekonomija taż-żona tal-euro. L-implimentazzjoni tar-riforma strutturali, bil-ħolqien ta’ swieq effiċjenti b’mekkaniżmi reattivi ta’ prezzijiet, tappoġġja l-politika monetarja billi tiffaċilita t-trasmissjoni tagħha fl-ekonomija reali. Ir-riformi li jneħħu x-xkiel għall-investiment u jappoġġjaw l-investiment jistgħu jiksbu benefiċċju doppju b’appoġġ għall-attività ekonomika fuq perjodu qasir ta’ żmien u ħolqien ta’ kapaċità għal tkabbir fit-tul. Ir-riformi li jtejbu l-produttività huma partikolarment importanti għall-Istati Membri bi bżonnijiet kbar ta’ diżingranaġġ marbuta ma’ dejn estern għoli, hekk kif tkabbir iktar mgħaġġel jikkontribwixxi għat-tnaqqis tad-dejn bħala proporzjoni tal-PDG. It-tisħiħ tal-kompetittività tal-prezzijiet u dik mhux marbuta mal-prezzijiet jikkontribwixxi ulterjorment għall-ibbilanċjar mill-ġdid estern f’dawk il-pajjiżi. L-Istati Membri b’bilanċi favorevoli kbar fil-kontijiet kurrenti jistgħu jikkontribwixxu għall-ibbilanċjar mill-ġdid fiż-żona tal-euro billi jiġu introdotti miżuri, inklużi riformi strutturali, li jiffaċilitaw il-mogħtija tat-tfaddil eċċessiv lejn id-domanda domestika, b’mod partikolari billi jissaħħaħ l-investiment. Il-kuntest attwali ta’ rati ta’ imgħax baxxi joffri wkoll opportunitajiet addizzjonali f’dan ir-rigward, partikolarment f’pajjiżi bi spazju fiskali sinifikanti.</w:t>
      </w:r>
    </w:p>
    <w:p>
      <w:pPr>
        <w:pStyle w:val="ManualConsidrant"/>
        <w:rPr>
          <w:noProof/>
        </w:rPr>
      </w:pPr>
      <w:r>
        <w:rPr>
          <w:noProof/>
        </w:rPr>
        <w:t>(3)</w:t>
      </w:r>
      <w:r>
        <w:rPr>
          <w:noProof/>
        </w:rPr>
        <w:tab/>
        <w:t>Koordinazzjoni aħjar tal-implimentazzjoni tar-riformi strutturali, inklużi dawk preskritti fir-rakkomandazzjonijiet speċifiċi għall-pajjiż u dawk meħtieġa biex jikkompletaw l-Unjoni Ekonomika u Monetarja, tista’ tiġġenera effetti pożittivi fl-Istati Membri u ssaħħaħ l-effetti pożittivi tagħhom fuq perjodu qasir ta’ żmien. Id-diskussjonijiet tematiċi tal-Grupp tal-Euro fil-fatt kellhom valur siewi biex jinbena fehim komuni tal-prijoritajiet ta’ riforma fiż-żona tal-euro, fejn kien hemm kondiviżjoni tal-aħjar prattiki, promozzjoni tal-implimentazzjoni tar-riforma u tal-konverġenza strutturali. Il-Grupp tal-Euro għandu jissokta b’dawn id-diskussjonijiet, u fejn ikun possibbli jsaħħaħhom, fejn jagħmel użu effettiv ta’ prinċipji u valutazzjoni komparattiva komuni u miftiehma. Il-Bordijiet Nazzjonali ta’ Produttività, li għandhom jiġu stabbiliti b’reazzjoni għar-rakkomandazzjoni tal-Kunsill adottata fl-20 ta’ Settembru 2016</w:t>
      </w:r>
      <w:r>
        <w:rPr>
          <w:rStyle w:val="FootnoteReference"/>
          <w:noProof/>
        </w:rPr>
        <w:footnoteReference w:id="4"/>
      </w:r>
      <w:r>
        <w:rPr>
          <w:noProof/>
        </w:rPr>
        <w:t>, jistgħu jikkontribwixxu wkoll għad-dibattitu fil-livell nazzjonali u għat-tfassil ta’ riformi strutturali meħtieġa għall-Istati Membri fil-kuntest tal-ekonomija taż-żona tal-euro.</w:t>
      </w:r>
    </w:p>
    <w:p>
      <w:pPr>
        <w:pStyle w:val="ManualConsidrant"/>
        <w:rPr>
          <w:noProof/>
        </w:rPr>
      </w:pPr>
      <w:r>
        <w:rPr>
          <w:noProof/>
        </w:rPr>
        <w:t>(4)</w:t>
      </w:r>
      <w:r>
        <w:rPr>
          <w:noProof/>
        </w:rPr>
        <w:tab/>
        <w:t xml:space="preserve">Hija essenzjali koordinazzjoni b’saħħitha ta’ politiki fiskali nazzjonali, ibbażati fuq regoli komuni, biex wieħed jasal għal pożizzjoni fiskali aggregata xierqa  u għall-funzjonament tajjeb tal-unjoni monetarja. Ir-regoli fiskali komuni huma mmirati fid-direzzjoni ta’ sostenibbiltà tad-dejn fil-livell nazzjonali, filwaqt li jiġi pprovdut spazju għal stabbilizzazzjoni makroekonomika. Il-pożizzjonijiet fiskali nazzjonali u dawk </w:t>
      </w:r>
      <w:r>
        <w:rPr>
          <w:noProof/>
        </w:rPr>
        <w:lastRenderedPageBreak/>
        <w:t xml:space="preserve">aggregati taż-żona tal-euro għalhekk għandhom jibbilanċjaw l-objettiv doppju tal-iżgurar tas-sostenibbiltà fit-tul tal-finanzi pubbliċi nazzjonali u l-istabbilizzazzjoni makroekonomika fuq perjodu qasir ta’ żmien kemm fil-livell ta’ pajjiż kif ukoll fil-livell taż-żona tal-euro. Fl-istadju attwali ta’ inċertezza kbira dwar is-saħħa tal-irkupru u l-livell taL-kapaċità żejda fl-ekonomija, meta l-politika monetarja wasslet għal akkomodazzjoni sostanzjali, hi meħtieġa politika fiskali fil-livell taż-żona tal-euro biex tikkumplimenta l-politika monetarja fl-appoġġ tad-domanda, speċjalment fl-investiment, u biex wieħed jimxi lil hinn minn inflazzjoni baxxa. L-effettività tal-politika fiskali, inklużi l-effetti ta’ riperkussjoni madwar il-pajjiżi, hi msaħħa mill-kuntest ta’ rati baxxi ta’ imgħax. Għalhekk hemm każ biex wieħed jirrakkomanda pożizzjoni fiskali aktar pożittiva għaż-żona tal-euro kollha kemm hi. Għall-2017, </w:t>
      </w:r>
      <w:r>
        <w:rPr>
          <w:noProof/>
        </w:rPr>
        <w:br/>
        <w:t>il-Kummissjoni tikkunsidra li wieħed jixtieq espansjoni fiskali ta’ mhux anqas minn 0.5% tal-PDG fil-livell taż-żona tal-euro kollha kemm hi fiċ-ċirkostanzi preżenti</w:t>
      </w:r>
      <w:r>
        <w:rPr>
          <w:rStyle w:val="FootnoteReference"/>
          <w:noProof/>
        </w:rPr>
        <w:footnoteReference w:id="5"/>
      </w:r>
      <w:r>
        <w:rPr>
          <w:noProof/>
        </w:rPr>
        <w:t xml:space="preserve">. Din hi mira prudenti u prammatika, fi ħdan firxa ta’ miri possibbli li għandha livell inferjuri ta’ 0,3% u livell superjuri ta’ 0,8%, sabiex tibbilanċja d-diffikultajiet kemm tal-istabbilizzazzjoni makroekonomika u kemm tas-sostenibbiltà fiskali. Fl-istess ħin, id-dejn pubbliku għadu għoli u għad hemm il-ħtieġa ta’ finanzi pubbliċi sostenibbli f’terminu medju f’għadd ta’ Stati Membri. Għal din ir-raġuni, huwa neċessarju li jiġi żgurat li jkun hemm divrenzjar xieraq ta’ sforzi fiskali fl-Istati Membri, b’kont meħud ta’ spazju fiskali skont ir-regoli u effetti konsegwenzjali fost il-pajjiżi taż-żona tal-euro. L-Istati Membri li qed jissuperaw l-issodisfar tal-objettivi fiskali tagħhom għandhom jużaw l-ispazju fiskali tagħhom għall-appoġġ tad-domanda domestika u l-investimenti ta’ kwalità, inklużi dawk transfruntieri fil-kuntest tal-Pjan ta’ Investiment għall-Ewropa. Per eżempju, il-garanziji tal-Fond Ewropew għall-Investimenti Strateġiċi huma mezz partikolarment effettiv għall-Istati Membri bi spazju fiskali biex jimmassimizzaw l-impatt fuq l-ekonomija reali u l-irkupru fiż-żona tal-euro. L-Istati Membri li jeħtieġu aġġustamenti fiskali ulterjuri taħt il-fergħa preventiva tal-Patt għandhom jiżguraw li b’mod ġenerali jkunu konformi mar-rekwiżiti tal-Patt ta’ Stabbiltà u Tkabbir għas-sena li ġejja. Taħt il-fergħa korrettiva tal-Patt, jeħtieġ li l-Istati Membri jiżguraw korrezzjoni fil-ħin tad-defiċits eċċessivi tagħhom, inkluż billi jipprovdu buffers fiskali fil-konfront ta’ ċirkostanzi imprevedibbli. Ir-riformi strutturali, b’mod partikolari dawk li jżidu l-produttività, jappoġġjaw it-tkabbir u jtejbu s-sostenibbiltà tal-finanzi pubbliċi. Barra minn hekk, titjib deċiżiv tal-kompożizzjoni u l-ġestjoni tal-baġits nazzjonali, kemm fuq in-naħa tad-dħul kif ukoll fuq in-naħa tan-nefqa, billi jċaqilqu r-riżorsi lejn investiment tanġibbli u intanġibbli, jżidu l-impatt tal-baġits fuq id-domanda fuq medda qasira ta’ żmien qasir u fuq il-produttività fit-tul. Huma meħtieġa oqfsa fiskali nazzjonali effettivi biex tissaħħaħ il-kredibbiltà tal-politiki tal-Istati Membri u tgħin biex jinstab l-aħjar bilanċ bejn l-istabbilizzazzjoni makroekonomika fuq medda qasira ta’ żmien, is-sostenibbiltà tad-dejn u t-tkabbir fit-tul. </w:t>
      </w:r>
    </w:p>
    <w:p>
      <w:pPr>
        <w:pStyle w:val="ManualConsidrant"/>
        <w:rPr>
          <w:noProof/>
        </w:rPr>
      </w:pPr>
      <w:r>
        <w:rPr>
          <w:noProof/>
        </w:rPr>
        <w:t>(5)</w:t>
      </w:r>
      <w:r>
        <w:rPr>
          <w:noProof/>
        </w:rPr>
        <w:tab/>
        <w:t xml:space="preserve">Is-swieq tax-xogħol qed ikomplu jirkupraw gradwalment fiż-żona tal-euro, bi tnaqqis kostanti fil-qgħad. Madankollu, il-qgħad fit-tul u l-qgħad fost iż-żgħażagħ għadhom għoljin, filwaqt li l-faqar stabbilizza ruħu f’livell għoli f’bosta Stati Membri. Minkejja xi progress fir-rigward ta’ riformi biex titjieb ir-reżiljenza u l-kapaċità ta’ aġġustament tas-swieq tax-xogħol, għad hemm differenzi sinifikanti madwar iż-żona tal-euro, li qed </w:t>
      </w:r>
      <w:r>
        <w:rPr>
          <w:noProof/>
        </w:rPr>
        <w:lastRenderedPageBreak/>
        <w:t xml:space="preserve">ikompli jpoġġu jxekklu l-funzjonament taż-żona tal-euro. Sistemi mfassla tajjeb, ġusti u inklużivi tas-suq tax-xogħol, tal-protezzjoni soċjali u tat-taxxa u dawk ta’ benefiċċju huma meħtieġa għal riallokazzjoni kostanti u bla xkliel tal-ħaddiema lejn aktar attivitajiet produttivi, biex jappoġġaw ir-(ri)integrazzjoni ta’ dawk li huma affettwati minn tranżizzjonijiet bejn xogħlijiet jew li jiġu esklużi mis-suq tax-xogħol, biex titnaqqas is-segmentazzjoni, tiġi promossa l-ġustizzja soċjali, inkluż billi jiżdiedu l-opportunitajiet ta’ impjiegi ta’ kwalità. Dawn se jwasslu wkoll għal aktar stabbilizzazzjoni awtomatika effettiva u għal tkabbir aktar b’saħħtu u impjiegi li huma importanti biex jiġu indirizzati l-isfidi soċjali fiż-żona tal-euro. Ir-riformi neċessarji jinkludu: (i) bidliet fil-leġiżlazzjoni tal-ħarsien tal-impjiegi bl-għan li jintlaħqu arranġamenti kuntrattwali affidabbli, li jipprovdu flessibilità u sigurtà kemm għall-impjegati kif ukoll għall-impjegaturi, jippromwovu tranżizzjonijiet tas-suq tax-xogħol u jippermettu aġġustament fil-kostijiet tax-xogħol meta jkun meħtieġ, qasam fejn l-isforzi ta’ riforma f’dawn l-aħħar snin kienu partikolarment intensi;  </w:t>
      </w:r>
      <w:r>
        <w:rPr>
          <w:noProof/>
        </w:rPr>
        <w:br/>
        <w:t xml:space="preserve">(ii) it-titjib tal-ħiliet billi jitjiebu l-prestazzjoni u l-effiċjenza tas-sistemi tal-edukazzjoni u l-istrateġiji komprensivi ta’ tagħlim tul il-ħajja, li jiffokaw fuq il-ħtiġijiet tas-suq tax-xogħol; (iii) politiki effikaċi tas-suq tax-xogħol attiv, biex jgħinu lil dawk qiegħda, inklużi dawk qiegħda fit-tul, biex jerġgħu jidħlu fis-suq tax-xogħol u tiżdied il-parteċipazzjoni fis-suq tax-xogħol u (iv) sistemi moderni u adegwati ta’ protezzjoni soċjali li jappoġġaw lil dawk fil-bżonn, inkluż il-persuni qiegħda u dawk li jinsabu barra mis-suq tax-xogħol, u jiġu pprovduti inċentivi għall-integrazzjoni fis-suq tax-xogħol. Barra minn hekk, meta t-taxxa titneħħa minn fuq ix-xogħol, partikolarment għal dawk b’introjtu baxx u l-iżgurar ta' sistemi tat-taxxa l-istess għal kulħadd, ir-riżultati fis-suq tax-xogħol jistgħu jitjiebu. L-Istati Membri taż-żona tal-euro li implimentaw riformi bħal dawn huma aktar reżiljenti u juru prestazzjoni aħjar fil-qasam tal-impjiegi u dak soċjali </w:t>
      </w:r>
    </w:p>
    <w:p>
      <w:pPr>
        <w:pStyle w:val="ManualConsidrant"/>
        <w:rPr>
          <w:noProof/>
        </w:rPr>
      </w:pPr>
      <w:r>
        <w:rPr>
          <w:noProof/>
        </w:rPr>
        <w:t>(6)</w:t>
      </w:r>
      <w:r>
        <w:rPr>
          <w:noProof/>
        </w:rPr>
        <w:tab/>
        <w:t xml:space="preserve">L-istabbiliment tal-Unjoni Bankarja mexa ’l quddiem, iżda għadu mhux lest. In-nuqqas ta’ skema ta’ garanzija tad-depożiti komuni u ta’ garanzija ta’ kontinġenza komuni għall-Fond Uniku ta’ Riżoluzzjoni, ifixkel l-abbiltà tal-Unjoni Bankarja li taqta’ r-rabta bejn il-banek u s-sovrani. Filwaqt li l-flessibilità kumplessiva tas-settur bankarju taż-żona tal-euro żdiedet minħabba l-kriżi, il-pressjoni fuq il-banek akkumulat minħabba għadd ta’ fatturi, bħal livelli għolja ta’ self improduttiv, mudelli ta’ negozju ineffiċjenti   u kapaċità żejda f’xi Stati Membri, li kollha jirriżultaw fi profitti baxxi u isfidi għall-vijabbiltà. Dik il-pressjoni tliġġem il-ħila tal-banek li jipprovdu self lill-ekonomija. Ir-riskji jinfirxu wkoll fuq l-ekonomija reali, fejn il-livell ta’ dejn pubbliku u dak privat mhux finanzjarju f’xi Stati Membri għadu għoli. Hemm ħtieġa għal diżingranaġġ ordnat kontinwu fis-settur privat permezz ta’ ħidma, isservissjar u jekk ikun hemm bżonn ristrutturazzjoni tad-dejn vijabbli, u bil-likwidazzjoni tal-istokks tad-dejn mhux vijabbli, sabiex il-kapital ikun jista’ jintuża aktar malajr u b’mod effiċjenti. F’dan il-kuntest, l-ittrattar ta’ livelli ta’ self improduttiv li għadhom għoljin u s-segwiment tal-prinċipji komuni fit-tfassil ta’ oqfsa ta’ insolvenza għan-negozji u għall-familji, inkluż billi jittejbu l-proċeduri ta’ insolvenza u l-oqfsa ta’ riżoluzzjoni barra l-qrati, jikkostitwixxu l-komponenti ewlenin ta’ proċess ta’ diżingranaġġ li jirnexxi u li jiffavorixxi t-tkabbir. </w:t>
      </w:r>
    </w:p>
    <w:p>
      <w:pPr>
        <w:pStyle w:val="ManualConsidrant"/>
        <w:rPr>
          <w:noProof/>
        </w:rPr>
      </w:pPr>
      <w:r>
        <w:rPr>
          <w:noProof/>
        </w:rPr>
        <w:t>(7)</w:t>
      </w:r>
      <w:r>
        <w:rPr>
          <w:noProof/>
        </w:rPr>
        <w:tab/>
        <w:t xml:space="preserve">Matul l-aħħar sena, sar xi progress dwar l-inizjattivi ppreżentati fir-Rapport tal-Ħames Presidenti dwar l-ikkompletar tal-UEM, bħar-rwol akbar tad-dimensjoni taż-żona tal-euro tas-Semestru Ewropew, ir-rakkomandazzjoni fuq il-Bordijiet Nazzjonali għall-Produttività u l-istabbiliment ta’ Bord Fiskali Ewropew fi ħdan il-Kummissjoni. </w:t>
      </w:r>
      <w:r>
        <w:rPr>
          <w:noProof/>
        </w:rPr>
        <w:lastRenderedPageBreak/>
        <w:t>Għaddejja wkoll ħidma dwar titjib fit-trasparenza u tnaqqis tal-kumplessità tar-regoli fiskali. Madankollu għad ma hemmx ftehim fuq inizjattivi oħra ta’ importanza kruċjali għall-UEM, bħall-Skema Ewropea ta’ Assigurazzjoni tad-Depożiti proposta mill-Kummissjoni f’Novembru tal-2015.  Barra minn hekk, hemm sfidi usa’ x’jiġu indirizzati fid-dawl tar-Rapport tal-Ħames Presidenti. Il-Kummissjoni ħabbret l-intenzjoni tagħha li f’Marzu 2017 tippreżenta White Paper dwar il-futur tal-Ewropa, li ser tinkludi wkoll il-futur tal-UEM. Il-qbil dwar it-triq operazzjonali ’il quddiem tirrikjedi sens kondiviż ta’ appartenenza u sens komun ta’ impenn fost l-Istati Membri kollha taż-żona tal-euro u l-istituzzjonijiet tal-UE kif ukoll fost l-Istati Membri mhux fiż-żona tal-euro, u UEM b’saħħitha se tgħin biex jiġu indirizzati l-isfidi li qed tiffaċċja l-UE b’mod iktar b’saħħtu u jkollha impatt pożittiv fuq Stati Membri mhux fiż-żona tal-euro,</w:t>
      </w:r>
    </w:p>
    <w:p>
      <w:pPr>
        <w:pStyle w:val="Formuledadoption"/>
        <w:rPr>
          <w:noProof/>
          <w:szCs w:val="24"/>
        </w:rPr>
      </w:pPr>
      <w:r>
        <w:rPr>
          <w:noProof/>
        </w:rPr>
        <w:t xml:space="preserve">B’DAN JIRRAKKOMANDA li l-Istati Membri taż-Żona tal-Euro jieħdu azzjoni b'mod individwali u kollettiv fil-Grupp tal-Euro, fil-perjodu 2017-2018 biex: </w:t>
      </w:r>
    </w:p>
    <w:p>
      <w:pPr>
        <w:pStyle w:val="Point0"/>
        <w:rPr>
          <w:noProof/>
        </w:rPr>
      </w:pPr>
      <w:r>
        <w:rPr>
          <w:noProof/>
        </w:rPr>
        <w:t>1.</w:t>
      </w:r>
      <w:r>
        <w:rPr>
          <w:noProof/>
        </w:rPr>
        <w:tab/>
        <w:t>Isegwu politiki li jappoġġaw it-tkabbir fuq perjodu ta’ żmien qasir u fit-tul, u jitjiebu l-kapaċità ta’ aġġustament, l-ibbilanċjar mill-ġdid u l-konverġenza. Jipprijoritizzaw ir-riformi li jżidu l-produttività, itejbu l-ambjent tan-negozju u dak istituzzjonali, jitneħħa x-xkiel għall-investiment, jappoġġjaw il-ħolqien tal-impjiegi. L-Istati Membri b’defiċits fil-kontijiet kurrenti u dejn estern għoli, għandhom iżidu l-produttività filwaqt li jiġu limitati l-kostijiet tal-unitajiet lavorattivi. L-Istati Membri b’bilanċi favorevoli kbar fil-kontijiet kurrenti għandhom jaċċelleraw l-implimentazzjoni ta’ miżuri li jgħinu fit-tisħiħ tad-domanda domestika tagħhom, b’mod partikolari l-investiment.</w:t>
      </w:r>
    </w:p>
    <w:p>
      <w:pPr>
        <w:pStyle w:val="Point0"/>
        <w:rPr>
          <w:noProof/>
        </w:rPr>
      </w:pPr>
      <w:r>
        <w:rPr>
          <w:noProof/>
        </w:rPr>
        <w:t>2.</w:t>
      </w:r>
      <w:r>
        <w:rPr>
          <w:noProof/>
        </w:rPr>
        <w:tab/>
        <w:t xml:space="preserve">Jwettqu pożizzjoni fiskali ġeneralment pożittiva li tikkontribwixxi għal taħlita bilanċjata ta’ politiki, </w:t>
      </w:r>
      <w:r>
        <w:rPr>
          <w:noProof/>
        </w:rPr>
        <w:br/>
        <w:t>għall-appoġġ tar-riformi u għat-tisħiħ tal-irkupru permezz ta’ espansjoni fiskali sa mhux iżjed minn 0,5% tal-PDG fl-2017. Iġibu flimkien l-isforzi nazzjonali biex jiżguraw is-sostenibbiltà fiskali fit-tul fir-rigward tal-Patt ta’ Stabbiltà u Tkabbir bi stabbilizzazzjoni makroekonomika fuq medda qasira ta’ żmien għaż-żona tal-euro, bl-użu tal-ispazju kollu tal-immanuvrar disponibbli taħt il-Patt ta’ Stabbiltà u Tkabbir. Jiddivrenzjaw l-isforz fiskali minn Stati Membri individwali b'kunsiderazzjoni aħjar tal-pożizzjoni rispettiva tagħhom fir-rigward tar-rekwiżiti skont il-Patt ta’ Stabbiltà u Tkabbir, is-sitwazzjoni tal-aggregat taż-żona tal-euro  u r-riperkussjonijiet fost il-pajjiżi taż-żona tal-euro. (i) għall-Istati Membri li qed jissuperaw l-issodisfar tal-objettivi fiskali tagħhom, jużaw l-ispazju fiskali tagħhom għall-appoġġ tad-domanda domestika u l-investimenti ta’ kwalità, inklużi dawk transfruntieri bħal parti mill-Pjan ta’ Investiment għall-Ewropa; (ii) għall-Istati Membri li jeħtieġu aġġustamenti fiskali ulterjuri taħt il-fergħa preventiva tal-Patt, jiżguraw li b’mod ġenerali li jkunu konformi b’mod ġenerali mar-rekwiżiti tal-Patt ta’ Stabbiltà u Tkabbir; (iii) għall-Istati Membri taħt il-fergħa korrettiva, jiżguraw korrezzjoni fil-ħin tad-defiċits eċċessivi tagħhom, inkluż billi jipprovdu buffers fiskali fil-konfront ta’ ċirkostanzi imprevedibbli. Itejbu l-kompożizzjoni tal-finanzi pubbliċi billi joħolqu aktar spazju għal investiment tanġibbli u intanġibbli u jiġi żgurat il-funzjonament effettiv tal-oqfsa fiskali nazzjonali.</w:t>
      </w:r>
    </w:p>
    <w:p>
      <w:pPr>
        <w:pStyle w:val="Point0"/>
        <w:rPr>
          <w:noProof/>
        </w:rPr>
      </w:pPr>
      <w:r>
        <w:rPr>
          <w:noProof/>
        </w:rPr>
        <w:t>3.</w:t>
      </w:r>
      <w:r>
        <w:rPr>
          <w:noProof/>
        </w:rPr>
        <w:tab/>
        <w:t xml:space="preserve">Jimplimentaw riformi biex jippromwovu l-ħolqien tal-impjiegi, il-ġustizzja u l-konverġenza soċjali, mirfuda minn djalogu soċjali effettiv. Għandhom jikkombinaw: (i) kuntratti ta’ xogħol affidabbli li jipprovdu flessibbiltà u sigurtà għall-impjegati u </w:t>
      </w:r>
      <w:r>
        <w:rPr>
          <w:noProof/>
        </w:rPr>
        <w:lastRenderedPageBreak/>
        <w:t xml:space="preserve">l-impjegaturi; </w:t>
      </w:r>
      <w:r>
        <w:rPr>
          <w:noProof/>
        </w:rPr>
        <w:br/>
        <w:t>(ii) sistemi ta’ edukazzjoni u ta’ taħriġ ta’ kwalità u effiċjenti u strateġiji komprensivi ta’ tagħlim tul il-ħajja mmirati lejn il-ħtiġijiet tas-suq tax-xogħol; (iii) politiki attivi tas-suq tax-xogħol effettivi biex tkun appoġġata l-parteċipazzjoni fis-suq tax-xogħol; (iv) sistemi moderni ta' protezzjoni soċjali li jappoġġaw lil dawk fil-bżonn u jipprovdu inċentivi għalll-integrazzjoni fis-suq tax-xogħol L-ispostament tat-taxxi lil hinn mix-xogħol, partikolarment dawk bi dħul baxx u fl-Istati Membri fejn il-kompetittività f’termini ta’ kostijiet hi inqas mill-medja taż-żona tal-euro, u l-impatt fuq il-baġit isir newtrali fil-pajjiżi mingħajr spazju fiskali fejn jimmanuvraw.</w:t>
      </w:r>
    </w:p>
    <w:p>
      <w:pPr>
        <w:pStyle w:val="Point0"/>
        <w:rPr>
          <w:noProof/>
        </w:rPr>
      </w:pPr>
      <w:r>
        <w:rPr>
          <w:noProof/>
        </w:rPr>
        <w:t>4.</w:t>
      </w:r>
      <w:r>
        <w:rPr>
          <w:noProof/>
        </w:rPr>
        <w:tab/>
        <w:t>Jaqblu fuq skema Ewropea ta’ assigurazzjoni tad-depożit fuq il-bażi tal-proposta tal-Kummissjoni ta’ Novembru 2015 u jibda x-xogħol fuq garanzija komuni ta' kontinġenza għall-Fond Uniku ta' Riżoluzzjoni biex isir operazzjonali qabel it-tmiem tal-perjodu trażitorju tal-Fond. Ifasslu u jimplimentaw strateġija effettiva u taż-żona tal-euro kollha, biex jindirizzaw ir-riskji għall-vijabbiltà tas-settur bankarju, inkluż fir-rigward ta’ livell għoli ta’ self improduttiv, mudelli ineffiċjenti ta’ negozju u ta’ kapaċità żejda. Fl-Istati Membri bi stokkijiet kbar ta’ dejn privat, jippromwovu diżingranaġġ ordnat.</w:t>
      </w:r>
    </w:p>
    <w:p>
      <w:pPr>
        <w:pStyle w:val="Point0"/>
        <w:rPr>
          <w:noProof/>
        </w:rPr>
      </w:pPr>
      <w:r>
        <w:rPr>
          <w:noProof/>
        </w:rPr>
        <w:t xml:space="preserve">5. </w:t>
      </w:r>
      <w:r>
        <w:rPr>
          <w:noProof/>
        </w:rPr>
        <w:tab/>
        <w:t>Jaċċelleraw inizjattivi biex jikkompletaw l-UEM b’rispett sħiħ tas-suq intern tal-UE u b’mod miftuħ u trasparenti. Jimplimentaw l-azzjonijiet pendenti taħt l-istadju 1 tar-Rapport tal-Ħames Presidenti dwar l-ikkompletar tal-UEM.</w:t>
      </w:r>
    </w:p>
    <w:p>
      <w:pPr>
        <w:pStyle w:val="Fait"/>
        <w:rPr>
          <w:noProof/>
        </w:rPr>
      </w:pPr>
      <w:r>
        <w:rPr>
          <w:noProof/>
        </w:rPr>
        <w:t>Magħmul fi Brussell,</w:t>
      </w:r>
    </w:p>
    <w:p>
      <w:pPr>
        <w:pStyle w:val="Institutionquisigne"/>
        <w:rPr>
          <w:noProof/>
        </w:rPr>
      </w:pPr>
      <w:r>
        <w:rPr>
          <w:noProof/>
        </w:rPr>
        <w:tab/>
        <w:t>Għall-Kunsill</w:t>
      </w:r>
    </w:p>
    <w:p>
      <w:pPr>
        <w:pStyle w:val="Personnequisigne"/>
        <w:rPr>
          <w:noProof/>
        </w:rPr>
      </w:pPr>
      <w:r>
        <w:rPr>
          <w:noProof/>
        </w:rPr>
        <w:tab/>
        <w:t>Il-President</w:t>
      </w:r>
    </w:p>
    <w:sectPr>
      <w:footerReference w:type="default" r:id="rId11"/>
      <w:footerReference w:type="first" r:id="rId12"/>
      <w:pgSz w:w="11907" w:h="16839"/>
      <w:pgMar w:top="1134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pPr>
        <w:spacing w:before="0" w:after="0"/>
      </w:pPr>
      <w:r>
        <w:separator/>
      </w:r>
    </w:p>
  </w:endnote>
  <w:endnote w:type="continuationSeparator" w:id="0">
    <w:p>
      <w:pPr>
        <w:spacing w:before="0" w:after="0"/>
      </w:pPr>
      <w:r>
        <w:continuationSeparator/>
      </w:r>
    </w:p>
  </w:endnote>
  <w:endnote w:type="continuationNotice" w:id="1">
    <w:p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rPr>
        <w:rFonts w:ascii="Arial" w:hAnsi="Arial" w:cs="Arial"/>
        <w:b/>
        <w:sz w:val="48"/>
      </w:rPr>
    </w:pPr>
    <w:r>
      <w:rPr>
        <w:rFonts w:ascii="Arial" w:hAnsi="Arial" w:cs="Arial"/>
        <w:b/>
        <w:sz w:val="48"/>
      </w:rPr>
      <w:t>MT</w:t>
    </w:r>
    <w:r>
      <w:rPr>
        <w:rFonts w:ascii="Arial" w:hAnsi="Arial" w:cs="Arial"/>
        <w:b/>
        <w:sz w:val="48"/>
      </w:rPr>
      <w:tab/>
    </w:r>
    <w:r>
      <w:rPr>
        <w:rFonts w:ascii="Arial" w:hAnsi="Arial" w:cs="Arial"/>
        <w:b/>
        <w:sz w:val="48"/>
      </w:rPr>
      <w:tab/>
    </w:r>
    <w:r>
      <w:fldChar w:fldCharType="begin"/>
    </w:r>
    <w:r>
      <w:instrText xml:space="preserve"> DOCVARIABLE "LW_Confidence" \* MERGEFORMAT </w:instrText>
    </w:r>
    <w:r>
      <w:fldChar w:fldCharType="separate"/>
    </w:r>
    <w:r>
      <w:t xml:space="preserve"> </w:t>
    </w:r>
    <w:r>
      <w:fldChar w:fldCharType="end"/>
    </w:r>
    <w:r>
      <w:tab/>
    </w:r>
    <w:r>
      <w:rPr>
        <w:rFonts w:ascii="Arial" w:hAnsi="Arial" w:cs="Arial"/>
        <w:b/>
        <w:sz w:val="48"/>
      </w:rPr>
      <w:t>MT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rPr>
        <w:rFonts w:ascii="Arial" w:hAnsi="Arial" w:cs="Arial"/>
        <w:b/>
        <w:sz w:val="48"/>
      </w:rPr>
    </w:pPr>
    <w:r>
      <w:rPr>
        <w:rFonts w:ascii="Arial" w:hAnsi="Arial" w:cs="Arial"/>
        <w:b/>
        <w:sz w:val="48"/>
      </w:rPr>
      <w:t>MT</w:t>
    </w:r>
    <w:r>
      <w:rPr>
        <w:rFonts w:ascii="Arial" w:hAnsi="Arial" w:cs="Arial"/>
        <w:b/>
        <w:sz w:val="48"/>
      </w:rPr>
      <w:tab/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7</w:t>
    </w:r>
    <w:r>
      <w:fldChar w:fldCharType="end"/>
    </w:r>
    <w:r>
      <w:tab/>
    </w:r>
    <w:r>
      <w:fldChar w:fldCharType="begin"/>
    </w:r>
    <w:r>
      <w:instrText xml:space="preserve"> DOCVARIABLE "LW_Confidence" \* MERGEFORMAT </w:instrText>
    </w:r>
    <w:r>
      <w:fldChar w:fldCharType="separate"/>
    </w:r>
    <w:r>
      <w:t xml:space="preserve"> </w:t>
    </w:r>
    <w:r>
      <w:fldChar w:fldCharType="end"/>
    </w:r>
    <w:r>
      <w:tab/>
    </w:r>
    <w:r>
      <w:rPr>
        <w:rFonts w:ascii="Arial" w:hAnsi="Arial" w:cs="Arial"/>
        <w:b/>
        <w:sz w:val="48"/>
      </w:rPr>
      <w:t>MT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pPr>
        <w:spacing w:before="0" w:after="0"/>
      </w:pPr>
      <w:r>
        <w:separator/>
      </w:r>
    </w:p>
  </w:footnote>
  <w:footnote w:type="continuationSeparator" w:id="0">
    <w:p>
      <w:pPr>
        <w:spacing w:before="0" w:after="0"/>
      </w:pPr>
      <w:r>
        <w:continuationSeparator/>
      </w:r>
    </w:p>
  </w:footnote>
  <w:footnote w:type="continuationNotice" w:id="1">
    <w:p>
      <w:pPr>
        <w:spacing w:before="0" w:after="0"/>
      </w:pPr>
    </w:p>
  </w:footnote>
  <w:footnote w:id="2">
    <w:p>
      <w:pPr>
        <w:pStyle w:val="FootnoteText"/>
        <w:rPr>
          <w:lang w:val="pl-PL"/>
        </w:rPr>
      </w:pPr>
      <w:r>
        <w:rPr>
          <w:rStyle w:val="FootnoteReference"/>
        </w:rPr>
        <w:footnoteRef/>
      </w:r>
      <w:r>
        <w:tab/>
        <w:t>ĠU L 209, 2.8.1997, p. 1.</w:t>
      </w:r>
    </w:p>
  </w:footnote>
  <w:footnote w:id="3">
    <w:p>
      <w:pPr>
        <w:pStyle w:val="FootnoteText"/>
        <w:rPr>
          <w:lang w:val="pl-PL"/>
        </w:rPr>
      </w:pPr>
      <w:r>
        <w:rPr>
          <w:rStyle w:val="FootnoteReference"/>
        </w:rPr>
        <w:footnoteRef/>
      </w:r>
      <w:r>
        <w:tab/>
        <w:t>ĠU L 306, 23.11.2011, p. 25.</w:t>
      </w:r>
    </w:p>
  </w:footnote>
  <w:footnote w:id="4">
    <w:p>
      <w:pPr>
        <w:pStyle w:val="FootnoteText"/>
        <w:rPr>
          <w:lang w:val="pl-PL"/>
        </w:rPr>
      </w:pPr>
      <w:r>
        <w:rPr>
          <w:rStyle w:val="FootnoteReference"/>
        </w:rPr>
        <w:footnoteRef/>
      </w:r>
      <w:r>
        <w:tab/>
        <w:t xml:space="preserve">ĠU C 349, </w:t>
      </w:r>
      <w:r>
        <w:rPr>
          <w:sz w:val="19"/>
        </w:rPr>
        <w:t>24.9.2016</w:t>
      </w:r>
      <w:r>
        <w:t>, p. 1.</w:t>
      </w:r>
    </w:p>
  </w:footnote>
  <w:footnote w:id="5">
    <w:p>
      <w:pPr>
        <w:pStyle w:val="FootnoteText"/>
        <w:rPr>
          <w:lang w:val="fr-BE"/>
        </w:rPr>
      </w:pPr>
      <w:r>
        <w:rPr>
          <w:rStyle w:val="FootnoteReference"/>
        </w:rPr>
        <w:footnoteRef/>
      </w:r>
      <w:r>
        <w:tab/>
        <w:t>Ara COM(2016) 727 final,16.11.2016.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D"/>
    <w:multiLevelType w:val="singleLevel"/>
    <w:tmpl w:val="0554E44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>
    <w:nsid w:val="FFFFFF7E"/>
    <w:multiLevelType w:val="singleLevel"/>
    <w:tmpl w:val="5AA2558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>
    <w:nsid w:val="FFFFFF7F"/>
    <w:multiLevelType w:val="singleLevel"/>
    <w:tmpl w:val="1DDAA79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>
    <w:nsid w:val="FFFFFF81"/>
    <w:multiLevelType w:val="singleLevel"/>
    <w:tmpl w:val="BFA4847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>
    <w:nsid w:val="FFFFFF82"/>
    <w:multiLevelType w:val="singleLevel"/>
    <w:tmpl w:val="C8F265C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>
    <w:nsid w:val="FFFFFF83"/>
    <w:multiLevelType w:val="singleLevel"/>
    <w:tmpl w:val="65446EB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>
    <w:nsid w:val="FFFFFF88"/>
    <w:multiLevelType w:val="singleLevel"/>
    <w:tmpl w:val="3DEACF3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FFFFFF89"/>
    <w:multiLevelType w:val="singleLevel"/>
    <w:tmpl w:val="1038B70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1B3C78B8"/>
    <w:multiLevelType w:val="multilevel"/>
    <w:tmpl w:val="2ED4F4D0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9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CB72C6E"/>
    <w:multiLevelType w:val="singleLevel"/>
    <w:tmpl w:val="10ACD464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11">
    <w:nsid w:val="2CE9221F"/>
    <w:multiLevelType w:val="singleLevel"/>
    <w:tmpl w:val="9B4AFB48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2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3">
    <w:nsid w:val="42FC0772"/>
    <w:multiLevelType w:val="singleLevel"/>
    <w:tmpl w:val="4128FCF8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14">
    <w:nsid w:val="4552127F"/>
    <w:multiLevelType w:val="singleLevel"/>
    <w:tmpl w:val="057A5296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15">
    <w:nsid w:val="556E1D63"/>
    <w:multiLevelType w:val="singleLevel"/>
    <w:tmpl w:val="493AAFF0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16">
    <w:nsid w:val="5B395AAA"/>
    <w:multiLevelType w:val="singleLevel"/>
    <w:tmpl w:val="96D02E8A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17">
    <w:nsid w:val="5C056EE5"/>
    <w:multiLevelType w:val="singleLevel"/>
    <w:tmpl w:val="3378D27C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18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9">
    <w:nsid w:val="64A12FA4"/>
    <w:multiLevelType w:val="multilevel"/>
    <w:tmpl w:val="428ECF3E"/>
    <w:name w:val="Heading"/>
    <w:lvl w:ilvl="0">
      <w:start w:val="1"/>
      <w:numFmt w:val="decimal"/>
      <w:lvlRestart w:val="0"/>
      <w:pStyle w:val="Heading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21">
    <w:nsid w:val="7CBE4812"/>
    <w:multiLevelType w:val="singleLevel"/>
    <w:tmpl w:val="23C821E4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1"/>
  </w:num>
  <w:num w:numId="8">
    <w:abstractNumId w:val="0"/>
  </w:num>
  <w:num w:numId="9">
    <w:abstractNumId w:val="21"/>
    <w:lvlOverride w:ilvl="0">
      <w:startOverride w:val="1"/>
    </w:lvlOverride>
  </w:num>
  <w:num w:numId="10">
    <w:abstractNumId w:val="18"/>
  </w:num>
  <w:num w:numId="11">
    <w:abstractNumId w:val="12"/>
  </w:num>
  <w:num w:numId="12">
    <w:abstractNumId w:val="20"/>
  </w:num>
  <w:num w:numId="13">
    <w:abstractNumId w:val="11"/>
  </w:num>
  <w:num w:numId="14">
    <w:abstractNumId w:val="13"/>
  </w:num>
  <w:num w:numId="15">
    <w:abstractNumId w:val="9"/>
  </w:num>
  <w:num w:numId="16">
    <w:abstractNumId w:val="19"/>
  </w:num>
  <w:num w:numId="17">
    <w:abstractNumId w:val="8"/>
  </w:num>
  <w:num w:numId="18">
    <w:abstractNumId w:val="14"/>
  </w:num>
  <w:num w:numId="19">
    <w:abstractNumId w:val="16"/>
  </w:num>
  <w:num w:numId="20">
    <w:abstractNumId w:val="17"/>
  </w:num>
  <w:num w:numId="21">
    <w:abstractNumId w:val="10"/>
  </w:num>
  <w:num w:numId="22">
    <w:abstractNumId w:val="15"/>
  </w:num>
  <w:num w:numId="23">
    <w:abstractNumId w:val="21"/>
  </w:num>
  <w:num w:numId="24">
    <w:abstractNumId w:val="18"/>
  </w:num>
  <w:num w:numId="25">
    <w:abstractNumId w:val="12"/>
  </w:num>
  <w:num w:numId="26">
    <w:abstractNumId w:val="20"/>
  </w:num>
  <w:num w:numId="27">
    <w:abstractNumId w:val="11"/>
  </w:num>
  <w:num w:numId="28">
    <w:abstractNumId w:val="13"/>
  </w:num>
  <w:num w:numId="29">
    <w:abstractNumId w:val="9"/>
  </w:num>
  <w:num w:numId="30">
    <w:abstractNumId w:val="19"/>
  </w:num>
  <w:num w:numId="31">
    <w:abstractNumId w:val="8"/>
  </w:num>
  <w:num w:numId="32">
    <w:abstractNumId w:val="14"/>
  </w:num>
  <w:num w:numId="33">
    <w:abstractNumId w:val="16"/>
  </w:num>
  <w:num w:numId="34">
    <w:abstractNumId w:val="17"/>
  </w:num>
  <w:num w:numId="35">
    <w:abstractNumId w:val="10"/>
  </w:num>
  <w:num w:numId="36">
    <w:abstractNumId w:val="15"/>
  </w:num>
  <w:num w:numId="37">
    <w:abstractNumId w:val="2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20"/>
  <w:removePersonalInformation/>
  <w:removeDateAndTime/>
  <w:hideSpellingErrors/>
  <w:hideGrammaticalErrors/>
  <w:attachedTemplate r:id="rId1"/>
  <w:revisionView w:markup="0"/>
  <w:defaultTabStop w:val="720"/>
  <w:hyphenationZone w:val="425"/>
  <w:characterSpacingControl w:val="doNotCompress"/>
  <w:hdrShapeDefaults>
    <o:shapedefaults v:ext="edit" spidmax="5120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VERPAGE_EXISTS" w:val="True"/>
    <w:docVar w:name="DQCDateTime" w:val="2016-11-18 17:35:05"/>
    <w:docVar w:name="DQCResult_Distribution" w:val="0;0"/>
    <w:docVar w:name="DQCResult_DocumentContent" w:val="0;0"/>
    <w:docVar w:name="DQCResult_DocumentSize" w:val="0;0"/>
    <w:docVar w:name="DQCResult_DocumentVersions" w:val="0;0"/>
    <w:docVar w:name="DQCResult_ExistenceOfMacros" w:val="0;0"/>
    <w:docVar w:name="DQCResult_InvalidFootnotes" w:val="0;0"/>
    <w:docVar w:name="DQCResult_LinkedStyles" w:val="0;0"/>
    <w:docVar w:name="DQCResult_ModifiedMargins" w:val="0;0"/>
    <w:docVar w:name="DQCResult_ModifiedMarkers" w:val="0;0"/>
    <w:docVar w:name="DQCResult_ModifiedNumbering" w:val="0;0"/>
    <w:docVar w:name="DQCResult_Objects" w:val="0;0"/>
    <w:docVar w:name="DQCResult_Sections" w:val="0;0"/>
    <w:docVar w:name="DQCResult_StructureCheck" w:val="0;0"/>
    <w:docVar w:name="DQCResult_SuperfluousWhitespace" w:val="0;8"/>
    <w:docVar w:name="DQCResult_UnknownFonts" w:val="0;0"/>
    <w:docVar w:name="DQCResult_UnknownStyles" w:val="0;0"/>
    <w:docVar w:name="DQCStatus" w:val="Green"/>
    <w:docVar w:name="DQCVersion" w:val="3"/>
    <w:docVar w:name="DQCWithWarnings" w:val="0"/>
    <w:docVar w:name="LW_CONFIDENCE" w:val=" "/>
    <w:docVar w:name="LW_CONST_RESTREINT_UE" w:val="RESTREINT UE"/>
    <w:docVar w:name="LW_CORRIGENDUM" w:val="&lt;UNUSED&gt;"/>
    <w:docVar w:name="LW_COVERPAGE_GUID" w:val="DE9E32F2F5B241CB97879FDB3E46E56A"/>
    <w:docVar w:name="LW_CROSSREFERENCE" w:val="&lt;UNUSED&gt;"/>
    <w:docVar w:name="LW_DocType" w:val="COM"/>
    <w:docVar w:name="LW_EMISSION" w:val="16.11.2016"/>
    <w:docVar w:name="LW_EMISSION_ISODATE" w:val="2016-11-16"/>
    <w:docVar w:name="LW_EMISSION_LOCATION" w:val="BRX"/>
    <w:docVar w:name="LW_EMISSION_PREFIX" w:val="Brussell, "/>
    <w:docVar w:name="LW_EMISSION_SUFFIX" w:val=" "/>
    <w:docVar w:name="LW_ID_DOCMODEL" w:val="SG-002"/>
    <w:docVar w:name="LW_ID_DOCSIGNATURE" w:val="SG-002"/>
    <w:docVar w:name="LW_ID_DOCSTRUCTURE" w:val="COM/PL/ORG"/>
    <w:docVar w:name="LW_ID_DOCTYPE" w:val="SG-002"/>
    <w:docVar w:name="LW_ID_STATUT" w:val="SG-002"/>
    <w:docVar w:name="LW_INTERETEEE.CP" w:val="&lt;UNUSED&gt;"/>
    <w:docVar w:name="LW_LANGUE" w:val="MT"/>
    <w:docVar w:name="LW_MARKING" w:val="&lt;UNUSED&gt;"/>
    <w:docVar w:name="LW_NOM.INST" w:val="IL-KUMMISSJONI EWROPEA"/>
    <w:docVar w:name="LW_NOM.INST_JOINTDOC" w:val="&lt;EMPTY&gt;"/>
    <w:docVar w:name="LW_PART_NBR" w:val="1"/>
    <w:docVar w:name="LW_PART_NBR_TOTAL" w:val="1"/>
    <w:docVar w:name="LW_REF.II.NEW.CP" w:val="&lt;UNUSED&gt;"/>
    <w:docVar w:name="LW_REF.II.NEW.CP_NUMBER" w:val="&lt;UNUSED&gt;"/>
    <w:docVar w:name="LW_REF.II.NEW.CP_YEAR" w:val="2016"/>
    <w:docVar w:name="LW_REF.INST.NEW" w:val="COM"/>
    <w:docVar w:name="LW_REF.INST.NEW_ADOPTED" w:val="final"/>
    <w:docVar w:name="LW_REF.INST.NEW_TEXT" w:val="(2016) 726"/>
    <w:docVar w:name="LW_REF.INTERNE" w:val="&lt;UNUSED&gt;"/>
    <w:docVar w:name="LW_SOUS.TITRE.OBJ.CP" w:val="&lt;UNUSED&gt;"/>
    <w:docVar w:name="LW_STATUT.CP" w:val="Rakkomandazzjoni g\u295?al"/>
    <w:docVar w:name="LW_SUPERTITRE" w:val="&lt;UNUSED&gt;"/>
    <w:docVar w:name="LW_TITRE.OBJ.CP" w:val="dwar il-politika ekonomika ta\u380?-\u380?ona tal-euro"/>
    <w:docVar w:name="LW_TYPE.DOC.CP" w:val="RAKKOMANDAZZJONI TAL-KUNSILL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mt-MT" w:eastAsia="mt-MT" w:bidi="mt-MT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Text1"/>
    <w:link w:val="Heading1Char"/>
    <w:uiPriority w:val="9"/>
    <w:qFormat/>
    <w:pPr>
      <w:keepNext/>
      <w:numPr>
        <w:numId w:val="30"/>
      </w:numPr>
      <w:spacing w:before="360"/>
      <w:outlineLvl w:val="0"/>
    </w:pPr>
    <w:rPr>
      <w:rFonts w:eastAsiaTheme="majorEastAsia"/>
      <w:b/>
      <w:bCs/>
      <w:smallCaps/>
      <w:szCs w:val="28"/>
    </w:rPr>
  </w:style>
  <w:style w:type="paragraph" w:styleId="Heading2">
    <w:name w:val="heading 2"/>
    <w:basedOn w:val="Normal"/>
    <w:next w:val="Text1"/>
    <w:link w:val="Heading2Char"/>
    <w:uiPriority w:val="9"/>
    <w:semiHidden/>
    <w:unhideWhenUsed/>
    <w:qFormat/>
    <w:pPr>
      <w:keepNext/>
      <w:numPr>
        <w:ilvl w:val="1"/>
        <w:numId w:val="30"/>
      </w:numPr>
      <w:outlineLvl w:val="1"/>
    </w:pPr>
    <w:rPr>
      <w:rFonts w:eastAsiaTheme="majorEastAsia"/>
      <w:b/>
      <w:bCs/>
      <w:szCs w:val="26"/>
    </w:rPr>
  </w:style>
  <w:style w:type="paragraph" w:styleId="Heading3">
    <w:name w:val="heading 3"/>
    <w:basedOn w:val="Normal"/>
    <w:next w:val="Text1"/>
    <w:link w:val="Heading3Char"/>
    <w:uiPriority w:val="9"/>
    <w:semiHidden/>
    <w:unhideWhenUsed/>
    <w:qFormat/>
    <w:pPr>
      <w:keepNext/>
      <w:numPr>
        <w:ilvl w:val="2"/>
        <w:numId w:val="30"/>
      </w:numPr>
      <w:outlineLvl w:val="2"/>
    </w:pPr>
    <w:rPr>
      <w:rFonts w:eastAsiaTheme="majorEastAsia"/>
      <w:bCs/>
      <w:i/>
    </w:rPr>
  </w:style>
  <w:style w:type="paragraph" w:styleId="Heading4">
    <w:name w:val="heading 4"/>
    <w:basedOn w:val="Normal"/>
    <w:next w:val="Text1"/>
    <w:link w:val="Heading4Char"/>
    <w:uiPriority w:val="9"/>
    <w:semiHidden/>
    <w:unhideWhenUsed/>
    <w:qFormat/>
    <w:pPr>
      <w:keepNext/>
      <w:numPr>
        <w:ilvl w:val="3"/>
        <w:numId w:val="30"/>
      </w:numPr>
      <w:outlineLvl w:val="3"/>
    </w:pPr>
    <w:rPr>
      <w:rFonts w:eastAsiaTheme="majorEastAsia"/>
      <w:bCs/>
      <w:i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99"/>
    <w:semiHidden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pPr>
      <w:numPr>
        <w:numId w:val="4"/>
      </w:numPr>
      <w:contextualSpacing/>
    </w:p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before="0" w:after="200"/>
    </w:pPr>
    <w:rPr>
      <w:b/>
      <w:bCs/>
      <w:color w:val="4F81BD"/>
      <w:sz w:val="18"/>
      <w:szCs w:val="18"/>
    </w:rPr>
  </w:style>
  <w:style w:type="paragraph" w:styleId="TableofFigures">
    <w:name w:val="table of figures"/>
    <w:basedOn w:val="Normal"/>
    <w:next w:val="Normal"/>
    <w:uiPriority w:val="99"/>
    <w:semiHidden/>
    <w:unhideWhenUsed/>
    <w:pPr>
      <w:spacing w:after="0"/>
    </w:pPr>
  </w:style>
  <w:style w:type="paragraph" w:styleId="ListNumber">
    <w:name w:val="List Number"/>
    <w:basedOn w:val="Normal"/>
    <w:uiPriority w:val="99"/>
    <w:semiHidden/>
    <w:unhideWhenUsed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pPr>
      <w:numPr>
        <w:numId w:val="7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pPr>
      <w:numPr>
        <w:numId w:val="8"/>
      </w:numPr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sz w:val="16"/>
      <w:szCs w:val="16"/>
      <w:lang w:val="mt-MT"/>
    </w:rPr>
  </w:style>
  <w:style w:type="character" w:styleId="CommentReference">
    <w:name w:val="annotation reference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Pr>
      <w:rFonts w:ascii="Times New Roman" w:hAnsi="Times New Roman" w:cs="Times New Roman"/>
      <w:sz w:val="20"/>
      <w:szCs w:val="20"/>
      <w:lang w:val="mt-M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Pr>
      <w:rFonts w:ascii="Times New Roman" w:hAnsi="Times New Roman" w:cs="Times New Roman"/>
      <w:b/>
      <w:bCs/>
      <w:sz w:val="20"/>
      <w:szCs w:val="20"/>
      <w:lang w:val="mt-MT"/>
    </w:rPr>
  </w:style>
  <w:style w:type="paragraph" w:styleId="Revision">
    <w:name w:val="Revision"/>
    <w:hidden/>
    <w:uiPriority w:val="99"/>
    <w:semiHidden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5"/>
        <w:tab w:val="right" w:pos="9071"/>
      </w:tabs>
      <w:spacing w:before="0"/>
    </w:pPr>
    <w:rPr>
      <w:rFonts w:eastAsiaTheme="minorHAnsi"/>
      <w:lang w:eastAsia="en-US" w:bidi="ar-SA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Theme="minorHAnsi" w:hAnsi="Times New Roman"/>
      <w:sz w:val="24"/>
      <w:lang w:eastAsia="en-US" w:bidi="ar-SA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  <w:sz w:val="24"/>
      <w:shd w:val="clear" w:color="auto" w:fill="auto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before="0" w:after="0"/>
      <w:ind w:left="720" w:hanging="72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Times New Roman" w:hAnsi="Times New Roman" w:cs="Times New Roman"/>
      <w:sz w:val="20"/>
      <w:szCs w:val="20"/>
      <w:shd w:val="clear" w:color="auto" w:fill="auto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Theme="majorEastAsia" w:hAnsi="Times New Roman" w:cs="Times New Roman"/>
      <w:b/>
      <w:bCs/>
      <w:smallCaps/>
      <w:sz w:val="24"/>
      <w:szCs w:val="28"/>
      <w:shd w:val="clear" w:color="auto" w:fill="auto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="Times New Roman" w:eastAsiaTheme="majorEastAsia" w:hAnsi="Times New Roman" w:cs="Times New Roman"/>
      <w:b/>
      <w:bCs/>
      <w:sz w:val="24"/>
      <w:szCs w:val="26"/>
      <w:shd w:val="clear" w:color="auto" w:fill="auto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="Times New Roman" w:eastAsiaTheme="majorEastAsia" w:hAnsi="Times New Roman" w:cs="Times New Roman"/>
      <w:bCs/>
      <w:i/>
      <w:sz w:val="24"/>
      <w:shd w:val="clear" w:color="auto" w:fill="auto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="Times New Roman" w:eastAsiaTheme="majorEastAsia" w:hAnsi="Times New Roman" w:cs="Times New Roman"/>
      <w:bCs/>
      <w:iCs/>
      <w:sz w:val="24"/>
      <w:shd w:val="clear" w:color="auto" w:fill="auto"/>
      <w:lang w:val="en-GB"/>
    </w:rPr>
  </w:style>
  <w:style w:type="paragraph" w:styleId="TOCHeading">
    <w:name w:val="TOC Heading"/>
    <w:basedOn w:val="Normal"/>
    <w:next w:val="Normal"/>
    <w:uiPriority w:val="39"/>
    <w:semiHidden/>
    <w:unhideWhenUsed/>
    <w:qFormat/>
    <w:pPr>
      <w:spacing w:after="240"/>
      <w:jc w:val="center"/>
    </w:pPr>
    <w:rPr>
      <w:b/>
      <w:sz w:val="28"/>
    </w:rPr>
  </w:style>
  <w:style w:type="paragraph" w:styleId="TOC1">
    <w:name w:val="toc 1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2">
    <w:name w:val="toc 2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3">
    <w:name w:val="toc 3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4">
    <w:name w:val="toc 4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5">
    <w:name w:val="toc 5"/>
    <w:basedOn w:val="Normal"/>
    <w:next w:val="Normal"/>
    <w:uiPriority w:val="39"/>
    <w:semiHidden/>
    <w:unhideWhenUsed/>
    <w:pPr>
      <w:tabs>
        <w:tab w:val="right" w:leader="dot" w:pos="9071"/>
      </w:tabs>
      <w:spacing w:before="300"/>
      <w:jc w:val="left"/>
    </w:pPr>
  </w:style>
  <w:style w:type="paragraph" w:styleId="TOC6">
    <w:name w:val="toc 6"/>
    <w:basedOn w:val="Normal"/>
    <w:next w:val="Normal"/>
    <w:uiPriority w:val="39"/>
    <w:semiHidden/>
    <w:unhideWhenUsed/>
    <w:pPr>
      <w:tabs>
        <w:tab w:val="right" w:leader="dot" w:pos="9071"/>
      </w:tabs>
      <w:spacing w:before="240"/>
      <w:jc w:val="left"/>
    </w:pPr>
  </w:style>
  <w:style w:type="paragraph" w:styleId="TOC7">
    <w:name w:val="toc 7"/>
    <w:basedOn w:val="Normal"/>
    <w:next w:val="Normal"/>
    <w:uiPriority w:val="39"/>
    <w:semiHidden/>
    <w:unhideWhenUsed/>
    <w:pPr>
      <w:tabs>
        <w:tab w:val="right" w:leader="dot" w:pos="9071"/>
      </w:tabs>
      <w:spacing w:before="180"/>
      <w:jc w:val="left"/>
    </w:pPr>
  </w:style>
  <w:style w:type="paragraph" w:styleId="TOC8">
    <w:name w:val="toc 8"/>
    <w:basedOn w:val="Normal"/>
    <w:next w:val="Normal"/>
    <w:uiPriority w:val="39"/>
    <w:semiHidden/>
    <w:unhideWhenUsed/>
    <w:pPr>
      <w:tabs>
        <w:tab w:val="right" w:leader="dot" w:pos="9071"/>
      </w:tabs>
      <w:jc w:val="left"/>
    </w:pPr>
  </w:style>
  <w:style w:type="paragraph" w:styleId="TOC9">
    <w:name w:val="toc 9"/>
    <w:basedOn w:val="Normal"/>
    <w:next w:val="Normal"/>
    <w:uiPriority w:val="39"/>
    <w:semiHidden/>
    <w:unhideWhenUsed/>
    <w:pPr>
      <w:tabs>
        <w:tab w:val="right" w:leader="dot" w:pos="9071"/>
      </w:tabs>
    </w:pPr>
  </w:style>
  <w:style w:type="paragraph" w:customStyle="1" w:styleId="HeaderLandscape">
    <w:name w:val="HeaderLandscape"/>
    <w:basedOn w:val="Normal"/>
    <w:pPr>
      <w:tabs>
        <w:tab w:val="center" w:pos="7285"/>
        <w:tab w:val="right" w:pos="14003"/>
      </w:tabs>
      <w:spacing w:before="0"/>
    </w:pPr>
    <w:rPr>
      <w:rFonts w:eastAsiaTheme="minorHAnsi"/>
      <w:lang w:eastAsia="en-US" w:bidi="ar-SA"/>
    </w:rPr>
  </w:style>
  <w:style w:type="paragraph" w:customStyle="1" w:styleId="FooterLandscape">
    <w:name w:val="FooterLandscape"/>
    <w:basedOn w:val="Normal"/>
    <w:pPr>
      <w:tabs>
        <w:tab w:val="center" w:pos="7285"/>
        <w:tab w:val="center" w:pos="10913"/>
        <w:tab w:val="right" w:pos="15137"/>
      </w:tabs>
      <w:spacing w:before="360" w:after="0"/>
      <w:ind w:left="-567" w:right="-567"/>
      <w:jc w:val="left"/>
    </w:pPr>
  </w:style>
  <w:style w:type="character" w:styleId="FootnoteReference">
    <w:name w:val="footnote reference"/>
    <w:basedOn w:val="DefaultParagraphFont"/>
    <w:uiPriority w:val="99"/>
    <w:semiHidden/>
    <w:unhideWhenUsed/>
    <w:rPr>
      <w:shd w:val="clear" w:color="auto" w:fill="auto"/>
      <w:vertAlign w:val="superscript"/>
    </w:rPr>
  </w:style>
  <w:style w:type="paragraph" w:customStyle="1" w:styleId="Text1">
    <w:name w:val="Text 1"/>
    <w:basedOn w:val="Normal"/>
    <w:pPr>
      <w:ind w:left="850"/>
    </w:pPr>
  </w:style>
  <w:style w:type="paragraph" w:customStyle="1" w:styleId="Text2">
    <w:name w:val="Text 2"/>
    <w:basedOn w:val="Normal"/>
    <w:pPr>
      <w:ind w:left="1417"/>
    </w:pPr>
  </w:style>
  <w:style w:type="paragraph" w:customStyle="1" w:styleId="Text3">
    <w:name w:val="Text 3"/>
    <w:basedOn w:val="Normal"/>
    <w:pPr>
      <w:ind w:left="1984"/>
    </w:pPr>
  </w:style>
  <w:style w:type="paragraph" w:customStyle="1" w:styleId="Text4">
    <w:name w:val="Text 4"/>
    <w:basedOn w:val="Normal"/>
    <w:pPr>
      <w:ind w:left="2551"/>
    </w:pPr>
  </w:style>
  <w:style w:type="paragraph" w:customStyle="1" w:styleId="NormalCentered">
    <w:name w:val="Normal Centered"/>
    <w:basedOn w:val="Normal"/>
    <w:pPr>
      <w:jc w:val="center"/>
    </w:pPr>
  </w:style>
  <w:style w:type="paragraph" w:customStyle="1" w:styleId="NormalLeft">
    <w:name w:val="Normal Left"/>
    <w:basedOn w:val="Normal"/>
    <w:pPr>
      <w:jc w:val="left"/>
    </w:pPr>
  </w:style>
  <w:style w:type="paragraph" w:customStyle="1" w:styleId="NormalRight">
    <w:name w:val="Normal Right"/>
    <w:basedOn w:val="Normal"/>
    <w:pPr>
      <w:jc w:val="right"/>
    </w:pPr>
  </w:style>
  <w:style w:type="paragraph" w:customStyle="1" w:styleId="QuotedText">
    <w:name w:val="Quoted Text"/>
    <w:basedOn w:val="Normal"/>
    <w:pPr>
      <w:ind w:left="1417"/>
    </w:pPr>
  </w:style>
  <w:style w:type="paragraph" w:customStyle="1" w:styleId="Point0">
    <w:name w:val="Point 0"/>
    <w:basedOn w:val="Normal"/>
    <w:pPr>
      <w:ind w:left="850" w:hanging="850"/>
    </w:pPr>
  </w:style>
  <w:style w:type="paragraph" w:customStyle="1" w:styleId="Point1">
    <w:name w:val="Point 1"/>
    <w:basedOn w:val="Normal"/>
    <w:pPr>
      <w:ind w:left="1417" w:hanging="567"/>
    </w:pPr>
  </w:style>
  <w:style w:type="paragraph" w:customStyle="1" w:styleId="Point2">
    <w:name w:val="Point 2"/>
    <w:basedOn w:val="Normal"/>
    <w:pPr>
      <w:ind w:left="1984" w:hanging="567"/>
    </w:pPr>
  </w:style>
  <w:style w:type="paragraph" w:customStyle="1" w:styleId="Point3">
    <w:name w:val="Point 3"/>
    <w:basedOn w:val="Normal"/>
    <w:pPr>
      <w:ind w:left="2551" w:hanging="567"/>
    </w:pPr>
  </w:style>
  <w:style w:type="paragraph" w:customStyle="1" w:styleId="Point4">
    <w:name w:val="Point 4"/>
    <w:basedOn w:val="Normal"/>
    <w:pPr>
      <w:ind w:left="3118" w:hanging="567"/>
    </w:pPr>
  </w:style>
  <w:style w:type="paragraph" w:customStyle="1" w:styleId="Tiret0">
    <w:name w:val="Tiret 0"/>
    <w:basedOn w:val="Point0"/>
    <w:pPr>
      <w:numPr>
        <w:numId w:val="24"/>
      </w:numPr>
    </w:pPr>
  </w:style>
  <w:style w:type="paragraph" w:customStyle="1" w:styleId="Tiret1">
    <w:name w:val="Tiret 1"/>
    <w:basedOn w:val="Point1"/>
    <w:pPr>
      <w:numPr>
        <w:numId w:val="25"/>
      </w:numPr>
    </w:pPr>
  </w:style>
  <w:style w:type="paragraph" w:customStyle="1" w:styleId="Tiret2">
    <w:name w:val="Tiret 2"/>
    <w:basedOn w:val="Point2"/>
    <w:pPr>
      <w:numPr>
        <w:numId w:val="26"/>
      </w:numPr>
    </w:pPr>
  </w:style>
  <w:style w:type="paragraph" w:customStyle="1" w:styleId="Tiret3">
    <w:name w:val="Tiret 3"/>
    <w:basedOn w:val="Point3"/>
    <w:pPr>
      <w:numPr>
        <w:numId w:val="27"/>
      </w:numPr>
    </w:pPr>
  </w:style>
  <w:style w:type="paragraph" w:customStyle="1" w:styleId="Tiret4">
    <w:name w:val="Tiret 4"/>
    <w:basedOn w:val="Point4"/>
    <w:pPr>
      <w:numPr>
        <w:numId w:val="28"/>
      </w:numPr>
    </w:pPr>
  </w:style>
  <w:style w:type="paragraph" w:customStyle="1" w:styleId="PointDouble0">
    <w:name w:val="PointDouble 0"/>
    <w:basedOn w:val="Normal"/>
    <w:pPr>
      <w:tabs>
        <w:tab w:val="left" w:pos="850"/>
      </w:tabs>
      <w:ind w:left="1417" w:hanging="1417"/>
    </w:pPr>
  </w:style>
  <w:style w:type="paragraph" w:customStyle="1" w:styleId="PointDouble1">
    <w:name w:val="PointDouble 1"/>
    <w:basedOn w:val="Normal"/>
    <w:pPr>
      <w:tabs>
        <w:tab w:val="left" w:pos="1417"/>
      </w:tabs>
      <w:ind w:left="1984" w:hanging="1134"/>
    </w:pPr>
  </w:style>
  <w:style w:type="paragraph" w:customStyle="1" w:styleId="PointDouble2">
    <w:name w:val="PointDouble 2"/>
    <w:basedOn w:val="Normal"/>
    <w:pPr>
      <w:tabs>
        <w:tab w:val="left" w:pos="1984"/>
      </w:tabs>
      <w:ind w:left="2551" w:hanging="1134"/>
    </w:pPr>
  </w:style>
  <w:style w:type="paragraph" w:customStyle="1" w:styleId="PointDouble3">
    <w:name w:val="PointDouble 3"/>
    <w:basedOn w:val="Normal"/>
    <w:pPr>
      <w:tabs>
        <w:tab w:val="left" w:pos="2551"/>
      </w:tabs>
      <w:ind w:left="3118" w:hanging="1134"/>
    </w:pPr>
  </w:style>
  <w:style w:type="paragraph" w:customStyle="1" w:styleId="PointDouble4">
    <w:name w:val="PointDouble 4"/>
    <w:basedOn w:val="Normal"/>
    <w:pPr>
      <w:tabs>
        <w:tab w:val="left" w:pos="3118"/>
      </w:tabs>
      <w:ind w:left="3685" w:hanging="1134"/>
    </w:pPr>
  </w:style>
  <w:style w:type="paragraph" w:customStyle="1" w:styleId="PointTriple0">
    <w:name w:val="PointTriple 0"/>
    <w:basedOn w:val="Normal"/>
    <w:pPr>
      <w:tabs>
        <w:tab w:val="left" w:pos="850"/>
        <w:tab w:val="left" w:pos="1417"/>
      </w:tabs>
      <w:ind w:left="1984" w:hanging="1984"/>
    </w:pPr>
  </w:style>
  <w:style w:type="paragraph" w:customStyle="1" w:styleId="PointTriple1">
    <w:name w:val="PointTriple 1"/>
    <w:basedOn w:val="Normal"/>
    <w:pPr>
      <w:tabs>
        <w:tab w:val="left" w:pos="1417"/>
        <w:tab w:val="left" w:pos="1984"/>
      </w:tabs>
      <w:ind w:left="2551" w:hanging="1701"/>
    </w:pPr>
  </w:style>
  <w:style w:type="paragraph" w:customStyle="1" w:styleId="PointTriple2">
    <w:name w:val="PointTriple 2"/>
    <w:basedOn w:val="Normal"/>
    <w:pPr>
      <w:tabs>
        <w:tab w:val="left" w:pos="1984"/>
        <w:tab w:val="left" w:pos="2551"/>
      </w:tabs>
      <w:ind w:left="3118" w:hanging="1701"/>
    </w:pPr>
  </w:style>
  <w:style w:type="paragraph" w:customStyle="1" w:styleId="PointTriple3">
    <w:name w:val="PointTriple 3"/>
    <w:basedOn w:val="Normal"/>
    <w:pPr>
      <w:tabs>
        <w:tab w:val="left" w:pos="2551"/>
        <w:tab w:val="left" w:pos="3118"/>
      </w:tabs>
      <w:ind w:left="3685" w:hanging="1701"/>
    </w:pPr>
  </w:style>
  <w:style w:type="paragraph" w:customStyle="1" w:styleId="PointTriple4">
    <w:name w:val="PointTriple 4"/>
    <w:basedOn w:val="Normal"/>
    <w:pPr>
      <w:tabs>
        <w:tab w:val="left" w:pos="3118"/>
        <w:tab w:val="left" w:pos="3685"/>
      </w:tabs>
      <w:ind w:left="4252" w:hanging="1701"/>
    </w:pPr>
  </w:style>
  <w:style w:type="paragraph" w:customStyle="1" w:styleId="NumPar1">
    <w:name w:val="NumPar 1"/>
    <w:basedOn w:val="Normal"/>
    <w:next w:val="Text1"/>
    <w:pPr>
      <w:numPr>
        <w:numId w:val="29"/>
      </w:numPr>
    </w:pPr>
  </w:style>
  <w:style w:type="paragraph" w:customStyle="1" w:styleId="NumPar2">
    <w:name w:val="NumPar 2"/>
    <w:basedOn w:val="Normal"/>
    <w:next w:val="Text1"/>
    <w:pPr>
      <w:numPr>
        <w:ilvl w:val="1"/>
        <w:numId w:val="29"/>
      </w:numPr>
    </w:pPr>
  </w:style>
  <w:style w:type="paragraph" w:customStyle="1" w:styleId="NumPar3">
    <w:name w:val="NumPar 3"/>
    <w:basedOn w:val="Normal"/>
    <w:next w:val="Text1"/>
    <w:pPr>
      <w:numPr>
        <w:ilvl w:val="2"/>
        <w:numId w:val="29"/>
      </w:numPr>
    </w:pPr>
  </w:style>
  <w:style w:type="paragraph" w:customStyle="1" w:styleId="NumPar4">
    <w:name w:val="NumPar 4"/>
    <w:basedOn w:val="Normal"/>
    <w:next w:val="Text1"/>
    <w:pPr>
      <w:numPr>
        <w:ilvl w:val="3"/>
        <w:numId w:val="29"/>
      </w:numPr>
    </w:pPr>
  </w:style>
  <w:style w:type="paragraph" w:customStyle="1" w:styleId="ManualNumPar1">
    <w:name w:val="Manual NumPar 1"/>
    <w:basedOn w:val="Normal"/>
    <w:next w:val="Text1"/>
    <w:pPr>
      <w:ind w:left="850" w:hanging="850"/>
    </w:pPr>
  </w:style>
  <w:style w:type="paragraph" w:customStyle="1" w:styleId="ManualNumPar2">
    <w:name w:val="Manual NumPar 2"/>
    <w:basedOn w:val="Normal"/>
    <w:next w:val="Text1"/>
    <w:pPr>
      <w:ind w:left="850" w:hanging="850"/>
    </w:pPr>
  </w:style>
  <w:style w:type="paragraph" w:customStyle="1" w:styleId="ManualNumPar3">
    <w:name w:val="Manual NumPar 3"/>
    <w:basedOn w:val="Normal"/>
    <w:next w:val="Text1"/>
    <w:pPr>
      <w:ind w:left="850" w:hanging="850"/>
    </w:pPr>
  </w:style>
  <w:style w:type="paragraph" w:customStyle="1" w:styleId="ManualNumPar4">
    <w:name w:val="Manual NumPar 4"/>
    <w:basedOn w:val="Normal"/>
    <w:next w:val="Text1"/>
    <w:pPr>
      <w:ind w:left="850" w:hanging="850"/>
    </w:pPr>
  </w:style>
  <w:style w:type="paragraph" w:customStyle="1" w:styleId="QuotedNumPar">
    <w:name w:val="Quoted NumPar"/>
    <w:basedOn w:val="Normal"/>
    <w:pPr>
      <w:ind w:left="1417" w:hanging="567"/>
    </w:pPr>
  </w:style>
  <w:style w:type="paragraph" w:customStyle="1" w:styleId="ManualHeading1">
    <w:name w:val="Manual Heading 1"/>
    <w:basedOn w:val="Normal"/>
    <w:next w:val="Text1"/>
    <w:pPr>
      <w:keepNext/>
      <w:tabs>
        <w:tab w:val="left" w:pos="850"/>
      </w:tabs>
      <w:spacing w:before="360"/>
      <w:ind w:left="850" w:hanging="850"/>
      <w:outlineLvl w:val="0"/>
    </w:pPr>
    <w:rPr>
      <w:b/>
      <w:smallCaps/>
    </w:rPr>
  </w:style>
  <w:style w:type="paragraph" w:customStyle="1" w:styleId="ManualHeading2">
    <w:name w:val="Manual Heading 2"/>
    <w:basedOn w:val="Normal"/>
    <w:next w:val="Text1"/>
    <w:pPr>
      <w:keepNext/>
      <w:tabs>
        <w:tab w:val="left" w:pos="850"/>
      </w:tabs>
      <w:ind w:left="850" w:hanging="850"/>
      <w:outlineLvl w:val="1"/>
    </w:pPr>
    <w:rPr>
      <w:b/>
    </w:rPr>
  </w:style>
  <w:style w:type="paragraph" w:customStyle="1" w:styleId="ManualHeading3">
    <w:name w:val="Manual Heading 3"/>
    <w:basedOn w:val="Normal"/>
    <w:next w:val="Text1"/>
    <w:pPr>
      <w:keepNext/>
      <w:tabs>
        <w:tab w:val="left" w:pos="850"/>
      </w:tabs>
      <w:ind w:left="850" w:hanging="850"/>
      <w:outlineLvl w:val="2"/>
    </w:pPr>
    <w:rPr>
      <w:i/>
    </w:rPr>
  </w:style>
  <w:style w:type="paragraph" w:customStyle="1" w:styleId="ManualHeading4">
    <w:name w:val="Manual Heading 4"/>
    <w:basedOn w:val="Normal"/>
    <w:next w:val="Text1"/>
    <w:pPr>
      <w:keepNext/>
      <w:tabs>
        <w:tab w:val="left" w:pos="850"/>
      </w:tabs>
      <w:ind w:left="850" w:hanging="850"/>
      <w:outlineLvl w:val="3"/>
    </w:pPr>
  </w:style>
  <w:style w:type="paragraph" w:customStyle="1" w:styleId="ChapterTitle">
    <w:name w:val="ChapterTitle"/>
    <w:basedOn w:val="Normal"/>
    <w:next w:val="Normal"/>
    <w:pPr>
      <w:keepNext/>
      <w:spacing w:after="360"/>
      <w:jc w:val="center"/>
    </w:pPr>
    <w:rPr>
      <w:b/>
      <w:sz w:val="32"/>
    </w:rPr>
  </w:style>
  <w:style w:type="paragraph" w:customStyle="1" w:styleId="PartTitle">
    <w:name w:val="PartTitle"/>
    <w:basedOn w:val="Normal"/>
    <w:next w:val="ChapterTitle"/>
    <w:pPr>
      <w:keepNext/>
      <w:pageBreakBefore/>
      <w:spacing w:after="360"/>
      <w:jc w:val="center"/>
    </w:pPr>
    <w:rPr>
      <w:b/>
      <w:sz w:val="36"/>
    </w:rPr>
  </w:style>
  <w:style w:type="paragraph" w:customStyle="1" w:styleId="SectionTitle">
    <w:name w:val="SectionTitle"/>
    <w:basedOn w:val="Normal"/>
    <w:next w:val="Heading1"/>
    <w:pPr>
      <w:keepNext/>
      <w:spacing w:after="360"/>
      <w:jc w:val="center"/>
    </w:pPr>
    <w:rPr>
      <w:b/>
      <w:smallCaps/>
      <w:sz w:val="28"/>
    </w:rPr>
  </w:style>
  <w:style w:type="paragraph" w:customStyle="1" w:styleId="TableTitle">
    <w:name w:val="Table Title"/>
    <w:basedOn w:val="Normal"/>
    <w:next w:val="Normal"/>
    <w:pPr>
      <w:jc w:val="center"/>
    </w:pPr>
    <w:rPr>
      <w:b/>
    </w:rPr>
  </w:style>
  <w:style w:type="character" w:customStyle="1" w:styleId="Marker">
    <w:name w:val="Marker"/>
    <w:basedOn w:val="DefaultParagraphFont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Pr>
      <w:color w:val="008000"/>
      <w:shd w:val="clear" w:color="auto" w:fill="auto"/>
    </w:rPr>
  </w:style>
  <w:style w:type="character" w:customStyle="1" w:styleId="Marker2">
    <w:name w:val="Marker2"/>
    <w:basedOn w:val="DefaultParagraphFont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pPr>
      <w:numPr>
        <w:numId w:val="31"/>
      </w:numPr>
    </w:pPr>
  </w:style>
  <w:style w:type="paragraph" w:customStyle="1" w:styleId="Point1number">
    <w:name w:val="Point 1 (number)"/>
    <w:basedOn w:val="Normal"/>
    <w:pPr>
      <w:numPr>
        <w:ilvl w:val="2"/>
        <w:numId w:val="31"/>
      </w:numPr>
    </w:pPr>
  </w:style>
  <w:style w:type="paragraph" w:customStyle="1" w:styleId="Point2number">
    <w:name w:val="Point 2 (number)"/>
    <w:basedOn w:val="Normal"/>
    <w:pPr>
      <w:numPr>
        <w:ilvl w:val="4"/>
        <w:numId w:val="31"/>
      </w:numPr>
    </w:pPr>
  </w:style>
  <w:style w:type="paragraph" w:customStyle="1" w:styleId="Point3number">
    <w:name w:val="Point 3 (number)"/>
    <w:basedOn w:val="Normal"/>
    <w:pPr>
      <w:numPr>
        <w:ilvl w:val="6"/>
        <w:numId w:val="31"/>
      </w:numPr>
    </w:pPr>
  </w:style>
  <w:style w:type="paragraph" w:customStyle="1" w:styleId="Point0letter">
    <w:name w:val="Point 0 (letter)"/>
    <w:basedOn w:val="Normal"/>
    <w:pPr>
      <w:numPr>
        <w:ilvl w:val="1"/>
        <w:numId w:val="31"/>
      </w:numPr>
    </w:pPr>
  </w:style>
  <w:style w:type="paragraph" w:customStyle="1" w:styleId="Point1letter">
    <w:name w:val="Point 1 (letter)"/>
    <w:basedOn w:val="Normal"/>
    <w:pPr>
      <w:numPr>
        <w:ilvl w:val="3"/>
        <w:numId w:val="31"/>
      </w:numPr>
    </w:pPr>
  </w:style>
  <w:style w:type="paragraph" w:customStyle="1" w:styleId="Point2letter">
    <w:name w:val="Point 2 (letter)"/>
    <w:basedOn w:val="Normal"/>
    <w:pPr>
      <w:numPr>
        <w:ilvl w:val="5"/>
        <w:numId w:val="31"/>
      </w:numPr>
    </w:pPr>
  </w:style>
  <w:style w:type="paragraph" w:customStyle="1" w:styleId="Point3letter">
    <w:name w:val="Point 3 (letter)"/>
    <w:basedOn w:val="Normal"/>
    <w:pPr>
      <w:numPr>
        <w:ilvl w:val="7"/>
        <w:numId w:val="31"/>
      </w:numPr>
    </w:pPr>
  </w:style>
  <w:style w:type="paragraph" w:customStyle="1" w:styleId="Point4letter">
    <w:name w:val="Point 4 (letter)"/>
    <w:basedOn w:val="Normal"/>
    <w:pPr>
      <w:numPr>
        <w:ilvl w:val="8"/>
        <w:numId w:val="31"/>
      </w:numPr>
    </w:pPr>
  </w:style>
  <w:style w:type="paragraph" w:customStyle="1" w:styleId="Bullet0">
    <w:name w:val="Bullet 0"/>
    <w:basedOn w:val="Normal"/>
    <w:pPr>
      <w:numPr>
        <w:numId w:val="32"/>
      </w:numPr>
    </w:pPr>
  </w:style>
  <w:style w:type="paragraph" w:customStyle="1" w:styleId="Bullet1">
    <w:name w:val="Bullet 1"/>
    <w:basedOn w:val="Normal"/>
    <w:pPr>
      <w:numPr>
        <w:numId w:val="33"/>
      </w:numPr>
    </w:pPr>
  </w:style>
  <w:style w:type="paragraph" w:customStyle="1" w:styleId="Bullet2">
    <w:name w:val="Bullet 2"/>
    <w:basedOn w:val="Normal"/>
    <w:pPr>
      <w:numPr>
        <w:numId w:val="34"/>
      </w:numPr>
    </w:pPr>
  </w:style>
  <w:style w:type="paragraph" w:customStyle="1" w:styleId="Bullet3">
    <w:name w:val="Bullet 3"/>
    <w:basedOn w:val="Normal"/>
    <w:pPr>
      <w:numPr>
        <w:numId w:val="35"/>
      </w:numPr>
    </w:pPr>
  </w:style>
  <w:style w:type="paragraph" w:customStyle="1" w:styleId="Bullet4">
    <w:name w:val="Bullet 4"/>
    <w:basedOn w:val="Normal"/>
    <w:pPr>
      <w:numPr>
        <w:numId w:val="36"/>
      </w:numPr>
    </w:pPr>
  </w:style>
  <w:style w:type="paragraph" w:customStyle="1" w:styleId="Annexetitreexpos">
    <w:name w:val="Annexe titre (exposé)"/>
    <w:basedOn w:val="Normal"/>
    <w:next w:val="Normal"/>
    <w:pPr>
      <w:jc w:val="center"/>
    </w:pPr>
    <w:rPr>
      <w:b/>
      <w:u w:val="single"/>
    </w:rPr>
  </w:style>
  <w:style w:type="paragraph" w:customStyle="1" w:styleId="Annexetitre">
    <w:name w:val="Annexe titre"/>
    <w:basedOn w:val="Normal"/>
    <w:next w:val="Normal"/>
    <w:pPr>
      <w:jc w:val="center"/>
    </w:pPr>
    <w:rPr>
      <w:b/>
      <w:u w:val="single"/>
    </w:rPr>
  </w:style>
  <w:style w:type="paragraph" w:customStyle="1" w:styleId="Annexetitrefichefinancire">
    <w:name w:val="Annexe titre (fiche financière)"/>
    <w:basedOn w:val="Normal"/>
    <w:next w:val="Normal"/>
    <w:pPr>
      <w:jc w:val="center"/>
    </w:pPr>
    <w:rPr>
      <w:b/>
      <w:u w:val="single"/>
    </w:rPr>
  </w:style>
  <w:style w:type="paragraph" w:customStyle="1" w:styleId="Applicationdirecte">
    <w:name w:val="Application directe"/>
    <w:basedOn w:val="Normal"/>
    <w:next w:val="Fait"/>
    <w:pPr>
      <w:spacing w:before="480"/>
    </w:pPr>
  </w:style>
  <w:style w:type="paragraph" w:customStyle="1" w:styleId="Avertissementtitre">
    <w:name w:val="Avertissement titre"/>
    <w:basedOn w:val="Normal"/>
    <w:next w:val="Normal"/>
    <w:pPr>
      <w:keepNext/>
      <w:spacing w:before="480"/>
    </w:pPr>
    <w:rPr>
      <w:u w:val="single"/>
    </w:rPr>
  </w:style>
  <w:style w:type="paragraph" w:customStyle="1" w:styleId="Confidence">
    <w:name w:val="Confidence"/>
    <w:basedOn w:val="Normal"/>
    <w:next w:val="Normal"/>
    <w:pPr>
      <w:spacing w:before="360"/>
      <w:jc w:val="center"/>
    </w:pPr>
  </w:style>
  <w:style w:type="paragraph" w:customStyle="1" w:styleId="Confidentialit">
    <w:name w:val="Confidentialité"/>
    <w:basedOn w:val="Normal"/>
    <w:next w:val="TypedudocumentPagedecouverture"/>
    <w:pPr>
      <w:spacing w:before="240" w:after="240"/>
      <w:ind w:left="5103"/>
      <w:jc w:val="left"/>
    </w:pPr>
    <w:rPr>
      <w:i/>
      <w:sz w:val="32"/>
    </w:rPr>
  </w:style>
  <w:style w:type="paragraph" w:customStyle="1" w:styleId="Considrant">
    <w:name w:val="Considérant"/>
    <w:basedOn w:val="Normal"/>
    <w:pPr>
      <w:numPr>
        <w:numId w:val="37"/>
      </w:numPr>
    </w:pPr>
  </w:style>
  <w:style w:type="paragraph" w:customStyle="1" w:styleId="Corrigendum">
    <w:name w:val="Corrigendum"/>
    <w:basedOn w:val="Normal"/>
    <w:next w:val="Normal"/>
    <w:pPr>
      <w:spacing w:before="0" w:after="240"/>
      <w:jc w:val="left"/>
    </w:pPr>
  </w:style>
  <w:style w:type="paragraph" w:customStyle="1" w:styleId="Datedadoption">
    <w:name w:val="Date d'adoption"/>
    <w:basedOn w:val="Normal"/>
    <w:next w:val="Titreobjet"/>
    <w:pPr>
      <w:spacing w:before="360" w:after="0"/>
      <w:jc w:val="center"/>
    </w:pPr>
    <w:rPr>
      <w:b/>
    </w:rPr>
  </w:style>
  <w:style w:type="paragraph" w:customStyle="1" w:styleId="Emission">
    <w:name w:val="Emission"/>
    <w:basedOn w:val="Normal"/>
    <w:next w:val="Rfrenceinstitutionnelle"/>
    <w:pPr>
      <w:spacing w:before="0" w:after="0"/>
      <w:ind w:left="5103"/>
      <w:jc w:val="left"/>
    </w:pPr>
  </w:style>
  <w:style w:type="paragraph" w:customStyle="1" w:styleId="Exposdesmotifstitre">
    <w:name w:val="Exposé des motifs titre"/>
    <w:basedOn w:val="Normal"/>
    <w:next w:val="Normal"/>
    <w:pPr>
      <w:jc w:val="center"/>
    </w:pPr>
    <w:rPr>
      <w:b/>
      <w:u w:val="single"/>
    </w:rPr>
  </w:style>
  <w:style w:type="paragraph" w:customStyle="1" w:styleId="Fait">
    <w:name w:val="Fait à"/>
    <w:basedOn w:val="Normal"/>
    <w:next w:val="Institutionquisigne"/>
    <w:pPr>
      <w:keepNext/>
      <w:spacing w:after="0"/>
    </w:pPr>
  </w:style>
  <w:style w:type="paragraph" w:customStyle="1" w:styleId="Formuledadoption">
    <w:name w:val="Formule d'adoption"/>
    <w:basedOn w:val="Normal"/>
    <w:next w:val="Titrearticle"/>
    <w:pPr>
      <w:keepNext/>
    </w:pPr>
  </w:style>
  <w:style w:type="paragraph" w:customStyle="1" w:styleId="Institutionquiagit">
    <w:name w:val="Institution qui agit"/>
    <w:basedOn w:val="Normal"/>
    <w:next w:val="Normal"/>
    <w:pPr>
      <w:keepNext/>
      <w:spacing w:before="600"/>
    </w:pPr>
  </w:style>
  <w:style w:type="paragraph" w:customStyle="1" w:styleId="Institutionquisigne">
    <w:name w:val="Institution qui signe"/>
    <w:basedOn w:val="Normal"/>
    <w:next w:val="Personnequisigne"/>
    <w:pPr>
      <w:keepNext/>
      <w:tabs>
        <w:tab w:val="left" w:pos="4252"/>
      </w:tabs>
      <w:spacing w:before="720" w:after="0"/>
    </w:pPr>
    <w:rPr>
      <w:i/>
    </w:rPr>
  </w:style>
  <w:style w:type="paragraph" w:customStyle="1" w:styleId="Langue">
    <w:name w:val="Langue"/>
    <w:basedOn w:val="Normal"/>
    <w:next w:val="Rfrenceinterne"/>
    <w:pPr>
      <w:framePr w:wrap="around" w:vAnchor="page" w:hAnchor="text" w:xAlign="center" w:y="14741"/>
      <w:spacing w:before="0" w:after="600"/>
      <w:jc w:val="center"/>
    </w:pPr>
    <w:rPr>
      <w:b/>
      <w:caps/>
    </w:rPr>
  </w:style>
  <w:style w:type="paragraph" w:customStyle="1" w:styleId="ManualConsidrant">
    <w:name w:val="Manual Considérant"/>
    <w:basedOn w:val="Normal"/>
    <w:pPr>
      <w:ind w:left="709" w:hanging="709"/>
    </w:pPr>
  </w:style>
  <w:style w:type="paragraph" w:customStyle="1" w:styleId="Nomdelinstitution">
    <w:name w:val="Nom de l'institution"/>
    <w:basedOn w:val="Normal"/>
    <w:next w:val="Emission"/>
    <w:pPr>
      <w:spacing w:before="0" w:after="0"/>
      <w:jc w:val="left"/>
    </w:pPr>
    <w:rPr>
      <w:rFonts w:ascii="Arial" w:hAnsi="Arial" w:cs="Arial"/>
    </w:rPr>
  </w:style>
  <w:style w:type="paragraph" w:customStyle="1" w:styleId="Personnequisigne">
    <w:name w:val="Personne qui signe"/>
    <w:basedOn w:val="Normal"/>
    <w:next w:val="Institutionquisigne"/>
    <w:pPr>
      <w:tabs>
        <w:tab w:val="left" w:pos="4252"/>
      </w:tabs>
      <w:spacing w:before="0" w:after="0"/>
      <w:jc w:val="left"/>
    </w:pPr>
    <w:rPr>
      <w:i/>
    </w:rPr>
  </w:style>
  <w:style w:type="paragraph" w:customStyle="1" w:styleId="Rfrenceinstitutionnelle">
    <w:name w:val="Référence institutionnelle"/>
    <w:basedOn w:val="Normal"/>
    <w:next w:val="Confidentialit"/>
    <w:pPr>
      <w:spacing w:before="0" w:after="240"/>
      <w:ind w:left="5103"/>
      <w:jc w:val="left"/>
    </w:pPr>
  </w:style>
  <w:style w:type="paragraph" w:customStyle="1" w:styleId="Rfrenceinterinstitutionnelle">
    <w:name w:val="Référence interinstitutionnelle"/>
    <w:basedOn w:val="Normal"/>
    <w:next w:val="Statut"/>
    <w:pPr>
      <w:spacing w:before="0" w:after="0"/>
      <w:ind w:left="5103"/>
      <w:jc w:val="left"/>
    </w:pPr>
  </w:style>
  <w:style w:type="paragraph" w:customStyle="1" w:styleId="Rfrenceinterne">
    <w:name w:val="Référence interne"/>
    <w:basedOn w:val="Normal"/>
    <w:next w:val="Rfrenceinterinstitutionnelle"/>
    <w:pPr>
      <w:spacing w:before="0" w:after="0"/>
      <w:ind w:left="5103"/>
      <w:jc w:val="left"/>
    </w:pPr>
  </w:style>
  <w:style w:type="paragraph" w:customStyle="1" w:styleId="Sous-titreobjet">
    <w:name w:val="Sous-titre objet"/>
    <w:basedOn w:val="Normal"/>
    <w:pPr>
      <w:spacing w:before="0" w:after="0"/>
      <w:jc w:val="center"/>
    </w:pPr>
    <w:rPr>
      <w:b/>
    </w:rPr>
  </w:style>
  <w:style w:type="paragraph" w:customStyle="1" w:styleId="Statut">
    <w:name w:val="Statut"/>
    <w:basedOn w:val="Normal"/>
    <w:next w:val="Typedudocument"/>
    <w:pPr>
      <w:spacing w:before="360" w:after="0"/>
      <w:jc w:val="center"/>
    </w:pPr>
  </w:style>
  <w:style w:type="paragraph" w:customStyle="1" w:styleId="Titrearticle">
    <w:name w:val="Titre article"/>
    <w:basedOn w:val="Normal"/>
    <w:next w:val="Normal"/>
    <w:pPr>
      <w:keepNext/>
      <w:spacing w:before="360"/>
      <w:jc w:val="center"/>
    </w:pPr>
    <w:rPr>
      <w:i/>
    </w:rPr>
  </w:style>
  <w:style w:type="paragraph" w:customStyle="1" w:styleId="Titreobjet">
    <w:name w:val="Titre objet"/>
    <w:basedOn w:val="Normal"/>
    <w:next w:val="Sous-titreobjet"/>
    <w:pPr>
      <w:spacing w:before="360" w:after="360"/>
      <w:jc w:val="center"/>
    </w:pPr>
    <w:rPr>
      <w:b/>
    </w:rPr>
  </w:style>
  <w:style w:type="paragraph" w:customStyle="1" w:styleId="Typedudocument">
    <w:name w:val="Type du document"/>
    <w:basedOn w:val="Normal"/>
    <w:next w:val="Titreobjet"/>
    <w:pPr>
      <w:spacing w:before="360" w:after="0"/>
      <w:jc w:val="center"/>
    </w:pPr>
    <w:rPr>
      <w:b/>
    </w:rPr>
  </w:style>
  <w:style w:type="character" w:customStyle="1" w:styleId="Added">
    <w:name w:val="Added"/>
    <w:basedOn w:val="DefaultParagraphFont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pPr>
      <w:keepLines/>
      <w:spacing w:line="360" w:lineRule="auto"/>
      <w:ind w:left="3402"/>
      <w:jc w:val="left"/>
    </w:pPr>
  </w:style>
  <w:style w:type="paragraph" w:customStyle="1" w:styleId="Objetexterne">
    <w:name w:val="Objet externe"/>
    <w:basedOn w:val="Normal"/>
    <w:next w:val="Normal"/>
    <w:rPr>
      <w:i/>
      <w:caps/>
    </w:rPr>
  </w:style>
  <w:style w:type="paragraph" w:customStyle="1" w:styleId="Pagedecouverture">
    <w:name w:val="Page de couverture"/>
    <w:basedOn w:val="Normal"/>
    <w:next w:val="Normal"/>
    <w:pPr>
      <w:spacing w:before="0" w:after="0"/>
    </w:pPr>
  </w:style>
  <w:style w:type="paragraph" w:customStyle="1" w:styleId="Supertitre">
    <w:name w:val="Supertitre"/>
    <w:basedOn w:val="Normal"/>
    <w:next w:val="Normal"/>
    <w:pPr>
      <w:spacing w:before="0" w:after="600"/>
      <w:jc w:val="center"/>
    </w:pPr>
    <w:rPr>
      <w:b/>
    </w:rPr>
  </w:style>
  <w:style w:type="paragraph" w:customStyle="1" w:styleId="Languesfaisantfoi">
    <w:name w:val="Langues faisant foi"/>
    <w:basedOn w:val="Normal"/>
    <w:next w:val="Normal"/>
    <w:pPr>
      <w:spacing w:before="360" w:after="0"/>
      <w:jc w:val="center"/>
    </w:pPr>
  </w:style>
  <w:style w:type="paragraph" w:customStyle="1" w:styleId="Rfrencecroise">
    <w:name w:val="Référence croisée"/>
    <w:basedOn w:val="Normal"/>
    <w:pPr>
      <w:spacing w:before="0" w:after="0"/>
      <w:jc w:val="center"/>
    </w:pPr>
  </w:style>
  <w:style w:type="paragraph" w:customStyle="1" w:styleId="Fichefinanciretitre">
    <w:name w:val="Fiche financière titre"/>
    <w:basedOn w:val="Normal"/>
    <w:next w:val="Normal"/>
    <w:pPr>
      <w:jc w:val="center"/>
    </w:pPr>
    <w:rPr>
      <w:b/>
      <w:u w:val="single"/>
    </w:rPr>
  </w:style>
  <w:style w:type="paragraph" w:customStyle="1" w:styleId="DatedadoptionPagedecouverture">
    <w:name w:val="Date d'adoption (Page de couverture)"/>
    <w:basedOn w:val="Datedadoption"/>
    <w:next w:val="TitreobjetPagedecouverture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</w:style>
  <w:style w:type="paragraph" w:customStyle="1" w:styleId="Sous-titreobjetPagedecouverture">
    <w:name w:val="Sous-titre objet (Page de couverture)"/>
    <w:basedOn w:val="Sous-titreobjet"/>
  </w:style>
  <w:style w:type="paragraph" w:customStyle="1" w:styleId="StatutPagedecouverture">
    <w:name w:val="Statut (Page de couverture)"/>
    <w:basedOn w:val="Statut"/>
    <w:next w:val="TypedudocumentPagedecouverture"/>
  </w:style>
  <w:style w:type="paragraph" w:customStyle="1" w:styleId="TitreobjetPagedecouverture">
    <w:name w:val="Titre objet (Page de couverture)"/>
    <w:basedOn w:val="Titreobjet"/>
    <w:next w:val="Sous-titreobjetPagedecouverture"/>
  </w:style>
  <w:style w:type="paragraph" w:customStyle="1" w:styleId="TypedudocumentPagedecouverture">
    <w:name w:val="Type du document (Page de couverture)"/>
    <w:basedOn w:val="Typedudocument"/>
    <w:next w:val="TitreobjetPagedecouverture"/>
  </w:style>
  <w:style w:type="paragraph" w:customStyle="1" w:styleId="Volume">
    <w:name w:val="Volume"/>
    <w:basedOn w:val="Normal"/>
    <w:next w:val="Confidentialit"/>
    <w:pPr>
      <w:spacing w:before="0" w:after="240"/>
      <w:ind w:left="5103"/>
      <w:jc w:val="left"/>
    </w:pPr>
  </w:style>
  <w:style w:type="paragraph" w:customStyle="1" w:styleId="IntrtEEE">
    <w:name w:val="Intérêt EEE"/>
    <w:basedOn w:val="Languesfaisantfoi"/>
    <w:next w:val="Normal"/>
    <w:pPr>
      <w:spacing w:after="240"/>
    </w:pPr>
  </w:style>
  <w:style w:type="paragraph" w:customStyle="1" w:styleId="Accompagnant">
    <w:name w:val="Accompagnant"/>
    <w:basedOn w:val="Normal"/>
    <w:next w:val="Typeacteprincipal"/>
    <w:pPr>
      <w:spacing w:before="0" w:after="240"/>
      <w:jc w:val="center"/>
    </w:pPr>
    <w:rPr>
      <w:b/>
      <w:i/>
    </w:rPr>
  </w:style>
  <w:style w:type="paragraph" w:customStyle="1" w:styleId="Typeacteprincipal">
    <w:name w:val="Type acte principal"/>
    <w:basedOn w:val="Normal"/>
    <w:next w:val="Objetacteprincipal"/>
    <w:pPr>
      <w:spacing w:before="0" w:after="240"/>
      <w:jc w:val="center"/>
    </w:pPr>
    <w:rPr>
      <w:b/>
    </w:rPr>
  </w:style>
  <w:style w:type="paragraph" w:customStyle="1" w:styleId="Objetacteprincipal">
    <w:name w:val="Objet acte principal"/>
    <w:basedOn w:val="Normal"/>
    <w:next w:val="Titrearticle"/>
    <w:pPr>
      <w:spacing w:before="0" w:after="360"/>
      <w:jc w:val="center"/>
    </w:pPr>
    <w:rPr>
      <w:b/>
    </w:rPr>
  </w:style>
  <w:style w:type="paragraph" w:customStyle="1" w:styleId="IntrtEEEPagedecouverture">
    <w:name w:val="Intérêt EEE (Page de couverture)"/>
    <w:basedOn w:val="IntrtEEE"/>
    <w:next w:val="Rfrencecroise"/>
  </w:style>
  <w:style w:type="paragraph" w:customStyle="1" w:styleId="AccompagnantPagedecouverture">
    <w:name w:val="Accompagnant (Page de couverture)"/>
    <w:basedOn w:val="Accompagnant"/>
    <w:next w:val="TypeacteprincipalPagedecouverture"/>
  </w:style>
  <w:style w:type="paragraph" w:customStyle="1" w:styleId="TypeacteprincipalPagedecouverture">
    <w:name w:val="Type acte principal (Page de couverture)"/>
    <w:basedOn w:val="Typeacteprincipal"/>
    <w:next w:val="ObjetacteprincipalPagedecouverture"/>
  </w:style>
  <w:style w:type="paragraph" w:customStyle="1" w:styleId="ObjetacteprincipalPagedecouverture">
    <w:name w:val="Objet acte principal (Page de couverture)"/>
    <w:basedOn w:val="Objetacteprincipal"/>
    <w:next w:val="Rfrencecroise"/>
  </w:style>
  <w:style w:type="paragraph" w:customStyle="1" w:styleId="LanguesfaisantfoiPagedecouverture">
    <w:name w:val="Langues faisant foi (Page de couverture)"/>
    <w:basedOn w:val="Normal"/>
    <w:next w:val="Normal"/>
    <w:pPr>
      <w:spacing w:before="360" w:after="0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mt-MT" w:eastAsia="mt-MT" w:bidi="mt-MT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Text1"/>
    <w:link w:val="Heading1Char"/>
    <w:uiPriority w:val="9"/>
    <w:qFormat/>
    <w:pPr>
      <w:keepNext/>
      <w:numPr>
        <w:numId w:val="30"/>
      </w:numPr>
      <w:spacing w:before="360"/>
      <w:outlineLvl w:val="0"/>
    </w:pPr>
    <w:rPr>
      <w:rFonts w:eastAsiaTheme="majorEastAsia"/>
      <w:b/>
      <w:bCs/>
      <w:smallCaps/>
      <w:szCs w:val="28"/>
    </w:rPr>
  </w:style>
  <w:style w:type="paragraph" w:styleId="Heading2">
    <w:name w:val="heading 2"/>
    <w:basedOn w:val="Normal"/>
    <w:next w:val="Text1"/>
    <w:link w:val="Heading2Char"/>
    <w:uiPriority w:val="9"/>
    <w:semiHidden/>
    <w:unhideWhenUsed/>
    <w:qFormat/>
    <w:pPr>
      <w:keepNext/>
      <w:numPr>
        <w:ilvl w:val="1"/>
        <w:numId w:val="30"/>
      </w:numPr>
      <w:outlineLvl w:val="1"/>
    </w:pPr>
    <w:rPr>
      <w:rFonts w:eastAsiaTheme="majorEastAsia"/>
      <w:b/>
      <w:bCs/>
      <w:szCs w:val="26"/>
    </w:rPr>
  </w:style>
  <w:style w:type="paragraph" w:styleId="Heading3">
    <w:name w:val="heading 3"/>
    <w:basedOn w:val="Normal"/>
    <w:next w:val="Text1"/>
    <w:link w:val="Heading3Char"/>
    <w:uiPriority w:val="9"/>
    <w:semiHidden/>
    <w:unhideWhenUsed/>
    <w:qFormat/>
    <w:pPr>
      <w:keepNext/>
      <w:numPr>
        <w:ilvl w:val="2"/>
        <w:numId w:val="30"/>
      </w:numPr>
      <w:outlineLvl w:val="2"/>
    </w:pPr>
    <w:rPr>
      <w:rFonts w:eastAsiaTheme="majorEastAsia"/>
      <w:bCs/>
      <w:i/>
    </w:rPr>
  </w:style>
  <w:style w:type="paragraph" w:styleId="Heading4">
    <w:name w:val="heading 4"/>
    <w:basedOn w:val="Normal"/>
    <w:next w:val="Text1"/>
    <w:link w:val="Heading4Char"/>
    <w:uiPriority w:val="9"/>
    <w:semiHidden/>
    <w:unhideWhenUsed/>
    <w:qFormat/>
    <w:pPr>
      <w:keepNext/>
      <w:numPr>
        <w:ilvl w:val="3"/>
        <w:numId w:val="30"/>
      </w:numPr>
      <w:outlineLvl w:val="3"/>
    </w:pPr>
    <w:rPr>
      <w:rFonts w:eastAsiaTheme="majorEastAsia"/>
      <w:bCs/>
      <w:i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99"/>
    <w:semiHidden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pPr>
      <w:numPr>
        <w:numId w:val="4"/>
      </w:numPr>
      <w:contextualSpacing/>
    </w:p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before="0" w:after="200"/>
    </w:pPr>
    <w:rPr>
      <w:b/>
      <w:bCs/>
      <w:color w:val="4F81BD"/>
      <w:sz w:val="18"/>
      <w:szCs w:val="18"/>
    </w:rPr>
  </w:style>
  <w:style w:type="paragraph" w:styleId="TableofFigures">
    <w:name w:val="table of figures"/>
    <w:basedOn w:val="Normal"/>
    <w:next w:val="Normal"/>
    <w:uiPriority w:val="99"/>
    <w:semiHidden/>
    <w:unhideWhenUsed/>
    <w:pPr>
      <w:spacing w:after="0"/>
    </w:pPr>
  </w:style>
  <w:style w:type="paragraph" w:styleId="ListNumber">
    <w:name w:val="List Number"/>
    <w:basedOn w:val="Normal"/>
    <w:uiPriority w:val="99"/>
    <w:semiHidden/>
    <w:unhideWhenUsed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pPr>
      <w:numPr>
        <w:numId w:val="7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pPr>
      <w:numPr>
        <w:numId w:val="8"/>
      </w:numPr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sz w:val="16"/>
      <w:szCs w:val="16"/>
      <w:lang w:val="mt-MT"/>
    </w:rPr>
  </w:style>
  <w:style w:type="character" w:styleId="CommentReference">
    <w:name w:val="annotation reference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Pr>
      <w:rFonts w:ascii="Times New Roman" w:hAnsi="Times New Roman" w:cs="Times New Roman"/>
      <w:sz w:val="20"/>
      <w:szCs w:val="20"/>
      <w:lang w:val="mt-M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Pr>
      <w:rFonts w:ascii="Times New Roman" w:hAnsi="Times New Roman" w:cs="Times New Roman"/>
      <w:b/>
      <w:bCs/>
      <w:sz w:val="20"/>
      <w:szCs w:val="20"/>
      <w:lang w:val="mt-MT"/>
    </w:rPr>
  </w:style>
  <w:style w:type="paragraph" w:styleId="Revision">
    <w:name w:val="Revision"/>
    <w:hidden/>
    <w:uiPriority w:val="99"/>
    <w:semiHidden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5"/>
        <w:tab w:val="right" w:pos="9071"/>
      </w:tabs>
      <w:spacing w:before="0"/>
    </w:pPr>
    <w:rPr>
      <w:rFonts w:eastAsiaTheme="minorHAnsi"/>
      <w:lang w:eastAsia="en-US" w:bidi="ar-SA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Theme="minorHAnsi" w:hAnsi="Times New Roman"/>
      <w:sz w:val="24"/>
      <w:lang w:eastAsia="en-US" w:bidi="ar-SA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  <w:sz w:val="24"/>
      <w:shd w:val="clear" w:color="auto" w:fill="auto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before="0" w:after="0"/>
      <w:ind w:left="720" w:hanging="72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Times New Roman" w:hAnsi="Times New Roman" w:cs="Times New Roman"/>
      <w:sz w:val="20"/>
      <w:szCs w:val="20"/>
      <w:shd w:val="clear" w:color="auto" w:fill="auto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Theme="majorEastAsia" w:hAnsi="Times New Roman" w:cs="Times New Roman"/>
      <w:b/>
      <w:bCs/>
      <w:smallCaps/>
      <w:sz w:val="24"/>
      <w:szCs w:val="28"/>
      <w:shd w:val="clear" w:color="auto" w:fill="auto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="Times New Roman" w:eastAsiaTheme="majorEastAsia" w:hAnsi="Times New Roman" w:cs="Times New Roman"/>
      <w:b/>
      <w:bCs/>
      <w:sz w:val="24"/>
      <w:szCs w:val="26"/>
      <w:shd w:val="clear" w:color="auto" w:fill="auto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="Times New Roman" w:eastAsiaTheme="majorEastAsia" w:hAnsi="Times New Roman" w:cs="Times New Roman"/>
      <w:bCs/>
      <w:i/>
      <w:sz w:val="24"/>
      <w:shd w:val="clear" w:color="auto" w:fill="auto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="Times New Roman" w:eastAsiaTheme="majorEastAsia" w:hAnsi="Times New Roman" w:cs="Times New Roman"/>
      <w:bCs/>
      <w:iCs/>
      <w:sz w:val="24"/>
      <w:shd w:val="clear" w:color="auto" w:fill="auto"/>
      <w:lang w:val="en-GB"/>
    </w:rPr>
  </w:style>
  <w:style w:type="paragraph" w:styleId="TOCHeading">
    <w:name w:val="TOC Heading"/>
    <w:basedOn w:val="Normal"/>
    <w:next w:val="Normal"/>
    <w:uiPriority w:val="39"/>
    <w:semiHidden/>
    <w:unhideWhenUsed/>
    <w:qFormat/>
    <w:pPr>
      <w:spacing w:after="240"/>
      <w:jc w:val="center"/>
    </w:pPr>
    <w:rPr>
      <w:b/>
      <w:sz w:val="28"/>
    </w:rPr>
  </w:style>
  <w:style w:type="paragraph" w:styleId="TOC1">
    <w:name w:val="toc 1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2">
    <w:name w:val="toc 2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3">
    <w:name w:val="toc 3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4">
    <w:name w:val="toc 4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5">
    <w:name w:val="toc 5"/>
    <w:basedOn w:val="Normal"/>
    <w:next w:val="Normal"/>
    <w:uiPriority w:val="39"/>
    <w:semiHidden/>
    <w:unhideWhenUsed/>
    <w:pPr>
      <w:tabs>
        <w:tab w:val="right" w:leader="dot" w:pos="9071"/>
      </w:tabs>
      <w:spacing w:before="300"/>
      <w:jc w:val="left"/>
    </w:pPr>
  </w:style>
  <w:style w:type="paragraph" w:styleId="TOC6">
    <w:name w:val="toc 6"/>
    <w:basedOn w:val="Normal"/>
    <w:next w:val="Normal"/>
    <w:uiPriority w:val="39"/>
    <w:semiHidden/>
    <w:unhideWhenUsed/>
    <w:pPr>
      <w:tabs>
        <w:tab w:val="right" w:leader="dot" w:pos="9071"/>
      </w:tabs>
      <w:spacing w:before="240"/>
      <w:jc w:val="left"/>
    </w:pPr>
  </w:style>
  <w:style w:type="paragraph" w:styleId="TOC7">
    <w:name w:val="toc 7"/>
    <w:basedOn w:val="Normal"/>
    <w:next w:val="Normal"/>
    <w:uiPriority w:val="39"/>
    <w:semiHidden/>
    <w:unhideWhenUsed/>
    <w:pPr>
      <w:tabs>
        <w:tab w:val="right" w:leader="dot" w:pos="9071"/>
      </w:tabs>
      <w:spacing w:before="180"/>
      <w:jc w:val="left"/>
    </w:pPr>
  </w:style>
  <w:style w:type="paragraph" w:styleId="TOC8">
    <w:name w:val="toc 8"/>
    <w:basedOn w:val="Normal"/>
    <w:next w:val="Normal"/>
    <w:uiPriority w:val="39"/>
    <w:semiHidden/>
    <w:unhideWhenUsed/>
    <w:pPr>
      <w:tabs>
        <w:tab w:val="right" w:leader="dot" w:pos="9071"/>
      </w:tabs>
      <w:jc w:val="left"/>
    </w:pPr>
  </w:style>
  <w:style w:type="paragraph" w:styleId="TOC9">
    <w:name w:val="toc 9"/>
    <w:basedOn w:val="Normal"/>
    <w:next w:val="Normal"/>
    <w:uiPriority w:val="39"/>
    <w:semiHidden/>
    <w:unhideWhenUsed/>
    <w:pPr>
      <w:tabs>
        <w:tab w:val="right" w:leader="dot" w:pos="9071"/>
      </w:tabs>
    </w:pPr>
  </w:style>
  <w:style w:type="paragraph" w:customStyle="1" w:styleId="HeaderLandscape">
    <w:name w:val="HeaderLandscape"/>
    <w:basedOn w:val="Normal"/>
    <w:pPr>
      <w:tabs>
        <w:tab w:val="center" w:pos="7285"/>
        <w:tab w:val="right" w:pos="14003"/>
      </w:tabs>
      <w:spacing w:before="0"/>
    </w:pPr>
    <w:rPr>
      <w:rFonts w:eastAsiaTheme="minorHAnsi"/>
      <w:lang w:eastAsia="en-US" w:bidi="ar-SA"/>
    </w:rPr>
  </w:style>
  <w:style w:type="paragraph" w:customStyle="1" w:styleId="FooterLandscape">
    <w:name w:val="FooterLandscape"/>
    <w:basedOn w:val="Normal"/>
    <w:pPr>
      <w:tabs>
        <w:tab w:val="center" w:pos="7285"/>
        <w:tab w:val="center" w:pos="10913"/>
        <w:tab w:val="right" w:pos="15137"/>
      </w:tabs>
      <w:spacing w:before="360" w:after="0"/>
      <w:ind w:left="-567" w:right="-567"/>
      <w:jc w:val="left"/>
    </w:pPr>
  </w:style>
  <w:style w:type="character" w:styleId="FootnoteReference">
    <w:name w:val="footnote reference"/>
    <w:basedOn w:val="DefaultParagraphFont"/>
    <w:uiPriority w:val="99"/>
    <w:semiHidden/>
    <w:unhideWhenUsed/>
    <w:rPr>
      <w:shd w:val="clear" w:color="auto" w:fill="auto"/>
      <w:vertAlign w:val="superscript"/>
    </w:rPr>
  </w:style>
  <w:style w:type="paragraph" w:customStyle="1" w:styleId="Text1">
    <w:name w:val="Text 1"/>
    <w:basedOn w:val="Normal"/>
    <w:pPr>
      <w:ind w:left="850"/>
    </w:pPr>
  </w:style>
  <w:style w:type="paragraph" w:customStyle="1" w:styleId="Text2">
    <w:name w:val="Text 2"/>
    <w:basedOn w:val="Normal"/>
    <w:pPr>
      <w:ind w:left="1417"/>
    </w:pPr>
  </w:style>
  <w:style w:type="paragraph" w:customStyle="1" w:styleId="Text3">
    <w:name w:val="Text 3"/>
    <w:basedOn w:val="Normal"/>
    <w:pPr>
      <w:ind w:left="1984"/>
    </w:pPr>
  </w:style>
  <w:style w:type="paragraph" w:customStyle="1" w:styleId="Text4">
    <w:name w:val="Text 4"/>
    <w:basedOn w:val="Normal"/>
    <w:pPr>
      <w:ind w:left="2551"/>
    </w:pPr>
  </w:style>
  <w:style w:type="paragraph" w:customStyle="1" w:styleId="NormalCentered">
    <w:name w:val="Normal Centered"/>
    <w:basedOn w:val="Normal"/>
    <w:pPr>
      <w:jc w:val="center"/>
    </w:pPr>
  </w:style>
  <w:style w:type="paragraph" w:customStyle="1" w:styleId="NormalLeft">
    <w:name w:val="Normal Left"/>
    <w:basedOn w:val="Normal"/>
    <w:pPr>
      <w:jc w:val="left"/>
    </w:pPr>
  </w:style>
  <w:style w:type="paragraph" w:customStyle="1" w:styleId="NormalRight">
    <w:name w:val="Normal Right"/>
    <w:basedOn w:val="Normal"/>
    <w:pPr>
      <w:jc w:val="right"/>
    </w:pPr>
  </w:style>
  <w:style w:type="paragraph" w:customStyle="1" w:styleId="QuotedText">
    <w:name w:val="Quoted Text"/>
    <w:basedOn w:val="Normal"/>
    <w:pPr>
      <w:ind w:left="1417"/>
    </w:pPr>
  </w:style>
  <w:style w:type="paragraph" w:customStyle="1" w:styleId="Point0">
    <w:name w:val="Point 0"/>
    <w:basedOn w:val="Normal"/>
    <w:pPr>
      <w:ind w:left="850" w:hanging="850"/>
    </w:pPr>
  </w:style>
  <w:style w:type="paragraph" w:customStyle="1" w:styleId="Point1">
    <w:name w:val="Point 1"/>
    <w:basedOn w:val="Normal"/>
    <w:pPr>
      <w:ind w:left="1417" w:hanging="567"/>
    </w:pPr>
  </w:style>
  <w:style w:type="paragraph" w:customStyle="1" w:styleId="Point2">
    <w:name w:val="Point 2"/>
    <w:basedOn w:val="Normal"/>
    <w:pPr>
      <w:ind w:left="1984" w:hanging="567"/>
    </w:pPr>
  </w:style>
  <w:style w:type="paragraph" w:customStyle="1" w:styleId="Point3">
    <w:name w:val="Point 3"/>
    <w:basedOn w:val="Normal"/>
    <w:pPr>
      <w:ind w:left="2551" w:hanging="567"/>
    </w:pPr>
  </w:style>
  <w:style w:type="paragraph" w:customStyle="1" w:styleId="Point4">
    <w:name w:val="Point 4"/>
    <w:basedOn w:val="Normal"/>
    <w:pPr>
      <w:ind w:left="3118" w:hanging="567"/>
    </w:pPr>
  </w:style>
  <w:style w:type="paragraph" w:customStyle="1" w:styleId="Tiret0">
    <w:name w:val="Tiret 0"/>
    <w:basedOn w:val="Point0"/>
    <w:pPr>
      <w:numPr>
        <w:numId w:val="24"/>
      </w:numPr>
    </w:pPr>
  </w:style>
  <w:style w:type="paragraph" w:customStyle="1" w:styleId="Tiret1">
    <w:name w:val="Tiret 1"/>
    <w:basedOn w:val="Point1"/>
    <w:pPr>
      <w:numPr>
        <w:numId w:val="25"/>
      </w:numPr>
    </w:pPr>
  </w:style>
  <w:style w:type="paragraph" w:customStyle="1" w:styleId="Tiret2">
    <w:name w:val="Tiret 2"/>
    <w:basedOn w:val="Point2"/>
    <w:pPr>
      <w:numPr>
        <w:numId w:val="26"/>
      </w:numPr>
    </w:pPr>
  </w:style>
  <w:style w:type="paragraph" w:customStyle="1" w:styleId="Tiret3">
    <w:name w:val="Tiret 3"/>
    <w:basedOn w:val="Point3"/>
    <w:pPr>
      <w:numPr>
        <w:numId w:val="27"/>
      </w:numPr>
    </w:pPr>
  </w:style>
  <w:style w:type="paragraph" w:customStyle="1" w:styleId="Tiret4">
    <w:name w:val="Tiret 4"/>
    <w:basedOn w:val="Point4"/>
    <w:pPr>
      <w:numPr>
        <w:numId w:val="28"/>
      </w:numPr>
    </w:pPr>
  </w:style>
  <w:style w:type="paragraph" w:customStyle="1" w:styleId="PointDouble0">
    <w:name w:val="PointDouble 0"/>
    <w:basedOn w:val="Normal"/>
    <w:pPr>
      <w:tabs>
        <w:tab w:val="left" w:pos="850"/>
      </w:tabs>
      <w:ind w:left="1417" w:hanging="1417"/>
    </w:pPr>
  </w:style>
  <w:style w:type="paragraph" w:customStyle="1" w:styleId="PointDouble1">
    <w:name w:val="PointDouble 1"/>
    <w:basedOn w:val="Normal"/>
    <w:pPr>
      <w:tabs>
        <w:tab w:val="left" w:pos="1417"/>
      </w:tabs>
      <w:ind w:left="1984" w:hanging="1134"/>
    </w:pPr>
  </w:style>
  <w:style w:type="paragraph" w:customStyle="1" w:styleId="PointDouble2">
    <w:name w:val="PointDouble 2"/>
    <w:basedOn w:val="Normal"/>
    <w:pPr>
      <w:tabs>
        <w:tab w:val="left" w:pos="1984"/>
      </w:tabs>
      <w:ind w:left="2551" w:hanging="1134"/>
    </w:pPr>
  </w:style>
  <w:style w:type="paragraph" w:customStyle="1" w:styleId="PointDouble3">
    <w:name w:val="PointDouble 3"/>
    <w:basedOn w:val="Normal"/>
    <w:pPr>
      <w:tabs>
        <w:tab w:val="left" w:pos="2551"/>
      </w:tabs>
      <w:ind w:left="3118" w:hanging="1134"/>
    </w:pPr>
  </w:style>
  <w:style w:type="paragraph" w:customStyle="1" w:styleId="PointDouble4">
    <w:name w:val="PointDouble 4"/>
    <w:basedOn w:val="Normal"/>
    <w:pPr>
      <w:tabs>
        <w:tab w:val="left" w:pos="3118"/>
      </w:tabs>
      <w:ind w:left="3685" w:hanging="1134"/>
    </w:pPr>
  </w:style>
  <w:style w:type="paragraph" w:customStyle="1" w:styleId="PointTriple0">
    <w:name w:val="PointTriple 0"/>
    <w:basedOn w:val="Normal"/>
    <w:pPr>
      <w:tabs>
        <w:tab w:val="left" w:pos="850"/>
        <w:tab w:val="left" w:pos="1417"/>
      </w:tabs>
      <w:ind w:left="1984" w:hanging="1984"/>
    </w:pPr>
  </w:style>
  <w:style w:type="paragraph" w:customStyle="1" w:styleId="PointTriple1">
    <w:name w:val="PointTriple 1"/>
    <w:basedOn w:val="Normal"/>
    <w:pPr>
      <w:tabs>
        <w:tab w:val="left" w:pos="1417"/>
        <w:tab w:val="left" w:pos="1984"/>
      </w:tabs>
      <w:ind w:left="2551" w:hanging="1701"/>
    </w:pPr>
  </w:style>
  <w:style w:type="paragraph" w:customStyle="1" w:styleId="PointTriple2">
    <w:name w:val="PointTriple 2"/>
    <w:basedOn w:val="Normal"/>
    <w:pPr>
      <w:tabs>
        <w:tab w:val="left" w:pos="1984"/>
        <w:tab w:val="left" w:pos="2551"/>
      </w:tabs>
      <w:ind w:left="3118" w:hanging="1701"/>
    </w:pPr>
  </w:style>
  <w:style w:type="paragraph" w:customStyle="1" w:styleId="PointTriple3">
    <w:name w:val="PointTriple 3"/>
    <w:basedOn w:val="Normal"/>
    <w:pPr>
      <w:tabs>
        <w:tab w:val="left" w:pos="2551"/>
        <w:tab w:val="left" w:pos="3118"/>
      </w:tabs>
      <w:ind w:left="3685" w:hanging="1701"/>
    </w:pPr>
  </w:style>
  <w:style w:type="paragraph" w:customStyle="1" w:styleId="PointTriple4">
    <w:name w:val="PointTriple 4"/>
    <w:basedOn w:val="Normal"/>
    <w:pPr>
      <w:tabs>
        <w:tab w:val="left" w:pos="3118"/>
        <w:tab w:val="left" w:pos="3685"/>
      </w:tabs>
      <w:ind w:left="4252" w:hanging="1701"/>
    </w:pPr>
  </w:style>
  <w:style w:type="paragraph" w:customStyle="1" w:styleId="NumPar1">
    <w:name w:val="NumPar 1"/>
    <w:basedOn w:val="Normal"/>
    <w:next w:val="Text1"/>
    <w:pPr>
      <w:numPr>
        <w:numId w:val="29"/>
      </w:numPr>
    </w:pPr>
  </w:style>
  <w:style w:type="paragraph" w:customStyle="1" w:styleId="NumPar2">
    <w:name w:val="NumPar 2"/>
    <w:basedOn w:val="Normal"/>
    <w:next w:val="Text1"/>
    <w:pPr>
      <w:numPr>
        <w:ilvl w:val="1"/>
        <w:numId w:val="29"/>
      </w:numPr>
    </w:pPr>
  </w:style>
  <w:style w:type="paragraph" w:customStyle="1" w:styleId="NumPar3">
    <w:name w:val="NumPar 3"/>
    <w:basedOn w:val="Normal"/>
    <w:next w:val="Text1"/>
    <w:pPr>
      <w:numPr>
        <w:ilvl w:val="2"/>
        <w:numId w:val="29"/>
      </w:numPr>
    </w:pPr>
  </w:style>
  <w:style w:type="paragraph" w:customStyle="1" w:styleId="NumPar4">
    <w:name w:val="NumPar 4"/>
    <w:basedOn w:val="Normal"/>
    <w:next w:val="Text1"/>
    <w:pPr>
      <w:numPr>
        <w:ilvl w:val="3"/>
        <w:numId w:val="29"/>
      </w:numPr>
    </w:pPr>
  </w:style>
  <w:style w:type="paragraph" w:customStyle="1" w:styleId="ManualNumPar1">
    <w:name w:val="Manual NumPar 1"/>
    <w:basedOn w:val="Normal"/>
    <w:next w:val="Text1"/>
    <w:pPr>
      <w:ind w:left="850" w:hanging="850"/>
    </w:pPr>
  </w:style>
  <w:style w:type="paragraph" w:customStyle="1" w:styleId="ManualNumPar2">
    <w:name w:val="Manual NumPar 2"/>
    <w:basedOn w:val="Normal"/>
    <w:next w:val="Text1"/>
    <w:pPr>
      <w:ind w:left="850" w:hanging="850"/>
    </w:pPr>
  </w:style>
  <w:style w:type="paragraph" w:customStyle="1" w:styleId="ManualNumPar3">
    <w:name w:val="Manual NumPar 3"/>
    <w:basedOn w:val="Normal"/>
    <w:next w:val="Text1"/>
    <w:pPr>
      <w:ind w:left="850" w:hanging="850"/>
    </w:pPr>
  </w:style>
  <w:style w:type="paragraph" w:customStyle="1" w:styleId="ManualNumPar4">
    <w:name w:val="Manual NumPar 4"/>
    <w:basedOn w:val="Normal"/>
    <w:next w:val="Text1"/>
    <w:pPr>
      <w:ind w:left="850" w:hanging="850"/>
    </w:pPr>
  </w:style>
  <w:style w:type="paragraph" w:customStyle="1" w:styleId="QuotedNumPar">
    <w:name w:val="Quoted NumPar"/>
    <w:basedOn w:val="Normal"/>
    <w:pPr>
      <w:ind w:left="1417" w:hanging="567"/>
    </w:pPr>
  </w:style>
  <w:style w:type="paragraph" w:customStyle="1" w:styleId="ManualHeading1">
    <w:name w:val="Manual Heading 1"/>
    <w:basedOn w:val="Normal"/>
    <w:next w:val="Text1"/>
    <w:pPr>
      <w:keepNext/>
      <w:tabs>
        <w:tab w:val="left" w:pos="850"/>
      </w:tabs>
      <w:spacing w:before="360"/>
      <w:ind w:left="850" w:hanging="850"/>
      <w:outlineLvl w:val="0"/>
    </w:pPr>
    <w:rPr>
      <w:b/>
      <w:smallCaps/>
    </w:rPr>
  </w:style>
  <w:style w:type="paragraph" w:customStyle="1" w:styleId="ManualHeading2">
    <w:name w:val="Manual Heading 2"/>
    <w:basedOn w:val="Normal"/>
    <w:next w:val="Text1"/>
    <w:pPr>
      <w:keepNext/>
      <w:tabs>
        <w:tab w:val="left" w:pos="850"/>
      </w:tabs>
      <w:ind w:left="850" w:hanging="850"/>
      <w:outlineLvl w:val="1"/>
    </w:pPr>
    <w:rPr>
      <w:b/>
    </w:rPr>
  </w:style>
  <w:style w:type="paragraph" w:customStyle="1" w:styleId="ManualHeading3">
    <w:name w:val="Manual Heading 3"/>
    <w:basedOn w:val="Normal"/>
    <w:next w:val="Text1"/>
    <w:pPr>
      <w:keepNext/>
      <w:tabs>
        <w:tab w:val="left" w:pos="850"/>
      </w:tabs>
      <w:ind w:left="850" w:hanging="850"/>
      <w:outlineLvl w:val="2"/>
    </w:pPr>
    <w:rPr>
      <w:i/>
    </w:rPr>
  </w:style>
  <w:style w:type="paragraph" w:customStyle="1" w:styleId="ManualHeading4">
    <w:name w:val="Manual Heading 4"/>
    <w:basedOn w:val="Normal"/>
    <w:next w:val="Text1"/>
    <w:pPr>
      <w:keepNext/>
      <w:tabs>
        <w:tab w:val="left" w:pos="850"/>
      </w:tabs>
      <w:ind w:left="850" w:hanging="850"/>
      <w:outlineLvl w:val="3"/>
    </w:pPr>
  </w:style>
  <w:style w:type="paragraph" w:customStyle="1" w:styleId="ChapterTitle">
    <w:name w:val="ChapterTitle"/>
    <w:basedOn w:val="Normal"/>
    <w:next w:val="Normal"/>
    <w:pPr>
      <w:keepNext/>
      <w:spacing w:after="360"/>
      <w:jc w:val="center"/>
    </w:pPr>
    <w:rPr>
      <w:b/>
      <w:sz w:val="32"/>
    </w:rPr>
  </w:style>
  <w:style w:type="paragraph" w:customStyle="1" w:styleId="PartTitle">
    <w:name w:val="PartTitle"/>
    <w:basedOn w:val="Normal"/>
    <w:next w:val="ChapterTitle"/>
    <w:pPr>
      <w:keepNext/>
      <w:pageBreakBefore/>
      <w:spacing w:after="360"/>
      <w:jc w:val="center"/>
    </w:pPr>
    <w:rPr>
      <w:b/>
      <w:sz w:val="36"/>
    </w:rPr>
  </w:style>
  <w:style w:type="paragraph" w:customStyle="1" w:styleId="SectionTitle">
    <w:name w:val="SectionTitle"/>
    <w:basedOn w:val="Normal"/>
    <w:next w:val="Heading1"/>
    <w:pPr>
      <w:keepNext/>
      <w:spacing w:after="360"/>
      <w:jc w:val="center"/>
    </w:pPr>
    <w:rPr>
      <w:b/>
      <w:smallCaps/>
      <w:sz w:val="28"/>
    </w:rPr>
  </w:style>
  <w:style w:type="paragraph" w:customStyle="1" w:styleId="TableTitle">
    <w:name w:val="Table Title"/>
    <w:basedOn w:val="Normal"/>
    <w:next w:val="Normal"/>
    <w:pPr>
      <w:jc w:val="center"/>
    </w:pPr>
    <w:rPr>
      <w:b/>
    </w:rPr>
  </w:style>
  <w:style w:type="character" w:customStyle="1" w:styleId="Marker">
    <w:name w:val="Marker"/>
    <w:basedOn w:val="DefaultParagraphFont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Pr>
      <w:color w:val="008000"/>
      <w:shd w:val="clear" w:color="auto" w:fill="auto"/>
    </w:rPr>
  </w:style>
  <w:style w:type="character" w:customStyle="1" w:styleId="Marker2">
    <w:name w:val="Marker2"/>
    <w:basedOn w:val="DefaultParagraphFont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pPr>
      <w:numPr>
        <w:numId w:val="31"/>
      </w:numPr>
    </w:pPr>
  </w:style>
  <w:style w:type="paragraph" w:customStyle="1" w:styleId="Point1number">
    <w:name w:val="Point 1 (number)"/>
    <w:basedOn w:val="Normal"/>
    <w:pPr>
      <w:numPr>
        <w:ilvl w:val="2"/>
        <w:numId w:val="31"/>
      </w:numPr>
    </w:pPr>
  </w:style>
  <w:style w:type="paragraph" w:customStyle="1" w:styleId="Point2number">
    <w:name w:val="Point 2 (number)"/>
    <w:basedOn w:val="Normal"/>
    <w:pPr>
      <w:numPr>
        <w:ilvl w:val="4"/>
        <w:numId w:val="31"/>
      </w:numPr>
    </w:pPr>
  </w:style>
  <w:style w:type="paragraph" w:customStyle="1" w:styleId="Point3number">
    <w:name w:val="Point 3 (number)"/>
    <w:basedOn w:val="Normal"/>
    <w:pPr>
      <w:numPr>
        <w:ilvl w:val="6"/>
        <w:numId w:val="31"/>
      </w:numPr>
    </w:pPr>
  </w:style>
  <w:style w:type="paragraph" w:customStyle="1" w:styleId="Point0letter">
    <w:name w:val="Point 0 (letter)"/>
    <w:basedOn w:val="Normal"/>
    <w:pPr>
      <w:numPr>
        <w:ilvl w:val="1"/>
        <w:numId w:val="31"/>
      </w:numPr>
    </w:pPr>
  </w:style>
  <w:style w:type="paragraph" w:customStyle="1" w:styleId="Point1letter">
    <w:name w:val="Point 1 (letter)"/>
    <w:basedOn w:val="Normal"/>
    <w:pPr>
      <w:numPr>
        <w:ilvl w:val="3"/>
        <w:numId w:val="31"/>
      </w:numPr>
    </w:pPr>
  </w:style>
  <w:style w:type="paragraph" w:customStyle="1" w:styleId="Point2letter">
    <w:name w:val="Point 2 (letter)"/>
    <w:basedOn w:val="Normal"/>
    <w:pPr>
      <w:numPr>
        <w:ilvl w:val="5"/>
        <w:numId w:val="31"/>
      </w:numPr>
    </w:pPr>
  </w:style>
  <w:style w:type="paragraph" w:customStyle="1" w:styleId="Point3letter">
    <w:name w:val="Point 3 (letter)"/>
    <w:basedOn w:val="Normal"/>
    <w:pPr>
      <w:numPr>
        <w:ilvl w:val="7"/>
        <w:numId w:val="31"/>
      </w:numPr>
    </w:pPr>
  </w:style>
  <w:style w:type="paragraph" w:customStyle="1" w:styleId="Point4letter">
    <w:name w:val="Point 4 (letter)"/>
    <w:basedOn w:val="Normal"/>
    <w:pPr>
      <w:numPr>
        <w:ilvl w:val="8"/>
        <w:numId w:val="31"/>
      </w:numPr>
    </w:pPr>
  </w:style>
  <w:style w:type="paragraph" w:customStyle="1" w:styleId="Bullet0">
    <w:name w:val="Bullet 0"/>
    <w:basedOn w:val="Normal"/>
    <w:pPr>
      <w:numPr>
        <w:numId w:val="32"/>
      </w:numPr>
    </w:pPr>
  </w:style>
  <w:style w:type="paragraph" w:customStyle="1" w:styleId="Bullet1">
    <w:name w:val="Bullet 1"/>
    <w:basedOn w:val="Normal"/>
    <w:pPr>
      <w:numPr>
        <w:numId w:val="33"/>
      </w:numPr>
    </w:pPr>
  </w:style>
  <w:style w:type="paragraph" w:customStyle="1" w:styleId="Bullet2">
    <w:name w:val="Bullet 2"/>
    <w:basedOn w:val="Normal"/>
    <w:pPr>
      <w:numPr>
        <w:numId w:val="34"/>
      </w:numPr>
    </w:pPr>
  </w:style>
  <w:style w:type="paragraph" w:customStyle="1" w:styleId="Bullet3">
    <w:name w:val="Bullet 3"/>
    <w:basedOn w:val="Normal"/>
    <w:pPr>
      <w:numPr>
        <w:numId w:val="35"/>
      </w:numPr>
    </w:pPr>
  </w:style>
  <w:style w:type="paragraph" w:customStyle="1" w:styleId="Bullet4">
    <w:name w:val="Bullet 4"/>
    <w:basedOn w:val="Normal"/>
    <w:pPr>
      <w:numPr>
        <w:numId w:val="36"/>
      </w:numPr>
    </w:pPr>
  </w:style>
  <w:style w:type="paragraph" w:customStyle="1" w:styleId="Annexetitreexpos">
    <w:name w:val="Annexe titre (exposé)"/>
    <w:basedOn w:val="Normal"/>
    <w:next w:val="Normal"/>
    <w:pPr>
      <w:jc w:val="center"/>
    </w:pPr>
    <w:rPr>
      <w:b/>
      <w:u w:val="single"/>
    </w:rPr>
  </w:style>
  <w:style w:type="paragraph" w:customStyle="1" w:styleId="Annexetitre">
    <w:name w:val="Annexe titre"/>
    <w:basedOn w:val="Normal"/>
    <w:next w:val="Normal"/>
    <w:pPr>
      <w:jc w:val="center"/>
    </w:pPr>
    <w:rPr>
      <w:b/>
      <w:u w:val="single"/>
    </w:rPr>
  </w:style>
  <w:style w:type="paragraph" w:customStyle="1" w:styleId="Annexetitrefichefinancire">
    <w:name w:val="Annexe titre (fiche financière)"/>
    <w:basedOn w:val="Normal"/>
    <w:next w:val="Normal"/>
    <w:pPr>
      <w:jc w:val="center"/>
    </w:pPr>
    <w:rPr>
      <w:b/>
      <w:u w:val="single"/>
    </w:rPr>
  </w:style>
  <w:style w:type="paragraph" w:customStyle="1" w:styleId="Applicationdirecte">
    <w:name w:val="Application directe"/>
    <w:basedOn w:val="Normal"/>
    <w:next w:val="Fait"/>
    <w:pPr>
      <w:spacing w:before="480"/>
    </w:pPr>
  </w:style>
  <w:style w:type="paragraph" w:customStyle="1" w:styleId="Avertissementtitre">
    <w:name w:val="Avertissement titre"/>
    <w:basedOn w:val="Normal"/>
    <w:next w:val="Normal"/>
    <w:pPr>
      <w:keepNext/>
      <w:spacing w:before="480"/>
    </w:pPr>
    <w:rPr>
      <w:u w:val="single"/>
    </w:rPr>
  </w:style>
  <w:style w:type="paragraph" w:customStyle="1" w:styleId="Confidence">
    <w:name w:val="Confidence"/>
    <w:basedOn w:val="Normal"/>
    <w:next w:val="Normal"/>
    <w:pPr>
      <w:spacing w:before="360"/>
      <w:jc w:val="center"/>
    </w:pPr>
  </w:style>
  <w:style w:type="paragraph" w:customStyle="1" w:styleId="Confidentialit">
    <w:name w:val="Confidentialité"/>
    <w:basedOn w:val="Normal"/>
    <w:next w:val="TypedudocumentPagedecouverture"/>
    <w:pPr>
      <w:spacing w:before="240" w:after="240"/>
      <w:ind w:left="5103"/>
      <w:jc w:val="left"/>
    </w:pPr>
    <w:rPr>
      <w:i/>
      <w:sz w:val="32"/>
    </w:rPr>
  </w:style>
  <w:style w:type="paragraph" w:customStyle="1" w:styleId="Considrant">
    <w:name w:val="Considérant"/>
    <w:basedOn w:val="Normal"/>
    <w:pPr>
      <w:numPr>
        <w:numId w:val="37"/>
      </w:numPr>
    </w:pPr>
  </w:style>
  <w:style w:type="paragraph" w:customStyle="1" w:styleId="Corrigendum">
    <w:name w:val="Corrigendum"/>
    <w:basedOn w:val="Normal"/>
    <w:next w:val="Normal"/>
    <w:pPr>
      <w:spacing w:before="0" w:after="240"/>
      <w:jc w:val="left"/>
    </w:pPr>
  </w:style>
  <w:style w:type="paragraph" w:customStyle="1" w:styleId="Datedadoption">
    <w:name w:val="Date d'adoption"/>
    <w:basedOn w:val="Normal"/>
    <w:next w:val="Titreobjet"/>
    <w:pPr>
      <w:spacing w:before="360" w:after="0"/>
      <w:jc w:val="center"/>
    </w:pPr>
    <w:rPr>
      <w:b/>
    </w:rPr>
  </w:style>
  <w:style w:type="paragraph" w:customStyle="1" w:styleId="Emission">
    <w:name w:val="Emission"/>
    <w:basedOn w:val="Normal"/>
    <w:next w:val="Rfrenceinstitutionnelle"/>
    <w:pPr>
      <w:spacing w:before="0" w:after="0"/>
      <w:ind w:left="5103"/>
      <w:jc w:val="left"/>
    </w:pPr>
  </w:style>
  <w:style w:type="paragraph" w:customStyle="1" w:styleId="Exposdesmotifstitre">
    <w:name w:val="Exposé des motifs titre"/>
    <w:basedOn w:val="Normal"/>
    <w:next w:val="Normal"/>
    <w:pPr>
      <w:jc w:val="center"/>
    </w:pPr>
    <w:rPr>
      <w:b/>
      <w:u w:val="single"/>
    </w:rPr>
  </w:style>
  <w:style w:type="paragraph" w:customStyle="1" w:styleId="Fait">
    <w:name w:val="Fait à"/>
    <w:basedOn w:val="Normal"/>
    <w:next w:val="Institutionquisigne"/>
    <w:pPr>
      <w:keepNext/>
      <w:spacing w:after="0"/>
    </w:pPr>
  </w:style>
  <w:style w:type="paragraph" w:customStyle="1" w:styleId="Formuledadoption">
    <w:name w:val="Formule d'adoption"/>
    <w:basedOn w:val="Normal"/>
    <w:next w:val="Titrearticle"/>
    <w:pPr>
      <w:keepNext/>
    </w:pPr>
  </w:style>
  <w:style w:type="paragraph" w:customStyle="1" w:styleId="Institutionquiagit">
    <w:name w:val="Institution qui agit"/>
    <w:basedOn w:val="Normal"/>
    <w:next w:val="Normal"/>
    <w:pPr>
      <w:keepNext/>
      <w:spacing w:before="600"/>
    </w:pPr>
  </w:style>
  <w:style w:type="paragraph" w:customStyle="1" w:styleId="Institutionquisigne">
    <w:name w:val="Institution qui signe"/>
    <w:basedOn w:val="Normal"/>
    <w:next w:val="Personnequisigne"/>
    <w:pPr>
      <w:keepNext/>
      <w:tabs>
        <w:tab w:val="left" w:pos="4252"/>
      </w:tabs>
      <w:spacing w:before="720" w:after="0"/>
    </w:pPr>
    <w:rPr>
      <w:i/>
    </w:rPr>
  </w:style>
  <w:style w:type="paragraph" w:customStyle="1" w:styleId="Langue">
    <w:name w:val="Langue"/>
    <w:basedOn w:val="Normal"/>
    <w:next w:val="Rfrenceinterne"/>
    <w:pPr>
      <w:framePr w:wrap="around" w:vAnchor="page" w:hAnchor="text" w:xAlign="center" w:y="14741"/>
      <w:spacing w:before="0" w:after="600"/>
      <w:jc w:val="center"/>
    </w:pPr>
    <w:rPr>
      <w:b/>
      <w:caps/>
    </w:rPr>
  </w:style>
  <w:style w:type="paragraph" w:customStyle="1" w:styleId="ManualConsidrant">
    <w:name w:val="Manual Considérant"/>
    <w:basedOn w:val="Normal"/>
    <w:pPr>
      <w:ind w:left="709" w:hanging="709"/>
    </w:pPr>
  </w:style>
  <w:style w:type="paragraph" w:customStyle="1" w:styleId="Nomdelinstitution">
    <w:name w:val="Nom de l'institution"/>
    <w:basedOn w:val="Normal"/>
    <w:next w:val="Emission"/>
    <w:pPr>
      <w:spacing w:before="0" w:after="0"/>
      <w:jc w:val="left"/>
    </w:pPr>
    <w:rPr>
      <w:rFonts w:ascii="Arial" w:hAnsi="Arial" w:cs="Arial"/>
    </w:rPr>
  </w:style>
  <w:style w:type="paragraph" w:customStyle="1" w:styleId="Personnequisigne">
    <w:name w:val="Personne qui signe"/>
    <w:basedOn w:val="Normal"/>
    <w:next w:val="Institutionquisigne"/>
    <w:pPr>
      <w:tabs>
        <w:tab w:val="left" w:pos="4252"/>
      </w:tabs>
      <w:spacing w:before="0" w:after="0"/>
      <w:jc w:val="left"/>
    </w:pPr>
    <w:rPr>
      <w:i/>
    </w:rPr>
  </w:style>
  <w:style w:type="paragraph" w:customStyle="1" w:styleId="Rfrenceinstitutionnelle">
    <w:name w:val="Référence institutionnelle"/>
    <w:basedOn w:val="Normal"/>
    <w:next w:val="Confidentialit"/>
    <w:pPr>
      <w:spacing w:before="0" w:after="240"/>
      <w:ind w:left="5103"/>
      <w:jc w:val="left"/>
    </w:pPr>
  </w:style>
  <w:style w:type="paragraph" w:customStyle="1" w:styleId="Rfrenceinterinstitutionnelle">
    <w:name w:val="Référence interinstitutionnelle"/>
    <w:basedOn w:val="Normal"/>
    <w:next w:val="Statut"/>
    <w:pPr>
      <w:spacing w:before="0" w:after="0"/>
      <w:ind w:left="5103"/>
      <w:jc w:val="left"/>
    </w:pPr>
  </w:style>
  <w:style w:type="paragraph" w:customStyle="1" w:styleId="Rfrenceinterne">
    <w:name w:val="Référence interne"/>
    <w:basedOn w:val="Normal"/>
    <w:next w:val="Rfrenceinterinstitutionnelle"/>
    <w:pPr>
      <w:spacing w:before="0" w:after="0"/>
      <w:ind w:left="5103"/>
      <w:jc w:val="left"/>
    </w:pPr>
  </w:style>
  <w:style w:type="paragraph" w:customStyle="1" w:styleId="Sous-titreobjet">
    <w:name w:val="Sous-titre objet"/>
    <w:basedOn w:val="Normal"/>
    <w:pPr>
      <w:spacing w:before="0" w:after="0"/>
      <w:jc w:val="center"/>
    </w:pPr>
    <w:rPr>
      <w:b/>
    </w:rPr>
  </w:style>
  <w:style w:type="paragraph" w:customStyle="1" w:styleId="Statut">
    <w:name w:val="Statut"/>
    <w:basedOn w:val="Normal"/>
    <w:next w:val="Typedudocument"/>
    <w:pPr>
      <w:spacing w:before="360" w:after="0"/>
      <w:jc w:val="center"/>
    </w:pPr>
  </w:style>
  <w:style w:type="paragraph" w:customStyle="1" w:styleId="Titrearticle">
    <w:name w:val="Titre article"/>
    <w:basedOn w:val="Normal"/>
    <w:next w:val="Normal"/>
    <w:pPr>
      <w:keepNext/>
      <w:spacing w:before="360"/>
      <w:jc w:val="center"/>
    </w:pPr>
    <w:rPr>
      <w:i/>
    </w:rPr>
  </w:style>
  <w:style w:type="paragraph" w:customStyle="1" w:styleId="Titreobjet">
    <w:name w:val="Titre objet"/>
    <w:basedOn w:val="Normal"/>
    <w:next w:val="Sous-titreobjet"/>
    <w:pPr>
      <w:spacing w:before="360" w:after="360"/>
      <w:jc w:val="center"/>
    </w:pPr>
    <w:rPr>
      <w:b/>
    </w:rPr>
  </w:style>
  <w:style w:type="paragraph" w:customStyle="1" w:styleId="Typedudocument">
    <w:name w:val="Type du document"/>
    <w:basedOn w:val="Normal"/>
    <w:next w:val="Titreobjet"/>
    <w:pPr>
      <w:spacing w:before="360" w:after="0"/>
      <w:jc w:val="center"/>
    </w:pPr>
    <w:rPr>
      <w:b/>
    </w:rPr>
  </w:style>
  <w:style w:type="character" w:customStyle="1" w:styleId="Added">
    <w:name w:val="Added"/>
    <w:basedOn w:val="DefaultParagraphFont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pPr>
      <w:keepLines/>
      <w:spacing w:line="360" w:lineRule="auto"/>
      <w:ind w:left="3402"/>
      <w:jc w:val="left"/>
    </w:pPr>
  </w:style>
  <w:style w:type="paragraph" w:customStyle="1" w:styleId="Objetexterne">
    <w:name w:val="Objet externe"/>
    <w:basedOn w:val="Normal"/>
    <w:next w:val="Normal"/>
    <w:rPr>
      <w:i/>
      <w:caps/>
    </w:rPr>
  </w:style>
  <w:style w:type="paragraph" w:customStyle="1" w:styleId="Pagedecouverture">
    <w:name w:val="Page de couverture"/>
    <w:basedOn w:val="Normal"/>
    <w:next w:val="Normal"/>
    <w:pPr>
      <w:spacing w:before="0" w:after="0"/>
    </w:pPr>
  </w:style>
  <w:style w:type="paragraph" w:customStyle="1" w:styleId="Supertitre">
    <w:name w:val="Supertitre"/>
    <w:basedOn w:val="Normal"/>
    <w:next w:val="Normal"/>
    <w:pPr>
      <w:spacing w:before="0" w:after="600"/>
      <w:jc w:val="center"/>
    </w:pPr>
    <w:rPr>
      <w:b/>
    </w:rPr>
  </w:style>
  <w:style w:type="paragraph" w:customStyle="1" w:styleId="Languesfaisantfoi">
    <w:name w:val="Langues faisant foi"/>
    <w:basedOn w:val="Normal"/>
    <w:next w:val="Normal"/>
    <w:pPr>
      <w:spacing w:before="360" w:after="0"/>
      <w:jc w:val="center"/>
    </w:pPr>
  </w:style>
  <w:style w:type="paragraph" w:customStyle="1" w:styleId="Rfrencecroise">
    <w:name w:val="Référence croisée"/>
    <w:basedOn w:val="Normal"/>
    <w:pPr>
      <w:spacing w:before="0" w:after="0"/>
      <w:jc w:val="center"/>
    </w:pPr>
  </w:style>
  <w:style w:type="paragraph" w:customStyle="1" w:styleId="Fichefinanciretitre">
    <w:name w:val="Fiche financière titre"/>
    <w:basedOn w:val="Normal"/>
    <w:next w:val="Normal"/>
    <w:pPr>
      <w:jc w:val="center"/>
    </w:pPr>
    <w:rPr>
      <w:b/>
      <w:u w:val="single"/>
    </w:rPr>
  </w:style>
  <w:style w:type="paragraph" w:customStyle="1" w:styleId="DatedadoptionPagedecouverture">
    <w:name w:val="Date d'adoption (Page de couverture)"/>
    <w:basedOn w:val="Datedadoption"/>
    <w:next w:val="TitreobjetPagedecouverture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</w:style>
  <w:style w:type="paragraph" w:customStyle="1" w:styleId="Sous-titreobjetPagedecouverture">
    <w:name w:val="Sous-titre objet (Page de couverture)"/>
    <w:basedOn w:val="Sous-titreobjet"/>
  </w:style>
  <w:style w:type="paragraph" w:customStyle="1" w:styleId="StatutPagedecouverture">
    <w:name w:val="Statut (Page de couverture)"/>
    <w:basedOn w:val="Statut"/>
    <w:next w:val="TypedudocumentPagedecouverture"/>
  </w:style>
  <w:style w:type="paragraph" w:customStyle="1" w:styleId="TitreobjetPagedecouverture">
    <w:name w:val="Titre objet (Page de couverture)"/>
    <w:basedOn w:val="Titreobjet"/>
    <w:next w:val="Sous-titreobjetPagedecouverture"/>
  </w:style>
  <w:style w:type="paragraph" w:customStyle="1" w:styleId="TypedudocumentPagedecouverture">
    <w:name w:val="Type du document (Page de couverture)"/>
    <w:basedOn w:val="Typedudocument"/>
    <w:next w:val="TitreobjetPagedecouverture"/>
  </w:style>
  <w:style w:type="paragraph" w:customStyle="1" w:styleId="Volume">
    <w:name w:val="Volume"/>
    <w:basedOn w:val="Normal"/>
    <w:next w:val="Confidentialit"/>
    <w:pPr>
      <w:spacing w:before="0" w:after="240"/>
      <w:ind w:left="5103"/>
      <w:jc w:val="left"/>
    </w:pPr>
  </w:style>
  <w:style w:type="paragraph" w:customStyle="1" w:styleId="IntrtEEE">
    <w:name w:val="Intérêt EEE"/>
    <w:basedOn w:val="Languesfaisantfoi"/>
    <w:next w:val="Normal"/>
    <w:pPr>
      <w:spacing w:after="240"/>
    </w:pPr>
  </w:style>
  <w:style w:type="paragraph" w:customStyle="1" w:styleId="Accompagnant">
    <w:name w:val="Accompagnant"/>
    <w:basedOn w:val="Normal"/>
    <w:next w:val="Typeacteprincipal"/>
    <w:pPr>
      <w:spacing w:before="0" w:after="240"/>
      <w:jc w:val="center"/>
    </w:pPr>
    <w:rPr>
      <w:b/>
      <w:i/>
    </w:rPr>
  </w:style>
  <w:style w:type="paragraph" w:customStyle="1" w:styleId="Typeacteprincipal">
    <w:name w:val="Type acte principal"/>
    <w:basedOn w:val="Normal"/>
    <w:next w:val="Objetacteprincipal"/>
    <w:pPr>
      <w:spacing w:before="0" w:after="240"/>
      <w:jc w:val="center"/>
    </w:pPr>
    <w:rPr>
      <w:b/>
    </w:rPr>
  </w:style>
  <w:style w:type="paragraph" w:customStyle="1" w:styleId="Objetacteprincipal">
    <w:name w:val="Objet acte principal"/>
    <w:basedOn w:val="Normal"/>
    <w:next w:val="Titrearticle"/>
    <w:pPr>
      <w:spacing w:before="0" w:after="360"/>
      <w:jc w:val="center"/>
    </w:pPr>
    <w:rPr>
      <w:b/>
    </w:rPr>
  </w:style>
  <w:style w:type="paragraph" w:customStyle="1" w:styleId="IntrtEEEPagedecouverture">
    <w:name w:val="Intérêt EEE (Page de couverture)"/>
    <w:basedOn w:val="IntrtEEE"/>
    <w:next w:val="Rfrencecroise"/>
  </w:style>
  <w:style w:type="paragraph" w:customStyle="1" w:styleId="AccompagnantPagedecouverture">
    <w:name w:val="Accompagnant (Page de couverture)"/>
    <w:basedOn w:val="Accompagnant"/>
    <w:next w:val="TypeacteprincipalPagedecouverture"/>
  </w:style>
  <w:style w:type="paragraph" w:customStyle="1" w:styleId="TypeacteprincipalPagedecouverture">
    <w:name w:val="Type acte principal (Page de couverture)"/>
    <w:basedOn w:val="Typeacteprincipal"/>
    <w:next w:val="ObjetacteprincipalPagedecouverture"/>
  </w:style>
  <w:style w:type="paragraph" w:customStyle="1" w:styleId="ObjetacteprincipalPagedecouverture">
    <w:name w:val="Objet acte principal (Page de couverture)"/>
    <w:basedOn w:val="Objetacteprincipal"/>
    <w:next w:val="Rfrencecroise"/>
  </w:style>
  <w:style w:type="paragraph" w:customStyle="1" w:styleId="LanguesfaisantfoiPagedecouverture">
    <w:name w:val="Langues faisant foi (Page de couverture)"/>
    <w:basedOn w:val="Normal"/>
    <w:next w:val="Normal"/>
    <w:pPr>
      <w:spacing w:before="360" w:after="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COM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C6380A-3E57-4A34-BBB6-C4BCA3F22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COM.dotm</Template>
  <TotalTime>0</TotalTime>
  <Pages>7</Pages>
  <Words>2300</Words>
  <Characters>16747</Characters>
  <Application>Microsoft Office Word</Application>
  <DocSecurity>0</DocSecurity>
  <Lines>246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2016-11-18T08:59:00Z</dcterms:created>
  <dcterms:modified xsi:type="dcterms:W3CDTF">2016-11-18T16:35:00Z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 edited using">
    <vt:lpwstr>LW 5.8.4, Build 20150407</vt:lpwstr>
  </property>
  <property fmtid="{D5CDD505-2E9C-101B-9397-08002B2CF9AE}" pid="3" name="Classification">
    <vt:lpwstr> </vt:lpwstr>
  </property>
  <property fmtid="{D5CDD505-2E9C-101B-9397-08002B2CF9AE}" pid="4" name="Category">
    <vt:lpwstr>COM/PL/ORG</vt:lpwstr>
  </property>
  <property fmtid="{D5CDD505-2E9C-101B-9397-08002B2CF9AE}" pid="5" name="Version">
    <vt:lpwstr>5.84.2.0</vt:lpwstr>
  </property>
  <property fmtid="{D5CDD505-2E9C-101B-9397-08002B2CF9AE}" pid="6" name="Created using">
    <vt:lpwstr>LW 5.8.4, Build 20150407</vt:lpwstr>
  </property>
  <property fmtid="{D5CDD505-2E9C-101B-9397-08002B2CF9AE}" pid="7" name="Part">
    <vt:lpwstr>1</vt:lpwstr>
  </property>
  <property fmtid="{D5CDD505-2E9C-101B-9397-08002B2CF9AE}" pid="8" name="Total parts">
    <vt:lpwstr>1</vt:lpwstr>
  </property>
  <property fmtid="{D5CDD505-2E9C-101B-9397-08002B2CF9AE}" pid="9" name="LWTemplateID">
    <vt:lpwstr>SG-002</vt:lpwstr>
  </property>
  <property fmtid="{D5CDD505-2E9C-101B-9397-08002B2CF9AE}" pid="10" name="DQCStatus">
    <vt:lpwstr>Green (DQC version 03)</vt:lpwstr>
  </property>
</Properties>
</file>