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B17D12E18F6418AA256905CD4B3AA47" style="width:451.1pt;height:377.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3"/>
        </w:numPr>
        <w:rPr>
          <w:noProof/>
        </w:rPr>
      </w:pPr>
      <w:bookmarkStart w:id="1" w:name="_Toc353984370"/>
      <w:bookmarkStart w:id="2" w:name="_Toc380416662"/>
      <w:bookmarkStart w:id="3" w:name="_Toc384388441"/>
      <w:bookmarkStart w:id="4" w:name="_Toc435628560"/>
      <w:bookmarkStart w:id="5" w:name="_Toc353984371"/>
      <w:bookmarkStart w:id="6" w:name="_Toc380416663"/>
      <w:bookmarkStart w:id="7" w:name="_GoBack"/>
      <w:bookmarkEnd w:id="7"/>
      <w:r>
        <w:rPr>
          <w:noProof/>
        </w:rPr>
        <w:lastRenderedPageBreak/>
        <w:t>Introduzzjoni</w:t>
      </w:r>
      <w:bookmarkEnd w:id="1"/>
      <w:bookmarkEnd w:id="2"/>
      <w:bookmarkEnd w:id="3"/>
      <w:bookmarkEnd w:id="4"/>
    </w:p>
    <w:p>
      <w:pPr>
        <w:pStyle w:val="Text1"/>
        <w:rPr>
          <w:noProof/>
        </w:rPr>
      </w:pPr>
      <w:r>
        <w:rPr>
          <w:noProof/>
        </w:rPr>
        <w:t>L-istandards Ewropej urew li huma għodda politika importanti għat-tfassil tal-politika Ewropea. L-istandards jirrappreżentaw strumenti ta' politika li jtejbu l-funzjonament tas-Suq Uniku billi jeliminaw l-ostakli tekniċi kkawżati minn standards nazzjonali f'kunflitt ma' xulxin. Huma jiżguraw l-interoperabilità tan-netwerks u tas-sistemi, jagħtu livell għoli ta' protezzjoni lill-konsumatur u lill-ambjent, filwaqt li jappoġġaw u jippromwovu l-innovazzjoni. L-istandards huma ta' benefiċċju għall-konsumaturi, għall-kumpaniji u għas-soċjetà ġenerali u jikkontribwixxu għat-tkabbir u l-kompetittività ġenerali tal-ekonomija tal-UE.</w:t>
      </w:r>
    </w:p>
    <w:p>
      <w:pPr>
        <w:pStyle w:val="Text1"/>
        <w:rPr>
          <w:noProof/>
        </w:rPr>
      </w:pPr>
      <w:r>
        <w:rPr>
          <w:noProof/>
        </w:rPr>
        <w:t xml:space="preserve">Billi tixpruna l-iżvilupp ta' standards Ewropej għall-prodotti u għas-servizzi f'oqsma ta' prijorità strateġiċi li jirrappreżentaw is-swieq li qegħdin jespandu, il-Kummissjoni għandha l-għan li toħloq vantaġġ kompetittiv għall-impriżi Ewropej, b'mod partikolari għall-SMEs. </w:t>
      </w:r>
    </w:p>
    <w:p>
      <w:pPr>
        <w:pStyle w:val="Text1"/>
        <w:rPr>
          <w:noProof/>
        </w:rPr>
      </w:pPr>
      <w:r>
        <w:rPr>
          <w:noProof/>
        </w:rPr>
        <w:t>Il-pubblikazzjoni tal-</w:t>
      </w:r>
      <w:r>
        <w:rPr>
          <w:b/>
          <w:noProof/>
        </w:rPr>
        <w:t xml:space="preserve">programm ta' ħidma annwali tal-Unjoni għall-istandardizzazzjoni Ewropea (AUWP, annual Union work programme) </w:t>
      </w:r>
      <w:r>
        <w:rPr>
          <w:noProof/>
        </w:rPr>
        <w:t>hija</w:t>
      </w:r>
      <w:r>
        <w:rPr>
          <w:b/>
          <w:noProof/>
        </w:rPr>
        <w:t xml:space="preserve"> </w:t>
      </w:r>
      <w:r>
        <w:rPr>
          <w:noProof/>
        </w:rPr>
        <w:t>rekwiżit stabbilit mir-Regolament (UE) 1025/2012 (ir-Regolament) u għandha l-għan li tidentifika l-prijoritajiet strateġiċi għall-istandardizzazzjoni Ewropea li jirriflettu l-objettivi tal-politika stabbiliti mill-Kummissjoni fl-ippjanar tagħha stess.</w:t>
      </w:r>
    </w:p>
    <w:p>
      <w:pPr>
        <w:pStyle w:val="Text1"/>
        <w:rPr>
          <w:noProof/>
        </w:rPr>
      </w:pPr>
      <w:r>
        <w:rPr>
          <w:noProof/>
        </w:rPr>
        <w:t>Sabiex joħloq momentum ġdid għall-Istandardizzazzjoni Ewropea, l-AUWP għall-2017 huwa parti minn pakkett komprensiv dwar l-istandardizzazzjoni, inkluża l-Komunikazzjoni tal-Kummissjoni dwar l-"istandards Ewropej għas-seklu 21", b'dokument ta' Ħidma tal-Persunal dwar l-Istandardizzazzjoni tas-Servizzi, il-Komunikazzjoni dwar ir-Rapport tal-Artikolu 24 dwar l-implimentazzjoni tar-Regolament. Fl-AUWP, tingħata attenzjoni partikolari lill-Komunikazzjoni dwar il-pjan dwar l-istandards ta' prijorità tal-ICT adottata fid-19 ta' April 2016. Dan l-AUWP huwa adottat ukoll fid-dawl tad-diskussjonijiet li saru fil-kuntest tal-Inizjattiva Konġunta dwar l-Istandardizzazzjoni, mibdija mill-Kummissjoni wara l-adozzjoni tal-Istrateġija għal Suq Uniku</w:t>
      </w:r>
      <w:r>
        <w:rPr>
          <w:rStyle w:val="FootnoteReference"/>
          <w:noProof/>
        </w:rPr>
        <w:footnoteReference w:id="2"/>
      </w:r>
      <w:r>
        <w:rPr>
          <w:noProof/>
        </w:rPr>
        <w:t>.</w:t>
      </w:r>
    </w:p>
    <w:p>
      <w:pPr>
        <w:pStyle w:val="Text1"/>
        <w:rPr>
          <w:noProof/>
        </w:rPr>
      </w:pPr>
      <w:r>
        <w:rPr>
          <w:noProof/>
        </w:rPr>
        <w:t>Huwa jappoġġja l-azzjonijiet mifruxa fil-prijoritajiet tal-Kummissjoni għal Suq Uniku Diġitali Konness; Unjoni tal-Enerġija Reżiljenti b'Politika dwar it-Tibdil fil-Klima li Tħares 'il Quddiem; Suq Intern Aktar Profond u Aktar Ġust b'Bażi Industrijali Msaħħa.</w:t>
      </w:r>
    </w:p>
    <w:p>
      <w:pPr>
        <w:pStyle w:val="Text1"/>
        <w:rPr>
          <w:noProof/>
        </w:rPr>
      </w:pPr>
      <w:r>
        <w:rPr>
          <w:noProof/>
        </w:rPr>
        <w:t>L-AUWP attwali jikkumplimenta l-azzjonijiet inklużi fl-AUWP għall-2016</w:t>
      </w:r>
      <w:r>
        <w:rPr>
          <w:rStyle w:val="FootnoteReference"/>
          <w:noProof/>
        </w:rPr>
        <w:footnoteReference w:id="3"/>
      </w:r>
      <w:r>
        <w:rPr>
          <w:noProof/>
        </w:rPr>
        <w:t xml:space="preserve">, b'mod partikolari dwar l-inklużività skont it-tifsira tar-Regolament. </w:t>
      </w:r>
    </w:p>
    <w:p>
      <w:pPr>
        <w:pStyle w:val="Text1"/>
        <w:rPr>
          <w:noProof/>
        </w:rPr>
      </w:pPr>
      <w:r>
        <w:rPr>
          <w:noProof/>
        </w:rPr>
        <w:t xml:space="preserve">L-orjentamenti indikati fil-programm ta’ ħidma ma għandhomx impatt baġitarju li jeċċedi dak li huwa diġà previst fil-perspettivi finanzjarji għas-sena 2017. </w:t>
      </w:r>
      <w:bookmarkStart w:id="8" w:name="_Toc384388442"/>
    </w:p>
    <w:p>
      <w:pPr>
        <w:pStyle w:val="Heading1"/>
        <w:numPr>
          <w:ilvl w:val="0"/>
          <w:numId w:val="3"/>
        </w:numPr>
        <w:tabs>
          <w:tab w:val="clear" w:pos="850"/>
        </w:tabs>
        <w:rPr>
          <w:noProof/>
        </w:rPr>
      </w:pPr>
      <w:bookmarkStart w:id="9" w:name="_Toc415666233"/>
      <w:bookmarkStart w:id="10" w:name="_Toc435628566"/>
      <w:r>
        <w:rPr>
          <w:noProof/>
        </w:rPr>
        <w:t>Il-Prijoritajiet Strateġiċi għall-Istandardizzazzjoni Ewropea</w:t>
      </w:r>
      <w:bookmarkEnd w:id="9"/>
      <w:bookmarkEnd w:id="10"/>
    </w:p>
    <w:p>
      <w:pPr>
        <w:pStyle w:val="Heading2"/>
        <w:rPr>
          <w:noProof/>
        </w:rPr>
      </w:pPr>
      <w:bookmarkStart w:id="11" w:name="_Toc435628567"/>
      <w:r>
        <w:rPr>
          <w:noProof/>
        </w:rPr>
        <w:t>L-Istandardizzazzjoni tal-ICT</w:t>
      </w:r>
      <w:bookmarkEnd w:id="11"/>
    </w:p>
    <w:p>
      <w:pPr>
        <w:pStyle w:val="Text1"/>
        <w:rPr>
          <w:noProof/>
        </w:rPr>
      </w:pPr>
      <w:r>
        <w:rPr>
          <w:noProof/>
        </w:rPr>
        <w:t>Il-Komunikazzjoni tal-Kummissjoni dwar il-Prijoritajiet tal-Istandardizzazzjoni tal-ICT għas-Suq Uniku Diġitali</w:t>
      </w:r>
      <w:r>
        <w:rPr>
          <w:rStyle w:val="FootnoteReference"/>
          <w:noProof/>
        </w:rPr>
        <w:footnoteReference w:id="4"/>
      </w:r>
      <w:r>
        <w:rPr>
          <w:noProof/>
        </w:rPr>
        <w:t xml:space="preserve"> tidentifika lista ta' pedamenti ta' prijorità għas-Suq Uniku Diġitali (DSM, Digital Single Market) fejn l-istandardizzazzjoni mtejba tal-ICT hija l-iktar urġenti</w:t>
      </w:r>
      <w:r>
        <w:rPr>
          <w:rStyle w:val="FootnoteReference"/>
          <w:noProof/>
        </w:rPr>
        <w:footnoteReference w:id="5"/>
      </w:r>
      <w:r>
        <w:rPr>
          <w:noProof/>
        </w:rPr>
        <w:t xml:space="preserve">: </w:t>
      </w:r>
      <w:r>
        <w:rPr>
          <w:b/>
          <w:noProof/>
        </w:rPr>
        <w:t xml:space="preserve">Il-komunikazzjonijiet 5G, il-cloud computing, l-internet tal-oġġetti (IoT, internet of things), it-teknoloġiji tal-(big) data u ċ-ċibersigurtà. </w:t>
      </w:r>
      <w:r>
        <w:rPr>
          <w:noProof/>
        </w:rPr>
        <w:t>Dawn huma pedamenti teknoloġiċi essenzjali li fuqhom sejrin jiddependu oqsma bħas-Saħħa-e, vetturi konnessi u awtomatizzati, enerġija intelliġenti, manifattura avvanzata jew ibliet intelliġenti.</w:t>
      </w:r>
      <w:r>
        <w:rPr>
          <w:b/>
          <w:noProof/>
        </w:rPr>
        <w:t xml:space="preserve"> </w:t>
      </w:r>
      <w:r>
        <w:rPr>
          <w:noProof/>
        </w:rPr>
        <w:t>F'dan l-istadju, il-Kummissjoni ma tipprevedix li ser tibgħat xi talba ta' standardizzazzjoni lill-ESOs iżda sejra titlob li jkunu involuti f'għadd ta' attivitajiet preparatorji ffokati fuq l-immappjar u l-iżvilupp tal-istandards xierqa.</w:t>
      </w:r>
    </w:p>
    <w:p>
      <w:pPr>
        <w:pStyle w:val="Text1"/>
        <w:rPr>
          <w:noProof/>
        </w:rPr>
      </w:pPr>
      <w:r>
        <w:rPr>
          <w:noProof/>
        </w:rPr>
        <w:t>Fil-</w:t>
      </w:r>
      <w:r>
        <w:rPr>
          <w:b/>
          <w:noProof/>
        </w:rPr>
        <w:t>cloud computing</w:t>
      </w:r>
      <w:r>
        <w:rPr>
          <w:noProof/>
        </w:rPr>
        <w:t>, il-Kummissjoni ser titlob lill-ESOs sabiex jaġġornaw l-immappjar tal-istandards tal-cloud u l-linji gwida għall-utenti finali (speċjalment l-SMEs u s-settur pubbliku), f’kollaborazzjoni mal-SDOs internazzjonali, mal-fornituri tal-cloud u mal-utenti finali, sa nofs l-2017.</w:t>
      </w:r>
    </w:p>
    <w:p>
      <w:pPr>
        <w:pStyle w:val="Text1"/>
        <w:rPr>
          <w:rFonts w:eastAsia="Times New Roman"/>
          <w:noProof/>
        </w:rPr>
      </w:pPr>
      <w:r>
        <w:rPr>
          <w:b/>
          <w:noProof/>
        </w:rPr>
        <w:t xml:space="preserve">Fl-internet tal-oġġetti (IoT), </w:t>
      </w:r>
      <w:r>
        <w:rPr>
          <w:noProof/>
        </w:rPr>
        <w:t>il-Kummissjoni ser trawwem ambjent interoperabbli għall-Internet tal-Oġġetti, filwaqt li taħdem mal-ESOs u l-Organizzazzjonijiet għall-Iżvilupp ta' Standards internazzjonali. Imbagħad il-Kummissjoni ser tivvaluta jekk humiex meħtieġa passi ulterjuri sabiex jiġu indirizzati n-nuqqasijiet tal-interoperabbiltà identifikati u, jekk ikun meħtieġ, tikkunsidra l-użu ta' miżuri legali sabiex tirrakkomanda standards xierqa.</w:t>
      </w:r>
    </w:p>
    <w:p>
      <w:pPr>
        <w:pStyle w:val="Text1"/>
        <w:rPr>
          <w:rFonts w:eastAsia="Times New Roman"/>
          <w:noProof/>
        </w:rPr>
      </w:pPr>
      <w:r>
        <w:rPr>
          <w:noProof/>
        </w:rPr>
        <w:t>Fiċ-ċibersigurtà, il-Kummissjoni ser:</w:t>
      </w:r>
    </w:p>
    <w:p>
      <w:pPr>
        <w:pStyle w:val="Text1"/>
        <w:numPr>
          <w:ilvl w:val="0"/>
          <w:numId w:val="26"/>
        </w:numPr>
        <w:rPr>
          <w:rFonts w:eastAsia="Times New Roman"/>
          <w:noProof/>
        </w:rPr>
      </w:pPr>
      <w:r>
        <w:rPr>
          <w:noProof/>
        </w:rPr>
        <w:t>tistieden lill-ESOs sabiex ifasslu linji gwida prattiċi li jkopru l-IoT, il-5G, il-Cloud, il-Big Data u fabbriki intelliġenti, sa tmiem l-2016;</w:t>
      </w:r>
    </w:p>
    <w:p>
      <w:pPr>
        <w:pStyle w:val="Text1"/>
        <w:numPr>
          <w:ilvl w:val="0"/>
          <w:numId w:val="26"/>
        </w:numPr>
        <w:rPr>
          <w:bCs/>
          <w:noProof/>
        </w:rPr>
      </w:pPr>
      <w:r>
        <w:rPr>
          <w:noProof/>
        </w:rPr>
        <w:t>tistieden lill-ESOs sabiex jiżviluppaw standards, sa tmiem l-2018, li jappoġġaw l-interoperabilità globali u l-awtentikazzjoni affidabbli u mingħajr intoppi bejn oġġetti, apparati u persuni fiżiċi u ġuridiċi fuq il-bażi ta' mudelli ta' fiduċja komparabbli;</w:t>
      </w:r>
    </w:p>
    <w:p>
      <w:pPr>
        <w:pStyle w:val="Text1"/>
        <w:numPr>
          <w:ilvl w:val="0"/>
          <w:numId w:val="26"/>
        </w:numPr>
        <w:rPr>
          <w:rFonts w:eastAsia="Times New Roman"/>
          <w:noProof/>
        </w:rPr>
      </w:pPr>
      <w:r>
        <w:rPr>
          <w:noProof/>
        </w:rPr>
        <w:t>tul it-tliet snin li ġejjin, se tappoġġa lill-ESOs fl-iżvilupp ta' linji gwida dwar il-ġestjoni tar-riskju taċ-ċibersigurtà bbażati fuq standards għall-organizzazzjonijiet u ta' linji gwida ta' awditjar korrispondenti għal awtoritajiet jew regolaturi b'responsabbiltajiet ta' sorveljanza.</w:t>
      </w:r>
    </w:p>
    <w:tbl>
      <w:tblPr>
        <w:tblStyle w:val="TableGrid"/>
        <w:tblW w:w="0" w:type="auto"/>
        <w:tblInd w:w="850" w:type="dxa"/>
        <w:tblLook w:val="04A0" w:firstRow="1" w:lastRow="0" w:firstColumn="1" w:lastColumn="0" w:noHBand="0" w:noVBand="1"/>
      </w:tblPr>
      <w:tblGrid>
        <w:gridCol w:w="8439"/>
      </w:tblGrid>
      <w:tr>
        <w:tc>
          <w:tcPr>
            <w:tcW w:w="9289" w:type="dxa"/>
          </w:tcPr>
          <w:p>
            <w:pPr>
              <w:pStyle w:val="Text1"/>
              <w:ind w:left="0"/>
              <w:rPr>
                <w:rFonts w:eastAsia="Times New Roman"/>
                <w:noProof/>
              </w:rPr>
            </w:pPr>
            <w:r>
              <w:rPr>
                <w:noProof/>
              </w:rPr>
              <w:t>Il-Kummissjoni ser taħdem mal-ESOs sabiex tiżgura li l-istrateġiji u l-pjanijiet direzzjonali tal-attivitajiet tagħhom jieħdu f’kunsiderazzjoni r-rekwiżiti l-ġodda li jirriżultaw mill-industriji tad-diġitalizzazzjoni bħall-vetturi, l-enerġija, is-Saħħa-e u l-manifattura avvanzata.</w:t>
            </w:r>
          </w:p>
        </w:tc>
      </w:tr>
    </w:tbl>
    <w:p>
      <w:pPr>
        <w:pStyle w:val="Heading2"/>
        <w:rPr>
          <w:noProof/>
        </w:rPr>
      </w:pPr>
      <w:bookmarkStart w:id="12" w:name="_Toc435628568"/>
      <w:r>
        <w:rPr>
          <w:noProof/>
        </w:rPr>
        <w:t>L-Istandardizzazzjoni tas-Servizzi</w:t>
      </w:r>
      <w:bookmarkEnd w:id="12"/>
    </w:p>
    <w:p>
      <w:pPr>
        <w:pStyle w:val="Text1"/>
        <w:rPr>
          <w:noProof/>
          <w:szCs w:val="24"/>
        </w:rPr>
      </w:pPr>
      <w:r>
        <w:rPr>
          <w:noProof/>
        </w:rPr>
        <w:t>Kif ħabbret fl-istrateġija għal Suq Uniku</w:t>
      </w:r>
      <w:r>
        <w:rPr>
          <w:rStyle w:val="FootnoteReference"/>
          <w:noProof/>
        </w:rPr>
        <w:footnoteReference w:id="6"/>
      </w:r>
      <w:r>
        <w:rPr>
          <w:noProof/>
        </w:rPr>
        <w:t>, il-Kummissjoni adottat dokument dwar l-istandardizzazzjoni tas-servizzi bħala dokument ta' ħidma tal-persunal anness mal-Komunikazzjoni dwar "standards Ewropej għas-seklu 21". Id-dokument jiċċara l-kopertura, l-ispeċifiċitajiet, il-benefiċċji kif ukoll l-isfidi marbutin mal-istandards tas-servizzi. Sabiex tippromwovi l-iżvilupp ikbar u l-użu aħjar tal-istandards Ewropej, u sabiex tindirizza l-ostakli nazzjonali fi ħdan il-qafas legali eżistenti, b'mod partikolari d-Direttiva dwar is-Servizzi, il-Kummissjoni tipproponi approċċ imħallat li jikkonsisti fi:</w:t>
      </w:r>
    </w:p>
    <w:p>
      <w:pPr>
        <w:pStyle w:val="Text1"/>
        <w:numPr>
          <w:ilvl w:val="0"/>
          <w:numId w:val="40"/>
        </w:numPr>
        <w:rPr>
          <w:noProof/>
        </w:rPr>
      </w:pPr>
      <w:r>
        <w:rPr>
          <w:noProof/>
        </w:rPr>
        <w:t>żvilupp imtejjeb tal-istandards Ewropej tas-servizzi fuq il-bażi ta' qafas għall-monitoraġġ tal-istandards tas-servizzi nazzjonali u oħrajn u l-ħtiġijiet tas-suq, filwaqt li jiġu identifikati l-oqsma possibbli għall-iżvilupp ta' standards Ewropej, bi prijoritizzazzjoni f'konformità mal-prijoritajiet tal-UE, u t-tnedija tal-iżvilupp tagħhom;</w:t>
      </w:r>
    </w:p>
    <w:p>
      <w:pPr>
        <w:pStyle w:val="Text1"/>
        <w:numPr>
          <w:ilvl w:val="0"/>
          <w:numId w:val="40"/>
        </w:numPr>
        <w:rPr>
          <w:noProof/>
        </w:rPr>
      </w:pPr>
      <w:r>
        <w:rPr>
          <w:noProof/>
        </w:rPr>
        <w:t>rikonoxximent reċiproku mtejjeb u tnaqqis tal-ostakli nazzjonali relatati, li jibdew qabel kollox b'reviżjoni mmirata tar-regoli u l-prattiki eżistenti għall-awtorizzazzjonijiet li jikkonċernaw standards u ċertifikati f'qasam magħżul kif ukoll il-valutazzjoni tal-ekwivalenza tar-rekwiżiti; kif ukoll</w:t>
      </w:r>
    </w:p>
    <w:p>
      <w:pPr>
        <w:pStyle w:val="Text1"/>
        <w:numPr>
          <w:ilvl w:val="0"/>
          <w:numId w:val="40"/>
        </w:numPr>
        <w:rPr>
          <w:noProof/>
          <w:szCs w:val="24"/>
        </w:rPr>
      </w:pPr>
      <w:r>
        <w:rPr>
          <w:noProof/>
        </w:rPr>
        <w:t>informazzjoni iktar effettiva lill-fornituri tas-servizzi, inkluż it-titjib fid-disponibilità tal-informazzjoni dwar l-istandards u r-rekwiżiti relatati permezz tal-Gateway Diġitali Unika.</w:t>
      </w:r>
    </w:p>
    <w:p>
      <w:pPr>
        <w:pStyle w:val="Text1"/>
        <w:rPr>
          <w:noProof/>
          <w:szCs w:val="24"/>
        </w:rPr>
      </w:pPr>
      <w:r>
        <w:rPr>
          <w:noProof/>
        </w:rPr>
        <w:t>Abbażi ta' dan t'hawn fuq, il-Kummissjoni:</w:t>
      </w:r>
    </w:p>
    <w:p>
      <w:pPr>
        <w:pStyle w:val="Text1"/>
        <w:numPr>
          <w:ilvl w:val="0"/>
          <w:numId w:val="41"/>
        </w:numPr>
        <w:rPr>
          <w:noProof/>
          <w:szCs w:val="24"/>
        </w:rPr>
      </w:pPr>
      <w:r>
        <w:rPr>
          <w:noProof/>
        </w:rPr>
        <w:t>ser twettaq analiżi ta' jekk hemmx oqsma ta' kunflitt jew duplikazzjoni bejn l-istandards tas-servizzi nazzjonali jew fejn hemm diskrepanzi potenzjali fil-politika fir-rigward tal-għaxar Prijoritajiet tal-Kummissjoni. Sejra tirrapporta fuq bażi annwali bħala parti mir-rapport lill-PE u lill-Kunsill dwar il-politika ta' standardizzazzjoni tal-UE. Fuq din il-bażi tiddeċiedi jekk toħroġx mandati jew jekk tirrakkomandax li s-CEN jiżviluppa standards jew riżultati tanġibbli tal-istandardizzazzjoni.</w:t>
      </w:r>
    </w:p>
    <w:p>
      <w:pPr>
        <w:pStyle w:val="Text1"/>
        <w:numPr>
          <w:ilvl w:val="0"/>
          <w:numId w:val="41"/>
        </w:numPr>
        <w:rPr>
          <w:noProof/>
          <w:szCs w:val="24"/>
        </w:rPr>
      </w:pPr>
      <w:r>
        <w:rPr>
          <w:noProof/>
        </w:rPr>
        <w:t>sa tmiem l-2016 tkun involuta mal-partijiet ikkonċernati u ma' dawk li jistabbilixxu l-istandards fil-livell Ewropew u dak nazzjonali biex jaqblu dwar kriterji għall-prijoritizzazzjoni tal-istandards Ewropej tas-servizzi.</w:t>
      </w:r>
    </w:p>
    <w:p>
      <w:pPr>
        <w:pStyle w:val="Text1"/>
        <w:numPr>
          <w:ilvl w:val="0"/>
          <w:numId w:val="41"/>
        </w:numPr>
        <w:rPr>
          <w:noProof/>
          <w:szCs w:val="24"/>
        </w:rPr>
      </w:pPr>
      <w:r>
        <w:rPr>
          <w:noProof/>
        </w:rPr>
        <w:t>fl-2017 ser tniedi reviżjoni mmirata sabiex tiġbor informazzjoni dwar regoli u prattiki eżistenti għall-awtorizzazzjonijiet fuq standards u ċertifikati kif ukoll il-valutazzjoni tal-ekwivalenza tar-rekwiżiti, bil-ħsieb tal-promozzjoni tal-aħjar prattiki, it-tneħħija tal-ostakli u l-adozzjoni mifruxa ta' valutazzjonijiet ta' ekwivalenza proporzjonati.</w:t>
      </w:r>
    </w:p>
    <w:p>
      <w:pPr>
        <w:pStyle w:val="Text1"/>
        <w:numPr>
          <w:ilvl w:val="0"/>
          <w:numId w:val="41"/>
        </w:numPr>
        <w:rPr>
          <w:noProof/>
          <w:szCs w:val="24"/>
        </w:rPr>
      </w:pPr>
      <w:r>
        <w:rPr>
          <w:noProof/>
        </w:rPr>
        <w:t>tirrakkomanda li s-CEN (i) jiffinalizza l-ħidma tiegħu fuq l-immappjar ta' standards tas-servizzi internazzjonali, Ewropej u nazzjonali sa tmiem l-2016 u li jżommu aġġornat fuq bażi kostanti, (ii) joħroġ lista annwali ta' oqsma ta' kunflitt jew duplikazzjoni potenzjali bejn l-istandards nazzjonali tas-servizzi jew fejn hemm diskrepanzi potenzjali fejn jistgħu jiġu żviluppati l-istandards Ewropej tas-servizzi, u (iii) jidentifika jekk hemmx xi oqsma mfixkla minħabba n-nuqqas ta' standards tas-servizzi u l-prodotti assoċjati.</w:t>
      </w:r>
    </w:p>
    <w:p>
      <w:pPr>
        <w:pStyle w:val="Text1"/>
        <w:numPr>
          <w:ilvl w:val="0"/>
          <w:numId w:val="41"/>
        </w:numPr>
        <w:rPr>
          <w:noProof/>
          <w:szCs w:val="24"/>
        </w:rPr>
      </w:pPr>
      <w:r>
        <w:rPr>
          <w:noProof/>
        </w:rPr>
        <w:t>tirrakkomanda lill-NSBs li jkunu qed jiddeċiedu dwar jekk jiżviluppawx standard nazzjonali tas-servizzi, sabiex iqisu d-dimensjoni Ewropea u jekk ikunx aħjar li jiżviluppaw standard Ewropew tas-servizzi minflok.</w:t>
      </w:r>
    </w:p>
    <w:p>
      <w:pPr>
        <w:pStyle w:val="Text1"/>
        <w:numPr>
          <w:ilvl w:val="0"/>
          <w:numId w:val="41"/>
        </w:numPr>
        <w:rPr>
          <w:noProof/>
          <w:szCs w:val="24"/>
        </w:rPr>
      </w:pPr>
      <w:r>
        <w:rPr>
          <w:noProof/>
        </w:rPr>
        <w:t>tirrakkomanda lill-Istati Membri sabiex jistħarrġu l-użu ta' standards Ewropej tas-servizzi, meta jintroduċu jew jirrevedu leġiżlazzjoni li tinvolvi kundizzjonijiet marbutin mal-aċċess għas-suq fis-setturi tas-servizzi.</w:t>
      </w:r>
    </w:p>
    <w:p>
      <w:pPr>
        <w:pStyle w:val="Text1"/>
        <w:rPr>
          <w:noProof/>
        </w:rPr>
      </w:pPr>
      <w:r>
        <w:rPr>
          <w:noProof/>
        </w:rPr>
        <w:t xml:space="preserve">Il-miżuri proposti jikkumplimentaw l-azzjonijiet l-oħrajn dwar is-servizzi u l-istandardizzazzjoni fl-Istrateġija għal Suq Uniku, kif ukoll l-Inizjattiva Konġunta dwar l-Istandardizzazzjoni. L-attivitajiet huma mwettqa fil-kuntest tal-istrutturi u l-proċessi eżistenti tas-Sistema Ewropea ta' Standardizzazzjoni, u jagħmlu użu minn fora u gruppi eżistenti. </w:t>
      </w:r>
    </w:p>
    <w:p>
      <w:pPr>
        <w:pStyle w:val="Text1"/>
        <w:rPr>
          <w:rFonts w:eastAsiaTheme="minorEastAsia"/>
          <w:noProof/>
        </w:rPr>
      </w:pPr>
    </w:p>
    <w:tbl>
      <w:tblPr>
        <w:tblStyle w:val="TableGrid"/>
        <w:tblW w:w="0" w:type="auto"/>
        <w:tblInd w:w="850" w:type="dxa"/>
        <w:tblLook w:val="04A0" w:firstRow="1" w:lastRow="0" w:firstColumn="1" w:lastColumn="0" w:noHBand="0" w:noVBand="1"/>
      </w:tblPr>
      <w:tblGrid>
        <w:gridCol w:w="8439"/>
      </w:tblGrid>
      <w:tr>
        <w:tc>
          <w:tcPr>
            <w:tcW w:w="9289" w:type="dxa"/>
          </w:tcPr>
          <w:p>
            <w:pPr>
              <w:pStyle w:val="Text1"/>
              <w:ind w:left="0"/>
              <w:rPr>
                <w:noProof/>
              </w:rPr>
            </w:pPr>
            <w:r>
              <w:rPr>
                <w:noProof/>
              </w:rPr>
              <w:t>L-implimentazzjoni tal-qafas propost tibda fl-2016, wara l-adozzjoni tal-pakkett ta' standardizzazzjoni tal-Kummissjoni. Fl-2017, il-Kummissjoni ser iżżid l-isforzi u tistabbilixxi soluzzjonijiet prattiċi sabiex tippromwovi l-iżvilupp akbar u l-użu aħjar tal-istandards tas-servizzi Ewropej, ittejjeb is-sensibilità, u tindirizza l-ostakli li jaffaċċjaw il-fornituri ta' servizzi Ewropej.</w:t>
            </w:r>
          </w:p>
        </w:tc>
      </w:tr>
    </w:tbl>
    <w:p>
      <w:pPr>
        <w:pStyle w:val="Text1"/>
        <w:rPr>
          <w:noProof/>
        </w:rPr>
      </w:pPr>
    </w:p>
    <w:p>
      <w:pPr>
        <w:pStyle w:val="Heading2"/>
        <w:rPr>
          <w:noProof/>
        </w:rPr>
      </w:pPr>
      <w:bookmarkStart w:id="13" w:name="_Toc435628569"/>
      <w:r>
        <w:rPr>
          <w:noProof/>
        </w:rPr>
        <w:t>L-oqsma prijoritarji strateġiċi għat-talbiet ta' standardizzazzjoni lill-ESOs fl-2017</w:t>
      </w:r>
      <w:bookmarkEnd w:id="13"/>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Il-Kummissjoni identifikat il-prijoritajiet strateġiċi tagħha għall-istandardizzazzjoni Ewropea fl-oqsma li jidhru hawn taħt fejn bi ħsiebha titlob lill-organizzazzjonijiet Ewropej ta' standardizzazzjoni sabiex jiżviluppaw standards u riżultati tanġibbli ta' standardizzazzjoni. L-oqsma huma marbuta direttament mal-prijoritajiet tal-Kummissjoni li ġejjin: Suq Uniku Diġitali Konness; Unjoni tal-Enerġija Reżiljenti b'Politika dwar it-Tibdil fil-Klima li Tħares 'il Quddiem; Suq Intern Aktar Profond u Aktar Ġust b'Bażi Industrijali Msaħħa.</w:t>
      </w:r>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Fis-Suq Uniku Diġitali Konness, l-azzjonijiet proposti għandhom l-għan li jtejbu l-ħiliet elettroniċi u l-użu tat-teknoloġiji diġitali:</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l-iżvilupp u l-bidu tal-implimentazzjoni ta' qafas Ewropew komprensiv għall-professjonijiet tal-ICT, li jipprovdi referenza tal-kompetenzi kif meħtieġ u applikat fil-post tax-xogħol tat-Teknoloġija tal-Informazzjoni u tal-Komunikazzjoni (ICT), filwaqt li jintuża lingwaġġ komuni għall-kompetenzi, il-ħiliet u l-livelli ta' profiċjenza li jista' jinftiehem madwar l-Ewropa;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it-titjib u l-iffaċilitar tal-formalitajiet tar-rappurtar meħtieġa mill-atti legali tal-Unjoni u mill-Istati Membr għall-bastimenti li jaslu fi u/jew jitilqu minn portijiet tal-Istati Membri sabiex jonqos il-piż amministrattiv għall-kumpaniji tat-trasport marittimu;</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l-iffaċilitar tal-fluss, l-aċċess u l-użu tal-informazzjoni fit-trasport, sabiex titjieb l-effiċjenza u jitnaqqsu l-ispejjeż tal-operazzjonijiet tat-trasport.</w:t>
      </w:r>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Rigward l-Unjoni tal-Enerġija Reżiljenti b’Politika għat-Tibdil fil-Klima li Tħares 'il Quddiem, l-azzjonijiet proposti għandhom l-għan li jgħaqqdu l-infrastrutturi tagħna, jiddeversifikaw ir-riżorsi tal-enerġija tagħna, inaqqsu l-konsum tal-enerġija u jippromwovu teknoloġiji favur il-klima: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sabiex ikunu jistgħu jiġu armonizzati l-proċess ta' liċenzjar u l-istandards industrijali għall-iżvilupp tal-infrastrutturi nukleari tal-UE tul ħajjithom (bini, tħaddim, dekummissjonar, immaniġġjar tal-iskart) sabiex jinbena qafas komuni għall-politiki tal-enerġija u jinkisbu gwadanji mill-ekonomiji ta' skala; kif ukoll</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sabiex tiġi żgurata l-interoperabilità bejn il-grilji għal żieda fl-enerġiji rinnovabbli fit-taħlita ta' enerġiji, bil-għan li tissaħħaħ il-kapaċità tal-infrastrutturi eżistenti li jassorbu riżorsi minn enerġija nadifa filwaqt li ma jiżdidux l-ispejjeż għall-utenti</w:t>
      </w:r>
    </w:p>
    <w:p>
      <w:pPr>
        <w:spacing w:before="120" w:after="120" w:line="240" w:lineRule="auto"/>
        <w:ind w:left="850"/>
        <w:jc w:val="both"/>
        <w:rPr>
          <w:rFonts w:ascii="Times New Roman" w:eastAsia="Calibri" w:hAnsi="Times New Roman" w:cs="Times New Roman"/>
          <w:noProof/>
          <w:sz w:val="24"/>
        </w:rPr>
      </w:pPr>
      <w:r>
        <w:rPr>
          <w:rFonts w:ascii="Times New Roman" w:hAnsi="Times New Roman"/>
          <w:noProof/>
          <w:sz w:val="24"/>
        </w:rPr>
        <w:t>Bl-appoġġ tas-Suq Intern Aktar Profond u Aktar Ġust b’Bażi Industrijali Msaħħa, il-Kummissjoni tipproponi azzjonijiet li jżidu r-rekwiżiti ta' sikurezza u interoperabbiltà li huma meħtieġa sabiex jitlesta s-suq intern tal-prodotti sa miż-żamma ta' bażi industrijali ta’ prestazzjoni għolja fl-Ewropa: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Fis-settur tal-prodotti tal-bini, l-inizjattivi li ġejjin sejrin jippermettu lill-industrija tinkorpora titjib minn setturi oħrajn, tadatta l-prodotti eżistenti u tipproduċi prodotti innovattivi ġodda sabiex tissodisfa l-ħtiġijiet attwali ta' sikurezza u kwalità:</w:t>
      </w:r>
    </w:p>
    <w:p>
      <w:pPr>
        <w:pStyle w:val="ListParagraph"/>
        <w:numPr>
          <w:ilvl w:val="0"/>
          <w:numId w:val="2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 xml:space="preserve">għandhom jiġu ffinalizzati metodi ta’ valutazzjoni għal sustanzi perikolużi regolati u l-emissjoni tar-radjazzjoni u l-metodi ta' valutazzjoni l-ġodda għandhom jiddaħħlu gradwalment fl-istandards tal-prodotti tal-kostruzzjoni; </w:t>
      </w:r>
    </w:p>
    <w:p>
      <w:pPr>
        <w:pStyle w:val="ListParagraph"/>
        <w:numPr>
          <w:ilvl w:val="0"/>
          <w:numId w:val="2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prodotti tal-kostruzzjoni f'kuntatt mal-ilma maħsub għall-konsum mill-bniedem;</w:t>
      </w:r>
    </w:p>
    <w:p>
      <w:pPr>
        <w:pStyle w:val="ListParagraph"/>
        <w:numPr>
          <w:ilvl w:val="0"/>
          <w:numId w:val="28"/>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prodotti innovattivi u valutazzjoni tal-karatteristiċi essenzjali tal-prestazzjoni tal-prodotti tal-kostruzzjoni;</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metodi għall-valutazzjoni tar-riskju ta' sustanzi mhux elenkati marbutin ma' materjali u oġġetti tal-plastik maħsuba li jiġu f'kuntatt mal-ikel sabiex jiġu aġġornati l-istandards eżistenti kontra perikli ġodda;</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bijodegradabilità tal-plastik għall-imballaġġi u l-iskart tal-imballaġġi li ser jappoġġja r-riċiklaġġ;</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Fil-qasam ferrovjarju, l-inizjattivi li ġejjin sejrin jgħinu sabiex jitjiebu l-interkonnessjoni u l-interoperabilità tan-netwerks ferrovjarji nazzjonali:</w:t>
      </w:r>
    </w:p>
    <w:p>
      <w:pPr>
        <w:pStyle w:val="ListParagraph"/>
        <w:numPr>
          <w:ilvl w:val="0"/>
          <w:numId w:val="2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is-sikurezza passiva ta' ġewwa li tappoġġja l-interoperabilità tas-sistema ferrovjarja li ser ittejjeb ir-rekwiżiti ta' sikurezza tal-vjaġġi bil-ferrovija fil-livell Ewropew;</w:t>
      </w:r>
    </w:p>
    <w:p>
      <w:pPr>
        <w:pStyle w:val="ListParagraph"/>
        <w:numPr>
          <w:ilvl w:val="0"/>
          <w:numId w:val="29"/>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simplifikazzjoni tal-metodoloġija għall-kalkolu tal-passaġġ liberu tal-pantografu (sagoma kinematika mekkanika tal-pantografu) sabiex tiġi ffaċilitata l-valutazzjoni tal-aċċettazzjoni tal-irjus tal-pantografu fil-linji ta' kuntatt sospiżi; ħidma ssoktata fuq l-interoperabilità tas-sistema ferrovjarja: żvilupp tal-istandards ferrovjarji urbani.</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xprunati minn diversi inċidenti u aċċidenti, il-prodotti/proċeduri li ġejjin iridu jiġu indirizzati fl-istandards:  prodotti ta' informazzjoni dwar it-temp ipprovduti lill-bdoti inklużi applikazzjonijiet fil-kokpit fuq il-bażi ta' sorsi differenti, sistemi ta' Twissija dwar Ħruġ mir-Runway, sistemi Abbord għall-Piż u għall-Bilanċ;</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sustanzi kimiċi sostenibbli prodotti minn materja prima sekondarja li ser tnaqqas il-kost u d-dipendenza tal-Unjoni Ewropea għall-materja prima; kif ukoll</w:t>
      </w:r>
    </w:p>
    <w:p>
      <w:pPr>
        <w:pStyle w:val="ListParagraph"/>
        <w:numPr>
          <w:ilvl w:val="0"/>
          <w:numId w:val="22"/>
        </w:numPr>
        <w:spacing w:before="120" w:after="120" w:line="240" w:lineRule="auto"/>
        <w:jc w:val="both"/>
        <w:rPr>
          <w:rFonts w:ascii="Times New Roman" w:eastAsia="Calibri" w:hAnsi="Times New Roman" w:cs="Times New Roman"/>
          <w:noProof/>
          <w:sz w:val="24"/>
        </w:rPr>
      </w:pPr>
      <w:r>
        <w:rPr>
          <w:rFonts w:ascii="Times New Roman" w:hAnsi="Times New Roman"/>
          <w:noProof/>
          <w:sz w:val="24"/>
        </w:rPr>
        <w:t>appoġġ tal-kompetittività u l-effiċjenza tas-settur tad-difiża u s-sigurtà sabiex jinkisbu gwadanji mill-ekonomiji ta' skala u appoġġ lill-Ewropa fir-rwol tagħha bħala attur globali iktar b'saħħtu</w:t>
      </w:r>
    </w:p>
    <w:p>
      <w:pPr>
        <w:pStyle w:val="Heading1"/>
        <w:numPr>
          <w:ilvl w:val="0"/>
          <w:numId w:val="3"/>
        </w:numPr>
        <w:tabs>
          <w:tab w:val="clear" w:pos="850"/>
        </w:tabs>
        <w:rPr>
          <w:noProof/>
        </w:rPr>
      </w:pPr>
      <w:bookmarkStart w:id="14" w:name="_Toc415666212"/>
      <w:bookmarkStart w:id="15" w:name="_Toc435628571"/>
      <w:r>
        <w:rPr>
          <w:noProof/>
        </w:rPr>
        <w:t>Kooperazzjoni internazzjonali</w:t>
      </w:r>
      <w:bookmarkEnd w:id="14"/>
      <w:bookmarkEnd w:id="15"/>
      <w:r>
        <w:rPr>
          <w:noProof/>
        </w:rPr>
        <w:t xml:space="preserve"> </w:t>
      </w:r>
    </w:p>
    <w:tbl>
      <w:tblPr>
        <w:tblStyle w:val="TableGrid"/>
        <w:tblW w:w="0" w:type="auto"/>
        <w:tblInd w:w="850" w:type="dxa"/>
        <w:tblLook w:val="04A0" w:firstRow="1" w:lastRow="0" w:firstColumn="1" w:lastColumn="0" w:noHBand="0" w:noVBand="1"/>
      </w:tblPr>
      <w:tblGrid>
        <w:gridCol w:w="8439"/>
      </w:tblGrid>
      <w:tr>
        <w:tc>
          <w:tcPr>
            <w:tcW w:w="9289" w:type="dxa"/>
          </w:tcPr>
          <w:p>
            <w:pPr>
              <w:pStyle w:val="Text1"/>
              <w:ind w:left="0"/>
              <w:rPr>
                <w:noProof/>
              </w:rPr>
            </w:pPr>
            <w:r>
              <w:rPr>
                <w:noProof/>
              </w:rPr>
              <w:t xml:space="preserve">Il-Kummissjoni tistieden lill-ESOs biex jissoktaw bil-promozzjoni konġunta ta’ standards internazzjonali u Ewropej f’dawk ir-reġjuni tad-dinja fejn l-industrija Ewropea tista’ tibbenefika minn assistenza ikbar fl-istandardizzazzjoni u minn aċċess aktar faċli għas-suq. </w:t>
            </w:r>
          </w:p>
        </w:tc>
      </w:tr>
    </w:tbl>
    <w:p>
      <w:pPr>
        <w:pStyle w:val="Text1"/>
        <w:rPr>
          <w:noProof/>
        </w:rPr>
      </w:pPr>
      <w:r>
        <w:rPr>
          <w:noProof/>
        </w:rPr>
        <w:t xml:space="preserve">Sehem sinifikanti mill-istandards Ewropej ġejjin direttament mill-istandardizzazzjoni internazzjonali. </w:t>
      </w:r>
    </w:p>
    <w:p>
      <w:pPr>
        <w:pStyle w:val="Text1"/>
        <w:rPr>
          <w:noProof/>
        </w:rPr>
      </w:pPr>
      <w:r>
        <w:rPr>
          <w:noProof/>
        </w:rPr>
        <w:t xml:space="preserve">Sabiex tinkiseb aċċettazzjoni aħjar tal-inizjattivi Ewropej fil-livell internazzjonali, l-ESS għandu jirnexxilha tesprimi pożizzjonijiet koerenti fil-korpi adatti. </w:t>
      </w:r>
    </w:p>
    <w:p>
      <w:pPr>
        <w:pStyle w:val="Text1"/>
        <w:rPr>
          <w:noProof/>
        </w:rPr>
      </w:pPr>
      <w:r>
        <w:rPr>
          <w:noProof/>
        </w:rPr>
        <w:t>Il-Kummissjoni qed tinnegozja t-TTIP (Sħubija Trans-Atlantika ta’ Kummerċ u ta’ Investiment) mal-Istati Uniti u l-istandardizzazzjoni hija punt importanti tad-diskussjoni, minħabba ż-żewġ sistemi differenti, iżda tista' ġġib vantaġġi kbar jekk iż-żewġ partijiet jilħqu ftehim li jibbenefika lit-tnejn li huma.</w:t>
      </w:r>
    </w:p>
    <w:p>
      <w:pPr>
        <w:pStyle w:val="Text1"/>
        <w:rPr>
          <w:noProof/>
        </w:rPr>
      </w:pPr>
      <w:r>
        <w:rPr>
          <w:noProof/>
        </w:rPr>
        <w:t>Il-Kummissjoni rnexxielha tinnegozja wkoll is-CETA mal-Kanada, u qiegħda tinnegozja mal-Ġappun. F'dawn il-ftehimiet kummerċjali kollha, l-istandardizzazzjoni hija kruċjali, għaliex l-ostakli prinċipali bejn dawn l-atturi huma ostakli tekniċi għall-kummerċ aktar milli sempliċiment kwistjonijiet marbutin mat-tariffi.</w:t>
      </w:r>
    </w:p>
    <w:p>
      <w:pPr>
        <w:pStyle w:val="Text1"/>
        <w:rPr>
          <w:noProof/>
        </w:rPr>
      </w:pPr>
      <w:r>
        <w:rPr>
          <w:noProof/>
        </w:rPr>
        <w:t xml:space="preserve">Fir-rigward ta’ pajjiżi terzi, il-Kummissjoni ser tkompli d-djalogi ta' politika eżistenti, l-azzjonijiet ta' viżibbiltà u sensibilizzazzjoni (l-Espert Ewropew Sekondat fil-Qasam tal-Istandardizzazzjoni fl-Indja, SESEI, l-Espert Ewropew Sekondat fil-Qasam tal-Istandardizzazzjoni fiċ-Ċina, SESEC, jew il-Pjattaforma ta' Informazzjoni dwar l-Istandardizzazzjoni taċ-Ċina u l-Ewropa, CESIP) li għalihom l-appoġġ tal-ESOs huwa fundamentali (ara l-Għotjiet Operattivi annwali). </w:t>
      </w:r>
    </w:p>
    <w:p>
      <w:pPr>
        <w:pStyle w:val="Text1"/>
        <w:rPr>
          <w:noProof/>
        </w:rPr>
      </w:pPr>
      <w:r>
        <w:rPr>
          <w:noProof/>
        </w:rPr>
        <w:t xml:space="preserve">Il-kooperazzjoni marbuta mal-istandardizzazzjoni maċ-Ċina għandha għan ġemellat. Il-promozzjoni tal-mudell regolatorju tal-UE (għall-kummerċjalizzazzjoni ta' prodotti) appoġġjata bi standards, fil-perjodu fit-tul, mistennija tiffaċilita l-aċċess għas-suq. Armonizzazzjoni teknika bilaterali fil-livell tal-istandards tirrappreżenta rotta oħra sabiex jinħolqu kundizzjonijiet iktar ekwi, gwadann ċar għall-kumpaniji domestiċi u dawk Ewropej. Skont is-sejbiet tal-tal-Grupp ta' Ħidma "Standardizzazzjoni" tal-UE u ċ-Ċina, ġew adottati madwar 90 EN bħala standards Ċiniżi u dan huwa ta' vantaġġ kompetittiv għall-kumpaniji Ewropej. Il-ħidma marbuta mal-Indja qiegħda timmira lejn għanijiet simili.    </w:t>
      </w:r>
    </w:p>
    <w:p>
      <w:pPr>
        <w:pStyle w:val="Text1"/>
        <w:rPr>
          <w:noProof/>
        </w:rPr>
      </w:pPr>
      <w:bookmarkStart w:id="16" w:name="_Toc415666215"/>
      <w:r>
        <w:rPr>
          <w:noProof/>
        </w:rPr>
        <w:t>Il-Kummissjoni, li teknikament diġà qed tikkontribwixxi għal xi ħidma ta’ standardizzazzjoni internazzjonali, tistenna li tkun involuta aktar fl-istandardizzazzjoni Ewropea u internazzjonali, sabiex jintlaħaq il-potenzjal sħiħ tal-istatus formali eżistenti tagħha ta' osservatur, sabiex twettaq aħjar l-impenn tagħha lejn il-primat tal-istandards internazzjonali</w:t>
      </w:r>
      <w:bookmarkEnd w:id="16"/>
      <w:r>
        <w:rPr>
          <w:noProof/>
        </w:rPr>
        <w:t>.</w:t>
      </w:r>
    </w:p>
    <w:p>
      <w:pPr>
        <w:pStyle w:val="Text1"/>
        <w:ind w:left="0"/>
        <w:rPr>
          <w:noProof/>
        </w:rPr>
      </w:pPr>
    </w:p>
    <w:p>
      <w:pPr>
        <w:pStyle w:val="Heading1"/>
        <w:numPr>
          <w:ilvl w:val="0"/>
          <w:numId w:val="3"/>
        </w:numPr>
        <w:tabs>
          <w:tab w:val="clear" w:pos="850"/>
        </w:tabs>
        <w:rPr>
          <w:noProof/>
        </w:rPr>
      </w:pPr>
      <w:bookmarkStart w:id="17" w:name="_Toc415666231"/>
      <w:bookmarkStart w:id="18" w:name="_Toc435628574"/>
      <w:r>
        <w:rPr>
          <w:noProof/>
        </w:rPr>
        <w:t>Orizzont 2020 – Ir-Riċerka</w:t>
      </w:r>
      <w:bookmarkEnd w:id="17"/>
      <w:r>
        <w:rPr>
          <w:noProof/>
        </w:rPr>
        <w:t xml:space="preserve"> u l-Innovazzjoni</w:t>
      </w:r>
      <w:bookmarkEnd w:id="18"/>
    </w:p>
    <w:p>
      <w:pPr>
        <w:pStyle w:val="Text1"/>
        <w:rPr>
          <w:noProof/>
        </w:rPr>
      </w:pPr>
      <w:r>
        <w:rPr>
          <w:noProof/>
        </w:rPr>
        <w:t>L-iżvilupp u l-implimentazzjoni ta’ aġendi tar-riċerka u l-innovazzjoni, inkluż permezz tal-istandardizzazzjoni huma essenzjali għall-kompetittività tal-UE. Orizzont 2020 ser jagħti appoġġ qawwi lill-adozzjoni tal-innovazzjoni mis-suq, b’mod partikolari fl-appoġġ għall-istandardizzazzjoni permezz tar-riċerka u billi tiddaħħal ix-xjenza fl-istandards. L-attivitajiet ta’ standardizzazzjoni huma mezz essenzjali għall-adozzjoni mis-suq tar-riżultati tar-riċerka u għat-tixrid tal-innovazzjonijiet inklużi r-riżultati tar-riċerka mill-parti Euratom ta' Orizzont 2020.</w:t>
      </w:r>
    </w:p>
    <w:p>
      <w:pPr>
        <w:pStyle w:val="Text1"/>
        <w:rPr>
          <w:noProof/>
        </w:rPr>
      </w:pPr>
      <w:r>
        <w:rPr>
          <w:noProof/>
        </w:rPr>
        <w:t>Orizzont 2020 ser jagħti appoġġ sabiex titjieb l-effiċjenza tas-sistema ta' standardizzazzjoni billi jippromwovi standards u pjattaformi miftuħin u applikazzjoni konsistenti tal-istandards u l-użu tagħhom mis-suq.</w:t>
      </w:r>
    </w:p>
    <w:p>
      <w:pPr>
        <w:pStyle w:val="Text1"/>
        <w:rPr>
          <w:noProof/>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9"/>
      </w:tblGrid>
      <w:tr>
        <w:tc>
          <w:tcPr>
            <w:tcW w:w="9289" w:type="dxa"/>
            <w:shd w:val="clear" w:color="auto" w:fill="auto"/>
          </w:tcPr>
          <w:p>
            <w:pPr>
              <w:pStyle w:val="Text1"/>
              <w:ind w:left="0"/>
              <w:rPr>
                <w:rFonts w:ascii="Calibri" w:eastAsia="SimSun" w:hAnsi="Calibri"/>
                <w:noProof/>
                <w:sz w:val="22"/>
              </w:rPr>
            </w:pPr>
            <w:r>
              <w:rPr>
                <w:noProof/>
              </w:rPr>
              <w:t>L-ESOs għandhom iħeġġu u jiffaċilitaw ir-rappreżentanza xierqa, fil-livell tekniku, fl-attivitajiet ta’ standardizzazzjoni tal-entitajiet legali li jipparteċipaw fi proġett li huwa relatat ma’ dak il-qasam u li huwa ffinanzjat mill-Unjoni fi ħdan programm ta’ qafas pluriennali għall-attivitajiet fil-qasam tar-riċerka, tal-innovazzjoni u tal-iżvilupp teknoloġiku. L-ESOs għandhom jirrappurtaw lill-Kummissjoni dwar l-implimentazzjoni ta' din l-azzjoni mill-2013 sal-2016.</w:t>
            </w:r>
          </w:p>
        </w:tc>
      </w:tr>
    </w:tbl>
    <w:p>
      <w:pPr>
        <w:pStyle w:val="Heading1"/>
        <w:numPr>
          <w:ilvl w:val="0"/>
          <w:numId w:val="3"/>
        </w:numPr>
        <w:tabs>
          <w:tab w:val="clear" w:pos="850"/>
        </w:tabs>
        <w:rPr>
          <w:noProof/>
        </w:rPr>
      </w:pPr>
      <w:r>
        <w:rPr>
          <w:noProof/>
        </w:rPr>
        <w:t>Iċ-ċiklu li jmiss</w:t>
      </w:r>
    </w:p>
    <w:p>
      <w:pPr>
        <w:pStyle w:val="Text1"/>
        <w:ind w:left="0"/>
        <w:rPr>
          <w:noProof/>
        </w:rPr>
      </w:pPr>
      <w:r>
        <w:rPr>
          <w:noProof/>
        </w:rPr>
        <w:t xml:space="preserve">Wara d-diskussjonijiet fil-kuntest tal-Inizjattiva Konġunta dwar l-Istandardizzazzjoni, sabiex tissaħħaħ il-bażi ta' evidenza taċ-ċiklu ta' governanza annwali dwar il-politika ta' standardizzazzjoni tal-UE, il-Kummissjoni ħadet impenn li twettaq iż-żewġ azzjonijiet li ġejjin: </w:t>
      </w:r>
    </w:p>
    <w:p>
      <w:pPr>
        <w:pStyle w:val="Text1"/>
        <w:numPr>
          <w:ilvl w:val="0"/>
          <w:numId w:val="33"/>
        </w:numPr>
        <w:ind w:left="1560"/>
        <w:rPr>
          <w:noProof/>
        </w:rPr>
      </w:pPr>
      <w:r>
        <w:rPr>
          <w:noProof/>
        </w:rPr>
        <w:t xml:space="preserve">Tniedi studju sabiex tanalizza l-impatt ekonomiku u tas-soċjetà tal-istandardizzazzjoni </w:t>
      </w:r>
    </w:p>
    <w:p>
      <w:pPr>
        <w:pStyle w:val="Text1"/>
        <w:ind w:left="0"/>
        <w:rPr>
          <w:noProof/>
        </w:rPr>
      </w:pPr>
      <w:r>
        <w:rPr>
          <w:noProof/>
        </w:rPr>
        <w:t>Huwa rikonoxxut li l-istandards għandhom rwol vitali u kultant inviżibbli fl-appoġġ li jagħtu lit-tkabbir ekonomiku permezz tar-rwol tagħhom fit-tisħiħ tal-produttività, il-kompetittiv ità u l-innovazzjoni kif ukoll il-benesseri tas-soċjetà. B'hekk, wara l-istedina mill-Kunsill</w:t>
      </w:r>
      <w:r>
        <w:rPr>
          <w:rStyle w:val="FootnoteReference"/>
          <w:noProof/>
        </w:rPr>
        <w:footnoteReference w:id="7"/>
      </w:r>
      <w:r>
        <w:rPr>
          <w:noProof/>
        </w:rPr>
        <w:t xml:space="preserve"> u f'konformità mal-Inizjattiva Konġunta dwar l-Istandardizzazzjoni, il-Kummissjoni ser tniedi studju fi żmien debitu li għandu jesplora l-impatti tal-istandards fuq l-ekonomija u s-soċjetà inġenerali. L-istudju ser jibni fuq u jqis l-istudji nazzjonali eżistenti</w:t>
      </w:r>
      <w:r>
        <w:rPr>
          <w:rStyle w:val="FootnoteReference"/>
          <w:noProof/>
        </w:rPr>
        <w:footnoteReference w:id="8"/>
      </w:r>
      <w:r>
        <w:rPr>
          <w:noProof/>
        </w:rPr>
        <w:t xml:space="preserve">, kif ukoll il-mudelli differenti li bħalissa qegħdin jintużaw għall-finanzjament tal-istandardizzazzjoni. </w:t>
      </w:r>
    </w:p>
    <w:p>
      <w:pPr>
        <w:pStyle w:val="Text1"/>
        <w:numPr>
          <w:ilvl w:val="0"/>
          <w:numId w:val="33"/>
        </w:numPr>
        <w:ind w:left="1560"/>
        <w:rPr>
          <w:noProof/>
        </w:rPr>
      </w:pPr>
      <w:r>
        <w:rPr>
          <w:noProof/>
        </w:rPr>
        <w:t xml:space="preserve">L-istabbiliment ta' djalogu interistituzzjonali sostanzjat </w:t>
      </w:r>
    </w:p>
    <w:p>
      <w:pPr>
        <w:pStyle w:val="Text1"/>
        <w:ind w:left="0"/>
        <w:rPr>
          <w:noProof/>
        </w:rPr>
      </w:pPr>
      <w:r>
        <w:rPr>
          <w:noProof/>
        </w:rPr>
        <w:t>Mill-2017, f'kull ċiklu annwali, l-adozzjoni tal-AUWP f'Lulju ta' kull sena ser tkun preċeduta minn rapport uniku mill-Kummissjoni lill-Parlament Ewropew u lill-Kunsill dwar l-implimentazzjoni tal-politika tal-UE dwar l-istandardizzazzjoni. Fuq il-bażi ta' dan ir-rapport, il-Kummissjoni tipproponi li tidħol fi djalogu interistituzzjonali mal-Parlament Ewropew u mal-Kunsill fir-rebbiegħa.</w:t>
      </w:r>
    </w:p>
    <w:p>
      <w:pPr>
        <w:pStyle w:val="Text1"/>
        <w:ind w:left="0"/>
        <w:rPr>
          <w:noProof/>
        </w:rPr>
      </w:pPr>
      <w:r>
        <w:rPr>
          <w:noProof/>
        </w:rPr>
        <w:t>Fost affarijiet oħrajn ir-rapport ser jinkludi informazzjoni dwar:</w:t>
      </w:r>
    </w:p>
    <w:p>
      <w:pPr>
        <w:pStyle w:val="Text1"/>
        <w:numPr>
          <w:ilvl w:val="0"/>
          <w:numId w:val="32"/>
        </w:numPr>
        <w:rPr>
          <w:noProof/>
        </w:rPr>
      </w:pPr>
      <w:r>
        <w:rPr>
          <w:noProof/>
        </w:rPr>
        <w:t>il-progress tal-implimentazzjoni tal-azzjonijiet previsti fl-AUWPs, inkluż dwar l-iżvilupp ta' standards tas-servizzi Ewropej;</w:t>
      </w:r>
    </w:p>
    <w:p>
      <w:pPr>
        <w:pStyle w:val="Text1"/>
        <w:numPr>
          <w:ilvl w:val="0"/>
          <w:numId w:val="32"/>
        </w:numPr>
        <w:rPr>
          <w:noProof/>
        </w:rPr>
      </w:pPr>
      <w:r>
        <w:rPr>
          <w:noProof/>
        </w:rPr>
        <w:t>il-progress tal-implimentazzjoni tal-azzjonijiet previsti fil-Komunikazzjoni dwar il-Prijoritajiet ta' Standardizzazzjoni tal-ICT għas-Suq Uniku Diġitali;</w:t>
      </w:r>
    </w:p>
    <w:p>
      <w:pPr>
        <w:pStyle w:val="Text1"/>
        <w:numPr>
          <w:ilvl w:val="0"/>
          <w:numId w:val="32"/>
        </w:numPr>
        <w:rPr>
          <w:noProof/>
        </w:rPr>
      </w:pPr>
      <w:r>
        <w:rPr>
          <w:noProof/>
        </w:rPr>
        <w:t>il-qagħda attwali tat-talbiet ta' standardizzazzjoni indirizzati lill-ESOs;</w:t>
      </w:r>
    </w:p>
    <w:p>
      <w:pPr>
        <w:pStyle w:val="Text1"/>
        <w:numPr>
          <w:ilvl w:val="0"/>
          <w:numId w:val="32"/>
        </w:numPr>
        <w:rPr>
          <w:noProof/>
        </w:rPr>
      </w:pPr>
      <w:r>
        <w:rPr>
          <w:noProof/>
        </w:rPr>
        <w:t>in-numru ta' standards prodotti u rreġistrati fil-programm ta' ħidma tal-ESOs;</w:t>
      </w:r>
    </w:p>
    <w:p>
      <w:pPr>
        <w:pStyle w:val="Text1"/>
        <w:numPr>
          <w:ilvl w:val="0"/>
          <w:numId w:val="32"/>
        </w:numPr>
        <w:rPr>
          <w:noProof/>
        </w:rPr>
      </w:pPr>
      <w:r>
        <w:rPr>
          <w:noProof/>
        </w:rPr>
        <w:t>il-kontribuzzjoni tal-organizzazzjonijiet tal-Anness III (SBS</w:t>
      </w:r>
      <w:r>
        <w:rPr>
          <w:rStyle w:val="FootnoteReference"/>
          <w:noProof/>
        </w:rPr>
        <w:footnoteReference w:id="9"/>
      </w:r>
      <w:r>
        <w:rPr>
          <w:noProof/>
        </w:rPr>
        <w:t>, ANEC</w:t>
      </w:r>
      <w:r>
        <w:rPr>
          <w:rStyle w:val="FootnoteReference"/>
          <w:noProof/>
        </w:rPr>
        <w:footnoteReference w:id="10"/>
      </w:r>
      <w:r>
        <w:rPr>
          <w:noProof/>
        </w:rPr>
        <w:t>, ECOS</w:t>
      </w:r>
      <w:r>
        <w:rPr>
          <w:rStyle w:val="FootnoteReference"/>
          <w:noProof/>
        </w:rPr>
        <w:footnoteReference w:id="11"/>
      </w:r>
      <w:r>
        <w:rPr>
          <w:noProof/>
        </w:rPr>
        <w:t xml:space="preserve"> u ETUC</w:t>
      </w:r>
      <w:r>
        <w:rPr>
          <w:rStyle w:val="FootnoteReference"/>
          <w:noProof/>
        </w:rPr>
        <w:footnoteReference w:id="12"/>
      </w:r>
      <w:r>
        <w:rPr>
          <w:noProof/>
        </w:rPr>
        <w:t xml:space="preserve"> li jirrappreżentaw, rispettivament, lill-SMEs, il-konsumaturi, il-ħaddiema u l-interessi ambjentali fl-istandardizzazzjoni) għall-proċessi tal-produzzjoni tal-istandards (inklużività);</w:t>
      </w:r>
    </w:p>
    <w:p>
      <w:pPr>
        <w:pStyle w:val="Text1"/>
        <w:numPr>
          <w:ilvl w:val="0"/>
          <w:numId w:val="32"/>
        </w:numPr>
        <w:rPr>
          <w:noProof/>
        </w:rPr>
      </w:pPr>
      <w:r>
        <w:rPr>
          <w:noProof/>
        </w:rPr>
        <w:t>il-kontribuzzjoni finanzjarja tal-UE għall-ESOs skont ir-Regolament.</w:t>
      </w:r>
    </w:p>
    <w:p>
      <w:pPr>
        <w:pStyle w:val="Text1"/>
        <w:ind w:left="0"/>
        <w:rPr>
          <w:noProof/>
        </w:rPr>
      </w:pPr>
      <w:r>
        <w:rPr>
          <w:noProof/>
        </w:rPr>
        <w:t>Ir-Rapport u d-djalogu konsekuttiv ser iservu bħala kontribut ta' politika għall-AUWP għas-sena li jmiss.</w:t>
      </w:r>
    </w:p>
    <w:bookmarkEnd w:id="5"/>
    <w:bookmarkEnd w:id="6"/>
    <w:bookmarkEnd w:id="8"/>
    <w:p>
      <w:pPr>
        <w:pStyle w:val="Text1"/>
        <w:ind w:left="0"/>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70021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lang w:val="pt-PT"/>
        </w:rPr>
      </w:pPr>
      <w:r>
        <w:rPr>
          <w:rStyle w:val="FootnoteReference"/>
        </w:rPr>
        <w:footnoteRef/>
      </w:r>
      <w:r>
        <w:t xml:space="preserve"> COM(2015) 550 finali, SWD(2015) 202 finali</w:t>
      </w:r>
    </w:p>
  </w:footnote>
  <w:footnote w:id="3">
    <w:p>
      <w:pPr>
        <w:pStyle w:val="FootnoteText"/>
        <w:rPr>
          <w:lang w:val="pt-PT"/>
        </w:rPr>
      </w:pPr>
      <w:r>
        <w:rPr>
          <w:rStyle w:val="FootnoteReference"/>
        </w:rPr>
        <w:footnoteRef/>
      </w:r>
      <w:r>
        <w:t xml:space="preserve"> COM(2015) 686</w:t>
      </w:r>
    </w:p>
  </w:footnote>
  <w:footnote w:id="4">
    <w:p>
      <w:pPr>
        <w:pStyle w:val="FootnoteText"/>
      </w:pPr>
      <w:r>
        <w:rPr>
          <w:rStyle w:val="FootnoteReference"/>
        </w:rPr>
        <w:footnoteRef/>
      </w:r>
      <w:r>
        <w:t xml:space="preserve"> COM(2016) 176</w:t>
      </w:r>
    </w:p>
  </w:footnote>
  <w:footnote w:id="5">
    <w:p>
      <w:pPr>
        <w:pStyle w:val="FootnoteText"/>
      </w:pPr>
      <w:r>
        <w:rPr>
          <w:rStyle w:val="FootnoteReference"/>
        </w:rPr>
        <w:footnoteRef/>
      </w:r>
      <w:r>
        <w:t xml:space="preserve"> COM(2015) 192</w:t>
      </w:r>
    </w:p>
  </w:footnote>
  <w:footnote w:id="6">
    <w:p>
      <w:pPr>
        <w:pStyle w:val="FootnoteText"/>
      </w:pPr>
      <w:r>
        <w:rPr>
          <w:rStyle w:val="FootnoteReference"/>
        </w:rPr>
        <w:footnoteRef/>
      </w:r>
      <w:r>
        <w:t xml:space="preserve"> COM(2015) 550</w:t>
      </w:r>
    </w:p>
  </w:footnote>
  <w:footnote w:id="7">
    <w:p>
      <w:pPr>
        <w:pStyle w:val="FootnoteText"/>
      </w:pPr>
      <w:r>
        <w:rPr>
          <w:rStyle w:val="FootnoteReference"/>
        </w:rPr>
        <w:footnoteRef/>
      </w:r>
      <w:r>
        <w:t xml:space="preserve"> Fit-2 ta' Marzu 2015, il-Kunsill dwar il-Kompetittività "JISTIEDEN lill-Kummissjoni sabiex tiffinalizza r-Rieżami</w:t>
      </w:r>
    </w:p>
    <w:p>
      <w:pPr>
        <w:pStyle w:val="FootnoteText"/>
      </w:pPr>
      <w:r>
        <w:t xml:space="preserve">    Indipendenti u tanalizza l-impatt tal-istandardizzazzjoni fuq l-ekonomija filwaqt li tqis l-interessi tal-partijiet </w:t>
      </w:r>
    </w:p>
    <w:p>
      <w:pPr>
        <w:pStyle w:val="FootnoteText"/>
      </w:pPr>
      <w:r>
        <w:t xml:space="preserve">    kollha".</w:t>
      </w:r>
    </w:p>
  </w:footnote>
  <w:footnote w:id="8">
    <w:p>
      <w:pPr>
        <w:pStyle w:val="FootnoteText"/>
        <w:ind w:left="0" w:firstLine="0"/>
      </w:pPr>
      <w:r>
        <w:rPr>
          <w:rStyle w:val="FootnoteReference"/>
        </w:rPr>
        <w:footnoteRef/>
      </w:r>
      <w:r>
        <w:t xml:space="preserve"> </w:t>
      </w:r>
      <w:r>
        <w:rPr>
          <w:sz w:val="18"/>
        </w:rPr>
        <w:t xml:space="preserve">Istitut tal-Istandards Ingliż (BSI, British Standards Institution) (2015), </w:t>
      </w:r>
      <w:r>
        <w:rPr>
          <w:i/>
          <w:sz w:val="18"/>
        </w:rPr>
        <w:t>"The Economic Contribution of Standards to the UK Economy" ("Il-Kontribut Ekonomiku tal-Istandards għall-Ekonomija tar-Renju Unit";</w:t>
      </w:r>
      <w:r>
        <w:rPr>
          <w:sz w:val="18"/>
        </w:rPr>
        <w:t xml:space="preserve"> AFNOR (2016): </w:t>
      </w:r>
      <w:r>
        <w:rPr>
          <w:i/>
          <w:sz w:val="18"/>
        </w:rPr>
        <w:t>Economic impact of standardisation (L-Impatt ekonomiku tal-istandardizzazzjoni)</w:t>
      </w:r>
      <w:r>
        <w:rPr>
          <w:sz w:val="18"/>
        </w:rPr>
        <w:t xml:space="preserve">; AFNOR (2009): </w:t>
      </w:r>
      <w:r>
        <w:rPr>
          <w:i/>
          <w:sz w:val="18"/>
        </w:rPr>
        <w:t>The Economic Impact of Standardisation – Technological Change, Standards and Long-Term Growth in France (L-Impatt Ekonomiku tal-Istandardizzazzjoni - Tibdil Teknoloġiku, Standards u Tkabbir għall-Perjodu fit-Tul fi Franza)</w:t>
      </w:r>
      <w:r>
        <w:rPr>
          <w:sz w:val="18"/>
        </w:rPr>
        <w:t xml:space="preserve">.; DIN (2000): </w:t>
      </w:r>
      <w:r>
        <w:rPr>
          <w:i/>
          <w:sz w:val="18"/>
        </w:rPr>
        <w:t>Economic Benefits of Standardization (Il-Benefiċċji Ekonomiċi tal-Istandardizzazzjoni), 3 volumi. Berlin: Beuth. (Aġġornament 2011)</w:t>
      </w:r>
      <w:r>
        <w:rPr>
          <w:sz w:val="18"/>
        </w:rPr>
        <w:t xml:space="preserve">; DTI (2005): </w:t>
      </w:r>
      <w:r>
        <w:rPr>
          <w:i/>
          <w:sz w:val="18"/>
        </w:rPr>
        <w:t>The Empirical Economics of Standards (L-Ekonomija Empirika tal-Istandards), DTI ECONOMICS PAPER Nru.12. Londra</w:t>
      </w:r>
    </w:p>
  </w:footnote>
  <w:footnote w:id="9">
    <w:p>
      <w:pPr>
        <w:pStyle w:val="FootnoteText"/>
      </w:pPr>
      <w:r>
        <w:rPr>
          <w:rStyle w:val="FootnoteReference"/>
        </w:rPr>
        <w:footnoteRef/>
      </w:r>
      <w:r>
        <w:t xml:space="preserve"> Standards dwar in-Negozji ż-Żgħar     http://sbs-sme.eu/</w:t>
      </w:r>
    </w:p>
  </w:footnote>
  <w:footnote w:id="10">
    <w:p>
      <w:pPr>
        <w:pStyle w:val="FootnoteText"/>
      </w:pPr>
      <w:r>
        <w:rPr>
          <w:rStyle w:val="FootnoteReference"/>
        </w:rPr>
        <w:footnoteRef/>
      </w:r>
      <w:r>
        <w:t xml:space="preserve"> Il-leħen tal-konsumatur Ewropew fil-qasam tal-istandardizzazzjoni      http://www.anec.eu/anec.asp</w:t>
      </w:r>
    </w:p>
  </w:footnote>
  <w:footnote w:id="11">
    <w:p>
      <w:pPr>
        <w:pStyle w:val="FootnoteText"/>
      </w:pPr>
      <w:r>
        <w:rPr>
          <w:rStyle w:val="FootnoteReference"/>
        </w:rPr>
        <w:footnoteRef/>
      </w:r>
      <w:r>
        <w:t xml:space="preserve"> L-</w:t>
      </w:r>
      <w:r>
        <w:rPr>
          <w:color w:val="000000"/>
        </w:rPr>
        <w:t>Organizzazzjoni Ambjentali taċ-Ċittadini Ewropej fil-qasam tal-Istandardizzazzjoni   http://ecostandard.org/</w:t>
      </w:r>
    </w:p>
  </w:footnote>
  <w:footnote w:id="12">
    <w:p>
      <w:pPr>
        <w:pStyle w:val="FootnoteText"/>
      </w:pPr>
      <w:r>
        <w:rPr>
          <w:rStyle w:val="FootnoteReference"/>
        </w:rPr>
        <w:footnoteRef/>
      </w:r>
      <w:r>
        <w:t xml:space="preserve"> Il-Konfederazzjoni Ewropea tat-Trade Unions http://www.etuc.org/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488C"/>
    <w:multiLevelType w:val="hybridMultilevel"/>
    <w:tmpl w:val="EE9C6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2F4B22"/>
    <w:multiLevelType w:val="hybridMultilevel"/>
    <w:tmpl w:val="4BF0C372"/>
    <w:lvl w:ilvl="0" w:tplc="0809000D">
      <w:start w:val="1"/>
      <w:numFmt w:val="bullet"/>
      <w:lvlText w:val=""/>
      <w:lvlJc w:val="left"/>
      <w:pPr>
        <w:ind w:left="3479" w:hanging="360"/>
      </w:pPr>
      <w:rPr>
        <w:rFonts w:ascii="Wingdings" w:hAnsi="Wingdings" w:hint="default"/>
      </w:rPr>
    </w:lvl>
    <w:lvl w:ilvl="1" w:tplc="08090003" w:tentative="1">
      <w:start w:val="1"/>
      <w:numFmt w:val="bullet"/>
      <w:lvlText w:val="o"/>
      <w:lvlJc w:val="left"/>
      <w:pPr>
        <w:ind w:left="4199" w:hanging="360"/>
      </w:pPr>
      <w:rPr>
        <w:rFonts w:ascii="Courier New" w:hAnsi="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2">
    <w:nsid w:val="12CA7799"/>
    <w:multiLevelType w:val="hybridMultilevel"/>
    <w:tmpl w:val="027E0A6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
    <w:nsid w:val="1C3257F8"/>
    <w:multiLevelType w:val="hybridMultilevel"/>
    <w:tmpl w:val="3F72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nsid w:val="269C79B6"/>
    <w:multiLevelType w:val="hybridMultilevel"/>
    <w:tmpl w:val="3052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952D65"/>
    <w:multiLevelType w:val="hybridMultilevel"/>
    <w:tmpl w:val="83C8FE2A"/>
    <w:lvl w:ilvl="0" w:tplc="4B1E25A0">
      <w:start w:val="1"/>
      <w:numFmt w:val="bullet"/>
      <w:lvlText w:val="-"/>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64398B"/>
    <w:multiLevelType w:val="hybridMultilevel"/>
    <w:tmpl w:val="7A72D1C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8">
    <w:nsid w:val="37AB6433"/>
    <w:multiLevelType w:val="hybridMultilevel"/>
    <w:tmpl w:val="9F5AE9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8F5DA0"/>
    <w:multiLevelType w:val="hybridMultilevel"/>
    <w:tmpl w:val="165C3C3E"/>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nsid w:val="4A600493"/>
    <w:multiLevelType w:val="hybridMultilevel"/>
    <w:tmpl w:val="31388C1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1">
    <w:nsid w:val="588E7D1C"/>
    <w:multiLevelType w:val="hybridMultilevel"/>
    <w:tmpl w:val="BBDC6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604A4BE8"/>
    <w:multiLevelType w:val="hybridMultilevel"/>
    <w:tmpl w:val="7482042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nsid w:val="642E0809"/>
    <w:multiLevelType w:val="hybridMultilevel"/>
    <w:tmpl w:val="F224D5BA"/>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127DCA"/>
    <w:multiLevelType w:val="hybridMultilevel"/>
    <w:tmpl w:val="BAA014B6"/>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6B706B5B"/>
    <w:multiLevelType w:val="hybridMultilevel"/>
    <w:tmpl w:val="BAA014B6"/>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6FFE29FC"/>
    <w:multiLevelType w:val="hybridMultilevel"/>
    <w:tmpl w:val="B5E45A86"/>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9">
    <w:nsid w:val="708E4AF8"/>
    <w:multiLevelType w:val="hybridMultilevel"/>
    <w:tmpl w:val="9522CAD0"/>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0">
    <w:nsid w:val="71A775F9"/>
    <w:multiLevelType w:val="hybridMultilevel"/>
    <w:tmpl w:val="4886BD8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1">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AB53B64"/>
    <w:multiLevelType w:val="hybridMultilevel"/>
    <w:tmpl w:val="478A0AF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7BC17E68"/>
    <w:multiLevelType w:val="hybridMultilevel"/>
    <w:tmpl w:val="737A78D6"/>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4">
    <w:nsid w:val="7E1E23A8"/>
    <w:multiLevelType w:val="hybridMultilevel"/>
    <w:tmpl w:val="1CD0A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15"/>
  </w:num>
  <w:num w:numId="3">
    <w:abstractNumId w:val="15"/>
  </w:num>
  <w:num w:numId="4">
    <w:abstractNumId w:val="7"/>
  </w:num>
  <w:num w:numId="5">
    <w:abstractNumId w:val="21"/>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4"/>
  </w:num>
  <w:num w:numId="16">
    <w:abstractNumId w:val="22"/>
  </w:num>
  <w:num w:numId="17">
    <w:abstractNumId w:val="15"/>
  </w:num>
  <w:num w:numId="18">
    <w:abstractNumId w:val="15"/>
  </w:num>
  <w:num w:numId="19">
    <w:abstractNumId w:val="15"/>
  </w:num>
  <w:num w:numId="20">
    <w:abstractNumId w:val="15"/>
  </w:num>
  <w:num w:numId="21">
    <w:abstractNumId w:val="15"/>
  </w:num>
  <w:num w:numId="22">
    <w:abstractNumId w:val="13"/>
  </w:num>
  <w:num w:numId="23">
    <w:abstractNumId w:val="2"/>
  </w:num>
  <w:num w:numId="24">
    <w:abstractNumId w:val="15"/>
  </w:num>
  <w:num w:numId="25">
    <w:abstractNumId w:val="15"/>
  </w:num>
  <w:num w:numId="26">
    <w:abstractNumId w:val="18"/>
  </w:num>
  <w:num w:numId="27">
    <w:abstractNumId w:val="10"/>
  </w:num>
  <w:num w:numId="28">
    <w:abstractNumId w:val="17"/>
  </w:num>
  <w:num w:numId="29">
    <w:abstractNumId w:val="16"/>
  </w:num>
  <w:num w:numId="30">
    <w:abstractNumId w:val="15"/>
  </w:num>
  <w:num w:numId="31">
    <w:abstractNumId w:val="1"/>
  </w:num>
  <w:num w:numId="32">
    <w:abstractNumId w:val="5"/>
  </w:num>
  <w:num w:numId="33">
    <w:abstractNumId w:val="3"/>
  </w:num>
  <w:num w:numId="34">
    <w:abstractNumId w:val="15"/>
  </w:num>
  <w:num w:numId="35">
    <w:abstractNumId w:val="15"/>
  </w:num>
  <w:num w:numId="36">
    <w:abstractNumId w:val="24"/>
  </w:num>
  <w:num w:numId="37">
    <w:abstractNumId w:val="9"/>
  </w:num>
  <w:num w:numId="38">
    <w:abstractNumId w:val="8"/>
  </w:num>
  <w:num w:numId="39">
    <w:abstractNumId w:val="4"/>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B17D12E18F6418AA256905CD4B3AA47"/>
    <w:docVar w:name="LW_CROSSREFERENCE" w:val="{SWD(2016) 185 final}"/>
    <w:docVar w:name="LW_DocType" w:val="NORMAL"/>
    <w:docVar w:name="LW_EMISSION" w:val="1.6.2016"/>
    <w:docVar w:name="LW_EMISSION_ISODATE" w:val="2016-06-01"/>
    <w:docVar w:name="LW_EMISSION_LOCATION" w:val="BRX"/>
    <w:docVar w:name="LW_EMISSION_PREFIX" w:val="Brussell, "/>
    <w:docVar w:name="LW_EMISSION_SUFFIX" w:val=" "/>
    <w:docVar w:name="LW_ID_DOCTYPE_NONLW" w:val="CP-013"/>
    <w:docVar w:name="LW_LANGUE" w:val="MT"/>
    <w:docVar w:name="LW_MARKING" w:val="&lt;UNUSED&g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16) 357"/>
    <w:docVar w:name="LW_REF.INTERNE" w:val="&lt;UNUSED&gt;"/>
    <w:docVar w:name="LW_SOUS.TITRE.OBJ.CP" w:val="&lt;UNUSED&gt;"/>
    <w:docVar w:name="LW_SUPERTITRE" w:val="Pakkett tal-Istandardizzazzjoni"/>
    <w:docVar w:name="LW_TITRE.OBJ.CP" w:val="Il-programm ta' \u295?idma annwali tal-Unjoni g\u295?all-istandardizzazzjoni Ewropea g\u295?all-2017"/>
    <w:docVar w:name="LW_TYPE.DOC.CP" w:val="KOMUNIKAZZJONI TAL-KUMMISSJONI LILL-PARLAMENT EWROPEW, LILL-KUNSILL U LILL-KUMITAT EKONOMIKU U SO\u266?JALI EWROPE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SimSun" w:hAnsi="Times New Roman" w:cs="Times New Roman"/>
      <w:b/>
      <w:bCs/>
      <w:smallCaps/>
      <w:sz w:val="24"/>
      <w:szCs w:val="28"/>
    </w:rPr>
  </w:style>
  <w:style w:type="paragraph" w:styleId="Heading2">
    <w:name w:val="heading 2"/>
    <w:basedOn w:val="Normal"/>
    <w:next w:val="Text1"/>
    <w:link w:val="Heading2Char"/>
    <w:uiPriority w:val="9"/>
    <w:qFormat/>
    <w:pPr>
      <w:keepNext/>
      <w:numPr>
        <w:ilvl w:val="1"/>
        <w:numId w:val="2"/>
      </w:numPr>
      <w:spacing w:before="120" w:after="120" w:line="240" w:lineRule="auto"/>
      <w:jc w:val="both"/>
      <w:outlineLvl w:val="1"/>
    </w:pPr>
    <w:rPr>
      <w:rFonts w:ascii="Times New Roman" w:eastAsia="SimSun" w:hAnsi="Times New Roman" w:cs="Times New Roman"/>
      <w:b/>
      <w:bCs/>
      <w:sz w:val="24"/>
      <w:szCs w:val="26"/>
    </w:rPr>
  </w:style>
  <w:style w:type="paragraph" w:styleId="Heading3">
    <w:name w:val="heading 3"/>
    <w:basedOn w:val="Normal"/>
    <w:next w:val="Text1"/>
    <w:link w:val="Heading3Char"/>
    <w:uiPriority w:val="9"/>
    <w:qFormat/>
    <w:pPr>
      <w:keepNext/>
      <w:numPr>
        <w:ilvl w:val="2"/>
        <w:numId w:val="2"/>
      </w:numPr>
      <w:spacing w:before="120" w:after="120" w:line="240" w:lineRule="auto"/>
      <w:jc w:val="both"/>
      <w:outlineLvl w:val="2"/>
    </w:pPr>
    <w:rPr>
      <w:rFonts w:ascii="Times New Roman" w:eastAsia="SimSun" w:hAnsi="Times New Roman" w:cs="Times New Roman"/>
      <w:bCs/>
      <w:i/>
      <w:sz w:val="24"/>
    </w:rPr>
  </w:style>
  <w:style w:type="paragraph" w:styleId="Heading4">
    <w:name w:val="heading 4"/>
    <w:basedOn w:val="Normal"/>
    <w:next w:val="Text1"/>
    <w:link w:val="Heading4Char"/>
    <w:uiPriority w:val="9"/>
    <w:qFormat/>
    <w:pPr>
      <w:keepNext/>
      <w:numPr>
        <w:ilvl w:val="3"/>
        <w:numId w:val="2"/>
      </w:numPr>
      <w:spacing w:before="120" w:after="120" w:line="240" w:lineRule="auto"/>
      <w:jc w:val="both"/>
      <w:outlineLvl w:val="3"/>
    </w:pPr>
    <w:rPr>
      <w:rFonts w:ascii="Times New Roman" w:eastAsia="SimSun" w:hAnsi="Times New Roman" w:cs="Times New Roman"/>
      <w:bCs/>
      <w:iCs/>
      <w:sz w:val="24"/>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SimSu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SimSun" w:hAnsi="Times New Roman" w:cs="Times New Roman"/>
      <w:bCs/>
      <w:i/>
      <w:sz w:val="24"/>
    </w:rPr>
  </w:style>
  <w:style w:type="character" w:customStyle="1" w:styleId="Heading4Char">
    <w:name w:val="Heading 4 Char"/>
    <w:basedOn w:val="DefaultParagraphFont"/>
    <w:link w:val="Heading4"/>
    <w:uiPriority w:val="9"/>
    <w:rPr>
      <w:rFonts w:ascii="Times New Roman" w:eastAsia="SimSun" w:hAnsi="Times New Roman" w:cs="Times New Roman"/>
      <w:bCs/>
      <w:iCs/>
      <w:sz w:val="24"/>
    </w:rPr>
  </w:style>
  <w:style w:type="paragraph" w:customStyle="1" w:styleId="Text1">
    <w:name w:val="Text 1"/>
    <w:basedOn w:val="Normal"/>
    <w:link w:val="Text1Char"/>
    <w:pPr>
      <w:spacing w:before="120" w:after="120" w:line="240" w:lineRule="auto"/>
      <w:ind w:left="850"/>
      <w:jc w:val="both"/>
    </w:pPr>
    <w:rPr>
      <w:rFonts w:ascii="Times New Roman" w:eastAsia="Calibri" w:hAnsi="Times New Roman" w:cs="Times New Roman"/>
      <w:sz w:val="24"/>
    </w:rPr>
  </w:style>
  <w:style w:type="paragraph" w:customStyle="1" w:styleId="Bullet1">
    <w:name w:val="Bullet 1"/>
    <w:basedOn w:val="Normal"/>
    <w:pPr>
      <w:numPr>
        <w:numId w:val="1"/>
      </w:numPr>
      <w:spacing w:before="120" w:after="120" w:line="240" w:lineRule="auto"/>
      <w:jc w:val="both"/>
    </w:pPr>
    <w:rPr>
      <w:rFonts w:ascii="Times New Roman" w:eastAsia="Calibri" w:hAnsi="Times New Roman" w:cs="Times New Roman"/>
      <w:sz w:val="24"/>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rPr>
      <w:rFonts w:ascii="Times New Roman" w:eastAsia="Times New Roman" w:hAnsi="Times New Roman" w:cs="Times New Roman"/>
      <w:sz w:val="20"/>
      <w:szCs w:val="20"/>
      <w:lang w:eastAsia="mt-MT"/>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ootnote s,FR"/>
    <w:link w:val="FootnotesymbolCarZchn"/>
    <w:uiPriority w:val="99"/>
    <w:qFormat/>
    <w:rPr>
      <w:shd w:val="clear" w:color="auto" w:fill="auto"/>
      <w:vertAlign w:val="superscript"/>
    </w:rPr>
  </w:style>
  <w:style w:type="character" w:customStyle="1" w:styleId="Text1Char">
    <w:name w:val="Text 1 Char"/>
    <w:link w:val="Text1"/>
    <w:uiPriority w:val="99"/>
    <w:locked/>
    <w:rPr>
      <w:rFonts w:ascii="Times New Roman" w:eastAsia="Calibri" w:hAnsi="Times New Roman" w:cs="Times New Roman"/>
      <w:sz w:val="24"/>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ListParagraph">
    <w:name w:val="List Paragraph"/>
    <w:basedOn w:val="Normal"/>
    <w:uiPriority w:val="34"/>
    <w:qFormat/>
    <w:pPr>
      <w:ind w:left="720"/>
      <w:contextualSpacing/>
    </w:p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paragraph" w:customStyle="1" w:styleId="ListDash4">
    <w:name w:val="List Dash 4"/>
    <w:basedOn w:val="Normal"/>
    <w:pPr>
      <w:numPr>
        <w:numId w:val="39"/>
      </w:numPr>
      <w:spacing w:after="240" w:line="240" w:lineRule="auto"/>
      <w:jc w:val="both"/>
    </w:pPr>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SimSun" w:hAnsi="Times New Roman" w:cs="Times New Roman"/>
      <w:b/>
      <w:bCs/>
      <w:smallCaps/>
      <w:sz w:val="24"/>
      <w:szCs w:val="28"/>
    </w:rPr>
  </w:style>
  <w:style w:type="paragraph" w:styleId="Heading2">
    <w:name w:val="heading 2"/>
    <w:basedOn w:val="Normal"/>
    <w:next w:val="Text1"/>
    <w:link w:val="Heading2Char"/>
    <w:uiPriority w:val="9"/>
    <w:qFormat/>
    <w:pPr>
      <w:keepNext/>
      <w:numPr>
        <w:ilvl w:val="1"/>
        <w:numId w:val="2"/>
      </w:numPr>
      <w:spacing w:before="120" w:after="120" w:line="240" w:lineRule="auto"/>
      <w:jc w:val="both"/>
      <w:outlineLvl w:val="1"/>
    </w:pPr>
    <w:rPr>
      <w:rFonts w:ascii="Times New Roman" w:eastAsia="SimSun" w:hAnsi="Times New Roman" w:cs="Times New Roman"/>
      <w:b/>
      <w:bCs/>
      <w:sz w:val="24"/>
      <w:szCs w:val="26"/>
    </w:rPr>
  </w:style>
  <w:style w:type="paragraph" w:styleId="Heading3">
    <w:name w:val="heading 3"/>
    <w:basedOn w:val="Normal"/>
    <w:next w:val="Text1"/>
    <w:link w:val="Heading3Char"/>
    <w:uiPriority w:val="9"/>
    <w:qFormat/>
    <w:pPr>
      <w:keepNext/>
      <w:numPr>
        <w:ilvl w:val="2"/>
        <w:numId w:val="2"/>
      </w:numPr>
      <w:spacing w:before="120" w:after="120" w:line="240" w:lineRule="auto"/>
      <w:jc w:val="both"/>
      <w:outlineLvl w:val="2"/>
    </w:pPr>
    <w:rPr>
      <w:rFonts w:ascii="Times New Roman" w:eastAsia="SimSun" w:hAnsi="Times New Roman" w:cs="Times New Roman"/>
      <w:bCs/>
      <w:i/>
      <w:sz w:val="24"/>
    </w:rPr>
  </w:style>
  <w:style w:type="paragraph" w:styleId="Heading4">
    <w:name w:val="heading 4"/>
    <w:basedOn w:val="Normal"/>
    <w:next w:val="Text1"/>
    <w:link w:val="Heading4Char"/>
    <w:uiPriority w:val="9"/>
    <w:qFormat/>
    <w:pPr>
      <w:keepNext/>
      <w:numPr>
        <w:ilvl w:val="3"/>
        <w:numId w:val="2"/>
      </w:numPr>
      <w:spacing w:before="120" w:after="120" w:line="240" w:lineRule="auto"/>
      <w:jc w:val="both"/>
      <w:outlineLvl w:val="3"/>
    </w:pPr>
    <w:rPr>
      <w:rFonts w:ascii="Times New Roman" w:eastAsia="SimSun" w:hAnsi="Times New Roman" w:cs="Times New Roman"/>
      <w:bCs/>
      <w:iCs/>
      <w:sz w:val="24"/>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SimSu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SimSun" w:hAnsi="Times New Roman" w:cs="Times New Roman"/>
      <w:bCs/>
      <w:i/>
      <w:sz w:val="24"/>
    </w:rPr>
  </w:style>
  <w:style w:type="character" w:customStyle="1" w:styleId="Heading4Char">
    <w:name w:val="Heading 4 Char"/>
    <w:basedOn w:val="DefaultParagraphFont"/>
    <w:link w:val="Heading4"/>
    <w:uiPriority w:val="9"/>
    <w:rPr>
      <w:rFonts w:ascii="Times New Roman" w:eastAsia="SimSun" w:hAnsi="Times New Roman" w:cs="Times New Roman"/>
      <w:bCs/>
      <w:iCs/>
      <w:sz w:val="24"/>
    </w:rPr>
  </w:style>
  <w:style w:type="paragraph" w:customStyle="1" w:styleId="Text1">
    <w:name w:val="Text 1"/>
    <w:basedOn w:val="Normal"/>
    <w:link w:val="Text1Char"/>
    <w:pPr>
      <w:spacing w:before="120" w:after="120" w:line="240" w:lineRule="auto"/>
      <w:ind w:left="850"/>
      <w:jc w:val="both"/>
    </w:pPr>
    <w:rPr>
      <w:rFonts w:ascii="Times New Roman" w:eastAsia="Calibri" w:hAnsi="Times New Roman" w:cs="Times New Roman"/>
      <w:sz w:val="24"/>
    </w:rPr>
  </w:style>
  <w:style w:type="paragraph" w:customStyle="1" w:styleId="Bullet1">
    <w:name w:val="Bullet 1"/>
    <w:basedOn w:val="Normal"/>
    <w:pPr>
      <w:numPr>
        <w:numId w:val="1"/>
      </w:numPr>
      <w:spacing w:before="120" w:after="120" w:line="240" w:lineRule="auto"/>
      <w:jc w:val="both"/>
    </w:pPr>
    <w:rPr>
      <w:rFonts w:ascii="Times New Roman" w:eastAsia="Calibri" w:hAnsi="Times New Roman" w:cs="Times New Roman"/>
      <w:sz w:val="24"/>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
    <w:basedOn w:val="Normal"/>
    <w:link w:val="FootnoteTextChar"/>
    <w:uiPriority w:val="99"/>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rPr>
      <w:rFonts w:ascii="Times New Roman" w:eastAsia="Times New Roman" w:hAnsi="Times New Roman" w:cs="Times New Roman"/>
      <w:sz w:val="20"/>
      <w:szCs w:val="20"/>
      <w:lang w:eastAsia="mt-MT"/>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ootnote s,FR"/>
    <w:link w:val="FootnotesymbolCarZchn"/>
    <w:uiPriority w:val="99"/>
    <w:qFormat/>
    <w:rPr>
      <w:shd w:val="clear" w:color="auto" w:fill="auto"/>
      <w:vertAlign w:val="superscript"/>
    </w:rPr>
  </w:style>
  <w:style w:type="character" w:customStyle="1" w:styleId="Text1Char">
    <w:name w:val="Text 1 Char"/>
    <w:link w:val="Text1"/>
    <w:uiPriority w:val="99"/>
    <w:locked/>
    <w:rPr>
      <w:rFonts w:ascii="Times New Roman" w:eastAsia="Calibri" w:hAnsi="Times New Roman" w:cs="Times New Roman"/>
      <w:sz w:val="24"/>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ListParagraph">
    <w:name w:val="List Paragraph"/>
    <w:basedOn w:val="Normal"/>
    <w:uiPriority w:val="34"/>
    <w:qFormat/>
    <w:pPr>
      <w:ind w:left="720"/>
      <w:contextualSpacing/>
    </w:p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paragraph" w:customStyle="1" w:styleId="ListDash4">
    <w:name w:val="List Dash 4"/>
    <w:basedOn w:val="Normal"/>
    <w:pPr>
      <w:numPr>
        <w:numId w:val="39"/>
      </w:numPr>
      <w:spacing w:after="240" w:line="240" w:lineRule="auto"/>
      <w:jc w:val="both"/>
    </w:pPr>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177">
      <w:bodyDiv w:val="1"/>
      <w:marLeft w:val="0"/>
      <w:marRight w:val="0"/>
      <w:marTop w:val="0"/>
      <w:marBottom w:val="0"/>
      <w:divBdr>
        <w:top w:val="none" w:sz="0" w:space="0" w:color="auto"/>
        <w:left w:val="none" w:sz="0" w:space="0" w:color="auto"/>
        <w:bottom w:val="none" w:sz="0" w:space="0" w:color="auto"/>
        <w:right w:val="none" w:sz="0" w:space="0" w:color="auto"/>
      </w:divBdr>
    </w:div>
    <w:div w:id="123276058">
      <w:bodyDiv w:val="1"/>
      <w:marLeft w:val="0"/>
      <w:marRight w:val="0"/>
      <w:marTop w:val="0"/>
      <w:marBottom w:val="0"/>
      <w:divBdr>
        <w:top w:val="none" w:sz="0" w:space="0" w:color="auto"/>
        <w:left w:val="none" w:sz="0" w:space="0" w:color="auto"/>
        <w:bottom w:val="none" w:sz="0" w:space="0" w:color="auto"/>
        <w:right w:val="none" w:sz="0" w:space="0" w:color="auto"/>
      </w:divBdr>
    </w:div>
    <w:div w:id="140125162">
      <w:bodyDiv w:val="1"/>
      <w:marLeft w:val="0"/>
      <w:marRight w:val="0"/>
      <w:marTop w:val="0"/>
      <w:marBottom w:val="0"/>
      <w:divBdr>
        <w:top w:val="none" w:sz="0" w:space="0" w:color="auto"/>
        <w:left w:val="none" w:sz="0" w:space="0" w:color="auto"/>
        <w:bottom w:val="none" w:sz="0" w:space="0" w:color="auto"/>
        <w:right w:val="none" w:sz="0" w:space="0" w:color="auto"/>
      </w:divBdr>
    </w:div>
    <w:div w:id="479006380">
      <w:bodyDiv w:val="1"/>
      <w:marLeft w:val="0"/>
      <w:marRight w:val="0"/>
      <w:marTop w:val="0"/>
      <w:marBottom w:val="0"/>
      <w:divBdr>
        <w:top w:val="none" w:sz="0" w:space="0" w:color="auto"/>
        <w:left w:val="none" w:sz="0" w:space="0" w:color="auto"/>
        <w:bottom w:val="none" w:sz="0" w:space="0" w:color="auto"/>
        <w:right w:val="none" w:sz="0" w:space="0" w:color="auto"/>
      </w:divBdr>
    </w:div>
    <w:div w:id="610862180">
      <w:bodyDiv w:val="1"/>
      <w:marLeft w:val="0"/>
      <w:marRight w:val="0"/>
      <w:marTop w:val="0"/>
      <w:marBottom w:val="0"/>
      <w:divBdr>
        <w:top w:val="none" w:sz="0" w:space="0" w:color="auto"/>
        <w:left w:val="none" w:sz="0" w:space="0" w:color="auto"/>
        <w:bottom w:val="none" w:sz="0" w:space="0" w:color="auto"/>
        <w:right w:val="none" w:sz="0" w:space="0" w:color="auto"/>
      </w:divBdr>
    </w:div>
    <w:div w:id="714819250">
      <w:bodyDiv w:val="1"/>
      <w:marLeft w:val="0"/>
      <w:marRight w:val="0"/>
      <w:marTop w:val="0"/>
      <w:marBottom w:val="0"/>
      <w:divBdr>
        <w:top w:val="none" w:sz="0" w:space="0" w:color="auto"/>
        <w:left w:val="none" w:sz="0" w:space="0" w:color="auto"/>
        <w:bottom w:val="none" w:sz="0" w:space="0" w:color="auto"/>
        <w:right w:val="none" w:sz="0" w:space="0" w:color="auto"/>
      </w:divBdr>
    </w:div>
    <w:div w:id="762989725">
      <w:bodyDiv w:val="1"/>
      <w:marLeft w:val="0"/>
      <w:marRight w:val="0"/>
      <w:marTop w:val="0"/>
      <w:marBottom w:val="0"/>
      <w:divBdr>
        <w:top w:val="none" w:sz="0" w:space="0" w:color="auto"/>
        <w:left w:val="none" w:sz="0" w:space="0" w:color="auto"/>
        <w:bottom w:val="none" w:sz="0" w:space="0" w:color="auto"/>
        <w:right w:val="none" w:sz="0" w:space="0" w:color="auto"/>
      </w:divBdr>
    </w:div>
    <w:div w:id="1306859233">
      <w:bodyDiv w:val="1"/>
      <w:marLeft w:val="0"/>
      <w:marRight w:val="0"/>
      <w:marTop w:val="0"/>
      <w:marBottom w:val="0"/>
      <w:divBdr>
        <w:top w:val="none" w:sz="0" w:space="0" w:color="auto"/>
        <w:left w:val="none" w:sz="0" w:space="0" w:color="auto"/>
        <w:bottom w:val="none" w:sz="0" w:space="0" w:color="auto"/>
        <w:right w:val="none" w:sz="0" w:space="0" w:color="auto"/>
      </w:divBdr>
    </w:div>
    <w:div w:id="1783643171">
      <w:bodyDiv w:val="1"/>
      <w:marLeft w:val="0"/>
      <w:marRight w:val="0"/>
      <w:marTop w:val="0"/>
      <w:marBottom w:val="0"/>
      <w:divBdr>
        <w:top w:val="none" w:sz="0" w:space="0" w:color="auto"/>
        <w:left w:val="none" w:sz="0" w:space="0" w:color="auto"/>
        <w:bottom w:val="none" w:sz="0" w:space="0" w:color="auto"/>
        <w:right w:val="none" w:sz="0" w:space="0" w:color="auto"/>
      </w:divBdr>
    </w:div>
    <w:div w:id="2044480810">
      <w:bodyDiv w:val="1"/>
      <w:marLeft w:val="0"/>
      <w:marRight w:val="0"/>
      <w:marTop w:val="0"/>
      <w:marBottom w:val="0"/>
      <w:divBdr>
        <w:top w:val="none" w:sz="0" w:space="0" w:color="auto"/>
        <w:left w:val="none" w:sz="0" w:space="0" w:color="auto"/>
        <w:bottom w:val="none" w:sz="0" w:space="0" w:color="auto"/>
        <w:right w:val="none" w:sz="0" w:space="0" w:color="auto"/>
      </w:divBdr>
    </w:div>
    <w:div w:id="21295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B0AE-2DC9-454F-B67A-868B067D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2329</Words>
  <Characters>18869</Characters>
  <Application>Microsoft Office Word</Application>
  <DocSecurity>0</DocSecurity>
  <Lines>309</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2016-05-13T14:43:00Z</cp:lastPrinted>
  <dcterms:created xsi:type="dcterms:W3CDTF">2016-05-31T09:30:00Z</dcterms:created>
  <dcterms:modified xsi:type="dcterms:W3CDTF">2016-06-10T13:27:00Z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