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alt="765DDAD4EFB14E73A81E031170C1835A" style="width:450.75pt;height:334.5pt">
            <v:imagedata r:id="rId9" o:title=""/>
          </v:shape>
        </w:pict>
      </w:r>
    </w:p>
    <w:bookmarkEnd w:id="0"/>
    <w:p>
      <w:pPr>
        <w:spacing w:after="240"/>
        <w:rPr>
          <w:rFonts w:ascii="Times New Roman" w:hAnsi="Times New Roman"/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>
      <w:pPr>
        <w:keepNext/>
        <w:tabs>
          <w:tab w:val="left" w:pos="850"/>
        </w:tabs>
        <w:spacing w:after="240" w:line="240" w:lineRule="auto"/>
        <w:ind w:left="567" w:hanging="567"/>
        <w:jc w:val="both"/>
        <w:outlineLvl w:val="0"/>
        <w:rPr>
          <w:rFonts w:ascii="Times New Roman" w:eastAsia="Times New Roman" w:hAnsi="Times New Roman"/>
          <w:b/>
          <w:smallCaps/>
          <w:noProof/>
          <w:sz w:val="24"/>
          <w:szCs w:val="24"/>
        </w:rPr>
      </w:pPr>
      <w:bookmarkStart w:id="1" w:name="_GoBack"/>
      <w:bookmarkEnd w:id="1"/>
      <w:r>
        <w:rPr>
          <w:rFonts w:ascii="Times New Roman" w:hAnsi="Times New Roman"/>
          <w:b/>
          <w:smallCaps/>
          <w:noProof/>
          <w:sz w:val="24"/>
        </w:rPr>
        <w:lastRenderedPageBreak/>
        <w:t>1.</w:t>
      </w:r>
      <w:r>
        <w:rPr>
          <w:noProof/>
        </w:rPr>
        <w:tab/>
      </w:r>
      <w:r>
        <w:rPr>
          <w:rFonts w:ascii="Times New Roman" w:hAnsi="Times New Roman"/>
          <w:b/>
          <w:smallCaps/>
          <w:noProof/>
          <w:sz w:val="24"/>
        </w:rPr>
        <w:t>Introduzzjoni</w:t>
      </w:r>
    </w:p>
    <w:p>
      <w:pPr>
        <w:keepNext/>
        <w:tabs>
          <w:tab w:val="left" w:pos="850"/>
        </w:tabs>
        <w:spacing w:after="240" w:line="240" w:lineRule="auto"/>
        <w:ind w:left="567" w:hanging="567"/>
        <w:jc w:val="both"/>
        <w:outlineLvl w:val="1"/>
        <w:rPr>
          <w:rFonts w:ascii="Times New Roman" w:eastAsia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1.1.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Sfond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Ir-Regolament (UE) Nru 1177/2010</w:t>
      </w:r>
      <w:r>
        <w:rPr>
          <w:rStyle w:val="FootnoteReference"/>
          <w:noProof/>
        </w:rPr>
        <w:footnoteReference w:id="2"/>
      </w:r>
      <w:r>
        <w:rPr>
          <w:rFonts w:ascii="Times New Roman" w:hAnsi="Times New Roman"/>
          <w:noProof/>
          <w:sz w:val="24"/>
        </w:rPr>
        <w:t xml:space="preserve"> ("ir-Regolament") li għandu l-għan li jiżgura l-protezzjoni bażika tal-passiġġieri li jivvjaġġaw bil-baħar u minn passaġġi fuq l-ilma interni b'servizzi ta' trasport tal-passiġġieri jew kruċieri, daħal fis-seħħ fit-18 ta' Diċembru 2012.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Il-Kummissjoni qed tippreżenta dan ir-rapport skont l-Artikolu 29 tar-Regolament, li jirrikjedi rapport lill-Parlament Ewropew u lill-Kunsill dwar l-operat u l-effetti tar-Regolament, u jekk ikun hemm bżonn, anke proposti leġiżlattivi biex jimplimentaw b'mod aktar iddettaljat id-dispożizzjonijiet tiegħu jew biex jiġi emendat.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Ir-rapport huwa bbażat fuq l-input kwantitattiv u kwalitattiv tar-rapporti tal-awtoritajiet nazzjonali dwar l-eżekuzzjoni tar-Regolament</w:t>
      </w:r>
      <w:r>
        <w:rPr>
          <w:rStyle w:val="FootnoteReference"/>
          <w:noProof/>
        </w:rPr>
        <w:footnoteReference w:id="3"/>
      </w:r>
      <w:r>
        <w:rPr>
          <w:rFonts w:ascii="Times New Roman" w:hAnsi="Times New Roman"/>
          <w:noProof/>
          <w:sz w:val="24"/>
        </w:rPr>
        <w:t xml:space="preserve"> fil-perjodu 2013-2014 u l-konsultazzjoni tal-partijiet ikkonċernati li jirrappreżentaw il-passiġġieri u l-industrija fil-livell Ewropew</w:t>
      </w:r>
      <w:r>
        <w:rPr>
          <w:rStyle w:val="FootnoteReference"/>
          <w:noProof/>
        </w:rPr>
        <w:footnoteReference w:id="4"/>
      </w:r>
      <w:r>
        <w:rPr>
          <w:noProof/>
        </w:rPr>
        <w:t>.</w:t>
      </w:r>
    </w:p>
    <w:p>
      <w:pPr>
        <w:keepNext/>
        <w:spacing w:after="240" w:line="240" w:lineRule="auto"/>
        <w:ind w:left="567" w:hanging="567"/>
        <w:jc w:val="both"/>
        <w:outlineLvl w:val="1"/>
        <w:rPr>
          <w:rFonts w:ascii="Times New Roman" w:eastAsia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 xml:space="preserve">1.2. 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Importanza u karatteristiċi tas-setturi tal-UE tat-trasport marittimu u minn passaġġi fuq l-ilma interni tal-passiġġieri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It-trasport marittimu jirrappreżenta kważi s-suq kollu tat-trasport tal-passiġġieri bid-dgħajjes fl-UE. It-trasport bil-passaġġi fuq l-ilma interni jirrappreżenta anqas minn 1% tas-suq</w:t>
      </w:r>
      <w:r>
        <w:rPr>
          <w:rStyle w:val="FootnoteReference"/>
          <w:rFonts w:ascii="Times New Roman" w:hAnsi="Times New Roman"/>
          <w:noProof/>
          <w:sz w:val="24"/>
        </w:rPr>
        <w:footnoteReference w:id="5"/>
      </w:r>
      <w:r>
        <w:rPr>
          <w:noProof/>
        </w:rPr>
        <w:t>.</w:t>
      </w:r>
    </w:p>
    <w:p>
      <w:pPr>
        <w:spacing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Ir-Regolament jiddistingwi bejn servizzi ta' trasport kummerċjali tal-passiġġieri u servizzi tal-kruċieri, u jirrifletti l-karatteristiċi differenti tagħhom fil-kamp ta' applikazzjoni tad-drittijiet li jagħti lill-passiġġieri:</w:t>
      </w:r>
    </w:p>
    <w:p>
      <w:pPr>
        <w:pStyle w:val="ListParagraph"/>
        <w:numPr>
          <w:ilvl w:val="0"/>
          <w:numId w:val="38"/>
        </w:numPr>
        <w:spacing w:after="120"/>
        <w:ind w:left="567" w:hanging="567"/>
        <w:contextualSpacing w:val="0"/>
        <w:jc w:val="both"/>
        <w:rPr>
          <w:noProof/>
        </w:rPr>
      </w:pPr>
      <w:r>
        <w:rPr>
          <w:i/>
          <w:noProof/>
        </w:rPr>
        <w:t>Is-servizzi ta' trasport kummerċjali tal-passiġġieri</w:t>
      </w:r>
      <w:r>
        <w:rPr>
          <w:noProof/>
        </w:rPr>
        <w:t xml:space="preserve"> huma servizzi ta' trasport tal-passiġġieri li jsiru bejn il-portijiet skont skeda ppubblikata. Dawn jammontaw għal 96,5% tas-suq marittimu tal-passiġġieri: fl-2013, 193 miljun passiġġier użaw il-laneċ marittimi u servizzi oħra regolari tat-trasport marittimu</w:t>
      </w:r>
      <w:r>
        <w:rPr>
          <w:rStyle w:val="FootnoteReference"/>
          <w:noProof/>
        </w:rPr>
        <w:footnoteReference w:id="6"/>
      </w:r>
      <w:r>
        <w:rPr>
          <w:noProof/>
        </w:rPr>
        <w:t xml:space="preserve">. It-traffiku marittimu intensiv tal-passiġġieri huwa essenzjali jekk l-arċipelagi, il-ġżejjer u r-reġjuni l-aktar mbiegħda u ultraperiferiċi tal-Istati Membri jridu jkunu parti min-nisġa soċjali u ekonomika tal-UE. </w:t>
      </w:r>
      <w:r>
        <w:rPr>
          <w:noProof/>
        </w:rPr>
        <w:lastRenderedPageBreak/>
        <w:t>F'xi każijiet (eż. il-gżejjer żgħar mingħajr konnessjoni tat-trasport bl-ajru) ma jkunx hemm għażla oħra ħlief it-trasport marittimu u għaldaqstant iċ-ċittadini jridu jivvjaġġaw bil-vapur, skont il-kundizzjonijiet li jimponi l-operatur tat-trasport.</w:t>
      </w:r>
    </w:p>
    <w:p>
      <w:pPr>
        <w:pStyle w:val="ListParagraph"/>
        <w:numPr>
          <w:ilvl w:val="0"/>
          <w:numId w:val="38"/>
        </w:numPr>
        <w:spacing w:after="240"/>
        <w:ind w:left="567" w:hanging="567"/>
        <w:jc w:val="both"/>
        <w:rPr>
          <w:noProof/>
        </w:rPr>
      </w:pPr>
      <w:r>
        <w:rPr>
          <w:i/>
          <w:noProof/>
        </w:rPr>
        <w:t>Il-kruċieri</w:t>
      </w:r>
      <w:r>
        <w:rPr>
          <w:noProof/>
        </w:rPr>
        <w:t xml:space="preserve"> huma servizzi fuq l-ilma operati biss għal skopijiet ta' divertiment jew rikreazzjoni, li jiġu ssupplimentati b'akkomodazzjoni u b'faċilitajiet oħra, li jinkludu aktar minn żewġt iljieli abbord. Fl-2013, l-għadd ta' passiġġieri tal-kruċieri laħaq kważi s-7 miljuni, jiġifieri madwar 3,5% tas-suq</w:t>
      </w:r>
      <w:r>
        <w:rPr>
          <w:rStyle w:val="FootnoteReference"/>
          <w:noProof/>
        </w:rPr>
        <w:footnoteReference w:id="7"/>
      </w:r>
      <w:r>
        <w:rPr>
          <w:noProof/>
        </w:rPr>
        <w:t>. L-industrija tal-kruċieri taqa' fil-parti lussuża tas-settur marittimu; il-vapuri joffru l-istess infrastruttura li toffri lukanda, jipprovdu attivitajiet ta' divertiment u ta' spiss jieħdu lura l-passiġġieri fil-port tat-tluq.</w:t>
      </w:r>
    </w:p>
    <w:p>
      <w:pPr>
        <w:keepNext/>
        <w:tabs>
          <w:tab w:val="left" w:pos="850"/>
        </w:tabs>
        <w:spacing w:after="240" w:line="240" w:lineRule="auto"/>
        <w:ind w:left="567" w:hanging="567"/>
        <w:jc w:val="both"/>
        <w:outlineLvl w:val="1"/>
        <w:rPr>
          <w:rFonts w:ascii="Times New Roman" w:eastAsia="Times New Roman" w:hAnsi="Times New Roman"/>
          <w:b/>
          <w:smallCaps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2.</w:t>
      </w:r>
      <w:r>
        <w:rPr>
          <w:noProof/>
        </w:rPr>
        <w:tab/>
      </w:r>
      <w:r>
        <w:rPr>
          <w:rFonts w:ascii="Times New Roman" w:hAnsi="Times New Roman"/>
          <w:b/>
          <w:smallCaps/>
          <w:noProof/>
          <w:sz w:val="24"/>
        </w:rPr>
        <w:t>L-għanijiet, il-kamp ta' applikazzjoni u l-kontenut tar-Regolament</w:t>
      </w:r>
    </w:p>
    <w:p>
      <w:pPr>
        <w:keepNext/>
        <w:tabs>
          <w:tab w:val="left" w:pos="850"/>
        </w:tabs>
        <w:spacing w:after="240" w:line="240" w:lineRule="auto"/>
        <w:ind w:left="567" w:hanging="567"/>
        <w:jc w:val="both"/>
        <w:outlineLvl w:val="1"/>
        <w:rPr>
          <w:rFonts w:ascii="Times New Roman" w:eastAsia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 xml:space="preserve">2. 1 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L-għanijiet tar-Regolament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Il-leġiżlaturi tal-Unjoni adottaw regoli dwar id-drittijiet tal-passiġġieri għall-mezzi kollha ta' trasport (it-trasport bl-ajru, bil-ferrovija, fuq l-ilma u bil-karozza tal-linja/bil-kowċ) sabiex iċ-ċittadini jkollhom livell minimu ta' protezzjoni meta jivvjaġġaw fl-Ewropa u għalhekk tiġi ffaċilitata l-mobilità u l-integrazzjoni soċjali. L-eżistenza ta' sett komuni ta' drittijiet tal-passiġġieri ggarantiti mil-liġi għall-erba' mezzi ta' trasport (b'dispożizzjonijiet speċifiċi li jirriflettu l-karatteristiċi modali ta' kull mezz ta' trasport, suq u passiġġier</w:t>
      </w:r>
      <w:r>
        <w:rPr>
          <w:rFonts w:ascii="Times New Roman" w:hAnsi="Times New Roman"/>
          <w:noProof/>
          <w:sz w:val="24"/>
          <w:vertAlign w:val="superscript"/>
        </w:rPr>
        <w:footnoteReference w:id="8"/>
      </w:r>
      <w:r>
        <w:rPr>
          <w:rFonts w:ascii="Times New Roman" w:hAnsi="Times New Roman"/>
          <w:noProof/>
          <w:sz w:val="24"/>
        </w:rPr>
        <w:t>) tgħin biex toħloq kundizzjonijiet ekwi</w:t>
      </w:r>
      <w:r>
        <w:rPr>
          <w:noProof/>
        </w:rPr>
        <w:noBreakHyphen/>
      </w:r>
      <w:r>
        <w:rPr>
          <w:rFonts w:ascii="Times New Roman" w:hAnsi="Times New Roman"/>
          <w:noProof/>
          <w:sz w:val="24"/>
        </w:rPr>
        <w:t xml:space="preserve"> għall-operaturi fil-mezzi ta' trasport u bejniethom. </w:t>
      </w:r>
    </w:p>
    <w:p>
      <w:pPr>
        <w:keepNext/>
        <w:tabs>
          <w:tab w:val="left" w:pos="850"/>
        </w:tabs>
        <w:spacing w:after="240" w:line="240" w:lineRule="auto"/>
        <w:ind w:left="567" w:hanging="567"/>
        <w:jc w:val="both"/>
        <w:outlineLvl w:val="1"/>
        <w:rPr>
          <w:rFonts w:ascii="Times New Roman" w:eastAsia="Times New Roman" w:hAnsi="Times New Roman"/>
          <w:b/>
          <w:noProof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b/>
          <w:noProof/>
          <w:color w:val="0D0D0D" w:themeColor="text1" w:themeTint="F2"/>
          <w:sz w:val="24"/>
        </w:rPr>
        <w:t xml:space="preserve">2.2 </w:t>
      </w:r>
      <w:r>
        <w:rPr>
          <w:noProof/>
        </w:rPr>
        <w:tab/>
      </w:r>
      <w:r>
        <w:rPr>
          <w:rFonts w:ascii="Times New Roman" w:hAnsi="Times New Roman"/>
          <w:b/>
          <w:noProof/>
          <w:color w:val="0D0D0D" w:themeColor="text1" w:themeTint="F2"/>
          <w:sz w:val="24"/>
        </w:rPr>
        <w:t>Il-kamp ta' applikazzjoni u l-kontenut tar-Regolament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i/>
          <w:noProof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i/>
          <w:noProof/>
          <w:color w:val="0D0D0D" w:themeColor="text1" w:themeTint="F2"/>
          <w:sz w:val="24"/>
        </w:rPr>
        <w:t xml:space="preserve">Il-kamp ta' applikazzjoni 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noProof/>
          <w:color w:val="0D0D0D" w:themeColor="text1" w:themeTint="F2"/>
          <w:sz w:val="24"/>
        </w:rPr>
        <w:t xml:space="preserve">B'ċerti eċċezzjonijiet, </w:t>
      </w:r>
      <w:r>
        <w:rPr>
          <w:rStyle w:val="FootnoteReference"/>
          <w:rFonts w:ascii="Times New Roman" w:hAnsi="Times New Roman"/>
          <w:noProof/>
          <w:color w:val="0D0D0D" w:themeColor="text1" w:themeTint="F2"/>
          <w:sz w:val="24"/>
        </w:rPr>
        <w:footnoteReference w:id="9"/>
      </w:r>
      <w:r>
        <w:rPr>
          <w:rFonts w:ascii="Times New Roman" w:hAnsi="Times New Roman"/>
          <w:noProof/>
          <w:color w:val="0D0D0D" w:themeColor="text1" w:themeTint="F2"/>
          <w:sz w:val="24"/>
        </w:rPr>
        <w:t>ir-Regolament japplika għas-servizzi ta' trasport marittimu tal-passiġġieri u minn passaggi fuq l-ilma interni operati minn portijiet fl-UE jew lejhom u lejn servizzi tal-kruċieri b'port ta' imbark fl-UE.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noProof/>
          <w:color w:val="0D0D0D" w:themeColor="text1" w:themeTint="F2"/>
          <w:sz w:val="24"/>
        </w:rPr>
        <w:t>Sat-18 ta' Diċembru 2014, l-Istati Membri kienu jistgħu jeżentaw mill-applikazzjoni tar-Regolament il-vapuri tal-baħar ta' inqas minn 300 tunnellata grossa li jintużaw fit-trasport domestiku, sakemm id-drittijiet tal-passiġġieri jkunu garantiti b'mod xieraq mil-liġi nazzjonali. L-ebda Stat Membru ma uża din l-eżenzjoni.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noProof/>
          <w:color w:val="0D0D0D" w:themeColor="text1" w:themeTint="F2"/>
          <w:sz w:val="24"/>
        </w:rPr>
        <w:t>L-Istati Membri jistgħu jiddeċiedu li ma japplikawx ir-Regolament għas-servizzi ta' trasport tal-passiġġieri koperti mill-obbligi ta' servizz pubbliku, mill-kuntratti ta' servizz pubbliku jew mis-servizzi integrati jekk jiżguraw li d-drittijiet skont ir-Regolament huma ggarantiti b'mod komparabbli mil-liġi nazzjonali. L-ebda Stat Membru ma uża din l-eżenzjoni.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i/>
          <w:noProof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i/>
          <w:noProof/>
          <w:color w:val="0D0D0D" w:themeColor="text1" w:themeTint="F2"/>
          <w:sz w:val="24"/>
        </w:rPr>
        <w:t xml:space="preserve">Kontenut </w:t>
      </w:r>
    </w:p>
    <w:p>
      <w:pPr>
        <w:spacing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Bħad-drittijiet tal-passiġġieri applikabbli għal mezzi oħra ta' trasport, id-drittijiet tal-passiġġieri fuq l-ilma huma bbażati fuq erba' prinċipji:</w:t>
      </w:r>
    </w:p>
    <w:p>
      <w:pPr>
        <w:spacing w:after="120" w:line="240" w:lineRule="auto"/>
        <w:ind w:left="567" w:hanging="567"/>
        <w:jc w:val="both"/>
        <w:rPr>
          <w:rFonts w:ascii="Times New Roman" w:eastAsia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</w:rPr>
        <w:t xml:space="preserve">a) </w:t>
      </w:r>
      <w:r>
        <w:rPr>
          <w:noProof/>
        </w:rPr>
        <w:tab/>
      </w:r>
      <w:r>
        <w:rPr>
          <w:rFonts w:ascii="Times New Roman" w:hAnsi="Times New Roman"/>
          <w:i/>
          <w:noProof/>
          <w:sz w:val="24"/>
        </w:rPr>
        <w:t>Nondiskriminazzjoni abbażi tan-nazzjonalità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L-ebda passiġġier ma għandu jkun direttament jew indirettament diskriminat abbażi tan-nazzjonalità tiegħu meta jixtri biljetti għas-servizzi ta' trasport tal-passiġġieri fuq l-ilma u għall-kruċieri.</w:t>
      </w:r>
    </w:p>
    <w:p>
      <w:pPr>
        <w:spacing w:after="120" w:line="240" w:lineRule="auto"/>
        <w:ind w:left="567" w:hanging="567"/>
        <w:jc w:val="both"/>
        <w:rPr>
          <w:rFonts w:ascii="Times New Roman" w:eastAsia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</w:rPr>
        <w:t xml:space="preserve">b) </w:t>
      </w:r>
      <w:r>
        <w:rPr>
          <w:noProof/>
        </w:rPr>
        <w:tab/>
      </w:r>
      <w:r>
        <w:rPr>
          <w:rFonts w:ascii="Times New Roman" w:hAnsi="Times New Roman"/>
          <w:i/>
          <w:noProof/>
          <w:sz w:val="24"/>
        </w:rPr>
        <w:t xml:space="preserve">Informazzjoni preċiża, f’waqtha u aċċessibbli  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Il-passiġġieri għandhom id-dritt għal informazzjoni adegwata qabel u matul il-vjaġġ tagħhom (b'mod partikolari f'każ ta' tħarbit fit-trasport), inkluż id-drittijiet tagħhom u d-dettalji ta' kuntatt tal-korpi ta' infurzar nazzjonali (NEBs).</w:t>
      </w:r>
    </w:p>
    <w:p>
      <w:pPr>
        <w:spacing w:after="120" w:line="240" w:lineRule="auto"/>
        <w:ind w:left="567" w:hanging="567"/>
        <w:jc w:val="both"/>
        <w:rPr>
          <w:rFonts w:ascii="Times New Roman" w:eastAsia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</w:rPr>
        <w:t xml:space="preserve">c) </w:t>
      </w:r>
      <w:r>
        <w:rPr>
          <w:noProof/>
        </w:rPr>
        <w:tab/>
      </w:r>
      <w:r>
        <w:rPr>
          <w:rFonts w:ascii="Times New Roman" w:hAnsi="Times New Roman"/>
          <w:i/>
          <w:noProof/>
          <w:sz w:val="24"/>
        </w:rPr>
        <w:t>Assistenza immedjata u proporzjonata f'każ ta' tħarbit fit-trasport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F'każ ta' dewmien ta' aktar minn 90 minuta jew ta' kanċellazzjoni ta' servizz ta' trasport tal-passiġġieri jew ta' kruċiera, il-passiġġieri huma intitolati għal assistenza xierqa u proporzjonata b'xejn. Din l-assistenza tista' tinkludi snacks, ikel, xorb u f'xi okkażjonijiet, akkomodazzjoni. Il-passiġġieri jridu jingħataw ukoll l-għażla bejn:</w:t>
      </w:r>
    </w:p>
    <w:p>
      <w:pPr>
        <w:pStyle w:val="ListParagraph"/>
        <w:numPr>
          <w:ilvl w:val="0"/>
          <w:numId w:val="39"/>
        </w:numPr>
        <w:spacing w:after="120"/>
        <w:contextualSpacing w:val="0"/>
        <w:jc w:val="both"/>
        <w:rPr>
          <w:noProof/>
        </w:rPr>
      </w:pPr>
      <w:r>
        <w:rPr>
          <w:noProof/>
        </w:rPr>
        <w:t xml:space="preserve">it-trasport alternattiv lejn id-destinazzjoni finali b'kundizzjonijiet tat-trasport komparabbli, mill-aktar fis possibbli u mingħajr ħlas addizzjonali; u </w:t>
      </w:r>
    </w:p>
    <w:p>
      <w:pPr>
        <w:pStyle w:val="ListParagraph"/>
        <w:numPr>
          <w:ilvl w:val="0"/>
          <w:numId w:val="39"/>
        </w:numPr>
        <w:spacing w:after="120"/>
        <w:jc w:val="both"/>
        <w:rPr>
          <w:noProof/>
        </w:rPr>
      </w:pPr>
      <w:r>
        <w:rPr>
          <w:noProof/>
        </w:rPr>
        <w:t>ir-rimborż tal-prezz tal-biljett, u fejn rilevanti, is-servizz ta' ritorn mingħajr ħlas mal-ewwel opportunità, lejn l-ewwel punt ta' tluq, kif stabbilit fil-kuntratt ta' trasport.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Barra minn hekk, il-passiġġieri għandhom dritt għal kumpens oġġettiv u standardizzat f'każ li jdumu ħafna ma jaslu fid-destinazzjoni tagħhom. L-ammont ta' kumpens jiddependi fuq kemm ikun twil id-dewmien u fuq it-tul skedat tal-vjaġġ u jiġi kkalkulat skont il-prezz tal-biljett. L-operatur tat-trasport ma jridx iħallas kumpens jekk juri li d-dewmien kien ikkawżat minn kundizzjonijiet klimatiċi li jipperikolaw l-operat sikur tal-vapur jew li kien ikkawżat minn ċirkostanzi eċċezzjonali li ma setgħux jiġu evitati.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Għall-kuntrarju tas-servizzi ta' trasport kummerċjali tal-passiġġieri, il-kruċieri ma għandhomx skeda ppubblikata vinkolanti u għalhekk, skont ir-Regolament, il-passiġġieri tal-kruċieri la għandhom id-dritt li jagħżlu bejn </w:t>
      </w:r>
      <w:r>
        <w:rPr>
          <w:noProof/>
        </w:rPr>
        <w:noBreakHyphen/>
      </w:r>
      <w:r>
        <w:rPr>
          <w:rFonts w:ascii="Times New Roman" w:hAnsi="Times New Roman"/>
          <w:noProof/>
          <w:sz w:val="24"/>
        </w:rPr>
        <w:t xml:space="preserve"> rotta alternattiva u r-rimborż f'każ ta' dewmien jew kanċellazzjoni tat-tluq (din il-kwistjoni għandha tiġi rregolata fil-kuntratt li l-passiġġier jagħmel mas-servizzi tal-kruċiera) u lanqas ma għandhom id-dritt li jieħdu kumpens f'każ li jdumu ħafna ma jaslu fid-destinazzjoni tagħhom.</w:t>
      </w:r>
    </w:p>
    <w:p>
      <w:pPr>
        <w:spacing w:after="120" w:line="240" w:lineRule="auto"/>
        <w:ind w:left="567" w:hanging="567"/>
        <w:jc w:val="both"/>
        <w:rPr>
          <w:rFonts w:ascii="Times New Roman" w:eastAsia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</w:rPr>
        <w:t xml:space="preserve">d) </w:t>
      </w:r>
      <w:r>
        <w:rPr>
          <w:noProof/>
        </w:rPr>
        <w:tab/>
      </w:r>
      <w:r>
        <w:rPr>
          <w:rFonts w:ascii="Times New Roman" w:hAnsi="Times New Roman"/>
          <w:i/>
          <w:noProof/>
          <w:sz w:val="24"/>
        </w:rPr>
        <w:t>Drittijiet tal-persuni b’diżabilità u b’mobilità mnaqqsa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Ir-Regolament jimponi ċerti obbligi fuq it-trasportaturi, fuq l-operaturi tat-terminal tal-port, fuq l-aġenti tal-ivvjaġġar u fuq l-operaturi turistiċi sabiex jiġi żgurat li l-persuni b'diżabilità jew b'mobilità mnaqqsa jkollhom opportunitajiet indaqs ta' vvjaġġar fuq l-ilma.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It-trasportaturi, l-aġenti tal-ivvjaġġar u l-operaturi turistiċi ma jistgħux jirrifjutaw li jaċċettaw prenotazzjoni jew li jittrasportaw passiġġieri abbażi tad-diżabilità jew tal-mobilità mnaqqsa tagħhom sakemm:</w:t>
      </w:r>
    </w:p>
    <w:p>
      <w:pPr>
        <w:pStyle w:val="ListParagraph"/>
        <w:numPr>
          <w:ilvl w:val="0"/>
          <w:numId w:val="41"/>
        </w:numPr>
        <w:spacing w:after="120"/>
        <w:contextualSpacing w:val="0"/>
        <w:jc w:val="both"/>
        <w:rPr>
          <w:noProof/>
        </w:rPr>
      </w:pPr>
      <w:r>
        <w:rPr>
          <w:noProof/>
        </w:rPr>
        <w:t xml:space="preserve">ikun impossibbli li jittrasportawhom f'konformità mal-leġiżlazzjoni dwar is-sikurezza applikabbli u r-rekwiżiti tas-saħħa u tas-sikurezza stabbiliti mill-awtoritajiet kompetenti; jew </w:t>
      </w:r>
    </w:p>
    <w:p>
      <w:pPr>
        <w:pStyle w:val="ListParagraph"/>
        <w:numPr>
          <w:ilvl w:val="0"/>
          <w:numId w:val="41"/>
        </w:numPr>
        <w:spacing w:after="120"/>
        <w:contextualSpacing w:val="0"/>
        <w:jc w:val="both"/>
        <w:rPr>
          <w:noProof/>
        </w:rPr>
      </w:pPr>
      <w:r>
        <w:rPr>
          <w:noProof/>
        </w:rPr>
        <w:t xml:space="preserve">it-tfassil tal-vapur jew tal-infrastruttura tat-trasport jagħmluha impossibbli li jittrasportawhom b'mod sikur u fattibbli mil-lat operattiv. 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It-trasportaturi u l-maniġers tat-terminal iridu jistabbilixxu kundizzjonijiet ta' aċċess nondiskriminatorji.</w:t>
      </w:r>
    </w:p>
    <w:p>
      <w:pPr>
        <w:spacing w:after="24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Il-persuni b'diżabilità jew b'mobilità mnaqqsa ma jistgħux jintalbu jħallsu aktar għall-biljett tagħhom u t-trasportaturi u l-operaturi tat-terminal tal-port iridu jipprovdu assistenza xierqa b'xejn kemm fil-portijiet kif ukoll fuq il-vapuri.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</w:rPr>
        <w:t>Leġiżlazzjoni oħra tal-UE rilevanti għas-servizz ta' trasport tal-passiġġieri fuq l-ilma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noProof/>
          <w:color w:val="0D0D0D" w:themeColor="text1" w:themeTint="F2"/>
          <w:sz w:val="24"/>
        </w:rPr>
        <w:t>Il-passiġġieri li jużaw is-servizzi marittimi skont il-kamp ta' applikazzjoni tar-Regolament huma protetti wkoll bir-Regolament (KE) Nru 392/2009</w:t>
      </w:r>
      <w:r>
        <w:rPr>
          <w:rStyle w:val="FootnoteReference"/>
          <w:rFonts w:ascii="Times New Roman" w:hAnsi="Times New Roman"/>
          <w:noProof/>
          <w:color w:val="0D0D0D" w:themeColor="text1" w:themeTint="F2"/>
          <w:sz w:val="24"/>
        </w:rPr>
        <w:footnoteReference w:id="10"/>
      </w:r>
      <w:r>
        <w:rPr>
          <w:rFonts w:ascii="Times New Roman" w:hAnsi="Times New Roman"/>
          <w:noProof/>
          <w:color w:val="0D0D0D" w:themeColor="text1" w:themeTint="F2"/>
          <w:sz w:val="24"/>
        </w:rPr>
        <w:t xml:space="preserve"> li għandu l-għan li jiżgura li jitħallas kumpens xieraq għal kull dannu personali (inkluż il-mewt) jew għal kull telf jew ħsara li jistgħu jġarrbu b'riżultat ta' inċident marittimu</w:t>
      </w:r>
      <w:r>
        <w:rPr>
          <w:rStyle w:val="FootnoteReference"/>
          <w:rFonts w:ascii="Times New Roman" w:hAnsi="Times New Roman"/>
          <w:noProof/>
          <w:color w:val="0D0D0D" w:themeColor="text1" w:themeTint="F2"/>
          <w:sz w:val="24"/>
        </w:rPr>
        <w:footnoteReference w:id="11"/>
      </w:r>
      <w:r>
        <w:rPr>
          <w:noProof/>
        </w:rPr>
        <w:t>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noProof/>
          <w:color w:val="0D0D0D" w:themeColor="text1" w:themeTint="F2"/>
          <w:sz w:val="24"/>
        </w:rPr>
        <w:t>Skont id-Direttiva (UE) Nru 2015/2302 dwar pakketti tal-ivvjaġġar u arranġamenti tal-ivvjaġġar marbuta</w:t>
      </w:r>
      <w:r>
        <w:rPr>
          <w:rStyle w:val="FootnoteReference"/>
          <w:rFonts w:ascii="Times New Roman" w:hAnsi="Times New Roman"/>
          <w:noProof/>
          <w:color w:val="0D0D0D" w:themeColor="text1" w:themeTint="F2"/>
          <w:sz w:val="24"/>
        </w:rPr>
        <w:footnoteReference w:id="12"/>
      </w:r>
      <w:r>
        <w:rPr>
          <w:rFonts w:ascii="Times New Roman" w:hAnsi="Times New Roman"/>
          <w:noProof/>
          <w:color w:val="0D0D0D" w:themeColor="text1" w:themeTint="F2"/>
          <w:sz w:val="24"/>
        </w:rPr>
        <w:t xml:space="preserve"> li ġiet adottata dan l-aħħar, il-passiġġieri li jivvjaġġaw bil-vapur bħala parti minn vjaġġ li jkollu kollox inkluż igawdu minn drittijiet addizzjonali</w:t>
      </w:r>
      <w:r>
        <w:rPr>
          <w:noProof/>
        </w:rPr>
        <w:t>.</w:t>
      </w:r>
      <w:r>
        <w:rPr>
          <w:rFonts w:ascii="Times New Roman" w:hAnsi="Times New Roman"/>
          <w:noProof/>
          <w:color w:val="0D0D0D" w:themeColor="text1" w:themeTint="F2"/>
          <w:sz w:val="24"/>
        </w:rPr>
        <w:t xml:space="preserve"> 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noProof/>
          <w:color w:val="0D0D0D" w:themeColor="text1" w:themeTint="F2"/>
          <w:sz w:val="24"/>
        </w:rPr>
        <w:t>Il-leġiżlazzjonijiet tal-UE li ġejjin jirregolaw ukoll diversi aspetti li jikkonċernaw l-aċċessibilità tal-persuni b'diżabilità jew b'mobilità mnaqqsa għall-vapuri: Id-Direttiva 2009/45/KE dwar regoli u standards ta’ sigurtà għal vapuri tal-passiġġieri</w:t>
      </w:r>
      <w:r>
        <w:rPr>
          <w:rStyle w:val="FootnoteReference"/>
          <w:rFonts w:ascii="Times New Roman" w:hAnsi="Times New Roman"/>
          <w:noProof/>
          <w:color w:val="0D0D0D" w:themeColor="text1" w:themeTint="F2"/>
          <w:sz w:val="24"/>
        </w:rPr>
        <w:footnoteReference w:id="13"/>
      </w:r>
      <w:r>
        <w:rPr>
          <w:rFonts w:ascii="Times New Roman" w:hAnsi="Times New Roman"/>
          <w:noProof/>
          <w:color w:val="0D0D0D" w:themeColor="text1" w:themeTint="F2"/>
          <w:sz w:val="24"/>
        </w:rPr>
        <w:t>, id-Direttiva 1999/35/KE dwar sistema ta' stħarriġ obbligatorju għall-operazzjoni bla perikolu ta' laneċ ro-ro regolari u servizzi tal-inġenji tal-baħar ta' veloċità kbira għall-passiġġieri</w:t>
      </w:r>
      <w:r>
        <w:rPr>
          <w:rStyle w:val="FootnoteReference"/>
          <w:rFonts w:ascii="Times New Roman" w:hAnsi="Times New Roman"/>
          <w:noProof/>
          <w:color w:val="0D0D0D" w:themeColor="text1" w:themeTint="F2"/>
          <w:sz w:val="24"/>
        </w:rPr>
        <w:footnoteReference w:id="14"/>
      </w:r>
      <w:r>
        <w:rPr>
          <w:rFonts w:ascii="Times New Roman" w:hAnsi="Times New Roman"/>
          <w:noProof/>
          <w:color w:val="0D0D0D" w:themeColor="text1" w:themeTint="F2"/>
          <w:sz w:val="24"/>
        </w:rPr>
        <w:t xml:space="preserve"> u d-Direttiva 98/41/KE dwar ir-reġistrazzjoni ta' persuni li jbaħħru abbord vapuri tal-passiġġieri li joperaw lejn jew minn portijiet tal-Istati Membri tal-Komunità</w:t>
      </w:r>
      <w:r>
        <w:rPr>
          <w:rStyle w:val="FootnoteReference"/>
          <w:rFonts w:ascii="Times New Roman" w:hAnsi="Times New Roman"/>
          <w:noProof/>
          <w:color w:val="0D0D0D" w:themeColor="text1" w:themeTint="F2"/>
          <w:sz w:val="24"/>
        </w:rPr>
        <w:footnoteReference w:id="15"/>
      </w:r>
      <w:r>
        <w:rPr>
          <w:noProof/>
        </w:rPr>
        <w:t>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noProof/>
          <w:color w:val="0D0D0D" w:themeColor="text1" w:themeTint="F2"/>
          <w:sz w:val="24"/>
        </w:rPr>
        <w:t>Parti sinifikanti tat-trasport tal-passiġġieri fuq l-ilma jsir f'kuntest transfruntier: il-passiġġieri jivvjaġġaw fuq servizzi transfruntiera jew jivvjaġġaw fuq servizzi domestiċi barra mill-Istat Membru tagħhom stess. Sabiex jiġu protetti l-interessi ta' dawn il-passiġġieri, ir-Regolament (KE) Nru 2006/2004 dwar il-kooperazzjoni bejn l-awtoritajiet nazzjonali responsabbli għall-infurzar tal-liġijiet tal-protezzjoni tal-konsumaturi</w:t>
      </w:r>
      <w:r>
        <w:rPr>
          <w:rStyle w:val="FootnoteReference"/>
          <w:rFonts w:ascii="Times New Roman" w:hAnsi="Times New Roman"/>
          <w:noProof/>
          <w:color w:val="0D0D0D" w:themeColor="text1" w:themeTint="F2"/>
          <w:sz w:val="24"/>
        </w:rPr>
        <w:footnoteReference w:id="16"/>
      </w:r>
      <w:r>
        <w:rPr>
          <w:rFonts w:ascii="Times New Roman" w:hAnsi="Times New Roman"/>
          <w:noProof/>
          <w:color w:val="0D0D0D" w:themeColor="text1" w:themeTint="F2"/>
          <w:sz w:val="24"/>
        </w:rPr>
        <w:t xml:space="preserve"> jipprovdi qafas xieraq għall-korpi ta' infurzar nazzjonali biex jikkooperaw ma' xulxin u biex jiddefendu l-interessi kollettivi tal-passiġġieri f'kuntest transfruntier.</w:t>
      </w:r>
    </w:p>
    <w:p>
      <w:pPr>
        <w:keepNext/>
        <w:spacing w:after="240" w:line="240" w:lineRule="auto"/>
        <w:ind w:left="567" w:hanging="567"/>
        <w:jc w:val="both"/>
        <w:outlineLvl w:val="1"/>
        <w:rPr>
          <w:rFonts w:ascii="Times New Roman" w:eastAsia="Times New Roman" w:hAnsi="Times New Roman"/>
          <w:b/>
          <w:smallCaps/>
          <w:noProof/>
          <w:sz w:val="24"/>
          <w:szCs w:val="24"/>
        </w:rPr>
      </w:pPr>
      <w:r>
        <w:rPr>
          <w:rFonts w:ascii="Times New Roman" w:hAnsi="Times New Roman"/>
          <w:b/>
          <w:smallCaps/>
          <w:noProof/>
          <w:sz w:val="24"/>
        </w:rPr>
        <w:t>3.</w:t>
      </w:r>
      <w:r>
        <w:rPr>
          <w:noProof/>
        </w:rPr>
        <w:tab/>
      </w:r>
      <w:r>
        <w:rPr>
          <w:rFonts w:ascii="Times New Roman" w:hAnsi="Times New Roman"/>
          <w:b/>
          <w:smallCaps/>
          <w:noProof/>
          <w:sz w:val="24"/>
        </w:rPr>
        <w:t>L-applikazzjoni tar-Regolament mill-Istati Membri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Ir-Regolament jirrikjedi li l-Istati Membri jinnominaw korpi ta' infurzar nazzjonali (NEBs) biex japplikawh u biex jagħtu penali effettivi, proporzjonati u dissważivi fil-liġi nazzjonali tagħhom biex jissanzjonaw l-operaturi li jiksruh.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b/>
          <w:i/>
          <w:noProof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</w:rPr>
        <w:t>Kif jiġu nnominati l-Korpi ta' Infurzar Nazzjonali</w:t>
      </w:r>
      <w:r>
        <w:rPr>
          <w:rStyle w:val="FootnoteReference"/>
          <w:rFonts w:ascii="Times New Roman" w:hAnsi="Times New Roman"/>
          <w:b/>
          <w:i/>
          <w:noProof/>
          <w:sz w:val="24"/>
        </w:rPr>
        <w:footnoteReference w:id="17"/>
      </w:r>
      <w:r>
        <w:rPr>
          <w:rFonts w:ascii="Times New Roman" w:hAnsi="Times New Roman"/>
          <w:b/>
          <w:i/>
          <w:noProof/>
          <w:sz w:val="24"/>
        </w:rPr>
        <w:t>?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Il-biċċa l-kbira tal-Istati Membri nnominaw NEBs li qabel kienu responsabbli mid-drittijiet tal-passiġġieri f'mezzi oħra ta' trasport. L-NEBs huma awtoritajiet tat-trasport jew awtoritajiet għall-protezzjoni tal-konsumatur. Xi Stati Membri nnominaw diversi NEBs: ġeneralment awtorità tal-protezzjoni tal-konsumatur li hija responsabbli mit-trattament tal-ilmenti u awtorità tat-trasport li hija responsabbli minn kwistjonijiet oħra (spezzjonijiet, sanzjonijiet, aċċess għall-vapuri u għat-terminals tal-port għall-passiġġieri b'diżabilità). F'ħafna Stati Membri l-NEBs ġew innominati biss fil-livell nazzjonali, iżda f'xi Stati Membri l-awtoritajiet nazzjonali għandhom rwol importanti fl-infurzar tar-Regolament.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b/>
          <w:i/>
          <w:noProof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</w:rPr>
        <w:t>It-trattament tal-ilmenti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Il-passiġġieri jistgħu jressqu l-ilmenti dwar l-allegat ksur tar-Regolament lill-operatur tat-trasport, lill-operatur tat-terminal tal-port jew direttament lill-NEB. 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Ir-Regolament ma jistipulax ordni kronoloġika ta' meta għandu jitressaq ilment, iżda jippermetti li l-Istati Membri jirrikjedu li l-passiġġieri jressqu l-ilment tagħhom l-ewwel lill-operatur tat-trasport jew tat-terminal tal-port, filwaqt li l-NEB taġixxi biss bħala korp ta' appell jekk il-passiġġier ma jkunx sodisfatt bit-tweġiba. B'kollox 21 Stat Membru għamlu din l-għażla li hi aktar vantaġġuża peress li l-NEBs jistgħu jipproċessaw l-ilmenti b'mod aktar effiċjenti u rapidu billi jkollhom mal-ewwel għad-dispożizzjoni tagħhom il-korrispondenza bejn l-ilmentatur u l-operatur tat-trasport/tat-terminal u għalhekk ikollhom ħarsa ġenerali aktar komprensiva tal-każ mill-perspettiva taż-żewġ partijiet.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Ma hemmx ċifri disponibbli pubblikament dwar l-għadd ta' ilmenti li l-passiġġieri ressqu lit-trasportaturi jew lill-operaturi tat-terminal fis-snin 2013 u 2014. Għalkemm din id-dejta tkun utli biex jiġi vvalutat l-operat tar-Regolament, it-trasportaturi u l-operaturi tat-terminal mhumiex obbligati li jiġbruha u jirrapurtawha lill-NEBs.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Madankollu, nafu biċ-ċert li l-NEBs trattaw biss ftit ilmenti (ara t-tabella t'hawn taħt). Hemm diversi raġunijiet għal dan; b'mod partikolari, ir-Regolament għadu pjuttost ġdid u ħafna passiġġieri jistgħu ma jkunux kompletament konxji tad-drittijiet tagħhom. Barra minn hekk, f'ħafna Stati Membri l-passiġġieri jridu l-ewwel iressqu l-ilmenti tagħhom lill-operatur tat-trasport jew tat-terminal, li ħafna drabi jirnexxilu jsolvihom b'mod sodisfaċenti biex ma jaslux għand l-NEBs.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b/>
          <w:i/>
          <w:noProof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</w:rPr>
        <w:t>Sanzjonijiet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Il-biċċa l-kbira tal-liġijiet nazzjonali tal-Istati Membri jipprevedu sistema ta' penali bbażata prinċipalment fuq il-multi, iżda xi NEBs jistgħu anke jirtiraw il-liċenzja tal-operatur jekk jikser ir-Regolament b'mod intenzjonat u sistematiku. 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L-NEBs imponew ftit li xejn sanzjonijiet minn mindu daħal fis-seħħ ir-Regolament (ara t-tabella t'hawn taħt). Il-biċċa l-kbira jsostnu li l-operaturi huma ħerqana li jikkonformaw u jirranġaw il-ksur u għalhekk isolvu l-ilmenti qabel ma jkun meħtieġ li tiġi imposta sanzjoni.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>
      <w:pPr>
        <w:spacing w:after="240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Tabella - L-għadd ta' lmenti trattati u ta' sanzjonijiet imposti mill-Korpi ta' Infuzar Nazzjonali (NEBs)</w:t>
      </w:r>
      <w:r>
        <w:rPr>
          <w:rStyle w:val="FootnoteReference"/>
          <w:noProof/>
        </w:rPr>
        <w:footnoteReference w:id="18"/>
      </w:r>
    </w:p>
    <w:tbl>
      <w:tblPr>
        <w:tblStyle w:val="TableGrid"/>
        <w:tblW w:w="878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843"/>
        <w:gridCol w:w="1701"/>
        <w:gridCol w:w="1559"/>
      </w:tblGrid>
      <w:tr>
        <w:trPr>
          <w:trHeight w:val="441"/>
        </w:trPr>
        <w:tc>
          <w:tcPr>
            <w:tcW w:w="1985" w:type="dxa"/>
            <w:vMerge w:val="restart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Stat Membru</w:t>
            </w:r>
          </w:p>
        </w:tc>
        <w:tc>
          <w:tcPr>
            <w:tcW w:w="3544" w:type="dxa"/>
            <w:gridSpan w:val="2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Għadd ta' lmenti trattati</w:t>
            </w:r>
          </w:p>
        </w:tc>
        <w:tc>
          <w:tcPr>
            <w:tcW w:w="3260" w:type="dxa"/>
            <w:gridSpan w:val="2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Għadd ta' sanzjonijiet imposti</w:t>
            </w:r>
          </w:p>
        </w:tc>
      </w:tr>
      <w:tr>
        <w:trPr>
          <w:trHeight w:val="410"/>
        </w:trPr>
        <w:tc>
          <w:tcPr>
            <w:tcW w:w="1985" w:type="dxa"/>
            <w:vMerge/>
          </w:tcPr>
          <w:p>
            <w:pPr>
              <w:spacing w:after="0"/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701" w:type="dxa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2013</w:t>
            </w:r>
          </w:p>
        </w:tc>
        <w:tc>
          <w:tcPr>
            <w:tcW w:w="1843" w:type="dxa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2014</w:t>
            </w:r>
          </w:p>
        </w:tc>
        <w:tc>
          <w:tcPr>
            <w:tcW w:w="1701" w:type="dxa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2013</w:t>
            </w:r>
          </w:p>
        </w:tc>
        <w:tc>
          <w:tcPr>
            <w:tcW w:w="1559" w:type="dxa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2014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L-Awstrija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Il-Belġju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Il-Bulgarija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-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-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-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-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Il-Kroazja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Ċipru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-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-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-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-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Ir-Repubblika Ċeka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 xml:space="preserve">Mhux applikabbli 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 xml:space="preserve">Mhux applikabbli 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 xml:space="preserve">Mhux applikabbli 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 xml:space="preserve">Mhux applikabbli 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Id-Danimarka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1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2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L-Estonja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1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1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Il-Finlandja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10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6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Franza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Il-Ġermanja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4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10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Il-Greċja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64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45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11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7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L-Ungerija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L-Irlanda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3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L-Italja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Il-Latvja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Il-Litwanja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Il-Lussemburgu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Malta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1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3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In-Netherlands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Il-Polonja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Il-Portugall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Ir-Rumanija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Is-Slovakkja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Is-Slovenja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Spanja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501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419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21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39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L-Iżvezja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1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27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Mhux applikabbli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  <w:tr>
        <w:tc>
          <w:tcPr>
            <w:tcW w:w="1985" w:type="dxa"/>
          </w:tcPr>
          <w:p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Ir-Renju Unit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14</w:t>
            </w:r>
          </w:p>
        </w:tc>
        <w:tc>
          <w:tcPr>
            <w:tcW w:w="1843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11</w:t>
            </w:r>
          </w:p>
        </w:tc>
        <w:tc>
          <w:tcPr>
            <w:tcW w:w="1701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  <w:tc>
          <w:tcPr>
            <w:tcW w:w="1559" w:type="dxa"/>
          </w:tcPr>
          <w:p>
            <w:pPr>
              <w:spacing w:after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0</w:t>
            </w:r>
          </w:p>
        </w:tc>
      </w:tr>
    </w:tbl>
    <w:p>
      <w:pPr>
        <w:spacing w:after="240" w:line="240" w:lineRule="auto"/>
        <w:jc w:val="both"/>
        <w:rPr>
          <w:rFonts w:ascii="Times New Roman" w:eastAsia="Times New Roman" w:hAnsi="Times New Roman"/>
          <w:b/>
          <w:i/>
          <w:noProof/>
          <w:sz w:val="24"/>
          <w:szCs w:val="24"/>
        </w:rPr>
      </w:pPr>
    </w:p>
    <w:p>
      <w:pPr>
        <w:spacing w:after="240" w:line="240" w:lineRule="auto"/>
        <w:jc w:val="both"/>
        <w:rPr>
          <w:rFonts w:ascii="Times New Roman" w:eastAsia="Times New Roman" w:hAnsi="Times New Roman"/>
          <w:b/>
          <w:i/>
          <w:noProof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</w:rPr>
        <w:t xml:space="preserve">Attivitajiet oħra ta' infurzar u ta' komunikazzjoni 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It-trattament tal-ilmenti u l-penali għan-nuqqas ta' konformità huma biss xi ftit eżempji li r-Regolament jagħti tal-għodod possibbli biex jiġu infurzati d-drittijiet tal-passiġġieri fuq l-ilma. Bosta NEBs kienu proattivi ħafna u ħadu azzjoni addizzjonali.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Kemm l-NEBs kif ukoll il-partijiet ikkonċernati ddikjaraw li l-laqgħat bejn l-NEBs, it-trasportaturi u l-operaturi tat-terminal tal-port</w:t>
      </w:r>
      <w:r>
        <w:rPr>
          <w:rStyle w:val="FootnoteReference"/>
          <w:rFonts w:ascii="Times New Roman" w:hAnsi="Times New Roman"/>
          <w:noProof/>
          <w:sz w:val="24"/>
        </w:rPr>
        <w:footnoteReference w:id="19"/>
      </w:r>
      <w:r>
        <w:rPr>
          <w:rFonts w:ascii="Times New Roman" w:hAnsi="Times New Roman"/>
          <w:noProof/>
          <w:sz w:val="24"/>
        </w:rPr>
        <w:t xml:space="preserve"> u l-pubblikazzjoni ta' linji gwida nazzjonali dwar id-drittijiet tal-passiġġieri u dwar l-obbligi tal-operaturi</w:t>
      </w:r>
      <w:r>
        <w:rPr>
          <w:rStyle w:val="FootnoteReference"/>
          <w:rFonts w:ascii="Times New Roman" w:hAnsi="Times New Roman"/>
          <w:noProof/>
          <w:sz w:val="24"/>
        </w:rPr>
        <w:footnoteReference w:id="20"/>
      </w:r>
      <w:r>
        <w:rPr>
          <w:rFonts w:ascii="Times New Roman" w:hAnsi="Times New Roman"/>
          <w:noProof/>
          <w:sz w:val="24"/>
        </w:rPr>
        <w:t xml:space="preserve"> qabel ma daħal fis-seħħ ir-Regolament, kienu utli ħafna biex l-operaturi jitħejjew għal meta r-Regolament jidħol fis-seħħ.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Xi NEBs</w:t>
      </w:r>
      <w:r>
        <w:rPr>
          <w:rStyle w:val="FootnoteReference"/>
          <w:rFonts w:ascii="Times New Roman" w:hAnsi="Times New Roman"/>
          <w:noProof/>
          <w:sz w:val="24"/>
        </w:rPr>
        <w:footnoteReference w:id="21"/>
      </w:r>
      <w:r>
        <w:rPr>
          <w:rFonts w:ascii="Times New Roman" w:hAnsi="Times New Roman"/>
          <w:noProof/>
          <w:sz w:val="24"/>
        </w:rPr>
        <w:t xml:space="preserve"> jipparteċipaw b’mod regolari f'avvenimenti tal-midja u f'fieri tat-turiżmu biex jinfurmaw lill-pubbliku dwar id-drittijiet tal-passiġġieri tat-trasport fuq l-ilma.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Bosta NEBs iwettqu spezzjonijiet regolari biex jikkontrollaw jekk il-vapuri u t-terminals tal-port jipprovdux l-informazzjoni meħtieġa għall-passiġġieri u kemm din hija aċċessibbli għall-persuni b'diżabilità jew b'mobilità mnaqqsa. Dawn jikkontrollaw ukoll il-paġni ewlenin tas-siti web tat-trasportaturi u tal-operaturi tat-terminal (eż. biex jiżguraw li l-passiġġieri jkunu infurmati dwar id-drittijiet tagħhom, jew li l-klawsoli ġenerali tal-kuntratt huma konformi mar-Regolament)</w:t>
      </w:r>
      <w:r>
        <w:rPr>
          <w:rStyle w:val="FootnoteReference"/>
          <w:rFonts w:ascii="Times New Roman" w:hAnsi="Times New Roman"/>
          <w:noProof/>
          <w:sz w:val="24"/>
        </w:rPr>
        <w:footnoteReference w:id="22"/>
      </w:r>
      <w:r>
        <w:rPr>
          <w:noProof/>
        </w:rPr>
        <w:t>.</w:t>
      </w:r>
      <w:r>
        <w:rPr>
          <w:rFonts w:ascii="Times New Roman" w:hAnsi="Times New Roman"/>
          <w:noProof/>
          <w:sz w:val="24"/>
        </w:rPr>
        <w:t xml:space="preserve"> L-għan ewlieni ta' dawn il-kontrolli mhuwiex li jiġu sanzjonati l-operaturi, iżda li jiġu edukati dwar l-obbligi tagħhom skont dan ir-Regolament u b'hekk tiġi ffaċilitata l-konformità volontarja.</w:t>
      </w:r>
    </w:p>
    <w:p>
      <w:pPr>
        <w:keepNext/>
        <w:spacing w:after="240" w:line="240" w:lineRule="auto"/>
        <w:ind w:left="567" w:hanging="567"/>
        <w:jc w:val="both"/>
        <w:outlineLvl w:val="1"/>
        <w:rPr>
          <w:rFonts w:ascii="Times New Roman" w:eastAsia="Times New Roman" w:hAnsi="Times New Roman"/>
          <w:b/>
          <w:smallCaps/>
          <w:noProof/>
          <w:sz w:val="24"/>
          <w:szCs w:val="24"/>
        </w:rPr>
      </w:pPr>
      <w:r>
        <w:rPr>
          <w:rFonts w:ascii="Times New Roman" w:hAnsi="Times New Roman"/>
          <w:b/>
          <w:smallCaps/>
          <w:noProof/>
          <w:sz w:val="24"/>
        </w:rPr>
        <w:t>4.</w:t>
      </w:r>
      <w:r>
        <w:rPr>
          <w:noProof/>
        </w:rPr>
        <w:tab/>
      </w:r>
      <w:r>
        <w:rPr>
          <w:rFonts w:ascii="Times New Roman" w:hAnsi="Times New Roman"/>
          <w:b/>
          <w:smallCaps/>
          <w:noProof/>
          <w:sz w:val="24"/>
        </w:rPr>
        <w:t>Operat tar-Regolament u azzjoni għat-titjib</w:t>
      </w:r>
    </w:p>
    <w:p>
      <w:pPr>
        <w:keepNext/>
        <w:spacing w:after="240" w:line="240" w:lineRule="auto"/>
        <w:ind w:left="567" w:hanging="567"/>
        <w:jc w:val="both"/>
        <w:outlineLvl w:val="1"/>
        <w:rPr>
          <w:rFonts w:ascii="Times New Roman" w:eastAsia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4.1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Valutazzjoni tal-operat tar-Regolament</w:t>
      </w:r>
      <w:r>
        <w:rPr>
          <w:noProof/>
        </w:rPr>
        <w:tab/>
      </w:r>
    </w:p>
    <w:p>
      <w:pPr>
        <w:spacing w:after="240" w:line="240" w:lineRule="auto"/>
        <w:jc w:val="both"/>
        <w:rPr>
          <w:rFonts w:ascii="Times New Roman" w:eastAsia="Times New Roman" w:hAnsi="Times New Roman"/>
          <w:b/>
          <w:i/>
          <w:noProof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</w:rPr>
        <w:t>Riżultati tal-konsultazzjoni mal-partijiet ikkonċernati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F’Novembru 2015, il-Kummissjoni stiednet lill-partijiet ikkonċernati li jirrappreżentaw lill-passiġġieri u lill-industrija fil-livell tal-UE biex jaqsmu l-fehmiet tagħhom dwar l-operat tar-Regolament</w:t>
      </w:r>
      <w:r>
        <w:rPr>
          <w:rStyle w:val="FootnoteReference"/>
          <w:rFonts w:ascii="Times New Roman" w:hAnsi="Times New Roman"/>
          <w:noProof/>
          <w:sz w:val="24"/>
        </w:rPr>
        <w:footnoteReference w:id="23"/>
      </w:r>
      <w:r>
        <w:rPr>
          <w:rFonts w:ascii="Times New Roman" w:hAnsi="Times New Roman"/>
          <w:noProof/>
          <w:sz w:val="24"/>
        </w:rPr>
        <w:t>.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Il-partijiet ikkonċernati li jirrappreżentaw lis-sidien tal-vapuri, lill-kruċieri u lill-portijiet indikaw li r-Regolament kien qed jaħdem tajjeb u ma għandux jiġi emendat. Huma enfasizzaw il-kwalità għolja tas-servizz ipprovdut, kif jidher mill-għadd żgħir ħafna ta' ilmenti.</w:t>
      </w:r>
    </w:p>
    <w:p>
      <w:pPr>
        <w:spacing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L-organizzazzjonijiet tal-passiġġieri huma ġeneralment sodisfatti bir-Regolament, iżda jaraw li hemm lok għal titjib. Dawn jaħsbu li t-trasportaturi u l-operaturi tat-terminal tal-port urew approċċ pożittiv lejn l-implimentazzjoni u l-applikazzjoni tar-Regolament, iżda għad baqa' x-xogħol xi jsir mill-operaturi u mill-NEBs. Il-livell ta’ applikazzjoni jvarja b’mod sinifikanti bejn l-Istati Membri u t-trasportaturi. </w:t>
      </w:r>
    </w:p>
    <w:p>
      <w:pPr>
        <w:spacing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Għandha tittieħed azzjoni ulterjuri biex jiġi żgurat id-dritt tal-mobilità tal-persuni b’diżabilità u b’mobilità mnaqqsa: </w:t>
      </w:r>
    </w:p>
    <w:p>
      <w:pPr>
        <w:pStyle w:val="ListParagraph"/>
        <w:numPr>
          <w:ilvl w:val="0"/>
          <w:numId w:val="42"/>
        </w:numPr>
        <w:spacing w:after="120"/>
        <w:contextualSpacing w:val="0"/>
        <w:jc w:val="both"/>
        <w:rPr>
          <w:noProof/>
        </w:rPr>
      </w:pPr>
      <w:r>
        <w:rPr>
          <w:noProof/>
        </w:rPr>
        <w:t xml:space="preserve">il-bastimenti u t-terminals għandhom ikunu aktar aċċessibbli; </w:t>
      </w:r>
    </w:p>
    <w:p>
      <w:pPr>
        <w:pStyle w:val="ListParagraph"/>
        <w:numPr>
          <w:ilvl w:val="0"/>
          <w:numId w:val="42"/>
        </w:numPr>
        <w:spacing w:after="120"/>
        <w:contextualSpacing w:val="0"/>
        <w:jc w:val="both"/>
        <w:rPr>
          <w:noProof/>
        </w:rPr>
      </w:pPr>
      <w:r>
        <w:rPr>
          <w:noProof/>
        </w:rPr>
        <w:t xml:space="preserve">it-trasportatur u l-persunal tat-terminal għandhom ikunu mħarrġa aħjar biex jipprovdulhom assistenza xierqa; u </w:t>
      </w:r>
    </w:p>
    <w:p>
      <w:pPr>
        <w:pStyle w:val="ListParagraph"/>
        <w:numPr>
          <w:ilvl w:val="0"/>
          <w:numId w:val="42"/>
        </w:numPr>
        <w:spacing w:after="120"/>
        <w:contextualSpacing w:val="0"/>
        <w:jc w:val="both"/>
        <w:rPr>
          <w:noProof/>
        </w:rPr>
      </w:pPr>
      <w:r>
        <w:rPr>
          <w:noProof/>
        </w:rPr>
        <w:t xml:space="preserve">l-organizzazzjonijiet li jirrappreżentaw lill-persuni b’diżabilità għandhom jiġu kkonsultati b’mod aktar sistematiku dwar l-implimentazzjoni tad-dispożizzjonijiet rilevanti. 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B’mod partikolari, it-trasportaturi u l-operaturi tat-terminal għandhom iqisu l-opinjonijiet tal-organizzazzjonijiet rappreżentattivi meta jistabbilixxu standards ta’ kwalità għall-assistenza ta’ persuni b’diżabilità jew b’mobilità mnaqqsa (l-Artikolu 13).  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b/>
          <w:i/>
          <w:noProof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</w:rPr>
        <w:t>Valutazzjoni mill-Kummissjoni</w:t>
      </w:r>
    </w:p>
    <w:p>
      <w:pPr>
        <w:spacing w:after="24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Il-Kummissjoni ma sabet l-ebda nuqqas ta' konformità deliberat, serju jew sistematiku tar-Regolament. Ħafna lmenti individwali li l-Kummissjoni taf bihom huma marbuta man-nuqqas ta’ kumpens jew ta’ assistenza xierqa f’każ ta’ dewmien jew kanċellazzjoni</w:t>
      </w:r>
      <w:r>
        <w:rPr>
          <w:rStyle w:val="FootnoteReference"/>
          <w:rFonts w:ascii="Times New Roman" w:hAnsi="Times New Roman"/>
          <w:noProof/>
          <w:sz w:val="24"/>
        </w:rPr>
        <w:footnoteReference w:id="24"/>
      </w:r>
      <w:r>
        <w:rPr>
          <w:noProof/>
        </w:rPr>
        <w:t>.</w:t>
      </w:r>
      <w:r>
        <w:rPr>
          <w:rFonts w:ascii="Times New Roman" w:hAnsi="Times New Roman"/>
          <w:noProof/>
          <w:sz w:val="24"/>
        </w:rPr>
        <w:t xml:space="preserve"> Mir-rapporti tal-NEB jidher li ħafna minn dawn l-ilmenti jaqgħu barra mill-kamp ta’ applikazzjoni tar-Regolament</w:t>
      </w:r>
      <w:r>
        <w:rPr>
          <w:rStyle w:val="FootnoteReference"/>
          <w:rFonts w:ascii="Times New Roman" w:hAnsi="Times New Roman"/>
          <w:noProof/>
          <w:sz w:val="24"/>
        </w:rPr>
        <w:footnoteReference w:id="25"/>
      </w:r>
      <w:r>
        <w:rPr>
          <w:rFonts w:ascii="Times New Roman" w:hAnsi="Times New Roman"/>
          <w:noProof/>
          <w:sz w:val="24"/>
        </w:rPr>
        <w:t xml:space="preserve"> jew huma bla bażi</w:t>
      </w:r>
      <w:r>
        <w:rPr>
          <w:rStyle w:val="FootnoteReference"/>
          <w:rFonts w:ascii="Times New Roman" w:hAnsi="Times New Roman"/>
          <w:noProof/>
          <w:sz w:val="24"/>
        </w:rPr>
        <w:footnoteReference w:id="26"/>
      </w:r>
      <w:r>
        <w:rPr>
          <w:noProof/>
        </w:rPr>
        <w:t>.</w:t>
      </w:r>
    </w:p>
    <w:p>
      <w:pPr>
        <w:spacing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Minkejja l-istampa ġenerali pożittiva, il-Kummissjoni identifikat l-ostakli li ġejjin għall-applikazzjoni aktar effiċjenti tar-Regolament:</w:t>
      </w:r>
    </w:p>
    <w:p>
      <w:pPr>
        <w:spacing w:after="120" w:line="240" w:lineRule="auto"/>
        <w:ind w:left="567" w:hanging="567"/>
        <w:jc w:val="both"/>
        <w:rPr>
          <w:rFonts w:ascii="Times New Roman" w:eastAsia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</w:rPr>
        <w:t xml:space="preserve">a) </w:t>
      </w:r>
      <w:r>
        <w:rPr>
          <w:noProof/>
        </w:rPr>
        <w:tab/>
      </w:r>
      <w:r>
        <w:rPr>
          <w:rFonts w:ascii="Times New Roman" w:hAnsi="Times New Roman"/>
          <w:i/>
          <w:noProof/>
          <w:sz w:val="24"/>
        </w:rPr>
        <w:t xml:space="preserve">Il-passiġġieri u l-operaturi mhumiex biżżejjed konxji mid-drittijiet u mill-obbligi tagħhom 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Peress li r-Regolament huwa relattivament riċenti, iċ-ċittadini mhumiex biżżejjed konxji tiegħu. L-NEBs u r-rappreżentanti tal-partijiet ikkonċernati indikaw li bosta operaturi ma kinux konxji ta’ dan ir-Regolament meta ġie adottat, problema li għadha teżisti f'xi Stati Membri. Għalhekk hemm bżonn li l-NEBs, l-organizzazzjonijiet tal-partijiet ikkonċernati nazzjonali u tal-UE, u l-Kummissjoni jkomplu jedukaw kemm lill-passiġġieri dwar id-drittijiet tagħhom kif ukoll lill-operaturi dwar l-obbligi tagħhom.</w:t>
      </w:r>
      <w:r>
        <w:rPr>
          <w:noProof/>
        </w:rPr>
        <w:tab/>
      </w:r>
    </w:p>
    <w:p>
      <w:pPr>
        <w:spacing w:after="120" w:line="240" w:lineRule="auto"/>
        <w:ind w:left="567" w:hanging="567"/>
        <w:jc w:val="both"/>
        <w:rPr>
          <w:rFonts w:ascii="Times New Roman" w:eastAsia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</w:rPr>
        <w:t xml:space="preserve">b) </w:t>
      </w:r>
      <w:r>
        <w:rPr>
          <w:noProof/>
        </w:rPr>
        <w:tab/>
      </w:r>
      <w:r>
        <w:rPr>
          <w:rFonts w:ascii="Times New Roman" w:hAnsi="Times New Roman"/>
          <w:i/>
          <w:noProof/>
          <w:sz w:val="24"/>
        </w:rPr>
        <w:t xml:space="preserve">F'xi Stati Membri l-infurzar għadu lura </w:t>
      </w:r>
      <w:r>
        <w:rPr>
          <w:noProof/>
        </w:rPr>
        <w:tab/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L-Istati Membri damu biex jieħdu miżuri għall-implimentazzjoni ta' dan ir-Regolament. Sat-18 ta’ Diċembru 2012, id-data li fiha daħal fis-seħħ dan ir-Regolament, żewġ Stati Membri biss kienu ħadu l-miżuri nazzjonali kollha meħtieġa. Il-Kummissjoni nediet proċeduri ta’ ksur kontra l-Istati Membri li ma kinux innotifikawha bil-miżuri meħtieġa. Fi tmiem l-2015, il-Belġju, il-Greċja, Spanja u l-Lussemburgu kien għad ma għandhomx NEBs kompletament operattivi jew sistemi komprensivi ta' penali għan-nuqqas ta’ konformità mar-Regolament.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L-approċċi tal-NEBs biex jinfurzaw ir-Regolament ivarjaw ħafna. Uħud minnhom huma proattivi ħafna billi jinfurmaw lill-passiġġieri dwar id-drittijiet tagħhom u billi jimmonitorjaw l-applikazzjoni, filwaqt li oħrajn jillimitaw ruħhom biss għall-ġestjoni tal-ilmenti.  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Hemm ukoll differenzi sinifikanti dwar l-infurzar effettiv tad-drittijiet tal-passiġġieri. F’xi Stati Membri, id-deċiżjonijiet tal-NEBs dwar l-ilmenti ma jorbtux lit-trasportaturi u ma hemm l-ebda mekkaniżmu ta' soluzzjoni alternattiva għat-tilwim</w:t>
      </w:r>
      <w:r>
        <w:rPr>
          <w:rStyle w:val="FootnoteReference"/>
          <w:rFonts w:ascii="Times New Roman" w:hAnsi="Times New Roman"/>
          <w:noProof/>
          <w:sz w:val="24"/>
        </w:rPr>
        <w:footnoteReference w:id="27"/>
      </w:r>
      <w:r>
        <w:rPr>
          <w:rFonts w:ascii="Times New Roman" w:hAnsi="Times New Roman"/>
          <w:noProof/>
          <w:sz w:val="24"/>
        </w:rPr>
        <w:t>, għalhekk il-passiġġieri jridu jressqu l-ilmenti tagħhom quddiem il-qorti. Din il-proċedura tiswa ħafna flus u tieħu ħafna ħin, u għalhekk ma tħeġġiġhomx jinfurzaw id-drittijiet tagħhom.</w:t>
      </w:r>
    </w:p>
    <w:p>
      <w:pPr>
        <w:spacing w:after="120" w:line="240" w:lineRule="auto"/>
        <w:ind w:left="567" w:hanging="567"/>
        <w:jc w:val="both"/>
        <w:rPr>
          <w:rFonts w:ascii="Times New Roman" w:eastAsia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</w:rPr>
        <w:t xml:space="preserve">c) </w:t>
      </w:r>
      <w:r>
        <w:rPr>
          <w:noProof/>
        </w:rPr>
        <w:tab/>
      </w:r>
      <w:r>
        <w:rPr>
          <w:rFonts w:ascii="Times New Roman" w:hAnsi="Times New Roman"/>
          <w:i/>
          <w:noProof/>
          <w:sz w:val="24"/>
        </w:rPr>
        <w:t xml:space="preserve">Id-diffikultà biex jiġu interpretati ċerti dispożizzjonijiet 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Ċerti dispożizzjonijiet fir-Regolament ġew interpretati b’mod differenti mill-NEBs jew mill-operaturi</w:t>
      </w:r>
      <w:r>
        <w:rPr>
          <w:rStyle w:val="FootnoteReference"/>
          <w:rFonts w:ascii="Times New Roman" w:hAnsi="Times New Roman"/>
          <w:noProof/>
          <w:sz w:val="24"/>
        </w:rPr>
        <w:footnoteReference w:id="28"/>
      </w:r>
      <w:r>
        <w:rPr>
          <w:noProof/>
        </w:rPr>
        <w:t>.</w:t>
      </w:r>
    </w:p>
    <w:p>
      <w:pPr>
        <w:spacing w:after="24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Il-partijiet ikkonċernati argumentaw li r-Regolament ma għandux jiġi emendat biex jiġu ċċarati dawn id-dispożizzjonijiet, iżda li l-Kummissjoni u l-NEBs għandhom jaqblu dwar kif dawn għandhom jiġu applikati fil-prattika.</w:t>
      </w:r>
    </w:p>
    <w:p>
      <w:pPr>
        <w:keepNext/>
        <w:spacing w:after="240" w:line="240" w:lineRule="auto"/>
        <w:ind w:left="567" w:hanging="567"/>
        <w:jc w:val="both"/>
        <w:outlineLvl w:val="1"/>
        <w:rPr>
          <w:rFonts w:ascii="Times New Roman" w:eastAsia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4.2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L-azzjoni tal-Kummissjoni biex tittejjeb l-applikazzjoni tar-Regolament</w:t>
      </w:r>
    </w:p>
    <w:p>
      <w:pPr>
        <w:spacing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Il-Kummissjoni ħadet il-miżuri li ġejjin biex tindirizza l-kwistjonijiet identifikati hawn fuq:</w:t>
      </w:r>
    </w:p>
    <w:p>
      <w:pPr>
        <w:spacing w:after="120" w:line="240" w:lineRule="auto"/>
        <w:ind w:left="567" w:hanging="567"/>
        <w:jc w:val="both"/>
        <w:rPr>
          <w:rFonts w:ascii="Times New Roman" w:eastAsia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</w:rPr>
        <w:t xml:space="preserve">a) </w:t>
      </w:r>
      <w:r>
        <w:rPr>
          <w:noProof/>
        </w:rPr>
        <w:tab/>
      </w:r>
      <w:r>
        <w:rPr>
          <w:rFonts w:ascii="Times New Roman" w:hAnsi="Times New Roman"/>
          <w:i/>
          <w:noProof/>
          <w:sz w:val="24"/>
        </w:rPr>
        <w:t>Azzjoni biex tqajjem kuxjenza dwar id-drittijiet tal-passiġġieri u l-obbligi tal-operaturi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F’Ġunju 2013, il-Kummissjoni nediet kampanja ta' informazzjoni ta’ sentejn dwar id-drittijiet tal-passiġġieri għall-mezzi kollha ta’ trasport, inkluż it-trasport fuq l-ilma. Din kienet tinkludi materjal stampat (posters u fuljetti disponibbli f’diversi portijiet u fuq bastimenti fl-UE kollha), l-użu tal-midja soċjali (YouTube, Facebook, Twitter), applikazzjoni tal-mowbajl u l-parteċipazzjoni f’fieri tat-turiżmu.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Il-Kummissjoni ppubblikat taqsira tar-Regolament li tintuża ħafna mill-NEBs u mill-operaturi biex jinfurmaw lill-passiġġieri dwar id-drittijiet tagħhom.</w:t>
      </w:r>
    </w:p>
    <w:p>
      <w:pPr>
        <w:spacing w:after="120" w:line="240" w:lineRule="auto"/>
        <w:ind w:left="567" w:hanging="567"/>
        <w:jc w:val="both"/>
        <w:rPr>
          <w:rFonts w:ascii="Times New Roman" w:eastAsia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</w:rPr>
        <w:t xml:space="preserve">b) </w:t>
      </w:r>
      <w:r>
        <w:rPr>
          <w:noProof/>
        </w:rPr>
        <w:tab/>
      </w:r>
      <w:r>
        <w:rPr>
          <w:rFonts w:ascii="Times New Roman" w:hAnsi="Times New Roman"/>
          <w:i/>
          <w:noProof/>
          <w:sz w:val="24"/>
        </w:rPr>
        <w:t xml:space="preserve">Azzjoni biex jitjieb l-infurzar 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Il-Kummissjoni nediet proċeduri ta’ ksur kontra l-Istati Membri kollha li naqsu milli jieħdu l-miżuri meħtieġa biex japplikaw ir-Regolament.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Hija organizzat laqgħat annwali fuq il-livell tal-UE</w:t>
      </w:r>
      <w:r>
        <w:rPr>
          <w:noProof/>
        </w:rPr>
        <w:noBreakHyphen/>
      </w:r>
      <w:r>
        <w:rPr>
          <w:rFonts w:ascii="Times New Roman" w:hAnsi="Times New Roman"/>
          <w:noProof/>
          <w:sz w:val="24"/>
        </w:rPr>
        <w:t xml:space="preserve"> li fihom l-NEBs u l-partijiet ikkonċernati jkunu jistgħu jaqsmu l-esperjenzi tagħhom dwar l-applikazzjoni tar-Regolament u jiskambjaw prattiki tajba.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Ġiet prodotta formola standard mhux obbligatorja f’kooperazzjoni mal-NEBs biex tgħin liċ-ċittadini jippreżentaw l-ilmenti tagħhom.</w:t>
      </w:r>
    </w:p>
    <w:p>
      <w:pPr>
        <w:spacing w:after="12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Barra minn hekk, il-Kummissjoni pprovdiet gwida u prassi tajba fil-laqgħat annwali mal-NEBs biex issaħħaħ il-kooperazzjoni bejn l-NEBs.</w:t>
      </w:r>
    </w:p>
    <w:p>
      <w:pPr>
        <w:spacing w:after="120" w:line="240" w:lineRule="auto"/>
        <w:ind w:left="567" w:hanging="567"/>
        <w:jc w:val="both"/>
        <w:rPr>
          <w:rFonts w:ascii="Times New Roman" w:eastAsia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</w:rPr>
        <w:t xml:space="preserve">c) </w:t>
      </w:r>
      <w:r>
        <w:rPr>
          <w:noProof/>
        </w:rPr>
        <w:tab/>
      </w:r>
      <w:r>
        <w:rPr>
          <w:rFonts w:ascii="Times New Roman" w:hAnsi="Times New Roman"/>
          <w:i/>
          <w:noProof/>
          <w:sz w:val="24"/>
        </w:rPr>
        <w:t xml:space="preserve">Azzjoni biex tiġi żgurata l-applikazzjoni uniformi ta’ dan ir-Regolament </w:t>
      </w:r>
    </w:p>
    <w:p>
      <w:pPr>
        <w:spacing w:after="240" w:line="240" w:lineRule="auto"/>
        <w:ind w:left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Fil-laqgħat annwali mal-NEBs u mar-rappreżentanti tal-partijiet ikkonċernati u b'korrispondenza bil-miktub, il-Kummissjoni pprovdiet kjarifika dwar l-applikazzjoni prattika ta’ diversi dispożizzjonijiet fir-Regolament, u b’hekk ikkontribwiet għall-applikazzjoni uniformi tiegħu mal-UE kollha.</w:t>
      </w:r>
    </w:p>
    <w:p>
      <w:pPr>
        <w:keepNext/>
        <w:spacing w:after="240" w:line="240" w:lineRule="auto"/>
        <w:ind w:left="567" w:hanging="567"/>
        <w:jc w:val="both"/>
        <w:outlineLvl w:val="1"/>
        <w:rPr>
          <w:rFonts w:ascii="Times New Roman" w:eastAsia="Times New Roman" w:hAnsi="Times New Roman"/>
          <w:b/>
          <w:smallCaps/>
          <w:noProof/>
          <w:sz w:val="24"/>
          <w:szCs w:val="24"/>
        </w:rPr>
      </w:pPr>
      <w:r>
        <w:rPr>
          <w:rFonts w:ascii="Times New Roman" w:hAnsi="Times New Roman"/>
          <w:b/>
          <w:smallCaps/>
          <w:noProof/>
          <w:sz w:val="24"/>
        </w:rPr>
        <w:t>5.</w:t>
      </w:r>
      <w:r>
        <w:rPr>
          <w:noProof/>
        </w:rPr>
        <w:tab/>
      </w:r>
      <w:r>
        <w:rPr>
          <w:rFonts w:ascii="Times New Roman" w:hAnsi="Times New Roman"/>
          <w:b/>
          <w:smallCaps/>
          <w:noProof/>
          <w:sz w:val="24"/>
        </w:rPr>
        <w:t>Konklużjonijiet u l-passi li jmiss</w:t>
      </w:r>
    </w:p>
    <w:p>
      <w:pPr>
        <w:spacing w:after="240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Il-Kummissjoni tqis li l-implimentazzjoni ġenerali tar-Regolament hija sodisfaċenti. Ir-Regolament daħal fis-seħħ dan l-aħħar u f'dan l-istadju jidher li huwa flessibbli biżżejjed biex jakkomoda t-titjib mingħajr il-ħtieġa li jsiru xi emendi. Il-partijiet ikkonċernati huma tal-istess fehma.</w:t>
      </w:r>
    </w:p>
    <w:p>
      <w:pPr>
        <w:spacing w:after="120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Madankollu, biex jingħelbu l-aħħar ostakli li l-passiġġieri jistgħu jiltaqgħu magħhom waqt li jgawdu mid-drittijiet tagħhom jew waqt li dawn jiġu infurzati, il-Kummissjoni:</w:t>
      </w:r>
    </w:p>
    <w:p>
      <w:pPr>
        <w:pStyle w:val="ListParagraph"/>
        <w:numPr>
          <w:ilvl w:val="0"/>
          <w:numId w:val="43"/>
        </w:numPr>
        <w:spacing w:after="120"/>
        <w:ind w:left="567" w:hanging="567"/>
        <w:contextualSpacing w:val="0"/>
        <w:jc w:val="both"/>
        <w:rPr>
          <w:noProof/>
        </w:rPr>
      </w:pPr>
      <w:r>
        <w:rPr>
          <w:noProof/>
        </w:rPr>
        <w:t>fl-2016 se tniedi t-tielet (ta' sentejn) kampanja ta’ informazzjoni dwar id-drittijiet tal-passiġġieri li se tiffoka fuq il-midja soċjali. Din se tistieden lill-NEBs, lill-industrija, lill-organizzazzjonijiet tad-drittijiet tal-passiġġieri u lil partijiet ikkonċernati oħra biex jingħaqdu fl-isforzi tagħha jew biex iniedu attivitajiet simili fil-livell tagħhom;</w:t>
      </w:r>
    </w:p>
    <w:p>
      <w:pPr>
        <w:pStyle w:val="ListParagraph"/>
        <w:numPr>
          <w:ilvl w:val="0"/>
          <w:numId w:val="43"/>
        </w:numPr>
        <w:spacing w:after="120"/>
        <w:ind w:left="567" w:hanging="567"/>
        <w:contextualSpacing w:val="0"/>
        <w:jc w:val="both"/>
        <w:rPr>
          <w:noProof/>
        </w:rPr>
      </w:pPr>
      <w:r>
        <w:rPr>
          <w:noProof/>
        </w:rPr>
        <w:t>se tkompli bil-proċeduri ta' ksur li għadhom għaddejjin kontra l-Istati Membri kkonċernati sakemm ikollhom fis-seħħ NEBs operazzjonali u sistemi ta' penali li jippermettulhom jippenalizzaw kwalunkwe ksur tar-Regolament;</w:t>
      </w:r>
    </w:p>
    <w:p>
      <w:pPr>
        <w:pStyle w:val="ListParagraph"/>
        <w:numPr>
          <w:ilvl w:val="0"/>
          <w:numId w:val="43"/>
        </w:numPr>
        <w:spacing w:after="120"/>
        <w:ind w:left="567" w:hanging="567"/>
        <w:contextualSpacing w:val="0"/>
        <w:jc w:val="both"/>
        <w:rPr>
          <w:noProof/>
        </w:rPr>
      </w:pPr>
      <w:r>
        <w:rPr>
          <w:noProof/>
          <w:color w:val="0D0D0D" w:themeColor="text1" w:themeTint="F2"/>
        </w:rPr>
        <w:t>se tistieden lill-NEBs biex iwettqu żjarat fuq il-vapuri u f'terminals, fost l-oħrajn biex jivverifikaw kif ir-Regolament jiġi applikat fil-prattika u biex jedukaw lill-operaturi dwar l-obbligi tagħhom skont ir-Regolament. L-NEBs huma</w:t>
      </w:r>
      <w:r>
        <w:rPr>
          <w:noProof/>
        </w:rPr>
        <w:t xml:space="preserve"> mistiedna wkoll jeżaminaw il-paġni ewlenin tas-siti web tat-trasportaturi biex fost l-oħrajn jiżguraw li jkun fihom informazzjoni dwar id-drittijiet tal-passiġġieri u li l-klawsoli ġenerali tal-kuntratt ikunu konformi mar-Regolament;</w:t>
      </w:r>
    </w:p>
    <w:p>
      <w:pPr>
        <w:pStyle w:val="ListParagraph"/>
        <w:numPr>
          <w:ilvl w:val="0"/>
          <w:numId w:val="43"/>
        </w:numPr>
        <w:spacing w:after="120"/>
        <w:ind w:left="567" w:hanging="567"/>
        <w:contextualSpacing w:val="0"/>
        <w:jc w:val="both"/>
        <w:rPr>
          <w:noProof/>
        </w:rPr>
      </w:pPr>
      <w:r>
        <w:rPr>
          <w:noProof/>
        </w:rPr>
        <w:t>tħeġġeġ lil dawk l-Istati Membri li bħalissa ma joffrux mekkaniżmu ta' soluzzjoni alternattiva għat-tilwim għad-drittijiet tal-passiġġieri biex idaħħlu fis-seħħ mekkaniżmu bħal dan skont id-Direttiva 2013/11/UE</w:t>
      </w:r>
      <w:r>
        <w:rPr>
          <w:rStyle w:val="FootnoteReference"/>
          <w:noProof/>
        </w:rPr>
        <w:footnoteReference w:id="29"/>
      </w:r>
      <w:r>
        <w:rPr>
          <w:noProof/>
        </w:rPr>
        <w:t xml:space="preserve"> sabiex il-passiġġieri jingħataw rimedju iktar malajr u inqas għoli għad-drittijiet tagħhom;</w:t>
      </w:r>
    </w:p>
    <w:p>
      <w:pPr>
        <w:pStyle w:val="ListParagraph"/>
        <w:numPr>
          <w:ilvl w:val="0"/>
          <w:numId w:val="43"/>
        </w:numPr>
        <w:spacing w:after="120"/>
        <w:ind w:left="567" w:hanging="567"/>
        <w:contextualSpacing w:val="0"/>
        <w:jc w:val="both"/>
        <w:rPr>
          <w:noProof/>
        </w:rPr>
      </w:pPr>
      <w:r>
        <w:rPr>
          <w:noProof/>
        </w:rPr>
        <w:t>se tkompli torganizza laqgħat regolari mal-NEBs u mar-rappreżentanti tal-partijiet ikkonċernati biex jintlaħaq fehim komuni dwar l-interpretazzjoni u l-implimentazzjoni tar-Regolament, u biex jissaħħu l-kooperazzjoni u l-qsim ta’ esperjenzi (bħad-diffikultajiet li ltaqgħu magħhom u l-prattiki tajba); u</w:t>
      </w:r>
    </w:p>
    <w:p>
      <w:pPr>
        <w:pStyle w:val="ListParagraph"/>
        <w:numPr>
          <w:ilvl w:val="0"/>
          <w:numId w:val="43"/>
        </w:numPr>
        <w:spacing w:after="120"/>
        <w:ind w:left="567" w:hanging="567"/>
        <w:contextualSpacing w:val="0"/>
        <w:jc w:val="both"/>
        <w:rPr>
          <w:noProof/>
        </w:rPr>
      </w:pPr>
      <w:r>
        <w:rPr>
          <w:noProof/>
        </w:rPr>
        <w:t>jekk ikun hemm bżonn, se tippubblika linji gwida interpretattivi ġenerali biex jipprovdu aktar ċarezza (kif għamlet fil-passat għal mezzi oħra ta’ trasport) u/jew dokumenti ta' prattika tajba dwar kwistjonijiet speċifiċi (eż. kif jiġu sodisfatti aħjar il-ħtiġijiet speċifiċi tal-persuni b’diżabilità jew b’mobilità mnaqqsa).</w:t>
      </w:r>
    </w:p>
    <w:sectPr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  <w:endnote w:type="continuationNotice" w:id="1">
    <w:p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type="continuationNotice" w:id="1">
    <w:p>
      <w:pPr>
        <w:spacing w:after="0" w:line="240" w:lineRule="auto"/>
      </w:pPr>
    </w:p>
  </w:footnote>
  <w:footnote w:id="2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  <w:t>Ir-Regolament (UE) Nru 1177/2010 tal-Parlament Ewropew u tal-Kunsill tal-24 ta’ Novembru 2010 dwar id-drittijiet tal-passiġġieri meta jivvjaġġaw bil-baħar jew minn passaġġi fuq l-ilma interni u li jemenda r-Regolament (KE) Nru 2006/2004 (ĠU L 334, 17.12.2010, p. 1).</w:t>
      </w:r>
    </w:p>
  </w:footnote>
  <w:footnote w:id="3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  <w:t>L-Artikolu 26 tar-Regolament jobbliga lill-awtoritajiet nazzjonali nnominati mill-Istati Membri biex jippubblikaw rapport sal-1 ta' Ġunju 2015, u biex kull sentejn wara din id-data juru l-attivitajiet ta' infurzar tagħhom fis-sentejn kalendarji preċedenti. Ir-rapporti huma disponibbli fuq il-paġni ewlenin tas-sit web tal-awtoritajiet.</w:t>
      </w:r>
    </w:p>
  </w:footnote>
  <w:footnote w:id="4">
    <w:p>
      <w:pPr>
        <w:pStyle w:val="FootnoteText"/>
        <w:ind w:left="284" w:hanging="284"/>
        <w:rPr>
          <w:i/>
        </w:rPr>
      </w:pPr>
      <w:r>
        <w:rPr>
          <w:rStyle w:val="FootnoteReference"/>
        </w:rPr>
        <w:footnoteRef/>
      </w:r>
      <w:r>
        <w:t xml:space="preserve"> </w:t>
      </w:r>
      <w:r>
        <w:tab/>
        <w:t>Il-Kummissjoni stiednet lill-organizzazzjonijiet li jirrappreżentaw lill-passiġġieri (inklużi dawk b'xi diżabilità), lis-sidien tal-vapuri, lill-operaturi tal-portijiet u tal-kruċieri fil-livell tal-UE biex jibagħtu l-osservazzjonijiet tagħhom bil-miktub fuq l-operat tar-Regolament u biex fl-14 ta' Diċembru 2015 jieħdu sehem fil-laqgħa tal-partijiet ikkonċernati fi Brussell. L-organizzazzjonijiet li ġejjin laqgħu l-istedina tal-Kummissjoni: l-Assoċjazzjoni Internazzjonali tal-Kruċieri — tal-Ewropa (CLIA Europe), l-Assoċjazzjonijiet tas-Sidien tal-Bastimenti tal-Komunità Ewropea (ECSA), il-Forum Ewropew dwar id-Diżabilità (EDF), il-Federazzjoni Ewropea tal-Passiġġieri (EPF) u l-Organizzazzjoni Ewropea tal-Portijiet tal-Baħar (ESPO).</w:t>
      </w:r>
    </w:p>
  </w:footnote>
  <w:footnote w:id="5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  <w:t>Ara l-p. 15 tal-valutazzjoni tal-impatt dwar il-proposta għar-Regolament dwar id-Drittijiet tal-Passiġġieri fuq l-Ilma (SEC(2008) 2950).</w:t>
      </w:r>
    </w:p>
  </w:footnote>
  <w:footnote w:id="6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</w:r>
      <w:r>
        <w:rPr>
          <w:i/>
        </w:rPr>
        <w:t>EU transport in figures</w:t>
      </w:r>
      <w:r>
        <w:t>, statistical pocketbook, il-Kummissjoni Ewropea, 2015.</w:t>
      </w:r>
    </w:p>
  </w:footnote>
  <w:footnote w:id="7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</w:r>
      <w:r>
        <w:rPr>
          <w:i/>
        </w:rPr>
        <w:t>Ibid</w:t>
      </w:r>
      <w:r>
        <w:t>.</w:t>
      </w:r>
    </w:p>
  </w:footnote>
  <w:footnote w:id="8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  <w:t>Karatteristika tal-passiġġieri tat-trasport fuq l-ilma, meta mqabbla ma' mezzi oħra ta' trasport kollettiv, hija li l-maġġoranza assoluta tal-passiġġieri jivvjaġġaw b'laneċ roll on/roll off (ro-ro) mal-grupp tagħhom, bil-karozza tagħhom jew bħala parti minn vjaġġ bil-kowċ.</w:t>
      </w:r>
    </w:p>
  </w:footnote>
  <w:footnote w:id="9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  <w:t>Ir-Regolament ma jkoprix:</w:t>
      </w:r>
    </w:p>
    <w:p>
      <w:pPr>
        <w:pStyle w:val="FootnoteText"/>
        <w:numPr>
          <w:ilvl w:val="0"/>
          <w:numId w:val="40"/>
        </w:numPr>
      </w:pPr>
      <w:r>
        <w:t>il-vapuri li jġorru sa 12-il passiġġier;</w:t>
      </w:r>
    </w:p>
    <w:p>
      <w:pPr>
        <w:pStyle w:val="FootnoteText"/>
        <w:numPr>
          <w:ilvl w:val="0"/>
          <w:numId w:val="40"/>
        </w:numPr>
      </w:pPr>
      <w:r>
        <w:t>il-vapuri li għandhom ekwipaġġ ta' mhux aktar minn 3 persuni responsabbli mill-operat tal-vapur;</w:t>
      </w:r>
    </w:p>
    <w:p>
      <w:pPr>
        <w:pStyle w:val="FootnoteText"/>
        <w:numPr>
          <w:ilvl w:val="0"/>
          <w:numId w:val="40"/>
        </w:numPr>
      </w:pPr>
      <w:r>
        <w:t>is-servizzi ta' trasport tal-passiġġieri b'distanza ta' inqas minn 500m, għal vjaġġ b'destinazzjoni waħda;</w:t>
      </w:r>
    </w:p>
    <w:p>
      <w:pPr>
        <w:pStyle w:val="FootnoteText"/>
        <w:numPr>
          <w:ilvl w:val="0"/>
          <w:numId w:val="40"/>
        </w:numPr>
      </w:pPr>
      <w:r>
        <w:t>l-eskursjonijiet u u ż-żjajjar turistiċi apparti l-kruċieri;</w:t>
      </w:r>
    </w:p>
    <w:p>
      <w:pPr>
        <w:pStyle w:val="FootnoteText"/>
        <w:numPr>
          <w:ilvl w:val="0"/>
          <w:numId w:val="40"/>
        </w:numPr>
      </w:pPr>
      <w:r>
        <w:t>il-vapuri li ma jitħaddmux b’mezzi mekkaniċi, u</w:t>
      </w:r>
    </w:p>
    <w:p>
      <w:pPr>
        <w:pStyle w:val="FootnoteText"/>
        <w:numPr>
          <w:ilvl w:val="0"/>
          <w:numId w:val="40"/>
        </w:numPr>
      </w:pPr>
      <w:r>
        <w:t>r-repliki oriġinali u individwali ta' vapuri tal-passiġġieri storiċi ddisinjati qabel l-1965, mibnija l-aktar b'materjal oriġinali u ċċertifikati li jġorru sa 36 passiġġier.</w:t>
      </w:r>
    </w:p>
  </w:footnote>
  <w:footnote w:id="10">
    <w:p>
      <w:pPr>
        <w:pStyle w:val="FootnoteText"/>
        <w:ind w:left="284" w:hanging="284"/>
        <w:rPr>
          <w:color w:val="0D0D0D" w:themeColor="text1" w:themeTint="F2"/>
        </w:rPr>
      </w:pPr>
      <w:r>
        <w:rPr>
          <w:rStyle w:val="FootnoteReference"/>
          <w:color w:val="0D0D0D" w:themeColor="text1" w:themeTint="F2"/>
        </w:rPr>
        <w:footnoteRef/>
      </w:r>
      <w:r>
        <w:rPr>
          <w:color w:val="0D0D0D" w:themeColor="text1" w:themeTint="F2"/>
        </w:rPr>
        <w:t xml:space="preserve"> </w:t>
      </w:r>
      <w:r>
        <w:tab/>
      </w:r>
      <w:r>
        <w:rPr>
          <w:color w:val="0D0D0D" w:themeColor="text1" w:themeTint="F2"/>
        </w:rPr>
        <w:t>Ir-Regolament (KE) Nru 392/2009 tal-Parlament Ewropew u tal-Kunsill tat-23 ta' April 2009 dwar ir-responsabbiltà tat-trasportaturi ta' passiġġieri bil-baħar fil-każ ta' aċċidenti (ĠU L 131, 28.5.2009, p. 24).</w:t>
      </w:r>
    </w:p>
  </w:footnote>
  <w:footnote w:id="11">
    <w:p>
      <w:pPr>
        <w:pStyle w:val="FootnoteText"/>
        <w:ind w:left="284" w:hanging="284"/>
        <w:rPr>
          <w:color w:val="0D0D0D" w:themeColor="text1" w:themeTint="F2"/>
        </w:rPr>
      </w:pPr>
      <w:r>
        <w:rPr>
          <w:rStyle w:val="FootnoteReference"/>
          <w:color w:val="0D0D0D" w:themeColor="text1" w:themeTint="F2"/>
        </w:rPr>
        <w:footnoteRef/>
      </w:r>
      <w:r>
        <w:rPr>
          <w:color w:val="0D0D0D" w:themeColor="text1" w:themeTint="F2"/>
        </w:rPr>
        <w:t xml:space="preserve"> </w:t>
      </w:r>
      <w:r>
        <w:tab/>
      </w:r>
      <w:r>
        <w:rPr>
          <w:color w:val="0D0D0D" w:themeColor="text1" w:themeTint="F2"/>
        </w:rPr>
        <w:t>Il-kamp ta' applikazzjoni tar-Regolament (KE) Nru 392/2009 huwa differenti minn dak tar-Regolament (UE) Nru 1177/2010, għaliex japplika għas-servizzi marittimi mhux koperti mill-aħħar Regolament iżda ma japplikax għas-servizzi tal-passaġġ fuq l-ilma interni.</w:t>
      </w:r>
    </w:p>
  </w:footnote>
  <w:footnote w:id="12">
    <w:p>
      <w:pPr>
        <w:pStyle w:val="FootnoteText"/>
        <w:ind w:left="284" w:hanging="284"/>
        <w:rPr>
          <w:color w:val="0D0D0D" w:themeColor="text1" w:themeTint="F2"/>
        </w:rPr>
      </w:pPr>
      <w:r>
        <w:rPr>
          <w:rStyle w:val="FootnoteReference"/>
          <w:color w:val="0D0D0D" w:themeColor="text1" w:themeTint="F2"/>
        </w:rPr>
        <w:footnoteRef/>
      </w:r>
      <w:r>
        <w:rPr>
          <w:color w:val="0D0D0D" w:themeColor="text1" w:themeTint="F2"/>
        </w:rPr>
        <w:t xml:space="preserve"> </w:t>
      </w:r>
      <w:r>
        <w:tab/>
      </w:r>
      <w:r>
        <w:rPr>
          <w:color w:val="0D0D0D" w:themeColor="text1" w:themeTint="F2"/>
        </w:rPr>
        <w:t>Id-Direttiva (UE) 2015/2302 tal-Parlament Ewropew u tal-Kunsill tal-25 ta' Novembru 2015 dwar pakketti tal-ivvjaġġar u arranġamenti tal-ivvjaġġar marbuta, li temenda r-Regolament (KE) Nru 2006/2004 u d-Direttiva 2011/83/UE tal-Parlament Ewropew u tal-Kunsill u li tħassar id-Direttiva tal-Kunsill 90/314/KEE (ĠU L 326, 11.12.2015, p. 1).</w:t>
      </w:r>
    </w:p>
  </w:footnote>
  <w:footnote w:id="13">
    <w:p>
      <w:pPr>
        <w:pStyle w:val="FootnoteText"/>
        <w:rPr>
          <w:color w:val="0D0D0D" w:themeColor="text1" w:themeTint="F2"/>
        </w:rPr>
      </w:pPr>
      <w:r>
        <w:rPr>
          <w:rStyle w:val="FootnoteReference"/>
          <w:color w:val="0D0D0D" w:themeColor="text1" w:themeTint="F2"/>
        </w:rPr>
        <w:footnoteRef/>
      </w:r>
      <w:r>
        <w:rPr>
          <w:color w:val="0D0D0D" w:themeColor="text1" w:themeTint="F2"/>
        </w:rPr>
        <w:t xml:space="preserve">   ĠU L 163, 25.6.2009, p. 1.</w:t>
      </w:r>
    </w:p>
  </w:footnote>
  <w:footnote w:id="14">
    <w:p>
      <w:pPr>
        <w:pStyle w:val="FootnoteText"/>
        <w:rPr>
          <w:color w:val="0D0D0D" w:themeColor="text1" w:themeTint="F2"/>
          <w:lang w:val="hu-HU"/>
        </w:rPr>
      </w:pPr>
      <w:r>
        <w:rPr>
          <w:rStyle w:val="FootnoteReference"/>
          <w:color w:val="0D0D0D" w:themeColor="text1" w:themeTint="F2"/>
        </w:rPr>
        <w:footnoteRef/>
      </w:r>
      <w:r>
        <w:rPr>
          <w:color w:val="0D0D0D" w:themeColor="text1" w:themeTint="F2"/>
        </w:rPr>
        <w:t xml:space="preserve">   ĠU L 138, 1.6.1999, p. 1.</w:t>
      </w:r>
    </w:p>
  </w:footnote>
  <w:footnote w:id="15">
    <w:p>
      <w:pPr>
        <w:pStyle w:val="FootnoteText"/>
        <w:rPr>
          <w:color w:val="0D0D0D" w:themeColor="text1" w:themeTint="F2"/>
        </w:rPr>
      </w:pPr>
      <w:r>
        <w:rPr>
          <w:rStyle w:val="FootnoteReference"/>
          <w:color w:val="0D0D0D" w:themeColor="text1" w:themeTint="F2"/>
        </w:rPr>
        <w:footnoteRef/>
      </w:r>
      <w:r>
        <w:rPr>
          <w:color w:val="0D0D0D" w:themeColor="text1" w:themeTint="F2"/>
        </w:rPr>
        <w:t xml:space="preserve">   ĠU L 188, 2.7.1998, p. 35.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  ĠU L 364, 9.12.2004, p. 1.</w:t>
      </w:r>
    </w:p>
  </w:footnote>
  <w:footnote w:id="17">
    <w:p>
      <w:pPr>
        <w:pStyle w:val="FootnoteText"/>
        <w:ind w:left="284" w:hanging="284"/>
      </w:pPr>
      <w:r>
        <w:rPr>
          <w:rStyle w:val="FootnoteReference"/>
          <w:color w:val="0D0D0D" w:themeColor="text1" w:themeTint="F2"/>
        </w:rPr>
        <w:footnoteRef/>
      </w:r>
      <w:r>
        <w:rPr>
          <w:color w:val="0D0D0D" w:themeColor="text1" w:themeTint="F2"/>
        </w:rPr>
        <w:t xml:space="preserve"> </w:t>
      </w:r>
      <w:r>
        <w:tab/>
      </w:r>
      <w:r>
        <w:rPr>
          <w:color w:val="0D0D0D" w:themeColor="text1" w:themeTint="F2"/>
        </w:rPr>
        <w:t>Għal-lista tal-NEBs responsabbli mill-infurzar tar-Regolament ara:</w:t>
      </w:r>
      <w:r>
        <w:tab/>
      </w:r>
      <w:r>
        <w:rPr>
          <w:color w:val="0D0D0D" w:themeColor="text1" w:themeTint="F2"/>
        </w:rPr>
        <w:br/>
      </w:r>
      <w:hyperlink r:id="rId1">
        <w:r>
          <w:rPr>
            <w:rStyle w:val="Hyperlink"/>
            <w:color w:val="0D0D0D" w:themeColor="text1" w:themeTint="F2"/>
            <w:u w:val="none"/>
          </w:rPr>
          <w:t>http://ec.europa.eu/transport/themes/passengers/maritime/doc/2010_1177_national_enforcement_bodies.pdf</w:t>
        </w:r>
      </w:hyperlink>
    </w:p>
  </w:footnote>
  <w:footnote w:id="18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  <w:t>Ċifri meħuda mir-rapport ta' attività tal-NEB. Fejn ma hemmx ċifri disponibbli (Mhux Applikabbli) ma kienx hemm NEB operattiv f'dak l-Istat Membru fis-sena inkwistjoni jew ma kienx hemm fis-seħħ sistema ta' penali biex jingħataw sanzjoni l-operaturi li jiksru r-Regolament jew l-NEB ma ppubblikax ir-rapport ta' attività tiegħu.</w:t>
      </w:r>
    </w:p>
  </w:footnote>
  <w:footnote w:id="19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  <w:t>Dawn il-laqgħat saru pereżempju fid-Danimarka, fil-Ġermanja, fil-Finlandja u fir-Renju Unit.</w:t>
      </w:r>
    </w:p>
  </w:footnote>
  <w:footnote w:id="20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  <w:t>Fir-rapporti tagħhom l-awtoritajiet Ġermaniżi, Irlandiżi u tar-Renju Unit iddikjaraw li ppubblikaw dawn il-linji gwida.</w:t>
      </w:r>
    </w:p>
  </w:footnote>
  <w:footnote w:id="21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  <w:t>L-NEBs Estonjani, Żvediżi u Finlandiżi rrapportaw dwar dawn l-attivitajiet.</w:t>
      </w:r>
    </w:p>
  </w:footnote>
  <w:footnote w:id="22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  <w:t>L-NEBs Ċeki, Daniżi, Ġermaniżi, Estonjani, Griegi, Litwani, Finlandiżi, Żvediżi u tar-Renju Unit indikaw li jispezzjonaw il-vapuri u t-terminals u li jimmonitorjaw fuq bażi regolari l-paġni ewlenin tas-siti web tal-operaturi.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  Ara n-nota ta' qiegħ il-paġna 3. </w:t>
      </w:r>
    </w:p>
  </w:footnote>
  <w:footnote w:id="24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  <w:t>Iċ-Ċentru ta’ Kuntatt Europe Direct (EDCC) huwa servizz iffinanzjat mill-Kummissjoni li jipprovdi informazzjoni mingħajr ħlas għaċ-ċittadini u għan-negozji dwar il-liġi tal-UE. Iċ-Ċentru rċieva mal-150 mistoqsija bejn id-data li fiha daħal fis-seħħ ir-Regolament u l-15 ta’ Novembru 2015 (dan jirrappreżenta biss 0,8 % tal-mistoqsijiet kollha tal-passiġġieri dwar id-drittijiet), li minnhom aktar minn 80 % huma relatati mad-drittijiet tal-passiġġieri f'każ ta’ dewmien jew kanċellazzjoni. Ir-rapporti tal-NEB li jagħtu r-raġunijiet għall-ilmenti tal-passiġġieri juru perċentwali simili jew anke ogħla ta’ ilmenti relatati man-nuqqas ta’ assistenza jew ta' kumpens f’każ ta’ dewmien jew kanċellazzjoni.</w:t>
      </w:r>
    </w:p>
  </w:footnote>
  <w:footnote w:id="25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  <w:t xml:space="preserve">Pereżempju, l-ilmenti dwar is-servizzi li jaqgħu barra mill-kamp ta’ applikazzjoni tar-Regolament, bħall-ilmenti relatati mal-iġjene jew mal-kwalità tas-servizz. </w:t>
      </w:r>
    </w:p>
  </w:footnote>
  <w:footnote w:id="26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  <w:t>Pereżempju, l-ilmenti dwar kumpens għall-kanċellazzjoni jew għad-dewmien ikkawżat minn kundizzjonijiet tat-temp li jipperikolaw l-operat sikur tal-vapur.</w:t>
      </w:r>
    </w:p>
  </w:footnote>
  <w:footnote w:id="27">
    <w:p>
      <w:pPr>
        <w:pStyle w:val="FootnoteText"/>
      </w:pPr>
      <w:r>
        <w:rPr>
          <w:rStyle w:val="FootnoteReference"/>
        </w:rPr>
        <w:footnoteRef/>
      </w:r>
      <w:r>
        <w:t xml:space="preserve">  Għalkemm id-Direttiva 2013/11/UE tal-21 ta’ Mejju 2013 dwar is-soluzzjoni alternattiva għat-tilwim, għat-tilwim tal-konsumaturi (ĠU L 165, 18.6.2013, p. 63) għandha l-għan li tiżgura aċċess għal proċeduri ta’ soluzzjoni alternattiva għat-tilwim biex issolvi t-tilwim kuntrattwali bejn il-konsumaturi residenti fl-UE u n-negozjanti stabbiliti fl-UE, anke fis-settur tat-trasport.</w:t>
      </w:r>
    </w:p>
  </w:footnote>
  <w:footnote w:id="28">
    <w:p>
      <w:pPr>
        <w:pStyle w:val="FootnoteText"/>
        <w:ind w:left="284" w:hanging="284"/>
      </w:pPr>
      <w:r>
        <w:rPr>
          <w:rStyle w:val="FootnoteReference"/>
        </w:rPr>
        <w:footnoteRef/>
      </w:r>
      <w:r>
        <w:t xml:space="preserve"> </w:t>
      </w:r>
      <w:r>
        <w:tab/>
        <w:t>Pereżempju, ġew espressi fehmiet differenti dwar liema servizzi huma koperti bir-Regolament jekk il-port tal-imbark jinsab f’pajjiż mhux tal-UE u l-port tal-iżbark jinsab fi Stat Membru (ara l-Artikolu 2(1)(b) flimkien mal-Artikolu 3(e)) jew jekk l-obbligu tat-trasportatur li jagħti lill-passiġġieri rotta alternattiva “skont kundizzjonijiet tat-trasport komparabbli” f’każ ta’ dewmien jew kanċellazzjoni (l-Artikolu 18(1)(a)) għandu jiġi interpretat li jinkludi l-possibbiltà ta' tibdil tar-rotta tagħhom b'mezzi oħra ta’ trasport.</w:t>
      </w:r>
    </w:p>
  </w:footnote>
  <w:footnote w:id="29">
    <w:p>
      <w:pPr>
        <w:pStyle w:val="FootnoteText"/>
        <w:rPr>
          <w:lang w:val="hu-HU"/>
        </w:rPr>
      </w:pPr>
      <w:r>
        <w:rPr>
          <w:rStyle w:val="FootnoteReference"/>
        </w:rPr>
        <w:footnoteRef/>
      </w:r>
      <w:r>
        <w:t xml:space="preserve"> Ara n-nota ta' qiegħ il-paġna 24.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60ECB"/>
    <w:multiLevelType w:val="hybridMultilevel"/>
    <w:tmpl w:val="5E565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3294B"/>
    <w:multiLevelType w:val="hybridMultilevel"/>
    <w:tmpl w:val="CD583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B581E"/>
    <w:multiLevelType w:val="hybridMultilevel"/>
    <w:tmpl w:val="89E48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510383"/>
    <w:multiLevelType w:val="hybridMultilevel"/>
    <w:tmpl w:val="C82854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AF26D49"/>
    <w:multiLevelType w:val="hybridMultilevel"/>
    <w:tmpl w:val="A68275F6"/>
    <w:lvl w:ilvl="0" w:tplc="3DF2C38E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>
    <w:nsid w:val="1DEB7B4E"/>
    <w:multiLevelType w:val="hybridMultilevel"/>
    <w:tmpl w:val="88386784"/>
    <w:lvl w:ilvl="0" w:tplc="4BC05A7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857BEF"/>
    <w:multiLevelType w:val="hybridMultilevel"/>
    <w:tmpl w:val="8020C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8B60FE"/>
    <w:multiLevelType w:val="hybridMultilevel"/>
    <w:tmpl w:val="57D0632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6386E47"/>
    <w:multiLevelType w:val="hybridMultilevel"/>
    <w:tmpl w:val="8DBCE6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7EA6345"/>
    <w:multiLevelType w:val="hybridMultilevel"/>
    <w:tmpl w:val="A3768B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0975262"/>
    <w:multiLevelType w:val="hybridMultilevel"/>
    <w:tmpl w:val="7C02F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194AB9"/>
    <w:multiLevelType w:val="hybridMultilevel"/>
    <w:tmpl w:val="E45A077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A9420B"/>
    <w:multiLevelType w:val="hybridMultilevel"/>
    <w:tmpl w:val="0C56AB8C"/>
    <w:lvl w:ilvl="0" w:tplc="08090001">
      <w:start w:val="1"/>
      <w:numFmt w:val="bullet"/>
      <w:lvlText w:val=""/>
      <w:lvlJc w:val="left"/>
      <w:pPr>
        <w:tabs>
          <w:tab w:val="num" w:pos="1296"/>
        </w:tabs>
        <w:ind w:left="1296" w:hanging="567"/>
      </w:pPr>
      <w:rPr>
        <w:rFonts w:ascii="Symbol" w:hAnsi="Symbol" w:hint="default"/>
      </w:rPr>
    </w:lvl>
    <w:lvl w:ilvl="1" w:tplc="08090003">
      <w:numFmt w:val="bullet"/>
      <w:lvlText w:val="-"/>
      <w:lvlJc w:val="left"/>
      <w:pPr>
        <w:tabs>
          <w:tab w:val="num" w:pos="2169"/>
        </w:tabs>
        <w:ind w:left="2169" w:hanging="360"/>
      </w:pPr>
      <w:rPr>
        <w:rFonts w:ascii="Times New Roman" w:eastAsia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889"/>
        </w:tabs>
        <w:ind w:left="288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609"/>
        </w:tabs>
        <w:ind w:left="360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329"/>
        </w:tabs>
        <w:ind w:left="43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9"/>
        </w:tabs>
        <w:ind w:left="50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9"/>
        </w:tabs>
        <w:ind w:left="64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9"/>
        </w:tabs>
        <w:ind w:left="7209" w:hanging="360"/>
      </w:pPr>
      <w:rPr>
        <w:rFonts w:ascii="Wingdings" w:hAnsi="Wingdings" w:hint="default"/>
      </w:rPr>
    </w:lvl>
  </w:abstractNum>
  <w:abstractNum w:abstractNumId="13">
    <w:nsid w:val="338F246A"/>
    <w:multiLevelType w:val="hybridMultilevel"/>
    <w:tmpl w:val="4AF4F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72198B"/>
    <w:multiLevelType w:val="hybridMultilevel"/>
    <w:tmpl w:val="1A7E9D3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AB609B"/>
    <w:multiLevelType w:val="hybridMultilevel"/>
    <w:tmpl w:val="ADDA2F5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5B20AB"/>
    <w:multiLevelType w:val="hybridMultilevel"/>
    <w:tmpl w:val="5EAE94E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9B6284"/>
    <w:multiLevelType w:val="hybridMultilevel"/>
    <w:tmpl w:val="FB2C6B1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EB5F01"/>
    <w:multiLevelType w:val="hybridMultilevel"/>
    <w:tmpl w:val="2F3C840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47B5BDD"/>
    <w:multiLevelType w:val="hybridMultilevel"/>
    <w:tmpl w:val="A9C69014"/>
    <w:lvl w:ilvl="0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20">
    <w:nsid w:val="47B35768"/>
    <w:multiLevelType w:val="hybridMultilevel"/>
    <w:tmpl w:val="9D44D6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8052000"/>
    <w:multiLevelType w:val="hybridMultilevel"/>
    <w:tmpl w:val="8E62D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662A4C"/>
    <w:multiLevelType w:val="hybridMultilevel"/>
    <w:tmpl w:val="E6FE61BA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16605BD"/>
    <w:multiLevelType w:val="hybridMultilevel"/>
    <w:tmpl w:val="A1EC4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2222296"/>
    <w:multiLevelType w:val="hybridMultilevel"/>
    <w:tmpl w:val="29E237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4E778F1"/>
    <w:multiLevelType w:val="hybridMultilevel"/>
    <w:tmpl w:val="7B3E66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0E54DD"/>
    <w:multiLevelType w:val="hybridMultilevel"/>
    <w:tmpl w:val="8D906510"/>
    <w:lvl w:ilvl="0" w:tplc="5B5A14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576858"/>
    <w:multiLevelType w:val="hybridMultilevel"/>
    <w:tmpl w:val="92429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D421EF"/>
    <w:multiLevelType w:val="hybridMultilevel"/>
    <w:tmpl w:val="3B7C79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5F488A"/>
    <w:multiLevelType w:val="hybridMultilevel"/>
    <w:tmpl w:val="F762FB80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31C00DE"/>
    <w:multiLevelType w:val="hybridMultilevel"/>
    <w:tmpl w:val="0058A552"/>
    <w:lvl w:ilvl="0" w:tplc="3DF2C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FC7684"/>
    <w:multiLevelType w:val="hybridMultilevel"/>
    <w:tmpl w:val="4614C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E958AF"/>
    <w:multiLevelType w:val="hybridMultilevel"/>
    <w:tmpl w:val="E6FE61BA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91C3133"/>
    <w:multiLevelType w:val="hybridMultilevel"/>
    <w:tmpl w:val="6A604DF0"/>
    <w:lvl w:ilvl="0" w:tplc="4E1C18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F466B1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0272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D6C3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1C39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1836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5C98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C0B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D4C64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6AC015EA"/>
    <w:multiLevelType w:val="hybridMultilevel"/>
    <w:tmpl w:val="CAF4917E"/>
    <w:lvl w:ilvl="0" w:tplc="3DF2C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8B7B5C"/>
    <w:multiLevelType w:val="hybridMultilevel"/>
    <w:tmpl w:val="ACD28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874D61"/>
    <w:multiLevelType w:val="hybridMultilevel"/>
    <w:tmpl w:val="B53E89F2"/>
    <w:lvl w:ilvl="0" w:tplc="3DF2C38E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7">
    <w:nsid w:val="784539A0"/>
    <w:multiLevelType w:val="hybridMultilevel"/>
    <w:tmpl w:val="FE965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215A3E"/>
    <w:multiLevelType w:val="hybridMultilevel"/>
    <w:tmpl w:val="FD02E0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EE3E86"/>
    <w:multiLevelType w:val="hybridMultilevel"/>
    <w:tmpl w:val="CE4818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EF95F63"/>
    <w:multiLevelType w:val="hybridMultilevel"/>
    <w:tmpl w:val="CF044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3"/>
  </w:num>
  <w:num w:numId="3">
    <w:abstractNumId w:val="9"/>
  </w:num>
  <w:num w:numId="4">
    <w:abstractNumId w:val="0"/>
  </w:num>
  <w:num w:numId="5">
    <w:abstractNumId w:val="10"/>
  </w:num>
  <w:num w:numId="6">
    <w:abstractNumId w:val="37"/>
  </w:num>
  <w:num w:numId="7">
    <w:abstractNumId w:val="3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40"/>
  </w:num>
  <w:num w:numId="11">
    <w:abstractNumId w:val="23"/>
  </w:num>
  <w:num w:numId="12">
    <w:abstractNumId w:val="8"/>
  </w:num>
  <w:num w:numId="13">
    <w:abstractNumId w:val="39"/>
  </w:num>
  <w:num w:numId="14">
    <w:abstractNumId w:val="20"/>
  </w:num>
  <w:num w:numId="15">
    <w:abstractNumId w:val="0"/>
  </w:num>
  <w:num w:numId="16">
    <w:abstractNumId w:val="7"/>
  </w:num>
  <w:num w:numId="17">
    <w:abstractNumId w:val="16"/>
  </w:num>
  <w:num w:numId="18">
    <w:abstractNumId w:val="12"/>
  </w:num>
  <w:num w:numId="19">
    <w:abstractNumId w:val="3"/>
  </w:num>
  <w:num w:numId="20">
    <w:abstractNumId w:val="17"/>
  </w:num>
  <w:num w:numId="21">
    <w:abstractNumId w:val="22"/>
  </w:num>
  <w:num w:numId="22">
    <w:abstractNumId w:val="29"/>
  </w:num>
  <w:num w:numId="23">
    <w:abstractNumId w:val="25"/>
  </w:num>
  <w:num w:numId="24">
    <w:abstractNumId w:val="32"/>
  </w:num>
  <w:num w:numId="25">
    <w:abstractNumId w:val="33"/>
  </w:num>
  <w:num w:numId="26">
    <w:abstractNumId w:val="11"/>
  </w:num>
  <w:num w:numId="27">
    <w:abstractNumId w:val="1"/>
  </w:num>
  <w:num w:numId="28">
    <w:abstractNumId w:val="27"/>
  </w:num>
  <w:num w:numId="29">
    <w:abstractNumId w:val="6"/>
  </w:num>
  <w:num w:numId="30">
    <w:abstractNumId w:val="2"/>
  </w:num>
  <w:num w:numId="31">
    <w:abstractNumId w:val="5"/>
  </w:num>
  <w:num w:numId="32">
    <w:abstractNumId w:val="28"/>
  </w:num>
  <w:num w:numId="33">
    <w:abstractNumId w:val="38"/>
  </w:num>
  <w:num w:numId="34">
    <w:abstractNumId w:val="15"/>
  </w:num>
  <w:num w:numId="35">
    <w:abstractNumId w:val="26"/>
  </w:num>
  <w:num w:numId="36">
    <w:abstractNumId w:val="35"/>
  </w:num>
  <w:num w:numId="37">
    <w:abstractNumId w:val="24"/>
  </w:num>
  <w:num w:numId="38">
    <w:abstractNumId w:val="21"/>
  </w:num>
  <w:num w:numId="39">
    <w:abstractNumId w:val="36"/>
  </w:num>
  <w:num w:numId="40">
    <w:abstractNumId w:val="34"/>
  </w:num>
  <w:num w:numId="41">
    <w:abstractNumId w:val="4"/>
  </w:num>
  <w:num w:numId="42">
    <w:abstractNumId w:val="30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revisionView w:markup="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VERPAGE_EXISTS" w:val="True"/>
    <w:docVar w:name="DocStatus" w:val="Green"/>
    <w:docVar w:name="LW_CONFIDENCE" w:val=" "/>
    <w:docVar w:name="LW_CONST_RESTREINT_UE" w:val="RESTREINT UE"/>
    <w:docVar w:name="LW_CORRIGENDUM" w:val="&lt;UNUSED&gt;"/>
    <w:docVar w:name="LW_COVERPAGE_GUID" w:val="765DDAD4EFB14E73A81E031170C1835A"/>
    <w:docVar w:name="LW_CROSSREFERENCE" w:val="&lt;UNUSED&gt;"/>
    <w:docVar w:name="LW_DocType" w:val="NORMAL"/>
    <w:docVar w:name="LW_EMISSION" w:val="24.5.2016"/>
    <w:docVar w:name="LW_EMISSION_ISODATE" w:val="2016-05-24"/>
    <w:docVar w:name="LW_EMISSION_LOCATION" w:val="BRX"/>
    <w:docVar w:name="LW_EMISSION_PREFIX" w:val="Brussell, "/>
    <w:docVar w:name="LW_EMISSION_SUFFIX" w:val=" "/>
    <w:docVar w:name="LW_ID_DOCTYPE_NONLW" w:val="CP-006"/>
    <w:docVar w:name="LW_LANGUE" w:val="MT"/>
    <w:docVar w:name="LW_MARKING" w:val="&lt;UNUSED&gt;"/>
    <w:docVar w:name="LW_NOM.INST" w:val="IL-KUMMISSJONI EWROPE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16) 274"/>
    <w:docVar w:name="LW_REF.INTERNE" w:val="&lt;UNUSED&gt;"/>
    <w:docVar w:name="LW_SOUS.TITRE.OBJ.CP" w:val="&lt;UNUSED&gt;"/>
    <w:docVar w:name="LW_SUPERTITRE" w:val="&lt;UNUSED&gt;"/>
    <w:docVar w:name="LW_TITRE.OBJ.CP" w:val="Rapport dwar l-applikazzjoni tar-Regolament (UE) Nru 1177/2010 dwar id-drittijiet tal-passi\u289?\u289?ieri meta jivvja\u289?\u289?aw bil-ba\u295?ar jew minn passa\u289?\u289?i fuq l-ilma interni u li jemenda r-Regolament (KE) Nru 2006/2004"/>
    <w:docVar w:name="LW_TYPE.DOC.CP" w:val="RAPPORT TAL-KUMMISSJONI LILL-PARLAMENT EWROPEW U LILL-KUNSILL"/>
    <w:docVar w:name="Stamp" w:val="\\dossiers.dgt.cec.eu.int\dossiers\MOVE\MOVE-2016-00116\MOVE-2016-00116-00-00-EN-REV-00.DOCX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mt-MT" w:eastAsia="mt-MT" w:bidi="mt-MT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Pr>
      <w:sz w:val="22"/>
      <w:szCs w:val="21"/>
      <w:lang w:eastAsia="mt-MT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customStyle="1" w:styleId="Briefingheading1">
    <w:name w:val="Briefing heading 1"/>
    <w:basedOn w:val="Normal"/>
    <w:pPr>
      <w:spacing w:after="120"/>
      <w:jc w:val="center"/>
    </w:pPr>
    <w:rPr>
      <w:rFonts w:ascii="Arial" w:hAnsi="Arial" w:cs="Arial"/>
      <w:b/>
    </w:rPr>
  </w:style>
  <w:style w:type="paragraph" w:styleId="FootnoteText">
    <w:name w:val="footnote text"/>
    <w:basedOn w:val="Normal"/>
    <w:autoRedefine/>
    <w:uiPriority w:val="99"/>
    <w:unhideWhenUsed/>
    <w:pPr>
      <w:spacing w:after="0"/>
      <w:jc w:val="both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uiPriority w:val="99"/>
    <w:rPr>
      <w:lang w:eastAsia="mt-MT"/>
    </w:rPr>
  </w:style>
  <w:style w:type="character" w:styleId="FootnoteReference">
    <w:name w:val="footnote reference"/>
    <w:unhideWhenUsed/>
    <w:rPr>
      <w:vertAlign w:val="superscript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lang w:eastAsia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eastAsia="mt-MT"/>
    </w:rPr>
  </w:style>
  <w:style w:type="paragraph" w:styleId="Revision">
    <w:name w:val="Revision"/>
    <w:hidden/>
    <w:uiPriority w:val="99"/>
    <w:semiHidden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eastAsia="mt-MT"/>
    </w:rPr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Pr>
      <w:sz w:val="22"/>
      <w:szCs w:val="22"/>
      <w:lang w:eastAsia="mt-M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Pr>
      <w:sz w:val="22"/>
      <w:szCs w:val="22"/>
      <w:lang w:eastAsia="mt-MT"/>
    </w:rPr>
  </w:style>
  <w:style w:type="character" w:customStyle="1" w:styleId="Marker">
    <w:name w:val="Marker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/>
      <w:sz w:val="24"/>
    </w:rPr>
  </w:style>
  <w:style w:type="character" w:customStyle="1" w:styleId="FooterCoverPageChar">
    <w:name w:val="Footer Cover Page Char"/>
    <w:link w:val="FooterCoverPage"/>
    <w:rPr>
      <w:rFonts w:ascii="Times New Roman" w:hAnsi="Times New Roman"/>
      <w:sz w:val="24"/>
      <w:szCs w:val="22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HeaderCoverPageChar">
    <w:name w:val="Header Cover Page Char"/>
    <w:link w:val="HeaderCoverPage"/>
    <w:rPr>
      <w:rFonts w:ascii="Times New Roman" w:hAnsi="Times New Roman"/>
      <w:sz w:val="24"/>
      <w:szCs w:val="22"/>
    </w:rPr>
  </w:style>
  <w:style w:type="character" w:styleId="Strong">
    <w:name w:val="Strong"/>
    <w:uiPriority w:val="22"/>
    <w:qFormat/>
    <w:rPr>
      <w:b/>
      <w:bCs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customStyle="1" w:styleId="CM4">
    <w:name w:val="CM4"/>
    <w:basedOn w:val="Normal"/>
    <w:next w:val="Normal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pPr>
      <w:spacing w:before="180" w:after="180" w:line="300" w:lineRule="atLeas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mt-MT" w:eastAsia="mt-MT" w:bidi="mt-MT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Pr>
      <w:sz w:val="22"/>
      <w:szCs w:val="21"/>
      <w:lang w:eastAsia="mt-MT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customStyle="1" w:styleId="Briefingheading1">
    <w:name w:val="Briefing heading 1"/>
    <w:basedOn w:val="Normal"/>
    <w:pPr>
      <w:spacing w:after="120"/>
      <w:jc w:val="center"/>
    </w:pPr>
    <w:rPr>
      <w:rFonts w:ascii="Arial" w:hAnsi="Arial" w:cs="Arial"/>
      <w:b/>
    </w:rPr>
  </w:style>
  <w:style w:type="paragraph" w:styleId="FootnoteText">
    <w:name w:val="footnote text"/>
    <w:basedOn w:val="Normal"/>
    <w:autoRedefine/>
    <w:uiPriority w:val="99"/>
    <w:unhideWhenUsed/>
    <w:pPr>
      <w:spacing w:after="0"/>
      <w:jc w:val="both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uiPriority w:val="99"/>
    <w:rPr>
      <w:lang w:eastAsia="mt-MT"/>
    </w:rPr>
  </w:style>
  <w:style w:type="character" w:styleId="FootnoteReference">
    <w:name w:val="footnote reference"/>
    <w:unhideWhenUsed/>
    <w:rPr>
      <w:vertAlign w:val="superscript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lang w:eastAsia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eastAsia="mt-MT"/>
    </w:rPr>
  </w:style>
  <w:style w:type="paragraph" w:styleId="Revision">
    <w:name w:val="Revision"/>
    <w:hidden/>
    <w:uiPriority w:val="99"/>
    <w:semiHidden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eastAsia="mt-MT"/>
    </w:rPr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Pr>
      <w:sz w:val="22"/>
      <w:szCs w:val="22"/>
      <w:lang w:eastAsia="mt-M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Pr>
      <w:sz w:val="22"/>
      <w:szCs w:val="22"/>
      <w:lang w:eastAsia="mt-MT"/>
    </w:rPr>
  </w:style>
  <w:style w:type="character" w:customStyle="1" w:styleId="Marker">
    <w:name w:val="Marker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/>
      <w:sz w:val="24"/>
    </w:rPr>
  </w:style>
  <w:style w:type="character" w:customStyle="1" w:styleId="FooterCoverPageChar">
    <w:name w:val="Footer Cover Page Char"/>
    <w:link w:val="FooterCoverPage"/>
    <w:rPr>
      <w:rFonts w:ascii="Times New Roman" w:hAnsi="Times New Roman"/>
      <w:sz w:val="24"/>
      <w:szCs w:val="22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HeaderCoverPageChar">
    <w:name w:val="Header Cover Page Char"/>
    <w:link w:val="HeaderCoverPage"/>
    <w:rPr>
      <w:rFonts w:ascii="Times New Roman" w:hAnsi="Times New Roman"/>
      <w:sz w:val="24"/>
      <w:szCs w:val="22"/>
    </w:rPr>
  </w:style>
  <w:style w:type="character" w:styleId="Strong">
    <w:name w:val="Strong"/>
    <w:uiPriority w:val="22"/>
    <w:qFormat/>
    <w:rPr>
      <w:b/>
      <w:bCs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customStyle="1" w:styleId="CM4">
    <w:name w:val="CM4"/>
    <w:basedOn w:val="Normal"/>
    <w:next w:val="Normal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pPr>
      <w:spacing w:before="180" w:after="180" w:line="300" w:lineRule="atLeas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91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091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3977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8632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4233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8451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1503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148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702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footnotes.xml.rels><?xml version='1.0' encoding='UTF-8' standalone='yes'?>
<Relationships xmlns="http://schemas.openxmlformats.org/package/2006/relationships"><Relationship Id="rId1" Type="http://schemas.openxmlformats.org/officeDocument/2006/relationships/hyperlink" Target="http://ec.europa.eu/transport/themes/passengers/maritime/doc/2010_1177_national_enforcement_bodies.pdf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2BEA9-4BAF-410C-952A-2390B615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3053</Words>
  <Characters>22142</Characters>
  <Application>Microsoft Office Word</Application>
  <DocSecurity>0</DocSecurity>
  <Lines>503</Lines>
  <Paragraphs>283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16</cp:revision>
  <cp:lastPrinted>2016-04-05T13:12:00Z</cp:lastPrinted>
  <dcterms:created xsi:type="dcterms:W3CDTF">2016-05-02T09:13:00Z</dcterms:created>
  <dcterms:modified xsi:type="dcterms:W3CDTF">2016-05-12T10:06:00Z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rt">
    <vt:lpwstr>1</vt:lpwstr>
  </property>
  <property fmtid="{D5CDD505-2E9C-101B-9397-08002B2CF9AE}" pid="3" name="Total parts">
    <vt:lpwstr>1</vt:lpwstr>
  </property>
  <property fmtid="{D5CDD505-2E9C-101B-9397-08002B2CF9AE}" pid="4" name="DocStatus">
    <vt:lpwstr>Green</vt:lpwstr>
  </property>
  <property fmtid="{D5CDD505-2E9C-101B-9397-08002B2CF9AE}" pid="5" name="Classification">
    <vt:lpwstr> </vt:lpwstr>
  </property>
  <property fmtid="{D5CDD505-2E9C-101B-9397-08002B2CF9AE}" pid="6" name="_NewReviewCycle">
    <vt:lpwstr/>
  </property>
  <property name="OP_sanitized" fmtid="{D5CDD505-2E9C-101B-9397-08002B2CF9AE}" pid="7">
    <vt:lpwstr>True</vt:lpwstr>
  </property>
</Properties>
</file>