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F5284513DD3545E297B8CD3315007370" style="width:450.6pt;height:334.2pt">
            <v:imagedata r:id="rId9" o:title=""/>
          </v:shape>
        </w:pict>
      </w:r>
    </w:p>
    <w:bookmarkEnd w:id="0"/>
    <w:p>
      <w:pPr>
        <w:pStyle w:val="Pagedecouverture"/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autoSpaceDE w:val="0"/>
        <w:autoSpaceDN w:val="0"/>
        <w:adjustRightInd w:val="0"/>
        <w:spacing w:after="120" w:line="240" w:lineRule="auto"/>
        <w:contextualSpacing/>
        <w:rPr>
          <w:rFonts w:ascii="Times New Roman" w:eastAsia="Calibri" w:hAnsi="Times New Roman" w:cs="Times New Roman"/>
          <w:b/>
          <w:bCs/>
          <w:noProof/>
          <w:sz w:val="28"/>
          <w:szCs w:val="28"/>
          <w:u w:val="single"/>
        </w:rPr>
      </w:pPr>
      <w:bookmarkStart w:id="1" w:name="_GoBack"/>
      <w:bookmarkEnd w:id="1"/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1. INTRODUZZJONI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L-Unjoni Ewropea (l-UE) varat </w:t>
      </w:r>
      <w:r>
        <w:rPr>
          <w:rFonts w:ascii="Times New Roman" w:hAnsi="Times New Roman"/>
          <w:b/>
          <w:noProof/>
          <w:sz w:val="24"/>
        </w:rPr>
        <w:t>id-Djalogu ta’ Liberalizzazzjoni tal-Viża</w:t>
      </w:r>
      <w:r>
        <w:rPr>
          <w:rFonts w:ascii="Times New Roman" w:hAnsi="Times New Roman"/>
          <w:noProof/>
          <w:sz w:val="24"/>
        </w:rPr>
        <w:t xml:space="preserve"> ("VLD") mat-Turkija fis-16 ta’ Diċembru 2013, b’mod parallel mal-iffirmar tal-Ftehim ta’ Riammissjoni bejn l-UE u t-Turkija.</w:t>
      </w:r>
      <w:r>
        <w:rPr>
          <w:rFonts w:ascii="Times New Roman" w:hAnsi="Times New Roman"/>
          <w:noProof/>
          <w:sz w:val="24"/>
          <w:vertAlign w:val="superscript"/>
        </w:rPr>
        <w:footnoteReference w:id="1"/>
      </w:r>
      <w:r>
        <w:rPr>
          <w:rFonts w:ascii="Times New Roman" w:hAnsi="Times New Roman"/>
          <w:noProof/>
          <w:sz w:val="24"/>
        </w:rPr>
        <w:t xml:space="preserve"> Il-VLD huwa bbażat fuq il-</w:t>
      </w:r>
      <w:r>
        <w:rPr>
          <w:rFonts w:ascii="Times New Roman" w:hAnsi="Times New Roman"/>
          <w:i/>
          <w:noProof/>
          <w:sz w:val="24"/>
        </w:rPr>
        <w:t>Pjan Direzzjonali lejn reġim mingħajr viżi mat-Turkija</w:t>
      </w:r>
      <w:r>
        <w:rPr>
          <w:rFonts w:ascii="Times New Roman" w:hAnsi="Times New Roman"/>
          <w:noProof/>
          <w:sz w:val="24"/>
        </w:rPr>
        <w:t xml:space="preserve"> (il-Pjan Direzzjonali), dokument li jistabbilixxi r-rekwiżiti li t-Turkija għandha tissodisfa sabiex il-Kummissjoni tkun tista’ tipproponi lill-Parlament Ewropew u lill-Kunsill emenda għar-Regolament (KE) Nru 539/2001 li jkun jippermetti liċ-ċittadini Torok li jivvjaġġaw għal żjajjar qosra (jiġifieri 90 jum f’kull perjodu ta’ 180 jum) fiż-żona Schengen mingħajr viża. It-72 rekwiżit elenkat fil-Pjan Direzzjonali huma organizzati f’ħames gruppi tematiċi ("partijiet"): is-sigurtà tad-dokumenti; il-ġestjoni tal-migrazzjoni; l-ordni pubbliku u s-sigurtà; id-drittijiet fundamentali u r-riammissjoni ta’ migranti irregolari.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Fl-20 ta’ Ottubru 2014, il-Kummissjoni adottat l-</w:t>
      </w:r>
      <w:r>
        <w:rPr>
          <w:rFonts w:ascii="Times New Roman" w:hAnsi="Times New Roman"/>
          <w:i/>
          <w:noProof/>
          <w:sz w:val="24"/>
        </w:rPr>
        <w:t>Ewwel Rapport dwar il-progress tat-Turkija fl-issodisfar tar-rekwiżiti tal-pjan direzzjonali tagħha tal-liberalizzazzjoni tal-viża</w:t>
      </w:r>
      <w:r>
        <w:rPr>
          <w:rFonts w:ascii="Times New Roman" w:hAnsi="Times New Roman"/>
          <w:noProof/>
          <w:sz w:val="24"/>
        </w:rPr>
        <w:t xml:space="preserve"> tagħha (l-Ewwel Rapport).</w:t>
      </w:r>
      <w:r>
        <w:rPr>
          <w:rFonts w:ascii="Times New Roman" w:hAnsi="Times New Roman"/>
          <w:noProof/>
          <w:sz w:val="24"/>
          <w:vertAlign w:val="superscript"/>
        </w:rPr>
        <w:footnoteReference w:id="2"/>
      </w:r>
      <w:r>
        <w:rPr>
          <w:rFonts w:ascii="Times New Roman" w:hAnsi="Times New Roman"/>
          <w:noProof/>
          <w:sz w:val="24"/>
        </w:rPr>
        <w:t xml:space="preserve"> L-Ewwel Rapport evalwa l-issodisfar ta’ kull rekwiżit u ħareġ rakkomandazzjonijiet biex isir aktar progress f’kull wieħed minnhom.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Wara l-pubblikazzjoni tal-Ewwel Rapport, laqgħat ta’ livell għoli tal-VLD saru bejn il-Kummissjoni u l-awtoritajiet Torok fis-26 ta’ Frar 2015, l-14 ta’ Diċembru 2015 u d-19 ta’ Jannar 2016. Il-Kummissjoni organizzat seba’ missjonijiet tekniċi lejn it-Turkija bejn April u Lulju 2015, bl-involviment ta’ esperti mill-Istati Membri tal-UE, il-Kummissjoni, Frontex, l-EASO, il-Europol u d-Delegazzjoni tal-UE għat-Turkija, biex jistudjaw il-leġiżlazzjoni tat-Turkija u l-prattiki amministrattivi u jevalwaw il-progress possibbli li sar fl-implimentazzjoni tal-Pjan Direzzjonali. Barra minn hekk, żewġ laqgħat tal-Kumitat Konġunt għar-Riammissjoni seħħew fil-15 ta’ Lulju 2015 u d-19 ta’ Jannar 2016, biex tiġi vvalutata l-implimentazzjoni tal-Ftehim ta’ Riammissjoni bejn l-UE u t-Turkija.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Saru wkoll diskussjonijiet mal-awtoritajiet Torok dwar kif jitrawwem il-progress tat-Turkija fl-implimentazzjoni tal-Pjan Direzzjonali fl-okkażjoni tan-negozjati dwar il-Pjan ta’ Azzjoni Konġunt UE u t-Turkija, li dwaru ntlaħaq qbil </w:t>
      </w:r>
      <w:r>
        <w:rPr>
          <w:rFonts w:ascii="Times New Roman" w:hAnsi="Times New Roman"/>
          <w:i/>
          <w:noProof/>
          <w:sz w:val="24"/>
        </w:rPr>
        <w:t>ad referendum</w:t>
      </w:r>
      <w:r>
        <w:rPr>
          <w:rFonts w:ascii="Times New Roman" w:hAnsi="Times New Roman"/>
          <w:noProof/>
          <w:sz w:val="24"/>
        </w:rPr>
        <w:t xml:space="preserve"> fil-15 ta’ Ottubru 2015</w:t>
      </w:r>
      <w:r>
        <w:rPr>
          <w:rFonts w:ascii="Times New Roman" w:hAnsi="Times New Roman"/>
          <w:noProof/>
          <w:sz w:val="24"/>
          <w:vertAlign w:val="superscript"/>
        </w:rPr>
        <w:footnoteReference w:id="3"/>
      </w:r>
      <w:r>
        <w:rPr>
          <w:rFonts w:ascii="Times New Roman" w:hAnsi="Times New Roman"/>
          <w:noProof/>
          <w:sz w:val="24"/>
        </w:rPr>
        <w:t>, u fid-29 ta’ Novembru 2015 fis-Summit bejn l-UE u t-Turkija. Fis-Summit, in-naħa Torka esprimiet l-impenn tagħha biex tħaffef it-twettiq tal-Pjan Direzzjonali, inkluż billi tantiċipa l-applikazzjoni tad-dispożizzjonijiet kollha tal-ftehim ta’ Riammissjoni bejn l-UE u t-Turkija, bil-għan li possibilment tinkiseb il-liberalizzazzjoni tal-viża minn Ottubru 2016</w:t>
      </w:r>
      <w:r>
        <w:rPr>
          <w:rFonts w:ascii="Times New Roman" w:hAnsi="Times New Roman"/>
          <w:noProof/>
          <w:sz w:val="24"/>
          <w:vertAlign w:val="superscript"/>
        </w:rPr>
        <w:footnoteReference w:id="4"/>
      </w:r>
      <w:r>
        <w:rPr>
          <w:rFonts w:ascii="Times New Roman" w:hAnsi="Times New Roman"/>
          <w:noProof/>
          <w:sz w:val="24"/>
        </w:rPr>
        <w:t>. L-impenn ġie milqugħ mill-Unjoni Ewropea.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Dan it-tieni rapport dwar il-progress tat-Turkija fl-issodisfar tar-rekwiżiti tal-pjan direzzjonali tagħha tal-liberalizzazzjoni tal-viża (it-Tieni Rapport) huwa bbażat fuq l-informazzjoni miġbura mill-Kummissjoni matul il-missjonijiet u l-laqgħat tal-esperti msemmijin hawn fuq, u fuq komunikazzjonijiet irċevuti mingħand l-awtoritajiet Torok, l-Istati Membri, l-aġenziji tal-UE u sorsi oħra. Ir-rapport jipprovdi analiżi tas-sitwazzjoni attwali tal-implimentazzjoni tar-rekwiżiti tal-pjan direzzjonali mit-Turkija minn Frar 2016, u jagħmel lista ta’ rakkomandazzjonijiet dwar il-miżuri li t-Turkija għandha tieħu biex tagħmel aktar progress lejn it-twettiq sħiħ ta’ dawn ir-rekwiżiti.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It-Tieni Rapport huwa akkumpanjat minn Dokument ta’ Ħidma tal-Persunal tal-Kummissjoni (DĦPK)</w:t>
      </w:r>
      <w:r>
        <w:rPr>
          <w:rFonts w:ascii="Times New Roman" w:hAnsi="Times New Roman"/>
          <w:noProof/>
          <w:sz w:val="24"/>
          <w:vertAlign w:val="superscript"/>
        </w:rPr>
        <w:footnoteReference w:id="5"/>
      </w:r>
      <w:r>
        <w:rPr>
          <w:rFonts w:ascii="Times New Roman" w:hAnsi="Times New Roman"/>
          <w:noProof/>
          <w:sz w:val="24"/>
        </w:rPr>
        <w:t>, li jiddeskrivi fid-dettall għadd konsiderevoli ta’ miżuri rilevanti li t-Turkija ħadet u qed timplimenta biex tissodisfa r-rekwiżiti tal-Pjan Direzzjonali sa minn Ottubru 2014. Barra minn hekk, kif meħtieġ skont il-metodoloġija VLD, id-DĦPK janalizza l-impatt migratorju mistenni ta’ kwalunkwe liberalizzazzjoni futura tal-viża</w:t>
      </w:r>
      <w:r>
        <w:rPr>
          <w:rFonts w:ascii="Times New Roman" w:hAnsi="Times New Roman"/>
          <w:noProof/>
          <w:sz w:val="24"/>
          <w:vertAlign w:val="superscript"/>
        </w:rPr>
        <w:footnoteReference w:id="6"/>
      </w:r>
      <w:r>
        <w:rPr>
          <w:rFonts w:ascii="Times New Roman" w:hAnsi="Times New Roman"/>
          <w:noProof/>
          <w:sz w:val="24"/>
        </w:rPr>
        <w:t>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It-Tieni Rapport isegwi l-istruttura tal-Pjan Direzzjonali, u għalhekk jindirizza l-ħames partijiet waħda waħda u jindika għal kull waħda minnhom ir-rekwiżiti li għadhom mhumiex issodisfati għalkollox, u jirrakkomanda miżuri li jippermettu lill-awtoritajiet Torok biex jintlaħaq dan l-objettiv.  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b/>
          <w:noProof/>
          <w:sz w:val="24"/>
          <w:u w:val="single"/>
        </w:rPr>
        <w:t>2. PARTI 1: SIGURTÀ TAD-DOKUMENTI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L-Ewwel Rapport innota li t-Turkija kienet diġà laħqet livell tajjeb ta’ progress fit-twettiq tal-punti ta’ riferiment fil-parti tas-sigurtà tad-dokumenti.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Xi żviluppi pożittivi addizzjonali, li huma spjegati aktar fid-dettall fid-DĦPK, seħħew riċentement, b’mod partikolari l-irtirar ta’ dawk il-ftit li fadal passaporti mhux bijometriċi miċ-ċirkolazzjoni, l-introduzzjoni ta’ proċedura aktar sigura li tinvalida passaporti skaduti sabiex tiġi evitata l-possibiltà li jintużaw mill-ġdid għal dokumenti ffalsifikati, u l-adozzjoni ta’ miżuri legali u tekniċi li jippermettu li dalwaqt jibdew joħorġu karti tal-identità ġodda iktar affidabbli, inkluża data bijometrika u b’validità ta’ 10 snin.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Minkejja dan il-progress, għad jeħtieġ li t-Turkija tieħu miżuri importanti ulterjuri sabiex jiġu ssodisfati r-rekwiżiti stabbiliti taħt din il-parti: </w:t>
      </w:r>
    </w:p>
    <w:p>
      <w:pPr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il-karatteristiċi ta’ sigurtà tal-passaporti Tork għandhom ikunu allinjati mal-istandards tal-UE kif spjegat fir-Regolament tal-Kunsill 2252/2004, jiġifieri t-Turkija għandha tibda toħroġ passaporti b’ċippa tat-tip ta’ bla kuntatt li tinkludi mhux biss l-immaġni tal-wiċċ tad-detentur, iżda wkoll il-marki tas-swaba' tad-detentur;</w:t>
      </w:r>
      <w:r>
        <w:rPr>
          <w:rFonts w:ascii="Times New Roman" w:hAnsi="Times New Roman"/>
          <w:noProof/>
          <w:sz w:val="24"/>
          <w:vertAlign w:val="superscript"/>
        </w:rPr>
        <w:footnoteReference w:id="7"/>
      </w:r>
      <w:r>
        <w:rPr>
          <w:rFonts w:ascii="Times New Roman" w:hAnsi="Times New Roman"/>
          <w:noProof/>
          <w:sz w:val="24"/>
        </w:rPr>
        <w:t xml:space="preserve"> </w:t>
      </w:r>
    </w:p>
    <w:p>
      <w:pPr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L-aġenziji Torok tal-infurzar tal-liġi għandhom jibdew jikkondividu fil-ħin informazzjoni dwar dokumenti foloz u falsifikati li jinstabu fuq passiġġieri li jivvjaġġaw lejn l-UE mal-kontropartijiet tagħhom fl-Istati Membri tal-UE; </w:t>
      </w:r>
    </w:p>
    <w:p>
      <w:pPr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il-kapaċità tal-pulizija Torka u tal-persunal ta’ fuq l-art tal-kumpaniji tal-ajru li joperaw fl-ajruporti internazzjonali prinċipali Torok għall-iskoperta ta’ dokumenti tal-ivvjaġġar, viżi, u permessi ta’ residenza foloz jew falsifikati, li jintużaw mill-passiġġieri li qed jivvjaġġaw għall-UE għandha tissaħħaħ, b’mod partikolari permezz ta’ żieda fit-taħriġ u billi titjieb il-kooperazzjoni ma’ uffiċjali tal-kollegament tal-Immigrazzjoni mill-Istati Membri li jinsabu fit-Turkija.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3. PARTI 2: IL-ĠESTJONI TAL-MIGRAZZJONI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L-Ewwel Rapport għaraf li t-Turkija kienet diġà laħqet livell tajjeb ta’ progress fit-twettiq tal-punti ta’ riferiment tat-tieni parti tal-Pjan Direzzjonali.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Minn Ottubru 2014, l-awtoritajiet Torok ħadu passi sostanzjali addizzjonali biex ikomplu jsaħħu l-kapaċitajiet operazzjonali tad-Direttorat Ġenerali tal-Ġestjoni tal-Migrazzjoni (DGMM). It-Turkija adottat ukoll għadd ta’ atti legali fil-qasam tal-protezzjoni internazzjonali, inkluż ir-Regolament tat-22 ta’ Ottubru 2014 li jagħti l-istatus ta’ protezzjoni temporanja lir-refuġjati kollha mis-Sirja u r-Regolament tal-15 ta’ Jannar 2016 li jagħti lil dawn ir-refuġjati l-possibbiltà li japplikaw għal permess tax-xogħol.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L-awtoritajiet Torok intensifikaw il-kooperazzjoni tagħhom dwar il-ġestjoni tal-fruntieri mal-kontrapartijiet tagħhom Griegi u Bulgari tul il-fruntieri tal-art komuni tagħhom. Ittieħdu wkoll bosta miżuri importanti għat-tisħiħ tas-sistema ta’ ġestjoni tal-viżi u tal-fruntieri. Fit-8 ta’ Jannar it-Turkija introduċiet obbligu tal-viża għas-Sirjani li jidħlu fit-Turkija bl-ajru jew bil-baħar minn pajjiżi terzi u, fil-5 ta’ Frar, neħħiet il-possibbiltà li tinkiseb viża minn ċittadini Iraqini fuq il-fruntiera. It-Turkija pproponiet in-negozjar ta’ ftehimiet bilaterali ta’ riammissjoni lil 14-il pajjiż, u bdiet taħdem fuq l-introduzzjoni ta’ viżi ta’ tranżitu għal ċittadini ta’ 18-il pajjiż meqjusa bħala sors potenzjali ta’ migrazzjoni irregolari.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Fl-aħħar nett, biex tindirizza l-kuntrabandu, it-Turkija żiedet l-isforzi tal-aġenziji tal-infurzar tal-liġi tagħha, inklużi l-operazzjonijiet konġunti tagħhom fuq l-art, u stabbilixxiet unitajiet speċjali biex jiġġiedlu kontra l-kuntrabandu u t-traffikar tal-bnedmin fi ħdan il-Puliżija Nazzjonali Torka u l-Ġendarmerija.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Informazzjoni dettaljata dwar il-miżuri kollha meħuda hija pprovduta fid-DĦPK.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Madankollu, bosta rekwiżiti tal-parti 2 jibqgħu biss parzjalment issodisfati.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Wieħed minnhom huwa marbut mal-fatt li t-Turkija għadha qed tapplika miżura reġim tal-viżi diskriminatorju fir-rigward tal-Istati Membri</w:t>
      </w:r>
      <w:r>
        <w:rPr>
          <w:rFonts w:ascii="Times New Roman" w:hAnsi="Times New Roman"/>
          <w:noProof/>
          <w:sz w:val="24"/>
          <w:vertAlign w:val="superscript"/>
        </w:rPr>
        <w:footnoteReference w:id="8"/>
      </w:r>
      <w:r>
        <w:rPr>
          <w:rFonts w:ascii="Times New Roman" w:hAnsi="Times New Roman"/>
          <w:noProof/>
          <w:sz w:val="24"/>
        </w:rPr>
        <w:t xml:space="preserve">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L-iktar importanti fost ir-rekwiżiti li għandhom jiġu ssodisfati hija relatata mal-ħtieġa tat-Turkija li </w:t>
      </w:r>
      <w:r>
        <w:rPr>
          <w:rFonts w:ascii="Times New Roman" w:hAnsi="Times New Roman"/>
          <w:b/>
          <w:i/>
          <w:noProof/>
          <w:sz w:val="24"/>
        </w:rPr>
        <w:t>"Twettaq kontrolli u sorveljanza adegwati fuq il-fruntieri [...] b’mod li tikkawża tnaqqis sinifikanti u sostnut tal-għadd ta’ persuni li jirnexxilhom jaqsmu l-fruntieri tat-Turkija illegalment biex jidħlu jew joħorġu mit-Turkija”</w:t>
      </w:r>
      <w:r>
        <w:rPr>
          <w:rFonts w:ascii="Times New Roman" w:hAnsi="Times New Roman"/>
          <w:noProof/>
          <w:sz w:val="24"/>
        </w:rPr>
        <w:t>. Fl-2015, in-numru ta’ migranti u refuġjati li waslu fl-UE fil-fruntieri tal-art u tal-baħar billi telqu b’mod irregolari mit-territorju Tork kien jammonta għal 888 457 migrant. Dan huwa madwar 17-il darba n-numru li kienet ġie irreġistrat matul l-2014. Il-problema sfortunatament qed tkompli u f’Jannar 2016, 68 650 ġew</w:t>
      </w:r>
      <w:r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4"/>
        </w:rPr>
        <w:t>irreġistrati</w:t>
      </w:r>
      <w:r>
        <w:rPr>
          <w:rFonts w:ascii="Times New Roman" w:hAnsi="Times New Roman"/>
          <w:noProof/>
          <w:sz w:val="24"/>
          <w:vertAlign w:val="superscript"/>
        </w:rPr>
        <w:footnoteReference w:id="9"/>
      </w:r>
      <w:r>
        <w:rPr>
          <w:rFonts w:ascii="Times New Roman" w:hAnsi="Times New Roman"/>
          <w:noProof/>
          <w:sz w:val="24"/>
        </w:rPr>
        <w:t>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Iż-żieda fil-qsim irregolari hija marbuta wkoll ma’ kriżi tar-refuġjati usa' kkawżata mill-kunflitt li għaddej fis-Sirja u f’xi pajjiżi oħra. L-awtoritajiet Torok, li suppost iżommuhom, qed iħabbtu wiċċhom ma’ sfida enormi, b’aktar minn 2.5 miljun refuġjat mis-Sirja u aktar minn 200 000 migrant u refuġjat minn pajjiżi oħra li jirrisjedu fit-territorju Tork. Il-fatt li l-Gwardji tal-Kosta Torok qabdu u salvaw madwar 91 612 migrant u refuġjat li kienu qed jippruvaw jaslu fl-UE b’mod irregolari fl-2015, seba’ darbiet aktar mill-2014, għandu jiġi rikonoxxut. Madankollu, il-miżuri meħudin mill-awtoritajiet Torok għadhom insuffiċjenti minħabba l-ammont enormi ta’ wasliet irregolari.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Sabiex din l-isfida tiġi indirizzata b’iktar suċċess, jeħtieġ b’mod urġenti li l-awtoritajiet Torok ikomplu jimplimentaw miżuri li jindirizzaw l-aspetti diversi tal-problema b’mod komprensiv. F’dan ir-rigward, il-Kummissjoni tirrakkomanda li t-Turkija tikkunsidra l-miżuri deskritti hawn taħt: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L-ewwel, il-kapaċitajiet ta' sorveljanza u interċettazzjoni tal-Gwardja Kostali Torka fiż-żona tal-Baħar Eġew għandhom jissaħħu. Għal dan l-għan, l-implimentazzjoni ta’ bosta proġetti ffinanzjati mit-Turkija u mill-UE li huma mmirati kemm għall-iżvilupp ta’ sistema ta’ sorveljanza bir-radar kostali, kif ukoll iż-żieda fin-numru, il-kwalità, il-preżenza tul il-kosta u l-kapaċità operattiva tal-bastimenti ta' pattulja disponibbli għandha titħaffef. Sakemm tiġi stabbilita s-sistema ta' radar kostali, jista' jiġi kkunsidrat l-użu tas-sistema ta’ radar Navali għall-iskop tal-prevenzjoni ta' tluq irregolari. 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Sabiex jitnaqqas il-piż fuq il-Gwardja tal-Kosta, il-kapaċità tal-Pulizija u l-Ġendarmerija biex jikxfu u jipprevjenu tluq irregolari ta’ migranti waqt li jkunu għadhom l-art jew l bogħod mill-fruntiera tal-art għandha tittejjeb permezz ta’ pattuljar u attivitajiet ta’ sorveljanza, inkluż permezz ta’ żieda fl-użu ta’ sistemi tas-sorveljanza mill-ajru.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L-awtoritajiet kollha responsabbli għall-protezzjoni tal-fruntieri u għall-ġlieda kontra l-migrazzjoni irregolari</w:t>
      </w:r>
      <w:r>
        <w:rPr>
          <w:rFonts w:ascii="Times New Roman" w:hAnsi="Times New Roman"/>
          <w:noProof/>
          <w:sz w:val="24"/>
          <w:vertAlign w:val="superscript"/>
        </w:rPr>
        <w:footnoteReference w:id="10"/>
      </w:r>
      <w:r>
        <w:rPr>
          <w:rFonts w:ascii="Times New Roman" w:hAnsi="Times New Roman"/>
          <w:noProof/>
          <w:sz w:val="24"/>
        </w:rPr>
        <w:t xml:space="preserve"> għandhom jingħataw struzzjonijiet biex isaħħu l-kooperazzjoni reċiproka tagħhom, inkluż billi jikkoordinaw l-azzjonijiet tagħhom b’mod sistematiku, jaqsmu l-intelligence, l-informazzjoni u l-assi, u jżidu l-għadd ta’ operazzjonijiet konġunti. Iċ-Ċentru Nazzjonali ta’ Koordinazzjoni u Analiżi tar-Riskju Komuni (NACORAC), li l-UE qed tgħin biex jiġi stabbilit, għandu wkoll jiġi implimentat b’urġenza.  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Il-ħidma ta’ dawn l-awtoritajiet kollha, bħala parti mill-prevenzjoni ta’ tluq irregolari ta’ migranti u faċilitaturi interċettati b’mod każwali, għandha tkun iffukata wkoll espliċitament fuq l-identifikazzjoni u l-arrest ta’ membri fi grad superjuri u medju ta’ organizzazzjonijiet ta’ traffikar ta’ migranti u jaħtfu l-assi tagħhom. . 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Sabiex jitnaqqas in-numru ta’ persuni li jidħlu fit-Turkija b’mod irregolari, is-sorveljanza tul il-fruntieri tal-art tax-Xlokk u tal-Lvant tal-pajjiż għandha tiġi msaħħa. Għal dan l-għan, il-forzi tal-art Torok għandhom ikomplu l-modernizzazzjoni tagħhom, permezz tal-iskjerar dejjem ikbar ta’ aġenti kuntrattwali imħarrġa sew minflok koskritti, kif ukoll bl-użu ta’ tagħmir ta’ sorveljanza moderna u l-adozzjoni ta’ pattulji flessibbli.  </w:t>
      </w:r>
    </w:p>
    <w:p>
      <w:pPr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Kull meta jkun possibbli, l-awtoritajiet Torok għandhom jiżviluppaw kooperazzjoni f’attivitajiet ta’ sorveljanza fuq il-fruntieri u fil-kondiviżjoni tal-informazzjoni dwar l-organizzazzjonijiet ta’ kuntrabandu tal-migranti mal-awtoritajiet tal-pajjiżi ta’ oriġini u ta’ tranżitu ta’ immigranti irregolari.    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B’mod parallel, għandha tkompli l-ħidma bil-ħsieb li jiġu implimentati rekwiżiti oħra u rakkomandazzjonijiet maħruġa taħt din il-parti, li t-twettiq tagħha se jikkontribwixxi wkoll biex tittejjeb il-prevenzjoni tal-migrazzjoni irregolari.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Fil-qasam ta’ </w:t>
      </w:r>
      <w:r>
        <w:rPr>
          <w:rFonts w:ascii="Times New Roman" w:hAnsi="Times New Roman"/>
          <w:b/>
          <w:noProof/>
          <w:sz w:val="24"/>
        </w:rPr>
        <w:t>kooperazzjoni transkonfinali ma’ Stati Membri ġirien</w:t>
      </w:r>
      <w:r>
        <w:rPr>
          <w:rFonts w:ascii="Times New Roman" w:hAnsi="Times New Roman"/>
          <w:noProof/>
          <w:sz w:val="24"/>
        </w:rPr>
        <w:t xml:space="preserve">, il-Kummissjoni tirrakkomanda li l-awtoritajiet Torok iqisu l-miżuri li ġejjin: </w:t>
      </w:r>
    </w:p>
    <w:p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il-ftehim dwar it-twaqqif ta’ ċentru tripartitiku ta’ Kapitan Andreevo, iffirmat f’Mejju 2015, għandu jidħol fis-seħħ mingħajr aktar dewmien;  </w:t>
      </w:r>
    </w:p>
    <w:p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kanal ta’ komunikazzjoni sikur biex jintuża għall-iskambju f’waqtu ta’ informazzjoni dwar in-netwerks ta’ kuntrabandu ta’ migranti għandu jiġi implimentat bejn il-Gwardji tal-Kosta Torok u Elleniċi; </w:t>
      </w:r>
    </w:p>
    <w:p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It-Turkija għandha tiżviluppa kooperazzjoni operazzjonali ma' Frontex, sabiex tibbenefika mill-esperjenza tagħha fil-laqgħat ta' informazzjoni mal-migranti interċettati u l-kisba ta' aċċess għal informazzjoni dwar il-</w:t>
      </w:r>
      <w:r>
        <w:rPr>
          <w:rFonts w:ascii="Times New Roman" w:hAnsi="Times New Roman"/>
          <w:i/>
          <w:noProof/>
          <w:sz w:val="24"/>
        </w:rPr>
        <w:t>modus operandi</w:t>
      </w:r>
      <w:r>
        <w:rPr>
          <w:rFonts w:ascii="Times New Roman" w:hAnsi="Times New Roman"/>
          <w:noProof/>
          <w:sz w:val="24"/>
        </w:rPr>
        <w:t xml:space="preserve"> tan-netwerks ta’ kuntrabandu miġbura b’dan il-mod. 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Is-</w:t>
      </w:r>
      <w:r>
        <w:rPr>
          <w:rFonts w:ascii="Times New Roman" w:hAnsi="Times New Roman"/>
          <w:b/>
          <w:noProof/>
          <w:sz w:val="24"/>
        </w:rPr>
        <w:t>sistema tal-viża</w:t>
      </w:r>
      <w:r>
        <w:rPr>
          <w:rFonts w:ascii="Times New Roman" w:hAnsi="Times New Roman"/>
          <w:noProof/>
          <w:sz w:val="24"/>
        </w:rPr>
        <w:t xml:space="preserve"> Torka għandha tiġi riveduta wkoll, sabiex ikun hemm prevenzjoni aħjar ta' ċittadini ta’ pajjiżi terzi li jidħlu fit-Turkija bl-intenzjoni ta’ tranżitu lejn l-UE billi jaqsmu l-fruntieri esterni tagħha b’mod irregolari. </w:t>
      </w:r>
    </w:p>
    <w:p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Għal dan l-għan, biex jibnu fuq il-miżuri li diġà ttieħdu fit-8 ta’ Jannar u l-5 ta’ Frar 2016, rigward ċittadini Sirjani li qegħdin barra mis-Sirja u ċittadini Iraqini rispettivament, l-awtoritajiet Torok issa għandhom jagħtu prijorità lit-tisħiħ tas-sistema tal-viża applikata liċ-ċittadini ta’ pajjiżi oħra li, fl-2015, kien jammonta għall-ikbar numru ta’ daħliet irregolari fl-UE mit-Turkija, fosthom Afgani, Pakistani, Iranjani, Marokkini, Palestinjani, Somali, Bangladexxi, Libaniżi, Alġerini, eċċ.</w:t>
      </w:r>
      <w:r>
        <w:rPr>
          <w:rFonts w:ascii="Times New Roman" w:hAnsi="Times New Roman"/>
          <w:noProof/>
          <w:sz w:val="24"/>
          <w:vertAlign w:val="superscript"/>
        </w:rPr>
        <w:footnoteReference w:id="11"/>
      </w:r>
      <w:r>
        <w:rPr>
          <w:rFonts w:ascii="Times New Roman" w:hAnsi="Times New Roman"/>
          <w:noProof/>
          <w:sz w:val="24"/>
        </w:rPr>
        <w:t xml:space="preserve"> Barra minn hekk, għandha ssir valutazzjoni bir-reqqa tal-potenzjal għal migrazzjoni irregolari minn pajjiżi oħrajn li t-Turkija tagħti liċ-ċittadini tagħhom eżenzjoni mill-viża jew tipprovdi l-possibbiltà li jinkisbu viżi elettroniċi. Il-punti ta' referenza għandhom ikunu l-listi tal-UE ta' viża meħtieġa u viża mhux meħtieġa</w:t>
      </w:r>
      <w:r>
        <w:rPr>
          <w:rFonts w:ascii="Times New Roman" w:hAnsi="Times New Roman"/>
          <w:noProof/>
          <w:sz w:val="24"/>
          <w:vertAlign w:val="superscript"/>
        </w:rPr>
        <w:footnoteReference w:id="12"/>
      </w:r>
      <w:r>
        <w:rPr>
          <w:rFonts w:ascii="Times New Roman" w:hAnsi="Times New Roman"/>
          <w:noProof/>
          <w:sz w:val="24"/>
        </w:rPr>
        <w:t xml:space="preserve">.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Skont ir-reġim tal-viża attwalment applikat għal pajjiżi differenti, u x-xejriet tal-migrazzjoni u l-kuntrabandu osservati għaċ-ċittadini tagħhom, il-miżuri li ġejjin għandhom jittieħdu mit-Turkija: 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l-impożizzjoni ta’ rekwiżit tal-viża fuq iċ-ċittadini ta’ ċerti pajjiżi li huma ta’ riskju għoli ta’ migrazzjoni li bħalissa jibbenefikaw minn reġim mingħajr viża;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f’każ li l-awtoritajiet Torok jiddeċiedu li jżommu eżenzjoni mill-viża għal ċittadini ta’ pajjiżi terzi li huma sors potenzjali ta’ migrazzjoni irregolari: l-ikkondizzjonar ta' din il-faċilità fuq l-iffirmar malajr u l-implimentazzjoni effettiva ta’ ftehimiet ta’ riammissjoni ma’ dawk il-pajjiżi; 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l-eliminazzjoni tal-possibilità li jidħlu fit-Turkija b’viżi elettroniċi għal ċittadini ta’ ċerti pajjiżi b’riskju għoli ta’ migrazzjoni li għalihom dan huwa possibbli attwalment, u li tesiġi minflok li dawn japplikaw għal viża f'missjoni diplomatika Torka; fejn tista' ssir verifika xierqa tar-riskji migratorji u tas-sigurtà; 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f’każ li l-awtoritajiet Torok jiddeċiedu li jżommu l-possibbiltà li ċittadini ta’ pajjiżi terzi li huma sors potenzjali ta’ migrazzjoni irregolari jidħlu fit-Turkija permezz ta' viżi elettroniċi; tissottometti lid-detenturi ta’ viżi elettroniċi għal spezzjonijiet iktar fid-dettall waqt il-qsim tal-fruntiera, sabiex tivverifika li dawn qegħdin tassew jissodisfaw il-kriterji meħtieġa biex tinkiseb il-viża elettronika; 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ittejjeb l-għarfien u l-kapaċità tal-persunal konsulari tat-Turkija inkarigati biex joħorġu viżi, bil-għan li tivverifika li l-applikanti għall-viża għandhom raġunijiet leġittimi biex imorru t-Turkija u għandhom l-intenzjoni li jirritornaw lejn pajjiżhom; filwaqt li ttejjeb ukoll l-istandards ta’ kontroll intern dwar l-integrità tas-sistema ġenerali ta' ħruġ tal-viżi, b’mod partikolari f'ambaxxati li jinsabu f’pajjiżi b’riskju għoli;</w:t>
      </w:r>
    </w:p>
    <w:p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viżi għal tranżitu fl-ajruport għandhom jibdew jiġu mitluba miċ-ċittadini ta’ pajjiżi li huma identifikati bħala s-sorsi ewlenin ta’ migrazzjoni irregolari;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it-Turkija għandha tagħmel progress ulterjuri biex tissodisfa r-rekwiżiti ta’ din il-parti fir-rigward tal-</w:t>
      </w:r>
      <w:r>
        <w:rPr>
          <w:rFonts w:ascii="Times New Roman" w:hAnsi="Times New Roman"/>
          <w:b/>
          <w:noProof/>
          <w:sz w:val="24"/>
        </w:rPr>
        <w:t>protezzjoni internazzjonali</w:t>
      </w:r>
      <w:r>
        <w:rPr>
          <w:rFonts w:ascii="Times New Roman" w:hAnsi="Times New Roman"/>
          <w:noProof/>
          <w:sz w:val="24"/>
        </w:rPr>
        <w:t>, billi tibni fuq l-isforzi konsiderevoli li diġà saru</w:t>
      </w:r>
      <w:r>
        <w:rPr>
          <w:rStyle w:val="FootnoteReference"/>
          <w:rFonts w:ascii="Times New Roman" w:hAnsi="Times New Roman"/>
          <w:noProof/>
          <w:sz w:val="24"/>
        </w:rPr>
        <w:footnoteReference w:id="13"/>
      </w:r>
      <w:r>
        <w:rPr>
          <w:rFonts w:ascii="Times New Roman" w:hAnsi="Times New Roman"/>
          <w:noProof/>
          <w:sz w:val="24"/>
        </w:rPr>
        <w:t>. B'mod partikolari:</w:t>
      </w:r>
    </w:p>
    <w:p>
      <w:pPr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L-awtoritajiet Torok għandhom ikomplu jaħdmu biex jiffaċilitaw l-aċċess effettiv għas-servizzi soċjali għall-benefiċjarji tal-protezzjoni internazzjonali (b’mod partikolari edukazzjoni għat-tfal tagħhom), għal opportunitajiet ta’ impjieg legali, djar diċenti, taħriġ vokazzjonali u lingwistiku u kwalunkwe inizjattiva li tikkontribwixxi għall-inklużjoni soċjali tagħhom u l-awtonomija ekonomika fi ħdan is-soċjetà Torka. </w:t>
      </w:r>
    </w:p>
    <w:p>
      <w:pPr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Barra minn hekk, l-awtoritajiet Torok għandhom jiżguraw li l-applikanti għall-protezzjoni internazzjonali jkollhom it-talbiet tagħhom meqjusa fl-iqsar żmien possibbli, bir-riżultat li jew jinkiseb l-istatus ta’ protezzjoni previst fis-sistema legali Torka jew, f’każ li ma jirnexxux, li jirċievu ordni sabiex jitilqu mit-Turkija. F’dan il-kuntest, huwa ta’ importanza kbira li d-DGMM jieħu miżuri speċifiċi biex:</w:t>
      </w:r>
    </w:p>
    <w:p>
      <w:pPr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jitnaqqsu l-applikazzjonijiet pendenti li fadal, li kienu ilhom pendenti għal perjodu twil ta’ żmien</w:t>
      </w:r>
      <w:r>
        <w:rPr>
          <w:rFonts w:ascii="Times New Roman" w:hAnsi="Times New Roman"/>
          <w:noProof/>
          <w:sz w:val="24"/>
          <w:vertAlign w:val="superscript"/>
        </w:rPr>
        <w:footnoteReference w:id="14"/>
      </w:r>
      <w:r>
        <w:rPr>
          <w:rFonts w:ascii="Times New Roman" w:hAnsi="Times New Roman"/>
          <w:noProof/>
          <w:sz w:val="24"/>
        </w:rPr>
        <w:t xml:space="preserve">;   </w:t>
      </w:r>
    </w:p>
    <w:p>
      <w:pPr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tiżgura li l-migranti li jkunu daħlu b'mod irregolari fit-Turkija u introduċew applikazzjonijiet għall-protezzjoni internazzjonali li ġew sussegwentement misjuba ineliġibbli, jmorru lura lejn il-pajjiż tal-oriġini tagħhom b'mod f'waqtu;</w:t>
      </w:r>
    </w:p>
    <w:p>
      <w:pPr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tipprevjeni applikanti għall-ażil li l-applikazzjonijiet tagħhom ikunu pendenti, kif ukoll dawk li l-applikazzjoni għal ażil tagħhom ma tkunx ġiet approvata, sakemm ikunu qed jistennew it-tluq tagħhom mit-Turkija, milli jaħarbu u jagħmlu movimenti sekondarji lejn l-UE.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Sabiex jintlaħqu dawn l-objettivi, ikun utli li jiġu ssimplifikati l-proċeduri, partikolarment billi tiġi adottata l-liġi sussidjarja li tiddefinixxi regoli speċifiċi li għandhom jiġu segwiti biex tiġi implimentata l-Liġi dwar il-Barranin u l-Protezzjoni Internazzjonali.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4. PARTI 3: L-ORDNI PUBBLIKU U S-SIGURTÀ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L-Ewwel Rapport iddeskriva kemm il-punti sodi kif ukoll in-nuqqasijiet tas-sistema Torka f’dak li jirrigwarda l-issodisfar tar-rekwiżiti ta’ din il-Parti. </w:t>
      </w:r>
    </w:p>
    <w:p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Minn Ottubru 2014, l-awtoritajiet Torok ħadu passi addizzjonali bħalma huma r-ratifikazzjoni, fid-19 ta’ Frar 2016, tal-Konvenzjoni tal-Kunsill tal-Ewropa (KtE) dwar il-ħasil tal-flus, it-tiftix, il-qabda u l-konfiska ta’ profitti minn attività kriminali u l-iffinanzjar tat-terroriżmu, il-Konvenzjoni tal-KtE dwar Azzjoni kontra t-Traffikar tal-Bnedmin, il-Konvenzjoni tal-KtE dwar il-Protezzjoni tal-Individwi fir-rigward tal-Ipproċessar Awtomatiku ta’ Data Personali, u tal-Protokoll Addizzjonali tal-Konvenzjoni KtE dwar it-trasferiment ta’ persuni sentenzjati. </w:t>
      </w:r>
    </w:p>
    <w:p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Madankollu, għandu jkun innutat li minkejja dawn l-iżviluppi, l-implimentazzjoni tar-rekwiżiti tal-parti 3 jibqgħu konsiderevolment inqas avvanzati minn partijiet 1 u 2. Biex jiġu ssodisfati r-rekwiżiti tagħha, it-Turkija hija mħeġġa tieħu l-miżuri li ġejjin: 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iżżid l-għadd ta’ tweġibiet pożittivi mogħtija għal talbiet għal kooperazzjoni ġudizzjarja fi kwistjonijiet kriminali mressqa mill-Istati Membri, kif ukoll il-ħeffa tat-tweġibiet u dik tal-implimentazzjoni tagħhom; l-adozzjoni ta’ liġi komprensiva unika għal simplifikazzjoni tal-proċeduri segwiti filwaqt li jiġu implimentati l-obbligi internazzjonali tat-Turkija relatati mal-kooperazzjoni ġudizzjarja f’materji kriminali tista' tiġi kkunsidrata wkoll;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timpenja ruħha b’mod attiv mal-awtoritajiet rilevanti tal-Istati Membri kollha tal-UE fil-qasam tal-kooperazzjoni tal-pulizija u l-kooperazzjoni ġudizzjarja f’materji kriminali;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tibda timplimenta l-Konvenzjoni tal-Kunsill tal-Ewropa għall-Protezzjoni ta’ Individwi fir-rigward tal-Ipproċessar Awtomatiku ta’ Data Personali tal-1981, u tirratifika l-Protokoll Addizzjonali tagħha (CETS Nru 181). Tadottata leġiżlazzjoni dwar il-protezzjoni ta’ data personali f’konformità mal-leġiżlazzjoni tal-UE u l-istandards tal-Kunsill tal-Ewropa;   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tikkonkludi ftehim ta’ kooperazzjoni operazzjonali mal-Europol u ftehim ta’ kooperazzjoni mal-Eurojust kif jidħol fis-seħħ qafas leġiżlattiv adegwat dwar il-protezzjoni tad-data personali. sa dak iż-żmien, l-awtoritajiet Torok huma mħeġġa li jagħmlu l-isforzi kollha possibbli biex jiżdied l-iskambju ta’ informazzjoni u kooperazzjoni ma’ dawn iż-żewġ aġenziji </w:t>
      </w:r>
    </w:p>
    <w:p>
      <w:pPr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tadotta pjan ta’ azzjoni ġdid għall-ġlieda kontra l-kriminalità organizzata għall-perjodu 2016–18, li jippermetti li jissaħħu azzjonijiet fil-ġlieda kontra kull tip ta’ kriminalità organizzata, b’mod partikolari t-traffikar tad-drogi, il-bnedmin, l-armi u oġġetti ffalsifikati; </w:t>
      </w:r>
    </w:p>
    <w:p>
      <w:pPr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tipprovdi informazzjoni lill-UE dwar organizzazzjonijiet kriminali nazzjonali u transnazzjonali bbażati fit-Turkija bħalissa, filwaqt li tindika l-</w:t>
      </w:r>
      <w:r>
        <w:rPr>
          <w:rFonts w:ascii="Times New Roman" w:hAnsi="Times New Roman"/>
          <w:i/>
          <w:noProof/>
          <w:sz w:val="24"/>
        </w:rPr>
        <w:t>modus operandi</w:t>
      </w:r>
      <w:r>
        <w:rPr>
          <w:rFonts w:ascii="Times New Roman" w:hAnsi="Times New Roman"/>
          <w:noProof/>
          <w:sz w:val="24"/>
        </w:rPr>
        <w:t xml:space="preserve"> tagħhom, u l-approċċ meħud mill-awtoritajiet Torok biex jiġġieldu kontra l-attivitajiet kriminali tagħhom;</w:t>
      </w:r>
    </w:p>
    <w:p>
      <w:pPr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tibda timplimenta l-Konvenzjoni tal-Kunsill tal-Ewropa dwar l-Azzjoni kontra t-Traffikar tal-Bnedmin (THB) li ġiet ratifikata reċentement u ġġib il-qafas leġiżlattiv nazzjonali tat-Turkija f’dan il-qasam f’konformità mal-istandards stabbiliti minn din il-Konvenzjoni kif ukoll mill-acquis tal-UE; </w:t>
      </w:r>
    </w:p>
    <w:p>
      <w:pPr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issaħħaħ il-kapaċità tad-DGMM fl-identifikazzjoni tal-vittmi tat-THB u tagħtihom il-kenn;</w:t>
      </w:r>
    </w:p>
    <w:p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 xml:space="preserve">tibda timplimenta </w:t>
      </w:r>
      <w:r>
        <w:rPr>
          <w:rFonts w:ascii="Times New Roman" w:hAnsi="Times New Roman"/>
          <w:noProof/>
          <w:sz w:val="24"/>
        </w:rPr>
        <w:t>l-Konvenzjoni tal-Kunsill tal-Ewropa dwar il-ħasil tal-flus, it-tiftix, il-qabda u l-konfiska ta’ profitti minn attività kriminali u l-iffinanzjar tat-terroriżmu (CETS Nru 198) li ġiet ratifikata reċentement u ġġib il-qafas leġiżlattiv nazzjonali tat-Turkija f’dan il-qasam f’konformità mal-istandards stabbiliti minn din il-Konvenzjoni</w:t>
      </w:r>
      <w:r>
        <w:rPr>
          <w:rFonts w:ascii="Times New Roman" w:hAnsi="Times New Roman"/>
          <w:noProof/>
          <w:color w:val="000000"/>
          <w:sz w:val="24"/>
        </w:rPr>
        <w:t>;</w:t>
      </w:r>
    </w:p>
    <w:p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>tkompli ssaħħaħ il-kapaċità tad-Dipartiment għall-Investigazzjonijiet Finanzjarji (MASAK) biex janalizza tranżazzjonijiet suspettużi u jikxef każijiet ta’ ħasil tal-flus u finanzjament tat-terroriżmu;</w:t>
      </w:r>
      <w:r>
        <w:rPr>
          <w:rFonts w:ascii="Times New Roman" w:hAnsi="Times New Roman"/>
          <w:noProof/>
          <w:sz w:val="24"/>
        </w:rPr>
        <w:t xml:space="preserve"> </w:t>
      </w:r>
    </w:p>
    <w:p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>tallinja bis-sħiħ il-qafas leġiżlattiv tat-Turkija mad-dispożizzjonijiet tal-</w:t>
      </w:r>
      <w:r>
        <w:rPr>
          <w:rFonts w:ascii="Times New Roman" w:hAnsi="Times New Roman"/>
          <w:noProof/>
          <w:sz w:val="24"/>
        </w:rPr>
        <w:t>Konvenzjoni tal-Kunsill tal-Ewropa dwar iċ-Ċiberkriminalità</w:t>
      </w:r>
      <w:r>
        <w:rPr>
          <w:noProof/>
        </w:rPr>
        <w:t>;</w:t>
      </w:r>
      <w:r>
        <w:rPr>
          <w:rFonts w:ascii="Times New Roman" w:hAnsi="Times New Roman"/>
          <w:noProof/>
          <w:sz w:val="24"/>
        </w:rPr>
        <w:t xml:space="preserve"> 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Helvetica" w:hAnsi="Times New Roman" w:cs="Times New Roman"/>
          <w:noProof/>
          <w:color w:val="000000"/>
          <w:sz w:val="24"/>
          <w:szCs w:val="24"/>
          <w:bdr w:val="nil"/>
        </w:rPr>
      </w:pPr>
      <w:r>
        <w:rPr>
          <w:rFonts w:ascii="Times New Roman" w:hAnsi="Times New Roman"/>
          <w:noProof/>
          <w:sz w:val="24"/>
        </w:rPr>
        <w:t xml:space="preserve">tadotta leġiżlazzjoni </w:t>
      </w:r>
      <w:r>
        <w:rPr>
          <w:rFonts w:ascii="Times New Roman" w:hAnsi="Times New Roman"/>
          <w:noProof/>
          <w:color w:val="000000"/>
          <w:sz w:val="24"/>
          <w:bdr w:val="nil"/>
        </w:rPr>
        <w:t xml:space="preserve">li tagħti segwitu effettiv għar-rakkomandazzjonijiet kollha tal-Grupp ta’ Stati kontra l-Korruzzjoni (GRECO); tadotta pjan ta’ azzjoni nazzjonali ġdid kontra l-korruzzjoni, elaborat f’konsultazzjoni mas-soċjetà ċivili, u tafda l-monitoraġġ tal-implimentazzjoni tiegħu lil korp awtorizzat li jaġixxi bil-livell neċessarju ta’ indipendenza u trasparenza;  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Helvetica" w:hAnsi="Times New Roman" w:cs="Times New Roman"/>
          <w:noProof/>
          <w:color w:val="000000"/>
          <w:sz w:val="24"/>
          <w:szCs w:val="24"/>
          <w:bdr w:val="nil"/>
        </w:rPr>
      </w:pPr>
      <w:r>
        <w:rPr>
          <w:rFonts w:ascii="Times New Roman" w:hAnsi="Times New Roman"/>
          <w:noProof/>
          <w:sz w:val="24"/>
        </w:rPr>
        <w:t>tistabbilixxi programmi ta’ taħriġ u tadotta kodiċijiet ta’ etika dwar il-ġlieda kontra l-korruzzjoni immirati għal uffiċjali involuti fil-ġestjoni tal-fruntieri u l-prevenzjoni tal-migrazzjoni irregolari, billi żżid l-isforzi biex b’mod sistematiku r-reati ta' tixħim ta’ uffiċjali pubbliċi jiġu suġġetti għal proċeduri kriminali;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bdr w:val="nil"/>
        </w:rPr>
        <w:t xml:space="preserve">tiffirma u tirratifika t-tliet </w:t>
      </w:r>
      <w:r>
        <w:rPr>
          <w:rFonts w:ascii="Times New Roman" w:hAnsi="Times New Roman"/>
          <w:noProof/>
          <w:color w:val="000000"/>
          <w:sz w:val="24"/>
        </w:rPr>
        <w:t>Protokolli Addizzjonali tal-1975, l-2010 u l-2012 għall-</w:t>
      </w:r>
      <w:r>
        <w:rPr>
          <w:rFonts w:ascii="Times New Roman" w:hAnsi="Times New Roman"/>
          <w:noProof/>
          <w:sz w:val="24"/>
        </w:rPr>
        <w:t xml:space="preserve">Konvenzjoni tal-Kunsill tal-Ewropa </w:t>
      </w:r>
      <w:r>
        <w:rPr>
          <w:rFonts w:ascii="Times New Roman" w:hAnsi="Times New Roman"/>
          <w:noProof/>
          <w:color w:val="000000"/>
          <w:sz w:val="24"/>
        </w:rPr>
        <w:t xml:space="preserve">dwar Estradizzjoni (CETS </w:t>
      </w:r>
      <w:r>
        <w:rPr>
          <w:rFonts w:ascii="Times New Roman" w:hAnsi="Times New Roman"/>
          <w:noProof/>
          <w:sz w:val="24"/>
        </w:rPr>
        <w:t xml:space="preserve">Nru 24 </w:t>
      </w:r>
      <w:r>
        <w:rPr>
          <w:rFonts w:ascii="Times New Roman" w:hAnsi="Times New Roman"/>
          <w:noProof/>
          <w:color w:val="000000"/>
          <w:sz w:val="24"/>
        </w:rPr>
        <w:t>tal-1957), il-Protokoll Addizzjonali tal-2001 għall-</w:t>
      </w:r>
      <w:r>
        <w:rPr>
          <w:rFonts w:ascii="Times New Roman" w:hAnsi="Times New Roman"/>
          <w:noProof/>
          <w:sz w:val="24"/>
        </w:rPr>
        <w:t xml:space="preserve">Konvenzjoni tal-Kunsill tal-Ewropa dwar </w:t>
      </w:r>
      <w:r>
        <w:rPr>
          <w:rFonts w:ascii="Times New Roman" w:hAnsi="Times New Roman"/>
          <w:noProof/>
          <w:color w:val="000000"/>
          <w:sz w:val="24"/>
        </w:rPr>
        <w:t>Assistenza Reċiproka f'Materji Kriminali (CETS Nru 30 tal-1959); u tibda timplimenta l-</w:t>
      </w:r>
      <w:r>
        <w:rPr>
          <w:rFonts w:ascii="Times New Roman" w:hAnsi="Times New Roman"/>
          <w:noProof/>
          <w:sz w:val="24"/>
        </w:rPr>
        <w:t>Protokoll Addizzjonali tal-1997 għall-Konvenzjoni tal-Kunsill tal-Ewropa dwar it-</w:t>
      </w:r>
      <w:r>
        <w:rPr>
          <w:rFonts w:ascii="Times New Roman" w:hAnsi="Times New Roman"/>
          <w:noProof/>
          <w:color w:val="000000"/>
          <w:sz w:val="24"/>
        </w:rPr>
        <w:t>Trasferiment ta’ Persuni Sentenzjati (CETS Nru 112 tal-1983);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tiffirma u tirratifika l-Konvenzjoni tal-Aja tal-1996 fuq il-Ġurisdizzjoni, il-Liġi Applikabbli, Rikonoxximent, Infurzar u Kooperazzjoni dwar ir-Responsabbiltà tal-Ġenituri u Miżuri għall-Protezzjoni tat-Tfal , kif ukoll il-Konvenzjoni tal-Aja tal-2007 dwar l-Irkupru Internazzjonali tal-Manteniment għat-Tfal u Forom Oħrajn ta’ Manteniment tal-Familja;</w:t>
      </w:r>
    </w:p>
    <w:p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tnaqqas id-dewmien fl-implimentazzjoni ta’ proċeduri ġudizzjarji taħt il-Konvenzjoni tal-Aja tal-1980 dwar l-Aspetti Ċivili tal-Ħtif Internazzjonali ta' Minuri;</w:t>
      </w:r>
    </w:p>
    <w:p>
      <w:pPr>
        <w:widowControl w:val="0"/>
        <w:autoSpaceDE w:val="0"/>
        <w:autoSpaceDN w:val="0"/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u w:val="single"/>
        </w:rPr>
        <w:t>5. PARTI 4: DRITTIJIET FUNDAMENTALI</w:t>
      </w:r>
    </w:p>
    <w:p>
      <w:p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L-Ewwel Rapport indika li ħafna mir-rekwiżiti taħt dan il-parti diġà kienu ġew issodisfati; madankollu, huwa identifika wkoll xi oqsma ta’ importanza kbira fejn kien meħtieġ aktar progress.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Minn dak iż-żmien ’l hawn, sa issa ftit għadu sar f’dawn l-oqsma, u għalhekk ir-rakkomandazzjonijiet rilevanti maħruġa fl-Ewwel Rapport jibqgħu fil-biċċa l-kbira validi. Fid-dawl ta’ dan, it-Turkija hija mistiedna: </w:t>
      </w:r>
    </w:p>
    <w:p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 xml:space="preserve">tirrevedi l-leġiżlazzjoni Torka dwar it-terroriżmu bil-għan li tiġi allinjata mal-acquis tal-UE, l-istandards tal-Kunsill tal-Ewropa u l-ġurisprudenza tal-Qorti Ewropea tad-Drittijiet tal-Bniedem (QEDB) dwar it-terroriżmu;  </w:t>
      </w:r>
    </w:p>
    <w:p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>tadotta leġiżlazzjoni kontra d-diskriminazzjoni, filwaqt li tispira ruħha mill-acquis tal-UE dwar it-trattament ugwali ta’ persuni irrispettivament mill-oriġini razzjali jew etnika tagħhom;</w:t>
      </w:r>
    </w:p>
    <w:p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 xml:space="preserve">tadotta pjan ta’ azzjoni nazzjonali mmirat lejn it-titjib tas-sitwazzjoni tar-Roma fit-Turkija, u tiżgura l-involviment tal-organizzazzjonijiet tas-soċjetà ċivili tar-Roma fil-monitoraġġ tal-implimentazzjoni tiegħu; </w:t>
      </w:r>
    </w:p>
    <w:p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 xml:space="preserve">tirratifika l-Protokolli 4 u 7 </w:t>
      </w:r>
      <w:r>
        <w:rPr>
          <w:rFonts w:ascii="Times New Roman" w:hAnsi="Times New Roman"/>
          <w:noProof/>
          <w:sz w:val="24"/>
        </w:rPr>
        <w:t>tal-Konvenzjoni Ewropea dwar id-Drittijiet tal-Bniedem (KEDB), jew inkella, tiżgura jew turi li huma inklużi dispożizzjonijiet ekwivalenti fil-qafas legali Tork;</w:t>
      </w:r>
      <w:r>
        <w:rPr>
          <w:rFonts w:ascii="Times New Roman" w:hAnsi="Times New Roman"/>
          <w:i/>
          <w:noProof/>
          <w:color w:val="000000"/>
          <w:sz w:val="24"/>
        </w:rPr>
        <w:t xml:space="preserve">   </w:t>
      </w:r>
    </w:p>
    <w:p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</w:rPr>
        <w:t>tkompli timplimenta l-Pjan ta’ Azzjoni dwar il-Prevenzjoni tal-Ksur tal-Konvenzjoni Ewropea tad-Drittijiet tal-Bniedem (QEDB) u tagħti segwitu għall-ġurisprudenza maħruġa mill-QEBD</w:t>
      </w:r>
      <w:r>
        <w:rPr>
          <w:rFonts w:ascii="Times New Roman" w:hAnsi="Times New Roman"/>
          <w:noProof/>
          <w:sz w:val="24"/>
        </w:rPr>
        <w:t xml:space="preserve"> fil-grupp ta’ każijiet "</w:t>
      </w:r>
      <w:r>
        <w:rPr>
          <w:rFonts w:ascii="Times New Roman" w:hAnsi="Times New Roman"/>
          <w:i/>
          <w:noProof/>
          <w:sz w:val="24"/>
        </w:rPr>
        <w:t>Incal</w:t>
      </w:r>
      <w:r>
        <w:rPr>
          <w:rFonts w:ascii="Times New Roman" w:hAnsi="Times New Roman"/>
          <w:noProof/>
          <w:sz w:val="24"/>
        </w:rPr>
        <w:t>”;</w:t>
      </w:r>
    </w:p>
    <w:p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tkompli tipprovdi taħriġ, appoġġ u tagħlim għall-uffiċjali tal-infurzar tal-liġi, l-imħallfin u l-prosekuturi sabiex ikunu jistgħu jinterpretaw il-leġiżlazzjoni attwali, b’kont meħud tal-QEDB u l-ġurisprudenza tal-QEDB; </w:t>
      </w:r>
    </w:p>
    <w:p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tadotta l-liġi dwar l-istabbiliment ta’ kummissjoni indipendenti li tissorvelja l-aġenziji tal-infurzar tal-liġi dwar ksur possibbli tad-drittijiet ta’ persuni.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  <w:szCs w:val="24"/>
        </w:rPr>
      </w:pPr>
    </w:p>
    <w:p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u w:val="single"/>
        </w:rPr>
        <w:t xml:space="preserve">6. PARTI 5:  </w:t>
      </w:r>
      <w:r>
        <w:rPr>
          <w:rFonts w:ascii="Times New Roman" w:hAnsi="Times New Roman"/>
          <w:b/>
          <w:noProof/>
          <w:color w:val="000000"/>
          <w:sz w:val="24"/>
          <w:u w:val="single"/>
        </w:rPr>
        <w:t xml:space="preserve">RIAMMISSJONI TA' MIGRANTI IRREGOLARI 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L-Ewwel Rapport innota nuqqasijiet kbar fl-implimentazzjoni tar-rekwiżiti ta’ din il-parti. Id-DĦPK jirrapporta dwar xi żviluppi pożittivi li seħħew minn dak iż-żmien 'l hawn.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B’mod partikolari, mis-Summit ta’ Novembru 'l hawn, it-Turkija intensifikat il-kuntatti tagħha mal-awtoritajiet Griegi bil-għan li tittejjeb l-implimentazzjoni ta’ protokoll bilaterali eżistenti. Saru għadd ta’ laqgħat tekniċi li rriżultaw fit-Turkija tħaffef l-evalwazzjoni ta’ 864 applikazzjoni ta’ riammissjoni pendenti kollha ippreżentati mill-Greċja fl-2016. Fi Frar 2016, it-Turkija pproponiet ukoll lill-Bulgarija li jiġi konkluż protokoll bilaterali taħt il-Ftehim ta’ Riammissjoni bejn l-UE u t-Turkija. 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Madankollu, hemm diversi azzjonijiet importanti li t-Turkija għandha tippromulga. B’mod partikolari, jeħtieġ li t-Turkija:</w:t>
      </w:r>
    </w:p>
    <w:p>
      <w:pPr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tibda' tapplika u timplimenta b’mod effettiv, fir-rigward tal-Istati Membri kollha, id-dispożizzjonijiet tal-Ftehim ta’ Riammissjoni bejn l-UE u t-Turkija rigward ċittadini ta’ pajjiżi terzi, li t-Turkija impenjat ruħha li tagħmel mill-1 ta’ Ġunju 2016; </w:t>
      </w:r>
    </w:p>
    <w:p>
      <w:pPr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sa dak iż-żmien, ittejjeb b’mod konsiderevoli t-twettiq ta’ obbligi ta’ riammissjoni bilaterali eżistenti; b’mod partikolari, fil-kuntest tal-Ftehim mal-Greċja, it-Turkija għandha: </w:t>
      </w:r>
    </w:p>
    <w:p>
      <w:pPr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tintensifika l-isforzi tagħha biex twieġeb fi żmien l-iskadenzi għal talbiet ta’ riammissjoni, notevolment billi tapplika l-proċedura aċċellerata prevista mill-protokoll bilaterali; </w:t>
      </w:r>
    </w:p>
    <w:p>
      <w:pPr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iżżid l-għadd ta’ tweġibiet pożittivi u b'mod ieħor sistematikament tipprovdi ġustifikazzjonijiet għal rifjuti;</w:t>
      </w:r>
    </w:p>
    <w:p>
      <w:pPr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tiftaħ portijiet marittimi addizzjonali biex tiffaċilita l-konsenja tal-persuni riammessi;</w:t>
      </w:r>
    </w:p>
    <w:p>
      <w:pPr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tiskambja uffiċjali ta’ kollegament għall-iffaċilitar tal-identifikazzjoni u r-riammissjoni tal-migranti illegali;</w:t>
      </w:r>
    </w:p>
    <w:p>
      <w:pPr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ittejjeb l-implimentazzjoni tad-dispożizzjonijiet tal-ftehim ta’ riammissjoni bejn l-UE u t-Turkija diġà applikabbli relatati mar-ritorn u r-riammissjoni taċ-ċittadini tagħha stess u persuni mingħajr stat, li fil-preżent mhumiex infurzati b’mod sistematiku mill-missjonijiet diplomatiċi Torok kollha. </w:t>
      </w:r>
    </w:p>
    <w:p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7. KONKLUŻJONIJIET U L-PASS LI JMISS</w:t>
      </w:r>
    </w:p>
    <w:p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Wara perjodu fl-2015 li fih it-Turkija kienet għamlet biss progress limitat lejn l-implimentazzjoni tal-Pjan Direzzjonali, is-sitwazzjoni nbidlet fis-Summit bejn l-UE u t-Turkija tad-29 ta’ Novembru 2015 u minn dak iż-żmien ‘l hawn, l-awtoritajiet Torok qed jintensifikaw l-isforzi tagħhom f’din id-direzzjoni.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Il-Kummissjoni tilqa’ b’sodisfazzjon il-livell ġdid ta’ impenn u determinazzjoni muri mill-awtoritajiet Torok, tieħu nota ta’ numru ta’ passi importanti ‘l quddiem li diġà saru u tħeġġiġhom biex ikomplu jaċċelleraw il-proċess ta’ riforma, billi jindirizzaw il-kwistjonijiet pendenti identifikati f’dan ir-Rapport bħala kwistjoni ta’ urġenza, sabiex jiġu sodisfatti r-rekwiżiti kollha tal-pjan direzzjonali sa Ottubru 2016, kif mitlub b’mod ambizzjuż mit-Turkija. </w:t>
      </w:r>
    </w:p>
    <w:p>
      <w:pPr>
        <w:spacing w:after="12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se tkompli tgħin lit-Turkija fl-implimentazzjoni tal-Pjan Direzzjonali u se timmonitorja b’mod attiv l-iżviluppi li jseħħu f’dan il-kuntest, bil-ħsieb li jkun ippreżentat rapport ġdid ta’ progress fil-ħarifa tal-2016.</w:t>
      </w:r>
    </w:p>
    <w:p>
      <w:pPr>
        <w:tabs>
          <w:tab w:val="left" w:pos="2568"/>
        </w:tabs>
        <w:rPr>
          <w:noProof/>
        </w:rPr>
      </w:pP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244702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jc w:val="both"/>
        <w:rPr>
          <w:rFonts w:ascii="Times New Roman" w:hAnsi="Times New Roman"/>
          <w:lang w:val="en-US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http://europa.eu/rapid/press-release_IP-13-1259_en.htm</w:t>
      </w:r>
    </w:p>
  </w:footnote>
  <w:footnote w:id="2"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FootnoteReference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 COM(2014) 646 final Rapport tal-Kummissjoni lill-Parlament Ewropew u lill-Kunsill dwar il-progress tat-Turkija fl-issodisfar tar-rekwiżiti tal-pjan direzzjonali tagħha tal-liberalizzazzjoni tal-viża http://europa.eu/rapid/press-release_IP-14-1173_en.htm</w:t>
      </w:r>
    </w:p>
  </w:footnote>
  <w:footnote w:id="3">
    <w:p>
      <w:pPr>
        <w:pStyle w:val="FootnoteText"/>
        <w:jc w:val="both"/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It-test tal-Pjan ta’ Azzjoni Konġunt jinsab fuq http://europa.eu/rapid/press-release_MEMO-15-5860_en.htm</w:t>
      </w:r>
    </w:p>
  </w:footnote>
  <w:footnote w:id="4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Għat-test sħiħ tad-Dikjarazzjoni adottatat fil-laqgħa tal-Kapijiet ta’ Stat jew ta’ Gvern tal-UE mat-Turkija, ara http://www.consilium.europa.eu/mt/press/press-releases/2015/11/29-eu-turkey-meeting-statement/</w:t>
      </w:r>
    </w:p>
  </w:footnote>
  <w:footnote w:id="5">
    <w:p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Commission Staff Working Document accompanying the Second Report on progress by Turkey in fulfilling the requirements of its visa liberalisation roadmap, SWD(2016)97</w:t>
      </w:r>
      <w:r>
        <w:rPr>
          <w:rFonts w:ascii="Times New Roman" w:hAnsi="Times New Roman"/>
          <w:highlight w:val="yellow"/>
        </w:rPr>
        <w:t xml:space="preserve"> </w:t>
      </w:r>
      <w:r>
        <w:rPr>
          <w:rFonts w:ascii="Times New Roman" w:hAnsi="Times New Roman"/>
        </w:rPr>
        <w:t xml:space="preserve"> </w:t>
      </w:r>
    </w:p>
  </w:footnote>
  <w:footnote w:id="6">
    <w:p>
      <w:pPr>
        <w:pStyle w:val="FootnoteText"/>
        <w:jc w:val="both"/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Il-valutazzjoni tal-impatt fuq is-sigurtà tal-liberalizzazzjoni tal-viża mat-Turkija se tiġi ppreżentata fl-okkażjoni tal-pubblikazzjoni tar-rapport li jmiss.</w:t>
      </w:r>
      <w:r>
        <w:t xml:space="preserve"> </w:t>
      </w:r>
    </w:p>
  </w:footnote>
  <w:footnote w:id="7">
    <w:p>
      <w:pPr>
        <w:pStyle w:val="FootnoteText"/>
        <w:jc w:val="both"/>
        <w:rPr>
          <w:rFonts w:ascii="Times New Roman" w:hAnsi="Times New Roman"/>
          <w:lang w:val="en-US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Kif indikat fil-Pjan Direzzjonali, ladarba jingħata, id-dritt għall-ivvjaġġar mingħajr viża se japplika biss għal Torok b’passaporti bijometriċi konformi mal-istandards tar-Regolament tal-Kunsill 2252/2004. </w:t>
      </w:r>
    </w:p>
  </w:footnote>
  <w:footnote w:id="8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Għal informazzjoni dwar ir-rekwiżiti tal-viża applikati għall-Istati Membri ara d-DĦPK.</w:t>
      </w:r>
    </w:p>
  </w:footnote>
  <w:footnote w:id="9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Iċ-ċifri msemmija f’din il-paġna huma l-elaborazzjonijiet li saru mis-servizzi tal-Kummissjoni abbażi tal-informazzjoni pprovduta minn Frontex u l-awtoritajiet Torok. Id-data kollha hija indikattiva u tista’ tinbidel.</w:t>
      </w:r>
    </w:p>
  </w:footnote>
  <w:footnote w:id="10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 </w:t>
      </w:r>
      <w:r>
        <w:rPr>
          <w:rFonts w:ascii="Times New Roman" w:hAnsi="Times New Roman"/>
        </w:rPr>
        <w:t xml:space="preserve">L-awtoritajiet Torok informaw lill-Kummissjoni li, fid-dawl tas-sitwazzjoni ġeopolitika attwali, mhux se jkomplu l-pjan inizjali tagħhom, previst skont il-Pjan ta’ Azzjoni Nazzjonali għall-Implimentazzjoni ta’ Ġestjoni Integrata tal-Fruntieri tat-Turkija tal-2006, biex </w:t>
      </w:r>
      <w:r>
        <w:rPr>
          <w:rFonts w:ascii="Times New Roman" w:hAnsi="Times New Roman"/>
          <w:color w:val="000000"/>
        </w:rPr>
        <w:t>iwaqqfu organizzazzjoni speċjalizzata unika, mhux militari, u jittrasferulha r-responsabbiltajiet u r-riżorsi kollha għall-ġestjoni tal-fruntieri</w:t>
      </w:r>
      <w:r>
        <w:rPr>
          <w:rFonts w:ascii="Times New Roman" w:hAnsi="Times New Roman"/>
        </w:rPr>
        <w:t>.</w:t>
      </w:r>
    </w:p>
  </w:footnote>
  <w:footnote w:id="11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Għal statistika dwar nazzjonalitajiet ta’ persuni li daħlu irregolarment fit-territorju tal-UE mit-Turkija, ara d-DĦPK. </w:t>
      </w:r>
    </w:p>
  </w:footnote>
  <w:footnote w:id="12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Dwar ir-reġim tal-viża applikat mit-Turkija fuq il-pajjiżi li huma s-sors ewlieni tal-migrazzjoni irregolari u l-paragun tiegħu mas-sistema tal-viża tal-UE applikabbli għal dawn il-pajjiżi, ara d-DĦPK</w:t>
      </w:r>
    </w:p>
  </w:footnote>
  <w:footnote w:id="13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Dwar il-progress li sar mit-Turkija biex tissodisfa r-rekwiżiti tal-pjan direzzjonali dwar il-protezzjoni internazzjonali matul il-perjodu ta’ rappurtar, ara d-DĦPK.</w:t>
      </w:r>
    </w:p>
  </w:footnote>
  <w:footnote w:id="14">
    <w:p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Għal kjarifiki fuq dan ix-xogħol pendenti, ara l-paragrafu rilevanti fid-DĦPK.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2BA1"/>
    <w:multiLevelType w:val="hybridMultilevel"/>
    <w:tmpl w:val="1AA8F3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A5400"/>
    <w:multiLevelType w:val="hybridMultilevel"/>
    <w:tmpl w:val="A25E9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A5D1C"/>
    <w:multiLevelType w:val="hybridMultilevel"/>
    <w:tmpl w:val="903CD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A0459"/>
    <w:multiLevelType w:val="hybridMultilevel"/>
    <w:tmpl w:val="E4ECF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3506B"/>
    <w:multiLevelType w:val="hybridMultilevel"/>
    <w:tmpl w:val="BF0838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C756C"/>
    <w:multiLevelType w:val="hybridMultilevel"/>
    <w:tmpl w:val="1D98D1BE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BC69D7"/>
    <w:multiLevelType w:val="hybridMultilevel"/>
    <w:tmpl w:val="7AFC8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C542E"/>
    <w:multiLevelType w:val="hybridMultilevel"/>
    <w:tmpl w:val="6D7E032C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37057A"/>
    <w:multiLevelType w:val="hybridMultilevel"/>
    <w:tmpl w:val="A9BAEFAA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3D4AD7"/>
    <w:multiLevelType w:val="hybridMultilevel"/>
    <w:tmpl w:val="A7FC05F0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17077B"/>
    <w:multiLevelType w:val="hybridMultilevel"/>
    <w:tmpl w:val="5CA8F256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1C4AF3"/>
    <w:multiLevelType w:val="hybridMultilevel"/>
    <w:tmpl w:val="0E8A0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845B17"/>
    <w:multiLevelType w:val="hybridMultilevel"/>
    <w:tmpl w:val="8668A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C1698F"/>
    <w:multiLevelType w:val="hybridMultilevel"/>
    <w:tmpl w:val="D090AF8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82200"/>
    <w:multiLevelType w:val="hybridMultilevel"/>
    <w:tmpl w:val="0180E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444095"/>
    <w:multiLevelType w:val="hybridMultilevel"/>
    <w:tmpl w:val="A17A5C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1A3A24"/>
    <w:multiLevelType w:val="hybridMultilevel"/>
    <w:tmpl w:val="5DC2373C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F52F82"/>
    <w:multiLevelType w:val="hybridMultilevel"/>
    <w:tmpl w:val="96245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4F0C17"/>
    <w:multiLevelType w:val="hybridMultilevel"/>
    <w:tmpl w:val="1C567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74025F"/>
    <w:multiLevelType w:val="hybridMultilevel"/>
    <w:tmpl w:val="3EF6C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4600C8"/>
    <w:multiLevelType w:val="hybridMultilevel"/>
    <w:tmpl w:val="6592F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47765F"/>
    <w:multiLevelType w:val="hybridMultilevel"/>
    <w:tmpl w:val="C0F4F048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756101A"/>
    <w:multiLevelType w:val="hybridMultilevel"/>
    <w:tmpl w:val="D008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F24F3F"/>
    <w:multiLevelType w:val="hybridMultilevel"/>
    <w:tmpl w:val="F3B85C84"/>
    <w:lvl w:ilvl="0" w:tplc="08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7453C7"/>
    <w:multiLevelType w:val="hybridMultilevel"/>
    <w:tmpl w:val="7AA68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563B8"/>
    <w:multiLevelType w:val="hybridMultilevel"/>
    <w:tmpl w:val="88B86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BE6E4F"/>
    <w:multiLevelType w:val="hybridMultilevel"/>
    <w:tmpl w:val="2090B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395BE8"/>
    <w:multiLevelType w:val="hybridMultilevel"/>
    <w:tmpl w:val="3A761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BD1257"/>
    <w:multiLevelType w:val="hybridMultilevel"/>
    <w:tmpl w:val="9078E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0444C8"/>
    <w:multiLevelType w:val="hybridMultilevel"/>
    <w:tmpl w:val="E7CC0F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3"/>
  </w:num>
  <w:num w:numId="3">
    <w:abstractNumId w:val="26"/>
  </w:num>
  <w:num w:numId="4">
    <w:abstractNumId w:val="25"/>
  </w:num>
  <w:num w:numId="5">
    <w:abstractNumId w:val="17"/>
  </w:num>
  <w:num w:numId="6">
    <w:abstractNumId w:val="2"/>
  </w:num>
  <w:num w:numId="7">
    <w:abstractNumId w:val="24"/>
  </w:num>
  <w:num w:numId="8">
    <w:abstractNumId w:val="21"/>
  </w:num>
  <w:num w:numId="9">
    <w:abstractNumId w:val="10"/>
  </w:num>
  <w:num w:numId="10">
    <w:abstractNumId w:val="16"/>
  </w:num>
  <w:num w:numId="11">
    <w:abstractNumId w:val="5"/>
  </w:num>
  <w:num w:numId="12">
    <w:abstractNumId w:val="8"/>
  </w:num>
  <w:num w:numId="13">
    <w:abstractNumId w:val="9"/>
  </w:num>
  <w:num w:numId="14">
    <w:abstractNumId w:val="23"/>
  </w:num>
  <w:num w:numId="15">
    <w:abstractNumId w:val="7"/>
  </w:num>
  <w:num w:numId="16">
    <w:abstractNumId w:val="12"/>
  </w:num>
  <w:num w:numId="17">
    <w:abstractNumId w:val="27"/>
  </w:num>
  <w:num w:numId="18">
    <w:abstractNumId w:val="11"/>
  </w:num>
  <w:num w:numId="19">
    <w:abstractNumId w:val="6"/>
  </w:num>
  <w:num w:numId="20">
    <w:abstractNumId w:val="1"/>
  </w:num>
  <w:num w:numId="21">
    <w:abstractNumId w:val="22"/>
  </w:num>
  <w:num w:numId="22">
    <w:abstractNumId w:val="20"/>
  </w:num>
  <w:num w:numId="23">
    <w:abstractNumId w:val="14"/>
  </w:num>
  <w:num w:numId="24">
    <w:abstractNumId w:val="28"/>
  </w:num>
  <w:num w:numId="25">
    <w:abstractNumId w:val="19"/>
  </w:num>
  <w:num w:numId="26">
    <w:abstractNumId w:val="4"/>
  </w:num>
  <w:num w:numId="27">
    <w:abstractNumId w:val="0"/>
  </w:num>
  <w:num w:numId="28">
    <w:abstractNumId w:val="15"/>
  </w:num>
  <w:num w:numId="29">
    <w:abstractNumId w:val="1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hideSpellingErrors/>
  <w:hideGrammaticalErrors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CONFIDENCE" w:val=" "/>
    <w:docVar w:name="LW_CONST_RESTREINT_UE" w:val="RESTREINT UE"/>
    <w:docVar w:name="LW_CORRIGENDUM" w:val="&lt;UNUSED&gt;"/>
    <w:docVar w:name="LW_COVERPAGE_GUID" w:val="F5284513DD3545E297B8CD3315007370"/>
    <w:docVar w:name="LW_CROSSREFERENCE" w:val="{SWD(2016) 97 final}"/>
    <w:docVar w:name="LW_DocType" w:val="NORMAL"/>
    <w:docVar w:name="LW_EMISSION" w:val="4.3.2016"/>
    <w:docVar w:name="LW_EMISSION_ISODATE" w:val="2016-03-04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MARKING" w:val="&lt;UNUSED&gt;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6) 140"/>
    <w:docVar w:name="LW_REF.INTERNE" w:val="&lt;UNUSED&gt;"/>
    <w:docVar w:name="LW_SOUS.TITRE.OBJ.CP" w:val="&lt;UNUSED&gt;"/>
    <w:docVar w:name="LW_SUPERTITRE" w:val="&lt;UNUSED&gt;"/>
    <w:docVar w:name="LW_TITRE.OBJ.CP" w:val="It-Tieni Rapport dwar il-progress li sar mit-Turkija fl-issodisfar tar-rekwi\u380?iti tal-Pjan Direzzjonali tag\u295?ha dwar il-vi\u380?i"/>
    <w:docVar w:name="LW_TYPE.DOC.CP" w:val="RAPPORT TAL-KUMMISSJONI LILL-PARLAMENT EWROPEW U LIL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</w:style>
  <w:style w:type="character" w:customStyle="1" w:styleId="at8">
    <w:name w:val="a__t8"/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alibri" w:eastAsia="Calibri" w:hAnsi="Calibri" w:cs="Times New Roman"/>
      <w:szCs w:val="21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eastAsia="Calibri" w:hAnsi="Tahoma" w:cs="Tahoma"/>
      <w:sz w:val="20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20"/>
      <w:szCs w:val="16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Times New Roman"/>
      <w:sz w:val="20"/>
      <w:szCs w:val="20"/>
    </w:rPr>
  </w:style>
  <w:style w:type="paragraph" w:customStyle="1" w:styleId="astandard3520normal">
    <w:name w:val="a_standard__35__20_normal"/>
    <w:basedOn w:val="Normal"/>
    <w:pPr>
      <w:spacing w:after="120" w:line="240" w:lineRule="auto"/>
      <w:ind w:right="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71">
    <w:name w:val="a__t7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st1">
    <w:name w:val="st1"/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8">
    <w:name w:val="s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BodyText">
    <w:name w:val="Body Text"/>
    <w:basedOn w:val="Normal"/>
    <w:link w:val="BodyTextChar"/>
    <w:unhideWhenUsed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eastAsia="mt-M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</w:style>
  <w:style w:type="character" w:customStyle="1" w:styleId="at8">
    <w:name w:val="a__t8"/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alibri" w:eastAsia="Calibri" w:hAnsi="Calibri" w:cs="Times New Roman"/>
      <w:szCs w:val="21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eastAsia="Calibri" w:hAnsi="Tahoma" w:cs="Tahoma"/>
      <w:sz w:val="20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20"/>
      <w:szCs w:val="16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Times New Roman"/>
      <w:sz w:val="20"/>
      <w:szCs w:val="20"/>
    </w:rPr>
  </w:style>
  <w:style w:type="paragraph" w:customStyle="1" w:styleId="astandard3520normal">
    <w:name w:val="a_standard__35__20_normal"/>
    <w:basedOn w:val="Normal"/>
    <w:pPr>
      <w:spacing w:after="120" w:line="240" w:lineRule="auto"/>
      <w:ind w:right="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71">
    <w:name w:val="a__t7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st1">
    <w:name w:val="st1"/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8">
    <w:name w:val="s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BodyText">
    <w:name w:val="Body Text"/>
    <w:basedOn w:val="Normal"/>
    <w:link w:val="BodyTextChar"/>
    <w:unhideWhenUsed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eastAsia="mt-M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C1423-9F8C-4F71-ADAC-7986947A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3486</Words>
  <Characters>25693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dcterms:created xsi:type="dcterms:W3CDTF">2016-03-03T20:42:00Z</dcterms:created>
  <dcterms:modified xsi:type="dcterms:W3CDTF">2016-04-26T11:03:00Z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Classification">
    <vt:lpwstr> </vt:lpwstr>
  </property>
  <property fmtid="{D5CDD505-2E9C-101B-9397-08002B2CF9AE}" pid="5" name="DocStatus">
    <vt:lpwstr>Green</vt:lpwstr>
  </property>
  <property name="OP_sanitized" fmtid="{D5CDD505-2E9C-101B-9397-08002B2CF9AE}" pid="6">
    <vt:lpwstr>True</vt:lpwstr>
  </property>
</Properties>
</file>