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alt="300FA6F3503847E38C1834BA5D952D76" style="width:450.45pt;height:365.75pt">
            <v:imagedata r:id="rId9" o:title=""/>
          </v:shape>
        </w:pict>
      </w:r>
    </w:p>
    <w:p>
      <w:pPr>
        <w:rPr>
          <w:noProof/>
        </w:rPr>
        <w:sectPr>
          <w:footerReference w:type="default" r:id="rId10"/>
          <w:pgSz w:w="11907" w:h="16839"/>
          <w:pgMar w:top="1134" w:right="1417" w:bottom="1134" w:left="1417" w:header="709" w:footer="709" w:gutter="0"/>
          <w:pgNumType w:start="1"/>
          <w:cols w:space="720"/>
          <w:docGrid w:linePitch="360"/>
        </w:sectPr>
      </w:pPr>
    </w:p>
    <w:p>
      <w:pPr>
        <w:pStyle w:val="Exposdesmotifstitre"/>
        <w:rPr>
          <w:noProof/>
        </w:rPr>
      </w:pPr>
      <w:bookmarkStart w:id="0" w:name="_GoBack"/>
      <w:bookmarkEnd w:id="0"/>
      <w:r>
        <w:rPr>
          <w:noProof/>
        </w:rPr>
        <w:lastRenderedPageBreak/>
        <w:t>MEMORANDUM TA’ SPJEGAZZJONI</w:t>
      </w:r>
    </w:p>
    <w:p>
      <w:pPr>
        <w:pStyle w:val="ManualHeading1"/>
        <w:rPr>
          <w:noProof/>
        </w:rPr>
      </w:pPr>
      <w:r>
        <w:rPr>
          <w:noProof/>
        </w:rPr>
        <w:t>1.</w:t>
      </w:r>
      <w:r>
        <w:rPr>
          <w:noProof/>
        </w:rPr>
        <w:tab/>
        <w:t>IL-KUNTEST TAL-PROPOSTA</w:t>
      </w:r>
    </w:p>
    <w:p>
      <w:pPr>
        <w:pStyle w:val="ManualHeading2"/>
        <w:rPr>
          <w:rFonts w:eastAsia="Arial Unicode MS"/>
          <w:noProof/>
        </w:rPr>
      </w:pPr>
      <w:r>
        <w:rPr>
          <w:noProof/>
          <w:color w:val="000000"/>
          <w:u w:color="000000"/>
          <w:bdr w:val="nil"/>
        </w:rPr>
        <w:t>•</w:t>
      </w:r>
      <w:r>
        <w:rPr>
          <w:noProof/>
        </w:rPr>
        <w:tab/>
        <w:t>Ir-raġunijiet għall-proposta u l-għanijiet tagħha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Bħalissa hemm aktar minn 300 awtorità ċivili u militari fl-Istati Membri responsabbli biex iwettqu funzjonijiet tal-gwardja tal-kosta f’bosta oqsma, fosthom is-sikurezza marittima, is-sigurtà, it-tiftix u s-salvataġġ, il-kontroll mal-fruntieri, il-kontroll tas-sajd, il-kontroll doganali, l-infurzar tal-liġi ġenerali u l-protezzjoni ambjentali. Biex jaqdu dmirhom, l-awtoritajiet nazzjonali għandhom l-għajnuna ta' bosta aġenziji tal-UE, fosthom l-Aġenzija Ewropea għall-Gwardja tal-Fruntiera u tal-Kosta, l-Aġenzija Ewropea għas-Sigurtà Marittima u l-Aġenzija Ewropea għall-Kontroll tas-Sajd.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Fl-2014, il-Kummissjoni temmet studju tal-fattibbiltà biex teżamina l-ħtieġa li jitjiebu l-koperazzjoni u l-koordinazzjoni bejn il-korpi nazzjonali u l-aġenziji li jwettqu l-funzjonijiet tal-gwardja tal-kosta. Dan l-istudju jsemmi għadd ta’ kwistjonijiet għal kollaborazzjoni aktar mill-qrib, l-aktar fejn tidħol is-sorveljanza operazzjonali u l-qsim tad-dejta li fuqhom jistrieħu dawn il-funzjonijiet.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Għaldaqstant il-leġiżlazzjoni tal-Unjoni dwar it-trasport marittimu, l-Istrateġija dwar is-Sigurtà Marittima tal-Unjoni Ewropea bi Pjan ta' Azzjoni li adotta l-Kunsill fl-2014, u l-Aġenda Ewropea dwar il-Migrazzjoni li adottat il-Kummissjoni fl-2015 ilkoll jagħrfu l-ħtieġa li jissaħħu l-kollaborazzjoni u l-koordinazzjoni bejn l-awtoritajiet li jwettqu l-funzjonijiet tal-gwardja tal-kosta.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Din il-proposta leġiżlattiva li ssaħħaħ il-koperazzjoni Ewropea fil-funzjonijiet tal-gwardja tal-kosta għandha l-għan li ttejjeb il-koperazzjoni u l-koordinazzjoni fost l-aġenziji rilevanti tal-UE ħalli jissaħħu s-sinerġiji bejn is-servizzi rispettivi tagħhom u b’hekk lill-awtoritajiet nazzjonali li jwettqu funzjonijiet tal-gwardja tal-kosta jkunu jistgħu jipprovdulhom aktar servizzi effiċjenti u kosteffikaċi li jaqdu aktar minn għan wieħed.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Din il-proposta leġiżlattiva hi parti mill-miżuri li qed tipproponi l-Kummissjoni biex issaħħaħ il-protezzjoni tal-fruntieri esterni tal-Ewropa, inkluża l-koperazzjoni Ewropea fil-funzjonijiet tal-gwardja tal-kosta, u tinkludi wkoll proposta biex jiġi emendat ir-Regolament tal-Kunsill (KE) Nru 1406/2002 li jistabbilixxi l-Aġenzija Marittima Ewropea tas-Sigurtà (l-EMSA) u proposta għal Regolament tal-Kunsill dwar l-istabbiliment tal-Aġenzija Ewropea għall-Gwardja tal-Fruntiera u tal-Kosta. L-emendi sostantivi f’din il-proposta huma l-istess bħall-emendi proposti fir-Regolament li jistabbilixxi l-EMSA u d-dispożizzjonijiet proposti dwar il-koperazzjoni tal-gwardja tal-kosta Ewropea fil-proposta għal Regolament li jistabbilixxi l-Aġenzija Ewropea għall-Gwardja tal-Fruntiera u tal-Kosta.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Il-konsistenza mad-dispożizzjonijiet eżistenti ta’ politika fil-qasam ta’ politika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Din il-proposta hi konsistenti mal-politika dwar il-kontroll tas-sajd li għandha l-għan li trawwem l-implimentazzjoni tal-Politika Komuni tas-Sajd billi ssaħħaħ il-ġlieda kontra s-sajd illegali, mhux dikjarat u mhux rappurtat (IUU), u ta’ sistema effikaċi tal-Unjoni għall-kontroll tas-sajd. Barra minn hekk din hi konsistenti wkoll mal-iżvilupp u mal-implimentazzjoni tal-Politika Marittima Integrata tal-Unjoni, b'mod li tikkumplimenta l-Politika Komuni tas-Sajd. U fl-aħħar nett din il-proposta hi konsistenti mal-kompetenzi tal-Aġenzija Ewropea għall-</w:t>
      </w:r>
      <w:r>
        <w:rPr>
          <w:noProof/>
        </w:rPr>
        <w:lastRenderedPageBreak/>
        <w:t>Kontroll tas-Sajd (l-EFCA) fosthom l-implimentazzjoni tal-Politika Marittima Integrata tal-UE u l-ġlieda kontra s-sajd IUU.</w:t>
      </w:r>
    </w:p>
    <w:p>
      <w:pPr>
        <w:pStyle w:val="ManualHeading2"/>
        <w:rPr>
          <w:rFonts w:eastAsia="Arial Unicode MS"/>
          <w:noProof/>
        </w:rPr>
      </w:pPr>
      <w:r>
        <w:rPr>
          <w:noProof/>
        </w:rPr>
        <w:t>•</w:t>
      </w:r>
      <w:r>
        <w:rPr>
          <w:noProof/>
        </w:rPr>
        <w:tab/>
        <w:t>Il-konsistenza ma’ politiki oħra tal-Unjoni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Din l-inizjattiva għandha l-għan li ttejjeb il-koperazzjoni u l-koordinazzjoni bejn l-awtoritajiet rilevanti tal-Istati Membri, l-aġenziji tal-UE u korpi oħrajn li jwettqu funzjonijiet tal-gwardja tal-kosta, bil-ħsieb li tissawwar kapaċità/sistema Ewropea għall-gwardja tal-kosta. Il-problema hija li bħalissa l-funzjonijiet tal-gwardja tal-kosta, bħall-kontroll mal-fruntieri, l-operazzjonijiet tat-tiftix u s-salvataġġ, il-kontroll tas-sajd, il-kontroll tat-tniġġis, eċċ. qed jagħmluhom aktar minn 300 awtorità fl-Istati Membri, li xi drabi lanqas fil-livell nazzjonali ma jikkoordinaw tajjeb bejniethom. Jekk nippromwovu l-kollaborazzjoni u l-koordinazzjoni bejn l-awtoritajiet li jwettqu l-funzjonijiet tal-gwardja tal-kosta, din il-proposta tkun konsistenti għalkollox mal-politiki tal-Unjoni għall-migrazzjoni u għat-trasport u l-mobbiltà.</w:t>
      </w:r>
    </w:p>
    <w:p>
      <w:pPr>
        <w:pStyle w:val="ManualHeading1"/>
        <w:rPr>
          <w:noProof/>
        </w:rPr>
      </w:pPr>
      <w:r>
        <w:rPr>
          <w:noProof/>
        </w:rPr>
        <w:t>2.</w:t>
      </w:r>
      <w:r>
        <w:rPr>
          <w:noProof/>
        </w:rPr>
        <w:tab/>
        <w:t>IL-BAŻI ĠURIDIKA, IS-SUSSIDJARJETÀ U L-PROPORZJONALITÀ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Il-bażi ġuridika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Il-proposta tibbaża fuq l-Artikolu 43(2) tat-TFUE dwar l-istabbiliment tad-dispożizzjonijiet meħtieġa biex jintlaħqu l-għanijiet tal-PKS.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 xml:space="preserve">Is-sussidjarjetà (għal kompetenza mhux esklużiva)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Il-proposta tittratta appoġġ lill-awtoritajiet nazzjonali li jwettqu l-funzjonijiet tal-gwardja tal-kosta fil-livell nazzjonali u fil-livell tal-Unjoni, u meta xieraq, fil-livell internazzjonali. Għalhekk din hi parti mill-politika ta’ kontroll bil-għan li titħaddem sistema tal-kontroll effikaċi ħalli tkun żgurata l-konformità mar-regoli kollha tal-Politika Komuni tas-Sajd, li hija kompetenza esklussiva tal-Unjoni. Għalhekk il-prinċipju tas-sussidjarjetà ma japplikax f’dan il-kuntest.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Il-proporzjonalità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Il-proposta għandha l-għan li ssaħħaħ il-kapaċità tal-Gwardja tal-Kosta tal-UE biex tilqa' għat-theddid u għar-riskji fil-qasam marittimu, fost l-oħrajn billi ttejjeb il-koperazzjoni bejn l-atturi ċivili u militari rilevanti kollha. Din se tevita l-isforzi doppji u se tiżgura li l-atturi ewlenin (b’mod partikolari l-aġenziji tal-UE) jaġixxu b’mod koerenti u effiċjenti u jiżviluppaw sinerġiji flimkien. Se tqis il-ħtieġa li jiżdied il-kontroll fiż-żona marittima u jonqos il-piż tax-xogħol għall-amministrazzjonijiet nazzjonali u tal-UE.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L-għażla tal-istrument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Billi l-proposta għandha l-għan li timmodifika r-Regolament li jistabbilixxi l-Aġenzija Komunitarja għall-Kontroll tas-Sajd, hemm bżonn jiġi propost Regolament.</w:t>
      </w:r>
    </w:p>
    <w:p>
      <w:pPr>
        <w:pStyle w:val="ManualHeading1"/>
        <w:rPr>
          <w:noProof/>
        </w:rPr>
      </w:pPr>
      <w:r>
        <w:rPr>
          <w:noProof/>
        </w:rPr>
        <w:t>3.</w:t>
      </w:r>
      <w:r>
        <w:rPr>
          <w:noProof/>
        </w:rPr>
        <w:tab/>
        <w:t xml:space="preserve">IR-RIŻULTATI TAL-EVALWAZZJONIJIET </w:t>
      </w:r>
      <w:r>
        <w:rPr>
          <w:i/>
          <w:noProof/>
        </w:rPr>
        <w:t>EX-POST</w:t>
      </w:r>
      <w:r>
        <w:rPr>
          <w:noProof/>
        </w:rPr>
        <w:t>, TAL-KONSULTAZZJONIJIET TAL-PARTIJIET IKKONĊERNATI U TAL-VALUTAZZJONIJIET TAL-IMPATT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 xml:space="preserve">Evalwazzjonijiet </w:t>
      </w:r>
      <w:r>
        <w:rPr>
          <w:i/>
          <w:noProof/>
        </w:rPr>
        <w:t>ex-post</w:t>
      </w:r>
      <w:r>
        <w:rPr>
          <w:noProof/>
        </w:rPr>
        <w:t>/kontrolli tal-idoneità tal-leġiżlazzjoni eżistenti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Mhux applikabbli. (Din l-inizjattiva għandha l-għan li timplimenta l-impenji tal-Aġenda Ewropea dwar il-migrazzjoni li għandhom x'jaqsmu mal-attivitajiet tal-gwardja tal-kosta).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lastRenderedPageBreak/>
        <w:t>•</w:t>
      </w:r>
      <w:r>
        <w:rPr>
          <w:noProof/>
        </w:rPr>
        <w:tab/>
        <w:t>Il-konsultazzjonijiet tal-partijiet ikkonċernati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Mhux applikabbli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Il-ġbir u l-użu tal-għarfien espert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Mhux applikabbli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Valutazzjoni tal-impatt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Mhux applikabbli. Azzjoni speċifika dwar il-kapaċitajiet tal-gwardja tal-kosta ma kinitx soġġetta għal xi azzjoni preċedenti fil-livell tal-UE. Għalhekk ma hemm l-ebda politika eżistenti biex tiġi evalwata,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iżda d-DĠ MOVE ikkummissjona studju tal-fattibbiltà</w:t>
      </w:r>
      <w:r>
        <w:rPr>
          <w:rStyle w:val="FootnoteReference"/>
          <w:noProof/>
        </w:rPr>
        <w:footnoteReference w:id="1"/>
      </w:r>
      <w:r>
        <w:rPr>
          <w:noProof/>
        </w:rPr>
        <w:t xml:space="preserve"> u dan sar fl-2014. Dan l-istudju identifika xi 316-il awtorità ċivili u militari fl-Istati Membri, li huma responsabbli għall-funzjonijiet tal-gwardja tal-kosta u jikkollaboraw bejniethom b’70 struttura differenti. Dan joħroġ fid-dieher bosta nuqqasijiet ewlenin fejn tidħol il-koperazzjoni bħalissa fosthom in-nuqqas ta’ informazzjoni dwar il-mandat, is-setgħat u l-kapaċitajiet ta’ awtoritajiet oħra; l-għadd limitat ta’ assi operazzjonali; in-nuqqas ta’ interoperabbiltà tas-sistemi, tal-proċessi u tal-assi; l-għadd limitat ta' ppjanar konġunt u operazzjonijiet konġunti.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L-idoneità regolatorja u s-simplifikazzjoni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L-inizjattiva mhix parti mill-aġenda REFIT iżda tapplika l-prinċipji ewlenin tagħha.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Id-drittijiet fundamentali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Mhux applikabbli</w:t>
      </w:r>
    </w:p>
    <w:p>
      <w:pPr>
        <w:pStyle w:val="ManualHeading1"/>
        <w:rPr>
          <w:noProof/>
        </w:rPr>
      </w:pPr>
      <w:r>
        <w:rPr>
          <w:noProof/>
        </w:rPr>
        <w:t>4.</w:t>
      </w:r>
      <w:r>
        <w:rPr>
          <w:noProof/>
        </w:rPr>
        <w:tab/>
        <w:t>L-IMPLIKAZZJONIJIET BAĠITARJI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Din l-inizjattiva tfisser li l-kontribuzzjoni tal-UE lill-EFCA se tiżdied b’madwar 7,5 miljun fis-sena (jiġifieri 30.148 miljun għall-perjodu bejn l-2017 u l-2020) u l-għadd ta' persunal TA se jiżdied bi tlettax (13) (ara d-dikjarazzjoni finanzjarja leġiżlattiva mehmuża).</w:t>
      </w:r>
    </w:p>
    <w:p>
      <w:pPr>
        <w:pStyle w:val="ManualHeading1"/>
        <w:rPr>
          <w:noProof/>
        </w:rPr>
      </w:pPr>
      <w:r>
        <w:rPr>
          <w:noProof/>
        </w:rPr>
        <w:t>5.</w:t>
      </w:r>
      <w:r>
        <w:rPr>
          <w:noProof/>
        </w:rPr>
        <w:tab/>
        <w:t>ELEMENTI OĦRA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Il-pjanijiet għall-implimentazzjoni u l-metodi ta’ monitoraġġ , ta’ evalwazzjoni u ta’ rappurtar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Billi din il-miżura se twettaqha l-EFCA, l-evalwazzjoni tagħha se tiddaħħal fl-evalwazzjoni li l-Aġenzija tagħmel kull ħames (5) snin, filwaqt li l-Kummissjoni se tibgħat is-sejbiet u r-rakkomandazzjonijiet li jkun fiha lill-Parlament Ewropew u lill-Kunsill u tippubblikahom.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Id-dokumenti ta’ spjegazzjoni (għad-Direttivi)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Mhux applikabbli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Spjegazzjoni dettaljata tad-dispożizzjonijiet speċifiċi tal-proposta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 xml:space="preserve">Bħalissa l-EFCA hi responsabbli mill-ġlieda kontra s-sajd IUU. L-esperjenza tal-Aġenzija Ewropea għall-Kontroll tas-Sajd fil-ġlieda kontra s-sajd IUU fid-dimensjoni internazzjonali </w:t>
      </w:r>
      <w:r>
        <w:rPr>
          <w:noProof/>
        </w:rPr>
        <w:lastRenderedPageBreak/>
        <w:t xml:space="preserve">hija strumentali għall-kapaċità Ewropea tal-gwardja tal-kosta u għall-kontroll tal-fruntiera għax ħafna drabi s-sajd IUU jintrabat ma’ attivitajiet marittimi kriminali oħra. L-EFCA żviluppat għarfien espert fl-istrateġiji tal-immaniġġar tar-riskju, fl-identifikazzjoni ta’ interessi IUU possibbli bl-analiżi ta' eluf ta’ ċertifikati tal-qbid, fil-koordinazzjoni operazzjonali u fl-ispezzjoni, inkluż fid-dimensjoni internazzjonali. Dwar dan, l-Aġenzija tassisti b’mod attiv lill-pajjiżi terzi b'taħriġ u b'attivitajiet li jsawru l-kapaċitajiet. Bis-saħħa tal-mandat internazzjonali, sal-lum l-EFCA żviluppat għarfien espert b’saħħtu fl-implimentazzjoni ta' pjattaformi komuni għall-ispezzjoni, u tħaddem netwerk privileġġat mal-pajjiżi tal-UE u mal-pajjiżi terzi. Matul l-aħħar snin l-EFCA skambjat l-ispetturi mat-Turkija fil-Baħar Mediterran u sikwit tipprovdi seminars ta’ taħriġ għall-ispetturi tal-UE u għall-ispetturi tal-Albanija, tat-Turkija, tal-Libanu, ta' Iżrael, tal-Eġittu, tat-Tuneżija, tal-Alġerija u tal-Marokk. </w:t>
      </w:r>
    </w:p>
    <w:p>
      <w:pPr>
        <w:pStyle w:val="ManualNumPar1"/>
        <w:rPr>
          <w:noProof/>
        </w:rPr>
      </w:pPr>
      <w:r>
        <w:t>1.</w:t>
      </w:r>
      <w:r>
        <w:tab/>
      </w:r>
      <w:r>
        <w:rPr>
          <w:noProof/>
        </w:rPr>
        <w:t xml:space="preserve">Ir-Regolament ikopri l-qsim tal-informazzjoni li tinġabar meta tingħaqad id-dejta u ssir analiżi tagħha fis-sistemi tar-rappurtar tal-bastimenti u f'sistemi oħrajn tal-informazzjoni li jżommu l-Aġenziji jew li għandhom aċċess għalihom. Dan irawwem il-qsim tal-intelligence fost l-Aġenziji u b'hekk l-EFCA tkun tista' timplimenta sistemi għall-iskambju bejn l-aġenziji, tniedi l-istudji tal-fattibbiltà kollha relatati u toħloq servizz permanenti għad-dejta u punt ewlieni tal-UE għad-dejta. Jekk tagħraf l-esperjenza li kisbet fejn jidħlu l-miżuri tal-Monitoraġġ, il-Kontroll u s-Sorveljanza (MCS) li għandhom x'jaqsmu mas-sajd permezz tal-kunċetti tal-Pjanijiet Konġunti tal-Implimentazzjoni u tal-ispetturi tal-Unjoni u billi twessa' l-ambitu u torganizza operazzjonijiet konġunti mal-ispetturi li għandhom ħakma ta' politiki differenti (it-traffikar tal-bnedmin, il-faċilitazzjoni tal-immigrazzjoni illegali, is-sajd, il-gwardja tal-fruntieri, l-ambjent, it-traffikar tad-droga, it-traffikar tal-armi, is-sikurezza tal-bastimenti, u l-bqija), l-EFCA tkun kapaċi tappoġġa aħjar il-qsim tad-dejta miġbura waqt il-kontrolli u l-ispezzjonijiet li tagħmel, li fost l-oħrajn iħaddmu Sistemi għall-Monitoraġġ tal-Bastimenti (VMS) u Sistemi tar-Rappurtar Elettroniku (ERS). Id-dejta tal-VMS hi sistemi ta' monitoraġġ bis-satellita li tagħtik il-pożizzjoni fil-ħin reali u rendikont tal-movimenti tal-bastimenti fuq il-baħar f'kull ħin. Din id-dejta hi siewja fejn jidħol il-kontroll tal-migrazzjoni kemm waqt il-kontrolli mal-fruntiera u anki waqt operazzjonijiet tat-tiftix u s-salvataġġ. Biha jista' jinqabad dak il-bastiment tas-sajd li jieqaf f'port biex jgħabbi l-immigranti. Billi din id-dejta tinkludi wkoll il-veloċità tal-bastimenti, jista' jinqabad ngħidu aħna dak il-bastiment li jkun għaddej kemm kemm jiċċaqlaq għax ikun mgħobbi bl-immigranti jew għax ikun qed imexxi bastiment ieħor warajh. L-ERS jużawhom is-sajjieda biex jirreġistraw u jirrapportaw id-dejta b'mod elettroniku dwar l-attivitajiet tas-sajd tagħhom. Għalhekk dawn is-sistemi jistgħu jqabblu d-dejta ta' attivitajiet simili f'żona partikolari biex jaqbdu attivitajiet mhux normali jew illegali. Din id-dejta tinkludi wkoll dikjarazzjoni ta' ħatt l-art, u għalhekk tagħti tagħrif fuq fejn sorġa bastiment partikolari u eventwalment imnejn għabba l-immigranti illegali. </w:t>
      </w:r>
    </w:p>
    <w:p>
      <w:pPr>
        <w:pStyle w:val="ManualNumPar1"/>
        <w:rPr>
          <w:noProof/>
        </w:rPr>
      </w:pPr>
      <w:r>
        <w:t>2.</w:t>
      </w:r>
      <w:r>
        <w:tab/>
      </w:r>
      <w:r>
        <w:rPr>
          <w:noProof/>
        </w:rPr>
        <w:t xml:space="preserve">Ir-Regolament ikopri l-għoti ta' servizzi tas-sorveljanza u tal-komunikazzjoni bbażati fuq l-aktar teknoloġija avvanzata, fosthom b'infrastruttura fl-ispazju jew fuq l-art u b'sensuri mwaħħla ma' kull tip ta' pjattaforma. B'dan l-Aġenzija tkun tista' tistituzzjonalizza l-koperazzjoni bejn is-sħab nazzjonali, Ewropej u internazzjonali, u għalhekk tkun tista' ssawwar qafas tar-riskju għall-Monitoraġġ tal-Kontroll u tas-Sorveljanza ta' livell għoli li juri l-oqfsa nazzjonali u reġjonali li hemm fis-seħħ bħalissa. B'mod partikolari, dan jippermetti l-implimentazzjoni ta' attivitajiet li </w:t>
      </w:r>
      <w:r>
        <w:rPr>
          <w:noProof/>
        </w:rPr>
        <w:lastRenderedPageBreak/>
        <w:t>jkollhom il-għan li jaqbdu attivitajiet irregolari, b'koordinazzjoni mal-Aġenziji l-oħrajn. Tul l-aħħar snin l-EFCA ħadet sehem fi proġetti rilevanti tal-FP7 u kkoordinat mal-EMSA biex jiġi żviluppat l-hekk imsejjaħ EFCA MARSURV IMDatE u għalhekk kisbet esperjenza ġmielha fil-korrelazzjoni, fl-analiżi u fl-interpretazzjoni tal-informazzjoni marittima. Illum l-EFCA hi magħrufa sew għall-kapaċità li għandha biex twettaq monitoraġġ dettaljat tal-imġiba u b'hekk il-mezzi disponibbli tal-pattulja jkunu jistgħu jintużaw b'aktar effiċjenza. Billi tissejjaħ bħala utent finali futur tas-Servizzi tas-Sigurtà ta' Copernicus, l-EFCA beħsiebha tkompli tiżviluppa u taqsam il-kapaċità tagħha u l-kisbiet tagħha ma' Aġenziji oħrajn.</w:t>
      </w:r>
    </w:p>
    <w:p>
      <w:pPr>
        <w:pStyle w:val="ManualNumPar1"/>
        <w:rPr>
          <w:noProof/>
        </w:rPr>
      </w:pPr>
      <w:r>
        <w:t>3.</w:t>
      </w:r>
      <w:r>
        <w:tab/>
      </w:r>
      <w:r>
        <w:rPr>
          <w:noProof/>
        </w:rPr>
        <w:t>Ir-Regolament ikopri t-tiswir tal-kapaċitajiet fil-livell nazzjonali u fil-livell tal-Unjoni billi jinħolqu linji gwida, rakkomandazzjonijiet u jinġabru l-aqwa prattiki u billi jingħata appoġġ lit-taħriġ u lill-iskambju tal-persunal ħalli jitjiebu l-qsim tal-informazzjoni u l-koperazzjoni fejn jidħlu l-funzjonijiet tal-gwardja tal-kosta. B'hekk l-EFCA tkun tista' żżid l-għarfien fuq is-sikurezza marittima, is-sigurtà, it-tiftix u s-salvataġġ, u l-kontroll mal-fruntieri u tas-sajd. Barra minn hekk l-Aġenzija tkun tista' żżid l-għarfien espert billi toħloq u tqassam materjal għat-taħriġ u manwali. L-EFCA tista' tagħti wkoll rakkomandazzjonijiet ta' espert fuq metodi effiċjenti għall-infurzar fejn jidħlu r-regolamenti dwar is-sorveljanza tal-kontroll u l-monitoraġġ.</w:t>
      </w:r>
    </w:p>
    <w:p>
      <w:pPr>
        <w:pStyle w:val="ManualNumPar1"/>
        <w:rPr>
          <w:noProof/>
        </w:rPr>
      </w:pPr>
      <w:r>
        <w:t>4.</w:t>
      </w:r>
      <w:r>
        <w:tab/>
      </w:r>
      <w:r>
        <w:rPr>
          <w:noProof/>
        </w:rPr>
        <w:t>Ir-Regolament ikopri l-qsim tal-kapaċitajiet, fosthom l-ippjanar u l-implimentazzjoni ta' operazzjonijiet li jaqdu aktar minn għan wieħed u l-qsim tal-assi u ta' kapaċijiet oħrajn fost is-setturi u bejn il-fruntieri. Dan jgħin lill-EFCA biex iżżid l-attivitajiet tagħha tal-kontroll u tal-ispezzjoni filwaqt li tkun tista' twettaq tipi ġodda ta' operazzjonijiet bil-għan li jinqabdu l-attivitajiet kriminali, jitħarbtu r-rotot tat-traffikar u jkun żgurat l-infurzar tal-leġiżlazzjonijiet tal-UE u nazzjonali. Jekk jinkera bastiment tal-pattulja, ikun jista' jitħaddem approċċ li jaqdi aktar minn għan wieħed biex mhux biss jinqabdu l-attivitajiet tas-sajd illegali u attivitajiet kriminali oħrajn, iżda dan jgħin biex b'mod ġenerali, il-fruntieri esterni tal-UE jitmexxew b'mod aktar effettiv.</w:t>
      </w:r>
    </w:p>
    <w:p>
      <w:pPr>
        <w:pStyle w:val="Text1"/>
        <w:rPr>
          <w:noProof/>
        </w:rPr>
      </w:pPr>
    </w:p>
    <w:p>
      <w:pPr>
        <w:rPr>
          <w:noProof/>
        </w:rPr>
        <w:sectPr>
          <w:footerReference w:type="default" r:id="rId11"/>
          <w:footerReference w:type="first" r:id="rId12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>
      <w:pPr>
        <w:pStyle w:val="Rfrenceinterinstitutionnelle"/>
        <w:rPr>
          <w:noProof/>
        </w:rPr>
      </w:pPr>
      <w:r>
        <w:rPr>
          <w:noProof/>
        </w:rPr>
        <w:lastRenderedPageBreak/>
        <w:t>2015/0308 (COD)</w:t>
      </w:r>
    </w:p>
    <w:p>
      <w:pPr>
        <w:pStyle w:val="Statut"/>
        <w:rPr>
          <w:noProof/>
        </w:rPr>
      </w:pPr>
      <w:r>
        <w:rPr>
          <w:noProof/>
        </w:rPr>
        <w:t>Proposta għal</w:t>
      </w:r>
    </w:p>
    <w:p>
      <w:pPr>
        <w:pStyle w:val="Typedudocument"/>
        <w:rPr>
          <w:noProof/>
        </w:rPr>
      </w:pPr>
      <w:r>
        <w:rPr>
          <w:noProof/>
        </w:rPr>
        <w:t>REGOLAMENT TAL-PARLAMENT EWROPEW U TAL-KUNSILL</w:t>
      </w:r>
    </w:p>
    <w:p>
      <w:pPr>
        <w:pStyle w:val="Titreobjet"/>
        <w:rPr>
          <w:noProof/>
        </w:rPr>
      </w:pPr>
      <w:r>
        <w:rPr>
          <w:noProof/>
        </w:rPr>
        <w:t xml:space="preserve">li jemenda r-Regolament tal-Kunsill (KE) Nru 768/2005 li jistabbilixxi Aġenzija Komunitarja għall-Kontroll tas-Sajd </w:t>
      </w:r>
    </w:p>
    <w:p>
      <w:pPr>
        <w:pStyle w:val="Sous-titreobjet"/>
        <w:rPr>
          <w:noProof/>
        </w:rPr>
      </w:pPr>
      <w:r>
        <w:rPr>
          <w:noProof/>
        </w:rPr>
        <w:t>(Test b'rilevanza għaż-ŻEE)</w:t>
      </w:r>
    </w:p>
    <w:p>
      <w:pPr>
        <w:pStyle w:val="Institutionquiagit"/>
        <w:rPr>
          <w:noProof/>
        </w:rPr>
      </w:pPr>
      <w:r>
        <w:rPr>
          <w:noProof/>
        </w:rPr>
        <w:t>IL-PARLAMENT EWROPEW U L-KUNSILL TAL-UNJONI EWROPEA,</w:t>
      </w:r>
    </w:p>
    <w:p>
      <w:pPr>
        <w:rPr>
          <w:noProof/>
        </w:rPr>
      </w:pPr>
      <w:r>
        <w:rPr>
          <w:noProof/>
        </w:rPr>
        <w:t>Wara li kkunsidraw it-Trattat dwar il-Funzjonament tal-Unjoni Ewropea u, b’mod partikolari, l-Artikolu 43(2) tiegħu,</w:t>
      </w:r>
    </w:p>
    <w:p>
      <w:pPr>
        <w:rPr>
          <w:noProof/>
        </w:rPr>
      </w:pPr>
      <w:r>
        <w:rPr>
          <w:noProof/>
        </w:rPr>
        <w:t>Wara li kkunsidraw il-proposta tal-Kummissjoni Ewropea,</w:t>
      </w:r>
    </w:p>
    <w:p>
      <w:pPr>
        <w:rPr>
          <w:noProof/>
        </w:rPr>
      </w:pPr>
      <w:r>
        <w:rPr>
          <w:noProof/>
        </w:rPr>
        <w:t>Wara t-trażmissjoni tal-abbozz tal-att leġiżlattiv lill-parlamenti nazzjonali,</w:t>
      </w:r>
    </w:p>
    <w:p>
      <w:pPr>
        <w:rPr>
          <w:noProof/>
        </w:rPr>
      </w:pPr>
      <w:r>
        <w:rPr>
          <w:noProof/>
        </w:rPr>
        <w:t>Wara li kkunsidraw l-opinjoni tal-Kumitat Ekonomiku u Soċjali Ewropew,</w:t>
      </w:r>
    </w:p>
    <w:p>
      <w:pPr>
        <w:rPr>
          <w:noProof/>
        </w:rPr>
      </w:pPr>
      <w:r>
        <w:rPr>
          <w:noProof/>
        </w:rPr>
        <w:t>Filwaqt li jaġixxu skont il-proċedura leġiżlattiva ordinarja,</w:t>
      </w:r>
    </w:p>
    <w:p>
      <w:pPr>
        <w:rPr>
          <w:noProof/>
        </w:rPr>
      </w:pPr>
      <w:r>
        <w:rPr>
          <w:noProof/>
        </w:rPr>
        <w:t>Billi:</w:t>
      </w:r>
    </w:p>
    <w:p>
      <w:pPr>
        <w:pStyle w:val="ManualConsidrant"/>
        <w:rPr>
          <w:noProof/>
        </w:rPr>
      </w:pPr>
      <w:r>
        <w:t>(1)</w:t>
      </w:r>
      <w:r>
        <w:tab/>
      </w:r>
      <w:r>
        <w:rPr>
          <w:noProof/>
        </w:rPr>
        <w:t xml:space="preserve">L-awtoritajiet nazzjonali li jwettqu l-funzjonijiet tal-gwardja tal-kosta huma responsabbli għal bosta missjonijiet, fosthom is-sikurezza, is-sigurtà, it-tiftix u s-salvataġġ, il-kontroll mal-fruntieri, il-kontroll tas-sajd, il-kontroll doganali, l-infurzar tal-liġi ġenerali u l-protezzjoni ambjentali, iżda mhux biss. </w:t>
      </w:r>
    </w:p>
    <w:p>
      <w:pPr>
        <w:pStyle w:val="ManualConsidrant"/>
        <w:rPr>
          <w:noProof/>
        </w:rPr>
      </w:pPr>
      <w:r>
        <w:t>(2)</w:t>
      </w:r>
      <w:r>
        <w:tab/>
      </w:r>
      <w:r>
        <w:rPr>
          <w:noProof/>
        </w:rPr>
        <w:t>L-Aġenzija Ewropea għall-Gwardja tal-Fruntiera u tal-Kosta stabbilita bir-Regolament Nru XX/XX</w:t>
      </w:r>
      <w:r>
        <w:rPr>
          <w:rStyle w:val="FootnoteReference"/>
          <w:noProof/>
        </w:rPr>
        <w:footnoteReference w:id="2"/>
      </w:r>
      <w:r>
        <w:rPr>
          <w:noProof/>
        </w:rPr>
        <w:t>, l-Aġenzija Ewropea għall-Kontroll tas-Sajd u l-Aġenzija Ewropea għas-Sigurtà Marittima stabbilita bir-Regolament (KE) Nru 1406/2002 tal-Parlament Ewropew u tal-Kunsill Ewropew</w:t>
      </w:r>
      <w:r>
        <w:rPr>
          <w:rStyle w:val="FootnoteReference"/>
          <w:noProof/>
        </w:rPr>
        <w:footnoteReference w:id="3"/>
      </w:r>
      <w:r>
        <w:rPr>
          <w:noProof/>
        </w:rPr>
        <w:t xml:space="preserve"> jappoġġaw lill-awtoritajiet nazzjonali biex itwettqu ħafna minn dawn il-funzjonijiet. </w:t>
      </w:r>
    </w:p>
    <w:p>
      <w:pPr>
        <w:pStyle w:val="ManualConsidrant"/>
        <w:rPr>
          <w:noProof/>
        </w:rPr>
      </w:pPr>
      <w:r>
        <w:t>(3)</w:t>
      </w:r>
      <w:r>
        <w:tab/>
      </w:r>
      <w:r>
        <w:rPr>
          <w:noProof/>
        </w:rPr>
        <w:t>Għaldaqstant dawn għandhom isaħħu l-koperazzjoni bejniethom mal-awtoritajiet nazzjonali li jwettqu funzjonijiet tal-gwardja tal-kosta ħalli jżidu l-għarfien fuq is-sitwazzjoni marittima u jappoġġaw azzjoni koerenti u kosteffikaċi.</w:t>
      </w:r>
    </w:p>
    <w:p>
      <w:pPr>
        <w:pStyle w:val="ManualConsidrant"/>
        <w:rPr>
          <w:noProof/>
        </w:rPr>
      </w:pPr>
      <w:r>
        <w:t>(4)</w:t>
      </w:r>
      <w:r>
        <w:tab/>
      </w:r>
      <w:r>
        <w:rPr>
          <w:noProof/>
        </w:rPr>
        <w:t xml:space="preserve">Għalhekk ir-Regolament (KE) Nru 768/2005 għandu jiġi emendat skont dan, </w:t>
      </w:r>
    </w:p>
    <w:p>
      <w:pPr>
        <w:rPr>
          <w:noProof/>
        </w:rPr>
      </w:pPr>
    </w:p>
    <w:p>
      <w:pPr>
        <w:pStyle w:val="Formuledadoption"/>
        <w:rPr>
          <w:noProof/>
        </w:rPr>
      </w:pPr>
      <w:r>
        <w:rPr>
          <w:noProof/>
        </w:rPr>
        <w:t>ADOTTAW DAN IR-REGOLAMENT:</w:t>
      </w:r>
    </w:p>
    <w:p>
      <w:pPr>
        <w:pStyle w:val="Titrearticle"/>
        <w:rPr>
          <w:noProof/>
        </w:rPr>
      </w:pPr>
      <w:r>
        <w:rPr>
          <w:noProof/>
        </w:rPr>
        <w:t>Artikolu 1</w:t>
      </w:r>
    </w:p>
    <w:p>
      <w:pPr>
        <w:jc w:val="center"/>
        <w:rPr>
          <w:b/>
          <w:noProof/>
        </w:rPr>
      </w:pPr>
      <w:r>
        <w:rPr>
          <w:b/>
          <w:noProof/>
        </w:rPr>
        <w:t>Emendi</w:t>
      </w:r>
    </w:p>
    <w:p>
      <w:pPr>
        <w:rPr>
          <w:noProof/>
        </w:rPr>
      </w:pPr>
      <w:r>
        <w:rPr>
          <w:noProof/>
        </w:rPr>
        <w:lastRenderedPageBreak/>
        <w:t>B'hekk ir-Regolament (KE) Nru 768/2005 għandu jiġi emendat kif ġej:</w:t>
      </w:r>
    </w:p>
    <w:p>
      <w:pPr>
        <w:rPr>
          <w:noProof/>
        </w:rPr>
      </w:pPr>
      <w:r>
        <w:rPr>
          <w:noProof/>
        </w:rPr>
        <w:t>(1) Fl-Artikolu 3 jiddaħħal dan il-punt:</w:t>
      </w:r>
    </w:p>
    <w:p>
      <w:pPr>
        <w:rPr>
          <w:noProof/>
        </w:rPr>
      </w:pPr>
      <w:r>
        <w:rPr>
          <w:noProof/>
        </w:rPr>
        <w:t>(j) li tikkopera mal-Aġenzija Ewropea għall-Gwardja tal-Fruntiera u tal-Kosta u mal-Aġenzija Ewropea għas-Sigurtà Marittima biex tappoġġa lill-awtoritajiet nazzjonali li jwettqu l-funzjonijiet tal-gwardja tal-kosta billi tagħtihom servizzi, informazzjoni, tagħmir u taħriġ u billi tikkoordina operazzjonijiet li jaqdu aktar minn għan wieħed.</w:t>
      </w:r>
    </w:p>
    <w:p>
      <w:pPr>
        <w:rPr>
          <w:noProof/>
        </w:rPr>
      </w:pPr>
    </w:p>
    <w:p>
      <w:pPr>
        <w:rPr>
          <w:noProof/>
        </w:rPr>
      </w:pPr>
      <w:r>
        <w:rPr>
          <w:noProof/>
        </w:rPr>
        <w:t>(2) Jiżdied dan l-Artikolu 7a li ġej:</w:t>
      </w:r>
    </w:p>
    <w:p>
      <w:pPr>
        <w:jc w:val="center"/>
        <w:rPr>
          <w:b/>
          <w:noProof/>
        </w:rPr>
      </w:pPr>
      <w:r>
        <w:rPr>
          <w:b/>
          <w:noProof/>
        </w:rPr>
        <w:t>Artikolu 7a</w:t>
      </w:r>
    </w:p>
    <w:p>
      <w:pPr>
        <w:jc w:val="center"/>
        <w:rPr>
          <w:b/>
          <w:noProof/>
        </w:rPr>
      </w:pPr>
      <w:r>
        <w:rPr>
          <w:b/>
          <w:noProof/>
        </w:rPr>
        <w:t>Il-koperazzjoni Ewropea fil-funzjonijiet tal-gwardja tal-kosta</w:t>
      </w:r>
    </w:p>
    <w:p>
      <w:pPr>
        <w:pStyle w:val="ManualNumPar1"/>
        <w:rPr>
          <w:noProof/>
        </w:rPr>
      </w:pPr>
      <w:r>
        <w:rPr>
          <w:noProof/>
        </w:rPr>
        <w:t>(1)</w:t>
      </w:r>
      <w:r>
        <w:rPr>
          <w:noProof/>
        </w:rPr>
        <w:tab/>
        <w:t>F'koperazzjoni mal-Aġenzija Ewropea għall-Gwardja tal-Fruntiera u tal-Kosta u mal-Aġenzija Ewropea għas-Sigurtà Marittima, l-Aġenzija għandha tappoġġa lill-awtoritajiet nazzjonali biex iwettqu l-funzjonijiet tal-gwardja tal-kosta fil-livell nazzjonali u fil-livell tal-Unjoni, u meta xieraq, fil-livell internazzjonali billi:</w:t>
      </w:r>
    </w:p>
    <w:p>
      <w:pPr>
        <w:pStyle w:val="Point1"/>
        <w:rPr>
          <w:noProof/>
        </w:rPr>
      </w:pPr>
      <w:r>
        <w:rPr>
          <w:noProof/>
        </w:rPr>
        <w:t>(a)</w:t>
      </w:r>
      <w:r>
        <w:rPr>
          <w:noProof/>
        </w:rPr>
        <w:tab/>
        <w:t>tinqasam l-informazzjoni li tinġabar meta tingħaqad id-dejta u ssir analiżi tagħha fis-sistemi tar-rappurtar tal-bastimenti u f'sistemi oħrajn tal-informazzjoni li jżommu l-Aġenziji jew li għandhom aċċess għalihom, f'konformità mal-bażijiet ġuridiċi rispettivi tagħhom u mingħajr preġudizzju għas-sjieda tad-dejta mingħand l-Istati Membri;</w:t>
      </w:r>
    </w:p>
    <w:p>
      <w:pPr>
        <w:pStyle w:val="Point1"/>
        <w:rPr>
          <w:noProof/>
        </w:rPr>
      </w:pPr>
      <w:r>
        <w:rPr>
          <w:noProof/>
        </w:rPr>
        <w:t>(b)</w:t>
      </w:r>
      <w:r>
        <w:rPr>
          <w:noProof/>
        </w:rPr>
        <w:tab/>
        <w:t>jingħataw servizzi tas-sorveljanza u tal-komunikazzjoni bbażati fuq l-aktar teknoloġija avvanzata, fosthom b'infrastruttura fl-ispazju jew fuq l-art u b'sensuri mwaħħla ma' kull tip ta' pjattaforma, bħal ngħidu aħna s-sistemi ta' inġenji tal-ajru ppilotati mill-bogħod;</w:t>
      </w:r>
    </w:p>
    <w:p>
      <w:pPr>
        <w:pStyle w:val="Point1"/>
        <w:rPr>
          <w:noProof/>
        </w:rPr>
      </w:pPr>
      <w:r>
        <w:rPr>
          <w:noProof/>
        </w:rPr>
        <w:t>(c)</w:t>
      </w:r>
      <w:r>
        <w:rPr>
          <w:noProof/>
        </w:rPr>
        <w:tab/>
        <w:t>jissawru l-kapaċitajiet billi jinħolqu linji gwida, rakkomandazzjonijiet u jinġabru l-aqwa prattiki u billi jingħata appoġġ lit-taħriġ u lill-iskambju tal-persunal ħalli jitjiebu l-qsim tal-informazzjoni u l-koperazzjoni fejn jidħlu l-funzjonijiet tal-gwardja tal-kosta;</w:t>
      </w:r>
    </w:p>
    <w:p>
      <w:pPr>
        <w:pStyle w:val="Point1"/>
        <w:rPr>
          <w:noProof/>
        </w:rPr>
      </w:pPr>
      <w:r>
        <w:rPr>
          <w:noProof/>
        </w:rPr>
        <w:t>(d)</w:t>
      </w:r>
      <w:r>
        <w:rPr>
          <w:noProof/>
        </w:rPr>
        <w:tab/>
        <w:t>jinqasmu l-kapaċijiet, fosthom l-ippjanar u l-implimentazzjoni ta' operazzjonijiet li jaqdu aktar minn għan wieħed u l-qsim tal-assi u kapaċijiet oħrajn fost is-setturi u bejn il-fruntieri.</w:t>
      </w:r>
    </w:p>
    <w:p>
      <w:pPr>
        <w:ind w:left="720" w:hanging="720"/>
        <w:rPr>
          <w:noProof/>
        </w:rPr>
      </w:pPr>
      <w:r>
        <w:rPr>
          <w:noProof/>
        </w:rPr>
        <w:t>(2)</w:t>
      </w:r>
      <w:r>
        <w:rPr>
          <w:noProof/>
        </w:rPr>
        <w:tab/>
        <w:t>Il-modi kif issir il-koperazzjoni tal-Aġenzija Ewropea għall-Kontroll tas-Sajd fil-funzjonijiet tal-gwardja tal-kosta mal-Aġenzija Ewropea għall-Gwardja tal-Fruntiera u tal-Kosta u mal-Aġenzija Ewropea għas-Sigurtà Marittima, għandhom jiġu stabbiliti f'arranġament ta' ħidma skont ir-regoli finanzjarji applikabbli għall-Aġenziji.</w:t>
      </w:r>
    </w:p>
    <w:p>
      <w:pPr>
        <w:ind w:left="720" w:hanging="720"/>
        <w:rPr>
          <w:noProof/>
        </w:rPr>
      </w:pPr>
      <w:r>
        <w:rPr>
          <w:noProof/>
        </w:rPr>
        <w:t>(3)</w:t>
      </w:r>
      <w:r>
        <w:rPr>
          <w:noProof/>
        </w:rPr>
        <w:tab/>
        <w:t>Il-Kummissjoni tista' ddaħħal manwal prattiku fl-għamla ta’ rakkomandazzjoni, fuq il-koperazzjoni Ewropea fil-funzjonijiet tal-gwardja tal-kosta, li jkun fih linji gwida, rakkomandazzjonijiet u jiġbor l-aqwa prattiki għall-qsim tal-informazzjoni u tal-koperazzjoni fil-livell nazzjonali, tal-Unjoni u internazzjonali.</w:t>
      </w:r>
    </w:p>
    <w:p>
      <w:pPr>
        <w:rPr>
          <w:noProof/>
        </w:rPr>
      </w:pPr>
    </w:p>
    <w:p>
      <w:pPr>
        <w:pStyle w:val="Titrearticle"/>
        <w:rPr>
          <w:noProof/>
        </w:rPr>
      </w:pPr>
      <w:r>
        <w:rPr>
          <w:noProof/>
        </w:rPr>
        <w:t>Artikolu 2</w:t>
      </w:r>
    </w:p>
    <w:p>
      <w:pPr>
        <w:jc w:val="center"/>
        <w:rPr>
          <w:b/>
          <w:noProof/>
        </w:rPr>
      </w:pPr>
      <w:r>
        <w:rPr>
          <w:b/>
          <w:noProof/>
        </w:rPr>
        <w:t>Id-dħul fis-seħħ</w:t>
      </w:r>
    </w:p>
    <w:p>
      <w:pPr>
        <w:rPr>
          <w:noProof/>
        </w:rPr>
      </w:pPr>
      <w:r>
        <w:rPr>
          <w:noProof/>
        </w:rPr>
        <w:lastRenderedPageBreak/>
        <w:t xml:space="preserve">Dan ir-Regolament jidħol fis-seħħ </w:t>
      </w:r>
      <w:r>
        <w:t>fl-għoxrin</w:t>
      </w:r>
      <w:r>
        <w:rPr>
          <w:noProof/>
        </w:rPr>
        <w:t xml:space="preserve"> jum wara l-pubblikazzjoni tiegħu f’</w:t>
      </w:r>
      <w:r>
        <w:rPr>
          <w:i/>
          <w:noProof/>
        </w:rPr>
        <w:t>Il-Ġurnal Uffiċjali tal-Unjoni Ewropea</w:t>
      </w:r>
      <w:r>
        <w:rPr>
          <w:noProof/>
        </w:rPr>
        <w:t>.</w:t>
      </w:r>
    </w:p>
    <w:p>
      <w:pPr>
        <w:pStyle w:val="Applicationdirecte"/>
        <w:rPr>
          <w:noProof/>
        </w:rPr>
      </w:pPr>
      <w:r>
        <w:rPr>
          <w:noProof/>
        </w:rPr>
        <w:t>Dan ir-Regolament jorbot fl-intier tiegħu u japplika direttament fl-Istati Membri kollha.</w:t>
      </w:r>
    </w:p>
    <w:p>
      <w:pPr>
        <w:pStyle w:val="Fait"/>
        <w:rPr>
          <w:noProof/>
        </w:rPr>
      </w:pPr>
      <w:r>
        <w:rPr>
          <w:noProof/>
        </w:rPr>
        <w:t>Magħmul fi Strasburgu,</w:t>
      </w:r>
    </w:p>
    <w:p>
      <w:pPr>
        <w:pStyle w:val="Institutionquisigne"/>
        <w:rPr>
          <w:noProof/>
        </w:rPr>
      </w:pPr>
      <w:r>
        <w:rPr>
          <w:noProof/>
        </w:rPr>
        <w:t>Għall-Parlament Ewropew</w:t>
      </w:r>
      <w:r>
        <w:rPr>
          <w:noProof/>
        </w:rPr>
        <w:tab/>
        <w:t>Għall-Kunsill</w:t>
      </w:r>
    </w:p>
    <w:p>
      <w:pPr>
        <w:pStyle w:val="Personnequisigne"/>
        <w:rPr>
          <w:noProof/>
        </w:rPr>
      </w:pPr>
      <w:r>
        <w:rPr>
          <w:noProof/>
        </w:rPr>
        <w:t>Il-President</w:t>
      </w:r>
      <w:r>
        <w:rPr>
          <w:noProof/>
        </w:rPr>
        <w:tab/>
        <w:t>Il-President</w:t>
      </w:r>
    </w:p>
    <w:p>
      <w:pPr>
        <w:rPr>
          <w:noProof/>
        </w:rPr>
        <w:sectPr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>
      <w:pPr>
        <w:pStyle w:val="Fichefinanciretitre"/>
        <w:rPr>
          <w:noProof/>
        </w:rPr>
      </w:pPr>
      <w:r>
        <w:rPr>
          <w:noProof/>
        </w:rPr>
        <w:lastRenderedPageBreak/>
        <w:t>DIKJARAZZJONI FINANZJARJA LEĠIŻLATTIVA</w:t>
      </w:r>
    </w:p>
    <w:p>
      <w:pPr>
        <w:pStyle w:val="ManualHeading1"/>
        <w:rPr>
          <w:noProof/>
        </w:rPr>
      </w:pPr>
      <w:r>
        <w:rPr>
          <w:noProof/>
        </w:rPr>
        <w:t>1.</w:t>
      </w:r>
      <w:r>
        <w:rPr>
          <w:noProof/>
        </w:rPr>
        <w:tab/>
        <w:t xml:space="preserve">IL-QAFAS TAL-PROPOSTA/INIZJATTIVA </w:t>
      </w:r>
    </w:p>
    <w:p>
      <w:pPr>
        <w:pStyle w:val="ManualHeading2"/>
        <w:rPr>
          <w:b w:val="0"/>
          <w:noProof/>
        </w:rPr>
      </w:pPr>
      <w:r>
        <w:rPr>
          <w:noProof/>
        </w:rPr>
        <w:tab/>
      </w:r>
      <w:r>
        <w:rPr>
          <w:b w:val="0"/>
          <w:noProof/>
        </w:rPr>
        <w:t>1.1.</w:t>
      </w:r>
      <w:r>
        <w:rPr>
          <w:noProof/>
        </w:rPr>
        <w:tab/>
      </w:r>
      <w:r>
        <w:rPr>
          <w:b w:val="0"/>
          <w:noProof/>
        </w:rPr>
        <w:t xml:space="preserve">It-Titolu tal-proposta/inizjattiva </w:t>
      </w:r>
    </w:p>
    <w:p>
      <w:pPr>
        <w:pStyle w:val="ManualHeading2"/>
        <w:rPr>
          <w:b w:val="0"/>
          <w:noProof/>
        </w:rPr>
      </w:pPr>
      <w:r>
        <w:rPr>
          <w:noProof/>
        </w:rPr>
        <w:tab/>
      </w:r>
      <w:r>
        <w:rPr>
          <w:b w:val="0"/>
          <w:noProof/>
        </w:rPr>
        <w:t>1.2.</w:t>
      </w:r>
      <w:r>
        <w:rPr>
          <w:noProof/>
        </w:rPr>
        <w:tab/>
      </w:r>
      <w:r>
        <w:rPr>
          <w:b w:val="0"/>
          <w:noProof/>
        </w:rPr>
        <w:t>L-oqsma ta’ politika kkonċernati fl-istruttura ABM/ABB</w:t>
      </w:r>
    </w:p>
    <w:p>
      <w:pPr>
        <w:pStyle w:val="ManualHeading2"/>
        <w:rPr>
          <w:b w:val="0"/>
          <w:noProof/>
        </w:rPr>
      </w:pPr>
      <w:r>
        <w:rPr>
          <w:noProof/>
        </w:rPr>
        <w:tab/>
      </w:r>
      <w:r>
        <w:rPr>
          <w:b w:val="0"/>
          <w:noProof/>
        </w:rPr>
        <w:t>1.3.</w:t>
      </w:r>
      <w:r>
        <w:rPr>
          <w:noProof/>
        </w:rPr>
        <w:tab/>
      </w:r>
      <w:r>
        <w:rPr>
          <w:b w:val="0"/>
          <w:noProof/>
        </w:rPr>
        <w:t xml:space="preserve">In-natura tal-proposta/inizjattiva </w:t>
      </w:r>
    </w:p>
    <w:p>
      <w:pPr>
        <w:pStyle w:val="ManualHeading2"/>
        <w:rPr>
          <w:b w:val="0"/>
          <w:noProof/>
        </w:rPr>
      </w:pPr>
      <w:r>
        <w:rPr>
          <w:noProof/>
        </w:rPr>
        <w:tab/>
      </w:r>
      <w:r>
        <w:rPr>
          <w:b w:val="0"/>
          <w:noProof/>
        </w:rPr>
        <w:t>1.4.</w:t>
      </w:r>
      <w:r>
        <w:rPr>
          <w:noProof/>
        </w:rPr>
        <w:tab/>
      </w:r>
      <w:r>
        <w:rPr>
          <w:b w:val="0"/>
          <w:noProof/>
        </w:rPr>
        <w:t xml:space="preserve">L-għanijiet </w:t>
      </w:r>
    </w:p>
    <w:p>
      <w:pPr>
        <w:pStyle w:val="ManualHeading2"/>
        <w:rPr>
          <w:b w:val="0"/>
          <w:noProof/>
        </w:rPr>
      </w:pPr>
      <w:r>
        <w:rPr>
          <w:noProof/>
        </w:rPr>
        <w:tab/>
      </w:r>
      <w:r>
        <w:rPr>
          <w:b w:val="0"/>
          <w:noProof/>
        </w:rPr>
        <w:t>1.5.</w:t>
      </w:r>
      <w:r>
        <w:rPr>
          <w:noProof/>
        </w:rPr>
        <w:tab/>
      </w:r>
      <w:r>
        <w:rPr>
          <w:b w:val="0"/>
          <w:noProof/>
        </w:rPr>
        <w:t xml:space="preserve">Ir-raġunijiet tal-proposta/inizjattiva </w:t>
      </w:r>
    </w:p>
    <w:p>
      <w:pPr>
        <w:pStyle w:val="ManualHeading2"/>
        <w:rPr>
          <w:b w:val="0"/>
          <w:noProof/>
        </w:rPr>
      </w:pPr>
      <w:r>
        <w:rPr>
          <w:noProof/>
        </w:rPr>
        <w:tab/>
      </w:r>
      <w:r>
        <w:rPr>
          <w:b w:val="0"/>
          <w:noProof/>
        </w:rPr>
        <w:t>1.6.</w:t>
      </w:r>
      <w:r>
        <w:rPr>
          <w:noProof/>
        </w:rPr>
        <w:tab/>
      </w:r>
      <w:r>
        <w:rPr>
          <w:b w:val="0"/>
          <w:noProof/>
        </w:rPr>
        <w:t xml:space="preserve">It-tul taż-żmien u l-impatt finanzjarju </w:t>
      </w:r>
    </w:p>
    <w:p>
      <w:pPr>
        <w:pStyle w:val="ManualHeading2"/>
        <w:rPr>
          <w:b w:val="0"/>
          <w:noProof/>
        </w:rPr>
      </w:pPr>
      <w:r>
        <w:rPr>
          <w:noProof/>
        </w:rPr>
        <w:tab/>
      </w:r>
      <w:r>
        <w:rPr>
          <w:b w:val="0"/>
          <w:noProof/>
        </w:rPr>
        <w:t>1.7.</w:t>
      </w:r>
      <w:r>
        <w:rPr>
          <w:noProof/>
        </w:rPr>
        <w:tab/>
      </w:r>
      <w:r>
        <w:rPr>
          <w:b w:val="0"/>
          <w:noProof/>
        </w:rPr>
        <w:t xml:space="preserve">Il-metodi ta’ ġestjoni previsti </w:t>
      </w:r>
    </w:p>
    <w:p>
      <w:pPr>
        <w:pStyle w:val="ManualHeading1"/>
        <w:rPr>
          <w:noProof/>
        </w:rPr>
      </w:pPr>
      <w:r>
        <w:rPr>
          <w:noProof/>
        </w:rPr>
        <w:t>2.</w:t>
      </w:r>
      <w:r>
        <w:rPr>
          <w:noProof/>
        </w:rPr>
        <w:tab/>
        <w:t xml:space="preserve">IL-MIŻURI TA’ ĠESTJONI </w:t>
      </w:r>
    </w:p>
    <w:p>
      <w:pPr>
        <w:pStyle w:val="ManualHeading2"/>
        <w:rPr>
          <w:b w:val="0"/>
          <w:noProof/>
        </w:rPr>
      </w:pPr>
      <w:r>
        <w:rPr>
          <w:noProof/>
        </w:rPr>
        <w:tab/>
      </w:r>
      <w:r>
        <w:rPr>
          <w:b w:val="0"/>
          <w:noProof/>
        </w:rPr>
        <w:t>2.1.</w:t>
      </w:r>
      <w:r>
        <w:rPr>
          <w:noProof/>
        </w:rPr>
        <w:tab/>
      </w:r>
      <w:r>
        <w:rPr>
          <w:b w:val="0"/>
          <w:noProof/>
        </w:rPr>
        <w:t xml:space="preserve">Ir-regoli dwar il-monitoraġġ u r-rappurtar </w:t>
      </w:r>
    </w:p>
    <w:p>
      <w:pPr>
        <w:pStyle w:val="ManualHeading2"/>
        <w:rPr>
          <w:b w:val="0"/>
          <w:noProof/>
        </w:rPr>
      </w:pPr>
      <w:r>
        <w:rPr>
          <w:noProof/>
        </w:rPr>
        <w:tab/>
      </w:r>
      <w:r>
        <w:rPr>
          <w:b w:val="0"/>
          <w:noProof/>
        </w:rPr>
        <w:t>2.2.</w:t>
      </w:r>
      <w:r>
        <w:rPr>
          <w:noProof/>
        </w:rPr>
        <w:tab/>
      </w:r>
      <w:r>
        <w:rPr>
          <w:b w:val="0"/>
          <w:noProof/>
        </w:rPr>
        <w:t xml:space="preserve">Is-sistema ta’ ġestjoni u kontroll </w:t>
      </w:r>
    </w:p>
    <w:p>
      <w:pPr>
        <w:pStyle w:val="ManualHeading2"/>
        <w:rPr>
          <w:b w:val="0"/>
          <w:noProof/>
        </w:rPr>
      </w:pPr>
      <w:r>
        <w:rPr>
          <w:noProof/>
        </w:rPr>
        <w:tab/>
      </w:r>
      <w:r>
        <w:rPr>
          <w:b w:val="0"/>
          <w:noProof/>
        </w:rPr>
        <w:t>2.3.</w:t>
      </w:r>
      <w:r>
        <w:rPr>
          <w:noProof/>
        </w:rPr>
        <w:tab/>
      </w:r>
      <w:r>
        <w:rPr>
          <w:b w:val="0"/>
          <w:noProof/>
        </w:rPr>
        <w:t xml:space="preserve">Il-miżuri għall-prevenzjoni tal-frodi u l-irregolaritajiet </w:t>
      </w:r>
    </w:p>
    <w:p>
      <w:pPr>
        <w:pStyle w:val="ManualHeading1"/>
        <w:rPr>
          <w:noProof/>
        </w:rPr>
      </w:pPr>
      <w:r>
        <w:rPr>
          <w:noProof/>
        </w:rPr>
        <w:t>3.</w:t>
      </w:r>
      <w:r>
        <w:rPr>
          <w:noProof/>
        </w:rPr>
        <w:tab/>
        <w:t xml:space="preserve">STIMA TAL-IMPATT FINANZJARJU TAL-PROPOSTA/INIZJATTIVA </w:t>
      </w:r>
    </w:p>
    <w:p>
      <w:pPr>
        <w:pStyle w:val="ManualHeading2"/>
        <w:rPr>
          <w:b w:val="0"/>
          <w:noProof/>
        </w:rPr>
      </w:pPr>
      <w:r>
        <w:rPr>
          <w:noProof/>
        </w:rPr>
        <w:tab/>
      </w:r>
      <w:r>
        <w:rPr>
          <w:b w:val="0"/>
          <w:noProof/>
        </w:rPr>
        <w:t>3.1.</w:t>
      </w:r>
      <w:r>
        <w:rPr>
          <w:noProof/>
        </w:rPr>
        <w:tab/>
      </w:r>
      <w:r>
        <w:rPr>
          <w:b w:val="0"/>
          <w:noProof/>
        </w:rPr>
        <w:t xml:space="preserve">L-intestaturi tal-qafas finanzjarju pluriennali u l-linji baġitarji tan-nefqa affettwati </w:t>
      </w:r>
    </w:p>
    <w:p>
      <w:pPr>
        <w:pStyle w:val="ManualHeading2"/>
        <w:rPr>
          <w:noProof/>
        </w:rPr>
      </w:pPr>
      <w:r>
        <w:rPr>
          <w:noProof/>
        </w:rPr>
        <w:tab/>
      </w:r>
      <w:r>
        <w:rPr>
          <w:b w:val="0"/>
          <w:noProof/>
        </w:rPr>
        <w:t>3.2.</w:t>
      </w:r>
      <w:r>
        <w:rPr>
          <w:noProof/>
        </w:rPr>
        <w:tab/>
      </w:r>
      <w:r>
        <w:rPr>
          <w:b w:val="0"/>
          <w:noProof/>
        </w:rPr>
        <w:t>L-impatt stmat fuq in-nefqa</w:t>
      </w:r>
      <w:r>
        <w:rPr>
          <w:noProof/>
        </w:rPr>
        <w:t xml:space="preserve"> </w:t>
      </w:r>
    </w:p>
    <w:p>
      <w:pPr>
        <w:pStyle w:val="ManualHeading3"/>
        <w:rPr>
          <w:noProof/>
        </w:rPr>
      </w:pPr>
      <w:r>
        <w:rPr>
          <w:noProof/>
        </w:rPr>
        <w:tab/>
        <w:t>3.2.1.</w:t>
      </w:r>
      <w:r>
        <w:rPr>
          <w:noProof/>
        </w:rPr>
        <w:tab/>
        <w:t xml:space="preserve">Sommarju tal-impatt stmat fuq in-nefqa </w:t>
      </w:r>
    </w:p>
    <w:p>
      <w:pPr>
        <w:pStyle w:val="ManualHeading3"/>
        <w:rPr>
          <w:noProof/>
        </w:rPr>
      </w:pPr>
      <w:r>
        <w:rPr>
          <w:noProof/>
        </w:rPr>
        <w:tab/>
        <w:t>3.2.2.</w:t>
      </w:r>
      <w:r>
        <w:rPr>
          <w:noProof/>
        </w:rPr>
        <w:tab/>
        <w:t xml:space="preserve">L-impatt stmat fuq l-approprjazzjonijiet operazzjonali </w:t>
      </w:r>
    </w:p>
    <w:p>
      <w:pPr>
        <w:pStyle w:val="ManualHeading3"/>
        <w:rPr>
          <w:noProof/>
        </w:rPr>
      </w:pPr>
      <w:r>
        <w:rPr>
          <w:noProof/>
        </w:rPr>
        <w:tab/>
        <w:t>3.2.3.</w:t>
      </w:r>
      <w:r>
        <w:rPr>
          <w:noProof/>
        </w:rPr>
        <w:tab/>
        <w:t>L-impatt stmat fuq l-approprjazzjonijiet ta’ natura amministrattiva</w:t>
      </w:r>
    </w:p>
    <w:p>
      <w:pPr>
        <w:pStyle w:val="ManualHeading3"/>
        <w:rPr>
          <w:noProof/>
        </w:rPr>
      </w:pPr>
      <w:r>
        <w:rPr>
          <w:noProof/>
        </w:rPr>
        <w:tab/>
        <w:t>3.2.4.</w:t>
      </w:r>
      <w:r>
        <w:rPr>
          <w:noProof/>
        </w:rPr>
        <w:tab/>
        <w:t>Il-kompatibbiltà mal-qafas finanzjarju pluriennali attwali</w:t>
      </w:r>
    </w:p>
    <w:p>
      <w:pPr>
        <w:pStyle w:val="ManualHeading3"/>
        <w:rPr>
          <w:noProof/>
        </w:rPr>
      </w:pPr>
      <w:r>
        <w:rPr>
          <w:noProof/>
        </w:rPr>
        <w:tab/>
        <w:t>3.2.5.</w:t>
      </w:r>
      <w:r>
        <w:rPr>
          <w:noProof/>
        </w:rPr>
        <w:tab/>
        <w:t xml:space="preserve">Il-kontribuzzjonijiet ta’ partijiet terzi </w:t>
      </w:r>
    </w:p>
    <w:p>
      <w:pPr>
        <w:pStyle w:val="ManualHeading2"/>
        <w:jc w:val="left"/>
        <w:rPr>
          <w:b w:val="0"/>
          <w:noProof/>
        </w:rPr>
        <w:sectPr>
          <w:pgSz w:w="11907" w:h="16840" w:code="9"/>
          <w:pgMar w:top="1134" w:right="1418" w:bottom="1134" w:left="1418" w:header="709" w:footer="709" w:gutter="0"/>
          <w:cols w:space="708"/>
          <w:docGrid w:linePitch="360"/>
        </w:sectPr>
      </w:pPr>
      <w:r>
        <w:rPr>
          <w:noProof/>
        </w:rPr>
        <w:tab/>
      </w:r>
      <w:r>
        <w:rPr>
          <w:b w:val="0"/>
          <w:noProof/>
        </w:rPr>
        <w:t>3.3.</w:t>
      </w:r>
      <w:r>
        <w:rPr>
          <w:noProof/>
        </w:rPr>
        <w:tab/>
      </w:r>
      <w:r>
        <w:rPr>
          <w:b w:val="0"/>
          <w:noProof/>
        </w:rPr>
        <w:t>L-impatt stmat fuq id-dħul</w:t>
      </w:r>
    </w:p>
    <w:p>
      <w:pPr>
        <w:jc w:val="center"/>
        <w:rPr>
          <w:noProof/>
        </w:rPr>
      </w:pPr>
      <w:r>
        <w:rPr>
          <w:b/>
          <w:noProof/>
          <w:u w:val="single"/>
        </w:rPr>
        <w:lastRenderedPageBreak/>
        <w:t>DIKJARAZZJONI FINANZJARJA LEĠIŻLATTIVA</w:t>
      </w:r>
    </w:p>
    <w:p>
      <w:pPr>
        <w:pStyle w:val="ManualHeading1"/>
        <w:rPr>
          <w:noProof/>
        </w:rPr>
      </w:pPr>
      <w:r>
        <w:t>1.</w:t>
      </w:r>
      <w:r>
        <w:tab/>
      </w:r>
      <w:r>
        <w:rPr>
          <w:noProof/>
        </w:rPr>
        <w:t xml:space="preserve">IL-QAFAS TAL-PROPOSTA/INIZJATTIVA </w:t>
      </w:r>
    </w:p>
    <w:p>
      <w:pPr>
        <w:pStyle w:val="ManualHeading2"/>
        <w:rPr>
          <w:noProof/>
        </w:rPr>
      </w:pPr>
      <w:r>
        <w:t>1.1.</w:t>
      </w:r>
      <w:r>
        <w:tab/>
      </w:r>
      <w:r>
        <w:rPr>
          <w:noProof/>
        </w:rPr>
        <w:t xml:space="preserve">It-Titolu tal-proposta/inizjattiva: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Proposta għal Regolament tal-Parlament Ewropew u tal-Kunsill li jemenda r-Regolament tal-Kunsill (KE) Nru 768/2005 li jistabbilixxi Aġenzija Komunitarja għall-Kontroll tas-Sajd</w:t>
      </w:r>
    </w:p>
    <w:p>
      <w:pPr>
        <w:pStyle w:val="ManualHeading2"/>
        <w:rPr>
          <w:noProof/>
          <w:szCs w:val="24"/>
        </w:rPr>
      </w:pPr>
      <w:r>
        <w:t>1.2.</w:t>
      </w:r>
      <w:r>
        <w:tab/>
      </w:r>
      <w:r>
        <w:rPr>
          <w:noProof/>
        </w:rPr>
        <w:t>L-oqsma ta’ politika kkonċernati fl-istruttura ABM/ABB</w:t>
      </w:r>
      <w:r>
        <w:rPr>
          <w:rStyle w:val="FootnoteReference"/>
          <w:noProof/>
        </w:rPr>
        <w:footnoteReference w:id="4"/>
      </w:r>
      <w:r>
        <w:rPr>
          <w:i/>
          <w:noProof/>
        </w:rPr>
        <w:t xml:space="preserve">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Attività ABB Nru 06 tad-DĠ MARE: biex niżguraw sajd sostenibbli u provvista stabbli tal-ikel tal-baħar, niżviluppaw l-ekonomija marittima u niżguraw il-prosperità tal-komunitajiet mal-kosta.</w:t>
      </w:r>
    </w:p>
    <w:p>
      <w:pPr>
        <w:pStyle w:val="ManualHeading2"/>
        <w:rPr>
          <w:bCs/>
          <w:noProof/>
          <w:szCs w:val="24"/>
        </w:rPr>
      </w:pPr>
      <w:r>
        <w:t>1.3.</w:t>
      </w:r>
      <w:r>
        <w:tab/>
      </w:r>
      <w:r>
        <w:rPr>
          <w:noProof/>
        </w:rPr>
        <w:t xml:space="preserve">In-natura tal-proposta/inizjattiva </w:t>
      </w:r>
    </w:p>
    <w:p>
      <w:pPr>
        <w:pStyle w:val="Text1"/>
        <w:rPr>
          <w:b/>
          <w:noProof/>
          <w:sz w:val="22"/>
        </w:rPr>
      </w:pPr>
      <w:r>
        <w:rPr>
          <w:noProof/>
          <w:sz w:val="22"/>
        </w:rPr>
        <w:sym w:font="Wingdings" w:char="F0FE"/>
      </w:r>
      <w:r>
        <w:rPr>
          <w:noProof/>
        </w:rPr>
        <w:t xml:space="preserve"> Il-proposta/inizjattiva hi relatata ma' </w:t>
      </w:r>
      <w:r>
        <w:rPr>
          <w:b/>
          <w:noProof/>
        </w:rPr>
        <w:t>azzjoni ġdida</w:t>
      </w:r>
      <w:r>
        <w:rPr>
          <w:b/>
          <w:noProof/>
          <w:sz w:val="22"/>
        </w:rPr>
        <w:t xml:space="preserve"> </w:t>
      </w:r>
    </w:p>
    <w:p>
      <w:pPr>
        <w:pStyle w:val="Text1"/>
        <w:rPr>
          <w:noProof/>
          <w:sz w:val="22"/>
        </w:rPr>
      </w:pPr>
      <w:r>
        <w:rPr>
          <w:noProof/>
          <w:sz w:val="22"/>
        </w:rPr>
        <w:sym w:font="Wingdings" w:char="F0A8"/>
      </w:r>
      <w:r>
        <w:rPr>
          <w:noProof/>
        </w:rPr>
        <w:t xml:space="preserve"> Il-proposta/inizjattiva hi relatata ma' </w:t>
      </w:r>
      <w:r>
        <w:rPr>
          <w:b/>
          <w:noProof/>
        </w:rPr>
        <w:t>azzjoni ġdida skont proġett pilota/azzjoni preparatorja</w:t>
      </w:r>
      <w:r>
        <w:rPr>
          <w:rStyle w:val="FootnoteReference"/>
          <w:b/>
          <w:noProof/>
        </w:rPr>
        <w:footnoteReference w:id="5"/>
      </w:r>
      <w:r>
        <w:rPr>
          <w:noProof/>
          <w:sz w:val="22"/>
        </w:rPr>
        <w:t xml:space="preserve"> </w:t>
      </w:r>
    </w:p>
    <w:p>
      <w:pPr>
        <w:pStyle w:val="Text1"/>
        <w:rPr>
          <w:noProof/>
          <w:sz w:val="22"/>
        </w:rPr>
      </w:pPr>
      <w:r>
        <w:rPr>
          <w:noProof/>
          <w:sz w:val="22"/>
        </w:rPr>
        <w:sym w:font="Wingdings" w:char="F0A8"/>
      </w:r>
      <w:r>
        <w:rPr>
          <w:noProof/>
        </w:rPr>
        <w:t xml:space="preserve"> Il-proposta/inizjattiva hi relatata mal-</w:t>
      </w:r>
      <w:r>
        <w:rPr>
          <w:b/>
          <w:noProof/>
        </w:rPr>
        <w:t>estensjoni ta’ azzjoni eżistenti</w:t>
      </w:r>
      <w:r>
        <w:rPr>
          <w:noProof/>
          <w:sz w:val="22"/>
        </w:rPr>
        <w:t xml:space="preserve"> </w:t>
      </w:r>
    </w:p>
    <w:p>
      <w:pPr>
        <w:pStyle w:val="Text1"/>
        <w:rPr>
          <w:noProof/>
        </w:rPr>
      </w:pPr>
      <w:r>
        <w:rPr>
          <w:noProof/>
          <w:sz w:val="22"/>
        </w:rPr>
        <w:sym w:font="Wingdings" w:char="F0A8"/>
      </w:r>
      <w:r>
        <w:rPr>
          <w:noProof/>
        </w:rPr>
        <w:t xml:space="preserve"> Il-proposta/inizjattiva hi relatata ma' </w:t>
      </w:r>
      <w:r>
        <w:rPr>
          <w:b/>
          <w:noProof/>
        </w:rPr>
        <w:t>azzjoni diretta mill-ġdid lejn azzjoni ġdida</w:t>
      </w:r>
      <w:r>
        <w:rPr>
          <w:noProof/>
        </w:rPr>
        <w:t xml:space="preserve"> </w:t>
      </w:r>
    </w:p>
    <w:p>
      <w:pPr>
        <w:pStyle w:val="ManualHeading2"/>
        <w:rPr>
          <w:bCs/>
          <w:noProof/>
          <w:szCs w:val="24"/>
        </w:rPr>
      </w:pPr>
      <w:r>
        <w:t>1.4.</w:t>
      </w:r>
      <w:r>
        <w:tab/>
      </w:r>
      <w:r>
        <w:rPr>
          <w:noProof/>
        </w:rPr>
        <w:t>L-għanijiet</w:t>
      </w:r>
    </w:p>
    <w:p>
      <w:pPr>
        <w:pStyle w:val="ManualHeading3"/>
        <w:rPr>
          <w:noProof/>
        </w:rPr>
      </w:pPr>
      <w:r>
        <w:t>1.4.1.</w:t>
      </w:r>
      <w:r>
        <w:tab/>
      </w:r>
      <w:r>
        <w:rPr>
          <w:noProof/>
        </w:rPr>
        <w:t xml:space="preserve">L-għanijiet strateġiċi pluriennali tal-Kummissjoni fil-mira tal-proposta/inizjattiva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Il-Kummissjoni żżid il-kapaċitajiet operazzjonali tal-Unjoni biex tħares il-fruntieri Ewropej ħalli jitħaddmu u jsir infurzar vigoruż tar-regoli komuni Ewropej il-ġodda li jippenalizzaw it-traffikanti tal-bnedmin.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Fl-azzjonijiet futuri, il-Kummissjoni se tibda tuża approċċ komuni fil-livell tal-UE bil-għan li ttejjeb il-koperazzjoni u l-koordinazzjoni bejn l-awtoritajiet rilevanti tal-Istati Membri, l-aġenziji tal-UE u korpi oħrajn li jwettqu l-funzjonijiet tal-gwardja tal-kosta, ħalli ssir il-bidla lejn Kapaċità/Sistema Ewropea għall-Gwardja tal-Kosta.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F'koperazzjoni mal-Aġenzija Ewropea għall-Gwardja tal-Fruntiera u tal-Kosta u mal-Aġenzija Ewropea għas-Sigurtà Marittima, l-Aġenzija Ewropea għall-Kontroll tas-Sajd imħeġġa tappoġġa lill-awtoritajiet nazzjonali biex iwettqu l-funzjonijiet tal-gwardja tal-kosta fil-livell nazzjonali u fil-livell tal-Unjoni, u meta xieraq, fil-livell internazzjonali.</w:t>
      </w:r>
    </w:p>
    <w:p>
      <w:pPr>
        <w:pStyle w:val="ManualHeading3"/>
        <w:rPr>
          <w:bCs/>
          <w:noProof/>
          <w:szCs w:val="24"/>
        </w:rPr>
      </w:pPr>
      <w:r>
        <w:t>1.4.2.</w:t>
      </w:r>
      <w:r>
        <w:tab/>
      </w:r>
      <w:r>
        <w:rPr>
          <w:noProof/>
        </w:rPr>
        <w:t xml:space="preserve">L-għanijiet speċifiċi u l-attivitajiet ABM/ABB ikkonċernati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u w:val="single"/>
        </w:rPr>
      </w:pPr>
      <w:r>
        <w:rPr>
          <w:noProof/>
          <w:u w:val="single"/>
        </w:rPr>
        <w:t>In-numru tal-għan speċifiku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850"/>
        <w:rPr>
          <w:noProof/>
          <w:sz w:val="23"/>
          <w:szCs w:val="23"/>
        </w:rPr>
      </w:pPr>
      <w:r>
        <w:rPr>
          <w:noProof/>
        </w:rPr>
        <w:t xml:space="preserve">Sabiex tibbenefika mill-esperjenza u mill-ħiliet tal-Aġenzija Ewropea għall-Kontroll tas-Sajd fil-koordinazzjoni operazzjonali tal-politiki tal-kontroll u fit-tiswir tal-kapaċitajiet, inkluż fid-dimensjoni internazzjonali tal-Politika Komuni tas-Sajd ħalli </w:t>
      </w:r>
      <w:r>
        <w:rPr>
          <w:noProof/>
        </w:rPr>
        <w:lastRenderedPageBreak/>
        <w:t>tappoġġa lill-awtoritajiet nazzjonali li jwettqu l-funzjonijiet tal-gwardja tal-kosta fil-livell nazzjonali u fil-livell tal-Unjoni, u meta xieraq, fil-livell internazzjonali.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u w:val="single"/>
        </w:rPr>
      </w:pPr>
      <w:r>
        <w:rPr>
          <w:noProof/>
          <w:u w:val="single"/>
        </w:rPr>
        <w:t>L-attivitajiet ABM/ABB ikkonċernati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11.06</w:t>
      </w:r>
    </w:p>
    <w:p>
      <w:pPr>
        <w:pStyle w:val="ManualHeading3"/>
        <w:rPr>
          <w:bCs/>
          <w:noProof/>
          <w:szCs w:val="24"/>
        </w:rPr>
      </w:pPr>
      <w:r>
        <w:t>1.4.3.</w:t>
      </w:r>
      <w:r>
        <w:tab/>
      </w:r>
      <w:r>
        <w:rPr>
          <w:noProof/>
        </w:rPr>
        <w:t>Ir-riżultati u l-impatt mistennija</w:t>
      </w:r>
    </w:p>
    <w:p>
      <w:pPr>
        <w:pStyle w:val="Text1"/>
        <w:rPr>
          <w:i/>
          <w:noProof/>
          <w:sz w:val="20"/>
        </w:rPr>
      </w:pPr>
      <w:r>
        <w:rPr>
          <w:i/>
          <w:noProof/>
          <w:sz w:val="20"/>
        </w:rPr>
        <w:t>Speċifika l-effetti li l-proposta/inizjattiva għandha tħalli fuq il-benefiċjarji/gruppi fil-mira.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Sabiex jinkiseb għarfien effiċjenti tas-sitwazzjoni u intelligence billi ssir elaborazzjoni ta' stampa komuni u rikonoxxuta tal-UE tal-lat operazzjonali, li tkun kondiviża mill-aġenziji tal-UE u mill-Istati Membri;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Sabiex tiżdied ħafna l-probabbiltà li jinqabdu, jiġu identifikati, klassifikati u traċċati l-bastimenti u d-dgħajjes, u l-attivitajiet tagħhom, li jkunu resqin lejn l-ilmijiet tal-UE jew għaddejjin minnhom;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Sabiex jinkisbu l-versatilità, ir-risponsività, l-effiċjenza u l-effikaċja fl-użu tal-kapaċitajiet operazzjonali, inklużi s-sistemi tal-ajru ppilotati mill-bogħod f'approċċ transsettorjali;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Sabiex jinkisbu kundizzjonijiet ekwi fejn tidħol iċ-ċertezza li l-persunal operazzjonali involut fil-funzjonijiet tal-gwardja tal-kosta tal-Istati Membri, tal-Aġenziji tal-UE u, meta xieraq, tal-pajjiżi terzi jaħdem biex jintlaħqu l-għanijiet tal-politika, jikkopera, jiskambja, jaqsam l-informazzjoni u l-intelligence u jikkonforma mal-metodoloġiji komuni billi jinħolqu linji gwida komuni, isir taħriġ fl-aħjar prattika u b'impenji oħrajn għat-tiswir tal-kapaċità.</w:t>
      </w:r>
    </w:p>
    <w:p>
      <w:pPr>
        <w:pStyle w:val="ManualHeading3"/>
        <w:rPr>
          <w:bCs/>
          <w:noProof/>
          <w:szCs w:val="24"/>
        </w:rPr>
      </w:pPr>
      <w:r>
        <w:t>1.4.4.</w:t>
      </w:r>
      <w:r>
        <w:tab/>
      </w:r>
      <w:r>
        <w:rPr>
          <w:noProof/>
        </w:rPr>
        <w:t xml:space="preserve">Indikaturi tar-riżultati u tal-impatti </w:t>
      </w:r>
    </w:p>
    <w:p>
      <w:pPr>
        <w:pStyle w:val="Text1"/>
        <w:rPr>
          <w:i/>
          <w:noProof/>
          <w:sz w:val="20"/>
        </w:rPr>
      </w:pPr>
      <w:r>
        <w:rPr>
          <w:i/>
          <w:noProof/>
          <w:sz w:val="20"/>
        </w:rPr>
        <w:t>Speċifika l-indikaturi għall-monitoraġġ tal-implimentazzjoni tal-proposta/inizjattiva.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b/>
          <w:noProof/>
        </w:rPr>
        <w:t>L-għarfien effiċjenti tas-sitwazzjoni:</w:t>
      </w:r>
      <w:r>
        <w:rPr>
          <w:noProof/>
        </w:rPr>
        <w:t xml:space="preserve"> % tal-Aġenziji tal-UE u tal-korpi tal-Istati Membri involuti fil-funzjonijiet tal-gwardja tal-kosta li jivvalutaw u jikkontribwixxu għall-istampa komuni u rikonoxxuta tal-UE tal-lat operazzjonali;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b/>
          <w:noProof/>
        </w:rPr>
        <w:t>Il-probabbiltà kbira li jinqabdu:</w:t>
      </w:r>
      <w:r>
        <w:rPr>
          <w:noProof/>
        </w:rPr>
        <w:t xml:space="preserve"> % tal-passi li jinqabdu bis-sistemi koperattivi mqabbla b'mod aleatorju mas-sistemi mhux koperattivi;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Probabbiltà kbira li jinqabdu, jiġu identifikati, klassifikati u traċċati: % ta' kull biċċa mqabbel mal-għadd ta' passi maqbuda;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b/>
          <w:noProof/>
        </w:rPr>
        <w:t>L-użu tal-kapaċitajiet operazzjonali:</w:t>
      </w:r>
      <w:r>
        <w:rPr>
          <w:noProof/>
        </w:rPr>
        <w:t xml:space="preserve"> % tal-kapaċitajiet operazzjonali użati meta mqabbla ma' dawk pjanati;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b/>
          <w:noProof/>
        </w:rPr>
        <w:t>Il-kundizzjonijiet ekwi:</w:t>
      </w:r>
      <w:r>
        <w:rPr>
          <w:noProof/>
        </w:rPr>
        <w:t xml:space="preserve"> % tat-taħriġ transsettorjali tal-persunal operazzjonali involut fil-funzjonijiet tal-gwardja tal-kosta tal-Istati Membri, tal-Aġenziji tal-UE u, meta xieraq, tal-pajjiżi terzi</w:t>
      </w:r>
    </w:p>
    <w:p>
      <w:pPr>
        <w:pStyle w:val="ManualHeading2"/>
        <w:rPr>
          <w:bCs/>
          <w:noProof/>
          <w:szCs w:val="24"/>
        </w:rPr>
      </w:pPr>
      <w:r>
        <w:t>1.5.</w:t>
      </w:r>
      <w:r>
        <w:tab/>
      </w:r>
      <w:r>
        <w:rPr>
          <w:noProof/>
        </w:rPr>
        <w:t xml:space="preserve">Ir-raġunijiet tal-proposta/inizjattiva </w:t>
      </w:r>
    </w:p>
    <w:p>
      <w:pPr>
        <w:pStyle w:val="ManualHeading3"/>
        <w:rPr>
          <w:noProof/>
        </w:rPr>
      </w:pPr>
      <w:r>
        <w:t>1.5.1.</w:t>
      </w:r>
      <w:r>
        <w:tab/>
      </w:r>
      <w:r>
        <w:rPr>
          <w:noProof/>
        </w:rPr>
        <w:t xml:space="preserve">Ir-rekwiżiti li jridu jintlaħqu fi żmien qasir jew fit-tul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Il-modi kif issir il-koperazzjoni tal-Aġenzija Ewropea għall-Kontroll tas-Sajd fil-funzjonijiet tal-gwardja tal-kosta mal-Aġenzija Ewropea għall-Gwardja tal-Fruntiera u tal-Kosta u mal-Aġenzija Ewropea għas-Sigurtà Marittima, għandhom jiġu stabbiliti f'arranġament ta' ħidma skont ir-regoli finanzjarji applikabbli għall-Aġenziji.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Il-Kummissjoni tista’ tadotta regoli ta’ implimentazzjoni skont l-Artikolu 110 tar-Regolament tal-Kunsill (KE) Nru 1224/2009.</w:t>
      </w:r>
    </w:p>
    <w:p>
      <w:pPr>
        <w:pStyle w:val="ManualHeading3"/>
        <w:rPr>
          <w:bCs/>
          <w:noProof/>
          <w:szCs w:val="24"/>
        </w:rPr>
      </w:pPr>
      <w:r>
        <w:t>1.5.2.</w:t>
      </w:r>
      <w:r>
        <w:tab/>
      </w:r>
      <w:r>
        <w:rPr>
          <w:noProof/>
        </w:rPr>
        <w:t>Il-valur miżjud bl-involviment tal-UE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noProof/>
        </w:rPr>
      </w:pPr>
      <w:r>
        <w:rPr>
          <w:b/>
          <w:noProof/>
        </w:rPr>
        <w:t>Hu strumentali li l-UE tinvolvi ruħha għax l-għanijiet tal-politika ma jistgħux jintlaħqu bl-azzjoni tal-Istati Membri biss: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Ir-responsabbiltà li twettaq il-Funzjonijiet tal-Gwardja tal-Kosta tinqasam fost it-316-il awtorità pubblika fl-Istati Membri kostali tal-UE.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Għalkemm diġà qed jikkoperaw u joħolqu s-sinerġiji, xi Aġenziji tal-UE għadhom milquta bl-hekk imsejħa "mentalità sajlo".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noProof/>
        </w:rPr>
      </w:pPr>
      <w:r>
        <w:rPr>
          <w:b/>
          <w:noProof/>
        </w:rPr>
        <w:t>Jekk jitjieb il-qsim tal-kapaċità bejn l-awtoritajiet tal-gwardja tal-kosta u l-aġenziji tal-UE, dan jgħin biex jinkisbu l-versatilità, ir-risponsività, l-effiċjenza u l-effettività.</w:t>
      </w:r>
    </w:p>
    <w:p>
      <w:pPr>
        <w:pStyle w:val="ManualHeading3"/>
        <w:rPr>
          <w:bCs/>
          <w:noProof/>
          <w:szCs w:val="24"/>
        </w:rPr>
      </w:pPr>
      <w:r>
        <w:t>1.5.3.</w:t>
      </w:r>
      <w:r>
        <w:tab/>
      </w:r>
      <w:r>
        <w:rPr>
          <w:noProof/>
        </w:rPr>
        <w:t>Tagħlimiet minn esperjenzi simili fl-imgħoddi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Il-koordinazzjoni tal-Istati Membri involuti fis-sistema tal-kontroll applikabbli għall-Politika Komuni tas-Sajd bil-prinċipju tal-Pjanijiet Konġunti tal-Implimentazzjoni li juru r-rilevanza, l-effettività u l-effikaċja biex titjieb is-sostenibbiltà ta’ xi stokkijiet tas-sajd bħat-tonn jew il-merluzz, eċċ.</w:t>
      </w:r>
    </w:p>
    <w:p>
      <w:pPr>
        <w:pStyle w:val="ManualHeading3"/>
        <w:rPr>
          <w:bCs/>
          <w:noProof/>
          <w:szCs w:val="24"/>
        </w:rPr>
      </w:pPr>
      <w:r>
        <w:t>1.5.4.</w:t>
      </w:r>
      <w:r>
        <w:tab/>
      </w:r>
      <w:r>
        <w:rPr>
          <w:noProof/>
        </w:rPr>
        <w:t>Il-kompatibilità u s-sinerġija possibbli ma' strumenti rilevanti oħrajn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L-Istati Membri jistgħu jibbenefikaw mill-approprjazzjonijiet tal-Fond Ewropew Marittimu u tas-Sajd (il-FEMS).</w:t>
      </w:r>
    </w:p>
    <w:p>
      <w:pPr>
        <w:pStyle w:val="ManualHeading2"/>
        <w:rPr>
          <w:bCs/>
          <w:noProof/>
          <w:szCs w:val="24"/>
        </w:rPr>
      </w:pPr>
      <w:r>
        <w:rPr>
          <w:noProof/>
        </w:rPr>
        <w:br w:type="page"/>
      </w:r>
      <w:r>
        <w:t>1.6.</w:t>
      </w:r>
      <w:r>
        <w:tab/>
      </w:r>
      <w:r>
        <w:rPr>
          <w:noProof/>
        </w:rPr>
        <w:t xml:space="preserve">It-tul taż-żmien u l-impatt finanzjarju </w:t>
      </w:r>
    </w:p>
    <w:p>
      <w:pPr>
        <w:pStyle w:val="Text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Proposta/inizjattiva b’</w:t>
      </w:r>
      <w:r>
        <w:rPr>
          <w:b/>
          <w:noProof/>
        </w:rPr>
        <w:t xml:space="preserve">tul taż-żmien limitat 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 xml:space="preserve">Il-proposta/inizjattiva fis-seħħ mill-[JJ/XX]SSSS sa [JJ/XX]SSSS 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L-impatt finanzjarju mill-SSSS sal-SSSS </w:t>
      </w:r>
    </w:p>
    <w:p>
      <w:pPr>
        <w:pStyle w:val="Text1"/>
        <w:rPr>
          <w:noProof/>
        </w:rPr>
      </w:pPr>
      <w:r>
        <w:rPr>
          <w:noProof/>
        </w:rPr>
        <w:sym w:font="Wingdings" w:char="F0FE"/>
      </w:r>
      <w:r>
        <w:rPr>
          <w:noProof/>
        </w:rPr>
        <w:t xml:space="preserve"> Proposta/inizjattiva b'</w:t>
      </w:r>
      <w:r>
        <w:rPr>
          <w:b/>
          <w:noProof/>
        </w:rPr>
        <w:t>tul taż-żmien mhux limitat</w:t>
      </w:r>
    </w:p>
    <w:p>
      <w:pPr>
        <w:pStyle w:val="ListDash1"/>
        <w:rPr>
          <w:noProof/>
        </w:rPr>
      </w:pPr>
      <w:r>
        <w:rPr>
          <w:noProof/>
        </w:rPr>
        <w:t>Implimentazzjoni b'perjodu inizjali mill-2016 sal-2017,</w:t>
      </w:r>
    </w:p>
    <w:p>
      <w:pPr>
        <w:pStyle w:val="ListDash1"/>
        <w:rPr>
          <w:noProof/>
        </w:rPr>
      </w:pPr>
      <w:r>
        <w:rPr>
          <w:noProof/>
        </w:rPr>
        <w:t>u wara tħaddim fuq skala sħiħa.</w:t>
      </w:r>
    </w:p>
    <w:p>
      <w:pPr>
        <w:pStyle w:val="ManualHeading2"/>
        <w:rPr>
          <w:bCs/>
          <w:noProof/>
          <w:szCs w:val="24"/>
        </w:rPr>
      </w:pPr>
      <w:r>
        <w:t>1.7.</w:t>
      </w:r>
      <w:r>
        <w:tab/>
      </w:r>
      <w:r>
        <w:rPr>
          <w:noProof/>
        </w:rPr>
        <w:t>Il-metodi ta’ ġestjoni previsti</w:t>
      </w:r>
      <w:r>
        <w:rPr>
          <w:rStyle w:val="FootnoteReference"/>
          <w:noProof/>
        </w:rPr>
        <w:footnoteReference w:id="6"/>
      </w:r>
      <w:r>
        <w:rPr>
          <w:rStyle w:val="FootnoteReference"/>
          <w:noProof/>
        </w:rPr>
        <w:t xml:space="preserve"> </w:t>
      </w:r>
    </w:p>
    <w:p>
      <w:pPr>
        <w:pStyle w:val="Text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</w:t>
      </w:r>
      <w:r>
        <w:rPr>
          <w:b/>
          <w:noProof/>
        </w:rPr>
        <w:t>Ġestjoni diretta</w:t>
      </w:r>
      <w:r>
        <w:rPr>
          <w:noProof/>
        </w:rPr>
        <w:t xml:space="preserve"> mill-Kummissjoni</w:t>
      </w:r>
    </w:p>
    <w:p>
      <w:pPr>
        <w:pStyle w:val="ListDash2"/>
        <w:rPr>
          <w:rFonts w:cs="EUAlbertina"/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mid-dipartimenti tagħha, inkluż mill-persunal tagħha fid-delegazzjonijiet tal-Unjoni; 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 xml:space="preserve">mill-aġenziji eżekuttivi </w:t>
      </w:r>
    </w:p>
    <w:p>
      <w:pPr>
        <w:pStyle w:val="Text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</w:t>
      </w:r>
      <w:r>
        <w:rPr>
          <w:b/>
          <w:noProof/>
        </w:rPr>
        <w:t>Ġestjoni konġunta</w:t>
      </w:r>
      <w:r>
        <w:rPr>
          <w:noProof/>
        </w:rPr>
        <w:t xml:space="preserve"> mal-Istati Membri </w:t>
      </w:r>
    </w:p>
    <w:p>
      <w:pPr>
        <w:pStyle w:val="Text1"/>
        <w:rPr>
          <w:noProof/>
        </w:rPr>
      </w:pPr>
      <w:r>
        <w:rPr>
          <w:noProof/>
        </w:rPr>
        <w:sym w:font="Wingdings" w:char="F0FE"/>
      </w:r>
      <w:r>
        <w:rPr>
          <w:noProof/>
        </w:rPr>
        <w:t xml:space="preserve"> </w:t>
      </w:r>
      <w:r>
        <w:rPr>
          <w:b/>
          <w:noProof/>
        </w:rPr>
        <w:t>Ġestjoni indiretta</w:t>
      </w:r>
      <w:r>
        <w:rPr>
          <w:noProof/>
        </w:rPr>
        <w:t xml:space="preserve"> bid-delega tal-kompiti tal-implimentazzjoni baġitarja lil: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il-pajjiżi terzi jew il-korpi nnominati minnhom;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organizzazzjonijiet internazzjonali u l-aġenziji tagħhom (iridu jiġu speċifikati);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il-BEI u l-Fond Ewropew tal-Investiment;</w:t>
      </w:r>
    </w:p>
    <w:p>
      <w:pPr>
        <w:pStyle w:val="ListDash2"/>
        <w:rPr>
          <w:noProof/>
        </w:rPr>
      </w:pPr>
      <w:r>
        <w:rPr>
          <w:noProof/>
        </w:rPr>
        <w:sym w:font="Wingdings" w:char="F0FE"/>
      </w:r>
      <w:r>
        <w:rPr>
          <w:noProof/>
        </w:rPr>
        <w:t xml:space="preserve"> il-korpi li jissemmew fl-Artikoli 208 u 209 tar-Regolament Finanzjarju;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il-korpi tal-liġi pubblika;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il-korpi rregolati bil-liġi privata li jkollhom missjoni ta’ servizz pubbliku safejn jipprovdu garanziji finanzjarji adegwati;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il-korpi rregolati bil-liġi privata ta’ Stat Membru partikolari li jkunu fdati bl-implimentazzjoni ta’ sħubija pubblika privata u li jipprovdu garanziji finanzjarji adegwati;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il-persuni fdati bl-implimentazzjoni ta’ azzjonijiet speċifiċi fil-PESK skont it-Titolu V tat-TUE, u identifikati fl-att bażiku rilevanti.</w:t>
      </w:r>
    </w:p>
    <w:p>
      <w:pPr>
        <w:pStyle w:val="ListDash2"/>
        <w:rPr>
          <w:i/>
          <w:noProof/>
          <w:sz w:val="18"/>
          <w:u w:val="single"/>
        </w:rPr>
      </w:pPr>
      <w:r>
        <w:rPr>
          <w:i/>
          <w:noProof/>
          <w:sz w:val="18"/>
        </w:rPr>
        <w:t>Jekk ikun indikat aktar minn metodu wieħed ta’ ġestjoni, agħti d-dettalji fit-taqsima tal-“Kummenti”.</w:t>
      </w:r>
    </w:p>
    <w:p>
      <w:pPr>
        <w:rPr>
          <w:noProof/>
        </w:rPr>
      </w:pPr>
      <w:r>
        <w:rPr>
          <w:noProof/>
        </w:rPr>
        <w:t xml:space="preserve">Kummenti 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</w:p>
    <w:p>
      <w:pPr>
        <w:rPr>
          <w:noProof/>
        </w:rPr>
        <w:sectPr>
          <w:pgSz w:w="11907" w:h="16840" w:code="9"/>
          <w:pgMar w:top="1134" w:right="1418" w:bottom="1134" w:left="1418" w:header="709" w:footer="709" w:gutter="0"/>
          <w:cols w:space="708"/>
          <w:docGrid w:linePitch="360"/>
        </w:sectPr>
      </w:pPr>
    </w:p>
    <w:p>
      <w:pPr>
        <w:pStyle w:val="ManualHeading1"/>
        <w:rPr>
          <w:bCs/>
          <w:noProof/>
          <w:szCs w:val="24"/>
        </w:rPr>
      </w:pPr>
      <w:r>
        <w:t>2.</w:t>
      </w:r>
      <w:r>
        <w:tab/>
      </w:r>
      <w:r>
        <w:rPr>
          <w:noProof/>
        </w:rPr>
        <w:t xml:space="preserve">IL-MIŻURI TA’ ĠESTJONI </w:t>
      </w:r>
    </w:p>
    <w:p>
      <w:pPr>
        <w:pStyle w:val="ManualHeading2"/>
        <w:rPr>
          <w:noProof/>
        </w:rPr>
      </w:pPr>
      <w:r>
        <w:t>2.1.</w:t>
      </w:r>
      <w:r>
        <w:tab/>
      </w:r>
      <w:r>
        <w:rPr>
          <w:noProof/>
        </w:rPr>
        <w:t xml:space="preserve">Ir-regoli dwar il-monitoraġġ u r-rappurtar </w:t>
      </w:r>
    </w:p>
    <w:p>
      <w:pPr>
        <w:pStyle w:val="Text1"/>
        <w:rPr>
          <w:i/>
          <w:noProof/>
          <w:sz w:val="20"/>
          <w:u w:val="single"/>
        </w:rPr>
      </w:pPr>
      <w:r>
        <w:rPr>
          <w:i/>
          <w:noProof/>
          <w:sz w:val="20"/>
        </w:rPr>
        <w:t>Speċifika l-frekwenza u l-kundizzjonijiet.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Din l-azzjoni se timxi mar-regoli tal-EFCA għall-monitoraġġ u r-rappurtar (b’mod partikolari l-inklużjoni fil-programm ta' ħidma tal-EFCA u fir-rapport annwali tagħha li huma diskussi fil-Bord Amministrattiv).</w:t>
      </w:r>
    </w:p>
    <w:p>
      <w:pPr>
        <w:pStyle w:val="ManualHeading2"/>
        <w:rPr>
          <w:bCs/>
          <w:noProof/>
          <w:szCs w:val="24"/>
        </w:rPr>
      </w:pPr>
      <w:r>
        <w:t>2.2.</w:t>
      </w:r>
      <w:r>
        <w:tab/>
      </w:r>
      <w:r>
        <w:rPr>
          <w:noProof/>
        </w:rPr>
        <w:t xml:space="preserve">Is-sistema ta’ ġestjoni u kontroll </w:t>
      </w:r>
    </w:p>
    <w:p>
      <w:pPr>
        <w:pStyle w:val="ManualHeading3"/>
        <w:rPr>
          <w:noProof/>
        </w:rPr>
      </w:pPr>
      <w:r>
        <w:t>2.2.1.</w:t>
      </w:r>
      <w:r>
        <w:tab/>
      </w:r>
      <w:r>
        <w:rPr>
          <w:noProof/>
        </w:rPr>
        <w:t xml:space="preserve">Ir-riskji identifikati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L-apatija tal-Istati Membri u ta' Aġenziji oħra tal-UE biex jikkoperaw u jaqsmu d-dejta</w:t>
      </w:r>
    </w:p>
    <w:p>
      <w:pPr>
        <w:pStyle w:val="ManualHeading3"/>
        <w:rPr>
          <w:bCs/>
          <w:noProof/>
          <w:szCs w:val="24"/>
        </w:rPr>
      </w:pPr>
      <w:r>
        <w:t>2.2.2.</w:t>
      </w:r>
      <w:r>
        <w:tab/>
      </w:r>
      <w:r>
        <w:rPr>
          <w:noProof/>
        </w:rPr>
        <w:t>Informazzjoni dwar l-istruttura tas-sistema ta' kontroll intern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Se jsir monitoraġġ ta' din l-azzjoni bis-sistema ta’ kontroll intern tal-EFCA </w:t>
      </w:r>
    </w:p>
    <w:p>
      <w:pPr>
        <w:pStyle w:val="ManualHeading3"/>
        <w:rPr>
          <w:noProof/>
        </w:rPr>
      </w:pPr>
      <w:r>
        <w:t>2.2.3.</w:t>
      </w:r>
      <w:r>
        <w:tab/>
      </w:r>
      <w:r>
        <w:rPr>
          <w:noProof/>
        </w:rPr>
        <w:t xml:space="preserve">Stima tal-ispejjeż u tal-benefiċċji tal-kontrolli, u valutazzjoni tal-livell mistenni tar-riskju tal-errur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Il-limitu tal-materjalità fl-EFCA hu EUR 4500 u l-livell stmat tar-riskju tal-errur qiegħed taħt;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L-ispejjeż għall-implimentazzjoni tal-kontrolli </w:t>
      </w:r>
      <w:r>
        <w:rPr>
          <w:i/>
          <w:noProof/>
        </w:rPr>
        <w:t>ex-post</w:t>
      </w:r>
      <w:r>
        <w:rPr>
          <w:noProof/>
        </w:rPr>
        <w:t xml:space="preserve"> esterni u tal-ICS huma anqas minn 1% tal-baġit attwali tal-EFCA (jekk ma jitqisux l-investimenti għall-kontinwità tan-negozju u għals-salarji tal-persunal involut);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Il-benefiċċji fit-tul tal-immaġni u tal-assigurazzjoni huma kbar ħafna.</w:t>
      </w:r>
    </w:p>
    <w:p>
      <w:pPr>
        <w:pStyle w:val="ManualHeading2"/>
        <w:rPr>
          <w:bCs/>
          <w:noProof/>
          <w:szCs w:val="24"/>
        </w:rPr>
      </w:pPr>
      <w:r>
        <w:t>2.3.</w:t>
      </w:r>
      <w:r>
        <w:tab/>
      </w:r>
      <w:r>
        <w:rPr>
          <w:noProof/>
        </w:rPr>
        <w:t xml:space="preserve">Il-miżuri għall-prevenzjoni tal-frodi u l-irregolaritajiet </w:t>
      </w:r>
    </w:p>
    <w:p>
      <w:pPr>
        <w:pStyle w:val="Text1"/>
        <w:rPr>
          <w:i/>
          <w:noProof/>
          <w:sz w:val="20"/>
        </w:rPr>
      </w:pPr>
      <w:r>
        <w:rPr>
          <w:i/>
          <w:noProof/>
          <w:sz w:val="20"/>
        </w:rPr>
        <w:t>Speċifika l-miżuri ta' prevenzjoni u ta' protezzjoni eżistenti jew previsti.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Din l-attività se tkun soġġetta għall-miżuri tal-EFCA li jiżguraw il-protezzjoni mill-frodi u mill-irregolaritajiet. L-EFCA hi soġġetta wkoll għall-awditjar tal-Qorti Ewropea tal-Awdituri u tal-IAS. </w:t>
      </w:r>
    </w:p>
    <w:p>
      <w:pPr>
        <w:rPr>
          <w:noProof/>
        </w:rPr>
        <w:sectPr>
          <w:pgSz w:w="11907" w:h="16840" w:code="9"/>
          <w:pgMar w:top="1134" w:right="1418" w:bottom="1134" w:left="1418" w:header="709" w:footer="709" w:gutter="0"/>
          <w:cols w:space="708"/>
          <w:docGrid w:linePitch="360"/>
        </w:sectPr>
      </w:pPr>
    </w:p>
    <w:p>
      <w:pPr>
        <w:pStyle w:val="ManualHeading1"/>
        <w:rPr>
          <w:bCs/>
          <w:noProof/>
          <w:szCs w:val="24"/>
        </w:rPr>
      </w:pPr>
      <w:r>
        <w:t>3.</w:t>
      </w:r>
      <w:r>
        <w:tab/>
      </w:r>
      <w:r>
        <w:rPr>
          <w:noProof/>
        </w:rPr>
        <w:t xml:space="preserve">STIMA TAL-IMPATT FINANZJARJU TAL-PROPOSTA/INIZJATTIVA </w:t>
      </w:r>
    </w:p>
    <w:p>
      <w:pPr>
        <w:pStyle w:val="ManualHeading2"/>
        <w:rPr>
          <w:noProof/>
        </w:rPr>
      </w:pPr>
      <w:r>
        <w:t>3.1.</w:t>
      </w:r>
      <w:r>
        <w:tab/>
      </w:r>
      <w:r>
        <w:rPr>
          <w:noProof/>
        </w:rPr>
        <w:t xml:space="preserve">L-intestaturi tal-qafas finanzjarju pluriennali u l-linji baġitarji tan-nefqa affettwati </w:t>
      </w:r>
    </w:p>
    <w:p>
      <w:pPr>
        <w:pStyle w:val="ListBullet1"/>
        <w:rPr>
          <w:noProof/>
        </w:rPr>
      </w:pPr>
      <w:r>
        <w:rPr>
          <w:noProof/>
        </w:rPr>
        <w:t xml:space="preserve">Il-linji baġitarji eżistenti </w:t>
      </w:r>
    </w:p>
    <w:p>
      <w:pPr>
        <w:pStyle w:val="Text1"/>
        <w:rPr>
          <w:noProof/>
        </w:rPr>
      </w:pPr>
      <w:r>
        <w:rPr>
          <w:noProof/>
          <w:u w:val="single"/>
        </w:rPr>
        <w:t>Skont l-ordni</w:t>
      </w:r>
      <w:r>
        <w:rPr>
          <w:noProof/>
        </w:rPr>
        <w:t xml:space="preserve"> tal-intestaturi u tal-linji baġitarji tal-qafas finanzjarju pluriennali</w:t>
      </w:r>
    </w:p>
    <w:tbl>
      <w:tblPr>
        <w:tblW w:w="105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960"/>
        <w:gridCol w:w="1080"/>
        <w:gridCol w:w="956"/>
        <w:gridCol w:w="1080"/>
        <w:gridCol w:w="956"/>
        <w:gridCol w:w="1448"/>
      </w:tblGrid>
      <w:tr>
        <w:tc>
          <w:tcPr>
            <w:tcW w:w="1080" w:type="dxa"/>
            <w:vMerge w:val="restart"/>
            <w:vAlign w:val="center"/>
          </w:tcPr>
          <w:p>
            <w:pPr>
              <w:spacing w:before="60" w:after="60"/>
              <w:jc w:val="center"/>
              <w:rPr>
                <w:noProof/>
                <w:sz w:val="22"/>
              </w:rPr>
            </w:pPr>
            <w:r>
              <w:rPr>
                <w:noProof/>
                <w:sz w:val="18"/>
              </w:rPr>
              <w:t>Intestatura tal-qafas finanzjarju pluriennali</w:t>
            </w:r>
          </w:p>
        </w:tc>
        <w:tc>
          <w:tcPr>
            <w:tcW w:w="3960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2"/>
              </w:rPr>
            </w:pPr>
            <w:r>
              <w:rPr>
                <w:noProof/>
                <w:sz w:val="20"/>
              </w:rPr>
              <w:t>Linja baġitarja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2"/>
              </w:rPr>
            </w:pPr>
            <w:r>
              <w:rPr>
                <w:noProof/>
                <w:sz w:val="18"/>
              </w:rPr>
              <w:t xml:space="preserve">Tip ta' </w:t>
            </w:r>
            <w:r>
              <w:rPr>
                <w:noProof/>
                <w:sz w:val="22"/>
              </w:rPr>
              <w:br/>
            </w:r>
            <w:r>
              <w:rPr>
                <w:noProof/>
                <w:sz w:val="18"/>
              </w:rPr>
              <w:t>nefqa</w:t>
            </w:r>
          </w:p>
        </w:tc>
        <w:tc>
          <w:tcPr>
            <w:tcW w:w="4440" w:type="dxa"/>
            <w:gridSpan w:val="4"/>
            <w:vAlign w:val="center"/>
          </w:tcPr>
          <w:p>
            <w:pPr>
              <w:spacing w:before="60" w:after="60"/>
              <w:jc w:val="center"/>
              <w:rPr>
                <w:noProof/>
                <w:sz w:val="22"/>
              </w:rPr>
            </w:pPr>
            <w:r>
              <w:rPr>
                <w:noProof/>
                <w:sz w:val="20"/>
              </w:rPr>
              <w:t xml:space="preserve">Kontribuzzjoni </w:t>
            </w:r>
          </w:p>
        </w:tc>
      </w:tr>
      <w:tr>
        <w:tc>
          <w:tcPr>
            <w:tcW w:w="1080" w:type="dxa"/>
            <w:vMerge/>
            <w:vAlign w:val="center"/>
          </w:tcPr>
          <w:p>
            <w:pPr>
              <w:jc w:val="center"/>
              <w:rPr>
                <w:noProof/>
                <w:sz w:val="22"/>
              </w:rPr>
            </w:pPr>
          </w:p>
        </w:tc>
        <w:tc>
          <w:tcPr>
            <w:tcW w:w="3960" w:type="dxa"/>
            <w:vAlign w:val="center"/>
          </w:tcPr>
          <w:p>
            <w:pPr>
              <w:rPr>
                <w:noProof/>
                <w:sz w:val="22"/>
              </w:rPr>
            </w:pPr>
            <w:r>
              <w:rPr>
                <w:noProof/>
              </w:rPr>
              <w:t>Numru</w:t>
            </w:r>
            <w:r>
              <w:rPr>
                <w:noProof/>
                <w:sz w:val="22"/>
              </w:rPr>
              <w:br/>
            </w:r>
            <w:r>
              <w:rPr>
                <w:noProof/>
                <w:sz w:val="20"/>
              </w:rPr>
              <w:t>[Intestatura………………………...……………]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sz w:val="22"/>
              </w:rPr>
            </w:pPr>
            <w:r>
              <w:rPr>
                <w:noProof/>
              </w:rPr>
              <w:t>Diff./Mhux diff.</w:t>
            </w:r>
            <w:r>
              <w:rPr>
                <w:rStyle w:val="FootnoteReference"/>
                <w:noProof/>
              </w:rPr>
              <w:footnoteReference w:id="7"/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noProof/>
                <w:sz w:val="22"/>
              </w:rPr>
            </w:pPr>
            <w:r>
              <w:rPr>
                <w:noProof/>
                <w:sz w:val="18"/>
              </w:rPr>
              <w:t>mingħand il-pajjiżi tal-EFTA</w:t>
            </w:r>
            <w:r>
              <w:rPr>
                <w:rStyle w:val="FootnoteReference"/>
                <w:noProof/>
                <w:sz w:val="18"/>
              </w:rPr>
              <w:footnoteReference w:id="8"/>
            </w:r>
          </w:p>
          <w:p>
            <w:pPr>
              <w:spacing w:before="0" w:after="0"/>
              <w:jc w:val="center"/>
              <w:rPr>
                <w:b/>
                <w:noProof/>
                <w:sz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sz w:val="22"/>
              </w:rPr>
            </w:pPr>
            <w:r>
              <w:rPr>
                <w:noProof/>
                <w:sz w:val="18"/>
              </w:rPr>
              <w:t>mingħand il-pajjiżi kandidati</w:t>
            </w:r>
            <w:r>
              <w:rPr>
                <w:rStyle w:val="FootnoteReference"/>
                <w:noProof/>
                <w:sz w:val="18"/>
              </w:rPr>
              <w:footnoteReference w:id="9"/>
            </w:r>
          </w:p>
          <w:p>
            <w:pPr>
              <w:spacing w:before="0" w:after="0"/>
              <w:jc w:val="center"/>
              <w:rPr>
                <w:noProof/>
                <w:sz w:val="18"/>
              </w:rPr>
            </w:pP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mingħand il-pajjiżi terzi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noProof/>
                <w:sz w:val="22"/>
              </w:rPr>
            </w:pPr>
            <w:r>
              <w:rPr>
                <w:noProof/>
                <w:sz w:val="16"/>
              </w:rPr>
              <w:t xml:space="preserve">fis-sens tal-Artikolu 21(2)(b) tar-Regolament Finanzjarju </w:t>
            </w:r>
          </w:p>
        </w:tc>
      </w:tr>
      <w:tr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color w:val="0000FF"/>
                <w:sz w:val="22"/>
              </w:rPr>
            </w:pPr>
          </w:p>
        </w:tc>
        <w:tc>
          <w:tcPr>
            <w:tcW w:w="3960" w:type="dxa"/>
            <w:vAlign w:val="center"/>
          </w:tcPr>
          <w:p>
            <w:pPr>
              <w:spacing w:after="60"/>
              <w:rPr>
                <w:noProof/>
                <w:sz w:val="22"/>
              </w:rPr>
            </w:pPr>
            <w:r>
              <w:rPr>
                <w:noProof/>
                <w:sz w:val="22"/>
              </w:rPr>
              <w:t xml:space="preserve">L-Artikolu 11 06 64 – l-Aġenzija Ewropea għall-Kontroll tas-Sajd 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color w:val="0000FF"/>
                <w:sz w:val="22"/>
              </w:rPr>
            </w:pPr>
            <w:r>
              <w:rPr>
                <w:noProof/>
                <w:sz w:val="22"/>
              </w:rPr>
              <w:t>Mhux diff.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LE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LE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LE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LE</w:t>
            </w:r>
          </w:p>
        </w:tc>
      </w:tr>
    </w:tbl>
    <w:p>
      <w:pPr>
        <w:pStyle w:val="ListBullet1"/>
        <w:rPr>
          <w:noProof/>
        </w:rPr>
      </w:pPr>
      <w:r>
        <w:rPr>
          <w:noProof/>
        </w:rPr>
        <w:t xml:space="preserve">Linji baġitarji ġodda mitluba: Mhux applikabbli </w:t>
      </w:r>
    </w:p>
    <w:p>
      <w:pPr>
        <w:pStyle w:val="Text1"/>
        <w:rPr>
          <w:i/>
          <w:noProof/>
          <w:sz w:val="20"/>
        </w:rPr>
      </w:pPr>
      <w:r>
        <w:rPr>
          <w:i/>
          <w:noProof/>
          <w:u w:val="single"/>
        </w:rPr>
        <w:t>Skont l-ordni</w:t>
      </w:r>
      <w:r>
        <w:rPr>
          <w:i/>
          <w:noProof/>
        </w:rPr>
        <w:t xml:space="preserve"> tal-intestaturi u tal-linji baġitarji tal-qafas finanzjarju pluriennali.</w:t>
      </w:r>
    </w:p>
    <w:tbl>
      <w:tblPr>
        <w:tblW w:w="105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960"/>
        <w:gridCol w:w="1080"/>
        <w:gridCol w:w="956"/>
        <w:gridCol w:w="1080"/>
        <w:gridCol w:w="956"/>
        <w:gridCol w:w="1448"/>
      </w:tblGrid>
      <w:tr>
        <w:tc>
          <w:tcPr>
            <w:tcW w:w="1080" w:type="dxa"/>
            <w:vMerge w:val="restart"/>
            <w:vAlign w:val="center"/>
          </w:tcPr>
          <w:p>
            <w:pPr>
              <w:spacing w:before="60" w:after="60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Intestatura tal-qafas finanzjarju pluriennali</w:t>
            </w:r>
          </w:p>
        </w:tc>
        <w:tc>
          <w:tcPr>
            <w:tcW w:w="3960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2"/>
              </w:rPr>
            </w:pPr>
            <w:r>
              <w:rPr>
                <w:noProof/>
                <w:sz w:val="20"/>
              </w:rPr>
              <w:t>Linja baġitarja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2"/>
              </w:rPr>
            </w:pPr>
            <w:r>
              <w:rPr>
                <w:noProof/>
                <w:sz w:val="18"/>
              </w:rPr>
              <w:t>Tip ta'</w:t>
            </w:r>
            <w:r>
              <w:rPr>
                <w:noProof/>
                <w:sz w:val="22"/>
              </w:rPr>
              <w:br/>
            </w:r>
            <w:r>
              <w:rPr>
                <w:noProof/>
                <w:sz w:val="18"/>
              </w:rPr>
              <w:t>nefqa</w:t>
            </w:r>
          </w:p>
        </w:tc>
        <w:tc>
          <w:tcPr>
            <w:tcW w:w="4440" w:type="dxa"/>
            <w:gridSpan w:val="4"/>
            <w:vAlign w:val="center"/>
          </w:tcPr>
          <w:p>
            <w:pPr>
              <w:spacing w:before="60" w:after="60"/>
              <w:jc w:val="center"/>
              <w:rPr>
                <w:noProof/>
                <w:sz w:val="22"/>
              </w:rPr>
            </w:pPr>
            <w:r>
              <w:rPr>
                <w:noProof/>
                <w:sz w:val="20"/>
              </w:rPr>
              <w:t xml:space="preserve">Kontribuzzjoni </w:t>
            </w:r>
          </w:p>
        </w:tc>
      </w:tr>
      <w:tr>
        <w:tc>
          <w:tcPr>
            <w:tcW w:w="1080" w:type="dxa"/>
            <w:vMerge/>
            <w:vAlign w:val="center"/>
          </w:tcPr>
          <w:p>
            <w:pPr>
              <w:jc w:val="center"/>
              <w:rPr>
                <w:noProof/>
                <w:sz w:val="22"/>
              </w:rPr>
            </w:pPr>
          </w:p>
        </w:tc>
        <w:tc>
          <w:tcPr>
            <w:tcW w:w="3960" w:type="dxa"/>
            <w:vAlign w:val="center"/>
          </w:tcPr>
          <w:p>
            <w:pPr>
              <w:rPr>
                <w:noProof/>
                <w:sz w:val="22"/>
              </w:rPr>
            </w:pPr>
            <w:r>
              <w:rPr>
                <w:noProof/>
              </w:rPr>
              <w:t>Numru</w:t>
            </w:r>
            <w:r>
              <w:rPr>
                <w:noProof/>
                <w:sz w:val="22"/>
              </w:rPr>
              <w:br/>
            </w:r>
            <w:r>
              <w:rPr>
                <w:noProof/>
                <w:sz w:val="20"/>
              </w:rPr>
              <w:t>[Intestatura………………………………………]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sz w:val="22"/>
              </w:rPr>
            </w:pPr>
            <w:r>
              <w:rPr>
                <w:noProof/>
                <w:sz w:val="18"/>
              </w:rPr>
              <w:t>Diff./Mhux-diff.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mingħand il-pajjiżi tal-EFTA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mingħand il-pajjiżi kandidati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mingħand il-pajjiżi terzi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noProof/>
                <w:sz w:val="22"/>
              </w:rPr>
            </w:pPr>
            <w:r>
              <w:rPr>
                <w:noProof/>
                <w:sz w:val="16"/>
              </w:rPr>
              <w:t xml:space="preserve">fis-sens tal-Artikolu 21(2)(b) tar-Regolament Finanzjarju </w:t>
            </w:r>
          </w:p>
        </w:tc>
      </w:tr>
      <w:tr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color w:val="0000FF"/>
                <w:sz w:val="22"/>
              </w:rPr>
            </w:pPr>
          </w:p>
        </w:tc>
        <w:tc>
          <w:tcPr>
            <w:tcW w:w="3960" w:type="dxa"/>
            <w:vAlign w:val="center"/>
          </w:tcPr>
          <w:p>
            <w:pPr>
              <w:spacing w:before="60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[XX.YY.YY.YY]</w:t>
            </w:r>
          </w:p>
          <w:p>
            <w:pPr>
              <w:spacing w:after="60"/>
              <w:rPr>
                <w:noProof/>
                <w:color w:val="0000FF"/>
                <w:sz w:val="22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color w:val="0000FF"/>
                <w:sz w:val="22"/>
              </w:rPr>
            </w:pP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IVA/LE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color w:val="0000FF"/>
                <w:sz w:val="18"/>
              </w:rPr>
            </w:pPr>
            <w:r>
              <w:rPr>
                <w:noProof/>
                <w:sz w:val="22"/>
              </w:rPr>
              <w:t>IVA/LE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noProof/>
                <w:color w:val="0000FF"/>
                <w:sz w:val="18"/>
              </w:rPr>
            </w:pPr>
            <w:r>
              <w:rPr>
                <w:noProof/>
                <w:sz w:val="22"/>
              </w:rPr>
              <w:t>IVA/LE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IVA/LE</w:t>
            </w:r>
          </w:p>
        </w:tc>
      </w:tr>
    </w:tbl>
    <w:p>
      <w:pPr>
        <w:rPr>
          <w:noProof/>
        </w:rPr>
        <w:sectPr>
          <w:pgSz w:w="11907" w:h="16840" w:code="1"/>
          <w:pgMar w:top="1134" w:right="1418" w:bottom="1134" w:left="1418" w:header="709" w:footer="709" w:gutter="0"/>
          <w:cols w:space="708"/>
          <w:docGrid w:linePitch="360"/>
        </w:sectPr>
      </w:pPr>
    </w:p>
    <w:p>
      <w:pPr>
        <w:pStyle w:val="ManualHeading2"/>
        <w:rPr>
          <w:bCs/>
          <w:noProof/>
          <w:szCs w:val="24"/>
        </w:rPr>
      </w:pPr>
      <w:r>
        <w:t>3.2.</w:t>
      </w:r>
      <w:r>
        <w:tab/>
      </w:r>
      <w:r>
        <w:rPr>
          <w:noProof/>
        </w:rPr>
        <w:t xml:space="preserve">L-impatt stmat fuq in-nefqa </w:t>
      </w:r>
    </w:p>
    <w:p>
      <w:pPr>
        <w:pStyle w:val="ManualHeading3"/>
        <w:rPr>
          <w:noProof/>
          <w:u w:val="single"/>
        </w:rPr>
      </w:pPr>
      <w:r>
        <w:t>3.2.1.</w:t>
      </w:r>
      <w:r>
        <w:tab/>
      </w:r>
      <w:r>
        <w:rPr>
          <w:noProof/>
        </w:rPr>
        <w:t xml:space="preserve">Sommarju tal-impatt stmat fuq in-nefqa </w:t>
      </w:r>
    </w:p>
    <w:p>
      <w:pPr>
        <w:jc w:val="right"/>
        <w:rPr>
          <w:noProof/>
          <w:sz w:val="20"/>
        </w:rPr>
      </w:pPr>
      <w:r>
        <w:rPr>
          <w:noProof/>
          <w:sz w:val="20"/>
        </w:rPr>
        <w:t>EUR miljun (sa tliet punti deċimali)</w:t>
      </w:r>
    </w:p>
    <w:tbl>
      <w:tblPr>
        <w:tblW w:w="0" w:type="auto"/>
        <w:jc w:val="center"/>
        <w:tblInd w:w="-2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4"/>
        <w:gridCol w:w="1080"/>
        <w:gridCol w:w="7817"/>
      </w:tblGrid>
      <w:tr>
        <w:trPr>
          <w:jc w:val="center"/>
        </w:trPr>
        <w:tc>
          <w:tcPr>
            <w:tcW w:w="4744" w:type="dxa"/>
            <w:shd w:val="thinDiagStripe" w:color="C0C0C0" w:fill="auto"/>
            <w:vAlign w:val="center"/>
          </w:tcPr>
          <w:p>
            <w:pPr>
              <w:spacing w:before="60" w:after="60"/>
              <w:jc w:val="center"/>
              <w:rPr>
                <w:b/>
                <w:noProof/>
                <w:sz w:val="22"/>
              </w:rPr>
            </w:pPr>
            <w:r>
              <w:rPr>
                <w:b/>
                <w:noProof/>
              </w:rPr>
              <w:t>Intestatura tal-qafas finanzjarju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 xml:space="preserve">pluriennali 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Numru 2</w:t>
            </w:r>
          </w:p>
        </w:tc>
        <w:tc>
          <w:tcPr>
            <w:tcW w:w="7817" w:type="dxa"/>
            <w:vAlign w:val="center"/>
          </w:tcPr>
          <w:p>
            <w:pPr>
              <w:spacing w:before="60" w:after="60"/>
              <w:rPr>
                <w:noProof/>
                <w:sz w:val="22"/>
              </w:rPr>
            </w:pPr>
            <w:r>
              <w:t>L-Artikolu 11 06 64 – l-Aġenzija Ewropea għall-Kontroll tas-Sajd</w:t>
            </w:r>
          </w:p>
        </w:tc>
      </w:tr>
    </w:tbl>
    <w:p>
      <w:pPr>
        <w:rPr>
          <w:noProof/>
          <w:sz w:val="16"/>
        </w:rPr>
      </w:pPr>
    </w:p>
    <w:tbl>
      <w:tblPr>
        <w:tblW w:w="13679" w:type="dxa"/>
        <w:jc w:val="center"/>
        <w:tblInd w:w="-1726" w:type="dxa"/>
        <w:tblLook w:val="04A0" w:firstRow="1" w:lastRow="0" w:firstColumn="1" w:lastColumn="0" w:noHBand="0" w:noVBand="1"/>
      </w:tblPr>
      <w:tblGrid>
        <w:gridCol w:w="4299"/>
        <w:gridCol w:w="1640"/>
        <w:gridCol w:w="960"/>
        <w:gridCol w:w="1466"/>
        <w:gridCol w:w="1366"/>
        <w:gridCol w:w="1416"/>
        <w:gridCol w:w="1316"/>
        <w:gridCol w:w="1216"/>
      </w:tblGrid>
      <w:tr>
        <w:trPr>
          <w:trHeight w:val="420"/>
          <w:jc w:val="center"/>
        </w:trPr>
        <w:tc>
          <w:tcPr>
            <w:tcW w:w="6899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noProof/>
                <w:color w:val="000000"/>
                <w:sz w:val="22"/>
              </w:rPr>
            </w:pPr>
            <w:r>
              <w:rPr>
                <w:noProof/>
                <w:color w:val="000000"/>
                <w:sz w:val="22"/>
              </w:rPr>
              <w:t>L-Aġenzija Ewropea għall-Kontroll tas-Sajd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Sena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Sena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Sena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Sena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>TOTAL</w:t>
            </w:r>
            <w:r>
              <w:rPr>
                <w:noProof/>
                <w:color w:val="000000"/>
                <w:sz w:val="16"/>
              </w:rPr>
              <w:t> </w:t>
            </w:r>
          </w:p>
        </w:tc>
      </w:tr>
      <w:tr>
        <w:trPr>
          <w:trHeight w:val="300"/>
          <w:jc w:val="center"/>
        </w:trPr>
        <w:tc>
          <w:tcPr>
            <w:tcW w:w="689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>
            <w:pPr>
              <w:spacing w:before="0" w:after="0"/>
              <w:jc w:val="left"/>
              <w:rPr>
                <w:rFonts w:eastAsia="Times New Roman"/>
                <w:noProof/>
                <w:color w:val="000000"/>
                <w:sz w:val="22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before="0" w:after="0"/>
              <w:jc w:val="center"/>
              <w:rPr>
                <w:rFonts w:ascii="Calibri" w:eastAsia="Times New Roman" w:hAnsi="Calibri"/>
                <w:noProof/>
                <w:color w:val="000000"/>
                <w:sz w:val="22"/>
              </w:rPr>
            </w:pPr>
            <w:r>
              <w:rPr>
                <w:rFonts w:ascii="Calibri" w:hAnsi="Calibri"/>
                <w:noProof/>
                <w:color w:val="000000"/>
                <w:sz w:val="22"/>
              </w:rPr>
              <w:t>l-2017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before="0" w:after="0"/>
              <w:jc w:val="center"/>
              <w:rPr>
                <w:rFonts w:ascii="Calibri" w:eastAsia="Times New Roman" w:hAnsi="Calibri"/>
                <w:noProof/>
                <w:color w:val="000000"/>
                <w:sz w:val="22"/>
              </w:rPr>
            </w:pPr>
            <w:r>
              <w:rPr>
                <w:rFonts w:ascii="Calibri" w:hAnsi="Calibri"/>
                <w:noProof/>
                <w:color w:val="000000"/>
                <w:sz w:val="22"/>
              </w:rPr>
              <w:t>l-2018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before="0" w:after="0"/>
              <w:jc w:val="center"/>
              <w:rPr>
                <w:rFonts w:ascii="Calibri" w:eastAsia="Times New Roman" w:hAnsi="Calibri"/>
                <w:noProof/>
                <w:color w:val="000000"/>
                <w:sz w:val="22"/>
              </w:rPr>
            </w:pPr>
            <w:r>
              <w:rPr>
                <w:rFonts w:ascii="Calibri" w:hAnsi="Calibri"/>
                <w:noProof/>
                <w:color w:val="000000"/>
                <w:sz w:val="22"/>
              </w:rPr>
              <w:t>l-2019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before="0" w:after="0"/>
              <w:jc w:val="center"/>
              <w:rPr>
                <w:rFonts w:ascii="Calibri" w:eastAsia="Times New Roman" w:hAnsi="Calibri"/>
                <w:noProof/>
                <w:color w:val="000000"/>
                <w:sz w:val="22"/>
              </w:rPr>
            </w:pPr>
            <w:r>
              <w:rPr>
                <w:rFonts w:ascii="Calibri" w:hAnsi="Calibri"/>
                <w:noProof/>
                <w:color w:val="000000"/>
                <w:sz w:val="22"/>
              </w:rPr>
              <w:t>l-2020</w:t>
            </w: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>
            <w:pPr>
              <w:spacing w:before="0" w:after="0"/>
              <w:jc w:val="left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</w:tc>
      </w:tr>
      <w:tr>
        <w:trPr>
          <w:trHeight w:val="300"/>
          <w:jc w:val="center"/>
        </w:trPr>
        <w:tc>
          <w:tcPr>
            <w:tcW w:w="4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Titolu 1: Nefqa fuq il-persunal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Impenji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noProof/>
                <w:color w:val="000000"/>
                <w:sz w:val="14"/>
                <w:szCs w:val="14"/>
              </w:rPr>
            </w:pPr>
            <w:r>
              <w:rPr>
                <w:noProof/>
                <w:color w:val="000000"/>
                <w:sz w:val="14"/>
              </w:rPr>
              <w:t>-1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   1,800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 1,550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  1,450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1,464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 xml:space="preserve">          6,264 </w:t>
            </w:r>
          </w:p>
        </w:tc>
      </w:tr>
      <w:tr>
        <w:trPr>
          <w:trHeight w:val="300"/>
          <w:jc w:val="center"/>
        </w:trPr>
        <w:tc>
          <w:tcPr>
            <w:tcW w:w="4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0" w:after="0"/>
              <w:jc w:val="lef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Pagamenti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noProof/>
                <w:color w:val="000000"/>
                <w:sz w:val="14"/>
                <w:szCs w:val="14"/>
              </w:rPr>
            </w:pPr>
            <w:r>
              <w:rPr>
                <w:noProof/>
                <w:color w:val="000000"/>
                <w:sz w:val="14"/>
              </w:rPr>
              <w:t>-2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   1,800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 1,550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  1,450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1,464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 xml:space="preserve">          6,264 </w:t>
            </w:r>
          </w:p>
        </w:tc>
      </w:tr>
      <w:tr>
        <w:trPr>
          <w:trHeight w:val="300"/>
          <w:jc w:val="center"/>
        </w:trPr>
        <w:tc>
          <w:tcPr>
            <w:tcW w:w="4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Titolu 2: Bini u nefqa amministrattiva oħra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Impenji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noProof/>
                <w:color w:val="000000"/>
                <w:sz w:val="14"/>
                <w:szCs w:val="14"/>
              </w:rPr>
            </w:pPr>
            <w:r>
              <w:rPr>
                <w:noProof/>
                <w:color w:val="000000"/>
                <w:sz w:val="14"/>
              </w:rPr>
              <w:t>(1a)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   0,166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 0,166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  0,166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0,166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 xml:space="preserve">          0,664 </w:t>
            </w:r>
          </w:p>
        </w:tc>
      </w:tr>
      <w:tr>
        <w:trPr>
          <w:trHeight w:val="300"/>
          <w:jc w:val="center"/>
        </w:trPr>
        <w:tc>
          <w:tcPr>
            <w:tcW w:w="4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0" w:after="0"/>
              <w:jc w:val="lef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Pagamenti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noProof/>
                <w:color w:val="000000"/>
                <w:sz w:val="14"/>
                <w:szCs w:val="14"/>
              </w:rPr>
            </w:pPr>
            <w:r>
              <w:rPr>
                <w:noProof/>
                <w:color w:val="000000"/>
                <w:sz w:val="14"/>
              </w:rPr>
              <w:t>(2a)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   0,166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 0,166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  0,166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0,166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 xml:space="preserve">          0,664 </w:t>
            </w:r>
          </w:p>
        </w:tc>
      </w:tr>
      <w:tr>
        <w:trPr>
          <w:trHeight w:val="300"/>
          <w:jc w:val="center"/>
        </w:trPr>
        <w:tc>
          <w:tcPr>
            <w:tcW w:w="4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Titolu 3: Nefqa Operazzjonali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Impenji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noProof/>
                <w:color w:val="000000"/>
                <w:sz w:val="14"/>
                <w:szCs w:val="14"/>
              </w:rPr>
            </w:pPr>
            <w:r>
              <w:rPr>
                <w:noProof/>
                <w:color w:val="000000"/>
                <w:sz w:val="14"/>
              </w:rPr>
              <w:t>(3a)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   5,930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 5,880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  5,730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5,680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 xml:space="preserve">        23,220 </w:t>
            </w:r>
          </w:p>
        </w:tc>
      </w:tr>
      <w:tr>
        <w:trPr>
          <w:trHeight w:val="300"/>
          <w:jc w:val="center"/>
        </w:trPr>
        <w:tc>
          <w:tcPr>
            <w:tcW w:w="4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0" w:after="0"/>
              <w:jc w:val="lef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Pagamenti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noProof/>
                <w:color w:val="000000"/>
                <w:sz w:val="14"/>
                <w:szCs w:val="14"/>
              </w:rPr>
            </w:pPr>
            <w:r>
              <w:rPr>
                <w:noProof/>
                <w:color w:val="000000"/>
                <w:sz w:val="14"/>
              </w:rPr>
              <w:t>(3b)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   5,930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 5,880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  5,730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            5,680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 xml:space="preserve">        23,220 </w:t>
            </w:r>
          </w:p>
        </w:tc>
      </w:tr>
      <w:tr>
        <w:trPr>
          <w:trHeight w:val="855"/>
          <w:jc w:val="center"/>
        </w:trPr>
        <w:tc>
          <w:tcPr>
            <w:tcW w:w="4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b/>
                <w:bCs/>
                <w:noProof/>
                <w:color w:val="000000"/>
                <w:sz w:val="22"/>
              </w:rPr>
            </w:pPr>
            <w:r>
              <w:rPr>
                <w:b/>
                <w:noProof/>
                <w:color w:val="000000"/>
                <w:sz w:val="22"/>
              </w:rPr>
              <w:t>TOTAL tal-approprazzjonijiet għall-EFCA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Impenji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b/>
                <w:bCs/>
                <w:noProof/>
                <w:color w:val="000000"/>
                <w:sz w:val="14"/>
                <w:szCs w:val="14"/>
              </w:rPr>
            </w:pPr>
            <w:r>
              <w:rPr>
                <w:b/>
                <w:noProof/>
                <w:color w:val="000000"/>
                <w:sz w:val="14"/>
              </w:rPr>
              <w:t>=1+1a+3a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b/>
                <w:bCs/>
                <w:noProof/>
                <w:color w:val="000000"/>
                <w:szCs w:val="24"/>
              </w:rPr>
            </w:pPr>
            <w:r>
              <w:rPr>
                <w:b/>
                <w:noProof/>
                <w:color w:val="000000"/>
              </w:rPr>
              <w:t xml:space="preserve">         7,896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b/>
                <w:bCs/>
                <w:noProof/>
                <w:color w:val="000000"/>
                <w:szCs w:val="24"/>
              </w:rPr>
            </w:pPr>
            <w:r>
              <w:rPr>
                <w:b/>
                <w:noProof/>
                <w:color w:val="000000"/>
              </w:rPr>
              <w:t xml:space="preserve">        7,596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b/>
                <w:bCs/>
                <w:noProof/>
                <w:color w:val="000000"/>
                <w:szCs w:val="24"/>
              </w:rPr>
            </w:pPr>
            <w:r>
              <w:rPr>
                <w:b/>
                <w:noProof/>
                <w:color w:val="000000"/>
              </w:rPr>
              <w:t xml:space="preserve">        7,346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b/>
                <w:bCs/>
                <w:noProof/>
                <w:color w:val="000000"/>
                <w:szCs w:val="24"/>
              </w:rPr>
            </w:pPr>
            <w:r>
              <w:rPr>
                <w:b/>
                <w:noProof/>
                <w:color w:val="000000"/>
              </w:rPr>
              <w:t xml:space="preserve">       7,310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b/>
                <w:bCs/>
                <w:noProof/>
                <w:color w:val="000000"/>
                <w:szCs w:val="24"/>
              </w:rPr>
            </w:pPr>
            <w:r>
              <w:rPr>
                <w:b/>
                <w:noProof/>
                <w:color w:val="000000"/>
              </w:rPr>
              <w:t xml:space="preserve">    30,148</w:t>
            </w:r>
          </w:p>
        </w:tc>
      </w:tr>
      <w:tr>
        <w:trPr>
          <w:trHeight w:val="300"/>
          <w:jc w:val="center"/>
        </w:trPr>
        <w:tc>
          <w:tcPr>
            <w:tcW w:w="4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>
            <w:pPr>
              <w:spacing w:before="0" w:after="0"/>
              <w:jc w:val="left"/>
              <w:rPr>
                <w:rFonts w:eastAsia="Times New Roman"/>
                <w:b/>
                <w:bCs/>
                <w:noProof/>
                <w:color w:val="000000"/>
                <w:sz w:val="22"/>
              </w:rPr>
            </w:pPr>
          </w:p>
        </w:tc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Pagamenti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b/>
                <w:bCs/>
                <w:noProof/>
                <w:color w:val="000000"/>
                <w:sz w:val="14"/>
                <w:szCs w:val="14"/>
              </w:rPr>
            </w:pPr>
            <w:r>
              <w:rPr>
                <w:b/>
                <w:noProof/>
                <w:color w:val="000000"/>
                <w:sz w:val="14"/>
              </w:rPr>
              <w:t>=2+2a</w:t>
            </w:r>
          </w:p>
        </w:tc>
        <w:tc>
          <w:tcPr>
            <w:tcW w:w="14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b/>
                <w:bCs/>
                <w:noProof/>
                <w:color w:val="000000"/>
                <w:szCs w:val="24"/>
              </w:rPr>
            </w:pPr>
            <w:r>
              <w:rPr>
                <w:b/>
                <w:noProof/>
                <w:color w:val="000000"/>
              </w:rPr>
              <w:t xml:space="preserve">         7,896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b/>
                <w:bCs/>
                <w:noProof/>
                <w:color w:val="000000"/>
                <w:szCs w:val="24"/>
              </w:rPr>
            </w:pPr>
            <w:r>
              <w:rPr>
                <w:b/>
                <w:noProof/>
                <w:color w:val="000000"/>
              </w:rPr>
              <w:t xml:space="preserve">        7,596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b/>
                <w:bCs/>
                <w:noProof/>
                <w:color w:val="000000"/>
                <w:szCs w:val="24"/>
              </w:rPr>
            </w:pPr>
            <w:r>
              <w:rPr>
                <w:b/>
                <w:noProof/>
                <w:color w:val="000000"/>
              </w:rPr>
              <w:t xml:space="preserve">        7,346</w:t>
            </w:r>
          </w:p>
        </w:tc>
        <w:tc>
          <w:tcPr>
            <w:tcW w:w="13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b/>
                <w:bCs/>
                <w:noProof/>
                <w:color w:val="000000"/>
                <w:szCs w:val="24"/>
              </w:rPr>
            </w:pPr>
            <w:r>
              <w:rPr>
                <w:b/>
                <w:noProof/>
                <w:color w:val="000000"/>
              </w:rPr>
              <w:t xml:space="preserve">       7,310</w:t>
            </w:r>
          </w:p>
        </w:tc>
        <w:tc>
          <w:tcPr>
            <w:tcW w:w="12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b/>
                <w:bCs/>
                <w:noProof/>
                <w:color w:val="000000"/>
                <w:szCs w:val="24"/>
              </w:rPr>
            </w:pPr>
            <w:r>
              <w:rPr>
                <w:b/>
                <w:noProof/>
                <w:color w:val="000000"/>
              </w:rPr>
              <w:t xml:space="preserve">    30,148</w:t>
            </w:r>
          </w:p>
        </w:tc>
      </w:tr>
      <w:tr>
        <w:trPr>
          <w:trHeight w:val="300"/>
          <w:jc w:val="center"/>
        </w:trPr>
        <w:tc>
          <w:tcPr>
            <w:tcW w:w="4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>
            <w:pPr>
              <w:spacing w:before="0" w:after="0"/>
              <w:jc w:val="left"/>
              <w:rPr>
                <w:rFonts w:eastAsia="Times New Roman"/>
                <w:b/>
                <w:bCs/>
                <w:noProof/>
                <w:color w:val="000000"/>
                <w:sz w:val="22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0" w:after="0"/>
              <w:jc w:val="left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b/>
                <w:bCs/>
                <w:noProof/>
                <w:color w:val="000000"/>
                <w:sz w:val="14"/>
                <w:szCs w:val="14"/>
              </w:rPr>
            </w:pPr>
            <w:r>
              <w:rPr>
                <w:b/>
                <w:noProof/>
                <w:color w:val="000000"/>
                <w:sz w:val="14"/>
              </w:rPr>
              <w:t>+3b</w:t>
            </w: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0" w:after="0"/>
              <w:jc w:val="left"/>
              <w:rPr>
                <w:rFonts w:eastAsia="Times New Roman"/>
                <w:b/>
                <w:bCs/>
                <w:noProof/>
                <w:color w:val="000000"/>
                <w:szCs w:val="24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0" w:after="0"/>
              <w:jc w:val="left"/>
              <w:rPr>
                <w:rFonts w:eastAsia="Times New Roman"/>
                <w:b/>
                <w:bCs/>
                <w:noProof/>
                <w:color w:val="000000"/>
                <w:szCs w:val="24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0" w:after="0"/>
              <w:jc w:val="left"/>
              <w:rPr>
                <w:rFonts w:eastAsia="Times New Roman"/>
                <w:b/>
                <w:bCs/>
                <w:noProof/>
                <w:color w:val="000000"/>
                <w:szCs w:val="24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0" w:after="0"/>
              <w:jc w:val="left"/>
              <w:rPr>
                <w:rFonts w:eastAsia="Times New Roman"/>
                <w:b/>
                <w:bCs/>
                <w:noProof/>
                <w:color w:val="000000"/>
                <w:szCs w:val="24"/>
              </w:rPr>
            </w:pPr>
          </w:p>
        </w:tc>
        <w:tc>
          <w:tcPr>
            <w:tcW w:w="12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before="0" w:after="0"/>
              <w:jc w:val="left"/>
              <w:rPr>
                <w:rFonts w:eastAsia="Times New Roman"/>
                <w:b/>
                <w:bCs/>
                <w:noProof/>
                <w:color w:val="000000"/>
                <w:szCs w:val="24"/>
              </w:rPr>
            </w:pPr>
          </w:p>
        </w:tc>
      </w:tr>
    </w:tbl>
    <w:p>
      <w:pPr>
        <w:rPr>
          <w:noProof/>
        </w:rPr>
      </w:pPr>
      <w:r>
        <w:rPr>
          <w:noProof/>
        </w:rPr>
        <w:br/>
      </w:r>
      <w:r>
        <w:rPr>
          <w:noProof/>
        </w:rPr>
        <w:br/>
      </w:r>
    </w:p>
    <w:p>
      <w:pPr>
        <w:rPr>
          <w:noProof/>
        </w:rPr>
      </w:pPr>
      <w:r>
        <w:rPr>
          <w:noProof/>
        </w:rPr>
        <w:br w:type="page"/>
      </w:r>
    </w:p>
    <w:tbl>
      <w:tblPr>
        <w:tblW w:w="0" w:type="auto"/>
        <w:jc w:val="center"/>
        <w:tblInd w:w="-2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4"/>
        <w:gridCol w:w="1080"/>
        <w:gridCol w:w="7817"/>
      </w:tblGrid>
      <w:tr>
        <w:trPr>
          <w:jc w:val="center"/>
        </w:trPr>
        <w:tc>
          <w:tcPr>
            <w:tcW w:w="4744" w:type="dxa"/>
            <w:shd w:val="thinDiagStripe" w:color="C0C0C0" w:fill="auto"/>
            <w:vAlign w:val="center"/>
          </w:tcPr>
          <w:p>
            <w:pPr>
              <w:spacing w:before="60" w:after="60"/>
              <w:jc w:val="center"/>
              <w:rPr>
                <w:b/>
                <w:noProof/>
                <w:sz w:val="22"/>
              </w:rPr>
            </w:pPr>
            <w:r>
              <w:rPr>
                <w:noProof/>
              </w:rPr>
              <w:br w:type="page"/>
            </w:r>
            <w:r>
              <w:rPr>
                <w:b/>
                <w:noProof/>
              </w:rPr>
              <w:t>Intestatura tal-qafas finanzjarju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 xml:space="preserve">pluriennali </w:t>
            </w:r>
          </w:p>
        </w:tc>
        <w:tc>
          <w:tcPr>
            <w:tcW w:w="1080" w:type="dxa"/>
            <w:shd w:val="thinDiagStripe" w:color="C0C0C0" w:fill="auto"/>
            <w:vAlign w:val="center"/>
          </w:tcPr>
          <w:p>
            <w:pPr>
              <w:spacing w:before="60" w:after="60"/>
              <w:jc w:val="center"/>
              <w:rPr>
                <w:noProof/>
                <w:sz w:val="22"/>
              </w:rPr>
            </w:pPr>
            <w:r>
              <w:rPr>
                <w:b/>
                <w:noProof/>
                <w:sz w:val="22"/>
              </w:rPr>
              <w:t>5</w:t>
            </w:r>
          </w:p>
        </w:tc>
        <w:tc>
          <w:tcPr>
            <w:tcW w:w="7817" w:type="dxa"/>
            <w:vAlign w:val="center"/>
          </w:tcPr>
          <w:p>
            <w:pPr>
              <w:spacing w:before="60" w:after="60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"Nefqa amministrattiva"</w:t>
            </w:r>
          </w:p>
        </w:tc>
      </w:tr>
    </w:tbl>
    <w:p>
      <w:pPr>
        <w:jc w:val="right"/>
        <w:rPr>
          <w:noProof/>
          <w:sz w:val="20"/>
        </w:rPr>
      </w:pPr>
      <w:r>
        <w:rPr>
          <w:noProof/>
          <w:sz w:val="20"/>
        </w:rPr>
        <w:t>EUR miljun (sa tliet punti deċimali)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560"/>
        <w:gridCol w:w="534"/>
        <w:gridCol w:w="868"/>
        <w:gridCol w:w="868"/>
        <w:gridCol w:w="868"/>
        <w:gridCol w:w="868"/>
        <w:gridCol w:w="868"/>
        <w:gridCol w:w="868"/>
        <w:gridCol w:w="868"/>
        <w:gridCol w:w="1777"/>
      </w:tblGrid>
      <w:tr>
        <w:tc>
          <w:tcPr>
            <w:tcW w:w="3960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noProof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>
            <w:pPr>
              <w:rPr>
                <w:noProof/>
                <w:sz w:val="20"/>
              </w:rPr>
            </w:pPr>
          </w:p>
        </w:tc>
        <w:tc>
          <w:tcPr>
            <w:tcW w:w="534" w:type="dxa"/>
            <w:tcBorders>
              <w:top w:val="nil"/>
              <w:left w:val="nil"/>
            </w:tcBorders>
          </w:tcPr>
          <w:p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l-2017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l-2018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l-2019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l-2020</w:t>
            </w:r>
          </w:p>
        </w:tc>
        <w:tc>
          <w:tcPr>
            <w:tcW w:w="2604" w:type="dxa"/>
            <w:gridSpan w:val="3"/>
            <w:vAlign w:val="center"/>
          </w:tcPr>
          <w:p>
            <w:pPr>
              <w:jc w:val="center"/>
              <w:rPr>
                <w:b/>
                <w:noProof/>
                <w:sz w:val="18"/>
              </w:rPr>
            </w:pPr>
            <w:r>
              <w:rPr>
                <w:noProof/>
                <w:sz w:val="18"/>
              </w:rPr>
              <w:t xml:space="preserve">Daħħal snin skont il-bżonn biex turi t-tul tal-impatt (ara l-punt 1.6) 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TOTAL</w:t>
            </w:r>
          </w:p>
        </w:tc>
      </w:tr>
      <w:tr>
        <w:trPr>
          <w:gridAfter w:val="10"/>
          <w:wAfter w:w="9947" w:type="dxa"/>
        </w:trPr>
        <w:tc>
          <w:tcPr>
            <w:tcW w:w="3960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Id-DĠ: MARE</w:t>
            </w:r>
          </w:p>
        </w:tc>
      </w:tr>
      <w:tr>
        <w:trPr>
          <w:trHeight w:val="313"/>
        </w:trPr>
        <w:tc>
          <w:tcPr>
            <w:tcW w:w="6054" w:type="dxa"/>
            <w:gridSpan w:val="3"/>
            <w:vAlign w:val="center"/>
          </w:tcPr>
          <w:p>
            <w:pPr>
              <w:spacing w:before="20" w:after="20"/>
              <w:rPr>
                <w:noProof/>
                <w:sz w:val="22"/>
              </w:rPr>
            </w:pPr>
            <w:r>
              <w:rPr>
                <w:noProof/>
                <w:sz w:val="22"/>
              </w:rPr>
              <w:sym w:font="Wingdings" w:char="F09F"/>
            </w:r>
            <w:r>
              <w:rPr>
                <w:noProof/>
                <w:sz w:val="22"/>
              </w:rPr>
              <w:t xml:space="preserve"> Riżorsi umani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0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0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0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0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0</w:t>
            </w:r>
          </w:p>
        </w:tc>
      </w:tr>
      <w:tr>
        <w:trPr>
          <w:trHeight w:val="351"/>
        </w:trPr>
        <w:tc>
          <w:tcPr>
            <w:tcW w:w="6054" w:type="dxa"/>
            <w:gridSpan w:val="3"/>
            <w:vAlign w:val="center"/>
          </w:tcPr>
          <w:p>
            <w:pPr>
              <w:spacing w:before="20" w:after="20"/>
              <w:rPr>
                <w:noProof/>
                <w:sz w:val="22"/>
              </w:rPr>
            </w:pPr>
            <w:r>
              <w:rPr>
                <w:noProof/>
                <w:sz w:val="22"/>
              </w:rPr>
              <w:sym w:font="Wingdings" w:char="F09F"/>
            </w:r>
            <w:r>
              <w:rPr>
                <w:noProof/>
                <w:sz w:val="22"/>
              </w:rPr>
              <w:t xml:space="preserve"> Nefqa amministrattiva oħra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0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0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0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0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0</w:t>
            </w:r>
          </w:p>
        </w:tc>
      </w:tr>
      <w:tr>
        <w:tc>
          <w:tcPr>
            <w:tcW w:w="3960" w:type="dxa"/>
            <w:vAlign w:val="center"/>
          </w:tcPr>
          <w:p>
            <w:pPr>
              <w:jc w:val="center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TOTAL għad-DĠ MARE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rPr>
                <w:noProof/>
                <w:sz w:val="14"/>
              </w:rPr>
            </w:pPr>
            <w:r>
              <w:rPr>
                <w:noProof/>
                <w:sz w:val="18"/>
              </w:rPr>
              <w:t xml:space="preserve">Approprjazzjonijiet </w:t>
            </w: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0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0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0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0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0</w:t>
            </w:r>
          </w:p>
        </w:tc>
      </w:tr>
    </w:tbl>
    <w:p>
      <w:pPr>
        <w:rPr>
          <w:noProof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2094"/>
        <w:gridCol w:w="868"/>
        <w:gridCol w:w="868"/>
        <w:gridCol w:w="868"/>
        <w:gridCol w:w="868"/>
        <w:gridCol w:w="868"/>
        <w:gridCol w:w="868"/>
        <w:gridCol w:w="868"/>
        <w:gridCol w:w="1777"/>
      </w:tblGrid>
      <w:tr>
        <w:tc>
          <w:tcPr>
            <w:tcW w:w="3960" w:type="dxa"/>
            <w:shd w:val="thinDiagStripe" w:color="C0C0C0" w:fill="auto"/>
            <w:vAlign w:val="center"/>
          </w:tcPr>
          <w:p>
            <w:pPr>
              <w:jc w:val="center"/>
              <w:rPr>
                <w:b/>
                <w:noProof/>
                <w:sz w:val="22"/>
              </w:rPr>
            </w:pPr>
            <w:r>
              <w:rPr>
                <w:b/>
                <w:noProof/>
              </w:rPr>
              <w:t>TOTAL tal-approprazzjonijiet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>taħt l-INTESTATURA 5</w:t>
            </w:r>
            <w:r>
              <w:rPr>
                <w:noProof/>
              </w:rPr>
              <w:br/>
            </w:r>
            <w:r>
              <w:rPr>
                <w:noProof/>
                <w:sz w:val="22"/>
              </w:rPr>
              <w:t>tal-qafas finanzjarju pluriennali</w:t>
            </w:r>
            <w:r>
              <w:rPr>
                <w:b/>
                <w:noProof/>
                <w:sz w:val="22"/>
              </w:rPr>
              <w:t xml:space="preserve"> </w:t>
            </w:r>
          </w:p>
        </w:tc>
        <w:tc>
          <w:tcPr>
            <w:tcW w:w="2094" w:type="dxa"/>
            <w:vAlign w:val="center"/>
          </w:tcPr>
          <w:p>
            <w:pPr>
              <w:spacing w:before="40" w:after="40"/>
              <w:rPr>
                <w:noProof/>
                <w:sz w:val="22"/>
              </w:rPr>
            </w:pPr>
            <w:r>
              <w:rPr>
                <w:noProof/>
                <w:sz w:val="18"/>
              </w:rPr>
              <w:t>(Total tal-impenji = Total tal-pagamenti)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0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0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0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0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0</w:t>
            </w:r>
          </w:p>
        </w:tc>
      </w:tr>
    </w:tbl>
    <w:p>
      <w:pPr>
        <w:jc w:val="right"/>
        <w:rPr>
          <w:noProof/>
          <w:sz w:val="20"/>
        </w:rPr>
      </w:pPr>
      <w:r>
        <w:rPr>
          <w:noProof/>
          <w:sz w:val="20"/>
        </w:rPr>
        <w:t>EUR miljun (sa tliet punti deċimali)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560"/>
        <w:gridCol w:w="534"/>
        <w:gridCol w:w="868"/>
        <w:gridCol w:w="868"/>
        <w:gridCol w:w="868"/>
        <w:gridCol w:w="868"/>
        <w:gridCol w:w="868"/>
        <w:gridCol w:w="868"/>
        <w:gridCol w:w="868"/>
        <w:gridCol w:w="1777"/>
      </w:tblGrid>
      <w:tr>
        <w:tc>
          <w:tcPr>
            <w:tcW w:w="3960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noProof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>
            <w:pPr>
              <w:rPr>
                <w:noProof/>
                <w:sz w:val="20"/>
              </w:rPr>
            </w:pPr>
          </w:p>
        </w:tc>
        <w:tc>
          <w:tcPr>
            <w:tcW w:w="534" w:type="dxa"/>
            <w:tcBorders>
              <w:top w:val="nil"/>
              <w:left w:val="nil"/>
            </w:tcBorders>
          </w:tcPr>
          <w:p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l-2017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l-2018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l-2019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l-2020</w:t>
            </w:r>
          </w:p>
        </w:tc>
        <w:tc>
          <w:tcPr>
            <w:tcW w:w="2604" w:type="dxa"/>
            <w:gridSpan w:val="3"/>
            <w:vAlign w:val="center"/>
          </w:tcPr>
          <w:p>
            <w:pPr>
              <w:jc w:val="center"/>
              <w:rPr>
                <w:b/>
                <w:noProof/>
                <w:sz w:val="18"/>
              </w:rPr>
            </w:pPr>
            <w:r>
              <w:rPr>
                <w:noProof/>
                <w:sz w:val="18"/>
              </w:rPr>
              <w:t>Daħħal snin skont il-bżonn biex turi t-tul tal-impatt (ara l-punt 1.6)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TOTAL</w:t>
            </w:r>
          </w:p>
        </w:tc>
      </w:tr>
      <w:tr>
        <w:tc>
          <w:tcPr>
            <w:tcW w:w="3960" w:type="dxa"/>
            <w:vMerge w:val="restart"/>
            <w:shd w:val="clear" w:color="auto" w:fill="C0C0C0"/>
            <w:vAlign w:val="center"/>
          </w:tcPr>
          <w:p>
            <w:pPr>
              <w:jc w:val="center"/>
              <w:rPr>
                <w:b/>
                <w:noProof/>
                <w:sz w:val="22"/>
              </w:rPr>
            </w:pPr>
            <w:r>
              <w:rPr>
                <w:b/>
                <w:noProof/>
              </w:rPr>
              <w:t>TOTAL tal-approprazzjonijiet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>taħt l-INTESTATURI 1 sa 5</w:t>
            </w:r>
            <w:r>
              <w:rPr>
                <w:noProof/>
              </w:rPr>
              <w:br/>
            </w:r>
            <w:r>
              <w:rPr>
                <w:noProof/>
                <w:sz w:val="22"/>
              </w:rPr>
              <w:t>tal-qafas finanzjarju pluriennali</w:t>
            </w:r>
            <w:r>
              <w:rPr>
                <w:b/>
                <w:noProof/>
                <w:sz w:val="22"/>
              </w:rPr>
              <w:t xml:space="preserve"> 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rPr>
                <w:noProof/>
                <w:sz w:val="14"/>
              </w:rPr>
            </w:pPr>
            <w:r>
              <w:rPr>
                <w:noProof/>
                <w:sz w:val="18"/>
              </w:rPr>
              <w:t>Impenji</w:t>
            </w:r>
          </w:p>
        </w:tc>
        <w:tc>
          <w:tcPr>
            <w:tcW w:w="868" w:type="dxa"/>
          </w:tcPr>
          <w:p>
            <w:pPr>
              <w:rPr>
                <w:noProof/>
              </w:rPr>
            </w:pPr>
            <w:r>
              <w:rPr>
                <w:noProof/>
              </w:rPr>
              <w:t xml:space="preserve">7,896 </w:t>
            </w:r>
          </w:p>
        </w:tc>
        <w:tc>
          <w:tcPr>
            <w:tcW w:w="868" w:type="dxa"/>
          </w:tcPr>
          <w:p>
            <w:pPr>
              <w:rPr>
                <w:noProof/>
              </w:rPr>
            </w:pPr>
            <w:r>
              <w:rPr>
                <w:noProof/>
              </w:rPr>
              <w:t xml:space="preserve">7,596 </w:t>
            </w:r>
          </w:p>
        </w:tc>
        <w:tc>
          <w:tcPr>
            <w:tcW w:w="868" w:type="dxa"/>
          </w:tcPr>
          <w:p>
            <w:pPr>
              <w:rPr>
                <w:noProof/>
              </w:rPr>
            </w:pPr>
            <w:r>
              <w:rPr>
                <w:noProof/>
              </w:rPr>
              <w:t xml:space="preserve">7,346 </w:t>
            </w:r>
          </w:p>
        </w:tc>
        <w:tc>
          <w:tcPr>
            <w:tcW w:w="868" w:type="dxa"/>
          </w:tcPr>
          <w:p>
            <w:pPr>
              <w:rPr>
                <w:noProof/>
              </w:rPr>
            </w:pPr>
            <w:r>
              <w:rPr>
                <w:noProof/>
              </w:rPr>
              <w:t xml:space="preserve">7,310 </w:t>
            </w: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>
            <w:pPr>
              <w:spacing w:after="0"/>
              <w:jc w:val="right"/>
              <w:rPr>
                <w:b/>
                <w:bCs/>
                <w:noProof/>
                <w:color w:val="000000"/>
                <w:sz w:val="20"/>
              </w:rPr>
            </w:pPr>
            <w:r>
              <w:rPr>
                <w:b/>
                <w:noProof/>
                <w:color w:val="000000"/>
                <w:sz w:val="20"/>
              </w:rPr>
              <w:t>30,148</w:t>
            </w:r>
          </w:p>
        </w:tc>
      </w:tr>
      <w:tr>
        <w:tc>
          <w:tcPr>
            <w:tcW w:w="3960" w:type="dxa"/>
            <w:vMerge/>
            <w:shd w:val="clear" w:color="auto" w:fill="C0C0C0"/>
          </w:tcPr>
          <w:p>
            <w:pPr>
              <w:rPr>
                <w:noProof/>
                <w:sz w:val="20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rPr>
                <w:noProof/>
                <w:sz w:val="14"/>
              </w:rPr>
            </w:pPr>
            <w:r>
              <w:rPr>
                <w:noProof/>
                <w:sz w:val="18"/>
              </w:rPr>
              <w:t>Pagamenti</w:t>
            </w:r>
          </w:p>
        </w:tc>
        <w:tc>
          <w:tcPr>
            <w:tcW w:w="868" w:type="dxa"/>
          </w:tcPr>
          <w:p>
            <w:pPr>
              <w:rPr>
                <w:noProof/>
              </w:rPr>
            </w:pPr>
            <w:r>
              <w:rPr>
                <w:noProof/>
              </w:rPr>
              <w:t xml:space="preserve">7,896 </w:t>
            </w:r>
          </w:p>
        </w:tc>
        <w:tc>
          <w:tcPr>
            <w:tcW w:w="868" w:type="dxa"/>
          </w:tcPr>
          <w:p>
            <w:pPr>
              <w:rPr>
                <w:noProof/>
              </w:rPr>
            </w:pPr>
            <w:r>
              <w:rPr>
                <w:noProof/>
              </w:rPr>
              <w:t xml:space="preserve">7,596 </w:t>
            </w:r>
          </w:p>
        </w:tc>
        <w:tc>
          <w:tcPr>
            <w:tcW w:w="868" w:type="dxa"/>
          </w:tcPr>
          <w:p>
            <w:pPr>
              <w:rPr>
                <w:noProof/>
              </w:rPr>
            </w:pPr>
            <w:r>
              <w:rPr>
                <w:noProof/>
              </w:rPr>
              <w:t xml:space="preserve">7,346 </w:t>
            </w:r>
          </w:p>
        </w:tc>
        <w:tc>
          <w:tcPr>
            <w:tcW w:w="868" w:type="dxa"/>
          </w:tcPr>
          <w:p>
            <w:pPr>
              <w:rPr>
                <w:noProof/>
              </w:rPr>
            </w:pPr>
            <w:r>
              <w:rPr>
                <w:noProof/>
              </w:rPr>
              <w:t xml:space="preserve">7,310 </w:t>
            </w: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>
            <w:pPr>
              <w:spacing w:after="0"/>
              <w:jc w:val="right"/>
              <w:rPr>
                <w:b/>
                <w:bCs/>
                <w:noProof/>
                <w:color w:val="000000"/>
                <w:sz w:val="20"/>
              </w:rPr>
            </w:pPr>
            <w:r>
              <w:rPr>
                <w:b/>
                <w:noProof/>
                <w:color w:val="000000"/>
                <w:sz w:val="20"/>
              </w:rPr>
              <w:t xml:space="preserve">30,148 </w:t>
            </w:r>
          </w:p>
        </w:tc>
      </w:tr>
    </w:tbl>
    <w:p>
      <w:pPr>
        <w:rPr>
          <w:noProof/>
        </w:rPr>
        <w:sectPr>
          <w:headerReference w:type="default" r:id="rId13"/>
          <w:footerReference w:type="default" r:id="rId14"/>
          <w:headerReference w:type="first" r:id="rId15"/>
          <w:footerReference w:type="first" r:id="rId16"/>
          <w:pgSz w:w="16840" w:h="11907" w:orient="landscape" w:code="9"/>
          <w:pgMar w:top="1134" w:right="1418" w:bottom="1134" w:left="1418" w:header="709" w:footer="709" w:gutter="0"/>
          <w:cols w:space="708"/>
          <w:docGrid w:linePitch="360"/>
        </w:sectPr>
      </w:pPr>
    </w:p>
    <w:p>
      <w:pPr>
        <w:pStyle w:val="ManualHeading3"/>
        <w:rPr>
          <w:noProof/>
          <w:szCs w:val="24"/>
        </w:rPr>
      </w:pPr>
      <w:r>
        <w:t>3.2.2.</w:t>
      </w:r>
      <w:r>
        <w:tab/>
      </w:r>
      <w:r>
        <w:rPr>
          <w:noProof/>
        </w:rPr>
        <w:t>L-impatt stmat fuq approprjazzjonijiet operazzjonali (TITOLU III)</w:t>
      </w:r>
    </w:p>
    <w:p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 xml:space="preserve">Il-proposta/inizjattiva ma għandhiex bżonn tuża approprjazzjonijiet operazzjonali </w:t>
      </w:r>
    </w:p>
    <w:p>
      <w:pPr>
        <w:pStyle w:val="ListDash1"/>
        <w:rPr>
          <w:noProof/>
        </w:rPr>
      </w:pPr>
      <w:r>
        <w:rPr>
          <w:noProof/>
        </w:rPr>
        <w:sym w:font="Wingdings" w:char="F0FE"/>
      </w:r>
      <w:r>
        <w:rPr>
          <w:noProof/>
        </w:rPr>
        <w:tab/>
        <w:t>Il-proposta/inizjattiva għandha bżonn tuża approprjazzjonijiet operazzjonali, kif spjegat hawn taħt:</w:t>
      </w:r>
    </w:p>
    <w:p>
      <w:pPr>
        <w:jc w:val="right"/>
        <w:rPr>
          <w:noProof/>
          <w:sz w:val="20"/>
        </w:rPr>
      </w:pPr>
      <w:r>
        <w:rPr>
          <w:noProof/>
          <w:sz w:val="20"/>
        </w:rPr>
        <w:t>Approprjazzjonijiet għall-impenji f’EUR miljun (sa tliet punti deċimali)</w:t>
      </w:r>
    </w:p>
    <w:tbl>
      <w:tblPr>
        <w:tblW w:w="13950" w:type="dxa"/>
        <w:jc w:val="center"/>
        <w:tblInd w:w="93" w:type="dxa"/>
        <w:tblLook w:val="04A0" w:firstRow="1" w:lastRow="0" w:firstColumn="1" w:lastColumn="0" w:noHBand="0" w:noVBand="1"/>
      </w:tblPr>
      <w:tblGrid>
        <w:gridCol w:w="2319"/>
        <w:gridCol w:w="2820"/>
        <w:gridCol w:w="1251"/>
        <w:gridCol w:w="666"/>
        <w:gridCol w:w="711"/>
        <w:gridCol w:w="666"/>
        <w:gridCol w:w="711"/>
        <w:gridCol w:w="666"/>
        <w:gridCol w:w="803"/>
        <w:gridCol w:w="574"/>
        <w:gridCol w:w="711"/>
        <w:gridCol w:w="981"/>
        <w:gridCol w:w="1071"/>
      </w:tblGrid>
      <w:tr>
        <w:trPr>
          <w:trHeight w:val="300"/>
          <w:jc w:val="center"/>
        </w:trPr>
        <w:tc>
          <w:tcPr>
            <w:tcW w:w="231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Semmi l-għanijiet u r-riżultati 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 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 </w:t>
            </w:r>
          </w:p>
        </w:tc>
        <w:tc>
          <w:tcPr>
            <w:tcW w:w="137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Sena</w:t>
            </w:r>
          </w:p>
        </w:tc>
        <w:tc>
          <w:tcPr>
            <w:tcW w:w="137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Sena</w:t>
            </w:r>
          </w:p>
        </w:tc>
        <w:tc>
          <w:tcPr>
            <w:tcW w:w="146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Sena</w:t>
            </w:r>
          </w:p>
        </w:tc>
        <w:tc>
          <w:tcPr>
            <w:tcW w:w="128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Sena</w:t>
            </w:r>
          </w:p>
        </w:tc>
        <w:tc>
          <w:tcPr>
            <w:tcW w:w="205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TOTAL</w:t>
            </w:r>
          </w:p>
        </w:tc>
      </w:tr>
      <w:tr>
        <w:trPr>
          <w:trHeight w:val="315"/>
          <w:jc w:val="center"/>
        </w:trPr>
        <w:tc>
          <w:tcPr>
            <w:tcW w:w="23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 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l-2017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l-2018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l-2019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l-2020</w:t>
            </w:r>
          </w:p>
        </w:tc>
        <w:tc>
          <w:tcPr>
            <w:tcW w:w="205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>
            <w:pPr>
              <w:spacing w:after="0"/>
              <w:jc w:val="left"/>
              <w:rPr>
                <w:b/>
                <w:bCs/>
                <w:noProof/>
                <w:color w:val="000000"/>
                <w:sz w:val="18"/>
                <w:szCs w:val="18"/>
              </w:rPr>
            </w:pPr>
          </w:p>
        </w:tc>
      </w:tr>
      <w:tr>
        <w:trPr>
          <w:trHeight w:val="315"/>
          <w:jc w:val="center"/>
        </w:trPr>
        <w:tc>
          <w:tcPr>
            <w:tcW w:w="23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rFonts w:ascii="Wingdings" w:hAnsi="Wingdings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RIŻULTATI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 </w:t>
            </w:r>
          </w:p>
        </w:tc>
      </w:tr>
      <w:tr>
        <w:trPr>
          <w:trHeight w:val="345"/>
          <w:jc w:val="center"/>
        </w:trPr>
        <w:tc>
          <w:tcPr>
            <w:tcW w:w="2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left"/>
              <w:rPr>
                <w:rFonts w:ascii="Calibri" w:hAnsi="Calibri"/>
                <w:noProof/>
                <w:color w:val="000000"/>
                <w:sz w:val="22"/>
              </w:rPr>
            </w:pPr>
            <w:r>
              <w:rPr>
                <w:rFonts w:ascii="Calibri" w:hAnsi="Calibri"/>
                <w:noProof/>
                <w:color w:val="000000"/>
                <w:sz w:val="22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/>
              <w:jc w:val="left"/>
              <w:rPr>
                <w:rFonts w:ascii="Calibri" w:hAnsi="Calibri"/>
                <w:noProof/>
                <w:color w:val="000000"/>
                <w:sz w:val="22"/>
              </w:rPr>
            </w:pPr>
            <w:r>
              <w:rPr>
                <w:rFonts w:ascii="Calibri" w:hAnsi="Calibri"/>
                <w:noProof/>
                <w:color w:val="000000"/>
                <w:sz w:val="22"/>
              </w:rPr>
              <w:t>Tip[1]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Spiża medja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dashed" w:sz="8" w:space="0" w:color="auto"/>
            </w:tcBorders>
            <w:shd w:val="pct12" w:color="000000" w:fill="E5E5E5"/>
            <w:textDirection w:val="btLr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Nru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12" w:color="000000" w:fill="E5E5E5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Spiża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dashed" w:sz="8" w:space="0" w:color="auto"/>
            </w:tcBorders>
            <w:shd w:val="pct12" w:color="000000" w:fill="E5E5E5"/>
            <w:textDirection w:val="btLr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Nru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12" w:color="000000" w:fill="E5E5E5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Spiża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dashed" w:sz="8" w:space="0" w:color="auto"/>
            </w:tcBorders>
            <w:shd w:val="pct12" w:color="000000" w:fill="E5E5E5"/>
            <w:textDirection w:val="btLr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Nru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12" w:color="000000" w:fill="E5E5E5"/>
            <w:vAlign w:val="center"/>
            <w:hideMark/>
          </w:tcPr>
          <w:p>
            <w:pPr>
              <w:spacing w:after="0"/>
              <w:jc w:val="left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Spiża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dashed" w:sz="8" w:space="0" w:color="auto"/>
            </w:tcBorders>
            <w:shd w:val="pct12" w:color="000000" w:fill="E5E5E5"/>
            <w:textDirection w:val="btLr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Nru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12" w:color="000000" w:fill="E5E5E5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Spiża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dashed" w:sz="8" w:space="0" w:color="auto"/>
            </w:tcBorders>
            <w:shd w:val="pct12" w:color="000000" w:fill="E5E5E5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Nru totali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12" w:color="000000" w:fill="E5E5E5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Spiża totali</w:t>
            </w:r>
          </w:p>
        </w:tc>
      </w:tr>
      <w:tr>
        <w:trPr>
          <w:trHeight w:val="675"/>
          <w:jc w:val="center"/>
        </w:trPr>
        <w:tc>
          <w:tcPr>
            <w:tcW w:w="13950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>
            <w:pPr>
              <w:spacing w:after="0"/>
              <w:jc w:val="center"/>
              <w:rPr>
                <w:rFonts w:ascii="Calibri" w:hAnsi="Calibri"/>
                <w:noProof/>
                <w:color w:val="000000"/>
                <w:sz w:val="22"/>
              </w:rPr>
            </w:pPr>
            <w:r>
              <w:rPr>
                <w:rFonts w:ascii="Calibri" w:hAnsi="Calibri"/>
                <w:noProof/>
                <w:color w:val="000000"/>
                <w:sz w:val="22"/>
              </w:rPr>
              <w:t>GĦAN SPEĊIFIKU Nru 3</w:t>
            </w:r>
            <w:r>
              <w:rPr>
                <w:noProof/>
              </w:rPr>
              <w:br/>
            </w:r>
            <w:r>
              <w:rPr>
                <w:rFonts w:ascii="Calibri" w:hAnsi="Calibri"/>
                <w:noProof/>
                <w:color w:val="000000"/>
                <w:sz w:val="22"/>
              </w:rPr>
              <w:t>Inħeġġu l-implimentazzjoni tal-Politika Komuni tas-Sajd billi nitħabtu aktar kontra s-sajd IUU, sistema effettiva tal-Unjoni għall-kontroll tas-sajd, u nodu xieraq għall-qsim tad-dejta ]</w:t>
            </w:r>
          </w:p>
        </w:tc>
      </w:tr>
      <w:tr>
        <w:trPr>
          <w:trHeight w:val="660"/>
          <w:jc w:val="center"/>
        </w:trPr>
        <w:tc>
          <w:tcPr>
            <w:tcW w:w="23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</w:rPr>
              <w:t>L-għoti ta' Servizzi tas-Sorveljanza u tal-Komunikazzjoni (inklużi l-ispejjeż għall-persunal u amministrattivi)</w:t>
            </w:r>
            <w:r>
              <w:rPr>
                <w:noProof/>
              </w:rPr>
              <w:br/>
              <w:t>*Studju tal-fattibbiltà</w:t>
            </w:r>
            <w:r>
              <w:rPr>
                <w:noProof/>
              </w:rPr>
              <w:br/>
            </w:r>
            <w:r>
              <w:rPr>
                <w:noProof/>
                <w:color w:val="000000"/>
                <w:sz w:val="18"/>
              </w:rPr>
              <w:t>*It-twaqqif ta' nodu ċentrali għall-qsim tad-dejta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left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Sistemi għall-iskambju tal-informazzjoni bejn l-aġenziji (l-għadd ta’ proġetti)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 xml:space="preserve">0,025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0,050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0,050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0,050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0,050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0,200</w:t>
            </w:r>
          </w:p>
        </w:tc>
      </w:tr>
      <w:tr>
        <w:trPr>
          <w:trHeight w:val="300"/>
          <w:jc w:val="center"/>
        </w:trPr>
        <w:tc>
          <w:tcPr>
            <w:tcW w:w="2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>
            <w:pPr>
              <w:spacing w:after="0"/>
              <w:jc w:val="left"/>
              <w:rPr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left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Studju tal-Fattibbiltà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 xml:space="preserve">0,100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0,100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0,100</w:t>
            </w:r>
          </w:p>
        </w:tc>
      </w:tr>
      <w:tr>
        <w:trPr>
          <w:trHeight w:val="495"/>
          <w:jc w:val="center"/>
        </w:trPr>
        <w:tc>
          <w:tcPr>
            <w:tcW w:w="2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>
            <w:pPr>
              <w:spacing w:after="0"/>
              <w:jc w:val="left"/>
              <w:rPr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left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Nodu għall-qsim tad-dejta tal-UE (l-għadd ta’ proġetti)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 xml:space="preserve">0,040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0,050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0,200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0,100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0,050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0,400</w:t>
            </w:r>
          </w:p>
        </w:tc>
      </w:tr>
      <w:tr>
        <w:trPr>
          <w:trHeight w:val="675"/>
          <w:jc w:val="center"/>
        </w:trPr>
        <w:tc>
          <w:tcPr>
            <w:tcW w:w="23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</w:rPr>
              <w:t>Nodu għad-dejta tal-UE (inklużi l-ispejjeż għall-persunal u amministrattivi)</w:t>
            </w:r>
            <w:r>
              <w:rPr>
                <w:noProof/>
              </w:rPr>
              <w:br/>
            </w:r>
            <w:r>
              <w:rPr>
                <w:noProof/>
                <w:color w:val="000000"/>
                <w:sz w:val="18"/>
              </w:rPr>
              <w:t>*Il-ġbir, il-qsim u l-analiżi tad-dejta (CISE, MARSURV,..)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left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Id-disponibbiltà tad-Dejta mis-Satellita u mill-Osservazzjoni tad-Dinja (l-għadd ta' Settijiet tad-Dejta)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 xml:space="preserve">0,100 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5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0,500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5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0,500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5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0,500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5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0,500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20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2,000</w:t>
            </w:r>
          </w:p>
        </w:tc>
      </w:tr>
      <w:tr>
        <w:trPr>
          <w:trHeight w:val="735"/>
          <w:jc w:val="center"/>
        </w:trPr>
        <w:tc>
          <w:tcPr>
            <w:tcW w:w="2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>
            <w:pPr>
              <w:spacing w:after="0"/>
              <w:jc w:val="left"/>
              <w:rPr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left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L-għoti ta' Servizz permanenti għall-Iskambju tad-Dejta u analiżi lill-partijiet ikkonċernati rilevanti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 xml:space="preserve">0,488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0,550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0,500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0,450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0,450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1,950</w:t>
            </w:r>
          </w:p>
        </w:tc>
      </w:tr>
      <w:tr>
        <w:trPr>
          <w:trHeight w:val="765"/>
          <w:jc w:val="center"/>
        </w:trPr>
        <w:tc>
          <w:tcPr>
            <w:tcW w:w="23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</w:rPr>
              <w:t>Użu konġunt tal-assi u kapaċitajiet oħrajn (inklużi l-ispejjeż għall-persunal u amministrattivi)</w:t>
            </w:r>
            <w:r>
              <w:rPr>
                <w:noProof/>
              </w:rPr>
              <w:br/>
            </w:r>
            <w:r>
              <w:rPr>
                <w:noProof/>
                <w:color w:val="000000"/>
                <w:sz w:val="18"/>
              </w:rPr>
              <w:t>*Il-kiri ta' pjattaformi tal-ispezzjoni</w:t>
            </w:r>
            <w:r>
              <w:rPr>
                <w:noProof/>
              </w:rPr>
              <w:br/>
            </w:r>
            <w:r>
              <w:rPr>
                <w:noProof/>
                <w:color w:val="000000"/>
                <w:sz w:val="18"/>
              </w:rPr>
              <w:t>*Il-qsim ta' kapaċitajiet oħrajn</w:t>
            </w:r>
            <w:r>
              <w:rPr>
                <w:noProof/>
              </w:rPr>
              <w:br/>
            </w:r>
            <w:r>
              <w:rPr>
                <w:noProof/>
                <w:color w:val="000000"/>
                <w:sz w:val="18"/>
              </w:rPr>
              <w:t>*Missjonijiet u laqgħat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left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Id-disponibbiltà ta’ assi addizzjonali tal-ispezzjoni (il-jiem tal-kiri)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 xml:space="preserve">0,015 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275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4,000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275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4,000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275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4,000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275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4,000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1100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16,000</w:t>
            </w:r>
          </w:p>
        </w:tc>
      </w:tr>
      <w:tr>
        <w:trPr>
          <w:trHeight w:val="480"/>
          <w:jc w:val="center"/>
        </w:trPr>
        <w:tc>
          <w:tcPr>
            <w:tcW w:w="2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>
            <w:pPr>
              <w:spacing w:after="0"/>
              <w:jc w:val="left"/>
              <w:rPr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left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Aktar kapaċità tal-ispezzjoni (l-għadd ta’ missjonijiet)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 xml:space="preserve">0,008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15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0,120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15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0,120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15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0,120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15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0,120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0,480</w:t>
            </w:r>
          </w:p>
        </w:tc>
      </w:tr>
      <w:tr>
        <w:trPr>
          <w:trHeight w:val="495"/>
          <w:jc w:val="center"/>
        </w:trPr>
        <w:tc>
          <w:tcPr>
            <w:tcW w:w="2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>
            <w:pPr>
              <w:spacing w:after="0"/>
              <w:jc w:val="left"/>
              <w:rPr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left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Il-ħolqien ta' Bażijiet tad-Dejta (il-ħardwer, is-softwer, il-kapaċità kondiviża...)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 xml:space="preserve">0,063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0,100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0,050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0,050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0,050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0,250</w:t>
            </w:r>
          </w:p>
        </w:tc>
      </w:tr>
      <w:tr>
        <w:trPr>
          <w:trHeight w:val="690"/>
          <w:jc w:val="center"/>
        </w:trPr>
        <w:tc>
          <w:tcPr>
            <w:tcW w:w="23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</w:rPr>
              <w:t>Azzjonijiet li jsawru l-kapaċitajiet (inklużi l-ispejjeż għall-persunal u amministrattivi)</w:t>
            </w:r>
            <w:r>
              <w:rPr>
                <w:noProof/>
              </w:rPr>
              <w:br/>
            </w:r>
            <w:r>
              <w:rPr>
                <w:noProof/>
                <w:color w:val="000000"/>
                <w:sz w:val="18"/>
              </w:rPr>
              <w:t>*Il-manwal u l-materjal tat-taħriġ</w:t>
            </w:r>
            <w:r>
              <w:rPr>
                <w:noProof/>
              </w:rPr>
              <w:br/>
            </w:r>
            <w:r>
              <w:rPr>
                <w:noProof/>
                <w:color w:val="000000"/>
                <w:sz w:val="18"/>
              </w:rPr>
              <w:t>*Il-qsim tal-persunal ta' aġenziji oħrajn u pajjiżi terzi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left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L-elaborazzjoni ta’ linji gwida, Manwal u rakkomandazzjonijiet għall-partijiet ikkonċernati tal-Gwardja tal-Kosta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 xml:space="preserve">0,100 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0,100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0,100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0,100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0,100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4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0,400</w:t>
            </w:r>
          </w:p>
        </w:tc>
      </w:tr>
      <w:tr>
        <w:trPr>
          <w:trHeight w:val="735"/>
          <w:jc w:val="center"/>
        </w:trPr>
        <w:tc>
          <w:tcPr>
            <w:tcW w:w="2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>
            <w:pPr>
              <w:spacing w:after="0"/>
              <w:jc w:val="left"/>
              <w:rPr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left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Il-qsim tal-persunal tal-EFCA, l-Istati Membri u l-pajjiżi terzi (l-għadd ta' missjonijiet)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 xml:space="preserve">0,012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30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0,360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30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0,360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30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0,360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30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0,360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120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1,440</w:t>
            </w:r>
          </w:p>
        </w:tc>
      </w:tr>
      <w:tr>
        <w:trPr>
          <w:trHeight w:val="630"/>
          <w:jc w:val="center"/>
        </w:trPr>
        <w:tc>
          <w:tcPr>
            <w:tcW w:w="23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Subtotal għall-għan speċifiku Nru 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 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</w:rPr>
              <w:t> </w:t>
            </w:r>
          </w:p>
        </w:tc>
        <w:tc>
          <w:tcPr>
            <w:tcW w:w="6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 332 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 5,930 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 333 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 5,880 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 333 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 5,730 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 333 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 5,680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1.331 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23,220 </w:t>
            </w:r>
          </w:p>
        </w:tc>
      </w:tr>
      <w:tr>
        <w:trPr>
          <w:trHeight w:val="330"/>
          <w:jc w:val="center"/>
        </w:trPr>
        <w:tc>
          <w:tcPr>
            <w:tcW w:w="23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SPIŻA TOTALI</w:t>
            </w:r>
          </w:p>
        </w:tc>
        <w:tc>
          <w:tcPr>
            <w:tcW w:w="28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 </w:t>
            </w:r>
          </w:p>
        </w:tc>
        <w:tc>
          <w:tcPr>
            <w:tcW w:w="12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 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 332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 5,930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 333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 5,880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 333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 5,730 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 333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 5,680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1.331 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>
            <w:pPr>
              <w:spacing w:after="0"/>
              <w:jc w:val="center"/>
              <w:rPr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23,220 </w:t>
            </w:r>
          </w:p>
        </w:tc>
      </w:tr>
    </w:tbl>
    <w:p>
      <w:pPr>
        <w:jc w:val="right"/>
        <w:rPr>
          <w:noProof/>
          <w:sz w:val="20"/>
        </w:rPr>
      </w:pPr>
    </w:p>
    <w:p>
      <w:pPr>
        <w:rPr>
          <w:noProof/>
          <w:sz w:val="20"/>
        </w:rPr>
      </w:pPr>
    </w:p>
    <w:p>
      <w:pPr>
        <w:rPr>
          <w:noProof/>
        </w:rPr>
        <w:sectPr>
          <w:pgSz w:w="16840" w:h="11907" w:orient="landscape" w:code="9"/>
          <w:pgMar w:top="1134" w:right="1418" w:bottom="567" w:left="1418" w:header="709" w:footer="709" w:gutter="0"/>
          <w:cols w:space="708"/>
          <w:docGrid w:linePitch="360"/>
        </w:sectPr>
      </w:pPr>
    </w:p>
    <w:p>
      <w:pPr>
        <w:pStyle w:val="ManualHeading3"/>
        <w:rPr>
          <w:noProof/>
          <w:szCs w:val="24"/>
        </w:rPr>
      </w:pPr>
      <w:r>
        <w:t>3.2.3.</w:t>
      </w:r>
      <w:r>
        <w:tab/>
      </w:r>
      <w:r>
        <w:rPr>
          <w:noProof/>
        </w:rPr>
        <w:t xml:space="preserve">L-impatt stmat fuq ir-riżorsi umani tal-EFCA </w:t>
      </w:r>
    </w:p>
    <w:p>
      <w:pPr>
        <w:pStyle w:val="ManualHeading4"/>
        <w:rPr>
          <w:noProof/>
        </w:rPr>
      </w:pPr>
      <w:r>
        <w:t>3.2.3.1.</w:t>
      </w:r>
      <w:r>
        <w:tab/>
      </w:r>
      <w:r>
        <w:rPr>
          <w:noProof/>
        </w:rPr>
        <w:t xml:space="preserve">Sommarju </w:t>
      </w:r>
    </w:p>
    <w:p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 xml:space="preserve">Il-proposta/inizjattiva ma għandhiex bżonn tuża approprjazzjonijiet ta' natura amministrattiva </w:t>
      </w:r>
    </w:p>
    <w:p>
      <w:pPr>
        <w:pStyle w:val="ListDash1"/>
        <w:rPr>
          <w:noProof/>
        </w:rPr>
      </w:pPr>
      <w:r>
        <w:rPr>
          <w:noProof/>
        </w:rPr>
        <w:sym w:font="Wingdings" w:char="F0FE"/>
      </w:r>
      <w:r>
        <w:rPr>
          <w:noProof/>
        </w:rPr>
        <w:tab/>
        <w:t>Il-proposta/inizjattiva għandha bżonn tuża approprjazzjonijiet ta’ natura amministrattiva, kif spjegat hawn taħt:</w:t>
      </w:r>
    </w:p>
    <w:p>
      <w:pPr>
        <w:rPr>
          <w:noProof/>
          <w:sz w:val="20"/>
        </w:rPr>
      </w:pPr>
      <w:r>
        <w:rPr>
          <w:noProof/>
          <w:sz w:val="20"/>
        </w:rPr>
        <w:t>EUR miljun (sa tliet punti deċimali)</w:t>
      </w:r>
    </w:p>
    <w:p>
      <w:pPr>
        <w:rPr>
          <w:noProof/>
          <w:sz w:val="20"/>
        </w:rPr>
      </w:pPr>
    </w:p>
    <w:tbl>
      <w:tblPr>
        <w:tblW w:w="7026" w:type="dxa"/>
        <w:jc w:val="center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860"/>
        <w:gridCol w:w="861"/>
        <w:gridCol w:w="860"/>
        <w:gridCol w:w="861"/>
        <w:gridCol w:w="1017"/>
      </w:tblGrid>
      <w:tr>
        <w:trPr>
          <w:trHeight w:val="300"/>
          <w:jc w:val="center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>Sena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>Sena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>Sena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>Sena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>TOTAL</w:t>
            </w:r>
          </w:p>
        </w:tc>
      </w:tr>
      <w:tr>
        <w:trPr>
          <w:trHeight w:val="615"/>
          <w:jc w:val="center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>
            <w:pPr>
              <w:spacing w:before="0" w:after="0"/>
              <w:jc w:val="lef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>l-2017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>l-2018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>l-2019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>l-2020</w:t>
            </w:r>
          </w:p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</w:tc>
      </w:tr>
      <w:tr>
        <w:trPr>
          <w:trHeight w:val="30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Aġenti Temporanji (Gradi AD)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1,260 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1,085 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1,015 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1,025 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>4,385</w:t>
            </w:r>
          </w:p>
        </w:tc>
      </w:tr>
      <w:tr>
        <w:trPr>
          <w:trHeight w:val="30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Aġenti Temporanji (Gradi AST)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0,540 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0,465 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0,435 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0,439 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>1,879</w:t>
            </w:r>
          </w:p>
        </w:tc>
      </w:tr>
      <w:tr>
        <w:trPr>
          <w:trHeight w:val="30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Persunal kuntrattwali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>0</w:t>
            </w:r>
          </w:p>
        </w:tc>
      </w:tr>
      <w:tr>
        <w:trPr>
          <w:trHeight w:val="30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 xml:space="preserve">Persunal temporanju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1,800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1,550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1,450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noProof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</w:rPr>
              <w:t xml:space="preserve">1,464 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 xml:space="preserve">6,264 </w:t>
            </w:r>
          </w:p>
        </w:tc>
      </w:tr>
      <w:tr>
        <w:trPr>
          <w:trHeight w:val="30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>
              <w:rPr>
                <w:b/>
                <w:noProof/>
                <w:color w:val="000000"/>
                <w:sz w:val="18"/>
              </w:rPr>
              <w:t>Esperti Nazzjonali Sekondati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 xml:space="preserve">-   </w:t>
            </w:r>
          </w:p>
        </w:tc>
      </w:tr>
      <w:tr>
        <w:trPr>
          <w:trHeight w:val="30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center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>TOTAL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 xml:space="preserve">1,800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 xml:space="preserve">1,550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 xml:space="preserve">1,450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>1,464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jc w:val="right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  <w:sz w:val="20"/>
              </w:rPr>
              <w:t>6,264</w:t>
            </w:r>
          </w:p>
        </w:tc>
      </w:tr>
    </w:tbl>
    <w:p>
      <w:pPr>
        <w:rPr>
          <w:noProof/>
          <w:sz w:val="20"/>
        </w:rPr>
      </w:pPr>
      <w:r>
        <w:rPr>
          <w:noProof/>
          <w:sz w:val="20"/>
        </w:rPr>
        <w:t xml:space="preserve">Indika d-data ppjanata tar-reklutaġġ u adatta l-ammont kif xieraq (jekk ir-reklutaġġ isir f’Lulju, għandhom jitqiesu biss 50% tal-ispiża medja) u spjega fid-dettall b'anness... </w:t>
      </w:r>
    </w:p>
    <w:p>
      <w:pPr>
        <w:rPr>
          <w:noProof/>
          <w:sz w:val="20"/>
        </w:rPr>
      </w:pPr>
      <w:r>
        <w:rPr>
          <w:noProof/>
          <w:sz w:val="20"/>
        </w:rPr>
        <w:t>Skont il-listi ta’ riżerva tar-reklutaġġ li bħalissa hemm disponibbli għall-Aġenzija, u stima ta' kemm hemm bżonn żmien biex jiġu organizzati proċeduri ġodda tar-reklutaġġ, l-EFCA tistma dawn id-dati tal-bidu:</w:t>
      </w:r>
    </w:p>
    <w:p>
      <w:pPr>
        <w:rPr>
          <w:noProof/>
          <w:sz w:val="20"/>
        </w:rPr>
      </w:pPr>
      <w:r>
        <w:rPr>
          <w:noProof/>
          <w:sz w:val="20"/>
        </w:rPr>
        <w:t>•</w:t>
      </w:r>
      <w:r>
        <w:rPr>
          <w:noProof/>
        </w:rPr>
        <w:tab/>
      </w:r>
      <w:r>
        <w:rPr>
          <w:noProof/>
          <w:sz w:val="20"/>
        </w:rPr>
        <w:t>ir-reklutaġġ ta' 12 TA (9 AD u 3 AST) li jibda f'Jannar 2017.</w:t>
      </w:r>
    </w:p>
    <w:p>
      <w:pPr>
        <w:pStyle w:val="ListParagraph"/>
        <w:rPr>
          <w:noProof/>
          <w:sz w:val="20"/>
        </w:rPr>
      </w:pPr>
      <w:r>
        <w:rPr>
          <w:noProof/>
          <w:sz w:val="20"/>
        </w:rPr>
        <w:t>ir-reklutaġġ ta' 1 TA (AST) li jibda f'Jannar 2018.</w:t>
      </w:r>
    </w:p>
    <w:p>
      <w:pPr>
        <w:rPr>
          <w:noProof/>
          <w:sz w:val="20"/>
        </w:rPr>
      </w:pPr>
      <w:r>
        <w:rPr>
          <w:noProof/>
          <w:sz w:val="20"/>
        </w:rPr>
        <w:t xml:space="preserve">L-ispejjeż tal-persunal għall-2017 ġew aġġustati biex iqisu l-ispejjeż stmati tal-installazzjoni (it-tneħħija, allowance għall-installazzjoni, eċċ.) </w:t>
      </w:r>
    </w:p>
    <w:p>
      <w:pPr>
        <w:rPr>
          <w:noProof/>
        </w:rPr>
      </w:pPr>
      <w:r>
        <w:rPr>
          <w:noProof/>
        </w:rPr>
        <w:t xml:space="preserve">It-tabella ta’ hawn taħt tiddeskrivi l-impatt tal-proposta attwali fuq il-postijiet kollha tal-pjan ta’ stabbiliment tal-Aġenzija.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4"/>
        <w:gridCol w:w="1298"/>
        <w:gridCol w:w="1443"/>
        <w:gridCol w:w="1443"/>
        <w:gridCol w:w="1443"/>
        <w:gridCol w:w="1443"/>
      </w:tblGrid>
      <w:tr>
        <w:tc>
          <w:tcPr>
            <w:tcW w:w="1764" w:type="dxa"/>
            <w:shd w:val="clear" w:color="auto" w:fill="auto"/>
          </w:tcPr>
          <w:p>
            <w:pPr>
              <w:rPr>
                <w:rFonts w:eastAsia="Times New Roman"/>
                <w:noProof/>
                <w:szCs w:val="20"/>
              </w:rPr>
            </w:pPr>
          </w:p>
        </w:tc>
        <w:tc>
          <w:tcPr>
            <w:tcW w:w="1298" w:type="dxa"/>
            <w:shd w:val="clear" w:color="auto" w:fill="auto"/>
          </w:tcPr>
          <w:p>
            <w:pPr>
              <w:rPr>
                <w:rFonts w:eastAsia="Times New Roman"/>
                <w:noProof/>
                <w:szCs w:val="20"/>
              </w:rPr>
            </w:pPr>
            <w:r>
              <w:rPr>
                <w:noProof/>
              </w:rPr>
              <w:t>l-2016</w:t>
            </w:r>
          </w:p>
        </w:tc>
        <w:tc>
          <w:tcPr>
            <w:tcW w:w="1443" w:type="dxa"/>
            <w:shd w:val="clear" w:color="auto" w:fill="auto"/>
          </w:tcPr>
          <w:p>
            <w:pPr>
              <w:rPr>
                <w:rFonts w:eastAsia="Times New Roman"/>
                <w:noProof/>
                <w:szCs w:val="20"/>
              </w:rPr>
            </w:pPr>
            <w:r>
              <w:rPr>
                <w:noProof/>
              </w:rPr>
              <w:t>l-2017</w:t>
            </w:r>
          </w:p>
        </w:tc>
        <w:tc>
          <w:tcPr>
            <w:tcW w:w="1443" w:type="dxa"/>
            <w:shd w:val="clear" w:color="auto" w:fill="auto"/>
          </w:tcPr>
          <w:p>
            <w:pPr>
              <w:rPr>
                <w:rFonts w:eastAsia="Times New Roman"/>
                <w:noProof/>
                <w:szCs w:val="20"/>
              </w:rPr>
            </w:pPr>
            <w:r>
              <w:rPr>
                <w:noProof/>
              </w:rPr>
              <w:t>l-2018</w:t>
            </w:r>
          </w:p>
        </w:tc>
        <w:tc>
          <w:tcPr>
            <w:tcW w:w="1443" w:type="dxa"/>
            <w:shd w:val="clear" w:color="auto" w:fill="auto"/>
          </w:tcPr>
          <w:p>
            <w:pPr>
              <w:rPr>
                <w:rFonts w:eastAsia="Times New Roman"/>
                <w:noProof/>
                <w:szCs w:val="20"/>
              </w:rPr>
            </w:pPr>
            <w:r>
              <w:rPr>
                <w:noProof/>
              </w:rPr>
              <w:t>l-2019</w:t>
            </w:r>
          </w:p>
        </w:tc>
        <w:tc>
          <w:tcPr>
            <w:tcW w:w="1443" w:type="dxa"/>
            <w:shd w:val="clear" w:color="auto" w:fill="auto"/>
          </w:tcPr>
          <w:p>
            <w:pPr>
              <w:rPr>
                <w:rFonts w:eastAsia="Times New Roman"/>
                <w:noProof/>
                <w:szCs w:val="20"/>
              </w:rPr>
            </w:pPr>
            <w:r>
              <w:rPr>
                <w:noProof/>
              </w:rPr>
              <w:t>l-2020</w:t>
            </w:r>
          </w:p>
        </w:tc>
      </w:tr>
      <w:tr>
        <w:tc>
          <w:tcPr>
            <w:tcW w:w="1764" w:type="dxa"/>
            <w:shd w:val="clear" w:color="auto" w:fill="auto"/>
          </w:tcPr>
          <w:p>
            <w:pPr>
              <w:rPr>
                <w:rFonts w:eastAsia="Times New Roman"/>
                <w:noProof/>
                <w:szCs w:val="20"/>
              </w:rPr>
            </w:pPr>
            <w:r>
              <w:rPr>
                <w:noProof/>
              </w:rPr>
              <w:t>Ix-xenarju bażi — COM(2013)519</w:t>
            </w:r>
          </w:p>
        </w:tc>
        <w:tc>
          <w:tcPr>
            <w:tcW w:w="1298" w:type="dxa"/>
            <w:shd w:val="clear" w:color="auto" w:fill="auto"/>
          </w:tcPr>
          <w:p>
            <w:pPr>
              <w:rPr>
                <w:rFonts w:eastAsia="Times New Roman"/>
                <w:noProof/>
                <w:szCs w:val="20"/>
              </w:rPr>
            </w:pPr>
            <w:r>
              <w:rPr>
                <w:noProof/>
              </w:rPr>
              <w:t>51</w:t>
            </w:r>
          </w:p>
        </w:tc>
        <w:tc>
          <w:tcPr>
            <w:tcW w:w="1443" w:type="dxa"/>
            <w:shd w:val="clear" w:color="auto" w:fill="auto"/>
          </w:tcPr>
          <w:p>
            <w:pPr>
              <w:rPr>
                <w:rFonts w:eastAsia="Times New Roman"/>
                <w:noProof/>
                <w:szCs w:val="20"/>
              </w:rPr>
            </w:pPr>
            <w:r>
              <w:rPr>
                <w:noProof/>
              </w:rPr>
              <w:t>49</w:t>
            </w:r>
          </w:p>
        </w:tc>
        <w:tc>
          <w:tcPr>
            <w:tcW w:w="1443" w:type="dxa"/>
            <w:shd w:val="clear" w:color="auto" w:fill="auto"/>
          </w:tcPr>
          <w:p>
            <w:pPr>
              <w:rPr>
                <w:rFonts w:eastAsia="Times New Roman"/>
                <w:noProof/>
                <w:szCs w:val="20"/>
              </w:rPr>
            </w:pPr>
            <w:r>
              <w:rPr>
                <w:noProof/>
              </w:rPr>
              <w:t>48</w:t>
            </w:r>
          </w:p>
        </w:tc>
        <w:tc>
          <w:tcPr>
            <w:tcW w:w="1443" w:type="dxa"/>
            <w:shd w:val="clear" w:color="auto" w:fill="auto"/>
          </w:tcPr>
          <w:p>
            <w:pPr>
              <w:rPr>
                <w:rFonts w:eastAsia="Times New Roman"/>
                <w:noProof/>
                <w:szCs w:val="20"/>
              </w:rPr>
            </w:pPr>
            <w:r>
              <w:rPr>
                <w:noProof/>
              </w:rPr>
              <w:t>48</w:t>
            </w:r>
          </w:p>
        </w:tc>
        <w:tc>
          <w:tcPr>
            <w:tcW w:w="1443" w:type="dxa"/>
            <w:shd w:val="clear" w:color="auto" w:fill="auto"/>
          </w:tcPr>
          <w:p>
            <w:pPr>
              <w:rPr>
                <w:rFonts w:eastAsia="Times New Roman"/>
                <w:noProof/>
                <w:szCs w:val="20"/>
              </w:rPr>
            </w:pPr>
            <w:r>
              <w:rPr>
                <w:noProof/>
              </w:rPr>
              <w:t>48</w:t>
            </w:r>
          </w:p>
        </w:tc>
      </w:tr>
      <w:tr>
        <w:tc>
          <w:tcPr>
            <w:tcW w:w="1764" w:type="dxa"/>
            <w:shd w:val="clear" w:color="auto" w:fill="auto"/>
          </w:tcPr>
          <w:p>
            <w:pPr>
              <w:rPr>
                <w:rFonts w:eastAsia="Times New Roman"/>
                <w:noProof/>
                <w:szCs w:val="20"/>
              </w:rPr>
            </w:pPr>
            <w:r>
              <w:rPr>
                <w:noProof/>
              </w:rPr>
              <w:t>Postijiet addizzjonali</w:t>
            </w:r>
          </w:p>
        </w:tc>
        <w:tc>
          <w:tcPr>
            <w:tcW w:w="1298" w:type="dxa"/>
            <w:shd w:val="clear" w:color="auto" w:fill="auto"/>
          </w:tcPr>
          <w:p>
            <w:pPr>
              <w:rPr>
                <w:rFonts w:eastAsia="Times New Roman"/>
                <w:noProof/>
                <w:szCs w:val="20"/>
              </w:rPr>
            </w:pPr>
            <w:r>
              <w:rPr>
                <w:noProof/>
              </w:rPr>
              <w:t>-</w:t>
            </w:r>
          </w:p>
        </w:tc>
        <w:tc>
          <w:tcPr>
            <w:tcW w:w="1443" w:type="dxa"/>
            <w:shd w:val="clear" w:color="auto" w:fill="auto"/>
          </w:tcPr>
          <w:p>
            <w:pPr>
              <w:rPr>
                <w:rFonts w:eastAsia="Times New Roman"/>
                <w:noProof/>
                <w:szCs w:val="20"/>
              </w:rPr>
            </w:pPr>
            <w:r>
              <w:rPr>
                <w:noProof/>
              </w:rPr>
              <w:t>12</w:t>
            </w:r>
          </w:p>
        </w:tc>
        <w:tc>
          <w:tcPr>
            <w:tcW w:w="1443" w:type="dxa"/>
            <w:shd w:val="clear" w:color="auto" w:fill="auto"/>
          </w:tcPr>
          <w:p>
            <w:pPr>
              <w:rPr>
                <w:rFonts w:eastAsia="Times New Roman"/>
                <w:noProof/>
                <w:szCs w:val="20"/>
              </w:rPr>
            </w:pPr>
            <w:r>
              <w:rPr>
                <w:noProof/>
              </w:rPr>
              <w:t>13</w:t>
            </w:r>
          </w:p>
        </w:tc>
        <w:tc>
          <w:tcPr>
            <w:tcW w:w="1443" w:type="dxa"/>
            <w:shd w:val="clear" w:color="auto" w:fill="auto"/>
          </w:tcPr>
          <w:p>
            <w:pPr>
              <w:rPr>
                <w:rFonts w:eastAsia="Times New Roman"/>
                <w:noProof/>
                <w:szCs w:val="20"/>
              </w:rPr>
            </w:pPr>
            <w:r>
              <w:rPr>
                <w:noProof/>
              </w:rPr>
              <w:t>13</w:t>
            </w:r>
          </w:p>
        </w:tc>
        <w:tc>
          <w:tcPr>
            <w:tcW w:w="1443" w:type="dxa"/>
            <w:shd w:val="clear" w:color="auto" w:fill="auto"/>
          </w:tcPr>
          <w:p>
            <w:pPr>
              <w:rPr>
                <w:rFonts w:eastAsia="Times New Roman"/>
                <w:noProof/>
                <w:szCs w:val="20"/>
              </w:rPr>
            </w:pPr>
            <w:r>
              <w:rPr>
                <w:noProof/>
              </w:rPr>
              <w:t>13</w:t>
            </w:r>
          </w:p>
        </w:tc>
      </w:tr>
      <w:tr>
        <w:tc>
          <w:tcPr>
            <w:tcW w:w="1764" w:type="dxa"/>
            <w:shd w:val="clear" w:color="auto" w:fill="auto"/>
          </w:tcPr>
          <w:p>
            <w:pPr>
              <w:rPr>
                <w:rFonts w:eastAsia="Times New Roman"/>
                <w:b/>
                <w:noProof/>
                <w:szCs w:val="20"/>
              </w:rPr>
            </w:pPr>
            <w:r>
              <w:rPr>
                <w:b/>
                <w:noProof/>
              </w:rPr>
              <w:t>Total</w:t>
            </w:r>
          </w:p>
        </w:tc>
        <w:tc>
          <w:tcPr>
            <w:tcW w:w="1298" w:type="dxa"/>
            <w:shd w:val="clear" w:color="auto" w:fill="auto"/>
          </w:tcPr>
          <w:p>
            <w:pPr>
              <w:rPr>
                <w:rFonts w:eastAsia="Times New Roman"/>
                <w:b/>
                <w:noProof/>
                <w:szCs w:val="20"/>
              </w:rPr>
            </w:pPr>
            <w:r>
              <w:rPr>
                <w:b/>
                <w:noProof/>
              </w:rPr>
              <w:t>51</w:t>
            </w:r>
          </w:p>
        </w:tc>
        <w:tc>
          <w:tcPr>
            <w:tcW w:w="1443" w:type="dxa"/>
            <w:shd w:val="clear" w:color="auto" w:fill="auto"/>
          </w:tcPr>
          <w:p>
            <w:pPr>
              <w:rPr>
                <w:rFonts w:eastAsia="Times New Roman"/>
                <w:b/>
                <w:noProof/>
                <w:szCs w:val="20"/>
              </w:rPr>
            </w:pPr>
            <w:r>
              <w:rPr>
                <w:b/>
                <w:noProof/>
              </w:rPr>
              <w:t>61</w:t>
            </w:r>
          </w:p>
        </w:tc>
        <w:tc>
          <w:tcPr>
            <w:tcW w:w="1443" w:type="dxa"/>
            <w:shd w:val="clear" w:color="auto" w:fill="auto"/>
          </w:tcPr>
          <w:p>
            <w:pPr>
              <w:rPr>
                <w:rFonts w:eastAsia="Times New Roman"/>
                <w:b/>
                <w:noProof/>
                <w:szCs w:val="20"/>
              </w:rPr>
            </w:pPr>
            <w:r>
              <w:rPr>
                <w:b/>
                <w:noProof/>
              </w:rPr>
              <w:t>61</w:t>
            </w:r>
          </w:p>
        </w:tc>
        <w:tc>
          <w:tcPr>
            <w:tcW w:w="1443" w:type="dxa"/>
            <w:shd w:val="clear" w:color="auto" w:fill="auto"/>
          </w:tcPr>
          <w:p>
            <w:pPr>
              <w:rPr>
                <w:rFonts w:eastAsia="Times New Roman"/>
                <w:b/>
                <w:noProof/>
                <w:szCs w:val="20"/>
              </w:rPr>
            </w:pPr>
            <w:r>
              <w:rPr>
                <w:b/>
                <w:noProof/>
              </w:rPr>
              <w:t>61</w:t>
            </w:r>
          </w:p>
        </w:tc>
        <w:tc>
          <w:tcPr>
            <w:tcW w:w="1443" w:type="dxa"/>
            <w:shd w:val="clear" w:color="auto" w:fill="auto"/>
          </w:tcPr>
          <w:p>
            <w:pPr>
              <w:rPr>
                <w:rFonts w:eastAsia="Times New Roman"/>
                <w:b/>
                <w:noProof/>
                <w:szCs w:val="20"/>
              </w:rPr>
            </w:pPr>
            <w:r>
              <w:rPr>
                <w:b/>
                <w:noProof/>
              </w:rPr>
              <w:t>61</w:t>
            </w:r>
          </w:p>
        </w:tc>
      </w:tr>
    </w:tbl>
    <w:p>
      <w:pPr>
        <w:rPr>
          <w:noProof/>
        </w:rPr>
      </w:pPr>
    </w:p>
    <w:p>
      <w:pPr>
        <w:rPr>
          <w:noProof/>
          <w:sz w:val="20"/>
        </w:rPr>
      </w:pPr>
    </w:p>
    <w:p>
      <w:pPr>
        <w:rPr>
          <w:noProof/>
          <w:sz w:val="18"/>
        </w:rPr>
        <w:sectPr>
          <w:headerReference w:type="default" r:id="rId17"/>
          <w:footerReference w:type="default" r:id="rId18"/>
          <w:headerReference w:type="first" r:id="rId19"/>
          <w:footerReference w:type="first" r:id="rId20"/>
          <w:pgSz w:w="11907" w:h="16840"/>
          <w:pgMar w:top="1134" w:right="1418" w:bottom="1134" w:left="1418" w:header="709" w:footer="709" w:gutter="0"/>
          <w:cols w:space="708"/>
          <w:docGrid w:linePitch="360"/>
        </w:sectPr>
      </w:pPr>
    </w:p>
    <w:p>
      <w:pPr>
        <w:pStyle w:val="ManualHeading4"/>
        <w:rPr>
          <w:noProof/>
          <w:szCs w:val="24"/>
        </w:rPr>
      </w:pPr>
      <w:r>
        <w:t>3.2.3.2.</w:t>
      </w:r>
      <w:r>
        <w:tab/>
      </w:r>
      <w:r>
        <w:rPr>
          <w:noProof/>
        </w:rPr>
        <w:t>Rekwiżiti stmati tar-riżorsi umani għad-DĠ prinċipali</w:t>
      </w:r>
    </w:p>
    <w:p>
      <w:pPr>
        <w:pStyle w:val="ListDash1"/>
        <w:rPr>
          <w:noProof/>
        </w:rPr>
      </w:pPr>
      <w:r>
        <w:rPr>
          <w:noProof/>
        </w:rPr>
        <w:sym w:font="Wingdings" w:char="F0FE"/>
      </w:r>
      <w:r>
        <w:rPr>
          <w:noProof/>
        </w:rPr>
        <w:tab/>
        <w:t xml:space="preserve">Il-proposta/inizjattiva ma għandhiex bżonn tuża riżorsi umani. </w:t>
      </w:r>
    </w:p>
    <w:p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Il-proposta/inizjattiva għandha bżonn tuża r-riżorsi umani, kif spjegat hawn taħt:</w:t>
      </w:r>
    </w:p>
    <w:p>
      <w:pPr>
        <w:spacing w:after="60"/>
        <w:jc w:val="right"/>
        <w:rPr>
          <w:i/>
          <w:noProof/>
          <w:sz w:val="20"/>
        </w:rPr>
      </w:pPr>
      <w:r>
        <w:rPr>
          <w:i/>
          <w:noProof/>
          <w:sz w:val="20"/>
        </w:rPr>
        <w:t>Stima li trid tingħata f’unitajiet ekwivalenti għal full time</w:t>
      </w:r>
    </w:p>
    <w:tbl>
      <w:tblPr>
        <w:tblW w:w="5400" w:type="pct"/>
        <w:jc w:val="center"/>
        <w:tblInd w:w="-214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90"/>
        <w:gridCol w:w="2975"/>
        <w:gridCol w:w="605"/>
        <w:gridCol w:w="605"/>
        <w:gridCol w:w="605"/>
        <w:gridCol w:w="784"/>
        <w:gridCol w:w="670"/>
        <w:gridCol w:w="669"/>
        <w:gridCol w:w="727"/>
      </w:tblGrid>
      <w:tr>
        <w:trPr>
          <w:trHeight w:val="289"/>
          <w:jc w:val="center"/>
        </w:trPr>
        <w:tc>
          <w:tcPr>
            <w:tcW w:w="204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before="40" w:after="40"/>
              <w:jc w:val="center"/>
              <w:rPr>
                <w:rFonts w:eastAsia="Times New Roman"/>
                <w:i/>
                <w:noProof/>
                <w:sz w:val="20"/>
              </w:rPr>
            </w:pP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before="20" w:after="20"/>
              <w:jc w:val="center"/>
              <w:rPr>
                <w:rFonts w:eastAsia="Times New Roman"/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rFonts w:eastAsia="Times New Roman"/>
                <w:noProof/>
                <w:sz w:val="20"/>
              </w:rPr>
              <w:br/>
            </w:r>
            <w:r>
              <w:rPr>
                <w:b/>
                <w:noProof/>
                <w:sz w:val="20"/>
              </w:rPr>
              <w:t>N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before="20" w:after="20"/>
              <w:jc w:val="center"/>
              <w:rPr>
                <w:rFonts w:eastAsia="Times New Roman"/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rFonts w:eastAsia="Times New Roman"/>
                <w:noProof/>
                <w:sz w:val="20"/>
              </w:rPr>
              <w:br/>
            </w:r>
            <w:r>
              <w:rPr>
                <w:b/>
                <w:noProof/>
                <w:sz w:val="20"/>
              </w:rPr>
              <w:t>N+1</w:t>
            </w: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before="20" w:after="20"/>
              <w:jc w:val="center"/>
              <w:rPr>
                <w:rFonts w:eastAsia="Times New Roman"/>
                <w:noProof/>
                <w:sz w:val="20"/>
              </w:rPr>
            </w:pPr>
            <w:r>
              <w:rPr>
                <w:noProof/>
                <w:sz w:val="20"/>
              </w:rPr>
              <w:t xml:space="preserve">Sena </w:t>
            </w:r>
            <w:r>
              <w:rPr>
                <w:b/>
                <w:noProof/>
                <w:sz w:val="20"/>
              </w:rPr>
              <w:t>N+2</w:t>
            </w: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before="20" w:after="20"/>
              <w:jc w:val="center"/>
              <w:rPr>
                <w:rFonts w:eastAsia="Times New Roman"/>
                <w:noProof/>
                <w:sz w:val="20"/>
              </w:rPr>
            </w:pPr>
            <w:r>
              <w:rPr>
                <w:noProof/>
                <w:sz w:val="20"/>
              </w:rPr>
              <w:t xml:space="preserve">Sena </w:t>
            </w:r>
            <w:r>
              <w:rPr>
                <w:b/>
                <w:noProof/>
                <w:sz w:val="20"/>
              </w:rPr>
              <w:t>N+3</w:t>
            </w:r>
          </w:p>
        </w:tc>
        <w:tc>
          <w:tcPr>
            <w:tcW w:w="129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tabs>
                <w:tab w:val="left" w:pos="685"/>
              </w:tabs>
              <w:jc w:val="center"/>
              <w:rPr>
                <w:rFonts w:eastAsia="Times New Roman"/>
                <w:b/>
                <w:noProof/>
                <w:sz w:val="20"/>
              </w:rPr>
            </w:pPr>
            <w:r>
              <w:rPr>
                <w:noProof/>
                <w:sz w:val="20"/>
              </w:rPr>
              <w:t>Daħħal snin skont il-bżonn biex turi t-tul tal-impatt (ara l-punt 1.6)</w:t>
            </w:r>
          </w:p>
        </w:tc>
      </w:tr>
      <w:tr>
        <w:trPr>
          <w:trHeight w:val="289"/>
          <w:jc w:val="center"/>
        </w:trPr>
        <w:tc>
          <w:tcPr>
            <w:tcW w:w="204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numPr>
                <w:ilvl w:val="0"/>
                <w:numId w:val="9"/>
              </w:numPr>
              <w:tabs>
                <w:tab w:val="left" w:pos="208"/>
              </w:tabs>
              <w:spacing w:beforeLines="20" w:before="48" w:afterLines="20" w:after="48"/>
              <w:ind w:left="1058" w:hanging="120"/>
              <w:jc w:val="left"/>
              <w:rPr>
                <w:rFonts w:eastAsia="Times New Roman"/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Il-postijiet tal-pjan ta' stabbiliment (uffiċjali u persunal temporanju)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  <w:r>
              <w:rPr>
                <w:noProof/>
                <w:sz w:val="20"/>
              </w:rPr>
              <w:t>0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  <w:r>
              <w:rPr>
                <w:noProof/>
                <w:sz w:val="20"/>
              </w:rPr>
              <w:t>0</w:t>
            </w: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  <w:r>
              <w:rPr>
                <w:noProof/>
                <w:sz w:val="20"/>
              </w:rPr>
              <w:t>0</w:t>
            </w: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  <w:r>
              <w:rPr>
                <w:noProof/>
                <w:sz w:val="20"/>
              </w:rPr>
              <w:t>0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</w:tr>
      <w:tr>
        <w:trPr>
          <w:trHeight w:val="289"/>
          <w:jc w:val="center"/>
        </w:trPr>
        <w:tc>
          <w:tcPr>
            <w:tcW w:w="204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beforeLines="20" w:before="48" w:afterLines="20" w:after="48"/>
              <w:ind w:left="1834"/>
              <w:jc w:val="left"/>
              <w:rPr>
                <w:rFonts w:eastAsia="Times New Roman"/>
                <w:b/>
                <w:noProof/>
                <w:sz w:val="20"/>
              </w:rPr>
            </w:pPr>
            <w:r>
              <w:rPr>
                <w:noProof/>
                <w:sz w:val="20"/>
              </w:rPr>
              <w:t>XX 01 01 01 (il-Kwartieri Ġenerali u l-Uffiċċji tar-Rappreżentanza tal-Kummissjoni)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</w:tr>
      <w:tr>
        <w:trPr>
          <w:trHeight w:val="289"/>
          <w:jc w:val="center"/>
        </w:trPr>
        <w:tc>
          <w:tcPr>
            <w:tcW w:w="204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beforeLines="20" w:before="48" w:afterLines="20" w:after="48"/>
              <w:ind w:left="1834"/>
              <w:jc w:val="left"/>
              <w:rPr>
                <w:rFonts w:eastAsia="Times New Roman"/>
                <w:noProof/>
                <w:sz w:val="20"/>
              </w:rPr>
            </w:pPr>
            <w:r>
              <w:rPr>
                <w:noProof/>
                <w:sz w:val="20"/>
              </w:rPr>
              <w:t>XX 01 01 02 (Delegazzjonijiet)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</w:tr>
      <w:tr>
        <w:trPr>
          <w:trHeight w:val="953"/>
          <w:jc w:val="center"/>
        </w:trPr>
        <w:tc>
          <w:tcPr>
            <w:tcW w:w="204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beforeLines="20" w:before="48" w:afterLines="20" w:after="48"/>
              <w:ind w:left="1834"/>
              <w:jc w:val="left"/>
              <w:rPr>
                <w:rFonts w:eastAsia="Times New Roman"/>
                <w:noProof/>
                <w:sz w:val="20"/>
              </w:rPr>
            </w:pPr>
            <w:r>
              <w:rPr>
                <w:noProof/>
                <w:sz w:val="20"/>
              </w:rPr>
              <w:t>XX 01 05 01 (Riċerka indiretta)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</w:tr>
      <w:tr>
        <w:trPr>
          <w:trHeight w:val="289"/>
          <w:jc w:val="center"/>
        </w:trPr>
        <w:tc>
          <w:tcPr>
            <w:tcW w:w="204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beforeLines="20" w:before="48" w:afterLines="20" w:after="48"/>
              <w:ind w:left="1834"/>
              <w:jc w:val="left"/>
              <w:rPr>
                <w:rFonts w:eastAsia="Times New Roman"/>
                <w:noProof/>
                <w:sz w:val="20"/>
              </w:rPr>
            </w:pPr>
            <w:r>
              <w:rPr>
                <w:noProof/>
                <w:sz w:val="20"/>
              </w:rPr>
              <w:t>10 01 05 01 (Riċerka diretta)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</w:tr>
      <w:tr>
        <w:trPr>
          <w:trHeight w:val="289"/>
          <w:jc w:val="center"/>
        </w:trPr>
        <w:tc>
          <w:tcPr>
            <w:tcW w:w="204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ind w:left="1834"/>
              <w:jc w:val="left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</w:tr>
      <w:tr>
        <w:trPr>
          <w:trHeight w:val="289"/>
          <w:jc w:val="center"/>
        </w:trPr>
        <w:tc>
          <w:tcPr>
            <w:tcW w:w="204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beforeLines="20" w:before="48" w:afterLines="20" w:after="48"/>
              <w:ind w:left="1058" w:hanging="120"/>
              <w:jc w:val="left"/>
              <w:rPr>
                <w:rFonts w:eastAsia="Times New Roman"/>
                <w:noProof/>
                <w:sz w:val="20"/>
              </w:rPr>
            </w:pPr>
            <w:r>
              <w:rPr>
                <w:rFonts w:eastAsia="Times New Roman"/>
                <w:b/>
                <w:noProof/>
                <w:sz w:val="20"/>
              </w:rPr>
              <w:sym w:font="Wingdings" w:char="F09F"/>
            </w:r>
            <w:r>
              <w:rPr>
                <w:b/>
                <w:noProof/>
                <w:sz w:val="20"/>
              </w:rPr>
              <w:t xml:space="preserve"> Il-persunal estern (ekwivalenti għal unità ta' ingaġġ full-time: FTE)</w:t>
            </w:r>
            <w:r>
              <w:rPr>
                <w:rStyle w:val="FootnoteReference"/>
                <w:noProof/>
              </w:rPr>
              <w:footnoteReference w:id="10"/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  <w:r>
              <w:rPr>
                <w:noProof/>
                <w:sz w:val="20"/>
              </w:rPr>
              <w:t>0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  <w:r>
              <w:rPr>
                <w:noProof/>
                <w:sz w:val="20"/>
              </w:rPr>
              <w:t>0</w:t>
            </w: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  <w:r>
              <w:rPr>
                <w:noProof/>
                <w:sz w:val="20"/>
              </w:rPr>
              <w:t>0</w:t>
            </w: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  <w:r>
              <w:rPr>
                <w:noProof/>
                <w:sz w:val="20"/>
              </w:rPr>
              <w:t>0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</w:tr>
      <w:tr>
        <w:trPr>
          <w:trHeight w:val="289"/>
          <w:jc w:val="center"/>
        </w:trPr>
        <w:tc>
          <w:tcPr>
            <w:tcW w:w="204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beforeLines="20" w:before="48" w:afterLines="20" w:after="48"/>
              <w:ind w:left="1836"/>
              <w:jc w:val="left"/>
              <w:rPr>
                <w:rFonts w:eastAsia="Times New Roman"/>
                <w:b/>
                <w:noProof/>
                <w:sz w:val="20"/>
              </w:rPr>
            </w:pPr>
            <w:r>
              <w:rPr>
                <w:noProof/>
                <w:sz w:val="20"/>
              </w:rPr>
              <w:t>XX 01 02 01 (AC, END, INT mill-"pakkett globali")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</w:tr>
      <w:tr>
        <w:trPr>
          <w:trHeight w:val="289"/>
          <w:jc w:val="center"/>
        </w:trPr>
        <w:tc>
          <w:tcPr>
            <w:tcW w:w="204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beforeLines="20" w:before="48" w:afterLines="20" w:after="48"/>
              <w:ind w:left="1836"/>
              <w:jc w:val="left"/>
              <w:rPr>
                <w:rFonts w:eastAsia="Times New Roman"/>
                <w:noProof/>
                <w:sz w:val="20"/>
              </w:rPr>
            </w:pPr>
            <w:r>
              <w:rPr>
                <w:noProof/>
                <w:sz w:val="20"/>
              </w:rPr>
              <w:t>XX 01 02 02 (AC, AL, END, INT u JED fid-Delegazzjonijiet)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</w:tr>
      <w:tr>
        <w:trPr>
          <w:trHeight w:val="289"/>
          <w:jc w:val="center"/>
        </w:trPr>
        <w:tc>
          <w:tcPr>
            <w:tcW w:w="101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beforeLines="20" w:before="48" w:afterLines="20" w:after="48"/>
              <w:ind w:left="1836"/>
              <w:jc w:val="left"/>
              <w:rPr>
                <w:rFonts w:eastAsia="Times New Roman"/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XX</w:t>
            </w:r>
            <w:r>
              <w:rPr>
                <w:noProof/>
                <w:sz w:val="20"/>
              </w:rPr>
              <w:t xml:space="preserve"> 01 04 </w:t>
            </w:r>
            <w:r>
              <w:rPr>
                <w:b/>
                <w:i/>
                <w:noProof/>
                <w:sz w:val="20"/>
              </w:rPr>
              <w:t>yy</w:t>
            </w:r>
            <w:r>
              <w:rPr>
                <w:rStyle w:val="FootnoteReference"/>
                <w:noProof/>
              </w:rPr>
              <w:footnoteReference w:id="11"/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beforeLines="20" w:before="48" w:afterLines="20" w:after="48"/>
              <w:ind w:left="1448"/>
              <w:jc w:val="left"/>
              <w:rPr>
                <w:rFonts w:eastAsia="Times New Roman"/>
                <w:b/>
                <w:noProof/>
                <w:sz w:val="20"/>
              </w:rPr>
            </w:pPr>
            <w:r>
              <w:rPr>
                <w:noProof/>
                <w:sz w:val="20"/>
              </w:rPr>
              <w:t>- fil-Kwartieri Ġenerali</w:t>
            </w:r>
            <w:r>
              <w:rPr>
                <w:rStyle w:val="FootnoteReference"/>
                <w:noProof/>
              </w:rPr>
              <w:footnoteReference w:id="12"/>
            </w:r>
            <w:r>
              <w:rPr>
                <w:rFonts w:eastAsia="Times New Roman"/>
                <w:noProof/>
                <w:sz w:val="20"/>
              </w:rPr>
              <w:br/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ind w:left="1700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</w:tr>
      <w:tr>
        <w:trPr>
          <w:trHeight w:val="289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before="0" w:after="0"/>
              <w:jc w:val="left"/>
              <w:rPr>
                <w:rFonts w:eastAsia="Times New Roman"/>
                <w:b/>
                <w:noProof/>
                <w:sz w:val="20"/>
              </w:rPr>
            </w:pP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beforeLines="20" w:before="48" w:afterLines="20" w:after="48"/>
              <w:ind w:left="1448"/>
              <w:jc w:val="left"/>
              <w:rPr>
                <w:rFonts w:eastAsia="Times New Roman"/>
                <w:b/>
                <w:noProof/>
                <w:sz w:val="20"/>
              </w:rPr>
            </w:pPr>
            <w:r>
              <w:rPr>
                <w:noProof/>
                <w:sz w:val="20"/>
              </w:rPr>
              <w:t xml:space="preserve">- fid-Delegazzjonijiet 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ind w:left="1700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</w:tr>
      <w:tr>
        <w:trPr>
          <w:trHeight w:val="289"/>
          <w:jc w:val="center"/>
        </w:trPr>
        <w:tc>
          <w:tcPr>
            <w:tcW w:w="204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beforeLines="20" w:before="48" w:afterLines="20" w:after="48"/>
              <w:ind w:left="1836"/>
              <w:jc w:val="left"/>
              <w:rPr>
                <w:rFonts w:eastAsia="Times New Roman"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XX</w:t>
            </w:r>
            <w:r>
              <w:rPr>
                <w:noProof/>
                <w:sz w:val="20"/>
              </w:rPr>
              <w:t xml:space="preserve"> 01 05 02 (AC, END, INT – Riċerka indiretta)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</w:tr>
      <w:tr>
        <w:trPr>
          <w:trHeight w:val="289"/>
          <w:jc w:val="center"/>
        </w:trPr>
        <w:tc>
          <w:tcPr>
            <w:tcW w:w="204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beforeLines="20" w:before="48" w:afterLines="20" w:after="48"/>
              <w:ind w:left="1836"/>
              <w:jc w:val="left"/>
              <w:rPr>
                <w:rFonts w:eastAsia="Times New Roman"/>
                <w:noProof/>
                <w:sz w:val="20"/>
              </w:rPr>
            </w:pPr>
            <w:r>
              <w:rPr>
                <w:noProof/>
                <w:sz w:val="20"/>
              </w:rPr>
              <w:t>10 01 05 02 (AC, END, INT – Riċerka diretta)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</w:tr>
      <w:tr>
        <w:trPr>
          <w:trHeight w:val="289"/>
          <w:jc w:val="center"/>
        </w:trPr>
        <w:tc>
          <w:tcPr>
            <w:tcW w:w="2043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beforeLines="20" w:before="48" w:afterLines="20" w:after="48"/>
              <w:ind w:left="1834"/>
              <w:jc w:val="left"/>
              <w:rPr>
                <w:rFonts w:eastAsia="Times New Roman"/>
                <w:noProof/>
                <w:sz w:val="20"/>
              </w:rPr>
            </w:pPr>
            <w:r>
              <w:rPr>
                <w:noProof/>
                <w:sz w:val="20"/>
              </w:rPr>
              <w:t>Linji baġitarji oħrajn (speċifika)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0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noProof/>
                <w:sz w:val="20"/>
              </w:rPr>
            </w:pPr>
          </w:p>
        </w:tc>
      </w:tr>
      <w:tr>
        <w:trPr>
          <w:trHeight w:val="289"/>
          <w:jc w:val="center"/>
        </w:trPr>
        <w:tc>
          <w:tcPr>
            <w:tcW w:w="2043" w:type="pct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beforeLines="20" w:before="48" w:afterLines="20" w:after="48"/>
              <w:ind w:left="1836"/>
              <w:jc w:val="left"/>
              <w:rPr>
                <w:rFonts w:eastAsia="Times New Roman"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TOTAL</w:t>
            </w:r>
          </w:p>
        </w:tc>
        <w:tc>
          <w:tcPr>
            <w:tcW w:w="377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0</w:t>
            </w:r>
          </w:p>
        </w:tc>
        <w:tc>
          <w:tcPr>
            <w:tcW w:w="377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0</w:t>
            </w:r>
          </w:p>
        </w:tc>
        <w:tc>
          <w:tcPr>
            <w:tcW w:w="406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0</w:t>
            </w:r>
          </w:p>
        </w:tc>
        <w:tc>
          <w:tcPr>
            <w:tcW w:w="497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0</w:t>
            </w:r>
          </w:p>
        </w:tc>
        <w:tc>
          <w:tcPr>
            <w:tcW w:w="42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b/>
                <w:noProof/>
                <w:sz w:val="20"/>
              </w:rPr>
            </w:pPr>
          </w:p>
        </w:tc>
        <w:tc>
          <w:tcPr>
            <w:tcW w:w="423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b/>
                <w:noProof/>
                <w:sz w:val="20"/>
              </w:rPr>
            </w:pPr>
          </w:p>
        </w:tc>
        <w:tc>
          <w:tcPr>
            <w:tcW w:w="452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rFonts w:eastAsia="Times New Roman"/>
                <w:b/>
                <w:noProof/>
                <w:sz w:val="20"/>
              </w:rPr>
            </w:pPr>
          </w:p>
        </w:tc>
      </w:tr>
    </w:tbl>
    <w:p>
      <w:pPr>
        <w:spacing w:after="60"/>
        <w:jc w:val="right"/>
        <w:rPr>
          <w:i/>
          <w:noProof/>
          <w:sz w:val="20"/>
        </w:rPr>
      </w:pPr>
    </w:p>
    <w:p>
      <w:pPr>
        <w:rPr>
          <w:noProof/>
        </w:rPr>
      </w:pPr>
      <w:r>
        <w:rPr>
          <w:noProof/>
        </w:rPr>
        <w:br w:type="page"/>
      </w:r>
    </w:p>
    <w:p>
      <w:pPr>
        <w:spacing w:after="60"/>
        <w:jc w:val="right"/>
        <w:rPr>
          <w:i/>
          <w:noProof/>
          <w:sz w:val="20"/>
        </w:rPr>
      </w:pPr>
    </w:p>
    <w:p>
      <w:pPr>
        <w:pStyle w:val="Text1"/>
        <w:spacing w:before="60" w:after="60"/>
        <w:ind w:left="851"/>
        <w:rPr>
          <w:noProof/>
          <w:sz w:val="18"/>
          <w:szCs w:val="18"/>
        </w:rPr>
      </w:pPr>
      <w:r>
        <w:rPr>
          <w:b/>
          <w:noProof/>
          <w:sz w:val="18"/>
        </w:rPr>
        <w:t>XX</w:t>
      </w:r>
      <w:r>
        <w:rPr>
          <w:noProof/>
          <w:sz w:val="18"/>
        </w:rPr>
        <w:t xml:space="preserve"> hu l-qasam ta' politika jew it-titolu tal-baġit ikkonċernat.</w:t>
      </w:r>
    </w:p>
    <w:p>
      <w:pPr>
        <w:pStyle w:val="Text1"/>
        <w:rPr>
          <w:noProof/>
          <w:sz w:val="18"/>
          <w:szCs w:val="18"/>
        </w:rPr>
      </w:pPr>
      <w:r>
        <w:rPr>
          <w:noProof/>
          <w:sz w:val="18"/>
        </w:rPr>
        <w:t>Ir-riżorsi umani meħtieġa se jintlaħqu bl-uffiċjali tad-DĠ li huma diġà assenjati għall-ġestjoni tal-azzjoni u/jew li diġà ngħataw kariga band'oħra fid-DĠ, flimkien, jekk ikun meħtieġ, ma' xi allokazzjoni addizzjonali li tista' tingħata lid-DĠ li jkun qed imexxi l-azzjoni skont il-proċedura ta' allokazzjoni annwali u fid-dawl tar-restrizzjonijiet baġitarji.</w:t>
      </w:r>
    </w:p>
    <w:p>
      <w:pPr>
        <w:rPr>
          <w:noProof/>
          <w:sz w:val="20"/>
        </w:rPr>
      </w:pPr>
      <w:r>
        <w:rPr>
          <w:noProof/>
          <w:sz w:val="20"/>
        </w:rPr>
        <w:t>Deskrizzjoni tal-kompiti li jridu jitwettqu:</w:t>
      </w:r>
    </w:p>
    <w:tbl>
      <w:tblPr>
        <w:tblW w:w="10440" w:type="dxa"/>
        <w:tblInd w:w="-43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7200"/>
      </w:tblGrid>
      <w:tr>
        <w:tc>
          <w:tcPr>
            <w:tcW w:w="3240" w:type="dxa"/>
          </w:tcPr>
          <w:p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>Uffiċjali u persunal temporanju</w:t>
            </w:r>
          </w:p>
        </w:tc>
        <w:tc>
          <w:tcPr>
            <w:tcW w:w="7200" w:type="dxa"/>
          </w:tcPr>
          <w:p>
            <w:pPr>
              <w:rPr>
                <w:noProof/>
                <w:sz w:val="20"/>
              </w:rPr>
            </w:pPr>
          </w:p>
        </w:tc>
      </w:tr>
      <w:tr>
        <w:tc>
          <w:tcPr>
            <w:tcW w:w="3240" w:type="dxa"/>
          </w:tcPr>
          <w:p>
            <w:pPr>
              <w:spacing w:before="60" w:after="60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Persunal estern</w:t>
            </w:r>
          </w:p>
        </w:tc>
        <w:tc>
          <w:tcPr>
            <w:tcW w:w="7200" w:type="dxa"/>
          </w:tcPr>
          <w:p>
            <w:pPr>
              <w:rPr>
                <w:noProof/>
                <w:sz w:val="20"/>
              </w:rPr>
            </w:pPr>
          </w:p>
        </w:tc>
      </w:tr>
    </w:tbl>
    <w:p>
      <w:pPr>
        <w:rPr>
          <w:noProof/>
        </w:rPr>
      </w:pPr>
      <w:r>
        <w:rPr>
          <w:noProof/>
        </w:rPr>
        <w:t xml:space="preserve">Fl-Anness V, it-Taqsima 3 għandha tiddaħħal deskrizzjoni tal-kalkolu tal-ispiża għall-FTE. </w:t>
      </w:r>
    </w:p>
    <w:p>
      <w:pPr>
        <w:pStyle w:val="ManualHeading3"/>
        <w:rPr>
          <w:bCs/>
          <w:noProof/>
          <w:szCs w:val="24"/>
        </w:rPr>
      </w:pPr>
      <w:r>
        <w:t>3.2.4.</w:t>
      </w:r>
      <w:r>
        <w:tab/>
      </w:r>
      <w:r>
        <w:rPr>
          <w:noProof/>
        </w:rPr>
        <w:t xml:space="preserve">Il-kompatibbiltà mal-qafas finanzjarju pluriennali attwali </w:t>
      </w:r>
    </w:p>
    <w:p>
      <w:pPr>
        <w:pStyle w:val="ListDash1"/>
        <w:rPr>
          <w:noProof/>
        </w:rPr>
      </w:pPr>
      <w:r>
        <w:rPr>
          <w:noProof/>
        </w:rPr>
        <w:t>X</w:t>
      </w:r>
      <w:r>
        <w:rPr>
          <w:noProof/>
        </w:rPr>
        <w:tab/>
        <w:t>Il-proposta/inizjattiva hija kompatibbli mal-qafas finanzjarju pluriennali attwali</w:t>
      </w:r>
      <w:r>
        <w:rPr>
          <w:rStyle w:val="FootnoteReference"/>
          <w:noProof/>
        </w:rPr>
        <w:footnoteReference w:id="13"/>
      </w:r>
      <w:r>
        <w:rPr>
          <w:noProof/>
        </w:rPr>
        <w:t>.</w:t>
      </w:r>
    </w:p>
    <w:p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Il-proposta/inizjattiva għandha bżonn programmazzjoni mill-ġdid tal-intestatura rilevanti fil-qafas finanzjarju pluriennali.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20"/>
        </w:rPr>
      </w:pPr>
      <w:r>
        <w:rPr>
          <w:noProof/>
          <w:sz w:val="20"/>
        </w:rPr>
        <w:t>Spjega xi programmazzjoni mill-ġdid hemm bżonn, speċifika l-linji baġitarji kkonċernati u l-ammonti korrispondenti.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</w:p>
    <w:p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Il-proposta/inizjattiva għandha bżonn tapplika l-istrument tal-flessibbiltà jew teħtieġ reviżjoni tal-qafas finanzjarju pluriennali.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20"/>
        </w:rPr>
      </w:pPr>
      <w:r>
        <w:rPr>
          <w:noProof/>
          <w:sz w:val="20"/>
        </w:rPr>
        <w:t>Spjega x'inhu meħtieġ, speċifika l-intestaturi u l-linji baġitarji kkonċernati u l-ammonti korrispondenti.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</w:p>
    <w:p>
      <w:pPr>
        <w:pStyle w:val="ManualHeading3"/>
        <w:rPr>
          <w:bCs/>
          <w:noProof/>
          <w:szCs w:val="24"/>
        </w:rPr>
      </w:pPr>
      <w:r>
        <w:t>3.2.5.</w:t>
      </w:r>
      <w:r>
        <w:tab/>
      </w:r>
      <w:r>
        <w:rPr>
          <w:noProof/>
        </w:rPr>
        <w:t>Il-kontribuzzjonijiet tal-partijiet terzi: Mhux applikabbli</w:t>
      </w:r>
    </w:p>
    <w:p>
      <w:pPr>
        <w:pStyle w:val="ListDash1"/>
        <w:rPr>
          <w:noProof/>
        </w:rPr>
      </w:pPr>
      <w:r>
        <w:rPr>
          <w:noProof/>
        </w:rPr>
        <w:t xml:space="preserve">Il-proposta/inizjattiva ma tipprevedix il-kofinanzjament ta' partijiet terzi. </w:t>
      </w:r>
    </w:p>
    <w:p>
      <w:pPr>
        <w:pStyle w:val="ListDash1"/>
        <w:rPr>
          <w:noProof/>
        </w:rPr>
      </w:pPr>
      <w:r>
        <w:rPr>
          <w:noProof/>
        </w:rPr>
        <w:t>Il-proposta/inizjattiva tipprevedi l-kofinanzjament stmat hawn taħt:</w:t>
      </w:r>
    </w:p>
    <w:p>
      <w:pPr>
        <w:jc w:val="right"/>
        <w:rPr>
          <w:noProof/>
          <w:sz w:val="20"/>
        </w:rPr>
      </w:pPr>
      <w:r>
        <w:rPr>
          <w:noProof/>
          <w:sz w:val="20"/>
        </w:rPr>
        <w:t>Approprjazzjonijiet f’miljuni ta’ EUR (sa tliet punti deċimali)</w:t>
      </w:r>
    </w:p>
    <w:tbl>
      <w:tblPr>
        <w:tblW w:w="10246" w:type="dxa"/>
        <w:tblInd w:w="-4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964"/>
        <w:gridCol w:w="964"/>
        <w:gridCol w:w="964"/>
        <w:gridCol w:w="964"/>
        <w:gridCol w:w="964"/>
        <w:gridCol w:w="964"/>
        <w:gridCol w:w="964"/>
        <w:gridCol w:w="1158"/>
      </w:tblGrid>
      <w:tr>
        <w:trPr>
          <w:cantSplit/>
        </w:trPr>
        <w:tc>
          <w:tcPr>
            <w:tcW w:w="2340" w:type="dxa"/>
          </w:tcPr>
          <w:p>
            <w:pPr>
              <w:spacing w:before="60" w:after="60"/>
              <w:rPr>
                <w:noProof/>
                <w:sz w:val="20"/>
              </w:rPr>
            </w:pPr>
          </w:p>
        </w:tc>
        <w:tc>
          <w:tcPr>
            <w:tcW w:w="964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</w:t>
            </w:r>
          </w:p>
        </w:tc>
        <w:tc>
          <w:tcPr>
            <w:tcW w:w="964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N+1</w:t>
            </w:r>
          </w:p>
        </w:tc>
        <w:tc>
          <w:tcPr>
            <w:tcW w:w="964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N+2</w:t>
            </w:r>
          </w:p>
        </w:tc>
        <w:tc>
          <w:tcPr>
            <w:tcW w:w="964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N+3</w:t>
            </w:r>
          </w:p>
        </w:tc>
        <w:tc>
          <w:tcPr>
            <w:tcW w:w="2892" w:type="dxa"/>
            <w:gridSpan w:val="3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noProof/>
                <w:sz w:val="20"/>
              </w:rPr>
              <w:t>Daħħal snin skont il-bżonn biex turi t-tul tal-impatt (ara l-punt 1.6)</w:t>
            </w:r>
          </w:p>
        </w:tc>
        <w:tc>
          <w:tcPr>
            <w:tcW w:w="1158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Total</w:t>
            </w:r>
          </w:p>
        </w:tc>
      </w:tr>
      <w:tr>
        <w:trPr>
          <w:cantSplit/>
        </w:trPr>
        <w:tc>
          <w:tcPr>
            <w:tcW w:w="2340" w:type="dxa"/>
          </w:tcPr>
          <w:p>
            <w:pPr>
              <w:rPr>
                <w:noProof/>
                <w:sz w:val="22"/>
              </w:rPr>
            </w:pPr>
            <w:r>
              <w:rPr>
                <w:noProof/>
                <w:sz w:val="20"/>
              </w:rPr>
              <w:t>Speċifika l-korp ta’ kofinanzjament</w:t>
            </w:r>
            <w:r>
              <w:rPr>
                <w:i/>
                <w:noProof/>
                <w:sz w:val="20"/>
              </w:rPr>
              <w:t xml:space="preserve"> </w:t>
            </w:r>
          </w:p>
        </w:tc>
        <w:tc>
          <w:tcPr>
            <w:tcW w:w="964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0"/>
              </w:rPr>
            </w:pPr>
          </w:p>
        </w:tc>
        <w:tc>
          <w:tcPr>
            <w:tcW w:w="964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0"/>
              </w:rPr>
            </w:pPr>
          </w:p>
        </w:tc>
        <w:tc>
          <w:tcPr>
            <w:tcW w:w="964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0"/>
              </w:rPr>
            </w:pPr>
          </w:p>
        </w:tc>
        <w:tc>
          <w:tcPr>
            <w:tcW w:w="964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0"/>
              </w:rPr>
            </w:pPr>
          </w:p>
        </w:tc>
        <w:tc>
          <w:tcPr>
            <w:tcW w:w="964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0"/>
              </w:rPr>
            </w:pPr>
          </w:p>
        </w:tc>
        <w:tc>
          <w:tcPr>
            <w:tcW w:w="964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0"/>
              </w:rPr>
            </w:pPr>
          </w:p>
        </w:tc>
        <w:tc>
          <w:tcPr>
            <w:tcW w:w="964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0"/>
              </w:rPr>
            </w:pPr>
          </w:p>
        </w:tc>
        <w:tc>
          <w:tcPr>
            <w:tcW w:w="1158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0"/>
              </w:rPr>
            </w:pPr>
          </w:p>
        </w:tc>
      </w:tr>
      <w:tr>
        <w:trPr>
          <w:cantSplit/>
        </w:trPr>
        <w:tc>
          <w:tcPr>
            <w:tcW w:w="2340" w:type="dxa"/>
          </w:tcPr>
          <w:p>
            <w:pPr>
              <w:spacing w:before="60" w:after="60"/>
              <w:jc w:val="left"/>
              <w:rPr>
                <w:noProof/>
                <w:sz w:val="20"/>
              </w:rPr>
            </w:pPr>
            <w:r>
              <w:rPr>
                <w:noProof/>
                <w:sz w:val="20"/>
              </w:rPr>
              <w:t xml:space="preserve">TOTAL tal-approprjazzjonijiet kofinanzjati </w:t>
            </w:r>
          </w:p>
        </w:tc>
        <w:tc>
          <w:tcPr>
            <w:tcW w:w="964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0"/>
              </w:rPr>
            </w:pPr>
          </w:p>
        </w:tc>
        <w:tc>
          <w:tcPr>
            <w:tcW w:w="964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0"/>
              </w:rPr>
            </w:pPr>
          </w:p>
        </w:tc>
        <w:tc>
          <w:tcPr>
            <w:tcW w:w="964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0"/>
              </w:rPr>
            </w:pPr>
          </w:p>
        </w:tc>
        <w:tc>
          <w:tcPr>
            <w:tcW w:w="964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0"/>
              </w:rPr>
            </w:pPr>
          </w:p>
        </w:tc>
        <w:tc>
          <w:tcPr>
            <w:tcW w:w="964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0"/>
              </w:rPr>
            </w:pPr>
          </w:p>
        </w:tc>
        <w:tc>
          <w:tcPr>
            <w:tcW w:w="964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0"/>
              </w:rPr>
            </w:pPr>
          </w:p>
        </w:tc>
        <w:tc>
          <w:tcPr>
            <w:tcW w:w="964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0"/>
              </w:rPr>
            </w:pPr>
          </w:p>
        </w:tc>
        <w:tc>
          <w:tcPr>
            <w:tcW w:w="1158" w:type="dxa"/>
            <w:vAlign w:val="center"/>
          </w:tcPr>
          <w:p>
            <w:pPr>
              <w:spacing w:before="60" w:after="60"/>
              <w:jc w:val="center"/>
              <w:rPr>
                <w:noProof/>
                <w:sz w:val="20"/>
              </w:rPr>
            </w:pPr>
          </w:p>
        </w:tc>
      </w:tr>
    </w:tbl>
    <w:p>
      <w:pPr>
        <w:rPr>
          <w:noProof/>
        </w:rPr>
      </w:pPr>
      <w:r>
        <w:rPr>
          <w:noProof/>
        </w:rPr>
        <w:br/>
      </w:r>
    </w:p>
    <w:p>
      <w:pPr>
        <w:pStyle w:val="ManualHeading2"/>
        <w:rPr>
          <w:bCs/>
          <w:noProof/>
          <w:szCs w:val="24"/>
        </w:rPr>
      </w:pPr>
      <w:r>
        <w:rPr>
          <w:noProof/>
        </w:rPr>
        <w:br w:type="page"/>
      </w:r>
      <w:r>
        <w:t>3.3.</w:t>
      </w:r>
      <w:r>
        <w:tab/>
      </w:r>
      <w:r>
        <w:rPr>
          <w:noProof/>
        </w:rPr>
        <w:t xml:space="preserve">L-impatt stmat fuq id-dħul </w:t>
      </w:r>
    </w:p>
    <w:p>
      <w:pPr>
        <w:pStyle w:val="ListDash1"/>
        <w:rPr>
          <w:noProof/>
        </w:rPr>
      </w:pPr>
      <w:r>
        <w:rPr>
          <w:noProof/>
        </w:rPr>
        <w:sym w:font="Wingdings" w:char="F0FE"/>
      </w:r>
      <w:r>
        <w:rPr>
          <w:noProof/>
        </w:rPr>
        <w:tab/>
        <w:t>Il-proposta/inizjattiva ma għandha l-ebda impatt finanzjarju fuq id-dħul.</w:t>
      </w:r>
    </w:p>
    <w:p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Il-proposta/inizjattiva għandha dan l-impatt finanzjarju:</w:t>
      </w:r>
    </w:p>
    <w:p>
      <w:pPr>
        <w:pStyle w:val="ListNumberLevel3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 xml:space="preserve">fuq ir-riżorsi proprji </w:t>
      </w:r>
    </w:p>
    <w:p>
      <w:pPr>
        <w:pStyle w:val="ListNumberLevel3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 xml:space="preserve">fuq id-dħul mixxellanju </w:t>
      </w:r>
    </w:p>
    <w:p>
      <w:pPr>
        <w:jc w:val="right"/>
        <w:rPr>
          <w:i/>
          <w:noProof/>
          <w:sz w:val="20"/>
        </w:rPr>
      </w:pPr>
      <w:r>
        <w:rPr>
          <w:noProof/>
        </w:rPr>
        <w:t>EUR miljun (sa tliet punti deċimali)</w:t>
      </w:r>
    </w:p>
    <w:tbl>
      <w:tblPr>
        <w:tblW w:w="1062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44"/>
        <w:gridCol w:w="1276"/>
        <w:gridCol w:w="1080"/>
        <w:gridCol w:w="900"/>
        <w:gridCol w:w="900"/>
        <w:gridCol w:w="1080"/>
        <w:gridCol w:w="1080"/>
        <w:gridCol w:w="1080"/>
        <w:gridCol w:w="1080"/>
      </w:tblGrid>
      <w:tr>
        <w:trPr>
          <w:trHeight w:val="388"/>
        </w:trPr>
        <w:tc>
          <w:tcPr>
            <w:tcW w:w="2144" w:type="dxa"/>
            <w:vMerge w:val="restart"/>
            <w:vAlign w:val="center"/>
          </w:tcPr>
          <w:p>
            <w:pPr>
              <w:spacing w:before="40" w:after="40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Il-linja tad-dħul baġitarju: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Approprjazzjonijiet disponibbli għas-sena finanzjarja attwali</w:t>
            </w:r>
          </w:p>
        </w:tc>
        <w:tc>
          <w:tcPr>
            <w:tcW w:w="7200" w:type="dxa"/>
            <w:gridSpan w:val="7"/>
            <w:vAlign w:val="center"/>
          </w:tcPr>
          <w:p>
            <w:pPr>
              <w:jc w:val="center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L-impatt tal-proposta/inizjattiva</w:t>
            </w:r>
            <w:r>
              <w:rPr>
                <w:rStyle w:val="FootnoteReference"/>
                <w:noProof/>
                <w:sz w:val="18"/>
              </w:rPr>
              <w:footnoteReference w:id="14"/>
            </w:r>
          </w:p>
        </w:tc>
      </w:tr>
      <w:tr>
        <w:trPr>
          <w:trHeight w:val="388"/>
        </w:trPr>
        <w:tc>
          <w:tcPr>
            <w:tcW w:w="2144" w:type="dxa"/>
            <w:vMerge/>
          </w:tcPr>
          <w:p>
            <w:pPr>
              <w:spacing w:before="40" w:after="40"/>
              <w:rPr>
                <w:noProof/>
                <w:sz w:val="18"/>
              </w:rPr>
            </w:pPr>
          </w:p>
        </w:tc>
        <w:tc>
          <w:tcPr>
            <w:tcW w:w="1276" w:type="dxa"/>
            <w:vMerge/>
          </w:tcPr>
          <w:p>
            <w:pPr>
              <w:spacing w:beforeLines="40" w:before="96" w:afterLines="40" w:after="96"/>
              <w:rPr>
                <w:i/>
                <w:noProof/>
                <w:sz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8"/>
              </w:rPr>
              <w:t>N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8"/>
              </w:rPr>
              <w:t>N+1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8"/>
              </w:rPr>
              <w:t>N+2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8"/>
              </w:rPr>
              <w:t>N+3</w:t>
            </w:r>
          </w:p>
        </w:tc>
        <w:tc>
          <w:tcPr>
            <w:tcW w:w="3240" w:type="dxa"/>
            <w:gridSpan w:val="3"/>
            <w:vAlign w:val="center"/>
          </w:tcPr>
          <w:p>
            <w:pPr>
              <w:jc w:val="center"/>
              <w:rPr>
                <w:b/>
                <w:noProof/>
                <w:sz w:val="18"/>
              </w:rPr>
            </w:pPr>
            <w:r>
              <w:rPr>
                <w:noProof/>
                <w:sz w:val="18"/>
              </w:rPr>
              <w:t>Daħħal snin skont il-bżonn biex turi t-tul tal-impatt (ara l-punt 1.6)</w:t>
            </w:r>
          </w:p>
        </w:tc>
      </w:tr>
      <w:tr>
        <w:trPr>
          <w:trHeight w:val="388"/>
        </w:trPr>
        <w:tc>
          <w:tcPr>
            <w:tcW w:w="2144" w:type="dxa"/>
            <w:vAlign w:val="center"/>
          </w:tcPr>
          <w:p>
            <w:pPr>
              <w:spacing w:before="40" w:after="40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L-Artikolu ………….</w:t>
            </w:r>
          </w:p>
        </w:tc>
        <w:tc>
          <w:tcPr>
            <w:tcW w:w="1276" w:type="dxa"/>
          </w:tcPr>
          <w:p>
            <w:pPr>
              <w:spacing w:beforeLines="40" w:before="96" w:afterLines="40" w:after="96"/>
              <w:jc w:val="center"/>
              <w:rPr>
                <w:i/>
                <w:noProof/>
                <w:sz w:val="18"/>
              </w:rPr>
            </w:pPr>
          </w:p>
        </w:tc>
        <w:tc>
          <w:tcPr>
            <w:tcW w:w="1080" w:type="dxa"/>
          </w:tcPr>
          <w:p>
            <w:pPr>
              <w:spacing w:beforeLines="40" w:before="96" w:afterLines="40" w:after="96"/>
              <w:jc w:val="center"/>
              <w:rPr>
                <w:noProof/>
                <w:sz w:val="18"/>
              </w:rPr>
            </w:pPr>
          </w:p>
        </w:tc>
        <w:tc>
          <w:tcPr>
            <w:tcW w:w="900" w:type="dxa"/>
          </w:tcPr>
          <w:p>
            <w:pPr>
              <w:spacing w:beforeLines="40" w:before="96" w:afterLines="40" w:after="96"/>
              <w:jc w:val="center"/>
              <w:rPr>
                <w:noProof/>
                <w:sz w:val="18"/>
              </w:rPr>
            </w:pPr>
          </w:p>
        </w:tc>
        <w:tc>
          <w:tcPr>
            <w:tcW w:w="900" w:type="dxa"/>
          </w:tcPr>
          <w:p>
            <w:pPr>
              <w:spacing w:beforeLines="40" w:before="96" w:afterLines="40" w:after="96"/>
              <w:jc w:val="center"/>
              <w:rPr>
                <w:noProof/>
                <w:sz w:val="18"/>
              </w:rPr>
            </w:pPr>
          </w:p>
        </w:tc>
        <w:tc>
          <w:tcPr>
            <w:tcW w:w="1080" w:type="dxa"/>
          </w:tcPr>
          <w:p>
            <w:pPr>
              <w:spacing w:beforeLines="40" w:before="96" w:afterLines="40" w:after="96"/>
              <w:jc w:val="center"/>
              <w:rPr>
                <w:noProof/>
                <w:sz w:val="18"/>
              </w:rPr>
            </w:pPr>
          </w:p>
        </w:tc>
        <w:tc>
          <w:tcPr>
            <w:tcW w:w="1080" w:type="dxa"/>
          </w:tcPr>
          <w:p>
            <w:pPr>
              <w:spacing w:beforeLines="40" w:before="96" w:afterLines="40" w:after="96"/>
              <w:jc w:val="center"/>
              <w:rPr>
                <w:noProof/>
                <w:sz w:val="18"/>
              </w:rPr>
            </w:pPr>
          </w:p>
        </w:tc>
        <w:tc>
          <w:tcPr>
            <w:tcW w:w="1080" w:type="dxa"/>
          </w:tcPr>
          <w:p>
            <w:pPr>
              <w:spacing w:beforeLines="40" w:before="96" w:afterLines="40" w:after="96"/>
              <w:jc w:val="center"/>
              <w:rPr>
                <w:noProof/>
                <w:sz w:val="18"/>
              </w:rPr>
            </w:pPr>
          </w:p>
        </w:tc>
        <w:tc>
          <w:tcPr>
            <w:tcW w:w="1080" w:type="dxa"/>
          </w:tcPr>
          <w:p>
            <w:pPr>
              <w:spacing w:beforeLines="40" w:before="96" w:afterLines="40" w:after="96"/>
              <w:jc w:val="center"/>
              <w:rPr>
                <w:noProof/>
                <w:sz w:val="18"/>
              </w:rPr>
            </w:pPr>
          </w:p>
        </w:tc>
      </w:tr>
    </w:tbl>
    <w:p>
      <w:pPr>
        <w:pStyle w:val="Text1"/>
        <w:rPr>
          <w:noProof/>
          <w:sz w:val="20"/>
        </w:rPr>
      </w:pPr>
      <w:r>
        <w:rPr>
          <w:noProof/>
          <w:sz w:val="20"/>
        </w:rPr>
        <w:t>Għad-dħul mixxellanju “assenjat”, speċifika l-linji tan-nefqa tal-baġit affettwati.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</w:p>
    <w:p>
      <w:pPr>
        <w:pStyle w:val="Text1"/>
        <w:rPr>
          <w:noProof/>
          <w:sz w:val="20"/>
        </w:rPr>
      </w:pPr>
      <w:r>
        <w:rPr>
          <w:noProof/>
          <w:sz w:val="20"/>
        </w:rPr>
        <w:t>Speċifika l-metodu għall-kalkolu tal-impatt fuq id-dħul.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</w:p>
    <w:sectPr>
      <w:pgSz w:w="11907" w:h="16840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DOCVARIABLE "LW_Confidence" \* MERGEFORMAT </w:instrText>
    </w:r>
    <w:r>
      <w:fldChar w:fldCharType="separate"/>
    </w:r>
    <w:r>
      <w:t xml:space="preserve"> </w:t>
    </w:r>
    <w:r>
      <w:fldChar w:fldCharType="end"/>
    </w:r>
    <w:r>
      <w:tab/>
    </w:r>
    <w:r>
      <w:rPr>
        <w:rFonts w:ascii="Arial" w:hAnsi="Arial" w:cs="Arial"/>
        <w:b/>
        <w:sz w:val="48"/>
      </w:rPr>
      <w:t>MT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9</w:t>
    </w:r>
    <w:r>
      <w:fldChar w:fldCharType="end"/>
    </w:r>
    <w:r>
      <w:tab/>
    </w:r>
    <w:r>
      <w:fldChar w:fldCharType="begin"/>
    </w:r>
    <w:r>
      <w:instrText xml:space="preserve"> DOCVARIABLE "LW_Confidence" \* MERGEFORMAT </w:instrText>
    </w:r>
    <w:r>
      <w:fldChar w:fldCharType="separate"/>
    </w:r>
    <w:r>
      <w:t xml:space="preserve"> </w:t>
    </w:r>
    <w:r>
      <w:fldChar w:fldCharType="end"/>
    </w:r>
    <w:r>
      <w:tab/>
    </w:r>
    <w:r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Landscap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20</w:t>
    </w:r>
    <w:r>
      <w:fldChar w:fldCharType="end"/>
    </w:r>
    <w:r>
      <w:tab/>
    </w:r>
    <w:r>
      <w:fldChar w:fldCharType="begin"/>
    </w:r>
    <w:r>
      <w:instrText xml:space="preserve"> DOCVARIABLE "LW_Confidence" \* MERGEFORMAT </w:instrText>
    </w:r>
    <w:r>
      <w:fldChar w:fldCharType="separate"/>
    </w:r>
    <w:r>
      <w:t xml:space="preserve"> </w:t>
    </w:r>
    <w:r>
      <w:fldChar w:fldCharType="end"/>
    </w:r>
    <w:r>
      <w:tab/>
    </w:r>
    <w:r>
      <w:rPr>
        <w:rFonts w:ascii="Arial" w:hAnsi="Arial" w:cs="Arial"/>
        <w:b/>
        <w:sz w:val="48"/>
      </w:rPr>
      <w:t>MT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Landscape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25</w:t>
    </w:r>
    <w:r>
      <w:fldChar w:fldCharType="end"/>
    </w:r>
    <w:r>
      <w:tab/>
    </w:r>
    <w:r>
      <w:fldChar w:fldCharType="begin"/>
    </w:r>
    <w:r>
      <w:instrText xml:space="preserve"> DOCVARIABLE "LW_Confidence" \* MERGEFORMAT </w:instrText>
    </w:r>
    <w:r>
      <w:fldChar w:fldCharType="separate"/>
    </w:r>
    <w:r>
      <w:t xml:space="preserve"> </w:t>
    </w:r>
    <w:r>
      <w:fldChar w:fldCharType="end"/>
    </w:r>
    <w:r>
      <w:tab/>
    </w:r>
    <w:r>
      <w:rPr>
        <w:rFonts w:ascii="Arial" w:hAnsi="Arial" w:cs="Arial"/>
        <w:b/>
        <w:sz w:val="48"/>
      </w:rPr>
      <w:t>MT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  <w:footnote w:id="1">
    <w:p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>
        <w:tab/>
        <w:t>http://ec.europa.eu/transport/modes/maritime/studies/doc/2014-06-icf-coastguard.pdf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ab/>
        <w:t>Ir-Regolament Nru XX/XX tal-Parlament Ewropew u tal-Kunsill ta' XX.</w:t>
      </w:r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tab/>
        <w:t>Ir-Regolament (KE) Nru 1406/2002 tal-Parlament Ewropew u tal-Kunsill tas-27 ta' Ġunju 2002 li jistabbilixxi l-Aġenzija Marittima Ewropea tas-Sigurtà (ĠU L 208, 5.8.2002, p.1).</w:t>
      </w:r>
    </w:p>
  </w:footnote>
  <w:footnote w:id="4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>ABM: ġestjoni bbażata fuq l-attività; ABB: baġitjar ibbażat fuq l-attività.</w:t>
      </w:r>
    </w:p>
  </w:footnote>
  <w:footnote w:id="5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>Kif isemmi fl-Artikolu 54(2)(a) jew (b) tar-Regolament Finanzjarju.</w:t>
      </w:r>
    </w:p>
  </w:footnote>
  <w:footnote w:id="6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 xml:space="preserve">Id-dettalji dwar il-metodi ta' ġestjoni u r-referenzi għar-Regolament Finanzjarju jinsabu fis-sit web tal-BudgWeb: </w:t>
      </w:r>
      <w:hyperlink r:id="rId1">
        <w:r>
          <w:rPr>
            <w:rStyle w:val="Hyperlink"/>
            <w:sz w:val="18"/>
          </w:rPr>
          <w:t>http://www.cc.cec/budg/man/budgmanag/budgmanag_en.html</w:t>
        </w:r>
      </w:hyperlink>
    </w:p>
  </w:footnote>
  <w:footnote w:id="7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>Diff:= Approprjazzjonijiet differenzjati / Mhux diff. = Approprjazzjonijiet mhux differenzjati.</w:t>
      </w:r>
    </w:p>
  </w:footnote>
  <w:footnote w:id="8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 xml:space="preserve">L-EFTA: l-Assoċjazzjoni Ewropea tal-Kummerċ Ħieles. </w:t>
      </w:r>
    </w:p>
  </w:footnote>
  <w:footnote w:id="9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>Pajjiżi kandidati u, meta applikabbli, pajjiżi kandidati potenzjali mill-Punent tal-Balkani.</w:t>
      </w:r>
    </w:p>
  </w:footnote>
  <w:footnote w:id="10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 xml:space="preserve">AC= Aġenti Kuntrattwali; AL = Persunal Lokali; END= Espert Nazzjonali Sekondat; INT = Persunal tal-Aġenzija; JED= Esperti Żgħażagħ f'Delegazzjonijiet. </w:t>
      </w:r>
    </w:p>
  </w:footnote>
  <w:footnote w:id="11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>Sottolimitu għall-persunal estern kopert mill-approprjazzjonijiet operazzjonali (il-linji "BA" preċedenti).</w:t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ab/>
        <w:t>Essenzjalment għall-Fondi Strutturali, il-Fond Agrikolu Ewropew għall-Iżvilupp Rurali (il-FAEŻR) u l-Fond Ewropew għas-Sajd (il-FES).</w:t>
      </w:r>
    </w:p>
    <w:p>
      <w:pPr>
        <w:pStyle w:val="FootnoteText"/>
        <w:rPr>
          <w:szCs w:val="24"/>
        </w:rPr>
      </w:pP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ab/>
        <w:t>Iżda bejn l-2017 u l-2020, b'kollox, il-programmazzjoni finanzjarja attwali tal-Artikolu 11 06 64 – l-Aġenzija Ewropea għall-Kontroll tas-Sajd, se tiżdied bi EUR 30 148 miljun.</w:t>
      </w:r>
    </w:p>
  </w:footnote>
  <w:footnote w:id="14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>Fejn jidħlu r-riżorsi proprji tradizzjonali (id-dazji doganali, l-imposti fuq iz-zokkor), l-ammonti indikati għandhom ikunu ammonti netti, jiġifieri ammonti gross wara li jitnaqqsu 25 % għall-ispejjeż tal-ġbir.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Landscap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Landscap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4A38B8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FFA2AB5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759A030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B014840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FCD289B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9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1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2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3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4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5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0">
    <w:nsid w:val="608C30E1"/>
    <w:multiLevelType w:val="hybridMultilevel"/>
    <w:tmpl w:val="DD98B9F8"/>
    <w:lvl w:ilvl="0" w:tplc="08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21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5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5"/>
  </w:num>
  <w:num w:numId="2">
    <w:abstractNumId w:val="14"/>
  </w:num>
  <w:num w:numId="3">
    <w:abstractNumId w:val="13"/>
  </w:num>
  <w:num w:numId="4">
    <w:abstractNumId w:val="23"/>
  </w:num>
  <w:num w:numId="5">
    <w:abstractNumId w:val="19"/>
  </w:num>
  <w:num w:numId="6">
    <w:abstractNumId w:val="24"/>
  </w:num>
  <w:num w:numId="7">
    <w:abstractNumId w:val="4"/>
  </w:num>
  <w:num w:numId="8">
    <w:abstractNumId w:val="3"/>
  </w:num>
  <w:num w:numId="9">
    <w:abstractNumId w:val="20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"/>
  </w:num>
  <w:num w:numId="15">
    <w:abstractNumId w:val="0"/>
  </w:num>
  <w:num w:numId="16">
    <w:abstractNumId w:val="18"/>
  </w:num>
  <w:num w:numId="17">
    <w:abstractNumId w:val="10"/>
  </w:num>
  <w:num w:numId="18">
    <w:abstractNumId w:val="22"/>
  </w:num>
  <w:num w:numId="19">
    <w:abstractNumId w:val="9"/>
  </w:num>
  <w:num w:numId="20">
    <w:abstractNumId w:val="11"/>
  </w:num>
  <w:num w:numId="21">
    <w:abstractNumId w:val="7"/>
  </w:num>
  <w:num w:numId="22">
    <w:abstractNumId w:val="21"/>
  </w:num>
  <w:num w:numId="23">
    <w:abstractNumId w:val="6"/>
  </w:num>
  <w:num w:numId="24">
    <w:abstractNumId w:val="12"/>
  </w:num>
  <w:num w:numId="25">
    <w:abstractNumId w:val="16"/>
  </w:num>
  <w:num w:numId="26">
    <w:abstractNumId w:val="17"/>
  </w:num>
  <w:num w:numId="27">
    <w:abstractNumId w:val="8"/>
  </w:num>
  <w:num w:numId="28">
    <w:abstractNumId w:val="15"/>
  </w:num>
  <w:num w:numId="29">
    <w:abstractNumId w:val="2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oNotDisplayPageBoundaries/>
  <w:hideSpellingErrors/>
  <w:hideGrammaticalErrors/>
  <w:attachedTemplate r:id="rId1"/>
  <w:revisionView w:markup="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VERPAGE_EXISTS" w:val="True"/>
    <w:docVar w:name="DQCDateTime" w:val="2016-01-15 16:18:34"/>
    <w:docVar w:name="DQCResult_Distribution" w:val="0;1"/>
    <w:docVar w:name="DQCResult_DocumentContent" w:val="0;0"/>
    <w:docVar w:name="DQCResult_DocumentSize" w:val="0;0"/>
    <w:docVar w:name="DQCResult_DocumentVersions" w:val="0;0"/>
    <w:docVar w:name="DQCResult_ExistenceOfMacros" w:val="0;0"/>
    <w:docVar w:name="DQCResult_InvalidFootnotes" w:val="0;0"/>
    <w:docVar w:name="DQCResult_LinkedStyles" w:val="0;0"/>
    <w:docVar w:name="DQCResult_ModifiedMargins" w:val="0;3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52"/>
    <w:docVar w:name="DQCResult_UnknownFonts" w:val="0;0"/>
    <w:docVar w:name="DQCResult_UnknownStyles" w:val="0;1"/>
    <w:docVar w:name="DQCStatus" w:val="Green"/>
    <w:docVar w:name="DQCVersion" w:val="3"/>
    <w:docVar w:name="DQCWithWarnings" w:val="0"/>
    <w:docVar w:name="LW_CONFIDENCE" w:val=" "/>
    <w:docVar w:name="LW_CONST_RESTREINT_UE" w:val="RESTREINT UE"/>
    <w:docVar w:name="LW_CORRIGENDUM" w:val="&lt;UNUSED&gt;"/>
    <w:docVar w:name="LW_COVERPAGE_GUID" w:val="300FA6F3503847E38C1834BA5D952D76"/>
    <w:docVar w:name="LW_CROSSREFERENCE" w:val="&lt;UNUSED&gt;"/>
    <w:docVar w:name="LW_DocType" w:val="COM"/>
    <w:docVar w:name="LW_EMISSION" w:val="15.12.2015"/>
    <w:docVar w:name="LW_EMISSION_ISODATE" w:val="2015-12-15"/>
    <w:docVar w:name="LW_EMISSION_LOCATION" w:val="STR"/>
    <w:docVar w:name="LW_EMISSION_PREFIX" w:val="Strasburgu, "/>
    <w:docVar w:name="LW_EMISSION_SUFFIX" w:val=" "/>
    <w:docVar w:name="LW_ID_DOCMODEL" w:val="SJ-023"/>
    <w:docVar w:name="LW_ID_DOCSIGNATURE" w:val="SJ-023"/>
    <w:docVar w:name="LW_ID_DOCSTRUCTURE" w:val="COM/PL/ORG"/>
    <w:docVar w:name="LW_ID_DOCTYPE" w:val="SJ-023"/>
    <w:docVar w:name="LW_ID_STATUT" w:val="SJ-023"/>
    <w:docVar w:name="LW_INTERETEEE.CP" w:val="&lt;UNUSED&gt;"/>
    <w:docVar w:name="LW_LANGUE" w:val="MT"/>
    <w:docVar w:name="LW_MARKING" w:val="&lt;UNUSED&gt;"/>
    <w:docVar w:name="LW_NOM.INST" w:val="IL-KUMMISSJONI EWROPEA"/>
    <w:docVar w:name="LW_NOM.INST_JOINTDOC" w:val="&lt;EMPTY&gt;"/>
    <w:docVar w:name="LW_PART_NBR" w:val="1"/>
    <w:docVar w:name="LW_PART_NBR_TOTAL" w:val="1"/>
    <w:docVar w:name="LW_REF.II.NEW.CP" w:val="COD"/>
    <w:docVar w:name="LW_REF.II.NEW.CP_NUMBER" w:val="0308"/>
    <w:docVar w:name="LW_REF.II.NEW.CP_YEAR" w:val="2015"/>
    <w:docVar w:name="LW_REF.INST.NEW" w:val="COM"/>
    <w:docVar w:name="LW_REF.INST.NEW_ADOPTED" w:val="final"/>
    <w:docVar w:name="LW_REF.INST.NEW_TEXT" w:val="(2015) 669"/>
    <w:docVar w:name="LW_REF.INTERNE" w:val="&lt;UNUSED&gt;"/>
    <w:docVar w:name="LW_SOUS.TITRE.OBJ.CP" w:val="(Test b'rilevanza g\u295?a\u380?-\u379?EE)"/>
    <w:docVar w:name="LW_STATUT.CP" w:val="Proposta g\u295?al"/>
    <w:docVar w:name="LW_SUPERTITRE" w:val="&lt;UNUSED&gt;"/>
    <w:docVar w:name="LW_TITRE.OBJ.CP" w:val="li jemenda r-Regolament tal-Kunsill (KE) Nru 768/2005 li jistabbilixxi A\u289?enzija Komunitarja g\u295?all-Kontroll tas-Sajd "/>
    <w:docVar w:name="LW_TYPE.DOC.CP" w:val="REGOLAMENT TAL-PARLAMENT EWROPEW U TAL-KUNSILL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t-MT" w:eastAsia="mt-MT" w:bidi="mt-MT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List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22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22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22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22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pPr>
      <w:numPr>
        <w:numId w:val="4"/>
      </w:numPr>
    </w:pPr>
    <w:rPr>
      <w:rFonts w:eastAsia="Times New Roman"/>
    </w:rPr>
  </w:style>
  <w:style w:type="paragraph" w:customStyle="1" w:styleId="ListBullet1">
    <w:name w:val="List Bullet 1"/>
    <w:basedOn w:val="Normal"/>
    <w:pPr>
      <w:numPr>
        <w:numId w:val="1"/>
      </w:numPr>
    </w:pPr>
    <w:rPr>
      <w:rFonts w:eastAsia="Times New Roman"/>
    </w:rPr>
  </w:style>
  <w:style w:type="paragraph" w:customStyle="1" w:styleId="ListDash1">
    <w:name w:val="List Dash 1"/>
    <w:basedOn w:val="Normal"/>
    <w:pPr>
      <w:numPr>
        <w:numId w:val="2"/>
      </w:numPr>
    </w:pPr>
    <w:rPr>
      <w:rFonts w:eastAsia="Times New Roman"/>
    </w:rPr>
  </w:style>
  <w:style w:type="paragraph" w:customStyle="1" w:styleId="ListDash2">
    <w:name w:val="List Dash 2"/>
    <w:basedOn w:val="Normal"/>
    <w:pPr>
      <w:numPr>
        <w:numId w:val="3"/>
      </w:numPr>
    </w:pPr>
    <w:rPr>
      <w:rFonts w:eastAsia="Times New Roman"/>
    </w:rPr>
  </w:style>
  <w:style w:type="paragraph" w:customStyle="1" w:styleId="ListNumberLevel2">
    <w:name w:val="List Number (Level 2)"/>
    <w:basedOn w:val="Normal"/>
    <w:pPr>
      <w:numPr>
        <w:ilvl w:val="1"/>
        <w:numId w:val="4"/>
      </w:numPr>
    </w:pPr>
    <w:rPr>
      <w:rFonts w:eastAsia="Times New Roman"/>
    </w:rPr>
  </w:style>
  <w:style w:type="paragraph" w:customStyle="1" w:styleId="ListNumberLevel3">
    <w:name w:val="List Number (Level 3)"/>
    <w:basedOn w:val="Normal"/>
    <w:pPr>
      <w:numPr>
        <w:ilvl w:val="2"/>
        <w:numId w:val="4"/>
      </w:numPr>
    </w:pPr>
    <w:rPr>
      <w:rFonts w:eastAsia="Times New Roman"/>
    </w:rPr>
  </w:style>
  <w:style w:type="paragraph" w:customStyle="1" w:styleId="ListNumberLevel4">
    <w:name w:val="List Number (Level 4)"/>
    <w:basedOn w:val="Normal"/>
    <w:pPr>
      <w:numPr>
        <w:ilvl w:val="3"/>
        <w:numId w:val="4"/>
      </w:numPr>
    </w:pPr>
    <w:rPr>
      <w:rFonts w:eastAsia="Times New Roman"/>
    </w:rPr>
  </w:style>
  <w:style w:type="character" w:styleId="Hyperlink">
    <w:name w:val="Hyperlink"/>
    <w:rPr>
      <w:color w:val="0000FF"/>
      <w:u w:val="single"/>
    </w:rPr>
  </w:style>
  <w:style w:type="paragraph" w:styleId="ListBullet">
    <w:name w:val="List Bullet"/>
    <w:basedOn w:val="Normal"/>
    <w:pPr>
      <w:numPr>
        <w:numId w:val="5"/>
      </w:numPr>
    </w:pPr>
    <w:rPr>
      <w:rFonts w:eastAsia="Times New Roman"/>
    </w:rPr>
  </w:style>
  <w:style w:type="paragraph" w:styleId="ListBullet2">
    <w:name w:val="List Bullet 2"/>
    <w:basedOn w:val="Normal"/>
    <w:pPr>
      <w:numPr>
        <w:numId w:val="6"/>
      </w:numPr>
    </w:pPr>
    <w:rPr>
      <w:rFonts w:eastAsia="Times New Roman"/>
    </w:rPr>
  </w:style>
  <w:style w:type="paragraph" w:styleId="ListBullet3">
    <w:name w:val="List Bullet 3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mt-MT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Number2">
    <w:name w:val="List Number 2"/>
    <w:basedOn w:val="Normal"/>
    <w:uiPriority w:val="99"/>
    <w:semiHidden/>
    <w:unhideWhenUsed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15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mt-MT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  <w:rPr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eastAsia="en-US"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  <w:rPr>
      <w:lang w:eastAsia="en-US" w:bidi="ar-SA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16"/>
      </w:numPr>
    </w:pPr>
  </w:style>
  <w:style w:type="paragraph" w:customStyle="1" w:styleId="Tiret1">
    <w:name w:val="Tiret 1"/>
    <w:basedOn w:val="Point1"/>
    <w:pPr>
      <w:numPr>
        <w:numId w:val="17"/>
      </w:numPr>
    </w:pPr>
  </w:style>
  <w:style w:type="paragraph" w:customStyle="1" w:styleId="Tiret2">
    <w:name w:val="Tiret 2"/>
    <w:basedOn w:val="Point2"/>
    <w:pPr>
      <w:numPr>
        <w:numId w:val="18"/>
      </w:numPr>
    </w:pPr>
  </w:style>
  <w:style w:type="paragraph" w:customStyle="1" w:styleId="Tiret3">
    <w:name w:val="Tiret 3"/>
    <w:basedOn w:val="Point3"/>
    <w:pPr>
      <w:numPr>
        <w:numId w:val="19"/>
      </w:numPr>
    </w:pPr>
  </w:style>
  <w:style w:type="paragraph" w:customStyle="1" w:styleId="Tiret4">
    <w:name w:val="Tiret 4"/>
    <w:basedOn w:val="Point4"/>
    <w:pPr>
      <w:numPr>
        <w:numId w:val="20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1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1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1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1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23"/>
      </w:numPr>
    </w:pPr>
  </w:style>
  <w:style w:type="paragraph" w:customStyle="1" w:styleId="Point1number">
    <w:name w:val="Point 1 (number)"/>
    <w:basedOn w:val="Normal"/>
    <w:pPr>
      <w:numPr>
        <w:ilvl w:val="2"/>
        <w:numId w:val="23"/>
      </w:numPr>
    </w:pPr>
  </w:style>
  <w:style w:type="paragraph" w:customStyle="1" w:styleId="Point2number">
    <w:name w:val="Point 2 (number)"/>
    <w:basedOn w:val="Normal"/>
    <w:pPr>
      <w:numPr>
        <w:ilvl w:val="4"/>
        <w:numId w:val="23"/>
      </w:numPr>
    </w:pPr>
  </w:style>
  <w:style w:type="paragraph" w:customStyle="1" w:styleId="Point3number">
    <w:name w:val="Point 3 (number)"/>
    <w:basedOn w:val="Normal"/>
    <w:pPr>
      <w:numPr>
        <w:ilvl w:val="6"/>
        <w:numId w:val="23"/>
      </w:numPr>
    </w:pPr>
  </w:style>
  <w:style w:type="paragraph" w:customStyle="1" w:styleId="Point0letter">
    <w:name w:val="Point 0 (letter)"/>
    <w:basedOn w:val="Normal"/>
    <w:pPr>
      <w:numPr>
        <w:ilvl w:val="1"/>
        <w:numId w:val="23"/>
      </w:numPr>
    </w:pPr>
  </w:style>
  <w:style w:type="paragraph" w:customStyle="1" w:styleId="Point1letter">
    <w:name w:val="Point 1 (letter)"/>
    <w:basedOn w:val="Normal"/>
    <w:pPr>
      <w:numPr>
        <w:ilvl w:val="3"/>
        <w:numId w:val="23"/>
      </w:numPr>
    </w:pPr>
  </w:style>
  <w:style w:type="paragraph" w:customStyle="1" w:styleId="Point2letter">
    <w:name w:val="Point 2 (letter)"/>
    <w:basedOn w:val="Normal"/>
    <w:pPr>
      <w:numPr>
        <w:ilvl w:val="5"/>
        <w:numId w:val="23"/>
      </w:numPr>
    </w:pPr>
  </w:style>
  <w:style w:type="paragraph" w:customStyle="1" w:styleId="Point3letter">
    <w:name w:val="Point 3 (letter)"/>
    <w:basedOn w:val="Normal"/>
    <w:pPr>
      <w:numPr>
        <w:ilvl w:val="7"/>
        <w:numId w:val="23"/>
      </w:numPr>
    </w:pPr>
  </w:style>
  <w:style w:type="paragraph" w:customStyle="1" w:styleId="Point4letter">
    <w:name w:val="Point 4 (letter)"/>
    <w:basedOn w:val="Normal"/>
    <w:pPr>
      <w:numPr>
        <w:ilvl w:val="8"/>
        <w:numId w:val="23"/>
      </w:numPr>
    </w:pPr>
  </w:style>
  <w:style w:type="paragraph" w:customStyle="1" w:styleId="Bullet0">
    <w:name w:val="Bullet 0"/>
    <w:basedOn w:val="Normal"/>
    <w:pPr>
      <w:numPr>
        <w:numId w:val="24"/>
      </w:numPr>
    </w:pPr>
  </w:style>
  <w:style w:type="paragraph" w:customStyle="1" w:styleId="Bullet1">
    <w:name w:val="Bullet 1"/>
    <w:basedOn w:val="Normal"/>
    <w:pPr>
      <w:numPr>
        <w:numId w:val="25"/>
      </w:numPr>
    </w:pPr>
  </w:style>
  <w:style w:type="paragraph" w:customStyle="1" w:styleId="Bullet2">
    <w:name w:val="Bullet 2"/>
    <w:basedOn w:val="Normal"/>
    <w:pPr>
      <w:numPr>
        <w:numId w:val="26"/>
      </w:numPr>
    </w:pPr>
  </w:style>
  <w:style w:type="paragraph" w:customStyle="1" w:styleId="Bullet3">
    <w:name w:val="Bullet 3"/>
    <w:basedOn w:val="Normal"/>
    <w:pPr>
      <w:numPr>
        <w:numId w:val="27"/>
      </w:numPr>
    </w:pPr>
  </w:style>
  <w:style w:type="paragraph" w:customStyle="1" w:styleId="Bullet4">
    <w:name w:val="Bullet 4"/>
    <w:basedOn w:val="Normal"/>
    <w:pPr>
      <w:numPr>
        <w:numId w:val="28"/>
      </w:numPr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29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ous-titreobjetPagedecouverture">
    <w:name w:val="Sous-titre objet (Page de couverture)"/>
    <w:basedOn w:val="Sous-titreobje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Sous-titreobjet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t-MT" w:eastAsia="mt-MT" w:bidi="mt-MT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List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22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22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22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22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pPr>
      <w:numPr>
        <w:numId w:val="4"/>
      </w:numPr>
    </w:pPr>
    <w:rPr>
      <w:rFonts w:eastAsia="Times New Roman"/>
    </w:rPr>
  </w:style>
  <w:style w:type="paragraph" w:customStyle="1" w:styleId="ListBullet1">
    <w:name w:val="List Bullet 1"/>
    <w:basedOn w:val="Normal"/>
    <w:pPr>
      <w:numPr>
        <w:numId w:val="1"/>
      </w:numPr>
    </w:pPr>
    <w:rPr>
      <w:rFonts w:eastAsia="Times New Roman"/>
    </w:rPr>
  </w:style>
  <w:style w:type="paragraph" w:customStyle="1" w:styleId="ListDash1">
    <w:name w:val="List Dash 1"/>
    <w:basedOn w:val="Normal"/>
    <w:pPr>
      <w:numPr>
        <w:numId w:val="2"/>
      </w:numPr>
    </w:pPr>
    <w:rPr>
      <w:rFonts w:eastAsia="Times New Roman"/>
    </w:rPr>
  </w:style>
  <w:style w:type="paragraph" w:customStyle="1" w:styleId="ListDash2">
    <w:name w:val="List Dash 2"/>
    <w:basedOn w:val="Normal"/>
    <w:pPr>
      <w:numPr>
        <w:numId w:val="3"/>
      </w:numPr>
    </w:pPr>
    <w:rPr>
      <w:rFonts w:eastAsia="Times New Roman"/>
    </w:rPr>
  </w:style>
  <w:style w:type="paragraph" w:customStyle="1" w:styleId="ListNumberLevel2">
    <w:name w:val="List Number (Level 2)"/>
    <w:basedOn w:val="Normal"/>
    <w:pPr>
      <w:numPr>
        <w:ilvl w:val="1"/>
        <w:numId w:val="4"/>
      </w:numPr>
    </w:pPr>
    <w:rPr>
      <w:rFonts w:eastAsia="Times New Roman"/>
    </w:rPr>
  </w:style>
  <w:style w:type="paragraph" w:customStyle="1" w:styleId="ListNumberLevel3">
    <w:name w:val="List Number (Level 3)"/>
    <w:basedOn w:val="Normal"/>
    <w:pPr>
      <w:numPr>
        <w:ilvl w:val="2"/>
        <w:numId w:val="4"/>
      </w:numPr>
    </w:pPr>
    <w:rPr>
      <w:rFonts w:eastAsia="Times New Roman"/>
    </w:rPr>
  </w:style>
  <w:style w:type="paragraph" w:customStyle="1" w:styleId="ListNumberLevel4">
    <w:name w:val="List Number (Level 4)"/>
    <w:basedOn w:val="Normal"/>
    <w:pPr>
      <w:numPr>
        <w:ilvl w:val="3"/>
        <w:numId w:val="4"/>
      </w:numPr>
    </w:pPr>
    <w:rPr>
      <w:rFonts w:eastAsia="Times New Roman"/>
    </w:rPr>
  </w:style>
  <w:style w:type="character" w:styleId="Hyperlink">
    <w:name w:val="Hyperlink"/>
    <w:rPr>
      <w:color w:val="0000FF"/>
      <w:u w:val="single"/>
    </w:rPr>
  </w:style>
  <w:style w:type="paragraph" w:styleId="ListBullet">
    <w:name w:val="List Bullet"/>
    <w:basedOn w:val="Normal"/>
    <w:pPr>
      <w:numPr>
        <w:numId w:val="5"/>
      </w:numPr>
    </w:pPr>
    <w:rPr>
      <w:rFonts w:eastAsia="Times New Roman"/>
    </w:rPr>
  </w:style>
  <w:style w:type="paragraph" w:styleId="ListBullet2">
    <w:name w:val="List Bullet 2"/>
    <w:basedOn w:val="Normal"/>
    <w:pPr>
      <w:numPr>
        <w:numId w:val="6"/>
      </w:numPr>
    </w:pPr>
    <w:rPr>
      <w:rFonts w:eastAsia="Times New Roman"/>
    </w:rPr>
  </w:style>
  <w:style w:type="paragraph" w:styleId="ListBullet3">
    <w:name w:val="List Bullet 3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mt-MT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Number2">
    <w:name w:val="List Number 2"/>
    <w:basedOn w:val="Normal"/>
    <w:uiPriority w:val="99"/>
    <w:semiHidden/>
    <w:unhideWhenUsed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15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mt-MT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  <w:rPr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eastAsia="en-US"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  <w:rPr>
      <w:lang w:eastAsia="en-US" w:bidi="ar-SA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16"/>
      </w:numPr>
    </w:pPr>
  </w:style>
  <w:style w:type="paragraph" w:customStyle="1" w:styleId="Tiret1">
    <w:name w:val="Tiret 1"/>
    <w:basedOn w:val="Point1"/>
    <w:pPr>
      <w:numPr>
        <w:numId w:val="17"/>
      </w:numPr>
    </w:pPr>
  </w:style>
  <w:style w:type="paragraph" w:customStyle="1" w:styleId="Tiret2">
    <w:name w:val="Tiret 2"/>
    <w:basedOn w:val="Point2"/>
    <w:pPr>
      <w:numPr>
        <w:numId w:val="18"/>
      </w:numPr>
    </w:pPr>
  </w:style>
  <w:style w:type="paragraph" w:customStyle="1" w:styleId="Tiret3">
    <w:name w:val="Tiret 3"/>
    <w:basedOn w:val="Point3"/>
    <w:pPr>
      <w:numPr>
        <w:numId w:val="19"/>
      </w:numPr>
    </w:pPr>
  </w:style>
  <w:style w:type="paragraph" w:customStyle="1" w:styleId="Tiret4">
    <w:name w:val="Tiret 4"/>
    <w:basedOn w:val="Point4"/>
    <w:pPr>
      <w:numPr>
        <w:numId w:val="20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1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1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1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1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23"/>
      </w:numPr>
    </w:pPr>
  </w:style>
  <w:style w:type="paragraph" w:customStyle="1" w:styleId="Point1number">
    <w:name w:val="Point 1 (number)"/>
    <w:basedOn w:val="Normal"/>
    <w:pPr>
      <w:numPr>
        <w:ilvl w:val="2"/>
        <w:numId w:val="23"/>
      </w:numPr>
    </w:pPr>
  </w:style>
  <w:style w:type="paragraph" w:customStyle="1" w:styleId="Point2number">
    <w:name w:val="Point 2 (number)"/>
    <w:basedOn w:val="Normal"/>
    <w:pPr>
      <w:numPr>
        <w:ilvl w:val="4"/>
        <w:numId w:val="23"/>
      </w:numPr>
    </w:pPr>
  </w:style>
  <w:style w:type="paragraph" w:customStyle="1" w:styleId="Point3number">
    <w:name w:val="Point 3 (number)"/>
    <w:basedOn w:val="Normal"/>
    <w:pPr>
      <w:numPr>
        <w:ilvl w:val="6"/>
        <w:numId w:val="23"/>
      </w:numPr>
    </w:pPr>
  </w:style>
  <w:style w:type="paragraph" w:customStyle="1" w:styleId="Point0letter">
    <w:name w:val="Point 0 (letter)"/>
    <w:basedOn w:val="Normal"/>
    <w:pPr>
      <w:numPr>
        <w:ilvl w:val="1"/>
        <w:numId w:val="23"/>
      </w:numPr>
    </w:pPr>
  </w:style>
  <w:style w:type="paragraph" w:customStyle="1" w:styleId="Point1letter">
    <w:name w:val="Point 1 (letter)"/>
    <w:basedOn w:val="Normal"/>
    <w:pPr>
      <w:numPr>
        <w:ilvl w:val="3"/>
        <w:numId w:val="23"/>
      </w:numPr>
    </w:pPr>
  </w:style>
  <w:style w:type="paragraph" w:customStyle="1" w:styleId="Point2letter">
    <w:name w:val="Point 2 (letter)"/>
    <w:basedOn w:val="Normal"/>
    <w:pPr>
      <w:numPr>
        <w:ilvl w:val="5"/>
        <w:numId w:val="23"/>
      </w:numPr>
    </w:pPr>
  </w:style>
  <w:style w:type="paragraph" w:customStyle="1" w:styleId="Point3letter">
    <w:name w:val="Point 3 (letter)"/>
    <w:basedOn w:val="Normal"/>
    <w:pPr>
      <w:numPr>
        <w:ilvl w:val="7"/>
        <w:numId w:val="23"/>
      </w:numPr>
    </w:pPr>
  </w:style>
  <w:style w:type="paragraph" w:customStyle="1" w:styleId="Point4letter">
    <w:name w:val="Point 4 (letter)"/>
    <w:basedOn w:val="Normal"/>
    <w:pPr>
      <w:numPr>
        <w:ilvl w:val="8"/>
        <w:numId w:val="23"/>
      </w:numPr>
    </w:pPr>
  </w:style>
  <w:style w:type="paragraph" w:customStyle="1" w:styleId="Bullet0">
    <w:name w:val="Bullet 0"/>
    <w:basedOn w:val="Normal"/>
    <w:pPr>
      <w:numPr>
        <w:numId w:val="24"/>
      </w:numPr>
    </w:pPr>
  </w:style>
  <w:style w:type="paragraph" w:customStyle="1" w:styleId="Bullet1">
    <w:name w:val="Bullet 1"/>
    <w:basedOn w:val="Normal"/>
    <w:pPr>
      <w:numPr>
        <w:numId w:val="25"/>
      </w:numPr>
    </w:pPr>
  </w:style>
  <w:style w:type="paragraph" w:customStyle="1" w:styleId="Bullet2">
    <w:name w:val="Bullet 2"/>
    <w:basedOn w:val="Normal"/>
    <w:pPr>
      <w:numPr>
        <w:numId w:val="26"/>
      </w:numPr>
    </w:pPr>
  </w:style>
  <w:style w:type="paragraph" w:customStyle="1" w:styleId="Bullet3">
    <w:name w:val="Bullet 3"/>
    <w:basedOn w:val="Normal"/>
    <w:pPr>
      <w:numPr>
        <w:numId w:val="27"/>
      </w:numPr>
    </w:pPr>
  </w:style>
  <w:style w:type="paragraph" w:customStyle="1" w:styleId="Bullet4">
    <w:name w:val="Bullet 4"/>
    <w:basedOn w:val="Normal"/>
    <w:pPr>
      <w:numPr>
        <w:numId w:val="28"/>
      </w:numPr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29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ous-titreobjetPagedecouverture">
    <w:name w:val="Sous-titre objet (Page de couverture)"/>
    <w:basedOn w:val="Sous-titreobje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Sous-titreobjet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6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_rels/footnotes.xml.rels><?xml version='1.0' encoding='UTF-8' standalone='yes'?>
<Relationships xmlns="http://schemas.openxmlformats.org/package/2006/relationships"><Relationship Id="rId1" Type="http://schemas.openxmlformats.org/officeDocument/2006/relationships/hyperlink" Target="http://www.cc.cec/budg/man/budgmanag/budgmanag_en.html" TargetMode="Externa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0D0B3-EFD0-49D1-80A0-0A5385ED4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2</TotalTime>
  <Pages>25</Pages>
  <Words>4865</Words>
  <Characters>36538</Characters>
  <Application>Microsoft Office Word</Application>
  <DocSecurity>0</DocSecurity>
  <Lines>1405</Lines>
  <Paragraphs>781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18</cp:revision>
  <cp:lastPrinted>2015-12-09T12:26:00Z</cp:lastPrinted>
  <dcterms:created xsi:type="dcterms:W3CDTF">2016-01-13T07:57:00Z</dcterms:created>
  <dcterms:modified xsi:type="dcterms:W3CDTF">2016-01-15T15:18:00Z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Classification">
    <vt:lpwstr> </vt:lpwstr>
  </property>
  <property fmtid="{D5CDD505-2E9C-101B-9397-08002B2CF9AE}" pid="4" name="Version">
    <vt:lpwstr>5.84.2.0</vt:lpwstr>
  </property>
  <property fmtid="{D5CDD505-2E9C-101B-9397-08002B2CF9AE}" pid="5" name="Last edited using">
    <vt:lpwstr>LW 5.8.4, Build 20150407</vt:lpwstr>
  </property>
  <property fmtid="{D5CDD505-2E9C-101B-9397-08002B2CF9AE}" pid="6" name="Created using">
    <vt:lpwstr>LW 5.8.4, Build 20150407</vt:lpwstr>
  </property>
  <property fmtid="{D5CDD505-2E9C-101B-9397-08002B2CF9AE}" pid="7" name="Part">
    <vt:lpwstr>1</vt:lpwstr>
  </property>
  <property fmtid="{D5CDD505-2E9C-101B-9397-08002B2CF9AE}" pid="8" name="Total parts">
    <vt:lpwstr>1</vt:lpwstr>
  </property>
  <property fmtid="{D5CDD505-2E9C-101B-9397-08002B2CF9AE}" pid="9" name="LWTemplateID">
    <vt:lpwstr>SJ-023</vt:lpwstr>
  </property>
  <property fmtid="{D5CDD505-2E9C-101B-9397-08002B2CF9AE}" pid="10" name="DQCStatus">
    <vt:lpwstr>Green (DQC version 03)</vt:lpwstr>
  </property>
  <property name="OP_sanitized" fmtid="{D5CDD505-2E9C-101B-9397-08002B2CF9AE}" pid="11">
    <vt:lpwstr>True</vt:lpwstr>
  </property>
</Properties>
</file>