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8DB75F91256E477BB948B7FE8ED2DB0B" style="width:450.8pt;height:365.9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IL-KUNTEST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Ir-raġunijiet għall-proposta u l-għanijiet tagħha</w:t>
      </w:r>
    </w:p>
    <w:p>
      <w:pPr>
        <w:rPr>
          <w:noProof/>
        </w:rPr>
      </w:pPr>
      <w:r>
        <w:rPr>
          <w:noProof/>
        </w:rPr>
        <w:t>Skont l-Artikolu 395(1) tad-Direttiva 2006/112/KE tat-28 ta' Novembru 2006 dwar is-sistema komuni ta' taxxa fuq il-valur miżjud</w:t>
      </w:r>
      <w:r>
        <w:rPr>
          <w:rStyle w:val="FootnoteReference"/>
          <w:noProof/>
        </w:rPr>
        <w:footnoteReference w:id="1"/>
      </w:r>
      <w:r>
        <w:rPr>
          <w:noProof/>
        </w:rPr>
        <w:t>, il-Kunsill, li jaġixxi unanimament fuq proposta tal-Kummissjoni, jista’ jawtorizza lil kull Stat Membru japplika miżuri speċjali ta’ deroga mid-Direttiva sabiex jissimplifika l-proċedura tal-intaxxar jew sabiex jipprevjeni ċertu tipi ta’ evażjoni jew ta’ evitar tat-taxxa.</w:t>
      </w:r>
    </w:p>
    <w:p>
      <w:pPr>
        <w:rPr>
          <w:noProof/>
        </w:rPr>
      </w:pPr>
      <w:r>
        <w:rPr>
          <w:noProof/>
        </w:rPr>
        <w:t>Permezz ta’ ittri rreġistrati mal-Kummissjoni fid-19 ta’ Marzu 2015 u fis-16 ta’ Marzu 2015 rispettivament, l-Awstrija u l-Ġermanja talbu awtorizzazzjoni biex ikomplu japplikaw miżura ta' deroga mill-Artikoli 168 u 168a tad-Direttiva 2006/112/KE, sabiex tkun eskluża mid-dritt ta' tnaqqis il-VAT fuq oġġetti u servizzi li jintużaw f’iktar minn 90 % tal-każijiet għal għanijiet li mhumiex tan-negozju.</w:t>
      </w:r>
    </w:p>
    <w:p>
      <w:pPr>
        <w:rPr>
          <w:noProof/>
        </w:rPr>
      </w:pPr>
      <w:r>
        <w:rPr>
          <w:noProof/>
        </w:rPr>
        <w:t>Skont l-Artikolu 395(2) tad-Direttiva 2006/112/KE, permezz ta’ ittra tal-15 ta’ Settembru 2015, il-Kummissjoni għarrfet lill-Istati Membri l-oħrajn bit-talbiet li għamlu l-Awstrija u l-Ġermanja. Permezz ta’ ittri tas-17 ta’ Settembru 2015, il-Kummissjoni għarrfet lill-Awstrija u lill-Ġermanja li hija kellha l-informazzjoni kollha meħtieġa biex tqis it-talbiet tagħhom.</w:t>
      </w:r>
    </w:p>
    <w:p>
      <w:pPr>
        <w:rPr>
          <w:noProof/>
        </w:rPr>
      </w:pPr>
      <w:r>
        <w:rPr>
          <w:noProof/>
        </w:rPr>
        <w:t xml:space="preserve">Skont l-Artikolu 168 tad-Direttiva 2006/112/KE, persuna taxxabbli hija intitolata tnaqqas il-VAT imposta fuq l-affarijiet li tkun xtrat għall-iskopijiet tat-tranżazzjonijiet taxxabbli tagħha. Skont l-Artikolu 168a(1) tad-Direttiva 2006/112/KE, il-VAT fuq l-infiq relatat ma' proprjetà immobbli li tifforma parti mill-assi kummerċjali ta' persuna taxxabbli u li tintuża kemm għal finijiet tan-negozju kif ukoll għal finijiet li mhumiex tan-negozju, għandha tkun deduċibbli sal-proporzjon biss tal-użu tal-proprjetà għall-finijiet kummerċjali tal-persuna taxxabbli. Skont l-Artikolu 168a(2) tad-Direttiva 2006/112/KE, l-Istati Membri jistgħu japplikaw din ir-regola wkoll għall-infiq relatat ma' oġġetti oħrajn li jiffurmaw parti mill-assi kummerċjali, skont dak li jispeċifikaw. </w:t>
      </w:r>
    </w:p>
    <w:p>
      <w:pPr>
        <w:rPr>
          <w:noProof/>
        </w:rPr>
      </w:pPr>
      <w:r>
        <w:rPr>
          <w:noProof/>
        </w:rPr>
        <w:t>Il-miżura li l-Awstrija u l-Ġermanja qed japplikaw ma żżommx ma' dawk il-prinċipji u teskludi kompletament mid-dritt tat-tnaqqis il-VAT fuq l-oġġetti u s-servizzi li l-persuna taxxabbli tuża, f’iktar minn 90 % tal-każijiet, għal għanijiet privati jew li mhumiex tan-negozju, inklużi l-attivitajiet mhux ekonomiċi.</w:t>
      </w:r>
    </w:p>
    <w:p>
      <w:pPr>
        <w:rPr>
          <w:noProof/>
        </w:rPr>
      </w:pPr>
      <w:r>
        <w:rPr>
          <w:noProof/>
        </w:rPr>
        <w:t>Il-miżura ta’ deroga ngħatat lill-Awstrija inizjalment permezz tad-Deċiżjoni tal-Kunsill 2004/866/KE tat-13 ta’ Diċembru 2004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għal perjodu sal-31 ta’ Diċembru 2009 u mbagħad reġgħet ingħatatilha permezz tad-Deċiżjoni ta' implimentazzjoni tal-Kunsill 2009/1013/UE tat-22 ta’ Diċembru 2012</w:t>
      </w:r>
      <w:r>
        <w:rPr>
          <w:rStyle w:val="FootnoteReference"/>
          <w:noProof/>
        </w:rPr>
        <w:footnoteReference w:id="3"/>
      </w:r>
      <w:r>
        <w:rPr>
          <w:noProof/>
        </w:rPr>
        <w:t xml:space="preserve"> sal-31 ta’ Diċembru 2012 u permezz tad-Deċiżjoni ta’ Implimentazzjoni tal-Kunsill 2012/705/UE tat-13 ta’ Novembru 2012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 sal-31 ta' Diċembru 2015.</w:t>
      </w:r>
    </w:p>
    <w:p>
      <w:pPr>
        <w:rPr>
          <w:noProof/>
        </w:rPr>
      </w:pPr>
      <w:r>
        <w:rPr>
          <w:noProof/>
        </w:rPr>
        <w:t>Il-miżura ta’ deroga ngħatat lill-Ġermanja inizjalment permezz tad-Deċiżjoni tal-Kunsill 2003/354/KE tat-13 ta’ Mejju 2003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 sat-30 ta’ Ġunju 2004 u mbagħad reġgħet ingħatatilha permezz tad-Deċiżjoni tal-Kunsill 2004/817/KE tad-19 ta’ Novembru 2004</w:t>
      </w:r>
      <w:r>
        <w:rPr>
          <w:rStyle w:val="FootnoteReference"/>
          <w:noProof/>
        </w:rPr>
        <w:footnoteReference w:id="6"/>
      </w:r>
      <w:r>
        <w:rPr>
          <w:noProof/>
        </w:rPr>
        <w:t xml:space="preserve"> sal-31 ta’ Diċembru 2009, permezz tad-Deċiżjoni tal-Kunsill 2009/791/KE tal-20 ta’ Ottubru 2009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sal-31 ta’ Diċembru 2012 u permezz tad-Deċiżjoni ta’ Implimentazzjoni tal-Kunsill 2012/705/UE tat-13 ta’ Novembru 2012 sal-31 ta’ Diċembru 2015.</w:t>
      </w:r>
    </w:p>
    <w:p>
      <w:pPr>
        <w:rPr>
          <w:noProof/>
        </w:rPr>
      </w:pPr>
      <w:r>
        <w:rPr>
          <w:noProof/>
        </w:rPr>
        <w:t>Fit-talbiet attwali tagħhom, l-Awstrija u l-Ġermanja għarrfu lill-Kummissjoni li s’issa kienu qed japplikaw b’suċċess din il-miżura speċjali, u li l-esperjenza tagħhom biha kienet li din hija miżura utli ħafna fir-rigward tas-simplifikazzjoni tal-ġbir tal-VAT u tal-prevenzjoni tal-evażjoni u tal-evitar tat-taxxa.</w:t>
      </w:r>
    </w:p>
    <w:p>
      <w:pPr>
        <w:rPr>
          <w:noProof/>
        </w:rPr>
      </w:pPr>
      <w:r>
        <w:rPr>
          <w:noProof/>
        </w:rPr>
        <w:t xml:space="preserve">B’mod ġenerali, id-derogi jingħataw għal perjodu limitat taż-żmien sabiex ikun jista’ jiġi vvalutat jekk il-miżura speċjali tkunx xierqa u effettiva jew le. Minn dan il-lat, abbażi tal-informazzjoni li bagħtu l-Awstrija u l-Ġermanja, il-Kummissjoni tifhem li t-tqassim ta’ 90 % u 10 % għall-użu kummerċjali u għal dak mhux kummerċjali għadu jirrappreżenta bażi soda biex jingħażlu t-tranżazzjonijiet li għalihom l-użu kummerċjali jista’ jitqies bħala negliġibbli. </w:t>
      </w:r>
    </w:p>
    <w:p>
      <w:pPr>
        <w:rPr>
          <w:noProof/>
        </w:rPr>
      </w:pPr>
      <w:r>
        <w:rPr>
          <w:noProof/>
        </w:rPr>
        <w:t>Minħabba f’hekk, lill-amministrazzjonijiet tat-taxxa u lin-negozji l-miżura speċjali kkonċernata tiffaċilitalhom ħajjithom billi ma jkollhomx bżonn jimmonitorjaw l-użu sussegwenti tal-oġġetti u tas-servizzi li għalihom tkun applikat l-esklużjoni mit-tnaqqis meta jkunu nxtraw, b’mod partikulari f’dak li għandu x’jaqsam mat-tassazzjoni possibbli ta’ użu privat skont l-Artikolu 16 jew 26 tad-Direttiva 2006/112/KE jew mal-aġġustamenti għat-tnaqqis kif meħtieġ skont l-Artikoli 184 sa 192 ta’ dik id-Direttiva. L-ammont ta’ taxxa dovut fil-livell tal-konsum finali huwa affettwat biss b’mod negliġibbli. Għalhekk, huwa xieraq li l-miżura ta’ deroga tiġi estiża.</w:t>
      </w:r>
    </w:p>
    <w:p>
      <w:pPr>
        <w:rPr>
          <w:noProof/>
        </w:rPr>
      </w:pPr>
      <w:r>
        <w:rPr>
          <w:noProof/>
        </w:rPr>
        <w:t>Madankollu, kull estensjoni għandha tingħata għal perjodu limitat taż-żmien sabiex ikun jista’ jiġi vvalutat jekk il-kundizzjonijiet li fuqhom jissejsu d-derogi jkunux għadhom validi jew le. Għaldaqstant, qed jiġi propost li d-derogi jiġu estiżi sa tmiem l-2018 u li, flimkien mat-talba għall-estensjoni, l-Awstrija u l-Ġermanja għandhom jintalbu jippreżentaw rapport sa mhux aktar tard mill-1 ta’ April 2018 li jkun jinkludi analiżi tat-tqassim applikat għall-użu kummerċjali u għal dak mhux kummerċjali li fuqu tissejjes l-esklużjoni mit-tnaqqis, f’każ li tkun prevista estensjoni oħra għal wara l-2018.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Il-konsistenza ma’ dispożizzjonijiet tal-politika eżistenti fil-qasam tal-politika</w:t>
      </w:r>
    </w:p>
    <w:p>
      <w:pPr>
        <w:rPr>
          <w:noProof/>
        </w:rPr>
      </w:pPr>
      <w:r>
        <w:rPr>
          <w:noProof/>
        </w:rPr>
        <w:t>Skont l-Artikolu 176 tad-Direttiva 2006/112/KE, il-Kunsill għandu jistabbilixxi n-nefqa li minnha ma tistax titnaqqas il-VAT. Sakemm dan iseħħ, huwa jawtorizza lill-Istati Membri jkomplu japplikaw l-esklużjonijiet li kienu fis-seħħ fl-1 ta' Jannar 1979. Għaldaqstant, hemm għadd ta' dispożizzjonijiet ta' "</w:t>
      </w:r>
      <w:r>
        <w:rPr>
          <w:i/>
          <w:noProof/>
        </w:rPr>
        <w:t>status quo</w:t>
      </w:r>
      <w:r>
        <w:rPr>
          <w:noProof/>
        </w:rPr>
        <w:t>" li jillimitaw id-dritt ta’ tnaqqis.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IL-BAŻI ĠURIDIKA, IS-SUSSIDJARJETÀ U L-PROPORZJONALITÀ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Il-bażi ġuridika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L-Artikolu 395(1) tad-Direttiva tal-Kunsill 2006/112/KE tat-28 ta' Novembru 2006 dwar is-sistema komuni ta' taxxa fuq il-valur miżjud.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 xml:space="preserve">Is-sussidjarjetà (għall-kompetenzi mhux esklużivi) </w:t>
      </w:r>
    </w:p>
    <w:p>
      <w:pPr>
        <w:rPr>
          <w:noProof/>
        </w:rPr>
      </w:pPr>
      <w:r>
        <w:rPr>
          <w:noProof/>
        </w:rPr>
        <w:t>Il-proposta taqa’ taħt il-kompetenza esklużiva tal-Unjoni. Għalhekk il-prinċipju tas-sussidjarjetà ma japplikax.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Il-proporzjonalità</w:t>
      </w:r>
    </w:p>
    <w:p>
      <w:pPr>
        <w:rPr>
          <w:noProof/>
        </w:rPr>
      </w:pPr>
      <w:r>
        <w:rPr>
          <w:noProof/>
        </w:rPr>
        <w:t>Il-proposta hija konformi mal-prinċipju tal-proporzjonalità għar-raġunijiet li ġejjin.</w:t>
      </w:r>
    </w:p>
    <w:p>
      <w:pPr>
        <w:rPr>
          <w:noProof/>
        </w:rPr>
      </w:pPr>
      <w:r>
        <w:rPr>
          <w:noProof/>
        </w:rPr>
        <w:t>Din id-Deċiżjoni tikkonċerna awtorizzazzjoni mogħtija lill-Istati Membri fuq talba tagħhom stess u ma timplika l-ebda obbligu.</w:t>
      </w:r>
    </w:p>
    <w:p>
      <w:pPr>
        <w:rPr>
          <w:noProof/>
        </w:rPr>
      </w:pPr>
      <w:r>
        <w:rPr>
          <w:noProof/>
        </w:rPr>
        <w:t>Minħabba l-ambitu limitat tad-deroga, il-miżura speċjali hija proporzjonata mal-għan mixtieq.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L-għażla tal-istrument</w:t>
      </w:r>
    </w:p>
    <w:p>
      <w:pPr>
        <w:rPr>
          <w:noProof/>
        </w:rPr>
      </w:pPr>
      <w:r>
        <w:rPr>
          <w:noProof/>
        </w:rPr>
        <w:t>L-istrument propost: Deċiżjoni ta’ Implimentazzjoni tal-Kunsill.</w:t>
      </w:r>
    </w:p>
    <w:p>
      <w:pPr>
        <w:rPr>
          <w:noProof/>
        </w:rPr>
      </w:pPr>
      <w:r>
        <w:rPr>
          <w:noProof/>
        </w:rPr>
        <w:t>L-użu ta’ mezzi oħra ma jkunx xieraq għar-raġunijiet li ġejjin: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skont l-Artikolu 395 tad-Direttiva tal-Kunsill 2006/112/KE, deroga mir-regoli komuni tal-VAT tista’ tingħata biss bl-awtorizzazzjoni tal-Kunsill li jaġixxi unanimament fuq proposta tal-Kummissjoni. Deċiżjoni ta’ Implementazzjoni tal-Kunsill hija l-uniku strument xieraq għal dan minħabba li din tista’ tiġi indirizzata lill-Istati Membri individwali.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IR-RIŻULTATI TAL-EVALWAZZJONIJIET </w:t>
      </w:r>
      <w:r>
        <w:rPr>
          <w:i/>
          <w:noProof/>
        </w:rPr>
        <w:t>EX-POST</w:t>
      </w:r>
      <w:r>
        <w:rPr>
          <w:noProof/>
        </w:rPr>
        <w:t>, TAL-KONSULTAZZJONIJIET MAL-PARTIJIET IKKONĊERNATI U TAL-VALUTAZZJONIJIET TAL-IMPATT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Il-konsultazzjonijiet mal-partijiet ikkonċernati</w:t>
      </w:r>
    </w:p>
    <w:p>
      <w:pPr>
        <w:rPr>
          <w:noProof/>
        </w:rPr>
      </w:pPr>
      <w:r>
        <w:rPr>
          <w:noProof/>
        </w:rPr>
        <w:t>Mhux rilevanti.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Il-ġbir u l-użu tal-għarfien espert</w:t>
      </w:r>
    </w:p>
    <w:p>
      <w:pPr>
        <w:rPr>
          <w:noProof/>
        </w:rPr>
      </w:pPr>
      <w:r>
        <w:rPr>
          <w:noProof/>
        </w:rPr>
        <w:t>Ma kien hemm bżonn tal-ebda għarfien espert estern.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Il-valutazzjoni tal-impatt</w:t>
      </w:r>
    </w:p>
    <w:p>
      <w:pPr>
        <w:rPr>
          <w:noProof/>
        </w:rPr>
      </w:pPr>
      <w:r>
        <w:rPr>
          <w:noProof/>
        </w:rPr>
        <w:t>Il-proposta hija mfassla biex tħaffef il-proċedura tal-intaxxar u, għaldaqstant, għandha impatt potenzjalment pożittiv kemm fuq in-negozji u kemm fuq l-amministrazzjonijiet. L-Awstrija u l-Ġermanja identifikaw din il-miżura bħala waħda adegwata u din tixbah lil derogi oħrajn li ngħataw fl-imgħoddi u li huma fis-seħħ dal-ħin.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L-IMPLIKAZZJONIJIET BAĠITARJI</w:t>
      </w:r>
    </w:p>
    <w:p>
      <w:pPr>
        <w:rPr>
          <w:noProof/>
        </w:rPr>
      </w:pPr>
      <w:r>
        <w:rPr>
          <w:noProof/>
        </w:rPr>
        <w:t>Il-proposta mhux ser ikollha impatt negattiv fuq ir-riżorzi proprji tal-Unjoni mill-VAT.</w:t>
      </w:r>
    </w:p>
    <w:p>
      <w:pPr>
        <w:pStyle w:val="ManualHeading1"/>
        <w:rPr>
          <w:noProof/>
        </w:rPr>
      </w:pPr>
      <w:r>
        <w:rPr>
          <w:noProof/>
        </w:rPr>
        <w:t>5.</w:t>
      </w:r>
      <w:r>
        <w:rPr>
          <w:noProof/>
        </w:rPr>
        <w:tab/>
        <w:t>ELEMENTI OĦRAJN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Il-proposta tinkludi klawżola ta’ rieżami u klawżola ta’ estinzjoni.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t>2015/0242 (NLE)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DEĊIŻJONI TA’ IMPLIMENTAZZJONI TAL-KUNSILL</w:t>
      </w:r>
    </w:p>
    <w:p>
      <w:pPr>
        <w:pStyle w:val="Titreobjet"/>
        <w:rPr>
          <w:noProof/>
        </w:rPr>
      </w:pPr>
      <w:r>
        <w:rPr>
          <w:noProof/>
        </w:rPr>
        <w:t>li temenda d-Deċiżjonijiet 2009/791/KE u 2009/1013/UE li jawtorizzaw lill-Ġermanja u lill-Awstrija rispettivament ikomplu japplikaw miżura ta’ deroga mill-Artikoli 168 u 168a tad-Direttiva 2006/112/KE dwar is-sistema komuni ta’ taxxa fuq il-valur miżjud</w:t>
      </w:r>
    </w:p>
    <w:p>
      <w:pPr>
        <w:pStyle w:val="Institutionquiagit"/>
        <w:rPr>
          <w:noProof/>
        </w:rPr>
      </w:pPr>
      <w:r>
        <w:rPr>
          <w:noProof/>
        </w:rPr>
        <w:t>IL-KUNSILL TAL-UNJONI EWROPEA,</w:t>
      </w:r>
    </w:p>
    <w:p>
      <w:pPr>
        <w:rPr>
          <w:noProof/>
        </w:rPr>
      </w:pPr>
      <w:r>
        <w:rPr>
          <w:noProof/>
        </w:rPr>
        <w:t>Wara li kkunsidra t-Trattat dwar il-Funzjonament tal-Unjoni Ewropea,</w:t>
      </w:r>
    </w:p>
    <w:p>
      <w:pPr>
        <w:rPr>
          <w:noProof/>
        </w:rPr>
      </w:pPr>
      <w:r>
        <w:rPr>
          <w:noProof/>
        </w:rPr>
        <w:t>Wara li kkunsidra d-Direttiva tal-Kunsill 2006/112/KE tat-28 ta' Novembru 2006 dwar is-sistema komuni ta’ taxxa fuq il-valur miżjud</w:t>
      </w:r>
      <w:r>
        <w:rPr>
          <w:rStyle w:val="FootnoteReference"/>
          <w:noProof/>
        </w:rPr>
        <w:footnoteReference w:id="8"/>
      </w:r>
      <w:r>
        <w:rPr>
          <w:noProof/>
        </w:rPr>
        <w:t>, u b’mod partikulari l-Artikolu 395(1) tagħha,</w:t>
      </w:r>
    </w:p>
    <w:p>
      <w:pPr>
        <w:rPr>
          <w:noProof/>
        </w:rPr>
      </w:pPr>
      <w:r>
        <w:rPr>
          <w:noProof/>
        </w:rPr>
        <w:t>Wara li kkunsidra l-proposta tal-Kummissjoni Ewropea,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Permezz tad-Deċiżjonijiet tal-Kunsill 2009/791/KE</w:t>
      </w:r>
      <w:r>
        <w:rPr>
          <w:rStyle w:val="FootnoteReference"/>
          <w:noProof/>
        </w:rPr>
        <w:footnoteReference w:id="9"/>
      </w:r>
      <w:r>
        <w:rPr>
          <w:noProof/>
        </w:rPr>
        <w:t xml:space="preserve"> u 2009/1013/UE</w:t>
      </w:r>
      <w:r>
        <w:rPr>
          <w:rStyle w:val="FootnoteReference"/>
          <w:noProof/>
        </w:rPr>
        <w:footnoteReference w:id="10"/>
      </w:r>
      <w:r>
        <w:rPr>
          <w:noProof/>
        </w:rPr>
        <w:t xml:space="preserve"> rispettivament, il-Ġermanja u l-Awstrija t-tnejn ingħataw miżura ta’ deroga. Id-Deċiżjoni ta’ Implimentazzjoni tal-Kunsill 2012/705/UE</w:t>
      </w:r>
      <w:r>
        <w:rPr>
          <w:rStyle w:val="FootnoteReference"/>
          <w:noProof/>
        </w:rPr>
        <w:footnoteReference w:id="11"/>
      </w:r>
      <w:r>
        <w:rPr>
          <w:noProof/>
        </w:rPr>
        <w:t xml:space="preserve"> estendiet l-applikazzjoni ta’ din il-miżura sal-31 ta’ Diċembru 2015.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>Il-miżura speċjali tidderoga mill-Artikoli 168 u 168a tad-Direttiva 2006/112/KE li jirregolaw id-dritt tal-persuni taxxabbli li jnaqqsu l-VAT imposta fuq l-oġġetti u s-servizzi fornuti lilhom għall-iskopijiet tat-tranżazzjonijiet taxxabbli tagħhom. Il-miżura ta’ deroga għandha l-għan li teskludi kompletament mid-dritt tat-tnaqqis il-VAT fuq l-oġġetti u s-servizzi meta l-persuna taxxabbli tuża dawn l-oġġetti u s-servizzi, f’iktar minn 90 % tal-każijiet, għal għanijiet privati jew għall-għanijiet tal-impjegati tagħha, jew b’mod ġenerali għal għanijiet li mhumiex tan-negozju jew għal attivitajiet mhux ekonomiċi.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Sabiex titqies il-ġurisprudenza tal-Qorti tal-Ġustizzja tal-Unjoni Ewropea, skont liema l-VAT tal-input marbuta man-nefqa mġarrba minn persuna taxxabbli ma tistax titnaqqas jekk tkun marbuta ma’ attivitajiet li, fid-dawl tan-natura mhux ekonomika tagħhom, ma jaqgħux fil-kamp ta’ applikazzjoni tad-Direttiva 2006/112/KE, huwa xieraq li jiġi ċċarat li l-miżuri speċjali japplikaw ukoll għall-oġġetti u għas-servizzi li jintużaw għall-attivitajiet ta’ natura mhux ekonomika.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>L-għan tal-miżura speċjali huwa li tissimplifika l-proċedura tal-intaxxar u tal-ġbir tal-VAT. L-ammont ta’ taxxa dovut fil-livell tal-konsum finali huwa affettwat biss b’mod negliġibbli.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 xml:space="preserve">Permezz ta’ ittri rreġistrati mal-Kummissjoni fis-16 ta’ Marzu 2015 u fid-19 ta’ Marzu 2015 rispettivament, il-Ġermanja u l-Awstrija talbu awtorizzazzjoni biex ikomplu japplikaw il-miżura speċjali. 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>Skont it-tieni subparagrafu tal-Artikolu 395(2) tad-Direttiva 2006/112/KE, permezz ta’ ittri tal-15 ta’ Settembru 2015, il-Kummissjoni għarrfet lill-Istati Membri l-oħra dwar it-talbiet li għamlu l-Awstrija u l-Ġermanja. Permezz ta’ ittri tas-17 ta’ Settembru 2015, il-Kummissjoni għarrfet lill-Awstrija u lill-Ġermanja li hija kellha l-informazzjoni kollha meħtieġa biex tqis it-talbiet tagħhom.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>Skont l-informazzjoni li bagħtu l-Awstrija u l-Ġermanja, is-sitwazzjoni legali u fattwali li ġġustifikat l-applikazzjoni attwali tal-miżura speċjali kkonċernata ma nbidlitx u għadha teżisti. Għalhekk, l-Awstrija u l-Ġermanja għandhom ikunu awtorizzati jkomplu japplikaw din il-miżura speċjali għal perjodu addizzjonali taż-żmien, li madankollu għandu jkun limitat sa mhux aktar tard mill-31 ta’ Diċembru 2018 sabiex ikun jista’ jiġi analizzat il-miżura ta’ deroga u r-rata ta’ tqassim tal-użu kummerċjali u mhux li tissejjes fuqha kemm hemm bżonnhom u kemm huma effikaċi.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F’każ li l-Awstrija jew il-Ġermanja jħossu li jkun hemm bżonn ta’ estensjoni oħra wara l-2018, huma għandhom jibagħtu rapport lill-Kummissjoni dwar l-applikazzjoni tal-miżura, li jkun jinkludi analiżi tar-rata ta’ tqassim applikata, flimkien mat-talba għall-estensjoni sa mhux aktar tard mill-31 ta’ Marzu 2018, sabiex il-Kummissjoni jkollha biżżejjed żmien biex teżamina t-talba.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>Id-derogi se jkollhom biss effett negliġibbli fuq l-ammont globali ta’ taxxa miġbura fl-istadju tal-konsum finali u mhux se jkollhom impatt negattiv fuq ir-riżorsi proprji tal-Unjoni li jinġabru mit-taxxa fuq il-valur miżjud.</w:t>
      </w:r>
    </w:p>
    <w:p>
      <w:pPr>
        <w:pStyle w:val="ManualConsidrant"/>
        <w:rPr>
          <w:noProof/>
        </w:rPr>
      </w:pPr>
      <w:r>
        <w:t>(10)</w:t>
      </w:r>
      <w:r>
        <w:tab/>
      </w:r>
      <w:r>
        <w:rPr>
          <w:noProof/>
        </w:rPr>
        <w:t>Għalhekk, id-Deċiżjonijiet 2009/791/KE u 2009/1013/UE għandhom jiġu emendati skont dan,</w:t>
      </w:r>
    </w:p>
    <w:p>
      <w:pPr>
        <w:pStyle w:val="Formuledadoption"/>
        <w:rPr>
          <w:noProof/>
        </w:rPr>
      </w:pPr>
      <w:r>
        <w:rPr>
          <w:noProof/>
        </w:rPr>
        <w:t xml:space="preserve">ADOTTA DIN ID-DEĊIŻJONI: </w:t>
      </w:r>
    </w:p>
    <w:p>
      <w:pPr>
        <w:pStyle w:val="Titrearticle"/>
        <w:rPr>
          <w:noProof/>
        </w:rPr>
      </w:pPr>
      <w:r>
        <w:rPr>
          <w:noProof/>
        </w:rPr>
        <w:t>Artikolu 1</w:t>
      </w:r>
    </w:p>
    <w:p>
      <w:pPr>
        <w:rPr>
          <w:noProof/>
        </w:rPr>
      </w:pPr>
      <w:r>
        <w:rPr>
          <w:noProof/>
        </w:rPr>
        <w:t>L-Artikoli 1 u 2 tad-Deċiżjoni 2009/791/KE għandhom jinbidlu b’dan li ġej:</w:t>
      </w:r>
    </w:p>
    <w:p>
      <w:pPr>
        <w:rPr>
          <w:noProof/>
        </w:rPr>
      </w:pPr>
      <w:r>
        <w:rPr>
          <w:noProof/>
        </w:rPr>
        <w:t>“Artikolu 1</w:t>
      </w:r>
    </w:p>
    <w:p>
      <w:pPr>
        <w:rPr>
          <w:noProof/>
        </w:rPr>
      </w:pPr>
      <w:r>
        <w:rPr>
          <w:noProof/>
        </w:rPr>
        <w:t>B’deroga mill-Artikolu 168 u mill-Artikolu 168a tad-Direttiva 2006/112/KE, il-Ġermanja hija awtorizzata teskludi t-taxxa fuq il-valur miżjud (il-VAT) imġarrba fuq l-oġġetti u s-servizzi mid-dritt ta’ tnaqqis tal-VAT meta dawk l-oġġetti u s-servizzi jintużaw, f’iktar minn 90 % tal-każijiet, għall-għanijiet privati ta’ persuna taxxabbli jew tal-impjegati tagħha, jew, b’mod iktar ġenerali, għal għanijiet li mhumiex tan-negozju jew għal attivitajiet mhux ekonomiċi.</w:t>
      </w:r>
    </w:p>
    <w:p>
      <w:pPr>
        <w:rPr>
          <w:noProof/>
        </w:rPr>
      </w:pPr>
      <w:r>
        <w:rPr>
          <w:noProof/>
        </w:rPr>
        <w:t>Artikolu 2</w:t>
      </w:r>
    </w:p>
    <w:p>
      <w:pPr>
        <w:rPr>
          <w:noProof/>
        </w:rPr>
      </w:pPr>
      <w:r>
        <w:rPr>
          <w:noProof/>
        </w:rPr>
        <w:t>Din id-Deċiżjoni tiskadi fil-31 ta’ Diċembru 2018.</w:t>
      </w:r>
    </w:p>
    <w:p>
      <w:pPr>
        <w:rPr>
          <w:noProof/>
        </w:rPr>
      </w:pPr>
      <w:r>
        <w:rPr>
          <w:noProof/>
        </w:rPr>
        <w:t>Kull talba għal estensjoni tal-miżura speċjali prevista f’din id-Deċiżjoni għandha tintbagħat lill-Kummissjoni sa mhux aktar tard mill-31 ta’ Marzu 2018.</w:t>
      </w:r>
    </w:p>
    <w:p>
      <w:pPr>
        <w:rPr>
          <w:noProof/>
        </w:rPr>
      </w:pPr>
      <w:r>
        <w:rPr>
          <w:noProof/>
        </w:rPr>
        <w:t>Flimkien mat-tali talba għandu jintbagħat rapport li jkun jinkludi analiżi tar-rata ta’ tqassim applikata għad-dritt ta’ tnaqqis tal-VAT abbażi ta’ din id-Deċiżjoni.”.</w:t>
      </w:r>
    </w:p>
    <w:p>
      <w:pPr>
        <w:pStyle w:val="Titrearticle"/>
        <w:rPr>
          <w:noProof/>
        </w:rPr>
      </w:pPr>
      <w:r>
        <w:rPr>
          <w:noProof/>
        </w:rPr>
        <w:t>Artikolu 2</w:t>
      </w:r>
    </w:p>
    <w:p>
      <w:pPr>
        <w:keepNext/>
        <w:keepLines/>
        <w:rPr>
          <w:noProof/>
        </w:rPr>
      </w:pPr>
      <w:r>
        <w:rPr>
          <w:noProof/>
        </w:rPr>
        <w:t>L-Artikoli 1 u 2 tad-Deċiżjoni 2009/1013/UE għandhom jinbidlu b’dan li ġej:</w:t>
      </w:r>
    </w:p>
    <w:p>
      <w:pPr>
        <w:keepNext/>
        <w:keepLines/>
        <w:rPr>
          <w:noProof/>
        </w:rPr>
      </w:pPr>
      <w:r>
        <w:rPr>
          <w:noProof/>
        </w:rPr>
        <w:t>“Artikolu 1</w:t>
      </w:r>
    </w:p>
    <w:p>
      <w:pPr>
        <w:keepNext/>
        <w:keepLines/>
        <w:rPr>
          <w:noProof/>
        </w:rPr>
      </w:pPr>
      <w:r>
        <w:rPr>
          <w:noProof/>
        </w:rPr>
        <w:t>B’deroga mill-Artikolu 168 u mill-Artikolu 168a tad-Direttiva 2006/112/KE, l-Awstrija hija awtorizzata teskludi t-taxxa fuq il-valur miżjud (il-VAT) imġarrba fuq l-oġġetti u s-servizzi mid-dritt ta’ tnaqqis tal-VAT meta dawk l-oġġetti u s-servizzi jintużaw, f’iktar minn 90 % tal-każijiet, għall-għanijiet privati ta’ persuna taxxabbli jew tal-impjegati tagħha, jew, b’mod iktar ġenerali, għal għanijiet li mhumiex tan-negozju jew għal attivitajiet mhux ekonomiċi.</w:t>
      </w:r>
    </w:p>
    <w:p>
      <w:pPr>
        <w:keepNext/>
        <w:keepLines/>
        <w:rPr>
          <w:noProof/>
        </w:rPr>
      </w:pPr>
      <w:r>
        <w:rPr>
          <w:noProof/>
        </w:rPr>
        <w:t>Artikolu 2</w:t>
      </w:r>
    </w:p>
    <w:p>
      <w:pPr>
        <w:keepNext/>
        <w:keepLines/>
        <w:rPr>
          <w:noProof/>
        </w:rPr>
      </w:pPr>
      <w:r>
        <w:rPr>
          <w:noProof/>
        </w:rPr>
        <w:t>Din id-Deċiżjoni tiskadi fil-31 ta’ Diċembru 2018.</w:t>
      </w:r>
    </w:p>
    <w:p>
      <w:pPr>
        <w:keepNext/>
        <w:keepLines/>
        <w:rPr>
          <w:noProof/>
        </w:rPr>
      </w:pPr>
      <w:r>
        <w:rPr>
          <w:noProof/>
        </w:rPr>
        <w:t>Kull talba għal estensjoni tal-miżura speċjali prevista f’din id-Deċiżjoni għandha tintbagħat lill-Kummissjoni sa mhux aktar tard mill-31 ta’ Marzu 2018.</w:t>
      </w:r>
    </w:p>
    <w:p>
      <w:pPr>
        <w:keepNext/>
        <w:keepLines/>
        <w:rPr>
          <w:noProof/>
        </w:rPr>
      </w:pPr>
      <w:r>
        <w:rPr>
          <w:noProof/>
        </w:rPr>
        <w:t>Flimkien mat-tali talba għandu jintbagħat rapport li jkun jinkludi analiżi tar-rata ta’ tqassim applikata għad-dritt ta’ tnaqqis tal-VAT abbażi ta’ din id-Deċiżjoni.”.</w:t>
      </w:r>
    </w:p>
    <w:p>
      <w:pPr>
        <w:pStyle w:val="Titrearticle"/>
        <w:rPr>
          <w:noProof/>
        </w:rPr>
      </w:pPr>
      <w:r>
        <w:rPr>
          <w:noProof/>
        </w:rPr>
        <w:t>Artikolu 3</w:t>
      </w:r>
    </w:p>
    <w:p>
      <w:pPr>
        <w:keepNext/>
        <w:keepLines/>
        <w:rPr>
          <w:noProof/>
        </w:rPr>
      </w:pPr>
      <w:r>
        <w:rPr>
          <w:noProof/>
        </w:rPr>
        <w:t>Din id-Deċiżjoni tibda tapplika mill-1 ta' Jannar 2016.</w:t>
      </w:r>
    </w:p>
    <w:p>
      <w:pPr>
        <w:pStyle w:val="Titrearticle"/>
        <w:rPr>
          <w:noProof/>
        </w:rPr>
      </w:pPr>
      <w:r>
        <w:rPr>
          <w:noProof/>
        </w:rPr>
        <w:t>Artikolu 4</w:t>
      </w:r>
    </w:p>
    <w:p>
      <w:pPr>
        <w:keepNext/>
        <w:keepLines/>
        <w:rPr>
          <w:noProof/>
        </w:rPr>
      </w:pPr>
      <w:r>
        <w:rPr>
          <w:noProof/>
        </w:rPr>
        <w:t>Din id-Deċiżjoni hija indirizzata lir-Repubblika tal-Awstrija u lir-Repubblika Federali tal-Ġermanja.</w:t>
      </w:r>
    </w:p>
    <w:p>
      <w:pPr>
        <w:pStyle w:val="Fait"/>
        <w:rPr>
          <w:noProof/>
        </w:rPr>
      </w:pPr>
      <w:r>
        <w:rPr>
          <w:noProof/>
        </w:rP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ab/>
        <w:t>Għall-Kunsill</w:t>
      </w:r>
    </w:p>
    <w:p>
      <w:pPr>
        <w:pStyle w:val="Personnequisigne"/>
        <w:rPr>
          <w:noProof/>
        </w:rPr>
      </w:pPr>
      <w:r>
        <w:rPr>
          <w:noProof/>
        </w:rPr>
        <w:tab/>
        <w:t>Il-President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7</w:t>
    </w:r>
    <w:r>
      <w:fldChar w:fldCharType="end"/>
    </w:r>
    <w: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L 347, 11.12.2006, p. 1.</w:t>
      </w:r>
    </w:p>
  </w:footnote>
  <w:footnote w:id="2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L 371, 18.12.2004, p. 47.</w:t>
      </w:r>
    </w:p>
  </w:footnote>
  <w:footnote w:id="3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L 348, 29.12.2009, p. 21.</w:t>
      </w:r>
    </w:p>
  </w:footnote>
  <w:footnote w:id="4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L 319, 16.11.2012, p. 8.</w:t>
      </w:r>
    </w:p>
  </w:footnote>
  <w:footnote w:id="5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L 123, 17.5.2003, p. 47.</w:t>
      </w:r>
    </w:p>
  </w:footnote>
  <w:footnote w:id="6">
    <w:p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>
        <w:tab/>
        <w:t>ĠU L 357, 2.12.2004, p. 33.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ab/>
        <w:t>ĠU L 283, 30.10.2009, p. 55.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ab/>
        <w:t>ĠU L 347, 11.12.2006, p. 1.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ab/>
        <w:t>Id-Deċiżjoni tal-Kunsill 2009/791/KE tal-20 ta’ Ottubru 2009 li tawtorizza lir-Repubblika Federali tal-Ġermanja biex tkompli tapplika miżura ta’ deroga mill-Artikolu 168 tad-Direttiva 2006/112/KE dwar is-sistema komuni ta’ taxxa fuq il-valur miżjud (ĠU L 283, 30.10.2009, p. 55).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ab/>
        <w:t>Id-Deċiżjoni ta' implimentazzjoni tal-Kunsill 2009/1013/UE tat-22 ta' Diċembru 2012 li tawtorizza lir-Repubblika tal-Awstrija biex tkompli tapplika miżura ta' deroga mill-Artikolu 168 tad-Direttiva 2006/112/KE dwar is-sistema komuni ta' taxxa fuq il-valur miżjud (ĠU L 348, 29.12.2009, p. 21).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ab/>
        <w:t>Id-Deċiżjoni ta’ Implimentazzjoni tal-Kunsill 2012/705/UE tat-13 ta’ Novembru 2012 li temenda d-Deċiżjoni 2009/791/KE u d-Deċiżjoni ta’ Implimentazzjoni 2009/2013/UE li jawtorizzaw lill-Ġermanja u lill-Awstrija rispettivament li jkomplu japplikaw miżura ta’ deroga mill-Artikoli 168 u 168a tad-Direttiva 2006/112/KE dwar is-sistema komuni ta’ taxxa fuq il-valur miżjud (ĠU L 319, 16.11.2012, p. 8).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B296B63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270EB6F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FEFE12C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67FCAE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CBAE61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0B0E6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D4AE7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0AB88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1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2"/>
  </w:num>
  <w:num w:numId="12">
    <w:abstractNumId w:val="20"/>
  </w:num>
  <w:num w:numId="13">
    <w:abstractNumId w:val="11"/>
  </w:num>
  <w:num w:numId="14">
    <w:abstractNumId w:val="13"/>
  </w:num>
  <w:num w:numId="15">
    <w:abstractNumId w:val="9"/>
  </w:num>
  <w:num w:numId="16">
    <w:abstractNumId w:val="19"/>
  </w:num>
  <w:num w:numId="17">
    <w:abstractNumId w:val="8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5"/>
  </w:num>
  <w:num w:numId="23">
    <w:abstractNumId w:val="21"/>
  </w:num>
  <w:num w:numId="24">
    <w:abstractNumId w:val="18"/>
  </w:num>
  <w:num w:numId="25">
    <w:abstractNumId w:val="12"/>
  </w:num>
  <w:num w:numId="26">
    <w:abstractNumId w:val="20"/>
  </w:num>
  <w:num w:numId="27">
    <w:abstractNumId w:val="11"/>
  </w:num>
  <w:num w:numId="28">
    <w:abstractNumId w:val="13"/>
  </w:num>
  <w:num w:numId="29">
    <w:abstractNumId w:val="9"/>
  </w:num>
  <w:num w:numId="30">
    <w:abstractNumId w:val="19"/>
  </w:num>
  <w:num w:numId="31">
    <w:abstractNumId w:val="8"/>
  </w:num>
  <w:num w:numId="32">
    <w:abstractNumId w:val="14"/>
  </w:num>
  <w:num w:numId="33">
    <w:abstractNumId w:val="16"/>
  </w:num>
  <w:num w:numId="34">
    <w:abstractNumId w:val="17"/>
  </w:num>
  <w:num w:numId="35">
    <w:abstractNumId w:val="10"/>
  </w:num>
  <w:num w:numId="36">
    <w:abstractNumId w:val="15"/>
  </w:num>
  <w:num w:numId="37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hideSpellingErrors/>
  <w:hideGrammaticalErrors/>
  <w:attachedTemplate r:id="rId1"/>
  <w:revisionView w:markup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QCDateTime" w:val="2015-10-19 08:01:19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NFIDENCE" w:val=" "/>
    <w:docVar w:name="LW_CONST_RESTREINT_UE" w:val="RESTREINT UE"/>
    <w:docVar w:name="LW_CORRIGENDUM" w:val="&lt;UNUSED&gt;"/>
    <w:docVar w:name="LW_COVERPAGE_GUID" w:val="8DB75F91256E477BB948B7FE8ED2DB0B"/>
    <w:docVar w:name="LW_CROSSREFERENCE" w:val="&lt;UNUSED&gt;"/>
    <w:docVar w:name="LW_DocType" w:val="COM"/>
    <w:docVar w:name="LW_EMISSION" w:val="21.10.2015"/>
    <w:docVar w:name="LW_EMISSION_ISODATE" w:val="2015-10-21"/>
    <w:docVar w:name="LW_EMISSION_LOCATION" w:val="BRX"/>
    <w:docVar w:name="LW_EMISSION_PREFIX" w:val="Brussell, "/>
    <w:docVar w:name="LW_EMISSION_SUFFIX" w:val=" "/>
    <w:docVar w:name="LW_ID_DOCMODEL" w:val="SJ-020"/>
    <w:docVar w:name="LW_ID_DOCSIGNATURE" w:val="SJ-020"/>
    <w:docVar w:name="LW_ID_DOCSTRUCTURE" w:val="COM/PL/ORG"/>
    <w:docVar w:name="LW_ID_DOCTYPE" w:val="SJ-020"/>
    <w:docVar w:name="LW_ID_STATUT" w:val="SJ-020"/>
    <w:docVar w:name="LW_INTERETEEE.CP" w:val="&lt;UNUSED&gt;"/>
    <w:docVar w:name="LW_LANGUE" w:val="MT"/>
    <w:docVar w:name="LW_MARKING" w:val="&lt;UNUSED&gt;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242"/>
    <w:docVar w:name="LW_REF.II.NEW.CP_YEAR" w:val="2015"/>
    <w:docVar w:name="LW_REF.INST.NEW" w:val="COM"/>
    <w:docVar w:name="LW_REF.INST.NEW_ADOPTED" w:val="final"/>
    <w:docVar w:name="LW_REF.INST.NEW_TEXT" w:val="(2015) 517"/>
    <w:docVar w:name="LW_REF.INTERNE" w:val="&lt;UNUSED&gt;"/>
    <w:docVar w:name="LW_SOUS.TITRE.OBJ.CP" w:val="&lt;UNUSED&gt;"/>
    <w:docVar w:name="LW_STATUT.CP" w:val="Proposta g\u295?al"/>
    <w:docVar w:name="LW_SUPERTITRE" w:val="&lt;UNUSED&gt;"/>
    <w:docVar w:name="LW_TITRE.OBJ.CP" w:val="li temenda d-De\u267?i\u380?jonijiet 2009/791/KE u 2009/1013/UE li jawtorizzaw lill-\u288?ermanja u lill-Awstrija rispettivament ikomplu japplikaw mi\u380?ura ta\u8217? deroga mill-Artikoli 168 u 168a tad-Direttiva 2006/112/KE dwar is-sistema komuni ta\u8217? taxxa fuq il-valur mi\u380?jud"/>
    <w:docVar w:name="LW_TYPE.DOC.CP" w:val="DE\u266?I\u379?JONI TA\u8217? IMPLIMENTAZZJONI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C466B-6F6E-4EA0-A492-2BDF7BAF2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</TotalTime>
  <Pages>7</Pages>
  <Words>1766</Words>
  <Characters>12366</Characters>
  <Application>Microsoft Office Word</Application>
  <DocSecurity>0</DocSecurity>
  <Lines>209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18</cp:revision>
  <cp:lastPrinted>2015-09-25T09:30:00Z</cp:lastPrinted>
  <dcterms:created xsi:type="dcterms:W3CDTF">2015-10-15T08:45:00Z</dcterms:created>
  <dcterms:modified xsi:type="dcterms:W3CDTF">2015-10-19T06:01:00Z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20141001</vt:lpwstr>
  </property>
  <property fmtid="{D5CDD505-2E9C-101B-9397-08002B2CF9AE}" pid="6" name="Created using">
    <vt:lpwstr>LW 5.8.4, Build 20150407</vt:lpwstr>
  </property>
  <property fmtid="{D5CDD505-2E9C-101B-9397-08002B2CF9AE}" pid="7" name="Part">
    <vt:lpwstr>1</vt:lpwstr>
  </property>
  <property fmtid="{D5CDD505-2E9C-101B-9397-08002B2CF9AE}" pid="8" name="Total parts">
    <vt:lpwstr>1</vt:lpwstr>
  </property>
  <property fmtid="{D5CDD505-2E9C-101B-9397-08002B2CF9AE}" pid="9" name="LWTemplateID">
    <vt:lpwstr>SJ-020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