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1B821" w14:textId="1EE31208" w:rsidR="00703675" w:rsidRPr="006A548F" w:rsidRDefault="007C51B7" w:rsidP="007C51B7">
      <w:pPr>
        <w:pStyle w:val="Pagedecouverture"/>
        <w:rPr>
          <w:noProof/>
        </w:rPr>
      </w:pPr>
      <w:r>
        <w:rPr>
          <w:noProof/>
        </w:rPr>
        <w:pict w14:anchorId="4DDFE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55CF43D-FE67-415D-8450-CC91C2C2C3B2" style="width:455.25pt;height:359.25pt">
            <v:imagedata r:id="rId11" o:title=""/>
          </v:shape>
        </w:pict>
      </w:r>
    </w:p>
    <w:p w14:paraId="23E1900C" w14:textId="77777777" w:rsidR="003D3209" w:rsidRPr="006A548F" w:rsidRDefault="003D3209" w:rsidP="00926FAD">
      <w:pPr>
        <w:rPr>
          <w:noProof/>
        </w:rPr>
        <w:sectPr w:rsidR="003D3209" w:rsidRPr="006A548F" w:rsidSect="007C51B7">
          <w:footerReference w:type="even" r:id="rId12"/>
          <w:footerReference w:type="default" r:id="rId13"/>
          <w:pgSz w:w="11907" w:h="16839"/>
          <w:pgMar w:top="1134" w:right="1417" w:bottom="1134" w:left="1417" w:header="709" w:footer="709" w:gutter="0"/>
          <w:pgNumType w:start="0"/>
          <w:cols w:space="720"/>
          <w:docGrid w:linePitch="360"/>
        </w:sectPr>
      </w:pPr>
    </w:p>
    <w:p w14:paraId="1F5FEFD5" w14:textId="77777777" w:rsidR="00433CF3" w:rsidRPr="006A548F" w:rsidRDefault="00433CF3">
      <w:pPr>
        <w:pStyle w:val="Exposdesmotifstitre"/>
        <w:rPr>
          <w:noProof/>
        </w:rPr>
      </w:pPr>
      <w:bookmarkStart w:id="0" w:name="_GoBack"/>
      <w:bookmarkEnd w:id="0"/>
      <w:r w:rsidRPr="006A548F">
        <w:rPr>
          <w:noProof/>
        </w:rPr>
        <w:lastRenderedPageBreak/>
        <w:t>PASKAIDROJUMA RAKSTS</w:t>
      </w:r>
    </w:p>
    <w:p w14:paraId="3E807F31" w14:textId="77777777" w:rsidR="00433CF3" w:rsidRPr="006A548F" w:rsidRDefault="00433CF3">
      <w:pPr>
        <w:pStyle w:val="ManualHeading1"/>
        <w:rPr>
          <w:noProof/>
        </w:rPr>
      </w:pPr>
      <w:r w:rsidRPr="006A548F">
        <w:rPr>
          <w:noProof/>
        </w:rPr>
        <w:t>1.</w:t>
      </w:r>
      <w:r w:rsidRPr="006A548F">
        <w:rPr>
          <w:noProof/>
        </w:rPr>
        <w:tab/>
        <w:t>DELEĢĒTĀ AKTA KONTEKSTS</w:t>
      </w:r>
    </w:p>
    <w:p w14:paraId="629C5935" w14:textId="77777777" w:rsidR="00433CF3" w:rsidRPr="006A548F" w:rsidRDefault="003F54A5">
      <w:pPr>
        <w:rPr>
          <w:noProof/>
        </w:rPr>
      </w:pPr>
      <w:r w:rsidRPr="006A548F">
        <w:rPr>
          <w:noProof/>
        </w:rPr>
        <w:t xml:space="preserve">Regula (ES) 2024/2987 (“ETIR 3”), ar ko groza Regulu (ES) Nr. 648/2012 (“ETIR”), 2024. gada 4. decembrī tika publicēta </w:t>
      </w:r>
      <w:r w:rsidRPr="006A548F">
        <w:rPr>
          <w:i/>
          <w:noProof/>
        </w:rPr>
        <w:t>Eiropas Savienības Oficiālajā Vēstnesī</w:t>
      </w:r>
      <w:r w:rsidRPr="006A548F">
        <w:rPr>
          <w:rStyle w:val="FootnoteReference"/>
          <w:noProof/>
        </w:rPr>
        <w:footnoteReference w:id="2"/>
      </w:r>
      <w:r w:rsidRPr="006A548F">
        <w:rPr>
          <w:noProof/>
        </w:rPr>
        <w:t>.</w:t>
      </w:r>
    </w:p>
    <w:p w14:paraId="2317415D" w14:textId="77777777" w:rsidR="00CA6673" w:rsidRPr="006A548F" w:rsidRDefault="00C81415">
      <w:pPr>
        <w:rPr>
          <w:noProof/>
        </w:rPr>
      </w:pPr>
      <w:r w:rsidRPr="006A548F">
        <w:rPr>
          <w:noProof/>
        </w:rPr>
        <w:t xml:space="preserve">ETIR 11. panta 3. punkta ceturtā daļa, kas grozīta ar ETIR 3, piešķir Eiropas Banku iestādei (EBI) uzdevumu izveidot centralizētu struktūru pro forma modeļu elementu un vispārīgo aspektu un to izmaiņu apstiprināšanai, ko izmanto vai izmantos finanšu un nefinanšu darījumu partneru apakšgrupa, lai aprēķinātu nodrošinājuma summu, ar kuru jāapmainās attiecībā uz to ārpusbiržas atvasināto instrumentu portfeļiem, kuru tīrvērte netiek veikta centralizēti. Līdz ar to saskaņā ar 11. panta 12.a punktu ETIR, kas grozīta ar ETIR 3, EBI no minētajiem finanšu un nefinanšu darījumu partneriem, kas izmanto EBI apstiprinātos </w:t>
      </w:r>
      <w:r w:rsidRPr="006A548F">
        <w:rPr>
          <w:i/>
          <w:noProof/>
        </w:rPr>
        <w:t>pro forma</w:t>
      </w:r>
      <w:r w:rsidRPr="006A548F">
        <w:rPr>
          <w:noProof/>
        </w:rPr>
        <w:t xml:space="preserve"> modeļus, iekasē gada maksas par katru </w:t>
      </w:r>
      <w:r w:rsidRPr="006A548F">
        <w:rPr>
          <w:i/>
          <w:noProof/>
        </w:rPr>
        <w:t>pro forma</w:t>
      </w:r>
      <w:r w:rsidRPr="006A548F">
        <w:rPr>
          <w:noProof/>
        </w:rPr>
        <w:t xml:space="preserve"> modeli. Saskaņā ar ETIR maksām ir jābūt proporcionālām attiecīgo darījumu partneru, kuri izmanto EBI apstiprinātos </w:t>
      </w:r>
      <w:r w:rsidRPr="006A548F">
        <w:rPr>
          <w:i/>
          <w:noProof/>
        </w:rPr>
        <w:t>pro forma</w:t>
      </w:r>
      <w:r w:rsidRPr="006A548F">
        <w:rPr>
          <w:noProof/>
        </w:rPr>
        <w:t xml:space="preserve"> modeļus, ārpusbiržas atvasināto instrumentu, kuru tīrvērte netiek veikta centralizēti, mēneša vidējai nenomaksātajai nosacītajai summai par iepriekšējiem 12 mēnešiem, un tās jānosaka, lai segtu visas izmaksas, kas EBI radušās, pildot savus uzdevumus saistībā ar </w:t>
      </w:r>
      <w:r w:rsidRPr="006A548F">
        <w:rPr>
          <w:i/>
          <w:noProof/>
        </w:rPr>
        <w:t>pro forma</w:t>
      </w:r>
      <w:r w:rsidRPr="006A548F">
        <w:rPr>
          <w:noProof/>
        </w:rPr>
        <w:t xml:space="preserve"> modeļu apstiprināšanu.</w:t>
      </w:r>
    </w:p>
    <w:p w14:paraId="4E3350F8" w14:textId="77777777" w:rsidR="00CA6673" w:rsidRPr="006A548F" w:rsidRDefault="00CA6673" w:rsidP="00CA6673">
      <w:pPr>
        <w:rPr>
          <w:noProof/>
        </w:rPr>
      </w:pPr>
      <w:r w:rsidRPr="006A548F">
        <w:rPr>
          <w:noProof/>
        </w:rPr>
        <w:t>Ar 11. panta 12.a punktu ETIR, kas grozīta ar ETIR 3, Komisija ir pilnvarota pieņemt deleģēto aktu, lai sīkāk precizētu maksu veidus, nosakot maksu apmēra noteikšanas metodi un maksu izpildes kārtību.</w:t>
      </w:r>
    </w:p>
    <w:p w14:paraId="21B61F2D" w14:textId="77777777" w:rsidR="00CA6673" w:rsidRPr="006A548F" w:rsidRDefault="00CA6673" w:rsidP="00CA6673">
      <w:pPr>
        <w:rPr>
          <w:noProof/>
        </w:rPr>
      </w:pPr>
      <w:r w:rsidRPr="006A548F">
        <w:rPr>
          <w:noProof/>
        </w:rPr>
        <w:t>Deleģētais akts ir jāpieņem saskaņā ar ETIR 82. pantu un Līguma par Eiropas Savienības darbību 290. pantu.</w:t>
      </w:r>
    </w:p>
    <w:p w14:paraId="62D6B618" w14:textId="77777777" w:rsidR="00433CF3" w:rsidRPr="006A548F" w:rsidRDefault="00433CF3">
      <w:pPr>
        <w:pStyle w:val="ManualHeading1"/>
        <w:rPr>
          <w:noProof/>
        </w:rPr>
      </w:pPr>
      <w:r w:rsidRPr="006A548F">
        <w:rPr>
          <w:noProof/>
        </w:rPr>
        <w:t>2.</w:t>
      </w:r>
      <w:r w:rsidRPr="006A548F">
        <w:rPr>
          <w:noProof/>
        </w:rPr>
        <w:tab/>
        <w:t>PIRMS AKTA PIEŅEMŠANAS NOTIKUSĪ APSPRIEŠANĀS</w:t>
      </w:r>
    </w:p>
    <w:p w14:paraId="6214B220" w14:textId="77777777" w:rsidR="00CA6673" w:rsidRPr="006A548F" w:rsidRDefault="00CA6673">
      <w:pPr>
        <w:rPr>
          <w:b/>
          <w:bCs/>
          <w:i/>
          <w:iCs/>
          <w:noProof/>
        </w:rPr>
      </w:pPr>
      <w:r w:rsidRPr="006A548F">
        <w:rPr>
          <w:b/>
          <w:i/>
          <w:noProof/>
        </w:rPr>
        <w:t>Procedūras jautājumi</w:t>
      </w:r>
    </w:p>
    <w:p w14:paraId="4F0255AF" w14:textId="77777777" w:rsidR="00C70F89" w:rsidRPr="006A548F" w:rsidRDefault="00CA6673">
      <w:pPr>
        <w:rPr>
          <w:noProof/>
        </w:rPr>
      </w:pPr>
      <w:r w:rsidRPr="006A548F">
        <w:rPr>
          <w:noProof/>
        </w:rPr>
        <w:t xml:space="preserve">Komisija 2024. gada 31. jūlijā iesniedza provizorisku pieprasījumu EBI sniegt tehniskas konsultācijas par iespējamu deleģēto aktu, kurā precizēta metode to maksu apmēra noteikšanai un šādu maksu izpildes kārtība, kas jāmaksā finanšu un nefinanšu darījumu partneriem, kuru </w:t>
      </w:r>
      <w:r w:rsidRPr="006A548F">
        <w:rPr>
          <w:i/>
          <w:noProof/>
        </w:rPr>
        <w:t>pro forma</w:t>
      </w:r>
      <w:r w:rsidRPr="006A548F">
        <w:rPr>
          <w:noProof/>
        </w:rPr>
        <w:t xml:space="preserve"> modeļi ir jāapstiprina saskaņā ar Eiropas tirgus infrastruktūras regulu.</w:t>
      </w:r>
    </w:p>
    <w:p w14:paraId="279DEF2C" w14:textId="77777777" w:rsidR="00595C0C" w:rsidRPr="006A548F" w:rsidRDefault="003509BB">
      <w:pPr>
        <w:rPr>
          <w:noProof/>
        </w:rPr>
      </w:pPr>
      <w:r w:rsidRPr="006A548F">
        <w:rPr>
          <w:noProof/>
        </w:rPr>
        <w:t xml:space="preserve">EBI apspriedās ar ieinteresētajām personām un lūdza sniegt piezīmes par šādiem aspektiem: i) jauno uzdevumu tvērums un attiecīgās izmaksas, kas sagaidāmas saistībā ar EBI kā </w:t>
      </w:r>
      <w:r w:rsidRPr="006A548F">
        <w:rPr>
          <w:i/>
          <w:noProof/>
        </w:rPr>
        <w:t>pro forma</w:t>
      </w:r>
      <w:r w:rsidRPr="006A548F">
        <w:rPr>
          <w:noProof/>
        </w:rPr>
        <w:t xml:space="preserve"> modeļu centrālās vērtētājas jauno lomu; ii) ārpusbiržas atvasināto instrumentu, kuru tīrvērte netiek veikta centralizēti, mēneša vidējās nenomaksātās nosacītās summas aprēķināšana par iepriekšējiem 12 mēnešiem; un iii) maksu aprēķināšanas metodes un maksāšanas kārtība. Pēc apspriešanās EBI sagatavoja tehnisko ieteikumu un 2025. gada 16. jūnijā nosūtīja to Komisijai. Attiecībā uz jaunu </w:t>
      </w:r>
      <w:r w:rsidRPr="006A548F">
        <w:rPr>
          <w:i/>
          <w:noProof/>
        </w:rPr>
        <w:t>pro forma</w:t>
      </w:r>
      <w:r w:rsidRPr="006A548F">
        <w:rPr>
          <w:noProof/>
        </w:rPr>
        <w:t xml:space="preserve"> modeli, par kuru darījumu partneri pieprasa EBI apstiprinājumu, EBI iesaka noteikt fiksētu izmaksu summu 500 000 EUR apmērā kalendārajā gadā, sākot no pirmās EBI veiktās apstiprināšanas.</w:t>
      </w:r>
    </w:p>
    <w:p w14:paraId="70ED213B" w14:textId="77777777" w:rsidR="00C70F89" w:rsidRPr="006A548F" w:rsidRDefault="00CA6673">
      <w:pPr>
        <w:rPr>
          <w:noProof/>
        </w:rPr>
      </w:pPr>
      <w:r w:rsidRPr="006A548F">
        <w:rPr>
          <w:noProof/>
        </w:rPr>
        <w:t>Komisija 2025. gada 6. augustā apspriedās ar Eiropas Vērtspapīru komitejas ekspertu grupu (</w:t>
      </w:r>
      <w:r w:rsidRPr="006A548F">
        <w:rPr>
          <w:i/>
          <w:noProof/>
        </w:rPr>
        <w:t>EGESC</w:t>
      </w:r>
      <w:r w:rsidRPr="006A548F">
        <w:rPr>
          <w:noProof/>
        </w:rPr>
        <w:t xml:space="preserve">) par šā deleģētā akta provizorisko saturu. </w:t>
      </w:r>
      <w:r w:rsidRPr="006A548F">
        <w:rPr>
          <w:i/>
          <w:noProof/>
        </w:rPr>
        <w:t>EGESC</w:t>
      </w:r>
      <w:r w:rsidRPr="006A548F">
        <w:rPr>
          <w:noProof/>
        </w:rPr>
        <w:t xml:space="preserve"> sastāvā ir dalībvalstu, Eiropas Centrālās bankas un EVTI pārstāvji.</w:t>
      </w:r>
    </w:p>
    <w:p w14:paraId="5420C1C1" w14:textId="77777777" w:rsidR="00C70F89" w:rsidRPr="006A548F" w:rsidRDefault="00CA6673">
      <w:pPr>
        <w:rPr>
          <w:b/>
          <w:bCs/>
          <w:i/>
          <w:iCs/>
          <w:noProof/>
        </w:rPr>
      </w:pPr>
      <w:r w:rsidRPr="006A548F">
        <w:rPr>
          <w:b/>
          <w:i/>
          <w:noProof/>
        </w:rPr>
        <w:t>Ieinteresēto personu viedokļi</w:t>
      </w:r>
    </w:p>
    <w:p w14:paraId="07B5E38E" w14:textId="77777777" w:rsidR="00433CF3" w:rsidRPr="006A548F" w:rsidRDefault="002F3D2B">
      <w:pPr>
        <w:rPr>
          <w:noProof/>
        </w:rPr>
      </w:pPr>
      <w:r w:rsidRPr="006A548F">
        <w:rPr>
          <w:noProof/>
        </w:rPr>
        <w:lastRenderedPageBreak/>
        <w:t>Kopumā respondenti iepriekš minētajās apspriešanās atzinīgi novērtēja centralizētas apstiprināšas struktūras izveidi, kas nodrošinātu vienotu apstiprināšanas procesu Savienībā. Daži respondenti uzsvēra, ka ierosinātā pieeja maksu noteikšanai, pamatojoties uz precīzu 12 mēnešu vidējo nosacīto summu, varētu būt nevajadzīgi dārga un apgrūtinoša. Ņemot vērā ETIR 11. panta 12.a punktā skaidri noteikto prasību, ka maksa “</w:t>
      </w:r>
      <w:r w:rsidRPr="006A548F">
        <w:rPr>
          <w:i/>
          <w:noProof/>
        </w:rPr>
        <w:t>ir proporcionāla to ārpusbiržas atvasināto instrumentu, kuru tīrvērte netiek veikta centralizēti, mēneša vidējam nosacītajam apjomam, kam tīrvērte nav veikta, iepriekšējos 12 mēnešos attiecīgajiem darījumu partneriem, kuri izmanto EBI apstiprinātos pro forma modeļus</w:t>
      </w:r>
      <w:r w:rsidRPr="006A548F">
        <w:rPr>
          <w:noProof/>
        </w:rPr>
        <w:t>”, bet atzīstot nepieciešamību samazināt nevajadzīgu administratīvo slogu darījumu partneriem, tiek ierosināts ieviest divas alternatīvas metodes, lai aplēstu minēto nosacīto summu.</w:t>
      </w:r>
    </w:p>
    <w:p w14:paraId="67E77B47" w14:textId="77777777" w:rsidR="004543D8" w:rsidRPr="006A548F" w:rsidRDefault="00A81873">
      <w:pPr>
        <w:rPr>
          <w:noProof/>
        </w:rPr>
      </w:pPr>
      <w:r w:rsidRPr="006A548F">
        <w:rPr>
          <w:noProof/>
        </w:rPr>
        <w:t>Deleģētā akta projekts tika publicēts Komisijas Labāka regulējuma portālā no 2026. gada 12. februāra līdz 12. martam, un šajā periodā tika iesniegts tikai ierobežots skaits piezīmju. Jo īpaši Starptautiskā mijmaiņas līgumu un atvasināto instrumentu asociācija (</w:t>
      </w:r>
      <w:r w:rsidRPr="006A548F">
        <w:rPr>
          <w:i/>
          <w:iCs/>
          <w:noProof/>
        </w:rPr>
        <w:t>ISDA</w:t>
      </w:r>
      <w:r w:rsidRPr="006A548F">
        <w:rPr>
          <w:noProof/>
        </w:rPr>
        <w:t>) vēlējās noskaidrot, vai sākotnējās drošības rezerves summas, ko izmanto, lai noteiktu vidējās nosacītās summas vērtības, ir tās, ko darījuma partneris aprēķinājis kā nodrošinātā puse; tā tas patiešām ir, tāpēc teksts tika grozīts, lai to precizētu. Deleģētā akta pieņemtajā redakcijā ir atspoguļotas arī citas piezīmes, kurās ierosinātas dažas redakcionālas izmaiņas.</w:t>
      </w:r>
    </w:p>
    <w:p w14:paraId="36713194" w14:textId="77777777" w:rsidR="00433CF3" w:rsidRPr="006A548F" w:rsidRDefault="00433CF3">
      <w:pPr>
        <w:pStyle w:val="ManualHeading1"/>
        <w:rPr>
          <w:noProof/>
        </w:rPr>
      </w:pPr>
      <w:r w:rsidRPr="006A548F">
        <w:rPr>
          <w:noProof/>
        </w:rPr>
        <w:t>3.</w:t>
      </w:r>
      <w:r w:rsidRPr="006A548F">
        <w:rPr>
          <w:noProof/>
        </w:rPr>
        <w:tab/>
        <w:t>DELEĢĒTĀ AKTA JURIDISKIE ASPEKTI</w:t>
      </w:r>
    </w:p>
    <w:p w14:paraId="2F87CBFD" w14:textId="77777777" w:rsidR="00864047" w:rsidRPr="006A548F" w:rsidRDefault="00864047" w:rsidP="00631F29">
      <w:pPr>
        <w:rPr>
          <w:noProof/>
        </w:rPr>
      </w:pPr>
      <w:r w:rsidRPr="006A548F">
        <w:rPr>
          <w:noProof/>
        </w:rPr>
        <w:t>1. pantā ir noteikti vispārējie principi, kas EBI būtu jāievēro, aprēķinot un iekasējot maksas saistībā ar tās apstiprināšanas struktūras funkcijas izpildi.</w:t>
      </w:r>
    </w:p>
    <w:p w14:paraId="07A97EDB" w14:textId="77777777" w:rsidR="00433CF3" w:rsidRPr="006A548F" w:rsidRDefault="004601C0" w:rsidP="00631F29">
      <w:pPr>
        <w:rPr>
          <w:noProof/>
        </w:rPr>
      </w:pPr>
      <w:r w:rsidRPr="006A548F">
        <w:rPr>
          <w:noProof/>
        </w:rPr>
        <w:t>2. pantā ir precizēts, kā EBI būtu jāaplēš savas gada kopējās izmaksas saistībā ar tās apstiprināšanas struktūras funkcijas izpildi.</w:t>
      </w:r>
    </w:p>
    <w:p w14:paraId="0C745826" w14:textId="77777777" w:rsidR="00686C14" w:rsidRPr="006A548F" w:rsidRDefault="00686C14" w:rsidP="00686C14">
      <w:pPr>
        <w:rPr>
          <w:noProof/>
        </w:rPr>
      </w:pPr>
      <w:r w:rsidRPr="006A548F">
        <w:rPr>
          <w:noProof/>
        </w:rPr>
        <w:t xml:space="preserve">3. pantā ir precizēts, kā darījumu partneriem būtu jāaprēķina vidējā nosacītā summa, lai noteiktu maksas, kas jāmaksā par to izmantoto </w:t>
      </w:r>
      <w:r w:rsidRPr="006A548F">
        <w:rPr>
          <w:i/>
          <w:noProof/>
        </w:rPr>
        <w:t>pro forma</w:t>
      </w:r>
      <w:r w:rsidRPr="006A548F">
        <w:rPr>
          <w:noProof/>
        </w:rPr>
        <w:t xml:space="preserve"> modeļu apstiprināšanu.</w:t>
      </w:r>
    </w:p>
    <w:p w14:paraId="6666734F" w14:textId="77777777" w:rsidR="00864047" w:rsidRPr="006A548F" w:rsidRDefault="00864047" w:rsidP="00864047">
      <w:pPr>
        <w:rPr>
          <w:noProof/>
        </w:rPr>
      </w:pPr>
      <w:r w:rsidRPr="006A548F">
        <w:rPr>
          <w:noProof/>
        </w:rPr>
        <w:t>4. pantā ir precizētas maksas, kas darījumu partneriem regulāri jāmaksā.</w:t>
      </w:r>
    </w:p>
    <w:p w14:paraId="03627ECF" w14:textId="77777777" w:rsidR="00864047" w:rsidRPr="006A548F" w:rsidRDefault="00864047" w:rsidP="00864047">
      <w:pPr>
        <w:rPr>
          <w:noProof/>
        </w:rPr>
      </w:pPr>
      <w:r w:rsidRPr="006A548F">
        <w:rPr>
          <w:noProof/>
        </w:rPr>
        <w:t xml:space="preserve">5. pantā ir precizētas maksas, kas jāmaksā darījumu partneriem, kuri izmanto </w:t>
      </w:r>
      <w:r w:rsidRPr="006A548F">
        <w:rPr>
          <w:i/>
          <w:noProof/>
        </w:rPr>
        <w:t>pro forma</w:t>
      </w:r>
      <w:r w:rsidRPr="006A548F">
        <w:rPr>
          <w:noProof/>
        </w:rPr>
        <w:t xml:space="preserve"> modeli, kas jau tika izmantots pirms ETIR 3 stāšanās spēkā.</w:t>
      </w:r>
    </w:p>
    <w:p w14:paraId="74A78E42" w14:textId="77777777" w:rsidR="00E35D13" w:rsidRPr="006A548F" w:rsidRDefault="00E35D13" w:rsidP="00631F29">
      <w:pPr>
        <w:rPr>
          <w:noProof/>
        </w:rPr>
      </w:pPr>
      <w:r w:rsidRPr="006A548F">
        <w:rPr>
          <w:noProof/>
        </w:rPr>
        <w:t xml:space="preserve">6. pantā ir precizētas maksas, kas jāmaksā pirmajos gados pēc jauna </w:t>
      </w:r>
      <w:r w:rsidRPr="006A548F">
        <w:rPr>
          <w:i/>
          <w:noProof/>
        </w:rPr>
        <w:t>pro forma</w:t>
      </w:r>
      <w:r w:rsidRPr="006A548F">
        <w:rPr>
          <w:noProof/>
        </w:rPr>
        <w:t xml:space="preserve"> modeļa ieviešanas un pieteikuma iesniegšanas tā apstiprināšanai.</w:t>
      </w:r>
    </w:p>
    <w:p w14:paraId="5B09699E" w14:textId="77777777" w:rsidR="00631F29" w:rsidRPr="006A548F" w:rsidRDefault="00631F29" w:rsidP="00631F29">
      <w:pPr>
        <w:rPr>
          <w:noProof/>
        </w:rPr>
      </w:pPr>
      <w:r w:rsidRPr="006A548F">
        <w:rPr>
          <w:noProof/>
        </w:rPr>
        <w:t>7. pantā ir noteikta EBI maksu maksāšanas vispārējā kārtība.</w:t>
      </w:r>
    </w:p>
    <w:p w14:paraId="1325C51E" w14:textId="77777777" w:rsidR="00631F29" w:rsidRPr="006A548F" w:rsidRDefault="00631F29" w:rsidP="00631F29">
      <w:pPr>
        <w:rPr>
          <w:noProof/>
        </w:rPr>
      </w:pPr>
      <w:r w:rsidRPr="006A548F">
        <w:rPr>
          <w:noProof/>
        </w:rPr>
        <w:t>8. pantā ir precizēta informācija, kas jāpaziņo EBI, lai tā varētu noteikt EBI iekasējamās maksas.</w:t>
      </w:r>
    </w:p>
    <w:p w14:paraId="2B07C6E6" w14:textId="77777777" w:rsidR="00631F29" w:rsidRPr="006A548F" w:rsidRDefault="00631F29" w:rsidP="00631F29">
      <w:pPr>
        <w:rPr>
          <w:noProof/>
        </w:rPr>
      </w:pPr>
      <w:r w:rsidRPr="006A548F">
        <w:rPr>
          <w:noProof/>
        </w:rPr>
        <w:t>9. pantā ir noteikta deleģētā akta spēkā stāšanās diena.</w:t>
      </w:r>
    </w:p>
    <w:p w14:paraId="64662577" w14:textId="77777777" w:rsidR="00E35D13" w:rsidRPr="006A548F" w:rsidRDefault="00E35D13" w:rsidP="00E35D13">
      <w:pPr>
        <w:rPr>
          <w:noProof/>
        </w:rPr>
      </w:pPr>
    </w:p>
    <w:p w14:paraId="3DB8441C" w14:textId="77777777" w:rsidR="00433CF3" w:rsidRPr="006A548F" w:rsidRDefault="00433CF3">
      <w:pPr>
        <w:rPr>
          <w:noProof/>
        </w:rPr>
        <w:sectPr w:rsidR="00433CF3" w:rsidRPr="006A548F" w:rsidSect="007C51B7">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6119C601" w14:textId="09F8F8BA" w:rsidR="00433CF3" w:rsidRPr="006A548F" w:rsidRDefault="006A548F" w:rsidP="006A548F">
      <w:pPr>
        <w:pStyle w:val="Typedudocument"/>
        <w:rPr>
          <w:noProof/>
        </w:rPr>
      </w:pPr>
      <w:r w:rsidRPr="006A548F">
        <w:rPr>
          <w:noProof/>
        </w:rPr>
        <w:lastRenderedPageBreak/>
        <w:t>KOMISIJAS DELEĢĒTĀ REGULA (ES) …/..</w:t>
      </w:r>
    </w:p>
    <w:p w14:paraId="34CDFA6B" w14:textId="41EBC3E7" w:rsidR="00433CF3" w:rsidRPr="006A548F" w:rsidRDefault="006A548F" w:rsidP="006A548F">
      <w:pPr>
        <w:pStyle w:val="Datedadoption"/>
        <w:rPr>
          <w:noProof/>
        </w:rPr>
      </w:pPr>
      <w:r>
        <w:rPr>
          <w:noProof/>
        </w:rPr>
        <w:t>(5.5.2026),</w:t>
      </w:r>
    </w:p>
    <w:p w14:paraId="5D0C9D7B" w14:textId="0F4A60C9" w:rsidR="008B6DE7" w:rsidRPr="006A548F" w:rsidRDefault="006A548F" w:rsidP="006A548F">
      <w:pPr>
        <w:pStyle w:val="Titreobjet"/>
        <w:rPr>
          <w:noProof/>
        </w:rPr>
      </w:pPr>
      <w:bookmarkStart w:id="1" w:name="_Hlk219731953"/>
      <w:r w:rsidRPr="006A548F">
        <w:rPr>
          <w:noProof/>
        </w:rPr>
        <w:t xml:space="preserve">ar ko papildina Eiropas Parlamenta un Padomes Regulu (ES) Nr. 648/2012, precizējot metodi to maksu noteikšanai, ko Eiropas Banku iestāde iekasē par minētās regulas 11. panta 3. punkta ceturtajā daļā minēto </w:t>
      </w:r>
      <w:r w:rsidRPr="006A548F">
        <w:rPr>
          <w:i/>
          <w:noProof/>
        </w:rPr>
        <w:t>pro forma</w:t>
      </w:r>
      <w:r w:rsidRPr="006A548F">
        <w:rPr>
          <w:noProof/>
        </w:rPr>
        <w:t xml:space="preserve"> modeļu apstiprināšanu, un precizē minēto maksu izpildes kārtību</w:t>
      </w:r>
    </w:p>
    <w:bookmarkEnd w:id="1"/>
    <w:p w14:paraId="480263E1" w14:textId="5F0E4495" w:rsidR="00433CF3" w:rsidRPr="006A548F" w:rsidRDefault="006A548F" w:rsidP="006A548F">
      <w:pPr>
        <w:pStyle w:val="IntrtEEE"/>
        <w:rPr>
          <w:noProof/>
        </w:rPr>
      </w:pPr>
      <w:r w:rsidRPr="006A548F">
        <w:rPr>
          <w:noProof/>
        </w:rPr>
        <w:t>(Dokuments attiecas uz EEZ)</w:t>
      </w:r>
    </w:p>
    <w:p w14:paraId="1EBE93AB" w14:textId="77777777" w:rsidR="008B6DE7" w:rsidRPr="006A548F" w:rsidRDefault="008B6DE7" w:rsidP="008B6DE7">
      <w:pPr>
        <w:pStyle w:val="Institutionquiagit"/>
        <w:rPr>
          <w:noProof/>
        </w:rPr>
      </w:pPr>
      <w:r w:rsidRPr="006A548F">
        <w:rPr>
          <w:noProof/>
        </w:rPr>
        <w:t>EIROPAS KOMISIJA,</w:t>
      </w:r>
    </w:p>
    <w:p w14:paraId="1033D44D" w14:textId="77777777" w:rsidR="008B6DE7" w:rsidRPr="006A548F" w:rsidRDefault="008B6DE7" w:rsidP="008B6DE7">
      <w:pPr>
        <w:rPr>
          <w:noProof/>
        </w:rPr>
      </w:pPr>
      <w:r w:rsidRPr="006A548F">
        <w:rPr>
          <w:noProof/>
          <w:color w:val="000000"/>
        </w:rPr>
        <w:t>ņemot vērā Līgumu par Eiropas Savienības darbību,</w:t>
      </w:r>
    </w:p>
    <w:p w14:paraId="2F6444E5" w14:textId="77777777" w:rsidR="008B6DE7" w:rsidRPr="006A548F" w:rsidRDefault="008B6DE7" w:rsidP="008B6DE7">
      <w:pPr>
        <w:rPr>
          <w:noProof/>
        </w:rPr>
      </w:pPr>
      <w:r w:rsidRPr="006A548F">
        <w:rPr>
          <w:noProof/>
        </w:rPr>
        <w:t>ņemot vērā Eiropas Parlamenta un Padomes Regulu (ES) Nr. 648/2012 (2012. gada 4. jūlijs) par ārpusbiržas atvasinātajiem instrumentiem, centrālajiem darījumu partneriem un darījumu reģistriem</w:t>
      </w:r>
      <w:r w:rsidRPr="006A548F">
        <w:rPr>
          <w:rStyle w:val="FootnoteReference"/>
          <w:noProof/>
        </w:rPr>
        <w:footnoteReference w:id="3"/>
      </w:r>
      <w:r w:rsidRPr="006A548F">
        <w:rPr>
          <w:noProof/>
        </w:rPr>
        <w:t xml:space="preserve"> un jo īpaši tās11. panta 12.a punkta septīto daļu,</w:t>
      </w:r>
    </w:p>
    <w:p w14:paraId="34B3E480" w14:textId="77777777" w:rsidR="008B6DE7" w:rsidRPr="006A548F" w:rsidRDefault="008B6DE7" w:rsidP="008B6DE7">
      <w:pPr>
        <w:rPr>
          <w:noProof/>
        </w:rPr>
      </w:pPr>
      <w:r w:rsidRPr="006A548F">
        <w:rPr>
          <w:noProof/>
        </w:rPr>
        <w:t>tā kā:</w:t>
      </w:r>
    </w:p>
    <w:p w14:paraId="7451DE22" w14:textId="77777777" w:rsidR="008B6DE7" w:rsidRPr="006A548F" w:rsidRDefault="00377769" w:rsidP="008B6DE7">
      <w:pPr>
        <w:pStyle w:val="ManualConsidrant"/>
        <w:rPr>
          <w:noProof/>
        </w:rPr>
      </w:pPr>
      <w:r>
        <w:rPr>
          <w:noProof/>
        </w:rPr>
        <w:t>(1)</w:t>
      </w:r>
      <w:r>
        <w:rPr>
          <w:noProof/>
        </w:rPr>
        <w:tab/>
      </w:r>
      <w:bookmarkStart w:id="2" w:name="_Hlk221024554"/>
      <w:r w:rsidRPr="006A548F">
        <w:rPr>
          <w:noProof/>
        </w:rPr>
        <w:t xml:space="preserve">Regulas (ES) Nr. 648/2012 11. panta 12.a punkta piektajā daļā minētajai gada maksai vajadzētu būt pietiekami augstai, lai segtu visas tiešās un netiešās izmaksas, kas Eiropas Banku iestādei (EBI) radušās, apstiprinot minētās regulas 11. panta 3. punkta ceturtajā daļā minētos </w:t>
      </w:r>
      <w:r w:rsidRPr="006A548F">
        <w:rPr>
          <w:i/>
          <w:noProof/>
        </w:rPr>
        <w:t>pro forma</w:t>
      </w:r>
      <w:r w:rsidRPr="006A548F">
        <w:rPr>
          <w:noProof/>
        </w:rPr>
        <w:t xml:space="preserve"> modeļus. Visas iekasētās maksas būtu jānosaka līmenī, kas ļauj izvairīties no deficīta vai ievērojama pārpalikuma uzkrāšanās. Ja budžeta bilance atkārtoti ir ievērojami pozitīva vai negatīva, maksu līmenis būtu jāpārskata.</w:t>
      </w:r>
    </w:p>
    <w:bookmarkEnd w:id="2"/>
    <w:p w14:paraId="03C3C42D" w14:textId="77777777" w:rsidR="008B6DE7" w:rsidRPr="006A548F" w:rsidRDefault="008B6DE7" w:rsidP="008B6DE7">
      <w:pPr>
        <w:pStyle w:val="ManualConsidrant"/>
        <w:ind w:left="720" w:hanging="720"/>
        <w:rPr>
          <w:noProof/>
        </w:rPr>
      </w:pPr>
      <w:r>
        <w:rPr>
          <w:noProof/>
        </w:rPr>
        <w:t>(2)</w:t>
      </w:r>
      <w:r>
        <w:rPr>
          <w:noProof/>
        </w:rPr>
        <w:tab/>
      </w:r>
      <w:r w:rsidRPr="006A548F">
        <w:rPr>
          <w:noProof/>
        </w:rPr>
        <w:t xml:space="preserve">Pienākums nodrošināt, ka Regulas (ES) Nr. 648/2012 11. panta 3. punkta ceturtajā daļā minētos </w:t>
      </w:r>
      <w:r w:rsidRPr="006A548F">
        <w:rPr>
          <w:i/>
          <w:noProof/>
        </w:rPr>
        <w:t>pro forma</w:t>
      </w:r>
      <w:r w:rsidRPr="006A548F">
        <w:rPr>
          <w:noProof/>
        </w:rPr>
        <w:t xml:space="preserve"> modeļus apstiprina EBI, tika ieviests ar Eiropas Parlamenta un Padomes Regulu (ES) 2024/2987</w:t>
      </w:r>
      <w:r w:rsidRPr="006A548F">
        <w:rPr>
          <w:rStyle w:val="FootnoteReference"/>
          <w:noProof/>
        </w:rPr>
        <w:footnoteReference w:id="4"/>
      </w:r>
      <w:r w:rsidRPr="006A548F">
        <w:rPr>
          <w:noProof/>
        </w:rPr>
        <w:t xml:space="preserve">. Tomēr daži darījumu partneri, kas noslēguši ārpusbiržas atvasināto instrumentu līgumus, kuriem tīrvērti nav veicis centrālais darījumu partneris, pirms minētās regulas stāšanās spēkā ir izmantojuši </w:t>
      </w:r>
      <w:r w:rsidRPr="006A548F">
        <w:rPr>
          <w:i/>
          <w:noProof/>
        </w:rPr>
        <w:t>pro forma</w:t>
      </w:r>
      <w:r w:rsidRPr="006A548F">
        <w:rPr>
          <w:noProof/>
        </w:rPr>
        <w:t xml:space="preserve"> modeļus. Tāpēc ir lietderīgi izstrādāt īpašu metodiku to maksu aprēķināšanai, kas maksājamas par minēto</w:t>
      </w:r>
      <w:r w:rsidRPr="006A548F">
        <w:rPr>
          <w:i/>
          <w:noProof/>
        </w:rPr>
        <w:t xml:space="preserve"> pro forma</w:t>
      </w:r>
      <w:r w:rsidRPr="006A548F">
        <w:rPr>
          <w:noProof/>
        </w:rPr>
        <w:t xml:space="preserve"> modeļu apstiprināšanu.</w:t>
      </w:r>
    </w:p>
    <w:p w14:paraId="0849B5B6" w14:textId="77777777" w:rsidR="008B6DE7" w:rsidRPr="006A548F" w:rsidRDefault="008B6DE7" w:rsidP="008B6DE7">
      <w:pPr>
        <w:pStyle w:val="ManualConsidrant"/>
        <w:rPr>
          <w:noProof/>
        </w:rPr>
      </w:pPr>
      <w:r>
        <w:rPr>
          <w:noProof/>
        </w:rPr>
        <w:t>(3)</w:t>
      </w:r>
      <w:r>
        <w:rPr>
          <w:noProof/>
        </w:rPr>
        <w:tab/>
      </w:r>
      <w:r w:rsidRPr="006A548F">
        <w:rPr>
          <w:noProof/>
        </w:rPr>
        <w:t xml:space="preserve">Regulas (ES) Nr. 648/2012 11. panta 12.a punkta piektajā daļā ir noteikts, ka gada maksa, kas jāmaksā EBI, ir proporcionāla attiecīgo darījumu partneru ārpusbiržas atvasināto instrumentu, kuru tīrvērte netiek veikta centralizēti, mēneša vidējai nenomaksātajai nosacītajai summai par iepriekšējiem 12 mēnešiem. Lai noteiktu vidējo nosacīto summu, darījumu partneriem būtu jāizmanto līdzvērtīga portfeļa nosacītā pieeja. Darījumu partneriem būtu jāļauj izmantot alternatīvu pieeju ar </w:t>
      </w:r>
      <w:r w:rsidRPr="006A548F">
        <w:rPr>
          <w:noProof/>
        </w:rPr>
        <w:lastRenderedPageBreak/>
        <w:t>noteikumu, ka tie savai kompetentajai iestādei var pamatot minētās alternatīvās pieejas izvēli.</w:t>
      </w:r>
    </w:p>
    <w:p w14:paraId="0ECCC5E9" w14:textId="77777777" w:rsidR="008B6DE7" w:rsidRPr="006A548F" w:rsidRDefault="008B6DE7" w:rsidP="008B6DE7">
      <w:pPr>
        <w:pStyle w:val="ManualConsidrant"/>
        <w:rPr>
          <w:noProof/>
        </w:rPr>
      </w:pPr>
      <w:r>
        <w:rPr>
          <w:noProof/>
        </w:rPr>
        <w:t>(4)</w:t>
      </w:r>
      <w:r>
        <w:rPr>
          <w:noProof/>
        </w:rPr>
        <w:tab/>
      </w:r>
      <w:r w:rsidRPr="006A548F">
        <w:rPr>
          <w:noProof/>
        </w:rPr>
        <w:t xml:space="preserve">Kas attiecas uz jauniem </w:t>
      </w:r>
      <w:r w:rsidRPr="006A548F">
        <w:rPr>
          <w:i/>
          <w:noProof/>
        </w:rPr>
        <w:t>pro forma</w:t>
      </w:r>
      <w:r w:rsidRPr="006A548F">
        <w:rPr>
          <w:noProof/>
        </w:rPr>
        <w:t xml:space="preserve"> modeļiem, vēl nav mēneša vidējās atlikušās nosacītās summas, ko var izmantot, lai proporcionāli sadalītu izmaksas starp visiem darījumu partneriem, kuri izmanto šo jauno </w:t>
      </w:r>
      <w:r w:rsidRPr="006A548F">
        <w:rPr>
          <w:i/>
          <w:noProof/>
        </w:rPr>
        <w:t>pro forma</w:t>
      </w:r>
      <w:r w:rsidRPr="006A548F">
        <w:rPr>
          <w:noProof/>
        </w:rPr>
        <w:t xml:space="preserve"> modeli. Tāpēc ir lietderīgi pirmajā gadā, kad izmanto jauno </w:t>
      </w:r>
      <w:r w:rsidRPr="006A548F">
        <w:rPr>
          <w:i/>
          <w:noProof/>
        </w:rPr>
        <w:t>pro forma</w:t>
      </w:r>
      <w:r w:rsidRPr="006A548F">
        <w:rPr>
          <w:noProof/>
        </w:rPr>
        <w:t xml:space="preserve"> modeli, no minētajiem darījumu partneriem iekasēt vienādu un fiksētu maksu par katru jauno </w:t>
      </w:r>
      <w:r w:rsidRPr="006A548F">
        <w:rPr>
          <w:i/>
          <w:noProof/>
        </w:rPr>
        <w:t>pro forma</w:t>
      </w:r>
      <w:r w:rsidRPr="006A548F">
        <w:rPr>
          <w:noProof/>
        </w:rPr>
        <w:t xml:space="preserve"> modeli. Tomēr Regulas (ES) Nr. 648/2012 11. panta 12.a punkta otrajā daļā EBI ir noteikts, ka sešus mēnešus pēc tā, kad saņemts pieteikums šāda jauna </w:t>
      </w:r>
      <w:r w:rsidRPr="006A548F">
        <w:rPr>
          <w:i/>
          <w:iCs/>
          <w:noProof/>
        </w:rPr>
        <w:t>pro forma</w:t>
      </w:r>
      <w:r w:rsidRPr="006A548F">
        <w:rPr>
          <w:noProof/>
        </w:rPr>
        <w:t xml:space="preserve"> modeļa apstiprināšanai, šis modelis ir jāapstiprina, un tas nozīmē, ka ir iespējams, ka </w:t>
      </w:r>
      <w:r w:rsidRPr="006A548F">
        <w:rPr>
          <w:i/>
          <w:iCs/>
          <w:noProof/>
        </w:rPr>
        <w:t>pro forma</w:t>
      </w:r>
      <w:r w:rsidRPr="006A548F">
        <w:rPr>
          <w:noProof/>
        </w:rPr>
        <w:t xml:space="preserve"> modelis tiek apstiprināts tikai nākamajā gadā pēc apstiprināšanas pieteikuma iesniegšanas. Tādēļ EBI vajadzētu būt iespējai iekasēt fiksēto maksu arī par gadu, kurā </w:t>
      </w:r>
      <w:r w:rsidRPr="006A548F">
        <w:rPr>
          <w:i/>
          <w:noProof/>
        </w:rPr>
        <w:t>pro forma</w:t>
      </w:r>
      <w:r w:rsidRPr="006A548F">
        <w:rPr>
          <w:noProof/>
        </w:rPr>
        <w:t xml:space="preserve"> modelis ir faktiski apstiprināts. Nākamajiem gadiem pēc gada, kurā piešķirts pirmais apstiprinājums, būtu jāizveido nemainīga metodika maksājamo maksu noteikšanai.</w:t>
      </w:r>
    </w:p>
    <w:p w14:paraId="60D1375C" w14:textId="77777777" w:rsidR="008B6DE7" w:rsidRPr="006A548F" w:rsidRDefault="008B6DE7" w:rsidP="008B6DE7">
      <w:pPr>
        <w:pStyle w:val="ManualConsidrant"/>
        <w:rPr>
          <w:noProof/>
        </w:rPr>
      </w:pPr>
      <w:r>
        <w:rPr>
          <w:noProof/>
        </w:rPr>
        <w:t>(5)</w:t>
      </w:r>
      <w:r>
        <w:rPr>
          <w:noProof/>
        </w:rPr>
        <w:tab/>
      </w:r>
      <w:r w:rsidRPr="006A548F">
        <w:rPr>
          <w:noProof/>
        </w:rPr>
        <w:t xml:space="preserve">Lai EBI varētu precīzi aprēķināt gada maksu, darījumu partneriem, kas izmanto EBI apstiprinātos </w:t>
      </w:r>
      <w:r w:rsidRPr="006A548F">
        <w:rPr>
          <w:i/>
          <w:noProof/>
        </w:rPr>
        <w:t>pro forma</w:t>
      </w:r>
      <w:r w:rsidRPr="006A548F">
        <w:rPr>
          <w:noProof/>
        </w:rPr>
        <w:t xml:space="preserve"> modeļus, būtu laikus jānosūta EBI visa informācija, kas EBI vajadzīga šādam aprēķinam,</w:t>
      </w:r>
    </w:p>
    <w:p w14:paraId="5545BBB5" w14:textId="77777777" w:rsidR="008B6DE7" w:rsidRPr="006A548F" w:rsidRDefault="008B6DE7" w:rsidP="008B6DE7">
      <w:pPr>
        <w:pStyle w:val="Formuledadoption"/>
        <w:rPr>
          <w:noProof/>
        </w:rPr>
      </w:pPr>
      <w:r w:rsidRPr="006A548F">
        <w:rPr>
          <w:noProof/>
        </w:rPr>
        <w:t>IR PIEŅĒMUSI ŠO REGULU.</w:t>
      </w:r>
    </w:p>
    <w:p w14:paraId="6F3EEF2F" w14:textId="77777777" w:rsidR="008B6DE7" w:rsidRPr="006A548F" w:rsidRDefault="008B6DE7" w:rsidP="008B6DE7">
      <w:pPr>
        <w:pStyle w:val="Titrearticle"/>
        <w:rPr>
          <w:b/>
          <w:i w:val="0"/>
          <w:noProof/>
          <w:szCs w:val="24"/>
        </w:rPr>
      </w:pPr>
      <w:r w:rsidRPr="006A548F">
        <w:rPr>
          <w:noProof/>
        </w:rPr>
        <w:t xml:space="preserve">1. pants </w:t>
      </w:r>
      <w:r w:rsidRPr="006A548F">
        <w:rPr>
          <w:noProof/>
        </w:rPr>
        <w:br/>
      </w:r>
      <w:r w:rsidRPr="006A548F">
        <w:rPr>
          <w:b/>
          <w:i w:val="0"/>
          <w:noProof/>
        </w:rPr>
        <w:t>Gada maksa, kuras pamatā ir pilnīga izmaksu atgūšana un kura izmanto uz darbības jomām balstītu pārvaldības modeli</w:t>
      </w:r>
    </w:p>
    <w:p w14:paraId="5C6AD582" w14:textId="77777777" w:rsidR="008B6DE7" w:rsidRPr="006A548F" w:rsidRDefault="008B6DE7" w:rsidP="0031303E">
      <w:pPr>
        <w:rPr>
          <w:noProof/>
        </w:rPr>
      </w:pPr>
      <w:r w:rsidRPr="006A548F">
        <w:rPr>
          <w:noProof/>
        </w:rPr>
        <w:t>Regulas (ES) Nr. 648/2012 11. panta 12.a punkta piektajā daļā minētās gada maksas pamatā ir abi turpmāk minētie elementi:</w:t>
      </w:r>
    </w:p>
    <w:p w14:paraId="098DCAC0" w14:textId="6292B8A3" w:rsidR="008B6DE7" w:rsidRPr="006A548F" w:rsidRDefault="008B6DE7" w:rsidP="007B23AE">
      <w:pPr>
        <w:pStyle w:val="Point0"/>
        <w:rPr>
          <w:noProof/>
        </w:rPr>
      </w:pPr>
      <w:r>
        <w:rPr>
          <w:noProof/>
        </w:rPr>
        <w:t>(a)</w:t>
      </w:r>
      <w:r>
        <w:rPr>
          <w:noProof/>
        </w:rPr>
        <w:tab/>
      </w:r>
      <w:r w:rsidRPr="006A548F">
        <w:rPr>
          <w:noProof/>
        </w:rPr>
        <w:t>pilnīgas izmaksu atgūšanas princips;</w:t>
      </w:r>
    </w:p>
    <w:p w14:paraId="1FA7D828" w14:textId="547CEF77" w:rsidR="008B6DE7" w:rsidRPr="006A548F" w:rsidRDefault="008B6DE7" w:rsidP="0031303E">
      <w:pPr>
        <w:pStyle w:val="Point0"/>
        <w:rPr>
          <w:noProof/>
        </w:rPr>
      </w:pPr>
      <w:r>
        <w:rPr>
          <w:noProof/>
        </w:rPr>
        <w:t>(b)</w:t>
      </w:r>
      <w:r>
        <w:rPr>
          <w:noProof/>
        </w:rPr>
        <w:tab/>
      </w:r>
      <w:r w:rsidRPr="006A548F">
        <w:rPr>
          <w:noProof/>
        </w:rPr>
        <w:t>saskaņā ar 3. pantu aprēķinātā vidējā nosacītā summa.</w:t>
      </w:r>
    </w:p>
    <w:p w14:paraId="051C370C" w14:textId="77777777" w:rsidR="008B6DE7" w:rsidRPr="006A548F" w:rsidRDefault="008B6DE7" w:rsidP="008B6DE7">
      <w:pPr>
        <w:pStyle w:val="Titrearticle"/>
        <w:rPr>
          <w:b/>
          <w:i w:val="0"/>
          <w:noProof/>
          <w:szCs w:val="24"/>
        </w:rPr>
      </w:pPr>
      <w:r w:rsidRPr="006A548F">
        <w:rPr>
          <w:noProof/>
        </w:rPr>
        <w:t xml:space="preserve">2. pants </w:t>
      </w:r>
      <w:r w:rsidRPr="006A548F">
        <w:rPr>
          <w:noProof/>
        </w:rPr>
        <w:br/>
      </w:r>
      <w:r w:rsidRPr="006A548F">
        <w:rPr>
          <w:b/>
          <w:i w:val="0"/>
          <w:noProof/>
        </w:rPr>
        <w:t xml:space="preserve">Aplēse par kopējām gada izmaksām, kas EBI radīsies saistībā ar </w:t>
      </w:r>
      <w:r w:rsidRPr="006A548F">
        <w:rPr>
          <w:b/>
          <w:noProof/>
        </w:rPr>
        <w:t>pro forma</w:t>
      </w:r>
      <w:r w:rsidRPr="006A548F">
        <w:rPr>
          <w:b/>
          <w:i w:val="0"/>
          <w:noProof/>
        </w:rPr>
        <w:t xml:space="preserve"> modeļu apstiprināšanu</w:t>
      </w:r>
    </w:p>
    <w:p w14:paraId="267889E6" w14:textId="77777777" w:rsidR="008B6DE7" w:rsidRPr="006A548F" w:rsidRDefault="008B6DE7" w:rsidP="0031303E">
      <w:pPr>
        <w:rPr>
          <w:noProof/>
        </w:rPr>
      </w:pPr>
      <w:r w:rsidRPr="006A548F">
        <w:rPr>
          <w:noProof/>
        </w:rPr>
        <w:t xml:space="preserve">Lai noteiktu EBI iekasējamo maksu kopējo summu </w:t>
      </w:r>
      <w:bookmarkStart w:id="3" w:name="_Hlk221024861"/>
      <w:r w:rsidRPr="006A548F">
        <w:rPr>
          <w:noProof/>
        </w:rPr>
        <w:t>saskaņā ar Regulas (ES) Nr. 648/2012 11. panta 12.a punkta piekto daļu</w:t>
      </w:r>
      <w:bookmarkEnd w:id="3"/>
      <w:r w:rsidRPr="006A548F">
        <w:rPr>
          <w:noProof/>
        </w:rPr>
        <w:t>, EBI katru gadu ņem vērā tiešos un netiešos izdevumus, kas tai attiecīgajā gadā radīsies par:</w:t>
      </w:r>
    </w:p>
    <w:p w14:paraId="794EFB6B" w14:textId="77777777" w:rsidR="008B6DE7" w:rsidRPr="006A548F" w:rsidRDefault="008B6DE7" w:rsidP="007B23AE">
      <w:pPr>
        <w:pStyle w:val="Point0"/>
        <w:rPr>
          <w:noProof/>
        </w:rPr>
      </w:pPr>
      <w:r>
        <w:rPr>
          <w:noProof/>
        </w:rPr>
        <w:t>(a)</w:t>
      </w:r>
      <w:r>
        <w:rPr>
          <w:noProof/>
        </w:rPr>
        <w:tab/>
      </w:r>
      <w:r w:rsidRPr="006A548F">
        <w:rPr>
          <w:i/>
          <w:noProof/>
        </w:rPr>
        <w:t>pro forma</w:t>
      </w:r>
      <w:r w:rsidRPr="006A548F">
        <w:rPr>
          <w:noProof/>
        </w:rPr>
        <w:t xml:space="preserve"> modeļu, tostarp to izmaiņu, apstiprināšanu;</w:t>
      </w:r>
    </w:p>
    <w:p w14:paraId="661020EB" w14:textId="77777777" w:rsidR="008B6DE7" w:rsidRPr="006A548F" w:rsidRDefault="008B6DE7" w:rsidP="008B6DE7">
      <w:pPr>
        <w:pStyle w:val="Point0"/>
        <w:rPr>
          <w:noProof/>
        </w:rPr>
      </w:pPr>
      <w:r>
        <w:rPr>
          <w:noProof/>
        </w:rPr>
        <w:t>(b)</w:t>
      </w:r>
      <w:r>
        <w:rPr>
          <w:noProof/>
        </w:rPr>
        <w:tab/>
      </w:r>
      <w:r w:rsidRPr="006A548F">
        <w:rPr>
          <w:noProof/>
        </w:rPr>
        <w:t xml:space="preserve">statistikas un IT rīku izstrādi un uzturēšanu, lai atbalstītu </w:t>
      </w:r>
      <w:r w:rsidRPr="006A548F">
        <w:rPr>
          <w:i/>
          <w:noProof/>
        </w:rPr>
        <w:t>pro forma</w:t>
      </w:r>
      <w:r w:rsidRPr="006A548F">
        <w:rPr>
          <w:noProof/>
        </w:rPr>
        <w:t xml:space="preserve"> modeļu apstiprināšanas struktūru;</w:t>
      </w:r>
    </w:p>
    <w:p w14:paraId="13CBCAB0" w14:textId="77777777" w:rsidR="008B6DE7" w:rsidRPr="006A548F" w:rsidRDefault="008B6DE7" w:rsidP="008B6DE7">
      <w:pPr>
        <w:pStyle w:val="Point0"/>
        <w:rPr>
          <w:noProof/>
        </w:rPr>
      </w:pPr>
      <w:r>
        <w:rPr>
          <w:noProof/>
        </w:rPr>
        <w:t>(c)</w:t>
      </w:r>
      <w:r>
        <w:rPr>
          <w:noProof/>
        </w:rPr>
        <w:tab/>
      </w:r>
      <w:r w:rsidRPr="006A548F">
        <w:rPr>
          <w:noProof/>
        </w:rPr>
        <w:t>gada maksas aprēķināšanu, rēķinu izrakstīšanu un iekasēšanu;</w:t>
      </w:r>
    </w:p>
    <w:p w14:paraId="0C2B8A52" w14:textId="77777777" w:rsidR="008B6DE7" w:rsidRPr="006A548F" w:rsidRDefault="008B6DE7" w:rsidP="008B6DE7">
      <w:pPr>
        <w:pStyle w:val="Point0"/>
        <w:rPr>
          <w:noProof/>
        </w:rPr>
      </w:pPr>
      <w:r>
        <w:rPr>
          <w:noProof/>
        </w:rPr>
        <w:t>(d)</w:t>
      </w:r>
      <w:r>
        <w:rPr>
          <w:noProof/>
        </w:rPr>
        <w:tab/>
      </w:r>
      <w:bookmarkStart w:id="4" w:name="_Hlk221024434"/>
      <w:r w:rsidRPr="006A548F">
        <w:rPr>
          <w:noProof/>
        </w:rPr>
        <w:t xml:space="preserve">jebkādām citām darbībām </w:t>
      </w:r>
      <w:r w:rsidRPr="006A548F">
        <w:rPr>
          <w:i/>
          <w:noProof/>
        </w:rPr>
        <w:t>pro forma</w:t>
      </w:r>
      <w:r w:rsidRPr="006A548F">
        <w:rPr>
          <w:noProof/>
        </w:rPr>
        <w:t xml:space="preserve"> modeļu apstiprināšanas struktūras atbalstam</w:t>
      </w:r>
      <w:bookmarkEnd w:id="4"/>
      <w:r w:rsidRPr="006A548F">
        <w:rPr>
          <w:noProof/>
        </w:rPr>
        <w:t>.</w:t>
      </w:r>
    </w:p>
    <w:p w14:paraId="7D663118" w14:textId="77777777" w:rsidR="008B6DE7" w:rsidRPr="006A548F" w:rsidRDefault="008B6DE7" w:rsidP="008B6DE7">
      <w:pPr>
        <w:pStyle w:val="Titrearticle"/>
        <w:rPr>
          <w:b/>
          <w:i w:val="0"/>
          <w:noProof/>
          <w:szCs w:val="24"/>
        </w:rPr>
      </w:pPr>
      <w:r w:rsidRPr="006A548F">
        <w:rPr>
          <w:noProof/>
        </w:rPr>
        <w:t xml:space="preserve">3. pants </w:t>
      </w:r>
      <w:r w:rsidRPr="006A548F">
        <w:rPr>
          <w:noProof/>
        </w:rPr>
        <w:br/>
      </w:r>
      <w:r w:rsidRPr="006A548F">
        <w:rPr>
          <w:b/>
          <w:i w:val="0"/>
          <w:noProof/>
        </w:rPr>
        <w:t>Vidējā nosacītā summa</w:t>
      </w:r>
    </w:p>
    <w:p w14:paraId="54766698" w14:textId="77777777" w:rsidR="008B6DE7" w:rsidRPr="006A548F" w:rsidRDefault="008B6DE7" w:rsidP="008B6DE7">
      <w:pPr>
        <w:pStyle w:val="ManualNumPar1"/>
        <w:tabs>
          <w:tab w:val="left" w:pos="567"/>
        </w:tabs>
        <w:ind w:left="0" w:firstLine="0"/>
        <w:rPr>
          <w:noProof/>
        </w:rPr>
      </w:pPr>
      <w:r>
        <w:rPr>
          <w:noProof/>
        </w:rPr>
        <w:t>1.</w:t>
      </w:r>
      <w:r>
        <w:rPr>
          <w:noProof/>
        </w:rPr>
        <w:tab/>
      </w:r>
      <w:r w:rsidRPr="006A548F">
        <w:rPr>
          <w:noProof/>
        </w:rPr>
        <w:t xml:space="preserve">Lai aprēķinātu gada maksu, kas katram darījuma partnerim, uz kuru attiecas pienākums saņemt tā </w:t>
      </w:r>
      <w:r w:rsidRPr="006A548F">
        <w:rPr>
          <w:i/>
          <w:noProof/>
        </w:rPr>
        <w:t>pro forma</w:t>
      </w:r>
      <w:r w:rsidRPr="006A548F">
        <w:rPr>
          <w:noProof/>
        </w:rPr>
        <w:t xml:space="preserve"> modeļu apstiprinājumu, jāmaksā EBI, katrs darījumu partneris, kas izmanto </w:t>
      </w:r>
      <w:r w:rsidRPr="006A548F">
        <w:rPr>
          <w:i/>
          <w:noProof/>
        </w:rPr>
        <w:t>pro forma</w:t>
      </w:r>
      <w:r w:rsidRPr="006A548F">
        <w:rPr>
          <w:noProof/>
        </w:rPr>
        <w:t xml:space="preserve"> modeli vai attiecīgā gadījumā iesniedz pieteikumu apstiprinājumam to </w:t>
      </w:r>
      <w:r w:rsidRPr="006A548F">
        <w:rPr>
          <w:noProof/>
        </w:rPr>
        <w:lastRenderedPageBreak/>
        <w:t xml:space="preserve">izmantot, aprēķina vidējo nosacīto summu, nosakot atvasināto instrumentu, kuru tīrvērte netiek veikta centralizēti un kuriem izmanto konkrētu </w:t>
      </w:r>
      <w:r w:rsidRPr="006A548F">
        <w:rPr>
          <w:i/>
          <w:noProof/>
        </w:rPr>
        <w:t>pro forma</w:t>
      </w:r>
      <w:r w:rsidRPr="006A548F">
        <w:rPr>
          <w:noProof/>
        </w:rPr>
        <w:t xml:space="preserve"> modeli attiecīgajā pārskata periodā, vidējo nosacīto mēneša summu. Minētie darījumu partneri katrs aprēķina mēneša nosacīto summu konkrētā mēneša pēdējā darba dienā, izmantojot 4. punktā noteikto līdzvērtīga portfeļa nosacīto pieeju vai attiecīgi 5. vai 7. punktā noteiktās alternatīvās pieejas. Darījumu partneris no vidējās nosacītās summas aprēķiniem var izslēgt portfeļus, par kuriem tas neiekasē sākotnējās drošības rezerves summas Komisijas Deleģētās regulas (ES) 2016/2251</w:t>
      </w:r>
      <w:r w:rsidRPr="006A548F">
        <w:rPr>
          <w:rStyle w:val="FootnoteReference"/>
          <w:noProof/>
        </w:rPr>
        <w:footnoteReference w:id="5"/>
      </w:r>
      <w:r w:rsidRPr="006A548F">
        <w:rPr>
          <w:noProof/>
        </w:rPr>
        <w:t xml:space="preserve"> 29. panta 1. punktā noteiktās atkāpes piemērošanas rezultātā. Darījuma partneris, kas izvēlas izslēgt šādus portfeļus, šīs regulas 8. panta 1. punktā minētās informācijas ietvaros norāda izslēgto portfeļu skaitu.</w:t>
      </w:r>
    </w:p>
    <w:p w14:paraId="5D4ABF3E" w14:textId="77777777" w:rsidR="008B6DE7" w:rsidRPr="006A548F" w:rsidRDefault="008B6DE7" w:rsidP="008B6DE7">
      <w:pPr>
        <w:pStyle w:val="ManualNumPar1"/>
        <w:tabs>
          <w:tab w:val="left" w:pos="567"/>
        </w:tabs>
        <w:ind w:left="0" w:firstLine="0"/>
        <w:rPr>
          <w:noProof/>
        </w:rPr>
      </w:pPr>
      <w:r>
        <w:rPr>
          <w:noProof/>
        </w:rPr>
        <w:t>2.</w:t>
      </w:r>
      <w:r>
        <w:rPr>
          <w:noProof/>
        </w:rPr>
        <w:tab/>
      </w:r>
      <w:r w:rsidRPr="006A548F">
        <w:rPr>
          <w:noProof/>
        </w:rPr>
        <w:t xml:space="preserve">Piemērojot 4. pantu, pārskata periods ir laikposms no 1. janvāra līdz 31. decembrim gadā pirms rēķina izrakstīšanas datuma, kas noteikts saskaņā ar 7. pantu. </w:t>
      </w:r>
    </w:p>
    <w:p w14:paraId="17978831" w14:textId="77777777" w:rsidR="008B6DE7" w:rsidRPr="006A548F" w:rsidRDefault="008B6DE7" w:rsidP="008B6DE7">
      <w:pPr>
        <w:pStyle w:val="ManualNumPar1"/>
        <w:tabs>
          <w:tab w:val="left" w:pos="567"/>
        </w:tabs>
        <w:ind w:left="0" w:firstLine="0"/>
        <w:rPr>
          <w:noProof/>
        </w:rPr>
      </w:pPr>
      <w:r>
        <w:rPr>
          <w:noProof/>
        </w:rPr>
        <w:t>3.</w:t>
      </w:r>
      <w:r>
        <w:rPr>
          <w:noProof/>
        </w:rPr>
        <w:tab/>
      </w:r>
      <w:r w:rsidRPr="006A548F">
        <w:rPr>
          <w:noProof/>
        </w:rPr>
        <w:t xml:space="preserve"> Šīs regulas 5. panta nolūkos pārskata periods ir 12 mēneši pirms dienas, kad EBI ir publiski paziņojusi, ka ir izveidojusi savu centralizēto apstiprināšanas struktūru (“EBI gatavības datums”).</w:t>
      </w:r>
    </w:p>
    <w:p w14:paraId="2B506B09" w14:textId="77777777" w:rsidR="008B6DE7" w:rsidRPr="006A548F" w:rsidRDefault="008B6DE7" w:rsidP="008B6DE7">
      <w:pPr>
        <w:pStyle w:val="ManualNumPar1"/>
        <w:tabs>
          <w:tab w:val="left" w:pos="567"/>
        </w:tabs>
        <w:ind w:left="0" w:firstLine="0"/>
        <w:rPr>
          <w:noProof/>
        </w:rPr>
      </w:pPr>
      <w:r>
        <w:rPr>
          <w:noProof/>
        </w:rPr>
        <w:t>4.</w:t>
      </w:r>
      <w:r>
        <w:rPr>
          <w:noProof/>
        </w:rPr>
        <w:tab/>
      </w:r>
      <w:r w:rsidRPr="006A548F">
        <w:rPr>
          <w:noProof/>
        </w:rPr>
        <w:t xml:space="preserve">Katram 1. punktā minētā pārskata perioda mēnesim darījumu partneri mēneša nosacīto summu aprēķina, sākotnējās drošības rezerves summu, kas aprēķināta ar attiecīgā portfeļa </w:t>
      </w:r>
      <w:r w:rsidRPr="006A548F">
        <w:rPr>
          <w:i/>
          <w:noProof/>
        </w:rPr>
        <w:t>pro forma</w:t>
      </w:r>
      <w:r w:rsidRPr="006A548F">
        <w:rPr>
          <w:noProof/>
        </w:rPr>
        <w:t xml:space="preserve"> modeli, konvertējot līdzvērtīgā portfeļa nosacītajā summā saskaņā ar šādu formulu:</w:t>
      </w:r>
    </w:p>
    <w:p w14:paraId="47270AB1" w14:textId="77777777" w:rsidR="008B6DE7" w:rsidRPr="006A548F" w:rsidRDefault="00E81D8A" w:rsidP="008B6DE7">
      <w:pPr>
        <w:pStyle w:val="Text1"/>
        <w:rPr>
          <w:noProof/>
        </w:rPr>
      </w:pPr>
      <m:oMathPara>
        <m:oMath>
          <m:sSub>
            <m:sSubPr>
              <m:ctrlPr>
                <w:rPr>
                  <w:rFonts w:ascii="Cambria Math" w:hAnsi="Cambria Math"/>
                  <w:i/>
                  <w:noProof/>
                </w:rPr>
              </m:ctrlPr>
            </m:sSubPr>
            <m:e>
              <m:r>
                <w:rPr>
                  <w:rFonts w:ascii="Cambria Math" w:hAnsi="Cambria Math"/>
                  <w:noProof/>
                </w:rPr>
                <m:t>Notional</m:t>
              </m:r>
            </m:e>
            <m:sub>
              <m:r>
                <w:rPr>
                  <w:rFonts w:ascii="Cambria Math" w:hAnsi="Cambria Math"/>
                  <w:noProof/>
                </w:rPr>
                <m:t>m</m:t>
              </m:r>
            </m:sub>
          </m:sSub>
          <m:r>
            <w:rPr>
              <w:rFonts w:ascii="Cambria Math" w:hAnsi="Cambria Math"/>
              <w:noProof/>
            </w:rPr>
            <m:t xml:space="preserve">= </m:t>
          </m:r>
          <m:f>
            <m:fPr>
              <m:ctrlPr>
                <w:rPr>
                  <w:rFonts w:ascii="Cambria Math" w:hAnsi="Cambria Math"/>
                  <w:i/>
                  <w:noProof/>
                </w:rPr>
              </m:ctrlPr>
            </m:fPr>
            <m:num>
              <m:r>
                <w:rPr>
                  <w:rFonts w:ascii="Cambria Math" w:hAnsi="Cambria Math"/>
                  <w:noProof/>
                </w:rPr>
                <m:t>IM</m:t>
              </m:r>
              <m:r>
                <w:rPr>
                  <w:rFonts w:ascii="Cambria Math" w:hAnsi="Cambria Math"/>
                  <w:noProof/>
                </w:rPr>
                <m:t>(</m:t>
              </m:r>
              <m:r>
                <w:rPr>
                  <w:rFonts w:ascii="Cambria Math" w:hAnsi="Cambria Math"/>
                  <w:noProof/>
                </w:rPr>
                <m:t>Interest</m:t>
              </m:r>
              <m:r>
                <w:rPr>
                  <w:rFonts w:ascii="Cambria Math" w:hAnsi="Cambria Math"/>
                  <w:noProof/>
                </w:rPr>
                <m:t xml:space="preserve"> </m:t>
              </m:r>
              <m:r>
                <w:rPr>
                  <w:rFonts w:ascii="Cambria Math" w:hAnsi="Cambria Math"/>
                  <w:noProof/>
                </w:rPr>
                <m:t>rate</m:t>
              </m:r>
              <m:r>
                <w:rPr>
                  <w:rFonts w:ascii="Cambria Math" w:hAnsi="Cambria Math"/>
                  <w:noProof/>
                </w:rPr>
                <m:t xml:space="preserve">, </m:t>
              </m:r>
              <m:r>
                <w:rPr>
                  <w:rFonts w:ascii="Cambria Math" w:hAnsi="Cambria Math"/>
                  <w:noProof/>
                </w:rPr>
                <m:t>infl</m:t>
              </m:r>
              <m:r>
                <w:rPr>
                  <w:rFonts w:ascii="Cambria Math" w:hAnsi="Cambria Math"/>
                  <w:noProof/>
                </w:rPr>
                <m:t>a</m:t>
              </m:r>
              <m:r>
                <w:rPr>
                  <w:rFonts w:ascii="Cambria Math" w:hAnsi="Cambria Math"/>
                  <w:noProof/>
                </w:rPr>
                <m:t>tion</m:t>
              </m:r>
              <m:r>
                <w:rPr>
                  <w:rFonts w:ascii="Cambria Math" w:hAnsi="Cambria Math"/>
                  <w:noProof/>
                </w:rPr>
                <m:t xml:space="preserve">, </m:t>
              </m:r>
              <m:r>
                <w:rPr>
                  <w:rFonts w:ascii="Cambria Math" w:hAnsi="Cambria Math"/>
                  <w:noProof/>
                </w:rPr>
                <m:t>FX</m:t>
              </m:r>
              <m:r>
                <w:rPr>
                  <w:rFonts w:ascii="Cambria Math" w:hAnsi="Cambria Math"/>
                  <w:noProof/>
                </w:rPr>
                <m:t>)</m:t>
              </m:r>
            </m:num>
            <m:den>
              <m:r>
                <w:rPr>
                  <w:rFonts w:ascii="Cambria Math" w:hAnsi="Cambria Math"/>
                  <w:noProof/>
                </w:rPr>
                <m:t>6%</m:t>
              </m:r>
            </m:den>
          </m:f>
          <m:r>
            <w:rPr>
              <w:rFonts w:ascii="Cambria Math" w:hAnsi="Cambria Math"/>
              <w:noProof/>
            </w:rPr>
            <m:t>+</m:t>
          </m:r>
          <m:f>
            <m:fPr>
              <m:ctrlPr>
                <w:rPr>
                  <w:rFonts w:ascii="Cambria Math" w:hAnsi="Cambria Math"/>
                  <w:i/>
                  <w:noProof/>
                </w:rPr>
              </m:ctrlPr>
            </m:fPr>
            <m:num>
              <m:r>
                <w:rPr>
                  <w:rFonts w:ascii="Cambria Math" w:hAnsi="Cambria Math"/>
                  <w:noProof/>
                </w:rPr>
                <m:t>IM</m:t>
              </m:r>
              <m:r>
                <w:rPr>
                  <w:rFonts w:ascii="Cambria Math" w:hAnsi="Cambria Math"/>
                  <w:noProof/>
                </w:rPr>
                <m:t>(</m:t>
              </m:r>
              <m:r>
                <w:rPr>
                  <w:rFonts w:ascii="Cambria Math" w:hAnsi="Cambria Math"/>
                  <w:noProof/>
                </w:rPr>
                <m:t>Credit</m:t>
              </m:r>
              <m:r>
                <w:rPr>
                  <w:rFonts w:ascii="Cambria Math" w:hAnsi="Cambria Math"/>
                  <w:noProof/>
                </w:rPr>
                <m:t>)</m:t>
              </m:r>
            </m:num>
            <m:den>
              <m:r>
                <w:rPr>
                  <w:rFonts w:ascii="Cambria Math" w:hAnsi="Cambria Math"/>
                  <w:noProof/>
                </w:rPr>
                <m:t>10%</m:t>
              </m:r>
            </m:den>
          </m:f>
          <m:r>
            <w:rPr>
              <w:rFonts w:ascii="Cambria Math" w:hAnsi="Cambria Math"/>
              <w:noProof/>
            </w:rPr>
            <m:t>+</m:t>
          </m:r>
          <m:f>
            <m:fPr>
              <m:ctrlPr>
                <w:rPr>
                  <w:rFonts w:ascii="Cambria Math" w:hAnsi="Cambria Math"/>
                  <w:i/>
                  <w:noProof/>
                </w:rPr>
              </m:ctrlPr>
            </m:fPr>
            <m:num>
              <m:r>
                <w:rPr>
                  <w:rFonts w:ascii="Cambria Math" w:hAnsi="Cambria Math"/>
                  <w:noProof/>
                </w:rPr>
                <m:t>IM</m:t>
              </m:r>
              <m:r>
                <w:rPr>
                  <w:rFonts w:ascii="Cambria Math" w:hAnsi="Cambria Math"/>
                  <w:noProof/>
                </w:rPr>
                <m:t>(</m:t>
              </m:r>
              <m:r>
                <w:rPr>
                  <w:rFonts w:ascii="Cambria Math" w:hAnsi="Cambria Math"/>
                  <w:noProof/>
                </w:rPr>
                <m:t>Equity</m:t>
              </m:r>
              <m:r>
                <w:rPr>
                  <w:rFonts w:ascii="Cambria Math" w:hAnsi="Cambria Math"/>
                  <w:noProof/>
                </w:rPr>
                <m:t>)</m:t>
              </m:r>
            </m:num>
            <m:den>
              <m:r>
                <w:rPr>
                  <w:rFonts w:ascii="Cambria Math" w:hAnsi="Cambria Math"/>
                  <w:noProof/>
                </w:rPr>
                <m:t>15%</m:t>
              </m:r>
            </m:den>
          </m:f>
          <m:r>
            <w:rPr>
              <w:rFonts w:ascii="Cambria Math" w:hAnsi="Cambria Math"/>
              <w:noProof/>
            </w:rPr>
            <m:t>+</m:t>
          </m:r>
          <m:f>
            <m:fPr>
              <m:ctrlPr>
                <w:rPr>
                  <w:rFonts w:ascii="Cambria Math" w:hAnsi="Cambria Math"/>
                  <w:i/>
                  <w:noProof/>
                </w:rPr>
              </m:ctrlPr>
            </m:fPr>
            <m:num>
              <m:r>
                <w:rPr>
                  <w:rFonts w:ascii="Cambria Math" w:hAnsi="Cambria Math"/>
                  <w:noProof/>
                </w:rPr>
                <m:t>IM</m:t>
              </m:r>
              <m:r>
                <w:rPr>
                  <w:rFonts w:ascii="Cambria Math" w:hAnsi="Cambria Math"/>
                  <w:noProof/>
                </w:rPr>
                <m:t>(</m:t>
              </m:r>
              <m:r>
                <w:rPr>
                  <w:rFonts w:ascii="Cambria Math" w:hAnsi="Cambria Math"/>
                  <w:noProof/>
                </w:rPr>
                <m:t>Commodity</m:t>
              </m:r>
              <m:r>
                <w:rPr>
                  <w:rFonts w:ascii="Cambria Math" w:hAnsi="Cambria Math"/>
                  <w:noProof/>
                </w:rPr>
                <m:t>)</m:t>
              </m:r>
            </m:num>
            <m:den>
              <m:r>
                <w:rPr>
                  <w:rFonts w:ascii="Cambria Math" w:hAnsi="Cambria Math"/>
                  <w:noProof/>
                </w:rPr>
                <m:t>15%</m:t>
              </m:r>
            </m:den>
          </m:f>
          <m:r>
            <w:rPr>
              <w:rFonts w:ascii="Cambria Math" w:hAnsi="Cambria Math"/>
              <w:noProof/>
            </w:rPr>
            <m:t>+</m:t>
          </m:r>
          <m:f>
            <m:fPr>
              <m:ctrlPr>
                <w:rPr>
                  <w:rFonts w:ascii="Cambria Math" w:hAnsi="Cambria Math"/>
                  <w:i/>
                  <w:noProof/>
                </w:rPr>
              </m:ctrlPr>
            </m:fPr>
            <m:num>
              <m:r>
                <w:rPr>
                  <w:rFonts w:ascii="Cambria Math" w:hAnsi="Cambria Math"/>
                  <w:noProof/>
                </w:rPr>
                <m:t>IM</m:t>
              </m:r>
              <m:r>
                <w:rPr>
                  <w:rFonts w:ascii="Cambria Math" w:hAnsi="Cambria Math"/>
                  <w:noProof/>
                </w:rPr>
                <m:t>(</m:t>
              </m:r>
              <m:r>
                <w:rPr>
                  <w:rFonts w:ascii="Cambria Math" w:hAnsi="Cambria Math"/>
                  <w:noProof/>
                </w:rPr>
                <m:t>ot</m:t>
              </m:r>
              <m:r>
                <w:rPr>
                  <w:rFonts w:ascii="Cambria Math" w:hAnsi="Cambria Math"/>
                  <w:noProof/>
                </w:rPr>
                <m:t>h</m:t>
              </m:r>
              <m:r>
                <w:rPr>
                  <w:rFonts w:ascii="Cambria Math" w:hAnsi="Cambria Math"/>
                  <w:noProof/>
                </w:rPr>
                <m:t>er</m:t>
              </m:r>
              <m:r>
                <w:rPr>
                  <w:rFonts w:ascii="Cambria Math" w:hAnsi="Cambria Math"/>
                  <w:noProof/>
                </w:rPr>
                <m:t>)</m:t>
              </m:r>
            </m:num>
            <m:den>
              <m:r>
                <w:rPr>
                  <w:rFonts w:ascii="Cambria Math" w:hAnsi="Cambria Math"/>
                  <w:noProof/>
                </w:rPr>
                <m:t>15%</m:t>
              </m:r>
            </m:den>
          </m:f>
        </m:oMath>
      </m:oMathPara>
    </w:p>
    <w:p w14:paraId="3FD1FAA6" w14:textId="77777777" w:rsidR="008B6DE7" w:rsidRPr="006A548F" w:rsidRDefault="008B6DE7" w:rsidP="008B6DE7">
      <w:pPr>
        <w:ind w:left="567" w:hanging="567"/>
        <w:rPr>
          <w:noProof/>
        </w:rPr>
      </w:pPr>
      <w:r w:rsidRPr="006A548F">
        <w:rPr>
          <w:noProof/>
        </w:rPr>
        <w:t>kur:</w:t>
      </w:r>
    </w:p>
    <w:p w14:paraId="75897DAE" w14:textId="77777777" w:rsidR="008B6DE7" w:rsidRPr="006A548F" w:rsidRDefault="008B6DE7" w:rsidP="008B6DE7">
      <w:pPr>
        <w:pStyle w:val="Bullet1"/>
        <w:numPr>
          <w:ilvl w:val="0"/>
          <w:numId w:val="12"/>
        </w:numPr>
        <w:ind w:left="567"/>
        <w:rPr>
          <w:noProof/>
        </w:rPr>
      </w:pPr>
      <w:r w:rsidRPr="006A548F">
        <w:rPr>
          <w:noProof/>
        </w:rPr>
        <w:t>m = indekss, kas apzīmē pārskata perioda mēnesi;</w:t>
      </w:r>
    </w:p>
    <w:p w14:paraId="36A77213" w14:textId="77777777" w:rsidR="008B6DE7" w:rsidRPr="006A548F" w:rsidRDefault="008B6DE7" w:rsidP="008B6DE7">
      <w:pPr>
        <w:pStyle w:val="Bullet1"/>
        <w:numPr>
          <w:ilvl w:val="0"/>
          <w:numId w:val="12"/>
        </w:numPr>
        <w:ind w:left="567"/>
        <w:rPr>
          <w:noProof/>
        </w:rPr>
      </w:pPr>
      <w:r w:rsidRPr="006A548F">
        <w:rPr>
          <w:i/>
          <w:noProof/>
        </w:rPr>
        <w:t>C</w:t>
      </w:r>
      <w:r w:rsidRPr="006A548F">
        <w:rPr>
          <w:noProof/>
        </w:rPr>
        <w:t xml:space="preserve"> = indekss, ar ko apzīmē atvasināto instrumentu līgumu klasi vai klases;</w:t>
      </w:r>
    </w:p>
    <w:p w14:paraId="50D0121A" w14:textId="77777777" w:rsidR="008B6DE7" w:rsidRPr="006A548F" w:rsidRDefault="008B6DE7" w:rsidP="008B6DE7">
      <w:pPr>
        <w:pStyle w:val="Bullet1"/>
        <w:numPr>
          <w:ilvl w:val="0"/>
          <w:numId w:val="12"/>
        </w:numPr>
        <w:ind w:left="567"/>
        <w:rPr>
          <w:noProof/>
        </w:rPr>
      </w:pPr>
      <w:r w:rsidRPr="006A548F">
        <w:rPr>
          <w:i/>
          <w:noProof/>
        </w:rPr>
        <w:t>IM(C)</w:t>
      </w:r>
      <w:r w:rsidRPr="006A548F">
        <w:rPr>
          <w:noProof/>
        </w:rPr>
        <w:t xml:space="preserve"> = kopējā sākotnējās drošības rezerves summa ārpusbiržas atvasināto instrumentu darījumiem, kuru tīrvērte netiek veikta centralizēti, </w:t>
      </w:r>
      <w:r w:rsidRPr="006A548F">
        <w:rPr>
          <w:i/>
          <w:noProof/>
        </w:rPr>
        <w:t>C</w:t>
      </w:r>
      <w:r w:rsidRPr="006A548F">
        <w:rPr>
          <w:noProof/>
        </w:rPr>
        <w:t xml:space="preserve"> klasē, ko aprēķina tā mēneša pēdējā darba dienā, par kuru, izmantojot </w:t>
      </w:r>
      <w:r w:rsidRPr="006A548F">
        <w:rPr>
          <w:i/>
          <w:noProof/>
        </w:rPr>
        <w:t>pro forma</w:t>
      </w:r>
      <w:r w:rsidRPr="006A548F">
        <w:rPr>
          <w:noProof/>
        </w:rPr>
        <w:t xml:space="preserve"> modeli, aprēķina mēneša nosacīto summu, un konvertē euro.</w:t>
      </w:r>
    </w:p>
    <w:p w14:paraId="5953490F" w14:textId="77777777" w:rsidR="008B6DE7" w:rsidRPr="006A548F" w:rsidRDefault="008B6DE7" w:rsidP="008B6DE7">
      <w:pPr>
        <w:pStyle w:val="ManualNumPar1"/>
        <w:tabs>
          <w:tab w:val="left" w:pos="567"/>
        </w:tabs>
        <w:ind w:left="0" w:firstLine="0"/>
        <w:rPr>
          <w:noProof/>
        </w:rPr>
      </w:pPr>
      <w:r>
        <w:rPr>
          <w:noProof/>
        </w:rPr>
        <w:t>5.</w:t>
      </w:r>
      <w:r>
        <w:rPr>
          <w:noProof/>
        </w:rPr>
        <w:tab/>
      </w:r>
      <w:r w:rsidRPr="006A548F">
        <w:rPr>
          <w:noProof/>
        </w:rPr>
        <w:t>Alternatīvi, katram 1. punktā minētā pārskata perioda mēnesim darījumu partneri var izlemt izmantot šādu formulu, lai kopējo sākotnējās drošības rezerves summu, kas pa aktīvu klasēm aprēķināta attiecīgajam portfelim, konvertētu līdzvērtīgā portfeļa nosacītajā summā:</w:t>
      </w:r>
    </w:p>
    <w:p w14:paraId="6B26A794" w14:textId="77777777" w:rsidR="008B6DE7" w:rsidRPr="006A548F" w:rsidRDefault="00E81D8A" w:rsidP="008B6DE7">
      <w:pPr>
        <w:pStyle w:val="Text1"/>
        <w:rPr>
          <w:rFonts w:eastAsiaTheme="minorEastAsia"/>
          <w:noProof/>
        </w:rPr>
      </w:pPr>
      <m:oMathPara>
        <m:oMath>
          <m:sSub>
            <m:sSubPr>
              <m:ctrlPr>
                <w:rPr>
                  <w:rFonts w:ascii="Cambria Math" w:hAnsi="Cambria Math"/>
                  <w:i/>
                  <w:noProof/>
                </w:rPr>
              </m:ctrlPr>
            </m:sSubPr>
            <m:e>
              <m:r>
                <w:rPr>
                  <w:rFonts w:ascii="Cambria Math" w:hAnsi="Cambria Math"/>
                  <w:noProof/>
                </w:rPr>
                <m:t>Notional</m:t>
              </m:r>
              <m:r>
                <w:rPr>
                  <w:rFonts w:ascii="Cambria Math" w:hAnsi="Cambria Math"/>
                  <w:noProof/>
                </w:rPr>
                <m:t>_</m:t>
              </m:r>
              <m:r>
                <w:rPr>
                  <w:rFonts w:ascii="Cambria Math" w:hAnsi="Cambria Math"/>
                  <w:noProof/>
                </w:rPr>
                <m:t>Mont</m:t>
              </m:r>
              <m:r>
                <w:rPr>
                  <w:rFonts w:ascii="Cambria Math" w:hAnsi="Cambria Math"/>
                  <w:noProof/>
                </w:rPr>
                <m:t>h'</m:t>
              </m:r>
            </m:e>
            <m:sub>
              <m:r>
                <w:rPr>
                  <w:rFonts w:ascii="Cambria Math" w:hAnsi="Cambria Math"/>
                  <w:noProof/>
                </w:rPr>
                <m:t>m</m:t>
              </m:r>
            </m:sub>
          </m:sSub>
          <m:r>
            <w:rPr>
              <w:rFonts w:ascii="Cambria Math" w:hAnsi="Cambria Math"/>
              <w:noProof/>
            </w:rPr>
            <m:t xml:space="preserve">= </m:t>
          </m:r>
          <m:f>
            <m:fPr>
              <m:ctrlPr>
                <w:rPr>
                  <w:rFonts w:ascii="Cambria Math" w:hAnsi="Cambria Math"/>
                  <w:i/>
                  <w:noProof/>
                </w:rPr>
              </m:ctrlPr>
            </m:fPr>
            <m:num>
              <m:r>
                <w:rPr>
                  <w:rFonts w:ascii="Cambria Math" w:hAnsi="Cambria Math"/>
                  <w:noProof/>
                </w:rPr>
                <m:t>IM</m:t>
              </m:r>
              <m:r>
                <w:rPr>
                  <w:rFonts w:ascii="Cambria Math" w:hAnsi="Cambria Math"/>
                  <w:noProof/>
                </w:rPr>
                <m:t>'(</m:t>
              </m:r>
              <m:r>
                <w:rPr>
                  <w:rFonts w:ascii="Cambria Math" w:hAnsi="Cambria Math"/>
                  <w:noProof/>
                </w:rPr>
                <m:t>Interest</m:t>
              </m:r>
              <m:r>
                <w:rPr>
                  <w:rFonts w:ascii="Cambria Math" w:hAnsi="Cambria Math"/>
                  <w:noProof/>
                </w:rPr>
                <m:t xml:space="preserve"> </m:t>
              </m:r>
              <m:r>
                <w:rPr>
                  <w:rFonts w:ascii="Cambria Math" w:hAnsi="Cambria Math"/>
                  <w:noProof/>
                </w:rPr>
                <m:t>rate</m:t>
              </m:r>
              <m:r>
                <w:rPr>
                  <w:rFonts w:ascii="Cambria Math" w:hAnsi="Cambria Math"/>
                  <w:noProof/>
                </w:rPr>
                <m:t xml:space="preserve">, </m:t>
              </m:r>
              <m:r>
                <w:rPr>
                  <w:rFonts w:ascii="Cambria Math" w:hAnsi="Cambria Math"/>
                  <w:noProof/>
                </w:rPr>
                <m:t>inflation</m:t>
              </m:r>
              <m:r>
                <w:rPr>
                  <w:rFonts w:ascii="Cambria Math" w:hAnsi="Cambria Math"/>
                  <w:noProof/>
                </w:rPr>
                <m:t xml:space="preserve">, </m:t>
              </m:r>
              <m:r>
                <w:rPr>
                  <w:rFonts w:ascii="Cambria Math" w:hAnsi="Cambria Math"/>
                  <w:noProof/>
                </w:rPr>
                <m:t>FX</m:t>
              </m:r>
              <m:r>
                <w:rPr>
                  <w:rFonts w:ascii="Cambria Math" w:hAnsi="Cambria Math"/>
                  <w:noProof/>
                </w:rPr>
                <m:t>)</m:t>
              </m:r>
            </m:num>
            <m:den>
              <m:r>
                <w:rPr>
                  <w:rFonts w:ascii="Cambria Math" w:hAnsi="Cambria Math"/>
                  <w:noProof/>
                </w:rPr>
                <m:t>6%</m:t>
              </m:r>
            </m:den>
          </m:f>
          <m:r>
            <w:rPr>
              <w:rFonts w:ascii="Cambria Math" w:hAnsi="Cambria Math"/>
              <w:noProof/>
            </w:rPr>
            <m:t>+</m:t>
          </m:r>
          <m:f>
            <m:fPr>
              <m:ctrlPr>
                <w:rPr>
                  <w:rFonts w:ascii="Cambria Math" w:hAnsi="Cambria Math"/>
                  <w:i/>
                  <w:noProof/>
                </w:rPr>
              </m:ctrlPr>
            </m:fPr>
            <m:num>
              <m:r>
                <w:rPr>
                  <w:rFonts w:ascii="Cambria Math" w:hAnsi="Cambria Math"/>
                  <w:noProof/>
                </w:rPr>
                <m:t>IM</m:t>
              </m:r>
              <m:r>
                <w:rPr>
                  <w:rFonts w:ascii="Cambria Math" w:hAnsi="Cambria Math"/>
                  <w:noProof/>
                </w:rPr>
                <m:t>'(</m:t>
              </m:r>
              <m:r>
                <w:rPr>
                  <w:rFonts w:ascii="Cambria Math" w:hAnsi="Cambria Math"/>
                  <w:noProof/>
                </w:rPr>
                <m:t>Credit</m:t>
              </m:r>
              <m:r>
                <w:rPr>
                  <w:rFonts w:ascii="Cambria Math" w:hAnsi="Cambria Math"/>
                  <w:noProof/>
                </w:rPr>
                <m:t>)</m:t>
              </m:r>
            </m:num>
            <m:den>
              <m:r>
                <w:rPr>
                  <w:rFonts w:ascii="Cambria Math" w:hAnsi="Cambria Math"/>
                  <w:noProof/>
                </w:rPr>
                <m:t>10%</m:t>
              </m:r>
            </m:den>
          </m:f>
          <m:r>
            <w:rPr>
              <w:rFonts w:ascii="Cambria Math" w:hAnsi="Cambria Math"/>
              <w:noProof/>
            </w:rPr>
            <m:t>+</m:t>
          </m:r>
          <m:f>
            <m:fPr>
              <m:ctrlPr>
                <w:rPr>
                  <w:rFonts w:ascii="Cambria Math" w:hAnsi="Cambria Math"/>
                  <w:i/>
                  <w:noProof/>
                </w:rPr>
              </m:ctrlPr>
            </m:fPr>
            <m:num>
              <m:r>
                <w:rPr>
                  <w:rFonts w:ascii="Cambria Math" w:hAnsi="Cambria Math"/>
                  <w:noProof/>
                </w:rPr>
                <m:t>IM</m:t>
              </m:r>
              <m:r>
                <w:rPr>
                  <w:rFonts w:ascii="Cambria Math" w:hAnsi="Cambria Math"/>
                  <w:noProof/>
                </w:rPr>
                <m:t>'(</m:t>
              </m:r>
              <m:r>
                <w:rPr>
                  <w:rFonts w:ascii="Cambria Math" w:hAnsi="Cambria Math"/>
                  <w:noProof/>
                </w:rPr>
                <m:t>Equity</m:t>
              </m:r>
              <m:r>
                <w:rPr>
                  <w:rFonts w:ascii="Cambria Math" w:hAnsi="Cambria Math"/>
                  <w:noProof/>
                </w:rPr>
                <m:t>)</m:t>
              </m:r>
            </m:num>
            <m:den>
              <m:r>
                <w:rPr>
                  <w:rFonts w:ascii="Cambria Math" w:hAnsi="Cambria Math"/>
                  <w:noProof/>
                </w:rPr>
                <m:t>15%</m:t>
              </m:r>
            </m:den>
          </m:f>
          <m:r>
            <w:rPr>
              <w:rFonts w:ascii="Cambria Math" w:hAnsi="Cambria Math"/>
              <w:noProof/>
            </w:rPr>
            <m:t>+</m:t>
          </m:r>
          <m:f>
            <m:fPr>
              <m:ctrlPr>
                <w:rPr>
                  <w:rFonts w:ascii="Cambria Math" w:hAnsi="Cambria Math"/>
                  <w:i/>
                  <w:noProof/>
                </w:rPr>
              </m:ctrlPr>
            </m:fPr>
            <m:num>
              <m:r>
                <w:rPr>
                  <w:rFonts w:ascii="Cambria Math" w:hAnsi="Cambria Math"/>
                  <w:noProof/>
                </w:rPr>
                <m:t>IM</m:t>
              </m:r>
              <m:r>
                <w:rPr>
                  <w:rFonts w:ascii="Cambria Math" w:hAnsi="Cambria Math"/>
                  <w:noProof/>
                </w:rPr>
                <m:t>'(</m:t>
              </m:r>
              <m:r>
                <w:rPr>
                  <w:rFonts w:ascii="Cambria Math" w:hAnsi="Cambria Math"/>
                  <w:noProof/>
                </w:rPr>
                <m:t>Commodity</m:t>
              </m:r>
              <m:r>
                <w:rPr>
                  <w:rFonts w:ascii="Cambria Math" w:hAnsi="Cambria Math"/>
                  <w:noProof/>
                </w:rPr>
                <m:t>)</m:t>
              </m:r>
            </m:num>
            <m:den>
              <m:r>
                <w:rPr>
                  <w:rFonts w:ascii="Cambria Math" w:hAnsi="Cambria Math"/>
                  <w:noProof/>
                </w:rPr>
                <m:t>15%</m:t>
              </m:r>
            </m:den>
          </m:f>
          <m:r>
            <w:rPr>
              <w:rFonts w:ascii="Cambria Math" w:hAnsi="Cambria Math"/>
              <w:noProof/>
            </w:rPr>
            <m:t>+</m:t>
          </m:r>
          <m:f>
            <m:fPr>
              <m:ctrlPr>
                <w:rPr>
                  <w:rFonts w:ascii="Cambria Math" w:hAnsi="Cambria Math"/>
                  <w:i/>
                  <w:noProof/>
                </w:rPr>
              </m:ctrlPr>
            </m:fPr>
            <m:num>
              <m:r>
                <w:rPr>
                  <w:rFonts w:ascii="Cambria Math" w:hAnsi="Cambria Math"/>
                  <w:noProof/>
                </w:rPr>
                <m:t>IM</m:t>
              </m:r>
              <m:r>
                <w:rPr>
                  <w:rFonts w:ascii="Cambria Math" w:hAnsi="Cambria Math"/>
                  <w:noProof/>
                </w:rPr>
                <m:t>'(</m:t>
              </m:r>
              <m:r>
                <w:rPr>
                  <w:rFonts w:ascii="Cambria Math" w:hAnsi="Cambria Math"/>
                  <w:noProof/>
                </w:rPr>
                <m:t>ot</m:t>
              </m:r>
              <m:r>
                <w:rPr>
                  <w:rFonts w:ascii="Cambria Math" w:hAnsi="Cambria Math"/>
                  <w:noProof/>
                </w:rPr>
                <m:t>h</m:t>
              </m:r>
              <m:r>
                <w:rPr>
                  <w:rFonts w:ascii="Cambria Math" w:hAnsi="Cambria Math"/>
                  <w:noProof/>
                </w:rPr>
                <m:t>er</m:t>
              </m:r>
              <m:r>
                <w:rPr>
                  <w:rFonts w:ascii="Cambria Math" w:hAnsi="Cambria Math"/>
                  <w:noProof/>
                </w:rPr>
                <m:t>)</m:t>
              </m:r>
            </m:num>
            <m:den>
              <m:r>
                <w:rPr>
                  <w:rFonts w:ascii="Cambria Math" w:hAnsi="Cambria Math"/>
                  <w:noProof/>
                </w:rPr>
                <m:t>15%</m:t>
              </m:r>
            </m:den>
          </m:f>
        </m:oMath>
      </m:oMathPara>
    </w:p>
    <w:p w14:paraId="44F7BE85" w14:textId="77777777" w:rsidR="008B6DE7" w:rsidRPr="006A548F" w:rsidRDefault="008B6DE7" w:rsidP="008B6DE7">
      <w:pPr>
        <w:rPr>
          <w:noProof/>
        </w:rPr>
      </w:pPr>
      <w:r w:rsidRPr="006A548F">
        <w:rPr>
          <w:noProof/>
        </w:rPr>
        <w:t xml:space="preserve">kur: </w:t>
      </w:r>
    </w:p>
    <w:p w14:paraId="6F54C191" w14:textId="77777777" w:rsidR="008B6DE7" w:rsidRPr="006A548F" w:rsidRDefault="008B6DE7" w:rsidP="008B6DE7">
      <w:pPr>
        <w:pStyle w:val="Bullet1"/>
        <w:numPr>
          <w:ilvl w:val="0"/>
          <w:numId w:val="13"/>
        </w:numPr>
        <w:tabs>
          <w:tab w:val="clear" w:pos="1417"/>
        </w:tabs>
        <w:ind w:left="567"/>
        <w:rPr>
          <w:noProof/>
        </w:rPr>
      </w:pPr>
      <w:r w:rsidRPr="006A548F">
        <w:rPr>
          <w:i/>
          <w:noProof/>
        </w:rPr>
        <w:lastRenderedPageBreak/>
        <w:t>m</w:t>
      </w:r>
      <w:r w:rsidRPr="006A548F">
        <w:rPr>
          <w:noProof/>
        </w:rPr>
        <w:t xml:space="preserve"> = indekss, kas apzīmē pārskata perioda mēnesi;</w:t>
      </w:r>
    </w:p>
    <w:p w14:paraId="2192BBEF" w14:textId="77777777" w:rsidR="008B6DE7" w:rsidRPr="006A548F" w:rsidRDefault="008B6DE7" w:rsidP="008B6DE7">
      <w:pPr>
        <w:pStyle w:val="Bullet1"/>
        <w:numPr>
          <w:ilvl w:val="0"/>
          <w:numId w:val="13"/>
        </w:numPr>
        <w:tabs>
          <w:tab w:val="clear" w:pos="1417"/>
        </w:tabs>
        <w:ind w:left="567"/>
        <w:rPr>
          <w:noProof/>
        </w:rPr>
      </w:pPr>
      <w:r w:rsidRPr="006A548F">
        <w:rPr>
          <w:i/>
          <w:noProof/>
        </w:rPr>
        <w:t>C</w:t>
      </w:r>
      <w:r w:rsidRPr="006A548F">
        <w:rPr>
          <w:noProof/>
        </w:rPr>
        <w:t xml:space="preserve"> = indekss, ar ko apzīmē atvasināto instrumentu līgumu klasi vai klases;</w:t>
      </w:r>
    </w:p>
    <w:p w14:paraId="154074CD" w14:textId="77777777" w:rsidR="008B6DE7" w:rsidRPr="006A548F" w:rsidRDefault="008B6DE7" w:rsidP="008B6DE7">
      <w:pPr>
        <w:pStyle w:val="Bullet1"/>
        <w:numPr>
          <w:ilvl w:val="0"/>
          <w:numId w:val="13"/>
        </w:numPr>
        <w:tabs>
          <w:tab w:val="clear" w:pos="1417"/>
        </w:tabs>
        <w:ind w:left="567"/>
        <w:rPr>
          <w:noProof/>
        </w:rPr>
      </w:pPr>
      <w:r w:rsidRPr="006A548F">
        <w:rPr>
          <w:i/>
          <w:noProof/>
        </w:rPr>
        <w:t>IM’(C)</w:t>
      </w:r>
      <w:r w:rsidRPr="006A548F">
        <w:rPr>
          <w:noProof/>
        </w:rPr>
        <w:t xml:space="preserve"> </w:t>
      </w:r>
      <w:r w:rsidRPr="006A548F">
        <w:rPr>
          <w:rStyle w:val="CommentReference"/>
          <w:noProof/>
        </w:rPr>
        <w:t>=</w:t>
      </w:r>
      <w:r w:rsidRPr="006A548F">
        <w:rPr>
          <w:noProof/>
        </w:rPr>
        <w:t xml:space="preserve"> kopējā sākotnējās drošības rezerves summa ārpusbiržas atvasināto instrumentu darījumiem, kuru tīrvērte netiek veikta centralizēti, </w:t>
      </w:r>
      <w:r w:rsidRPr="006A548F">
        <w:rPr>
          <w:i/>
          <w:noProof/>
        </w:rPr>
        <w:t>C</w:t>
      </w:r>
      <w:r w:rsidRPr="006A548F">
        <w:rPr>
          <w:noProof/>
        </w:rPr>
        <w:t xml:space="preserve"> klasē, ko aprēķina tā mēneša pēdējā darba dienā, par kuru aprēķina mēneša nosacīto summu, un konvertē euro.</w:t>
      </w:r>
    </w:p>
    <w:p w14:paraId="64CDA00E" w14:textId="77777777" w:rsidR="008B6DE7" w:rsidRPr="006A548F" w:rsidRDefault="008B6DE7" w:rsidP="0031303E">
      <w:pPr>
        <w:rPr>
          <w:noProof/>
        </w:rPr>
      </w:pPr>
      <w:r w:rsidRPr="006A548F">
        <w:rPr>
          <w:noProof/>
        </w:rPr>
        <w:t>Darījumu partneri var izvēlēties izmantot minēto formulu ar nosacījumu, ka tie var pamatot savu izvēli savai kompetentajai iestādei.</w:t>
      </w:r>
    </w:p>
    <w:p w14:paraId="3F823325" w14:textId="77777777" w:rsidR="008B6DE7" w:rsidRPr="006A548F" w:rsidRDefault="008B6DE7" w:rsidP="008B6DE7">
      <w:pPr>
        <w:pStyle w:val="ManualNumPar1"/>
        <w:tabs>
          <w:tab w:val="left" w:pos="567"/>
        </w:tabs>
        <w:ind w:left="0" w:firstLine="0"/>
        <w:rPr>
          <w:noProof/>
        </w:rPr>
      </w:pPr>
      <w:r>
        <w:rPr>
          <w:noProof/>
        </w:rPr>
        <w:t>6.</w:t>
      </w:r>
      <w:r>
        <w:rPr>
          <w:noProof/>
        </w:rPr>
        <w:tab/>
      </w:r>
      <w:r w:rsidRPr="006A548F">
        <w:rPr>
          <w:noProof/>
        </w:rPr>
        <w:t>Šā panta 4. un 5. punkta vajadzībām, konvertējot summas euro, darījuma partneri izmanto euro valūtas maiņas atsauces kursu, ko publicējusi Eiropas Centrālā banka tā mēneša pēdējā darba dienā, par kuru aprēķina mēneša nosacīto summu.</w:t>
      </w:r>
    </w:p>
    <w:p w14:paraId="00F0E82A" w14:textId="77777777" w:rsidR="008B6DE7" w:rsidRPr="006A548F" w:rsidRDefault="008B6DE7" w:rsidP="008B6DE7">
      <w:pPr>
        <w:pStyle w:val="ManualNumPar1"/>
        <w:tabs>
          <w:tab w:val="left" w:pos="567"/>
        </w:tabs>
        <w:ind w:left="0" w:firstLine="0"/>
        <w:rPr>
          <w:noProof/>
        </w:rPr>
      </w:pPr>
      <w:r>
        <w:rPr>
          <w:noProof/>
        </w:rPr>
        <w:t>7.</w:t>
      </w:r>
      <w:r>
        <w:rPr>
          <w:noProof/>
        </w:rPr>
        <w:tab/>
      </w:r>
      <w:r w:rsidRPr="006A548F">
        <w:rPr>
          <w:noProof/>
        </w:rPr>
        <w:t>Atkāpjoties no 4. un 5. punkta, darījuma partneris, kura 12 mēnešu vidējā nosacītā summa ir mazāka par 3000 miljardiem EUR, katru mēneša nosacīto summu var aplēst kā vienu no turpmāk tabulā norādītajām summām, ja vien tas savai kompetentajai iestādei var pierādīt, ka faktiskā nosacītā summa ir mazāka par izvēlēto summu:</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2876"/>
      </w:tblGrid>
      <w:tr w:rsidR="008B6DE7" w:rsidRPr="006A548F" w14:paraId="7D6CE95A" w14:textId="77777777" w:rsidTr="00F81569">
        <w:trPr>
          <w:jc w:val="center"/>
        </w:trPr>
        <w:tc>
          <w:tcPr>
            <w:tcW w:w="1573" w:type="dxa"/>
          </w:tcPr>
          <w:p w14:paraId="35073EF1" w14:textId="77777777" w:rsidR="008B6DE7" w:rsidRPr="006A548F" w:rsidRDefault="008B6DE7" w:rsidP="00F81569">
            <w:pPr>
              <w:pStyle w:val="Text1"/>
              <w:ind w:left="0"/>
              <w:jc w:val="center"/>
              <w:rPr>
                <w:noProof/>
              </w:rPr>
            </w:pPr>
            <w:r w:rsidRPr="006A548F">
              <w:rPr>
                <w:noProof/>
              </w:rPr>
              <w:t>Regulatīvais slieksnis</w:t>
            </w:r>
          </w:p>
        </w:tc>
        <w:tc>
          <w:tcPr>
            <w:tcW w:w="2876" w:type="dxa"/>
          </w:tcPr>
          <w:p w14:paraId="7206796B" w14:textId="77777777" w:rsidR="008B6DE7" w:rsidRPr="006A548F" w:rsidRDefault="008B6DE7" w:rsidP="00F81569">
            <w:pPr>
              <w:pStyle w:val="Text1"/>
              <w:ind w:left="0"/>
              <w:jc w:val="left"/>
              <w:rPr>
                <w:noProof/>
              </w:rPr>
            </w:pPr>
            <w:r w:rsidRPr="006A548F">
              <w:rPr>
                <w:noProof/>
              </w:rPr>
              <w:t>Nosacītā summa</w:t>
            </w:r>
          </w:p>
        </w:tc>
      </w:tr>
      <w:tr w:rsidR="008B6DE7" w:rsidRPr="006A548F" w14:paraId="12F5E89E" w14:textId="77777777" w:rsidTr="00F81569">
        <w:trPr>
          <w:jc w:val="center"/>
        </w:trPr>
        <w:tc>
          <w:tcPr>
            <w:tcW w:w="1573" w:type="dxa"/>
          </w:tcPr>
          <w:p w14:paraId="56412472" w14:textId="77777777" w:rsidR="008B6DE7" w:rsidRPr="006A548F" w:rsidRDefault="008B6DE7" w:rsidP="00F81569">
            <w:pPr>
              <w:pStyle w:val="Text1"/>
              <w:ind w:left="0"/>
              <w:jc w:val="center"/>
              <w:rPr>
                <w:noProof/>
              </w:rPr>
            </w:pPr>
            <w:r w:rsidRPr="006A548F">
              <w:rPr>
                <w:noProof/>
              </w:rPr>
              <w:t>1</w:t>
            </w:r>
          </w:p>
        </w:tc>
        <w:tc>
          <w:tcPr>
            <w:tcW w:w="2876" w:type="dxa"/>
          </w:tcPr>
          <w:p w14:paraId="1C2001E8" w14:textId="77777777" w:rsidR="008B6DE7" w:rsidRPr="006A548F" w:rsidRDefault="008B6DE7" w:rsidP="00F81569">
            <w:pPr>
              <w:pStyle w:val="Text1"/>
              <w:ind w:left="0"/>
              <w:jc w:val="left"/>
              <w:rPr>
                <w:noProof/>
              </w:rPr>
            </w:pPr>
            <w:r w:rsidRPr="006A548F">
              <w:rPr>
                <w:noProof/>
              </w:rPr>
              <w:t>3000 miljardi EUR</w:t>
            </w:r>
          </w:p>
        </w:tc>
      </w:tr>
      <w:tr w:rsidR="008B6DE7" w:rsidRPr="006A548F" w14:paraId="2116F946" w14:textId="77777777" w:rsidTr="00F81569">
        <w:trPr>
          <w:jc w:val="center"/>
        </w:trPr>
        <w:tc>
          <w:tcPr>
            <w:tcW w:w="1573" w:type="dxa"/>
          </w:tcPr>
          <w:p w14:paraId="7EE9A5E0" w14:textId="77777777" w:rsidR="008B6DE7" w:rsidRPr="006A548F" w:rsidRDefault="008B6DE7" w:rsidP="00F81569">
            <w:pPr>
              <w:pStyle w:val="Text1"/>
              <w:ind w:left="0"/>
              <w:jc w:val="center"/>
              <w:rPr>
                <w:noProof/>
              </w:rPr>
            </w:pPr>
            <w:r w:rsidRPr="006A548F">
              <w:rPr>
                <w:noProof/>
              </w:rPr>
              <w:t>2</w:t>
            </w:r>
          </w:p>
        </w:tc>
        <w:tc>
          <w:tcPr>
            <w:tcW w:w="2876" w:type="dxa"/>
          </w:tcPr>
          <w:p w14:paraId="648D7038" w14:textId="77777777" w:rsidR="008B6DE7" w:rsidRPr="006A548F" w:rsidRDefault="008B6DE7" w:rsidP="00F81569">
            <w:pPr>
              <w:pStyle w:val="Text1"/>
              <w:ind w:left="0"/>
              <w:jc w:val="left"/>
              <w:rPr>
                <w:noProof/>
              </w:rPr>
            </w:pPr>
            <w:r w:rsidRPr="006A548F">
              <w:rPr>
                <w:noProof/>
              </w:rPr>
              <w:t>2250 miljardi EUR</w:t>
            </w:r>
          </w:p>
        </w:tc>
      </w:tr>
      <w:tr w:rsidR="008B6DE7" w:rsidRPr="006A548F" w14:paraId="528FF887" w14:textId="77777777" w:rsidTr="00F81569">
        <w:trPr>
          <w:jc w:val="center"/>
        </w:trPr>
        <w:tc>
          <w:tcPr>
            <w:tcW w:w="1573" w:type="dxa"/>
          </w:tcPr>
          <w:p w14:paraId="0965BF9C" w14:textId="77777777" w:rsidR="008B6DE7" w:rsidRPr="006A548F" w:rsidRDefault="008B6DE7" w:rsidP="00F81569">
            <w:pPr>
              <w:pStyle w:val="Text1"/>
              <w:ind w:left="0"/>
              <w:jc w:val="center"/>
              <w:rPr>
                <w:noProof/>
              </w:rPr>
            </w:pPr>
            <w:r w:rsidRPr="006A548F">
              <w:rPr>
                <w:noProof/>
              </w:rPr>
              <w:t>3</w:t>
            </w:r>
          </w:p>
        </w:tc>
        <w:tc>
          <w:tcPr>
            <w:tcW w:w="2876" w:type="dxa"/>
          </w:tcPr>
          <w:p w14:paraId="1F747A99" w14:textId="77777777" w:rsidR="008B6DE7" w:rsidRPr="006A548F" w:rsidRDefault="008B6DE7" w:rsidP="00F81569">
            <w:pPr>
              <w:pStyle w:val="Text1"/>
              <w:ind w:left="0"/>
              <w:jc w:val="left"/>
              <w:rPr>
                <w:noProof/>
              </w:rPr>
            </w:pPr>
            <w:r w:rsidRPr="006A548F">
              <w:rPr>
                <w:noProof/>
              </w:rPr>
              <w:t>1500 miljardi EUR</w:t>
            </w:r>
          </w:p>
        </w:tc>
      </w:tr>
      <w:tr w:rsidR="008B6DE7" w:rsidRPr="006A548F" w14:paraId="630091D8" w14:textId="77777777" w:rsidTr="00F81569">
        <w:trPr>
          <w:jc w:val="center"/>
        </w:trPr>
        <w:tc>
          <w:tcPr>
            <w:tcW w:w="1573" w:type="dxa"/>
          </w:tcPr>
          <w:p w14:paraId="783E2EAD" w14:textId="77777777" w:rsidR="008B6DE7" w:rsidRPr="006A548F" w:rsidRDefault="008B6DE7" w:rsidP="00F81569">
            <w:pPr>
              <w:pStyle w:val="Text1"/>
              <w:ind w:left="0"/>
              <w:jc w:val="center"/>
              <w:rPr>
                <w:noProof/>
              </w:rPr>
            </w:pPr>
            <w:r w:rsidRPr="006A548F">
              <w:rPr>
                <w:noProof/>
              </w:rPr>
              <w:t>4</w:t>
            </w:r>
          </w:p>
        </w:tc>
        <w:tc>
          <w:tcPr>
            <w:tcW w:w="2876" w:type="dxa"/>
          </w:tcPr>
          <w:p w14:paraId="0491A8AC" w14:textId="77777777" w:rsidR="008B6DE7" w:rsidRPr="006A548F" w:rsidRDefault="008B6DE7" w:rsidP="00F81569">
            <w:pPr>
              <w:pStyle w:val="Text1"/>
              <w:ind w:left="0"/>
              <w:jc w:val="left"/>
              <w:rPr>
                <w:noProof/>
              </w:rPr>
            </w:pPr>
            <w:r w:rsidRPr="006A548F">
              <w:rPr>
                <w:noProof/>
              </w:rPr>
              <w:t>750 miljardi EUR</w:t>
            </w:r>
          </w:p>
        </w:tc>
      </w:tr>
      <w:tr w:rsidR="008B6DE7" w:rsidRPr="006A548F" w14:paraId="0BAC6065" w14:textId="77777777" w:rsidTr="00F81569">
        <w:trPr>
          <w:jc w:val="center"/>
        </w:trPr>
        <w:tc>
          <w:tcPr>
            <w:tcW w:w="1573" w:type="dxa"/>
          </w:tcPr>
          <w:p w14:paraId="27E7F0A0" w14:textId="77777777" w:rsidR="008B6DE7" w:rsidRPr="006A548F" w:rsidRDefault="008B6DE7" w:rsidP="00F81569">
            <w:pPr>
              <w:pStyle w:val="Text1"/>
              <w:ind w:left="0"/>
              <w:jc w:val="center"/>
              <w:rPr>
                <w:noProof/>
              </w:rPr>
            </w:pPr>
            <w:r w:rsidRPr="006A548F">
              <w:rPr>
                <w:noProof/>
              </w:rPr>
              <w:t>5</w:t>
            </w:r>
          </w:p>
        </w:tc>
        <w:tc>
          <w:tcPr>
            <w:tcW w:w="2876" w:type="dxa"/>
          </w:tcPr>
          <w:p w14:paraId="0806E5D9" w14:textId="77777777" w:rsidR="008B6DE7" w:rsidRPr="006A548F" w:rsidRDefault="008B6DE7" w:rsidP="00F81569">
            <w:pPr>
              <w:pStyle w:val="Text1"/>
              <w:ind w:left="0"/>
              <w:jc w:val="left"/>
              <w:rPr>
                <w:noProof/>
              </w:rPr>
            </w:pPr>
            <w:r w:rsidRPr="006A548F">
              <w:rPr>
                <w:noProof/>
              </w:rPr>
              <w:t>50 miljardi EUR</w:t>
            </w:r>
          </w:p>
        </w:tc>
      </w:tr>
      <w:tr w:rsidR="008B6DE7" w:rsidRPr="006A548F" w14:paraId="3A74BA2A" w14:textId="77777777" w:rsidTr="00F81569">
        <w:trPr>
          <w:jc w:val="center"/>
        </w:trPr>
        <w:tc>
          <w:tcPr>
            <w:tcW w:w="1573" w:type="dxa"/>
          </w:tcPr>
          <w:p w14:paraId="6EFABCC2" w14:textId="77777777" w:rsidR="008B6DE7" w:rsidRPr="006A548F" w:rsidRDefault="008B6DE7" w:rsidP="00F81569">
            <w:pPr>
              <w:pStyle w:val="Text1"/>
              <w:ind w:left="0"/>
              <w:jc w:val="center"/>
              <w:rPr>
                <w:noProof/>
              </w:rPr>
            </w:pPr>
            <w:r w:rsidRPr="006A548F">
              <w:rPr>
                <w:noProof/>
              </w:rPr>
              <w:t>6</w:t>
            </w:r>
          </w:p>
        </w:tc>
        <w:tc>
          <w:tcPr>
            <w:tcW w:w="2876" w:type="dxa"/>
          </w:tcPr>
          <w:p w14:paraId="242855EA" w14:textId="77777777" w:rsidR="008B6DE7" w:rsidRPr="006A548F" w:rsidRDefault="008B6DE7" w:rsidP="00F81569">
            <w:pPr>
              <w:pStyle w:val="Text1"/>
              <w:ind w:left="0"/>
              <w:jc w:val="left"/>
              <w:rPr>
                <w:noProof/>
              </w:rPr>
            </w:pPr>
            <w:r w:rsidRPr="006A548F">
              <w:rPr>
                <w:noProof/>
              </w:rPr>
              <w:t>8 miljardi EUR</w:t>
            </w:r>
          </w:p>
        </w:tc>
      </w:tr>
    </w:tbl>
    <w:p w14:paraId="2B16B407" w14:textId="77777777" w:rsidR="008B6DE7" w:rsidRPr="006A548F" w:rsidRDefault="008B6DE7" w:rsidP="008B6DE7">
      <w:pPr>
        <w:pStyle w:val="Titrearticle"/>
        <w:rPr>
          <w:b/>
          <w:i w:val="0"/>
          <w:noProof/>
          <w:szCs w:val="24"/>
        </w:rPr>
      </w:pPr>
      <w:r w:rsidRPr="006A548F">
        <w:rPr>
          <w:noProof/>
        </w:rPr>
        <w:t xml:space="preserve">4. pants </w:t>
      </w:r>
      <w:r w:rsidRPr="006A548F">
        <w:rPr>
          <w:noProof/>
        </w:rPr>
        <w:br/>
      </w:r>
      <w:r w:rsidRPr="006A548F">
        <w:rPr>
          <w:b/>
          <w:i w:val="0"/>
          <w:noProof/>
        </w:rPr>
        <w:t>Apstiprināšanas gada maksas</w:t>
      </w:r>
    </w:p>
    <w:p w14:paraId="2105310F" w14:textId="62BD4D75" w:rsidR="008B6DE7" w:rsidRPr="006A548F" w:rsidRDefault="008B6DE7" w:rsidP="007B23AE">
      <w:pPr>
        <w:pStyle w:val="ManualNumPar1"/>
        <w:rPr>
          <w:noProof/>
        </w:rPr>
      </w:pPr>
      <w:r>
        <w:rPr>
          <w:noProof/>
        </w:rPr>
        <w:t>1.</w:t>
      </w:r>
      <w:r>
        <w:rPr>
          <w:noProof/>
        </w:rPr>
        <w:tab/>
      </w:r>
      <w:r w:rsidRPr="006A548F">
        <w:rPr>
          <w:noProof/>
        </w:rPr>
        <w:t xml:space="preserve">Par katru </w:t>
      </w:r>
      <w:r w:rsidRPr="006A548F">
        <w:rPr>
          <w:i/>
          <w:noProof/>
        </w:rPr>
        <w:t>pro forma</w:t>
      </w:r>
      <w:r w:rsidRPr="006A548F">
        <w:rPr>
          <w:noProof/>
        </w:rPr>
        <w:t xml:space="preserve"> modeli, kas ir apstiprināts no gada 1. janvāra un ko darījuma partneris minētajā gadā izmanto vai par ko iesniedz pieteikumu apstiprināšanai saskaņā ar Regulas (ES) Nr. 648/2012 11. panta 3. punkta ceturto daļu, darījuma partneris maksā EBI šādu maksu:</w:t>
      </w:r>
    </w:p>
    <w:p w14:paraId="5F37CEFC" w14:textId="77777777" w:rsidR="008B6DE7" w:rsidRPr="006A548F" w:rsidRDefault="00E81D8A" w:rsidP="008B6DE7">
      <w:pPr>
        <w:pStyle w:val="Text1"/>
        <w:ind w:left="709"/>
        <w:rPr>
          <w:noProof/>
        </w:rPr>
      </w:pPr>
      <m:oMathPara>
        <m:oMath>
          <m:sSub>
            <m:sSubPr>
              <m:ctrlPr>
                <w:rPr>
                  <w:rFonts w:ascii="Cambria Math" w:hAnsi="Cambria Math"/>
                  <w:i/>
                  <w:noProof/>
                </w:rPr>
              </m:ctrlPr>
            </m:sSubPr>
            <m:e>
              <m:r>
                <w:rPr>
                  <w:rFonts w:ascii="Cambria Math" w:hAnsi="Cambria Math"/>
                  <w:noProof/>
                </w:rPr>
                <m:t>F</m:t>
              </m:r>
              <m:r>
                <w:rPr>
                  <w:rFonts w:ascii="Cambria Math" w:hAnsi="Cambria Math"/>
                  <w:noProof/>
                </w:rPr>
                <m:t>ee</m:t>
              </m:r>
            </m:e>
            <m:sub>
              <m:r>
                <w:rPr>
                  <w:rFonts w:ascii="Cambria Math" w:hAnsi="Cambria Math"/>
                  <w:noProof/>
                </w:rPr>
                <m:t>n</m:t>
              </m:r>
              <m:r>
                <w:rPr>
                  <w:rFonts w:ascii="Cambria Math" w:hAnsi="Cambria Math"/>
                  <w:noProof/>
                </w:rPr>
                <m:t>,</m:t>
              </m:r>
              <m:r>
                <w:rPr>
                  <w:rFonts w:ascii="Cambria Math" w:hAnsi="Cambria Math"/>
                  <w:noProof/>
                </w:rPr>
                <m:t>y</m:t>
              </m:r>
              <m:r>
                <w:rPr>
                  <w:rFonts w:ascii="Cambria Math" w:hAnsi="Cambria Math"/>
                  <w:noProof/>
                </w:rPr>
                <m:t>,</m:t>
              </m:r>
              <m:r>
                <w:rPr>
                  <w:rFonts w:ascii="Cambria Math" w:hAnsi="Cambria Math"/>
                  <w:noProof/>
                </w:rPr>
                <m:t>p</m:t>
              </m:r>
            </m:sub>
          </m:sSub>
          <m:r>
            <w:rPr>
              <w:rFonts w:ascii="Cambria Math" w:hAnsi="Cambria Math"/>
              <w:noProof/>
            </w:rPr>
            <m:t>=</m:t>
          </m:r>
          <m:r>
            <w:rPr>
              <w:rFonts w:ascii="Cambria Math" w:hAnsi="Cambria Math"/>
              <w:noProof/>
            </w:rPr>
            <m:t>EUR</m:t>
          </m:r>
          <m:r>
            <w:rPr>
              <w:rFonts w:ascii="Cambria Math" w:hAnsi="Cambria Math"/>
              <w:noProof/>
            </w:rPr>
            <m:t xml:space="preserve"> 200+</m:t>
          </m:r>
          <m:r>
            <w:rPr>
              <w:rFonts w:ascii="Cambria Math" w:hAnsi="Cambria Math"/>
              <w:noProof/>
            </w:rPr>
            <m:t>max</m:t>
          </m:r>
          <m:d>
            <m:dPr>
              <m:ctrlPr>
                <w:rPr>
                  <w:rFonts w:ascii="Cambria Math" w:hAnsi="Cambria Math"/>
                  <w:i/>
                  <w:noProof/>
                </w:rPr>
              </m:ctrlPr>
            </m:dPr>
            <m:e>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 xml:space="preserve"> </m:t>
                      </m:r>
                      <m:r>
                        <w:rPr>
                          <w:rFonts w:ascii="Cambria Math" w:hAnsi="Cambria Math"/>
                          <w:noProof/>
                        </w:rPr>
                        <m:t>EBA</m:t>
                      </m:r>
                      <m:r>
                        <w:rPr>
                          <w:rFonts w:ascii="Cambria Math" w:hAnsi="Cambria Math"/>
                          <w:noProof/>
                        </w:rPr>
                        <m:t xml:space="preserve"> </m:t>
                      </m:r>
                      <m:r>
                        <w:rPr>
                          <w:rFonts w:ascii="Cambria Math" w:hAnsi="Cambria Math"/>
                          <w:noProof/>
                        </w:rPr>
                        <m:t>costs</m:t>
                      </m:r>
                    </m:e>
                    <m:sub>
                      <m:r>
                        <w:rPr>
                          <w:rFonts w:ascii="Cambria Math" w:hAnsi="Cambria Math"/>
                          <w:noProof/>
                        </w:rPr>
                        <m:t>y</m:t>
                      </m:r>
                    </m:sub>
                  </m:sSub>
                </m:num>
                <m:den>
                  <m:r>
                    <w:rPr>
                      <w:rStyle w:val="Marker"/>
                      <w:rFonts w:ascii="Cambria Math" w:hAnsi="Cambria Math"/>
                      <w:noProof/>
                      <w:color w:val="auto"/>
                    </w:rPr>
                    <m:t>Number</m:t>
                  </m:r>
                  <m:r>
                    <w:rPr>
                      <w:rStyle w:val="Marker"/>
                      <w:rFonts w:ascii="Cambria Math" w:hAnsi="Cambria Math"/>
                      <w:noProof/>
                      <w:color w:val="auto"/>
                    </w:rPr>
                    <m:t xml:space="preserve"> </m:t>
                  </m:r>
                  <m:r>
                    <w:rPr>
                      <w:rStyle w:val="Marker"/>
                      <w:rFonts w:ascii="Cambria Math" w:hAnsi="Cambria Math"/>
                      <w:noProof/>
                      <w:color w:val="auto"/>
                    </w:rPr>
                    <m:t>of</m:t>
                  </m:r>
                  <m:r>
                    <w:rPr>
                      <w:rStyle w:val="Marker"/>
                      <w:rFonts w:ascii="Cambria Math" w:hAnsi="Cambria Math"/>
                      <w:noProof/>
                      <w:color w:val="auto"/>
                    </w:rPr>
                    <m:t xml:space="preserve"> </m:t>
                  </m:r>
                  <m:sSub>
                    <m:sSubPr>
                      <m:ctrlPr>
                        <w:rPr>
                          <w:rStyle w:val="Marker"/>
                          <w:rFonts w:ascii="Cambria Math" w:hAnsi="Cambria Math"/>
                          <w:i/>
                          <w:noProof/>
                          <w:color w:val="auto"/>
                          <w:vertAlign w:val="subscript"/>
                        </w:rPr>
                      </m:ctrlPr>
                    </m:sSubPr>
                    <m:e>
                      <m:r>
                        <w:rPr>
                          <w:rStyle w:val="Marker"/>
                          <w:rFonts w:ascii="Cambria Math" w:hAnsi="Cambria Math"/>
                          <w:noProof/>
                          <w:color w:val="auto"/>
                        </w:rPr>
                        <m:t>models</m:t>
                      </m:r>
                      <m:ctrlPr>
                        <w:rPr>
                          <w:rStyle w:val="Marker"/>
                          <w:rFonts w:ascii="Cambria Math" w:hAnsi="Cambria Math"/>
                          <w:i/>
                          <w:noProof/>
                          <w:color w:val="auto"/>
                        </w:rPr>
                      </m:ctrlPr>
                    </m:e>
                    <m:sub>
                      <m:r>
                        <w:rPr>
                          <w:rStyle w:val="Marker"/>
                          <w:rFonts w:ascii="Cambria Math" w:hAnsi="Cambria Math"/>
                          <w:noProof/>
                          <w:color w:val="auto"/>
                          <w:vertAlign w:val="subscript"/>
                        </w:rPr>
                        <m:t>y</m:t>
                      </m:r>
                    </m:sub>
                  </m:sSub>
                </m:den>
              </m:f>
              <m:r>
                <w:rPr>
                  <w:rFonts w:ascii="Cambria Math" w:hAnsi="Cambria Math"/>
                  <w:noProof/>
                </w:rPr>
                <m:t>*</m:t>
              </m:r>
              <m:r>
                <w:rPr>
                  <w:rFonts w:ascii="Cambria Math" w:hAnsi="Cambria Math"/>
                  <w:noProof/>
                </w:rPr>
                <m:t xml:space="preserve"> </m:t>
              </m:r>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Vid</m:t>
                      </m:r>
                      <m:r>
                        <w:rPr>
                          <w:rFonts w:ascii="Cambria Math" w:hAnsi="Cambria Math"/>
                          <w:noProof/>
                        </w:rPr>
                        <m:t>ē</m:t>
                      </m:r>
                      <m:r>
                        <w:rPr>
                          <w:rFonts w:ascii="Cambria Math" w:hAnsi="Cambria Math"/>
                          <w:noProof/>
                        </w:rPr>
                        <m:t>j</m:t>
                      </m:r>
                      <m:r>
                        <w:rPr>
                          <w:rFonts w:ascii="Cambria Math" w:hAnsi="Cambria Math"/>
                          <w:noProof/>
                        </w:rPr>
                        <m:t xml:space="preserve">ā </m:t>
                      </m:r>
                      <m:r>
                        <w:rPr>
                          <w:rFonts w:ascii="Cambria Math" w:hAnsi="Cambria Math"/>
                          <w:noProof/>
                        </w:rPr>
                        <m:t>nosac</m:t>
                      </m:r>
                      <m:r>
                        <w:rPr>
                          <w:rFonts w:ascii="Cambria Math" w:hAnsi="Cambria Math"/>
                          <w:noProof/>
                        </w:rPr>
                        <m:t>ī</m:t>
                      </m:r>
                      <m:r>
                        <w:rPr>
                          <w:rFonts w:ascii="Cambria Math" w:hAnsi="Cambria Math"/>
                          <w:noProof/>
                        </w:rPr>
                        <m:t>t</m:t>
                      </m:r>
                      <m:r>
                        <w:rPr>
                          <w:rFonts w:ascii="Cambria Math" w:hAnsi="Cambria Math"/>
                          <w:noProof/>
                        </w:rPr>
                        <m:t xml:space="preserve">ā </m:t>
                      </m:r>
                      <m:r>
                        <w:rPr>
                          <w:rFonts w:ascii="Cambria Math" w:hAnsi="Cambria Math"/>
                          <w:noProof/>
                        </w:rPr>
                        <m:t>summa</m:t>
                      </m:r>
                    </m:e>
                    <m:sub>
                      <m:r>
                        <w:rPr>
                          <w:rFonts w:ascii="Cambria Math" w:hAnsi="Cambria Math"/>
                          <w:noProof/>
                        </w:rPr>
                        <m:t>n</m:t>
                      </m:r>
                      <m:r>
                        <w:rPr>
                          <w:rFonts w:ascii="Cambria Math" w:hAnsi="Cambria Math"/>
                          <w:noProof/>
                        </w:rPr>
                        <m:t xml:space="preserve">,  </m:t>
                      </m:r>
                      <m:r>
                        <w:rPr>
                          <w:rFonts w:ascii="Cambria Math" w:hAnsi="Cambria Math"/>
                          <w:noProof/>
                        </w:rPr>
                        <m:t>p</m:t>
                      </m:r>
                    </m:sub>
                  </m:sSub>
                </m:num>
                <m:den>
                  <m:sSub>
                    <m:sSubPr>
                      <m:ctrlPr>
                        <w:rPr>
                          <w:rFonts w:ascii="Cambria Math" w:hAnsi="Cambria Math"/>
                          <w:i/>
                          <w:noProof/>
                        </w:rPr>
                      </m:ctrlPr>
                    </m:sSubPr>
                    <m:e>
                      <m:r>
                        <w:rPr>
                          <w:rFonts w:ascii="Cambria Math" w:hAnsi="Cambria Math"/>
                          <w:noProof/>
                        </w:rPr>
                        <m:t>Vid</m:t>
                      </m:r>
                      <m:r>
                        <w:rPr>
                          <w:rFonts w:ascii="Cambria Math" w:hAnsi="Cambria Math"/>
                          <w:noProof/>
                        </w:rPr>
                        <m:t>ē</m:t>
                      </m:r>
                      <m:r>
                        <w:rPr>
                          <w:rFonts w:ascii="Cambria Math" w:hAnsi="Cambria Math"/>
                          <w:noProof/>
                        </w:rPr>
                        <m:t>j</m:t>
                      </m:r>
                      <m:r>
                        <w:rPr>
                          <w:rFonts w:ascii="Cambria Math" w:hAnsi="Cambria Math"/>
                          <w:noProof/>
                        </w:rPr>
                        <m:t xml:space="preserve">ā </m:t>
                      </m:r>
                      <m:r>
                        <w:rPr>
                          <w:rFonts w:ascii="Cambria Math" w:hAnsi="Cambria Math"/>
                          <w:noProof/>
                        </w:rPr>
                        <m:t>nosac</m:t>
                      </m:r>
                      <m:r>
                        <w:rPr>
                          <w:rFonts w:ascii="Cambria Math" w:hAnsi="Cambria Math"/>
                          <w:noProof/>
                        </w:rPr>
                        <m:t>ī</m:t>
                      </m:r>
                      <m:r>
                        <w:rPr>
                          <w:rFonts w:ascii="Cambria Math" w:hAnsi="Cambria Math"/>
                          <w:noProof/>
                        </w:rPr>
                        <m:t>t</m:t>
                      </m:r>
                      <m:r>
                        <w:rPr>
                          <w:rFonts w:ascii="Cambria Math" w:hAnsi="Cambria Math"/>
                          <w:noProof/>
                        </w:rPr>
                        <m:t xml:space="preserve">ā </m:t>
                      </m:r>
                      <m:r>
                        <w:rPr>
                          <w:rFonts w:ascii="Cambria Math" w:hAnsi="Cambria Math"/>
                          <w:noProof/>
                        </w:rPr>
                        <m:t>summa</m:t>
                      </m:r>
                    </m:e>
                    <m:sub>
                      <m:r>
                        <w:rPr>
                          <w:rFonts w:ascii="Cambria Math" w:hAnsi="Cambria Math"/>
                          <w:noProof/>
                        </w:rPr>
                        <m:t>Total</m:t>
                      </m:r>
                      <m:r>
                        <w:rPr>
                          <w:rFonts w:ascii="Cambria Math" w:hAnsi="Cambria Math"/>
                          <w:noProof/>
                        </w:rPr>
                        <m:t>,</m:t>
                      </m:r>
                      <m:r>
                        <w:rPr>
                          <w:rFonts w:ascii="Cambria Math" w:hAnsi="Cambria Math"/>
                          <w:noProof/>
                        </w:rPr>
                        <m:t>p</m:t>
                      </m:r>
                    </m:sub>
                  </m:sSub>
                </m:den>
              </m:f>
              <m:r>
                <w:rPr>
                  <w:rFonts w:ascii="Cambria Math" w:hAnsi="Cambria Math"/>
                  <w:noProof/>
                </w:rPr>
                <m:t>-</m:t>
              </m:r>
              <m:r>
                <w:rPr>
                  <w:rFonts w:ascii="Cambria Math" w:hAnsi="Cambria Math"/>
                  <w:noProof/>
                </w:rPr>
                <m:t>EUR</m:t>
              </m:r>
              <m:r>
                <w:rPr>
                  <w:rFonts w:ascii="Cambria Math" w:hAnsi="Cambria Math"/>
                  <w:noProof/>
                </w:rPr>
                <m:t xml:space="preserve"> 200;0</m:t>
              </m:r>
            </m:e>
          </m:d>
        </m:oMath>
      </m:oMathPara>
    </w:p>
    <w:p w14:paraId="7B0C7EC6" w14:textId="77777777" w:rsidR="008B6DE7" w:rsidRPr="006A548F" w:rsidRDefault="008B6DE7" w:rsidP="008B6DE7">
      <w:pPr>
        <w:rPr>
          <w:noProof/>
        </w:rPr>
      </w:pPr>
      <w:r w:rsidRPr="006A548F">
        <w:rPr>
          <w:noProof/>
        </w:rPr>
        <w:t>kur:</w:t>
      </w:r>
    </w:p>
    <w:p w14:paraId="29685AFB" w14:textId="77777777" w:rsidR="008B6DE7" w:rsidRPr="006A548F" w:rsidRDefault="008B6DE7" w:rsidP="008B6DE7">
      <w:pPr>
        <w:pStyle w:val="Bullet1"/>
        <w:numPr>
          <w:ilvl w:val="0"/>
          <w:numId w:val="11"/>
        </w:numPr>
        <w:tabs>
          <w:tab w:val="clear" w:pos="1417"/>
        </w:tabs>
        <w:ind w:left="567"/>
        <w:rPr>
          <w:noProof/>
        </w:rPr>
      </w:pPr>
      <m:oMath>
        <m:r>
          <w:rPr>
            <w:rFonts w:ascii="Cambria Math" w:hAnsi="Cambria Math"/>
            <w:noProof/>
          </w:rPr>
          <m:t>n</m:t>
        </m:r>
      </m:oMath>
      <w:r w:rsidRPr="006A548F">
        <w:rPr>
          <w:noProof/>
        </w:rPr>
        <w:t xml:space="preserve"> = indekss, kas apzīmē darījuma partneri, kurš izmanto vai attiecīgā gadījumā iesniedz pieteikumu apstiprinājumam izmantot </w:t>
      </w:r>
      <w:r w:rsidRPr="006A548F">
        <w:rPr>
          <w:i/>
          <w:noProof/>
        </w:rPr>
        <w:t>pro forma</w:t>
      </w:r>
      <w:r w:rsidRPr="006A548F">
        <w:rPr>
          <w:noProof/>
        </w:rPr>
        <w:t xml:space="preserve"> modeli </w:t>
      </w:r>
      <w:r w:rsidRPr="006A548F">
        <w:rPr>
          <w:i/>
          <w:noProof/>
        </w:rPr>
        <w:t>p</w:t>
      </w:r>
      <w:r w:rsidRPr="006A548F">
        <w:rPr>
          <w:noProof/>
        </w:rPr>
        <w:t>;</w:t>
      </w:r>
    </w:p>
    <w:p w14:paraId="23771C23" w14:textId="77777777" w:rsidR="008B6DE7" w:rsidRPr="006A548F" w:rsidRDefault="008B6DE7" w:rsidP="008B6DE7">
      <w:pPr>
        <w:pStyle w:val="Bullet1"/>
        <w:numPr>
          <w:ilvl w:val="0"/>
          <w:numId w:val="11"/>
        </w:numPr>
        <w:tabs>
          <w:tab w:val="clear" w:pos="1417"/>
        </w:tabs>
        <w:ind w:left="567"/>
        <w:rPr>
          <w:noProof/>
        </w:rPr>
      </w:pPr>
      <m:oMath>
        <m:r>
          <w:rPr>
            <w:rFonts w:ascii="Cambria Math" w:hAnsi="Cambria Math"/>
            <w:noProof/>
          </w:rPr>
          <m:t>y</m:t>
        </m:r>
      </m:oMath>
      <w:r w:rsidRPr="006A548F">
        <w:rPr>
          <w:noProof/>
        </w:rPr>
        <w:t xml:space="preserve"> = indekss, kas apzīmē pārskata gadu;</w:t>
      </w:r>
    </w:p>
    <w:p w14:paraId="2B7F3319" w14:textId="77777777" w:rsidR="008B6DE7" w:rsidRPr="006A548F" w:rsidRDefault="008B6DE7" w:rsidP="008B6DE7">
      <w:pPr>
        <w:pStyle w:val="Bullet1"/>
        <w:numPr>
          <w:ilvl w:val="0"/>
          <w:numId w:val="11"/>
        </w:numPr>
        <w:tabs>
          <w:tab w:val="clear" w:pos="1417"/>
        </w:tabs>
        <w:ind w:left="567"/>
        <w:rPr>
          <w:noProof/>
        </w:rPr>
      </w:pPr>
      <m:oMath>
        <m:r>
          <w:rPr>
            <w:rFonts w:ascii="Cambria Math" w:hAnsi="Cambria Math"/>
            <w:noProof/>
          </w:rPr>
          <w:lastRenderedPageBreak/>
          <m:t xml:space="preserve">p </m:t>
        </m:r>
      </m:oMath>
      <w:r w:rsidRPr="006A548F">
        <w:rPr>
          <w:noProof/>
        </w:rPr>
        <w:t xml:space="preserve"> = indekss, kas apzīmē </w:t>
      </w:r>
      <w:r w:rsidRPr="006A548F">
        <w:rPr>
          <w:i/>
          <w:noProof/>
        </w:rPr>
        <w:t>pro forma</w:t>
      </w:r>
      <w:r w:rsidRPr="006A548F">
        <w:rPr>
          <w:noProof/>
        </w:rPr>
        <w:t xml:space="preserve"> modeli, kuru EBI apstiprinājusi no </w:t>
      </w:r>
      <w:r w:rsidRPr="006A548F">
        <w:rPr>
          <w:i/>
          <w:noProof/>
        </w:rPr>
        <w:t>y</w:t>
      </w:r>
      <w:r w:rsidRPr="006A548F">
        <w:rPr>
          <w:noProof/>
        </w:rPr>
        <w:t xml:space="preserve"> gada 1. janvāra;</w:t>
      </w:r>
    </w:p>
    <w:p w14:paraId="49D80B64" w14:textId="77777777" w:rsidR="008B6DE7" w:rsidRPr="006A548F" w:rsidRDefault="008B6DE7" w:rsidP="008B6DE7">
      <w:pPr>
        <w:pStyle w:val="Bullet1"/>
        <w:numPr>
          <w:ilvl w:val="0"/>
          <w:numId w:val="11"/>
        </w:numPr>
        <w:tabs>
          <w:tab w:val="clear" w:pos="1417"/>
        </w:tabs>
        <w:ind w:left="567"/>
        <w:rPr>
          <w:noProof/>
        </w:rPr>
      </w:pPr>
      <m:oMath>
        <m:r>
          <w:rPr>
            <w:rFonts w:ascii="Cambria Math" w:hAnsi="Cambria Math"/>
            <w:noProof/>
          </w:rPr>
          <m:t>EBA cost</m:t>
        </m:r>
        <m:sSub>
          <m:sSubPr>
            <m:ctrlPr>
              <w:rPr>
                <w:rFonts w:ascii="Cambria Math" w:hAnsi="Cambria Math"/>
                <w:i/>
                <w:noProof/>
              </w:rPr>
            </m:ctrlPr>
          </m:sSubPr>
          <m:e>
            <m:r>
              <w:rPr>
                <w:rFonts w:ascii="Cambria Math" w:hAnsi="Cambria Math"/>
                <w:noProof/>
              </w:rPr>
              <m:t>s</m:t>
            </m:r>
          </m:e>
          <m:sub>
            <m:r>
              <w:rPr>
                <w:rFonts w:ascii="Cambria Math" w:hAnsi="Cambria Math"/>
                <w:noProof/>
              </w:rPr>
              <m:t>y</m:t>
            </m:r>
          </m:sub>
        </m:sSub>
      </m:oMath>
      <w:r w:rsidRPr="006A548F">
        <w:rPr>
          <w:i/>
          <w:noProof/>
        </w:rPr>
        <w:t xml:space="preserve"> </w:t>
      </w:r>
      <w:r w:rsidRPr="006A548F">
        <w:rPr>
          <w:noProof/>
        </w:rPr>
        <w:t xml:space="preserve"> = summa, kas saskaņā ar 2. pantu aplēsta </w:t>
      </w:r>
      <w:r w:rsidRPr="006A548F">
        <w:rPr>
          <w:i/>
          <w:noProof/>
        </w:rPr>
        <w:t>y</w:t>
      </w:r>
      <w:r w:rsidRPr="006A548F">
        <w:rPr>
          <w:noProof/>
        </w:rPr>
        <w:t xml:space="preserve"> gadam </w:t>
      </w:r>
      <w:r w:rsidRPr="006A548F">
        <w:rPr>
          <w:i/>
          <w:noProof/>
        </w:rPr>
        <w:t>pro forma</w:t>
      </w:r>
      <w:r w:rsidRPr="006A548F">
        <w:rPr>
          <w:noProof/>
        </w:rPr>
        <w:t xml:space="preserve"> modeļiem, kurus EBI apstiprinājusi no minētā gada 1. janvāra;</w:t>
      </w:r>
    </w:p>
    <w:p w14:paraId="0039D5D9" w14:textId="77777777" w:rsidR="008B6DE7" w:rsidRPr="006A548F" w:rsidRDefault="008B6DE7" w:rsidP="008B6DE7">
      <w:pPr>
        <w:pStyle w:val="Bullet1"/>
        <w:numPr>
          <w:ilvl w:val="0"/>
          <w:numId w:val="11"/>
        </w:numPr>
        <w:tabs>
          <w:tab w:val="clear" w:pos="1417"/>
        </w:tabs>
        <w:ind w:left="567"/>
        <w:rPr>
          <w:noProof/>
        </w:rPr>
      </w:pPr>
      <m:oMath>
        <m:r>
          <w:rPr>
            <w:rStyle w:val="Marker"/>
            <w:rFonts w:ascii="Cambria Math" w:hAnsi="Cambria Math"/>
            <w:noProof/>
            <w:color w:val="auto"/>
          </w:rPr>
          <m:t>Number of model</m:t>
        </m:r>
        <m:sSub>
          <m:sSubPr>
            <m:ctrlPr>
              <w:rPr>
                <w:rStyle w:val="Marker"/>
                <w:rFonts w:ascii="Cambria Math" w:hAnsi="Cambria Math"/>
                <w:i/>
                <w:noProof/>
                <w:color w:val="auto"/>
              </w:rPr>
            </m:ctrlPr>
          </m:sSubPr>
          <m:e>
            <m:r>
              <w:rPr>
                <w:rStyle w:val="Marker"/>
                <w:rFonts w:ascii="Cambria Math" w:hAnsi="Cambria Math"/>
                <w:noProof/>
                <w:color w:val="auto"/>
              </w:rPr>
              <m:t>s</m:t>
            </m:r>
          </m:e>
          <m:sub>
            <m:r>
              <w:rPr>
                <w:rStyle w:val="Marker"/>
                <w:rFonts w:ascii="Cambria Math" w:hAnsi="Cambria Math"/>
                <w:noProof/>
                <w:color w:val="auto"/>
                <w:vertAlign w:val="subscript"/>
              </w:rPr>
              <m:t>y</m:t>
            </m:r>
          </m:sub>
        </m:sSub>
      </m:oMath>
      <w:r w:rsidRPr="006A548F">
        <w:rPr>
          <w:noProof/>
        </w:rPr>
        <w:t xml:space="preserve"> = EBI apstiprināto </w:t>
      </w:r>
      <w:r w:rsidRPr="006A548F">
        <w:rPr>
          <w:i/>
          <w:noProof/>
        </w:rPr>
        <w:t>pro forma</w:t>
      </w:r>
      <w:r w:rsidRPr="006A548F">
        <w:rPr>
          <w:noProof/>
        </w:rPr>
        <w:t xml:space="preserve"> modeļu skaits y gada 1. janvārī, minimālais skaits ir 1;</w:t>
      </w:r>
    </w:p>
    <w:p w14:paraId="45CD8321" w14:textId="77777777" w:rsidR="008B6DE7" w:rsidRPr="006A548F" w:rsidRDefault="00E81D8A" w:rsidP="008B6DE7">
      <w:pPr>
        <w:pStyle w:val="Bullet1"/>
        <w:numPr>
          <w:ilvl w:val="0"/>
          <w:numId w:val="11"/>
        </w:numPr>
        <w:tabs>
          <w:tab w:val="clear" w:pos="1417"/>
        </w:tabs>
        <w:ind w:left="567"/>
        <w:rPr>
          <w:noProof/>
        </w:rPr>
      </w:pPr>
      <m:oMath>
        <m:sSub>
          <m:sSubPr>
            <m:ctrlPr>
              <w:rPr>
                <w:rFonts w:ascii="Cambria Math" w:hAnsi="Cambria Math"/>
                <w:i/>
                <w:noProof/>
              </w:rPr>
            </m:ctrlPr>
          </m:sSubPr>
          <m:e>
            <m:r>
              <w:rPr>
                <w:rFonts w:ascii="Cambria Math" w:hAnsi="Cambria Math"/>
                <w:noProof/>
              </w:rPr>
              <m:t>Average</m:t>
            </m:r>
            <m:r>
              <w:rPr>
                <w:rFonts w:ascii="Cambria Math" w:hAnsi="Cambria Math"/>
                <w:noProof/>
              </w:rPr>
              <m:t xml:space="preserve"> </m:t>
            </m:r>
            <m:r>
              <w:rPr>
                <w:rFonts w:ascii="Cambria Math" w:hAnsi="Cambria Math"/>
                <w:noProof/>
              </w:rPr>
              <m:t>Notional</m:t>
            </m:r>
            <m:r>
              <w:rPr>
                <w:rFonts w:ascii="Cambria Math" w:hAnsi="Cambria Math"/>
                <w:noProof/>
              </w:rPr>
              <m:t xml:space="preserve"> </m:t>
            </m:r>
            <m:r>
              <w:rPr>
                <w:rFonts w:ascii="Cambria Math" w:hAnsi="Cambria Math"/>
                <w:noProof/>
              </w:rPr>
              <m:t>Amount</m:t>
            </m:r>
          </m:e>
          <m:sub>
            <m:r>
              <w:rPr>
                <w:rFonts w:ascii="Cambria Math" w:hAnsi="Cambria Math"/>
                <w:noProof/>
              </w:rPr>
              <m:t>n</m:t>
            </m:r>
            <m:r>
              <w:rPr>
                <w:rFonts w:ascii="Cambria Math" w:hAnsi="Cambria Math"/>
                <w:noProof/>
              </w:rPr>
              <m:t>,</m:t>
            </m:r>
            <m:r>
              <w:rPr>
                <w:rFonts w:ascii="Cambria Math" w:hAnsi="Cambria Math"/>
                <w:noProof/>
              </w:rPr>
              <m:t>p</m:t>
            </m:r>
          </m:sub>
        </m:sSub>
      </m:oMath>
      <w:r w:rsidR="006A548F" w:rsidRPr="006A548F">
        <w:rPr>
          <w:noProof/>
        </w:rPr>
        <w:t xml:space="preserve"> darījuma partnera n aprēķinātā summa </w:t>
      </w:r>
      <w:r w:rsidR="006A548F" w:rsidRPr="006A548F">
        <w:rPr>
          <w:i/>
          <w:noProof/>
        </w:rPr>
        <w:t>pro forma</w:t>
      </w:r>
      <w:r w:rsidR="006A548F" w:rsidRPr="006A548F">
        <w:rPr>
          <w:noProof/>
        </w:rPr>
        <w:t xml:space="preserve"> modelim </w:t>
      </w:r>
      <w:r w:rsidR="006A548F" w:rsidRPr="006A548F">
        <w:rPr>
          <w:i/>
          <w:noProof/>
        </w:rPr>
        <w:t>p</w:t>
      </w:r>
      <w:r w:rsidR="006A548F" w:rsidRPr="006A548F">
        <w:rPr>
          <w:noProof/>
        </w:rPr>
        <w:t xml:space="preserve"> saskaņā ar 3. pantu;</w:t>
      </w:r>
    </w:p>
    <w:p w14:paraId="782C63A6" w14:textId="77777777" w:rsidR="008B6DE7" w:rsidRPr="006A548F" w:rsidRDefault="00E81D8A" w:rsidP="008B6DE7">
      <w:pPr>
        <w:pStyle w:val="Bullet1"/>
        <w:numPr>
          <w:ilvl w:val="0"/>
          <w:numId w:val="11"/>
        </w:numPr>
        <w:tabs>
          <w:tab w:val="clear" w:pos="1417"/>
        </w:tabs>
        <w:ind w:left="567"/>
        <w:rPr>
          <w:noProof/>
        </w:rPr>
      </w:pPr>
      <m:oMath>
        <m:sSub>
          <m:sSubPr>
            <m:ctrlPr>
              <w:rPr>
                <w:rFonts w:ascii="Cambria Math" w:hAnsi="Cambria Math"/>
                <w:noProof/>
              </w:rPr>
            </m:ctrlPr>
          </m:sSubPr>
          <m:e>
            <m:r>
              <w:rPr>
                <w:rFonts w:ascii="Cambria Math" w:hAnsi="Cambria Math"/>
                <w:noProof/>
              </w:rPr>
              <m:t>AverageNotionalAmount</m:t>
            </m:r>
          </m:e>
          <m:sub>
            <m:r>
              <w:rPr>
                <w:rFonts w:ascii="Cambria Math" w:hAnsi="Cambria Math"/>
                <w:noProof/>
              </w:rPr>
              <m:t>Total</m:t>
            </m:r>
            <m:r>
              <m:rPr>
                <m:sty m:val="p"/>
              </m:rPr>
              <w:rPr>
                <w:rFonts w:ascii="Cambria Math" w:hAnsi="Cambria Math"/>
                <w:noProof/>
              </w:rPr>
              <m:t>,</m:t>
            </m:r>
            <m:r>
              <w:rPr>
                <w:rFonts w:ascii="Cambria Math" w:hAnsi="Cambria Math"/>
                <w:noProof/>
              </w:rPr>
              <m:t>p</m:t>
            </m:r>
          </m:sub>
        </m:sSub>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n</m:t>
            </m:r>
          </m:sub>
          <m:sup/>
          <m:e>
            <m:sSub>
              <m:sSubPr>
                <m:ctrlPr>
                  <w:rPr>
                    <w:rFonts w:ascii="Cambria Math" w:hAnsi="Cambria Math"/>
                    <w:noProof/>
                  </w:rPr>
                </m:ctrlPr>
              </m:sSubPr>
              <m:e>
                <m:r>
                  <w:rPr>
                    <w:rFonts w:ascii="Cambria Math" w:hAnsi="Cambria Math"/>
                    <w:noProof/>
                  </w:rPr>
                  <m:t>AverageNotionalAmount</m:t>
                </m:r>
              </m:e>
              <m:sub>
                <m:r>
                  <w:rPr>
                    <w:rFonts w:ascii="Cambria Math" w:hAnsi="Cambria Math"/>
                    <w:noProof/>
                  </w:rPr>
                  <m:t>n</m:t>
                </m:r>
                <m:r>
                  <m:rPr>
                    <m:sty m:val="p"/>
                  </m:rPr>
                  <w:rPr>
                    <w:rFonts w:ascii="Cambria Math" w:hAnsi="Cambria Math"/>
                    <w:noProof/>
                  </w:rPr>
                  <m:t>,</m:t>
                </m:r>
                <m:r>
                  <w:rPr>
                    <w:rFonts w:ascii="Cambria Math" w:hAnsi="Cambria Math"/>
                    <w:noProof/>
                  </w:rPr>
                  <m:t>p</m:t>
                </m:r>
              </m:sub>
            </m:sSub>
          </m:e>
        </m:nary>
      </m:oMath>
      <w:r w:rsidR="006A548F" w:rsidRPr="006A548F">
        <w:rPr>
          <w:noProof/>
        </w:rPr>
        <w:t>.</w:t>
      </w:r>
    </w:p>
    <w:p w14:paraId="59F7DDA6" w14:textId="1A9F083F" w:rsidR="008B6DE7" w:rsidRPr="006A548F" w:rsidRDefault="008B6DE7" w:rsidP="0031303E">
      <w:pPr>
        <w:pStyle w:val="ManualNumPar1"/>
        <w:rPr>
          <w:noProof/>
        </w:rPr>
      </w:pPr>
      <w:r>
        <w:rPr>
          <w:noProof/>
        </w:rPr>
        <w:t>2.</w:t>
      </w:r>
      <w:r>
        <w:rPr>
          <w:noProof/>
        </w:rPr>
        <w:tab/>
      </w:r>
      <w:r w:rsidRPr="006A548F">
        <w:rPr>
          <w:i/>
          <w:noProof/>
        </w:rPr>
        <w:t>Pro forma</w:t>
      </w:r>
      <w:r w:rsidRPr="006A548F">
        <w:rPr>
          <w:noProof/>
        </w:rPr>
        <w:t xml:space="preserve"> modeļus, uz kuriem, lai gan tie ir apstiprināti, attiecas 6. pantā minētā maksa, neņem vērā 1. punktā izklāstītajā aprēķinā.</w:t>
      </w:r>
    </w:p>
    <w:p w14:paraId="14FF1D5F" w14:textId="20CB2F7C" w:rsidR="008B6DE7" w:rsidRPr="006A548F" w:rsidRDefault="008B6DE7" w:rsidP="0031303E">
      <w:pPr>
        <w:pStyle w:val="ManualNumPar1"/>
        <w:rPr>
          <w:noProof/>
        </w:rPr>
      </w:pPr>
      <w:r>
        <w:rPr>
          <w:noProof/>
        </w:rPr>
        <w:t>3.</w:t>
      </w:r>
      <w:r>
        <w:rPr>
          <w:noProof/>
        </w:rPr>
        <w:tab/>
      </w:r>
      <w:r w:rsidRPr="006A548F">
        <w:rPr>
          <w:noProof/>
        </w:rPr>
        <w:t xml:space="preserve">Atkāpjoties no 1. punkta, darījuma partneris, uz kuru pēc attiecīgā gada 31. marta attiecas prasība iesniegt pieteikumu </w:t>
      </w:r>
      <w:r w:rsidRPr="006A548F">
        <w:rPr>
          <w:i/>
          <w:noProof/>
        </w:rPr>
        <w:t>pro forma</w:t>
      </w:r>
      <w:r w:rsidRPr="006A548F">
        <w:rPr>
          <w:noProof/>
        </w:rPr>
        <w:t xml:space="preserve"> modeļa apstiprināšanai, nemaksā nekādu maksu par minēto </w:t>
      </w:r>
      <w:r w:rsidRPr="006A548F">
        <w:rPr>
          <w:i/>
          <w:noProof/>
        </w:rPr>
        <w:t>pro forma</w:t>
      </w:r>
      <w:r w:rsidRPr="006A548F">
        <w:rPr>
          <w:noProof/>
        </w:rPr>
        <w:t xml:space="preserve"> modeli attiecīgajā gadā.</w:t>
      </w:r>
    </w:p>
    <w:p w14:paraId="1A1686DA" w14:textId="77777777" w:rsidR="008B6DE7" w:rsidRPr="006A548F" w:rsidRDefault="008B6DE7" w:rsidP="008B6DE7">
      <w:pPr>
        <w:pStyle w:val="Titrearticle"/>
        <w:rPr>
          <w:b/>
          <w:i w:val="0"/>
          <w:noProof/>
          <w:szCs w:val="24"/>
        </w:rPr>
      </w:pPr>
      <w:r w:rsidRPr="006A548F">
        <w:rPr>
          <w:noProof/>
        </w:rPr>
        <w:t xml:space="preserve">5. pants </w:t>
      </w:r>
      <w:r w:rsidRPr="006A548F">
        <w:rPr>
          <w:noProof/>
        </w:rPr>
        <w:br/>
      </w:r>
      <w:r w:rsidRPr="006A548F">
        <w:rPr>
          <w:b/>
          <w:i w:val="0"/>
          <w:noProof/>
        </w:rPr>
        <w:t xml:space="preserve">Gada maksa par tāda </w:t>
      </w:r>
      <w:r w:rsidRPr="006A548F">
        <w:rPr>
          <w:b/>
          <w:noProof/>
        </w:rPr>
        <w:t>pro forma</w:t>
      </w:r>
      <w:r w:rsidRPr="006A548F">
        <w:rPr>
          <w:b/>
          <w:i w:val="0"/>
          <w:noProof/>
        </w:rPr>
        <w:t xml:space="preserve"> modeļa apstiprināšanu, kas jau ticis izmantots pirms 2024. gada 24. decembra</w:t>
      </w:r>
    </w:p>
    <w:p w14:paraId="6D401BA7" w14:textId="77777777" w:rsidR="008B6DE7" w:rsidRPr="006A548F" w:rsidRDefault="00FB660F" w:rsidP="008B6DE7">
      <w:pPr>
        <w:pStyle w:val="ManualNumPar1"/>
        <w:tabs>
          <w:tab w:val="left" w:pos="567"/>
        </w:tabs>
        <w:ind w:left="0" w:firstLine="0"/>
        <w:rPr>
          <w:noProof/>
        </w:rPr>
      </w:pPr>
      <w:r>
        <w:rPr>
          <w:noProof/>
        </w:rPr>
        <w:t>1.</w:t>
      </w:r>
      <w:r>
        <w:rPr>
          <w:noProof/>
        </w:rPr>
        <w:tab/>
      </w:r>
      <w:r w:rsidRPr="006A548F">
        <w:rPr>
          <w:noProof/>
        </w:rPr>
        <w:t xml:space="preserve">Atkāpjoties no 4. panta, </w:t>
      </w:r>
      <w:r w:rsidRPr="006A548F">
        <w:rPr>
          <w:i/>
          <w:noProof/>
        </w:rPr>
        <w:t>pro forma</w:t>
      </w:r>
      <w:r w:rsidRPr="006A548F">
        <w:rPr>
          <w:noProof/>
        </w:rPr>
        <w:t xml:space="preserve"> modelim, kas jau ticis izmantots pirms 2024. gada 24. decembra, laikposmā no EBI gatavības datuma līdz EBI gatavības datuma gada beigām darījuma partneris, uz kuru līdz EBI gatavības datumam attiecas prasība iesniegt pieteikumu apstiprinājumam izmantot minēto </w:t>
      </w:r>
      <w:r w:rsidRPr="006A548F">
        <w:rPr>
          <w:i/>
          <w:noProof/>
        </w:rPr>
        <w:t>pro forma</w:t>
      </w:r>
      <w:r w:rsidRPr="006A548F">
        <w:rPr>
          <w:noProof/>
        </w:rPr>
        <w:t xml:space="preserve"> modeli vai pieņemt izmaiņas tajā saskaņā ar Regulas (ES) Nr. 648/2012 11. panta 3. punkta ceturto daļu, maksā EBI šādu gada maksu:</w:t>
      </w:r>
    </w:p>
    <w:p w14:paraId="4F71DA4A" w14:textId="77777777" w:rsidR="008B6DE7" w:rsidRPr="006A548F" w:rsidRDefault="00E81D8A" w:rsidP="008B6DE7">
      <w:pPr>
        <w:pStyle w:val="Text1"/>
        <w:rPr>
          <w:rFonts w:eastAsiaTheme="minorEastAsia"/>
          <w:noProof/>
        </w:rPr>
      </w:pPr>
      <m:oMathPara>
        <m:oMath>
          <m:sSub>
            <m:sSubPr>
              <m:ctrlPr>
                <w:rPr>
                  <w:rFonts w:ascii="Cambria Math" w:hAnsi="Cambria Math"/>
                  <w:i/>
                  <w:noProof/>
                </w:rPr>
              </m:ctrlPr>
            </m:sSubPr>
            <m:e>
              <m:r>
                <w:rPr>
                  <w:rFonts w:ascii="Cambria Math" w:hAnsi="Cambria Math"/>
                  <w:noProof/>
                </w:rPr>
                <m:t>Fee</m:t>
              </m:r>
            </m:e>
            <m:sub>
              <m:r>
                <w:rPr>
                  <w:rFonts w:ascii="Cambria Math" w:hAnsi="Cambria Math"/>
                  <w:noProof/>
                </w:rPr>
                <m:t>n</m:t>
              </m:r>
            </m:sub>
          </m:sSub>
          <m:r>
            <w:rPr>
              <w:rFonts w:ascii="Cambria Math" w:hAnsi="Cambria Math"/>
              <w:noProof/>
            </w:rPr>
            <m:t>=</m:t>
          </m:r>
          <m:r>
            <w:rPr>
              <w:rFonts w:ascii="Cambria Math" w:hAnsi="Cambria Math"/>
              <w:noProof/>
            </w:rPr>
            <m:t>EUR</m:t>
          </m:r>
          <m:r>
            <w:rPr>
              <w:rFonts w:ascii="Cambria Math" w:hAnsi="Cambria Math"/>
              <w:noProof/>
            </w:rPr>
            <m:t xml:space="preserve"> 200+</m:t>
          </m:r>
          <m:r>
            <w:rPr>
              <w:rFonts w:ascii="Cambria Math" w:hAnsi="Cambria Math"/>
              <w:noProof/>
            </w:rPr>
            <m:t>max</m:t>
          </m:r>
          <m:d>
            <m:dPr>
              <m:ctrlPr>
                <w:rPr>
                  <w:rFonts w:ascii="Cambria Math" w:hAnsi="Cambria Math"/>
                  <w:i/>
                  <w:noProof/>
                </w:rPr>
              </m:ctrlPr>
            </m:dPr>
            <m:e>
              <m:r>
                <w:rPr>
                  <w:rFonts w:ascii="Cambria Math" w:hAnsi="Cambria Math"/>
                  <w:noProof/>
                </w:rPr>
                <m:t>EBA</m:t>
              </m:r>
              <m:r>
                <w:rPr>
                  <w:rFonts w:ascii="Cambria Math" w:hAnsi="Cambria Math"/>
                  <w:noProof/>
                </w:rPr>
                <m:t xml:space="preserve"> </m:t>
              </m:r>
              <m:r>
                <w:rPr>
                  <w:rFonts w:ascii="Cambria Math" w:hAnsi="Cambria Math"/>
                  <w:noProof/>
                </w:rPr>
                <m:t>costs</m:t>
              </m:r>
              <m:r>
                <w:rPr>
                  <w:rFonts w:ascii="Cambria Math" w:hAnsi="Cambria Math"/>
                  <w:noProof/>
                </w:rPr>
                <m:t>*</m:t>
              </m:r>
              <m:r>
                <w:rPr>
                  <w:rFonts w:ascii="Cambria Math" w:hAnsi="Cambria Math"/>
                  <w:noProof/>
                </w:rPr>
                <m:t xml:space="preserve"> </m:t>
              </m:r>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Average</m:t>
                      </m:r>
                      <m:r>
                        <w:rPr>
                          <w:rFonts w:ascii="Cambria Math" w:hAnsi="Cambria Math"/>
                          <w:noProof/>
                        </w:rPr>
                        <m:t xml:space="preserve"> </m:t>
                      </m:r>
                      <m:r>
                        <w:rPr>
                          <w:rFonts w:ascii="Cambria Math" w:hAnsi="Cambria Math"/>
                          <w:noProof/>
                        </w:rPr>
                        <m:t>Notional</m:t>
                      </m:r>
                      <m:r>
                        <w:rPr>
                          <w:rFonts w:ascii="Cambria Math" w:hAnsi="Cambria Math"/>
                          <w:noProof/>
                        </w:rPr>
                        <m:t xml:space="preserve"> </m:t>
                      </m:r>
                      <m:r>
                        <w:rPr>
                          <w:rFonts w:ascii="Cambria Math" w:hAnsi="Cambria Math"/>
                          <w:noProof/>
                        </w:rPr>
                        <m:t>Amount</m:t>
                      </m:r>
                    </m:e>
                    <m:sub>
                      <m:r>
                        <w:rPr>
                          <w:rFonts w:ascii="Cambria Math" w:hAnsi="Cambria Math"/>
                          <w:noProof/>
                        </w:rPr>
                        <m:t>n</m:t>
                      </m:r>
                    </m:sub>
                  </m:sSub>
                </m:num>
                <m:den>
                  <m:sSub>
                    <m:sSubPr>
                      <m:ctrlPr>
                        <w:rPr>
                          <w:rFonts w:ascii="Cambria Math" w:hAnsi="Cambria Math"/>
                          <w:i/>
                          <w:noProof/>
                        </w:rPr>
                      </m:ctrlPr>
                    </m:sSubPr>
                    <m:e>
                      <m:r>
                        <w:rPr>
                          <w:rFonts w:ascii="Cambria Math" w:hAnsi="Cambria Math"/>
                          <w:noProof/>
                        </w:rPr>
                        <m:t>Average</m:t>
                      </m:r>
                      <m:r>
                        <w:rPr>
                          <w:rFonts w:ascii="Cambria Math" w:hAnsi="Cambria Math"/>
                          <w:noProof/>
                        </w:rPr>
                        <m:t xml:space="preserve"> </m:t>
                      </m:r>
                      <m:r>
                        <w:rPr>
                          <w:rFonts w:ascii="Cambria Math" w:hAnsi="Cambria Math"/>
                          <w:noProof/>
                        </w:rPr>
                        <m:t>Notional</m:t>
                      </m:r>
                      <m:r>
                        <w:rPr>
                          <w:rFonts w:ascii="Cambria Math" w:hAnsi="Cambria Math"/>
                          <w:noProof/>
                        </w:rPr>
                        <m:t xml:space="preserve"> </m:t>
                      </m:r>
                      <m:r>
                        <w:rPr>
                          <w:rFonts w:ascii="Cambria Math" w:hAnsi="Cambria Math"/>
                          <w:noProof/>
                        </w:rPr>
                        <m:t>Amount</m:t>
                      </m:r>
                    </m:e>
                    <m:sub>
                      <m:r>
                        <w:rPr>
                          <w:rFonts w:ascii="Cambria Math" w:hAnsi="Cambria Math"/>
                          <w:noProof/>
                        </w:rPr>
                        <m:t>Total</m:t>
                      </m:r>
                    </m:sub>
                  </m:sSub>
                </m:den>
              </m:f>
              <m:r>
                <w:rPr>
                  <w:rFonts w:ascii="Cambria Math" w:hAnsi="Cambria Math"/>
                  <w:noProof/>
                </w:rPr>
                <m:t>-</m:t>
              </m:r>
              <m:r>
                <w:rPr>
                  <w:rFonts w:ascii="Cambria Math" w:hAnsi="Cambria Math"/>
                  <w:noProof/>
                </w:rPr>
                <m:t>EUR</m:t>
              </m:r>
              <m:r>
                <w:rPr>
                  <w:rFonts w:ascii="Cambria Math" w:hAnsi="Cambria Math"/>
                  <w:noProof/>
                </w:rPr>
                <m:t xml:space="preserve"> 200;0</m:t>
              </m:r>
            </m:e>
          </m:d>
        </m:oMath>
      </m:oMathPara>
    </w:p>
    <w:p w14:paraId="5DD03634" w14:textId="77777777" w:rsidR="008B6DE7" w:rsidRPr="006A548F" w:rsidRDefault="008B6DE7" w:rsidP="008B6DE7">
      <w:pPr>
        <w:rPr>
          <w:noProof/>
        </w:rPr>
      </w:pPr>
      <w:r w:rsidRPr="006A548F">
        <w:rPr>
          <w:noProof/>
        </w:rPr>
        <w:t>kur:</w:t>
      </w:r>
    </w:p>
    <w:p w14:paraId="17BC4342" w14:textId="77777777" w:rsidR="008B6DE7" w:rsidRPr="006A548F" w:rsidRDefault="008B6DE7" w:rsidP="008B6DE7">
      <w:pPr>
        <w:pStyle w:val="Bullet1"/>
        <w:numPr>
          <w:ilvl w:val="0"/>
          <w:numId w:val="14"/>
        </w:numPr>
        <w:tabs>
          <w:tab w:val="clear" w:pos="1417"/>
        </w:tabs>
        <w:ind w:left="567"/>
        <w:rPr>
          <w:noProof/>
        </w:rPr>
      </w:pPr>
      <m:oMath>
        <m:r>
          <w:rPr>
            <w:rStyle w:val="Marker"/>
            <w:rFonts w:ascii="Cambria Math" w:hAnsi="Cambria Math"/>
            <w:noProof/>
            <w:color w:val="auto"/>
          </w:rPr>
          <m:t>n</m:t>
        </m:r>
      </m:oMath>
      <w:r w:rsidRPr="006A548F">
        <w:rPr>
          <w:noProof/>
        </w:rPr>
        <w:t xml:space="preserve"> = indekss, kas apzīmē darījuma partneri, uz kuru attiecas prasība iesniegt pieteikumu apstiprinājumam līdz EBI gatavības datumam izmantot minēto </w:t>
      </w:r>
      <w:r w:rsidRPr="006A548F">
        <w:rPr>
          <w:i/>
          <w:noProof/>
        </w:rPr>
        <w:t>pro forma</w:t>
      </w:r>
      <w:r w:rsidRPr="006A548F">
        <w:rPr>
          <w:noProof/>
        </w:rPr>
        <w:t xml:space="preserve"> modeli vai pieņemt tā izmaiņas saskaņā ar Regulas (ES) Nr. 648/2012 11. panta 3. punkta ceturto daļu;</w:t>
      </w:r>
    </w:p>
    <w:p w14:paraId="2C6CF0B4" w14:textId="77777777" w:rsidR="008B6DE7" w:rsidRPr="006A548F" w:rsidRDefault="008B6DE7" w:rsidP="008B6DE7">
      <w:pPr>
        <w:pStyle w:val="Bullet1"/>
        <w:tabs>
          <w:tab w:val="clear" w:pos="1417"/>
        </w:tabs>
        <w:ind w:left="567"/>
        <w:rPr>
          <w:noProof/>
        </w:rPr>
      </w:pPr>
      <m:oMath>
        <m:r>
          <w:rPr>
            <w:rStyle w:val="Marker"/>
            <w:rFonts w:ascii="Cambria Math" w:hAnsi="Cambria Math"/>
            <w:noProof/>
            <w:color w:val="auto"/>
          </w:rPr>
          <m:t>EBA costs</m:t>
        </m:r>
      </m:oMath>
      <w:r w:rsidRPr="006A548F">
        <w:rPr>
          <w:noProof/>
        </w:rPr>
        <w:t xml:space="preserve"> = summa, kas izteikta euro un saskaņā ar 2. pantu aplēsta no EBI gatavības datuma līdz EBI gatavības datuma gada beigām;</w:t>
      </w:r>
    </w:p>
    <w:p w14:paraId="6A5AE5EE" w14:textId="77777777" w:rsidR="008B6DE7" w:rsidRPr="006A548F" w:rsidRDefault="008B6DE7" w:rsidP="008B6DE7">
      <w:pPr>
        <w:pStyle w:val="Bullet1"/>
        <w:tabs>
          <w:tab w:val="clear" w:pos="1417"/>
        </w:tabs>
        <w:ind w:left="567"/>
        <w:rPr>
          <w:noProof/>
        </w:rPr>
      </w:pPr>
      <m:oMath>
        <m:r>
          <w:rPr>
            <w:rStyle w:val="Marker"/>
            <w:rFonts w:ascii="Cambria Math" w:hAnsi="Cambria Math"/>
            <w:noProof/>
            <w:color w:val="auto"/>
          </w:rPr>
          <m:t>Average Notional Amount</m:t>
        </m:r>
        <m:sSub>
          <m:sSubPr>
            <m:ctrlPr>
              <w:rPr>
                <w:rStyle w:val="Marker"/>
                <w:rFonts w:ascii="Cambria Math" w:hAnsi="Cambria Math"/>
                <w:i/>
                <w:noProof/>
                <w:color w:val="auto"/>
                <w:vertAlign w:val="subscript"/>
              </w:rPr>
            </m:ctrlPr>
          </m:sSubPr>
          <m:e>
            <m:r>
              <w:rPr>
                <w:rStyle w:val="Marker"/>
                <w:rFonts w:ascii="Cambria Math" w:hAnsi="Cambria Math"/>
                <w:noProof/>
                <w:color w:val="auto"/>
                <w:vertAlign w:val="subscript"/>
              </w:rPr>
              <m:t>t</m:t>
            </m:r>
          </m:e>
          <m:sub>
            <m:r>
              <w:rPr>
                <w:rStyle w:val="Marker"/>
                <w:rFonts w:ascii="Cambria Math" w:hAnsi="Cambria Math"/>
                <w:noProof/>
                <w:color w:val="auto"/>
                <w:vertAlign w:val="subscript"/>
              </w:rPr>
              <m:t>n</m:t>
            </m:r>
          </m:sub>
        </m:sSub>
      </m:oMath>
      <w:r w:rsidRPr="006A548F">
        <w:rPr>
          <w:noProof/>
        </w:rPr>
        <w:t xml:space="preserve"> = summa, ko darījuma partneris n aprēķinājis saskaņā ar 3. pantu;</w:t>
      </w:r>
    </w:p>
    <w:p w14:paraId="3C33D2AC" w14:textId="77777777" w:rsidR="008B6DE7" w:rsidRPr="006A548F" w:rsidRDefault="00E81D8A" w:rsidP="008B6DE7">
      <w:pPr>
        <w:pStyle w:val="Bullet1"/>
        <w:tabs>
          <w:tab w:val="clear" w:pos="1417"/>
        </w:tabs>
        <w:ind w:left="567"/>
        <w:rPr>
          <w:noProof/>
        </w:rPr>
      </w:pPr>
      <m:oMath>
        <m:sSub>
          <m:sSubPr>
            <m:ctrlPr>
              <w:rPr>
                <w:rFonts w:ascii="Cambria Math" w:hAnsi="Cambria Math"/>
                <w:noProof/>
              </w:rPr>
            </m:ctrlPr>
          </m:sSubPr>
          <m:e>
            <m:r>
              <w:rPr>
                <w:rFonts w:ascii="Cambria Math" w:hAnsi="Cambria Math"/>
                <w:noProof/>
              </w:rPr>
              <m:t>AverageNotionalAmount</m:t>
            </m:r>
          </m:e>
          <m:sub>
            <m:r>
              <w:rPr>
                <w:rFonts w:ascii="Cambria Math" w:hAnsi="Cambria Math"/>
                <w:noProof/>
              </w:rPr>
              <m:t>Total</m:t>
            </m:r>
          </m:sub>
        </m:sSub>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n</m:t>
            </m:r>
          </m:sub>
          <m:sup/>
          <m:e>
            <m:sSub>
              <m:sSubPr>
                <m:ctrlPr>
                  <w:rPr>
                    <w:rFonts w:ascii="Cambria Math" w:hAnsi="Cambria Math"/>
                    <w:noProof/>
                  </w:rPr>
                </m:ctrlPr>
              </m:sSubPr>
              <m:e>
                <m:r>
                  <w:rPr>
                    <w:rFonts w:ascii="Cambria Math" w:hAnsi="Cambria Math"/>
                    <w:noProof/>
                  </w:rPr>
                  <m:t>AverageNotion</m:t>
                </m:r>
                <m:r>
                  <w:rPr>
                    <w:rFonts w:ascii="Cambria Math" w:hAnsi="Cambria Math"/>
                    <w:noProof/>
                  </w:rPr>
                  <m:t>alAmount</m:t>
                </m:r>
              </m:e>
              <m:sub>
                <m:r>
                  <w:rPr>
                    <w:rFonts w:ascii="Cambria Math" w:hAnsi="Cambria Math"/>
                    <w:noProof/>
                  </w:rPr>
                  <m:t>n</m:t>
                </m:r>
              </m:sub>
            </m:sSub>
          </m:e>
        </m:nary>
      </m:oMath>
      <w:r w:rsidR="006A548F" w:rsidRPr="006A548F">
        <w:rPr>
          <w:noProof/>
        </w:rPr>
        <w:t>.</w:t>
      </w:r>
    </w:p>
    <w:p w14:paraId="2B25E9F3" w14:textId="77777777" w:rsidR="008B6DE7" w:rsidRPr="006A548F" w:rsidRDefault="008B6DE7" w:rsidP="008B6DE7">
      <w:pPr>
        <w:pStyle w:val="ManualNumPar1"/>
        <w:tabs>
          <w:tab w:val="left" w:pos="567"/>
        </w:tabs>
        <w:ind w:left="0" w:firstLine="0"/>
        <w:rPr>
          <w:noProof/>
        </w:rPr>
      </w:pPr>
      <w:r>
        <w:rPr>
          <w:noProof/>
        </w:rPr>
        <w:t>2.</w:t>
      </w:r>
      <w:r>
        <w:rPr>
          <w:noProof/>
        </w:rPr>
        <w:tab/>
      </w:r>
      <w:r w:rsidRPr="006A548F">
        <w:rPr>
          <w:noProof/>
        </w:rPr>
        <w:t xml:space="preserve">Darījuma partneris, uz kuru attiecas prasība iesniegt pieteikumu apstiprinājumam pēc EBI gatavības datuma izmantot </w:t>
      </w:r>
      <w:r w:rsidRPr="006A548F">
        <w:rPr>
          <w:i/>
          <w:noProof/>
        </w:rPr>
        <w:t>pro forma</w:t>
      </w:r>
      <w:r w:rsidRPr="006A548F">
        <w:rPr>
          <w:noProof/>
        </w:rPr>
        <w:t xml:space="preserve"> modeli, kas jau ticis izmantots pirms 2024. gada 24. decembra, nemaksā nekādu maksu par attiecīgo gadu.</w:t>
      </w:r>
    </w:p>
    <w:p w14:paraId="688CE478" w14:textId="77777777" w:rsidR="008B6DE7" w:rsidRPr="006A548F" w:rsidRDefault="008B6DE7" w:rsidP="008B6DE7">
      <w:pPr>
        <w:pStyle w:val="Titrearticle"/>
        <w:rPr>
          <w:b/>
          <w:i w:val="0"/>
          <w:noProof/>
          <w:szCs w:val="24"/>
        </w:rPr>
      </w:pPr>
      <w:r w:rsidRPr="006A548F">
        <w:rPr>
          <w:noProof/>
        </w:rPr>
        <w:lastRenderedPageBreak/>
        <w:t xml:space="preserve">6. pants </w:t>
      </w:r>
      <w:r w:rsidRPr="006A548F">
        <w:rPr>
          <w:noProof/>
        </w:rPr>
        <w:br/>
      </w:r>
      <w:r w:rsidRPr="006A548F">
        <w:rPr>
          <w:b/>
          <w:i w:val="0"/>
          <w:noProof/>
        </w:rPr>
        <w:t xml:space="preserve">Gada maksa par tāda </w:t>
      </w:r>
      <w:r w:rsidRPr="006A548F">
        <w:rPr>
          <w:b/>
          <w:noProof/>
        </w:rPr>
        <w:t>pro forma</w:t>
      </w:r>
      <w:r w:rsidRPr="006A548F">
        <w:rPr>
          <w:b/>
          <w:i w:val="0"/>
          <w:noProof/>
        </w:rPr>
        <w:t xml:space="preserve"> modeļa apstiprināšanu, kas nav ticis izmantots pirms 2024. gada 24. decembra</w:t>
      </w:r>
    </w:p>
    <w:p w14:paraId="0025BD98" w14:textId="77777777" w:rsidR="008B6DE7" w:rsidRPr="006A548F" w:rsidRDefault="008B6DE7" w:rsidP="008B6DE7">
      <w:pPr>
        <w:pStyle w:val="ManualNumPar1"/>
        <w:tabs>
          <w:tab w:val="left" w:pos="567"/>
        </w:tabs>
        <w:ind w:left="0" w:firstLine="0"/>
        <w:rPr>
          <w:noProof/>
        </w:rPr>
      </w:pPr>
      <w:r>
        <w:rPr>
          <w:noProof/>
        </w:rPr>
        <w:t>1.</w:t>
      </w:r>
      <w:r>
        <w:rPr>
          <w:noProof/>
        </w:rPr>
        <w:tab/>
      </w:r>
      <w:r w:rsidRPr="006A548F">
        <w:rPr>
          <w:noProof/>
        </w:rPr>
        <w:t xml:space="preserve">Katrs darījuma partneris, kas iesniedz pieteikumu tāda </w:t>
      </w:r>
      <w:r w:rsidRPr="006A548F">
        <w:rPr>
          <w:i/>
          <w:noProof/>
        </w:rPr>
        <w:t>pro forma</w:t>
      </w:r>
      <w:r w:rsidRPr="006A548F">
        <w:rPr>
          <w:noProof/>
        </w:rPr>
        <w:t xml:space="preserve"> modeļa apstiprināšanai saskaņā ar Regulas (ES) Nr. 648/2012 11. panta 3. punkta ceturto daļu, kurš nav ticis izmantots pirms 2024. gada 24. decembra, maksā EBI šādu maksu:</w:t>
      </w:r>
    </w:p>
    <w:p w14:paraId="42E71635" w14:textId="77777777" w:rsidR="008B6DE7" w:rsidRPr="006A548F" w:rsidRDefault="00E81D8A" w:rsidP="008B6DE7">
      <w:pPr>
        <w:tabs>
          <w:tab w:val="left" w:pos="567"/>
        </w:tabs>
        <w:rPr>
          <w:noProof/>
        </w:rPr>
      </w:pPr>
      <m:oMathPara>
        <m:oMath>
          <m:sSub>
            <m:sSubPr>
              <m:ctrlPr>
                <w:rPr>
                  <w:rFonts w:ascii="Cambria Math" w:hAnsi="Cambria Math"/>
                  <w:noProof/>
                </w:rPr>
              </m:ctrlPr>
            </m:sSubPr>
            <m:e>
              <m:r>
                <w:rPr>
                  <w:rFonts w:ascii="Cambria Math" w:hAnsi="Cambria Math"/>
                  <w:noProof/>
                </w:rPr>
                <m:t>Fee</m:t>
              </m:r>
            </m:e>
            <m:sub>
              <m:r>
                <w:rPr>
                  <w:rFonts w:ascii="Cambria Math" w:hAnsi="Cambria Math"/>
                  <w:noProof/>
                </w:rPr>
                <m:t>n</m:t>
              </m:r>
            </m:sub>
          </m:sSub>
          <m:r>
            <m:rPr>
              <m:sty m:val="p"/>
            </m:rPr>
            <w:rPr>
              <w:rFonts w:ascii="Cambria Math" w:hAnsi="Cambria Math"/>
              <w:noProof/>
            </w:rPr>
            <m:t>=</m:t>
          </m:r>
          <m:f>
            <m:fPr>
              <m:ctrlPr>
                <w:rPr>
                  <w:rFonts w:ascii="Cambria Math" w:hAnsi="Cambria Math"/>
                  <w:noProof/>
                </w:rPr>
              </m:ctrlPr>
            </m:fPr>
            <m:num>
              <m:r>
                <w:rPr>
                  <w:rFonts w:ascii="Cambria Math" w:hAnsi="Cambria Math"/>
                  <w:noProof/>
                </w:rPr>
                <m:t>EUR</m:t>
              </m:r>
              <m:r>
                <m:rPr>
                  <m:sty m:val="p"/>
                </m:rPr>
                <w:rPr>
                  <w:rFonts w:ascii="Cambria Math" w:hAnsi="Cambria Math"/>
                  <w:noProof/>
                </w:rPr>
                <m:t xml:space="preserve"> 500 000</m:t>
              </m:r>
            </m:num>
            <m:den>
              <m:r>
                <w:rPr>
                  <w:rFonts w:ascii="Cambria Math" w:hAnsi="Cambria Math"/>
                  <w:noProof/>
                </w:rPr>
                <m:t>Totalnumberofcounterparties</m:t>
              </m:r>
            </m:den>
          </m:f>
        </m:oMath>
      </m:oMathPara>
    </w:p>
    <w:p w14:paraId="364BCC9E" w14:textId="77777777" w:rsidR="008B6DE7" w:rsidRPr="006A548F" w:rsidRDefault="008B6DE7" w:rsidP="008B6DE7">
      <w:pPr>
        <w:tabs>
          <w:tab w:val="left" w:pos="567"/>
        </w:tabs>
        <w:rPr>
          <w:noProof/>
        </w:rPr>
      </w:pPr>
      <w:r w:rsidRPr="006A548F">
        <w:rPr>
          <w:noProof/>
        </w:rPr>
        <w:t>kur:</w:t>
      </w:r>
    </w:p>
    <w:p w14:paraId="14F597B4" w14:textId="77777777" w:rsidR="008B6DE7" w:rsidRPr="006A548F" w:rsidRDefault="008B6DE7" w:rsidP="008B6DE7">
      <w:pPr>
        <w:pStyle w:val="Bullet1"/>
        <w:numPr>
          <w:ilvl w:val="0"/>
          <w:numId w:val="9"/>
        </w:numPr>
        <w:tabs>
          <w:tab w:val="clear" w:pos="1417"/>
        </w:tabs>
        <w:ind w:left="567"/>
        <w:rPr>
          <w:noProof/>
        </w:rPr>
      </w:pPr>
      <m:oMath>
        <m:r>
          <w:rPr>
            <w:rStyle w:val="Marker"/>
            <w:rFonts w:ascii="Cambria Math" w:hAnsi="Cambria Math"/>
            <w:noProof/>
            <w:color w:val="auto"/>
          </w:rPr>
          <m:t>n</m:t>
        </m:r>
      </m:oMath>
      <w:r w:rsidRPr="006A548F">
        <w:rPr>
          <w:noProof/>
        </w:rPr>
        <w:t xml:space="preserve"> = indekss, kas apzīmē darījuma partneri, kurš iesniedz pieteikumu apstiprinājumam izmantot </w:t>
      </w:r>
      <w:r w:rsidRPr="006A548F">
        <w:rPr>
          <w:i/>
          <w:noProof/>
        </w:rPr>
        <w:t>pro forma</w:t>
      </w:r>
      <w:r w:rsidRPr="006A548F">
        <w:rPr>
          <w:noProof/>
        </w:rPr>
        <w:t xml:space="preserve"> modeli;</w:t>
      </w:r>
    </w:p>
    <w:p w14:paraId="2CC980C0" w14:textId="77777777" w:rsidR="008B6DE7" w:rsidRPr="006A548F" w:rsidRDefault="008B6DE7" w:rsidP="008B6DE7">
      <w:pPr>
        <w:pStyle w:val="Bullet1"/>
        <w:numPr>
          <w:ilvl w:val="0"/>
          <w:numId w:val="9"/>
        </w:numPr>
        <w:tabs>
          <w:tab w:val="clear" w:pos="1417"/>
        </w:tabs>
        <w:ind w:left="567"/>
        <w:rPr>
          <w:noProof/>
        </w:rPr>
      </w:pPr>
      <m:oMath>
        <m:r>
          <w:rPr>
            <w:rStyle w:val="Marker"/>
            <w:rFonts w:ascii="Cambria Math" w:hAnsi="Cambria Math"/>
            <w:noProof/>
            <w:color w:val="auto"/>
          </w:rPr>
          <m:t>Total number of counterparties</m:t>
        </m:r>
      </m:oMath>
      <w:r w:rsidRPr="006A548F">
        <w:rPr>
          <w:noProof/>
        </w:rPr>
        <w:t xml:space="preserve"> = to darījuma partneru skaits, kuri līdz attiecīgā gada 31. jūlijam iesniedz pieteikumu jaunā </w:t>
      </w:r>
      <w:r w:rsidRPr="006A548F">
        <w:rPr>
          <w:i/>
          <w:noProof/>
        </w:rPr>
        <w:t>pro forma</w:t>
      </w:r>
      <w:r w:rsidRPr="006A548F">
        <w:rPr>
          <w:noProof/>
        </w:rPr>
        <w:t xml:space="preserve"> modeļa izmantošanai.</w:t>
      </w:r>
    </w:p>
    <w:p w14:paraId="495D0D9B" w14:textId="77777777" w:rsidR="008B6DE7" w:rsidRPr="006A548F" w:rsidRDefault="008B6DE7" w:rsidP="008B6DE7">
      <w:pPr>
        <w:pStyle w:val="ManualNumPar1"/>
        <w:tabs>
          <w:tab w:val="left" w:pos="567"/>
        </w:tabs>
        <w:ind w:left="0" w:firstLine="0"/>
        <w:rPr>
          <w:noProof/>
        </w:rPr>
      </w:pPr>
      <w:r>
        <w:rPr>
          <w:noProof/>
        </w:rPr>
        <w:t>2.</w:t>
      </w:r>
      <w:r>
        <w:rPr>
          <w:noProof/>
        </w:rPr>
        <w:tab/>
      </w:r>
      <w:r w:rsidRPr="006A548F">
        <w:rPr>
          <w:noProof/>
        </w:rPr>
        <w:t xml:space="preserve">Ja Regulas (ES) Nr. 648/2012 11. panta 12.a punkta otrajā daļā noteiktais sešu mēnešu apstiprināšanas periods beidzas nākamajā gadā pēc gada, kurā saņemts pirmais pieteikums jaunā </w:t>
      </w:r>
      <w:r w:rsidRPr="006A548F">
        <w:rPr>
          <w:i/>
          <w:noProof/>
        </w:rPr>
        <w:t>pro forma</w:t>
      </w:r>
      <w:r w:rsidRPr="006A548F">
        <w:rPr>
          <w:noProof/>
        </w:rPr>
        <w:t xml:space="preserve"> modeļa sākotnējai apstiprināšanai (“nākamais gads”), EBI var izvēlēties turpināt piemērot 1. punktā noteikto formulu maksu aprēķināšanai par minēto nākamo gadu.</w:t>
      </w:r>
    </w:p>
    <w:p w14:paraId="11DFD492" w14:textId="77777777" w:rsidR="008B6DE7" w:rsidRPr="006A548F" w:rsidRDefault="008B6DE7" w:rsidP="008B6DE7">
      <w:pPr>
        <w:pStyle w:val="Text1"/>
        <w:tabs>
          <w:tab w:val="left" w:pos="567"/>
        </w:tabs>
        <w:ind w:left="0"/>
        <w:rPr>
          <w:noProof/>
        </w:rPr>
      </w:pPr>
      <w:r w:rsidRPr="006A548F">
        <w:rPr>
          <w:noProof/>
        </w:rPr>
        <w:t>Ja EBI izmanto pirmajā daļā minēto iespēju, tā to darījumu partneru skaitu, kuri izmanto</w:t>
      </w:r>
      <w:r w:rsidRPr="006A548F">
        <w:rPr>
          <w:i/>
          <w:noProof/>
        </w:rPr>
        <w:t xml:space="preserve"> pro forma</w:t>
      </w:r>
      <w:r w:rsidRPr="006A548F">
        <w:rPr>
          <w:noProof/>
        </w:rPr>
        <w:t xml:space="preserve"> modeli vai ir iesnieguši pieteikumu apstiprinājumam to izmantot, līdz nākamā gada 31. jūlijam izmanto kā “darījumu partneru kopskaitu” 1. punktā noteiktajā formulā.</w:t>
      </w:r>
    </w:p>
    <w:p w14:paraId="52EA8FAC" w14:textId="77777777" w:rsidR="008B6DE7" w:rsidRPr="006A548F" w:rsidRDefault="008B6DE7" w:rsidP="008B6DE7">
      <w:pPr>
        <w:pStyle w:val="ManualNumPar1"/>
        <w:tabs>
          <w:tab w:val="left" w:pos="567"/>
        </w:tabs>
        <w:ind w:left="0" w:firstLine="0"/>
        <w:rPr>
          <w:noProof/>
        </w:rPr>
      </w:pPr>
      <w:r>
        <w:rPr>
          <w:noProof/>
        </w:rPr>
        <w:t>3.</w:t>
      </w:r>
      <w:r>
        <w:rPr>
          <w:noProof/>
        </w:rPr>
        <w:tab/>
      </w:r>
      <w:r w:rsidRPr="006A548F">
        <w:rPr>
          <w:noProof/>
        </w:rPr>
        <w:t xml:space="preserve">EBI var nolemt neiekasēt šā panta 1. punktā minēto maksu par gadu, kurā saņemts pirmais </w:t>
      </w:r>
      <w:r w:rsidRPr="006A548F">
        <w:rPr>
          <w:i/>
          <w:noProof/>
        </w:rPr>
        <w:t>pro forma</w:t>
      </w:r>
      <w:r w:rsidRPr="006A548F">
        <w:rPr>
          <w:noProof/>
        </w:rPr>
        <w:t xml:space="preserve"> modeļa apstiprinājuma pieteikums, ja praksē nebūtu iespējams iekasēt maksu 7. pantā noteiktajā veidā.</w:t>
      </w:r>
    </w:p>
    <w:p w14:paraId="0B96A0E4" w14:textId="77777777" w:rsidR="008B6DE7" w:rsidRPr="006A548F" w:rsidRDefault="008B6DE7" w:rsidP="008B6DE7">
      <w:pPr>
        <w:pStyle w:val="ManualNumPar1"/>
        <w:tabs>
          <w:tab w:val="left" w:pos="567"/>
        </w:tabs>
        <w:ind w:left="0" w:firstLine="0"/>
        <w:rPr>
          <w:noProof/>
        </w:rPr>
      </w:pPr>
      <w:r>
        <w:rPr>
          <w:noProof/>
        </w:rPr>
        <w:t>4.</w:t>
      </w:r>
      <w:r>
        <w:rPr>
          <w:noProof/>
        </w:rPr>
        <w:tab/>
      </w:r>
      <w:r w:rsidRPr="006A548F">
        <w:rPr>
          <w:noProof/>
        </w:rPr>
        <w:t xml:space="preserve">Ja darījuma partneris izmanto vairākus </w:t>
      </w:r>
      <w:r w:rsidRPr="006A548F">
        <w:rPr>
          <w:i/>
          <w:noProof/>
        </w:rPr>
        <w:t>pro forma</w:t>
      </w:r>
      <w:r w:rsidRPr="006A548F">
        <w:rPr>
          <w:noProof/>
        </w:rPr>
        <w:t xml:space="preserve"> modeļus, saskaņā ar šā panta 1. un 2. punktu aprēķināto maksu par </w:t>
      </w:r>
      <w:r w:rsidRPr="006A548F">
        <w:rPr>
          <w:i/>
          <w:noProof/>
        </w:rPr>
        <w:t>pro forma</w:t>
      </w:r>
      <w:r w:rsidRPr="006A548F">
        <w:rPr>
          <w:noProof/>
        </w:rPr>
        <w:t xml:space="preserve"> modeli, uz kuru attiecas sākotnējā apstiprināšana, maksā papildus saskaņā ar 4. pantu noteiktajai maksai par visiem pārējiem darījuma partnera izmantotajiem </w:t>
      </w:r>
      <w:r w:rsidRPr="006A548F">
        <w:rPr>
          <w:i/>
          <w:noProof/>
        </w:rPr>
        <w:t>pro forma</w:t>
      </w:r>
      <w:r w:rsidRPr="006A548F">
        <w:rPr>
          <w:noProof/>
        </w:rPr>
        <w:t xml:space="preserve"> modeļiem.</w:t>
      </w:r>
    </w:p>
    <w:p w14:paraId="2CA6F16B" w14:textId="77777777" w:rsidR="008B6DE7" w:rsidRPr="006A548F" w:rsidRDefault="008B6DE7" w:rsidP="008B6DE7">
      <w:pPr>
        <w:pStyle w:val="ManualNumPar1"/>
        <w:tabs>
          <w:tab w:val="left" w:pos="567"/>
        </w:tabs>
        <w:ind w:left="0" w:firstLine="0"/>
        <w:rPr>
          <w:noProof/>
        </w:rPr>
      </w:pPr>
      <w:r>
        <w:rPr>
          <w:noProof/>
        </w:rPr>
        <w:t>5.</w:t>
      </w:r>
      <w:r>
        <w:rPr>
          <w:noProof/>
        </w:rPr>
        <w:tab/>
      </w:r>
      <w:r w:rsidRPr="006A548F">
        <w:rPr>
          <w:noProof/>
        </w:rPr>
        <w:t xml:space="preserve">Atkāpjoties no šā panta 1. punkta, EBI attiecībā uz maksu, kas aprēķināta saskaņā ar šo pantu, var palielināt minētajā punktā noteiktajā formulā norādītos 500 000 EUR līdz summai, kas vienāda ar kopējām izmaksām, kuras </w:t>
      </w:r>
      <w:r w:rsidRPr="006A548F">
        <w:rPr>
          <w:i/>
          <w:noProof/>
        </w:rPr>
        <w:t>pro forma</w:t>
      </w:r>
      <w:r w:rsidRPr="006A548F">
        <w:rPr>
          <w:noProof/>
        </w:rPr>
        <w:t xml:space="preserve"> modelim aplēstas saskaņā ar 2. pantu.</w:t>
      </w:r>
    </w:p>
    <w:p w14:paraId="1B885E41" w14:textId="77777777" w:rsidR="008B6DE7" w:rsidRPr="006A548F" w:rsidRDefault="008B6DE7" w:rsidP="008B6DE7">
      <w:pPr>
        <w:pStyle w:val="Titrearticle"/>
        <w:rPr>
          <w:b/>
          <w:i w:val="0"/>
          <w:noProof/>
          <w:szCs w:val="24"/>
        </w:rPr>
      </w:pPr>
      <w:r w:rsidRPr="006A548F">
        <w:rPr>
          <w:noProof/>
        </w:rPr>
        <w:t xml:space="preserve">7. pants </w:t>
      </w:r>
      <w:r w:rsidRPr="006A548F">
        <w:rPr>
          <w:noProof/>
        </w:rPr>
        <w:br/>
      </w:r>
      <w:r w:rsidRPr="006A548F">
        <w:rPr>
          <w:b/>
          <w:i w:val="0"/>
          <w:noProof/>
        </w:rPr>
        <w:t>Apstiprināšanas gada maksu maksāšana</w:t>
      </w:r>
    </w:p>
    <w:p w14:paraId="5994A8EC" w14:textId="77777777" w:rsidR="008B6DE7" w:rsidRPr="006A548F" w:rsidRDefault="008B6DE7" w:rsidP="008B6DE7">
      <w:pPr>
        <w:pStyle w:val="ManualNumPar1"/>
        <w:tabs>
          <w:tab w:val="left" w:pos="567"/>
        </w:tabs>
        <w:ind w:left="0" w:firstLine="0"/>
        <w:rPr>
          <w:noProof/>
        </w:rPr>
      </w:pPr>
      <w:r>
        <w:rPr>
          <w:noProof/>
        </w:rPr>
        <w:t>1.</w:t>
      </w:r>
      <w:r>
        <w:rPr>
          <w:noProof/>
        </w:rPr>
        <w:tab/>
      </w:r>
      <w:r w:rsidRPr="006A548F">
        <w:rPr>
          <w:noProof/>
        </w:rPr>
        <w:t xml:space="preserve">Darījumu partneriem, uz kuriem attiecas pienākums attiecīgajā gadā saņemt to </w:t>
      </w:r>
      <w:r w:rsidRPr="006A548F">
        <w:rPr>
          <w:i/>
          <w:noProof/>
        </w:rPr>
        <w:t>pro forma</w:t>
      </w:r>
      <w:r w:rsidRPr="006A548F">
        <w:rPr>
          <w:noProof/>
        </w:rPr>
        <w:t xml:space="preserve"> modeļu apstiprinājumu, EBI attiecīgajā kalendārajā gadā izraksta rēķinu par attiecīgi 4., 5. un 6. pantā minētajām maksām.</w:t>
      </w:r>
    </w:p>
    <w:p w14:paraId="37214040" w14:textId="77777777" w:rsidR="008B6DE7" w:rsidRPr="006A548F" w:rsidRDefault="008B6DE7" w:rsidP="008B6DE7">
      <w:pPr>
        <w:pStyle w:val="ManualNumPar1"/>
        <w:tabs>
          <w:tab w:val="left" w:pos="567"/>
        </w:tabs>
        <w:ind w:left="0" w:firstLine="0"/>
        <w:rPr>
          <w:noProof/>
        </w:rPr>
      </w:pPr>
      <w:r>
        <w:rPr>
          <w:noProof/>
        </w:rPr>
        <w:t>2.</w:t>
      </w:r>
      <w:r>
        <w:rPr>
          <w:noProof/>
        </w:rPr>
        <w:tab/>
      </w:r>
      <w:r w:rsidRPr="006A548F">
        <w:rPr>
          <w:noProof/>
        </w:rPr>
        <w:t>Maksājuma termiņš ir 45 kalendārās dienas no debitoru parāda reģistrēšanas EBI pārskatos. Šīs maksas maksājamas euro.</w:t>
      </w:r>
    </w:p>
    <w:p w14:paraId="11AA9AEA" w14:textId="77777777" w:rsidR="008B6DE7" w:rsidRPr="006A548F" w:rsidRDefault="008B6DE7" w:rsidP="008B6DE7">
      <w:pPr>
        <w:pStyle w:val="ManualNumPar1"/>
        <w:tabs>
          <w:tab w:val="left" w:pos="567"/>
        </w:tabs>
        <w:ind w:left="0" w:firstLine="0"/>
        <w:rPr>
          <w:noProof/>
        </w:rPr>
      </w:pPr>
      <w:r>
        <w:rPr>
          <w:noProof/>
        </w:rPr>
        <w:lastRenderedPageBreak/>
        <w:t>3.</w:t>
      </w:r>
      <w:r>
        <w:rPr>
          <w:noProof/>
        </w:rPr>
        <w:tab/>
      </w:r>
      <w:r w:rsidRPr="006A548F">
        <w:rPr>
          <w:noProof/>
        </w:rPr>
        <w:t>Nokavētiem maksājumiem piemēro Eiropas Parlamenta un Padomes Regulas (ES, Euratom) 2024/2509</w:t>
      </w:r>
      <w:r w:rsidRPr="006A548F">
        <w:rPr>
          <w:rStyle w:val="FootnoteReference"/>
          <w:noProof/>
        </w:rPr>
        <w:footnoteReference w:id="6"/>
      </w:r>
      <w:r w:rsidRPr="006A548F">
        <w:rPr>
          <w:noProof/>
        </w:rPr>
        <w:t xml:space="preserve"> 99. pantā noteiktos kavējuma procentus.</w:t>
      </w:r>
    </w:p>
    <w:p w14:paraId="5905B74E" w14:textId="77777777" w:rsidR="008B6DE7" w:rsidRPr="006A548F" w:rsidRDefault="008B6DE7" w:rsidP="008B6DE7">
      <w:pPr>
        <w:pStyle w:val="ManualNumPar1"/>
        <w:tabs>
          <w:tab w:val="left" w:pos="567"/>
        </w:tabs>
        <w:ind w:left="0" w:firstLine="0"/>
        <w:rPr>
          <w:noProof/>
        </w:rPr>
      </w:pPr>
      <w:r>
        <w:rPr>
          <w:noProof/>
        </w:rPr>
        <w:t>4.</w:t>
      </w:r>
      <w:r>
        <w:rPr>
          <w:noProof/>
        </w:rPr>
        <w:tab/>
      </w:r>
      <w:r w:rsidRPr="006A548F">
        <w:rPr>
          <w:noProof/>
        </w:rPr>
        <w:t>Saziņa starp EBI un šā panta 1. punktā minētajiem darījumu partneriem notiek, izmantojot centrālo datubāzi, ko EVTI izveidojusi saskaņā ar Regulas (ES) Nr. 648/2012 17.c pantu, vai jebkādus citus elektroniskos līdzekļus, ja minētā centrālā datubāze nav pieejama.</w:t>
      </w:r>
    </w:p>
    <w:p w14:paraId="4B56234C" w14:textId="77777777" w:rsidR="008B6DE7" w:rsidRPr="006A548F" w:rsidRDefault="008B6DE7" w:rsidP="008B6DE7">
      <w:pPr>
        <w:pStyle w:val="Titrearticle"/>
        <w:rPr>
          <w:b/>
          <w:i w:val="0"/>
          <w:noProof/>
          <w:szCs w:val="24"/>
        </w:rPr>
      </w:pPr>
      <w:r w:rsidRPr="006A548F">
        <w:rPr>
          <w:noProof/>
        </w:rPr>
        <w:t xml:space="preserve">8. pants </w:t>
      </w:r>
      <w:r w:rsidRPr="006A548F">
        <w:rPr>
          <w:noProof/>
        </w:rPr>
        <w:br/>
      </w:r>
      <w:r w:rsidRPr="006A548F">
        <w:rPr>
          <w:b/>
          <w:i w:val="0"/>
          <w:noProof/>
        </w:rPr>
        <w:t>EBI paziņojamā informācija</w:t>
      </w:r>
    </w:p>
    <w:p w14:paraId="4294ED08" w14:textId="77777777" w:rsidR="008B6DE7" w:rsidRPr="006A548F" w:rsidRDefault="008B6DE7" w:rsidP="0064679F">
      <w:pPr>
        <w:pStyle w:val="ManualNumPar1"/>
        <w:tabs>
          <w:tab w:val="left" w:pos="567"/>
        </w:tabs>
        <w:ind w:left="0" w:firstLine="0"/>
        <w:rPr>
          <w:noProof/>
        </w:rPr>
      </w:pPr>
      <w:r>
        <w:rPr>
          <w:noProof/>
        </w:rPr>
        <w:t>1.</w:t>
      </w:r>
      <w:r>
        <w:rPr>
          <w:noProof/>
        </w:rPr>
        <w:tab/>
      </w:r>
      <w:r w:rsidRPr="006A548F">
        <w:rPr>
          <w:noProof/>
        </w:rPr>
        <w:t xml:space="preserve">Katru gadu darījumu partneri, kas izmanto apstiprinātu </w:t>
      </w:r>
      <w:r w:rsidRPr="006A548F">
        <w:rPr>
          <w:i/>
          <w:noProof/>
        </w:rPr>
        <w:t>pro forma</w:t>
      </w:r>
      <w:r w:rsidRPr="006A548F">
        <w:rPr>
          <w:noProof/>
        </w:rPr>
        <w:t xml:space="preserve"> modeli vai iesniedz pieteikumu </w:t>
      </w:r>
      <w:r w:rsidRPr="006A548F">
        <w:rPr>
          <w:i/>
          <w:noProof/>
        </w:rPr>
        <w:t>pro forma</w:t>
      </w:r>
      <w:r w:rsidRPr="006A548F">
        <w:rPr>
          <w:noProof/>
        </w:rPr>
        <w:t xml:space="preserve"> modeļu apstiprināšanai, iesniedz EBI visus elementus, kas vajadzīgi, lai aprēķinātu attiecīgi 4., 5. un 6. pantā minētās maksas, tostarp informāciju par 3. pantā minēto vidējo nosacīto summu un darījuma partnera finanšu informāciju, kas nepieciešama norēķinu procesam.</w:t>
      </w:r>
    </w:p>
    <w:p w14:paraId="66561E40" w14:textId="77777777" w:rsidR="008B6DE7" w:rsidRPr="006A548F" w:rsidRDefault="008B6DE7" w:rsidP="0064679F">
      <w:pPr>
        <w:pStyle w:val="ManualNumPar1"/>
        <w:tabs>
          <w:tab w:val="left" w:pos="567"/>
        </w:tabs>
        <w:ind w:left="0" w:firstLine="0"/>
        <w:rPr>
          <w:noProof/>
        </w:rPr>
      </w:pPr>
      <w:r>
        <w:rPr>
          <w:noProof/>
        </w:rPr>
        <w:t>2.</w:t>
      </w:r>
      <w:r>
        <w:rPr>
          <w:noProof/>
        </w:rPr>
        <w:tab/>
      </w:r>
      <w:r w:rsidRPr="006A548F">
        <w:rPr>
          <w:noProof/>
        </w:rPr>
        <w:t>Šā panta 1. punkta vajadzībām piemēro turpmāk minēto:</w:t>
      </w:r>
    </w:p>
    <w:p w14:paraId="10D36EFF" w14:textId="77777777" w:rsidR="008B6DE7" w:rsidRPr="006A548F" w:rsidRDefault="008B6DE7" w:rsidP="0064679F">
      <w:pPr>
        <w:pStyle w:val="Point0"/>
        <w:rPr>
          <w:noProof/>
        </w:rPr>
      </w:pPr>
      <w:r>
        <w:rPr>
          <w:noProof/>
        </w:rPr>
        <w:t>(a)</w:t>
      </w:r>
      <w:r>
        <w:rPr>
          <w:noProof/>
        </w:rPr>
        <w:tab/>
      </w:r>
      <w:r w:rsidRPr="006A548F">
        <w:rPr>
          <w:noProof/>
        </w:rPr>
        <w:t>par EBI gatavības datuma gadu EBI apkopo elementus, kas vajadzīgi, lai:</w:t>
      </w:r>
    </w:p>
    <w:p w14:paraId="1A55D5C6" w14:textId="77777777" w:rsidR="008B6DE7" w:rsidRPr="006A548F" w:rsidRDefault="008B6DE7" w:rsidP="008B6DE7">
      <w:pPr>
        <w:pStyle w:val="Text1"/>
        <w:rPr>
          <w:noProof/>
        </w:rPr>
      </w:pPr>
      <w:r w:rsidRPr="006A548F">
        <w:rPr>
          <w:noProof/>
        </w:rPr>
        <w:t>i)</w:t>
      </w:r>
      <w:r w:rsidRPr="006A548F">
        <w:rPr>
          <w:noProof/>
        </w:rPr>
        <w:tab/>
        <w:t>aprēķinātu 5. pantā minētās maksas;</w:t>
      </w:r>
    </w:p>
    <w:p w14:paraId="69F6DC0D" w14:textId="77777777" w:rsidR="008B6DE7" w:rsidRPr="006A548F" w:rsidRDefault="008B6DE7" w:rsidP="008B6DE7">
      <w:pPr>
        <w:pStyle w:val="Text1"/>
        <w:rPr>
          <w:noProof/>
        </w:rPr>
      </w:pPr>
      <w:r w:rsidRPr="006A548F">
        <w:rPr>
          <w:noProof/>
        </w:rPr>
        <w:t>ii)</w:t>
      </w:r>
      <w:r w:rsidRPr="006A548F">
        <w:rPr>
          <w:noProof/>
        </w:rPr>
        <w:tab/>
        <w:t>izrakstītu rēķinus ne vēlāk kā tā paša gada 31. oktobrī;</w:t>
      </w:r>
    </w:p>
    <w:p w14:paraId="3E64D7BB" w14:textId="77777777" w:rsidR="008B6DE7" w:rsidRPr="006A548F" w:rsidRDefault="008B6DE7" w:rsidP="0064679F">
      <w:pPr>
        <w:pStyle w:val="Point0"/>
        <w:rPr>
          <w:noProof/>
        </w:rPr>
      </w:pPr>
      <w:r>
        <w:rPr>
          <w:noProof/>
        </w:rPr>
        <w:t>(b)</w:t>
      </w:r>
      <w:r>
        <w:rPr>
          <w:noProof/>
        </w:rPr>
        <w:tab/>
      </w:r>
      <w:r w:rsidRPr="006A548F">
        <w:rPr>
          <w:noProof/>
        </w:rPr>
        <w:t>attiecībā uz gadiem pēc EBI gatavības datuma šā panta 1. punktā minētie darījumu partneri līdz 31. martam paziņo EBI elementus, kas vajadzīgi, lai aprēķinātu attiecīgi 4. un 5. pantā minētās maksas;</w:t>
      </w:r>
    </w:p>
    <w:p w14:paraId="3DB5082F" w14:textId="77777777" w:rsidR="008B6DE7" w:rsidRPr="006A548F" w:rsidRDefault="008B6DE7" w:rsidP="0064679F">
      <w:pPr>
        <w:pStyle w:val="Point0"/>
        <w:rPr>
          <w:noProof/>
        </w:rPr>
      </w:pPr>
      <w:r>
        <w:rPr>
          <w:noProof/>
        </w:rPr>
        <w:t>(c)</w:t>
      </w:r>
      <w:r>
        <w:rPr>
          <w:noProof/>
        </w:rPr>
        <w:tab/>
      </w:r>
      <w:r w:rsidRPr="006A548F">
        <w:rPr>
          <w:noProof/>
        </w:rPr>
        <w:t>attiecībā uz 6. pantā minētajām maksām EBI vāc informāciju, lai aprēķinātu minētās maksas, un līdz piemērotam datumam izraksta attiecīgos rēķinus, ņemot vērā 7. panta noteikumus.</w:t>
      </w:r>
    </w:p>
    <w:p w14:paraId="6507D873" w14:textId="77777777" w:rsidR="008B6DE7" w:rsidRPr="006A548F" w:rsidRDefault="008B6DE7" w:rsidP="008B6DE7">
      <w:pPr>
        <w:pStyle w:val="Titrearticle"/>
        <w:rPr>
          <w:noProof/>
        </w:rPr>
      </w:pPr>
      <w:r w:rsidRPr="006A548F">
        <w:rPr>
          <w:noProof/>
        </w:rPr>
        <w:t xml:space="preserve">9. pants </w:t>
      </w:r>
      <w:r w:rsidRPr="006A548F">
        <w:rPr>
          <w:noProof/>
        </w:rPr>
        <w:br/>
      </w:r>
      <w:r w:rsidRPr="006A548F">
        <w:rPr>
          <w:b/>
          <w:i w:val="0"/>
          <w:noProof/>
        </w:rPr>
        <w:t>Stāšanās spēkā</w:t>
      </w:r>
    </w:p>
    <w:p w14:paraId="7907AAC3" w14:textId="77777777" w:rsidR="008B6DE7" w:rsidRPr="006A548F" w:rsidRDefault="008B6DE7" w:rsidP="008B6DE7">
      <w:pPr>
        <w:rPr>
          <w:noProof/>
        </w:rPr>
      </w:pPr>
      <w:r w:rsidRPr="006A548F">
        <w:rPr>
          <w:noProof/>
        </w:rPr>
        <w:t xml:space="preserve">Šī regula stājas spēkā divdesmitajā dienā pēc tās publicēšanas </w:t>
      </w:r>
      <w:r w:rsidRPr="006A548F">
        <w:rPr>
          <w:i/>
          <w:noProof/>
        </w:rPr>
        <w:t>Eiropas Savienības Oficiālajā Vēstnesī</w:t>
      </w:r>
      <w:r w:rsidRPr="006A548F">
        <w:rPr>
          <w:noProof/>
        </w:rPr>
        <w:t>.</w:t>
      </w:r>
    </w:p>
    <w:p w14:paraId="362EE5C3" w14:textId="77777777" w:rsidR="008B6DE7" w:rsidRPr="006A548F" w:rsidRDefault="008B6DE7" w:rsidP="008B6DE7">
      <w:pPr>
        <w:pStyle w:val="Applicationdirecte"/>
        <w:rPr>
          <w:noProof/>
        </w:rPr>
      </w:pPr>
      <w:r w:rsidRPr="006A548F">
        <w:rPr>
          <w:noProof/>
        </w:rPr>
        <w:t>Šī regula uzliek saistības kopumā un ir tieši piemērojama visās dalībvalstīs.</w:t>
      </w:r>
    </w:p>
    <w:p w14:paraId="40314B79" w14:textId="17AD0D12" w:rsidR="008B6DE7" w:rsidRPr="006A548F" w:rsidRDefault="006A548F" w:rsidP="003A41F7">
      <w:pPr>
        <w:pStyle w:val="Fait"/>
        <w:rPr>
          <w:noProof/>
        </w:rPr>
      </w:pPr>
      <w:r>
        <w:rPr>
          <w:noProof/>
        </w:rPr>
        <w:t>Briselē, 5.5.2026</w:t>
      </w:r>
    </w:p>
    <w:p w14:paraId="3E292E6F" w14:textId="77777777" w:rsidR="008B6DE7" w:rsidRPr="006A548F" w:rsidRDefault="008B6DE7" w:rsidP="003A41F7">
      <w:pPr>
        <w:pStyle w:val="Institutionquisigne"/>
        <w:rPr>
          <w:noProof/>
        </w:rPr>
      </w:pPr>
      <w:r w:rsidRPr="006A548F">
        <w:rPr>
          <w:noProof/>
        </w:rPr>
        <w:tab/>
        <w:t>Komisijas vārdā –</w:t>
      </w:r>
    </w:p>
    <w:p w14:paraId="4CE72B1F" w14:textId="77777777" w:rsidR="008B6DE7" w:rsidRPr="006A548F" w:rsidRDefault="008B6DE7" w:rsidP="008B6DE7">
      <w:pPr>
        <w:pStyle w:val="Personnequisigne"/>
        <w:rPr>
          <w:noProof/>
        </w:rPr>
      </w:pPr>
      <w:r>
        <w:rPr>
          <w:noProof/>
        </w:rPr>
        <w:tab/>
        <w:t>priekšsēdētāja</w:t>
      </w:r>
      <w:r>
        <w:rPr>
          <w:noProof/>
        </w:rPr>
        <w:br/>
      </w:r>
      <w:r>
        <w:rPr>
          <w:noProof/>
        </w:rPr>
        <w:tab/>
        <w:t>Ursula VON DER LEYEN</w:t>
      </w:r>
    </w:p>
    <w:sectPr w:rsidR="008B6DE7" w:rsidRPr="006A548F" w:rsidSect="007C51B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5DB3E" w14:textId="77777777" w:rsidR="0086306F" w:rsidRDefault="0086306F" w:rsidP="00433CF3">
      <w:pPr>
        <w:spacing w:before="0" w:after="0"/>
      </w:pPr>
      <w:r>
        <w:separator/>
      </w:r>
    </w:p>
  </w:endnote>
  <w:endnote w:type="continuationSeparator" w:id="0">
    <w:p w14:paraId="7D589DEC" w14:textId="77777777" w:rsidR="0086306F" w:rsidRDefault="0086306F" w:rsidP="00433CF3">
      <w:pPr>
        <w:spacing w:before="0" w:after="0"/>
      </w:pPr>
      <w:r>
        <w:continuationSeparator/>
      </w:r>
    </w:p>
  </w:endnote>
  <w:endnote w:type="continuationNotice" w:id="1">
    <w:p w14:paraId="220462D6" w14:textId="77777777" w:rsidR="0086306F" w:rsidRDefault="0086306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95445" w14:textId="0A9921E5" w:rsidR="007C51B7" w:rsidRPr="007C51B7" w:rsidRDefault="007C51B7" w:rsidP="007C51B7">
    <w:pPr>
      <w:pStyle w:val="Footer"/>
      <w:rPr>
        <w:rFonts w:ascii="Arial" w:hAnsi="Arial" w:cs="Arial"/>
        <w:b/>
        <w:sz w:val="48"/>
      </w:rPr>
    </w:pPr>
    <w:r w:rsidRPr="007C51B7">
      <w:rPr>
        <w:rFonts w:ascii="Arial" w:hAnsi="Arial" w:cs="Arial"/>
        <w:b/>
        <w:sz w:val="48"/>
      </w:rPr>
      <w:t>LV</w:t>
    </w:r>
    <w:r w:rsidRPr="007C51B7">
      <w:rPr>
        <w:rFonts w:ascii="Arial" w:hAnsi="Arial" w:cs="Arial"/>
        <w:b/>
        <w:sz w:val="48"/>
      </w:rPr>
      <w:tab/>
    </w:r>
    <w:r w:rsidRPr="007C51B7">
      <w:rPr>
        <w:rFonts w:ascii="Arial" w:hAnsi="Arial" w:cs="Arial"/>
        <w:b/>
        <w:sz w:val="48"/>
      </w:rPr>
      <w:tab/>
    </w:r>
    <w:r w:rsidRPr="007C51B7">
      <w:tab/>
    </w:r>
    <w:r w:rsidRPr="007C51B7">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CE332" w14:textId="18F66D45" w:rsidR="007C51B7" w:rsidRPr="007C51B7" w:rsidRDefault="007C51B7" w:rsidP="007C51B7">
    <w:pPr>
      <w:pStyle w:val="Footer"/>
      <w:rPr>
        <w:rFonts w:ascii="Arial" w:hAnsi="Arial" w:cs="Arial"/>
        <w:b/>
        <w:sz w:val="48"/>
      </w:rPr>
    </w:pPr>
    <w:r w:rsidRPr="007C51B7">
      <w:rPr>
        <w:rFonts w:ascii="Arial" w:hAnsi="Arial" w:cs="Arial"/>
        <w:b/>
        <w:sz w:val="48"/>
      </w:rPr>
      <w:t>LV</w:t>
    </w:r>
    <w:r w:rsidRPr="007C51B7">
      <w:rPr>
        <w:rFonts w:ascii="Arial" w:hAnsi="Arial" w:cs="Arial"/>
        <w:b/>
        <w:sz w:val="48"/>
      </w:rPr>
      <w:tab/>
    </w:r>
    <w:r w:rsidRPr="007C51B7">
      <w:rPr>
        <w:rFonts w:ascii="Arial" w:hAnsi="Arial" w:cs="Arial"/>
        <w:b/>
        <w:sz w:val="48"/>
      </w:rPr>
      <w:tab/>
    </w:r>
    <w:r w:rsidRPr="007C51B7">
      <w:tab/>
    </w:r>
    <w:r w:rsidRPr="007C51B7">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4955A" w14:textId="77777777" w:rsidR="007C51B7" w:rsidRDefault="007C51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E91E" w14:textId="1EDD02C1" w:rsidR="007C51B7" w:rsidRPr="007C51B7" w:rsidRDefault="007C51B7" w:rsidP="007C51B7">
    <w:pPr>
      <w:pStyle w:val="Footer"/>
      <w:rPr>
        <w:rFonts w:ascii="Arial" w:hAnsi="Arial" w:cs="Arial"/>
        <w:b/>
        <w:sz w:val="48"/>
      </w:rPr>
    </w:pPr>
    <w:r w:rsidRPr="007C51B7">
      <w:rPr>
        <w:rFonts w:ascii="Arial" w:hAnsi="Arial" w:cs="Arial"/>
        <w:b/>
        <w:sz w:val="48"/>
      </w:rPr>
      <w:t>LV</w:t>
    </w:r>
    <w:r w:rsidRPr="007C51B7">
      <w:rPr>
        <w:rFonts w:ascii="Arial" w:hAnsi="Arial" w:cs="Arial"/>
        <w:b/>
        <w:sz w:val="48"/>
      </w:rPr>
      <w:tab/>
    </w:r>
    <w:r>
      <w:fldChar w:fldCharType="begin"/>
    </w:r>
    <w:r>
      <w:instrText xml:space="preserve"> PAGE  \* MERGEFORMAT </w:instrText>
    </w:r>
    <w:r>
      <w:fldChar w:fldCharType="separate"/>
    </w:r>
    <w:r w:rsidR="00E81D8A">
      <w:rPr>
        <w:noProof/>
      </w:rPr>
      <w:t>1</w:t>
    </w:r>
    <w:r>
      <w:fldChar w:fldCharType="end"/>
    </w:r>
    <w:r>
      <w:tab/>
    </w:r>
    <w:r w:rsidRPr="007C51B7">
      <w:tab/>
    </w:r>
    <w:r w:rsidRPr="007C51B7">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DC309" w14:textId="77777777" w:rsidR="007C51B7" w:rsidRDefault="007C51B7" w:rsidP="007C5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016D5" w14:textId="77777777" w:rsidR="0086306F" w:rsidRDefault="0086306F" w:rsidP="00433CF3">
      <w:pPr>
        <w:spacing w:before="0" w:after="0"/>
      </w:pPr>
      <w:r>
        <w:separator/>
      </w:r>
    </w:p>
  </w:footnote>
  <w:footnote w:type="continuationSeparator" w:id="0">
    <w:p w14:paraId="2D8E811E" w14:textId="77777777" w:rsidR="0086306F" w:rsidRDefault="0086306F" w:rsidP="00433CF3">
      <w:pPr>
        <w:spacing w:before="0" w:after="0"/>
      </w:pPr>
      <w:r>
        <w:continuationSeparator/>
      </w:r>
    </w:p>
  </w:footnote>
  <w:footnote w:type="continuationNotice" w:id="1">
    <w:p w14:paraId="3D419E59" w14:textId="77777777" w:rsidR="0086306F" w:rsidRDefault="0086306F">
      <w:pPr>
        <w:spacing w:before="0" w:after="0"/>
      </w:pPr>
    </w:p>
  </w:footnote>
  <w:footnote w:id="2">
    <w:p w14:paraId="279E4EF2" w14:textId="77777777" w:rsidR="003F54A5" w:rsidRPr="00926FAD" w:rsidRDefault="003F54A5">
      <w:pPr>
        <w:pStyle w:val="FootnoteText"/>
      </w:pPr>
      <w:r>
        <w:rPr>
          <w:rStyle w:val="FootnoteReference"/>
        </w:rPr>
        <w:footnoteRef/>
      </w:r>
      <w:r>
        <w:tab/>
        <w:t>OV L, 2024/2987, 1. lpp.</w:t>
      </w:r>
    </w:p>
  </w:footnote>
  <w:footnote w:id="3">
    <w:p w14:paraId="7F4767C3" w14:textId="77777777" w:rsidR="008B6DE7" w:rsidRPr="00DB7120" w:rsidRDefault="008B6DE7" w:rsidP="008B6DE7">
      <w:pPr>
        <w:pStyle w:val="FootnoteText"/>
      </w:pPr>
      <w:r>
        <w:rPr>
          <w:rStyle w:val="FootnoteReference"/>
        </w:rPr>
        <w:footnoteRef/>
      </w:r>
      <w:r>
        <w:tab/>
        <w:t>OV L 201, 27.7.2012., 1. lpp., ELI: </w:t>
      </w:r>
      <w:hyperlink r:id="rId1" w:tooltip="Nodrošina piekļuvi šim dokumentam ar tā ELI URI." w:history="1">
        <w:r>
          <w:rPr>
            <w:rStyle w:val="Hyperlink"/>
          </w:rPr>
          <w:t>http://data.europa.eu/eli/reg/2012/648/oj</w:t>
        </w:r>
      </w:hyperlink>
      <w:r>
        <w:t>.</w:t>
      </w:r>
    </w:p>
  </w:footnote>
  <w:footnote w:id="4">
    <w:p w14:paraId="71649979" w14:textId="77777777" w:rsidR="008B6DE7" w:rsidRPr="000A6F06" w:rsidRDefault="008B6DE7" w:rsidP="008B6DE7">
      <w:pPr>
        <w:pStyle w:val="FootnoteText"/>
      </w:pPr>
      <w:r>
        <w:rPr>
          <w:rStyle w:val="FootnoteReference"/>
        </w:rPr>
        <w:footnoteRef/>
      </w:r>
      <w:r>
        <w:tab/>
        <w:t>Eiropas Parlamenta un Padomes Regula (ES) 2024/2987 (2024. gada 27. novembris), ar ko Regulas (ES) Nr. 648/2012, (ES) Nr. 575/2013 un (ES) 2017/1131 groza attiecībā uz pasākumiem, lai mazinātu pārmērīgas riska pozīcijas attiecībā uz trešo valstu centrālajiem darījumu partneriem un uzlabotu Savienības tīrvērtes tirgu efektivitāti (OV L, 2024/2987, 4.12.2024., 1. lpp., ELI: </w:t>
      </w:r>
      <w:hyperlink r:id="rId2" w:tooltip="Nodrošina piekļuvi šim dokumentam ar tā ELI URI." w:history="1">
        <w:r>
          <w:rPr>
            <w:rStyle w:val="Hyperlink"/>
          </w:rPr>
          <w:t>http://data.europa.eu/eli/reg/2024/2987/oj</w:t>
        </w:r>
      </w:hyperlink>
      <w:r>
        <w:t>).</w:t>
      </w:r>
    </w:p>
  </w:footnote>
  <w:footnote w:id="5">
    <w:p w14:paraId="3B60BE0E" w14:textId="1F2336B7" w:rsidR="006F229C" w:rsidRPr="006F229C" w:rsidRDefault="006F229C" w:rsidP="006F229C">
      <w:pPr>
        <w:pStyle w:val="FootnoteText"/>
      </w:pPr>
      <w:r>
        <w:rPr>
          <w:rStyle w:val="FootnoteReference"/>
        </w:rPr>
        <w:footnoteRef/>
      </w:r>
      <w:r>
        <w:tab/>
        <w:t>Komisijas Deleģētā regula (ES) 2016/2251 (2016. gada 4. oktobris), ar ko Eiropas Parlamenta un Padomes Regulu (ES) Nr. 648/2012 par ārpusbiržas atvasinātajiem instrumentiem, centrālajiem darījumu partneriem un darījumu reģistriem papildina attiecībā uz regulatīvajiem tehniskajiem standartiem riska mazināšanas metodēm, kas paredzētas ārpusbiržas atvasināto instrumentu līgumiem, kuriem tīrvērti neveic centrālais darījumu partneris (OV L 340, 15.12.2016., 9. lpp., ELI: </w:t>
      </w:r>
      <w:hyperlink r:id="rId3" w:tooltip="Nodrošina piekļuvi šim dokumentam ar tā ELI URI." w:history="1">
        <w:r>
          <w:rPr>
            <w:rStyle w:val="Hyperlink"/>
          </w:rPr>
          <w:t>http://data.europa.eu/eli/reg_del/2016/2251/oj</w:t>
        </w:r>
      </w:hyperlink>
      <w:r>
        <w:t>).</w:t>
      </w:r>
    </w:p>
  </w:footnote>
  <w:footnote w:id="6">
    <w:p w14:paraId="0967E5BF" w14:textId="2D7F9C86" w:rsidR="008B6DE7" w:rsidRPr="00756C50" w:rsidRDefault="008B6DE7" w:rsidP="008B6DE7">
      <w:pPr>
        <w:pStyle w:val="FootnoteText"/>
      </w:pPr>
      <w:r>
        <w:rPr>
          <w:rStyle w:val="FootnoteReference"/>
        </w:rPr>
        <w:footnoteRef/>
      </w:r>
      <w:r>
        <w:tab/>
        <w:t xml:space="preserve">Eiropas Parlamenta un Padomes Regula (ES, Euratom) 2024/2509 (2024. gada 23. septembris) par finanšu noteikumiem, ko piemēro Savienības vispārējam budžetam (pārstrādāta redakcija) (OV L, 2024/2509, 26.9.2024., ELI: </w:t>
      </w:r>
      <w:hyperlink r:id="rId4" w:history="1">
        <w:r>
          <w:rPr>
            <w:rStyle w:val="Hyperlink"/>
          </w:rPr>
          <w:t>http://data.europa.eu/eli/reg/2024/2509/oj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83605" w14:textId="77777777" w:rsidR="007C51B7" w:rsidRDefault="007C5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84570" w14:textId="77777777" w:rsidR="007C51B7" w:rsidRDefault="007C5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D1AEA3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8F6ED7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BD438A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B02939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0"/>
  </w:num>
  <w:num w:numId="8">
    <w:abstractNumId w:val="18"/>
    <w:lvlOverride w:ilvl="0">
      <w:startOverride w:val="1"/>
    </w:lvlOverride>
  </w:num>
  <w:num w:numId="9">
    <w:abstractNumId w:val="13"/>
    <w:lvlOverride w:ilvl="0">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8"/>
  </w:num>
  <w:num w:numId="22">
    <w:abstractNumId w:val="17"/>
  </w:num>
  <w:num w:numId="23">
    <w:abstractNumId w:val="7"/>
  </w:num>
  <w:num w:numId="24">
    <w:abstractNumId w:val="9"/>
  </w:num>
  <w:num w:numId="25">
    <w:abstractNumId w:val="10"/>
  </w:num>
  <w:num w:numId="26">
    <w:abstractNumId w:val="5"/>
  </w:num>
  <w:num w:numId="27">
    <w:abstractNumId w:val="16"/>
  </w:num>
  <w:num w:numId="28">
    <w:abstractNumId w:val="4"/>
  </w:num>
  <w:num w:numId="29">
    <w:abstractNumId w:val="11"/>
  </w:num>
  <w:num w:numId="30">
    <w:abstractNumId w:val="13"/>
  </w:num>
  <w:num w:numId="31">
    <w:abstractNumId w:val="14"/>
  </w:num>
  <w:num w:numId="32">
    <w:abstractNumId w:val="6"/>
  </w:num>
  <w:num w:numId="33">
    <w:abstractNumId w:val="12"/>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4-27 10:08:1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55CF43D-FE67-415D-8450-CC91C2C2C3B2"/>
    <w:docVar w:name="LW_COVERPAGE_TYPE" w:val="1"/>
    <w:docVar w:name="LW_CreatedUtc" w:val="2025-09-16T10:23:36.9520716Z"/>
    <w:docVar w:name="LW_CROSSREFERENCE" w:val="&lt;UNUSED&gt;"/>
    <w:docVar w:name="LW_DATE.ADOPT.CP" w:val="(5.5.2026),"/>
    <w:docVar w:name="LW_DATE.ADOPT.CP_DATEFORMAT" w:val="(%DATE%),"/>
    <w:docVar w:name="LW_DATE.ADOPT.CP_ISODATE" w:val="2026-05-05"/>
    <w:docVar w:name="LW_DocType" w:val="COM"/>
    <w:docVar w:name="LW_EMISSION" w:val="5.5.2026"/>
    <w:docVar w:name="LW_EMISSION_ISODATE" w:val="2026-05-05"/>
    <w:docVar w:name="LW_EMISSION_LOCATION" w:val="BRX"/>
    <w:docVar w:name="LW_EMISSION_PREFIX" w:val="Brisel\u275?, "/>
    <w:docVar w:name="LW_EMISSION_SUFFIX" w:val="."/>
    <w:docVar w:name="LW_ID_DOCMODEL" w:val="SJ-003"/>
    <w:docVar w:name="LW_ID_DOCSIGNATURE" w:val="SJ-003"/>
    <w:docVar w:name="LW_ID_DOCSTRUCTURE" w:val="COM/AA"/>
    <w:docVar w:name="LW_ID_DOCTYPE" w:val="SJ-003"/>
    <w:docVar w:name="LW_INSERT_EXP.MOTIFS.NEW" w:val="1"/>
    <w:docVar w:name="LW_INTERETEEE.CP" w:val="(Dokuments attiecas uz EEZ)"/>
    <w:docVar w:name="LW_LANGUE" w:val="LV"/>
    <w:docVar w:name="LW_LANGUESFAISANTFOI.CP" w:val="&lt;UNUSED&gt;"/>
    <w:docVar w:name="LW_LEVEL_OF_SENSITIVITY" w:val="Standard treatment"/>
    <w:docVar w:name="LW_NOM.INST" w:val="EIROPAS KOMISIJA"/>
    <w:docVar w:name="LW_NOM.INST_JOINTDOC" w:val="&lt;EMPTY&gt;"/>
    <w:docVar w:name="LW_PART_NBR" w:val="1"/>
    <w:docVar w:name="LW_PART_NBR_TOTAL" w:val="1"/>
    <w:docVar w:name="LW_REF.INST.NEW" w:val="C"/>
    <w:docVar w:name="LW_REF.INST.NEW_ADOPTED" w:val="final"/>
    <w:docVar w:name="LW_REF.INST.NEW_TEXT" w:val="(2026) 287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r ko papildina Eiropas Parlamenta un Padomes Regulu (ES) Nr. 648/2012, preciz\u275?jot metodi to maksu noteik\u353?anai, ko Eiropas Banku iest\u257?de iekas\u275? par min\u275?t\u257?s regulas 11. panta 3. punkta ceturtaj\u257? da\u316?\u257? min\u275?to &lt;FMT:Italic&gt;pro forma&lt;/FMT&gt; mode\u316?u apstiprin\u257?\u353?anu, un preciz\u275? min\u275?to maksu izpildes k\u257?rt\u299?bu"/>
    <w:docVar w:name="LW_TYPE.DOC.CP" w:val="KOMISIJAS DELE\u290?\u274?T\u256? REGULA (ES) \u8230?/.."/>
    <w:docVar w:name="LwApiVersions" w:val="LW4CoDe 1.24.5.0; LW 9.2, Build 20251112"/>
  </w:docVars>
  <w:rsids>
    <w:rsidRoot w:val="00433CF3"/>
    <w:rsid w:val="000008E5"/>
    <w:rsid w:val="00000C30"/>
    <w:rsid w:val="0000121B"/>
    <w:rsid w:val="00001FAA"/>
    <w:rsid w:val="0000240F"/>
    <w:rsid w:val="00002904"/>
    <w:rsid w:val="00002EEC"/>
    <w:rsid w:val="00003C94"/>
    <w:rsid w:val="0000545E"/>
    <w:rsid w:val="0000586D"/>
    <w:rsid w:val="000069CE"/>
    <w:rsid w:val="00006E71"/>
    <w:rsid w:val="00010009"/>
    <w:rsid w:val="00010211"/>
    <w:rsid w:val="00010C2F"/>
    <w:rsid w:val="00011C66"/>
    <w:rsid w:val="00012060"/>
    <w:rsid w:val="00013507"/>
    <w:rsid w:val="00013C6C"/>
    <w:rsid w:val="0001430F"/>
    <w:rsid w:val="000144A6"/>
    <w:rsid w:val="00014660"/>
    <w:rsid w:val="000151B3"/>
    <w:rsid w:val="0001562F"/>
    <w:rsid w:val="00015E1E"/>
    <w:rsid w:val="000205A3"/>
    <w:rsid w:val="00020FDE"/>
    <w:rsid w:val="0002108F"/>
    <w:rsid w:val="000213BC"/>
    <w:rsid w:val="0002229F"/>
    <w:rsid w:val="00024881"/>
    <w:rsid w:val="00024C15"/>
    <w:rsid w:val="00025847"/>
    <w:rsid w:val="000259D1"/>
    <w:rsid w:val="000262E0"/>
    <w:rsid w:val="000265AC"/>
    <w:rsid w:val="00026D94"/>
    <w:rsid w:val="00030400"/>
    <w:rsid w:val="00030DE4"/>
    <w:rsid w:val="000310CE"/>
    <w:rsid w:val="00033747"/>
    <w:rsid w:val="00033B0F"/>
    <w:rsid w:val="00033F88"/>
    <w:rsid w:val="000345D5"/>
    <w:rsid w:val="00034F52"/>
    <w:rsid w:val="00035711"/>
    <w:rsid w:val="00035E8B"/>
    <w:rsid w:val="00035F1C"/>
    <w:rsid w:val="00036498"/>
    <w:rsid w:val="0003696D"/>
    <w:rsid w:val="00036C2F"/>
    <w:rsid w:val="00037DCC"/>
    <w:rsid w:val="00040295"/>
    <w:rsid w:val="00040506"/>
    <w:rsid w:val="0004052F"/>
    <w:rsid w:val="0004094D"/>
    <w:rsid w:val="00040E78"/>
    <w:rsid w:val="0004166D"/>
    <w:rsid w:val="00041920"/>
    <w:rsid w:val="00041ADF"/>
    <w:rsid w:val="00041FD6"/>
    <w:rsid w:val="00043269"/>
    <w:rsid w:val="000436E7"/>
    <w:rsid w:val="000446A5"/>
    <w:rsid w:val="0004620A"/>
    <w:rsid w:val="000466BC"/>
    <w:rsid w:val="00046DD1"/>
    <w:rsid w:val="000470BF"/>
    <w:rsid w:val="00051864"/>
    <w:rsid w:val="00051E61"/>
    <w:rsid w:val="00052311"/>
    <w:rsid w:val="00052B91"/>
    <w:rsid w:val="000534A4"/>
    <w:rsid w:val="00053C31"/>
    <w:rsid w:val="000543CE"/>
    <w:rsid w:val="00054D62"/>
    <w:rsid w:val="00056608"/>
    <w:rsid w:val="00056B24"/>
    <w:rsid w:val="0005752E"/>
    <w:rsid w:val="00057684"/>
    <w:rsid w:val="00057F08"/>
    <w:rsid w:val="00061C93"/>
    <w:rsid w:val="000622D5"/>
    <w:rsid w:val="000623ED"/>
    <w:rsid w:val="00062849"/>
    <w:rsid w:val="00063E8C"/>
    <w:rsid w:val="0006445D"/>
    <w:rsid w:val="000650ED"/>
    <w:rsid w:val="00065261"/>
    <w:rsid w:val="00065582"/>
    <w:rsid w:val="0006558B"/>
    <w:rsid w:val="00065F3E"/>
    <w:rsid w:val="0006656D"/>
    <w:rsid w:val="00066885"/>
    <w:rsid w:val="00066C3D"/>
    <w:rsid w:val="000677BA"/>
    <w:rsid w:val="00067888"/>
    <w:rsid w:val="00067B03"/>
    <w:rsid w:val="0007008A"/>
    <w:rsid w:val="000703ED"/>
    <w:rsid w:val="000713FB"/>
    <w:rsid w:val="0007239E"/>
    <w:rsid w:val="00072A63"/>
    <w:rsid w:val="00072FD2"/>
    <w:rsid w:val="00073F79"/>
    <w:rsid w:val="00074881"/>
    <w:rsid w:val="000751AF"/>
    <w:rsid w:val="00077082"/>
    <w:rsid w:val="0007735D"/>
    <w:rsid w:val="0007744E"/>
    <w:rsid w:val="000777DF"/>
    <w:rsid w:val="00077C9E"/>
    <w:rsid w:val="00077D34"/>
    <w:rsid w:val="0008172A"/>
    <w:rsid w:val="000821CF"/>
    <w:rsid w:val="000821D5"/>
    <w:rsid w:val="00082643"/>
    <w:rsid w:val="00083339"/>
    <w:rsid w:val="00083E89"/>
    <w:rsid w:val="00084275"/>
    <w:rsid w:val="00086D61"/>
    <w:rsid w:val="00087315"/>
    <w:rsid w:val="0008798B"/>
    <w:rsid w:val="00087B06"/>
    <w:rsid w:val="000901EE"/>
    <w:rsid w:val="000904A3"/>
    <w:rsid w:val="00090776"/>
    <w:rsid w:val="00091B56"/>
    <w:rsid w:val="00091BBC"/>
    <w:rsid w:val="000920E4"/>
    <w:rsid w:val="00092309"/>
    <w:rsid w:val="00092E31"/>
    <w:rsid w:val="00092E3B"/>
    <w:rsid w:val="0009342B"/>
    <w:rsid w:val="00093799"/>
    <w:rsid w:val="0009463A"/>
    <w:rsid w:val="00094D63"/>
    <w:rsid w:val="00095661"/>
    <w:rsid w:val="00095754"/>
    <w:rsid w:val="00095E62"/>
    <w:rsid w:val="00096C1E"/>
    <w:rsid w:val="000975F7"/>
    <w:rsid w:val="000A07D5"/>
    <w:rsid w:val="000A0F63"/>
    <w:rsid w:val="000A1B3B"/>
    <w:rsid w:val="000A1B8B"/>
    <w:rsid w:val="000A1B91"/>
    <w:rsid w:val="000A2037"/>
    <w:rsid w:val="000A277B"/>
    <w:rsid w:val="000A2FFD"/>
    <w:rsid w:val="000A425D"/>
    <w:rsid w:val="000A575B"/>
    <w:rsid w:val="000A6F06"/>
    <w:rsid w:val="000A7E73"/>
    <w:rsid w:val="000A7EE2"/>
    <w:rsid w:val="000B1636"/>
    <w:rsid w:val="000B1925"/>
    <w:rsid w:val="000B2141"/>
    <w:rsid w:val="000B28FD"/>
    <w:rsid w:val="000B2F5A"/>
    <w:rsid w:val="000B3572"/>
    <w:rsid w:val="000B35D0"/>
    <w:rsid w:val="000B3B44"/>
    <w:rsid w:val="000B4A07"/>
    <w:rsid w:val="000B4D13"/>
    <w:rsid w:val="000B4E5A"/>
    <w:rsid w:val="000B6123"/>
    <w:rsid w:val="000B6EDA"/>
    <w:rsid w:val="000B778F"/>
    <w:rsid w:val="000C0CB6"/>
    <w:rsid w:val="000C12E5"/>
    <w:rsid w:val="000C133B"/>
    <w:rsid w:val="000C24E4"/>
    <w:rsid w:val="000C4860"/>
    <w:rsid w:val="000C4CF1"/>
    <w:rsid w:val="000C58DE"/>
    <w:rsid w:val="000C5F17"/>
    <w:rsid w:val="000C6F9A"/>
    <w:rsid w:val="000C78F0"/>
    <w:rsid w:val="000C7ABC"/>
    <w:rsid w:val="000D0B92"/>
    <w:rsid w:val="000D21F1"/>
    <w:rsid w:val="000D276F"/>
    <w:rsid w:val="000D3C95"/>
    <w:rsid w:val="000D3CE7"/>
    <w:rsid w:val="000D3F18"/>
    <w:rsid w:val="000D46A2"/>
    <w:rsid w:val="000D490C"/>
    <w:rsid w:val="000D4D25"/>
    <w:rsid w:val="000D5360"/>
    <w:rsid w:val="000D5665"/>
    <w:rsid w:val="000D56A2"/>
    <w:rsid w:val="000D7AE8"/>
    <w:rsid w:val="000E06A8"/>
    <w:rsid w:val="000E0972"/>
    <w:rsid w:val="000E28B5"/>
    <w:rsid w:val="000E2FAC"/>
    <w:rsid w:val="000E347E"/>
    <w:rsid w:val="000E3B26"/>
    <w:rsid w:val="000E4345"/>
    <w:rsid w:val="000E4382"/>
    <w:rsid w:val="000E4A92"/>
    <w:rsid w:val="000E4AC0"/>
    <w:rsid w:val="000E4BAF"/>
    <w:rsid w:val="000E4DD3"/>
    <w:rsid w:val="000E50EB"/>
    <w:rsid w:val="000E51D5"/>
    <w:rsid w:val="000E6E19"/>
    <w:rsid w:val="000E750C"/>
    <w:rsid w:val="000E7DAC"/>
    <w:rsid w:val="000F1211"/>
    <w:rsid w:val="000F296E"/>
    <w:rsid w:val="000F4256"/>
    <w:rsid w:val="000F4876"/>
    <w:rsid w:val="000F4A89"/>
    <w:rsid w:val="000F5428"/>
    <w:rsid w:val="000F695D"/>
    <w:rsid w:val="000F7043"/>
    <w:rsid w:val="000F7BD3"/>
    <w:rsid w:val="000F7C5D"/>
    <w:rsid w:val="000F7EB4"/>
    <w:rsid w:val="00100DBB"/>
    <w:rsid w:val="00104425"/>
    <w:rsid w:val="00104694"/>
    <w:rsid w:val="00104761"/>
    <w:rsid w:val="00104A47"/>
    <w:rsid w:val="001065F5"/>
    <w:rsid w:val="0010764E"/>
    <w:rsid w:val="00111C14"/>
    <w:rsid w:val="001145C0"/>
    <w:rsid w:val="0011462A"/>
    <w:rsid w:val="00114763"/>
    <w:rsid w:val="00114CC4"/>
    <w:rsid w:val="00114D4B"/>
    <w:rsid w:val="00115BD7"/>
    <w:rsid w:val="001160C8"/>
    <w:rsid w:val="001172F4"/>
    <w:rsid w:val="00117F30"/>
    <w:rsid w:val="001201A6"/>
    <w:rsid w:val="001201BB"/>
    <w:rsid w:val="0012094A"/>
    <w:rsid w:val="00121554"/>
    <w:rsid w:val="00121E19"/>
    <w:rsid w:val="00122159"/>
    <w:rsid w:val="001238EF"/>
    <w:rsid w:val="00124A27"/>
    <w:rsid w:val="00125C8F"/>
    <w:rsid w:val="00125CDD"/>
    <w:rsid w:val="00126B34"/>
    <w:rsid w:val="00127E2E"/>
    <w:rsid w:val="001306DA"/>
    <w:rsid w:val="001312C8"/>
    <w:rsid w:val="001316A2"/>
    <w:rsid w:val="00131E98"/>
    <w:rsid w:val="00132377"/>
    <w:rsid w:val="001325FE"/>
    <w:rsid w:val="0013307C"/>
    <w:rsid w:val="00133764"/>
    <w:rsid w:val="00133CC8"/>
    <w:rsid w:val="001348EE"/>
    <w:rsid w:val="00134973"/>
    <w:rsid w:val="00135F20"/>
    <w:rsid w:val="00136BA3"/>
    <w:rsid w:val="00136F28"/>
    <w:rsid w:val="00137367"/>
    <w:rsid w:val="00137A47"/>
    <w:rsid w:val="00137AEC"/>
    <w:rsid w:val="00137C90"/>
    <w:rsid w:val="0014058E"/>
    <w:rsid w:val="001408E0"/>
    <w:rsid w:val="001413D1"/>
    <w:rsid w:val="001415E5"/>
    <w:rsid w:val="00142857"/>
    <w:rsid w:val="001430E6"/>
    <w:rsid w:val="0014350F"/>
    <w:rsid w:val="00143C19"/>
    <w:rsid w:val="0014445E"/>
    <w:rsid w:val="0014493E"/>
    <w:rsid w:val="00144CDE"/>
    <w:rsid w:val="00144CE5"/>
    <w:rsid w:val="00144EE9"/>
    <w:rsid w:val="00146E29"/>
    <w:rsid w:val="00147257"/>
    <w:rsid w:val="00150A2D"/>
    <w:rsid w:val="0015159B"/>
    <w:rsid w:val="001520B7"/>
    <w:rsid w:val="00152524"/>
    <w:rsid w:val="0015266E"/>
    <w:rsid w:val="00153F1E"/>
    <w:rsid w:val="001546E3"/>
    <w:rsid w:val="001562AC"/>
    <w:rsid w:val="0015676D"/>
    <w:rsid w:val="00157163"/>
    <w:rsid w:val="00157650"/>
    <w:rsid w:val="0016014D"/>
    <w:rsid w:val="001602BA"/>
    <w:rsid w:val="001608C9"/>
    <w:rsid w:val="001624DB"/>
    <w:rsid w:val="00163F2C"/>
    <w:rsid w:val="001644F0"/>
    <w:rsid w:val="001651A3"/>
    <w:rsid w:val="0016792C"/>
    <w:rsid w:val="00167C43"/>
    <w:rsid w:val="00167C6F"/>
    <w:rsid w:val="00167D12"/>
    <w:rsid w:val="0017155B"/>
    <w:rsid w:val="00171B56"/>
    <w:rsid w:val="00171BDB"/>
    <w:rsid w:val="00171CFF"/>
    <w:rsid w:val="00171FCD"/>
    <w:rsid w:val="001729A7"/>
    <w:rsid w:val="00173774"/>
    <w:rsid w:val="00173B3E"/>
    <w:rsid w:val="00173FCC"/>
    <w:rsid w:val="00175603"/>
    <w:rsid w:val="00175ECB"/>
    <w:rsid w:val="001765D2"/>
    <w:rsid w:val="00177034"/>
    <w:rsid w:val="00181442"/>
    <w:rsid w:val="00181E48"/>
    <w:rsid w:val="0018281E"/>
    <w:rsid w:val="00182D60"/>
    <w:rsid w:val="001837E7"/>
    <w:rsid w:val="001845FB"/>
    <w:rsid w:val="00185478"/>
    <w:rsid w:val="00185BDD"/>
    <w:rsid w:val="001860A8"/>
    <w:rsid w:val="00186358"/>
    <w:rsid w:val="0018674F"/>
    <w:rsid w:val="00187F26"/>
    <w:rsid w:val="00190458"/>
    <w:rsid w:val="00190D3F"/>
    <w:rsid w:val="001921F7"/>
    <w:rsid w:val="00192ABF"/>
    <w:rsid w:val="00194085"/>
    <w:rsid w:val="00194114"/>
    <w:rsid w:val="00194C75"/>
    <w:rsid w:val="0019556C"/>
    <w:rsid w:val="00195846"/>
    <w:rsid w:val="00196607"/>
    <w:rsid w:val="00196A58"/>
    <w:rsid w:val="001971C0"/>
    <w:rsid w:val="00197312"/>
    <w:rsid w:val="00197335"/>
    <w:rsid w:val="00197362"/>
    <w:rsid w:val="00197613"/>
    <w:rsid w:val="001A02E4"/>
    <w:rsid w:val="001A0AA5"/>
    <w:rsid w:val="001A0AB0"/>
    <w:rsid w:val="001A1DEC"/>
    <w:rsid w:val="001A25B4"/>
    <w:rsid w:val="001A33D1"/>
    <w:rsid w:val="001A3959"/>
    <w:rsid w:val="001A3D7B"/>
    <w:rsid w:val="001A3ED6"/>
    <w:rsid w:val="001A4093"/>
    <w:rsid w:val="001A4AAF"/>
    <w:rsid w:val="001A5288"/>
    <w:rsid w:val="001A542E"/>
    <w:rsid w:val="001A5500"/>
    <w:rsid w:val="001A5ED3"/>
    <w:rsid w:val="001A61FE"/>
    <w:rsid w:val="001A6D1E"/>
    <w:rsid w:val="001A7296"/>
    <w:rsid w:val="001A7B5C"/>
    <w:rsid w:val="001B07A7"/>
    <w:rsid w:val="001B0B35"/>
    <w:rsid w:val="001B1BE4"/>
    <w:rsid w:val="001B2AD6"/>
    <w:rsid w:val="001B365D"/>
    <w:rsid w:val="001B407B"/>
    <w:rsid w:val="001B47AF"/>
    <w:rsid w:val="001B4CDB"/>
    <w:rsid w:val="001B4F67"/>
    <w:rsid w:val="001B53AC"/>
    <w:rsid w:val="001B6041"/>
    <w:rsid w:val="001B62CE"/>
    <w:rsid w:val="001B6C26"/>
    <w:rsid w:val="001B6C48"/>
    <w:rsid w:val="001B72A6"/>
    <w:rsid w:val="001C0A8F"/>
    <w:rsid w:val="001C1390"/>
    <w:rsid w:val="001C1C5B"/>
    <w:rsid w:val="001C1D27"/>
    <w:rsid w:val="001C24A2"/>
    <w:rsid w:val="001C323E"/>
    <w:rsid w:val="001C344A"/>
    <w:rsid w:val="001C3643"/>
    <w:rsid w:val="001C3D28"/>
    <w:rsid w:val="001C4CCD"/>
    <w:rsid w:val="001C5AA1"/>
    <w:rsid w:val="001C5C84"/>
    <w:rsid w:val="001C64A3"/>
    <w:rsid w:val="001C64D5"/>
    <w:rsid w:val="001C6886"/>
    <w:rsid w:val="001C70F4"/>
    <w:rsid w:val="001D198A"/>
    <w:rsid w:val="001D1F55"/>
    <w:rsid w:val="001D2EDC"/>
    <w:rsid w:val="001D3539"/>
    <w:rsid w:val="001D3EE2"/>
    <w:rsid w:val="001D54BA"/>
    <w:rsid w:val="001D585A"/>
    <w:rsid w:val="001D5EA0"/>
    <w:rsid w:val="001D6D34"/>
    <w:rsid w:val="001D7C5B"/>
    <w:rsid w:val="001E1464"/>
    <w:rsid w:val="001E2CAD"/>
    <w:rsid w:val="001E31A4"/>
    <w:rsid w:val="001E3F66"/>
    <w:rsid w:val="001E608A"/>
    <w:rsid w:val="001E60D0"/>
    <w:rsid w:val="001E6455"/>
    <w:rsid w:val="001E6A75"/>
    <w:rsid w:val="001E6E39"/>
    <w:rsid w:val="001F2D8A"/>
    <w:rsid w:val="001F3B6E"/>
    <w:rsid w:val="001F478E"/>
    <w:rsid w:val="001F4819"/>
    <w:rsid w:val="001F4CE4"/>
    <w:rsid w:val="001F5936"/>
    <w:rsid w:val="001F59F8"/>
    <w:rsid w:val="001F5FF2"/>
    <w:rsid w:val="001F676B"/>
    <w:rsid w:val="001F6971"/>
    <w:rsid w:val="001F6D7D"/>
    <w:rsid w:val="001F729A"/>
    <w:rsid w:val="001F7772"/>
    <w:rsid w:val="0020033A"/>
    <w:rsid w:val="0020043E"/>
    <w:rsid w:val="002014FB"/>
    <w:rsid w:val="00201890"/>
    <w:rsid w:val="00202839"/>
    <w:rsid w:val="00204346"/>
    <w:rsid w:val="00205CD0"/>
    <w:rsid w:val="00211614"/>
    <w:rsid w:val="002116B1"/>
    <w:rsid w:val="00211900"/>
    <w:rsid w:val="00212853"/>
    <w:rsid w:val="00212AB4"/>
    <w:rsid w:val="00212E2E"/>
    <w:rsid w:val="00213208"/>
    <w:rsid w:val="00213630"/>
    <w:rsid w:val="00213B23"/>
    <w:rsid w:val="00213E1A"/>
    <w:rsid w:val="0021463B"/>
    <w:rsid w:val="00214AC6"/>
    <w:rsid w:val="00214E30"/>
    <w:rsid w:val="002154A7"/>
    <w:rsid w:val="002157A1"/>
    <w:rsid w:val="00215EAA"/>
    <w:rsid w:val="00216081"/>
    <w:rsid w:val="00216703"/>
    <w:rsid w:val="00216DE7"/>
    <w:rsid w:val="002207EE"/>
    <w:rsid w:val="00220AAC"/>
    <w:rsid w:val="00221AEE"/>
    <w:rsid w:val="00222072"/>
    <w:rsid w:val="002228D5"/>
    <w:rsid w:val="00223AD2"/>
    <w:rsid w:val="00223E34"/>
    <w:rsid w:val="00224176"/>
    <w:rsid w:val="00225D87"/>
    <w:rsid w:val="00226664"/>
    <w:rsid w:val="00226930"/>
    <w:rsid w:val="002272E2"/>
    <w:rsid w:val="0022765C"/>
    <w:rsid w:val="00227718"/>
    <w:rsid w:val="00227E6B"/>
    <w:rsid w:val="00230F22"/>
    <w:rsid w:val="00231740"/>
    <w:rsid w:val="00231870"/>
    <w:rsid w:val="00231D1A"/>
    <w:rsid w:val="00232D2C"/>
    <w:rsid w:val="00232D61"/>
    <w:rsid w:val="002330C3"/>
    <w:rsid w:val="00233DC7"/>
    <w:rsid w:val="00234262"/>
    <w:rsid w:val="00236092"/>
    <w:rsid w:val="002372BF"/>
    <w:rsid w:val="00237915"/>
    <w:rsid w:val="0024056A"/>
    <w:rsid w:val="00240884"/>
    <w:rsid w:val="002413C8"/>
    <w:rsid w:val="002413F3"/>
    <w:rsid w:val="002419D0"/>
    <w:rsid w:val="00241AEA"/>
    <w:rsid w:val="00241B70"/>
    <w:rsid w:val="002424C9"/>
    <w:rsid w:val="00242CF0"/>
    <w:rsid w:val="00243276"/>
    <w:rsid w:val="00243AA6"/>
    <w:rsid w:val="0024431A"/>
    <w:rsid w:val="00246BDA"/>
    <w:rsid w:val="002471CB"/>
    <w:rsid w:val="00247779"/>
    <w:rsid w:val="0025009A"/>
    <w:rsid w:val="00251545"/>
    <w:rsid w:val="00251A17"/>
    <w:rsid w:val="00251C8B"/>
    <w:rsid w:val="00251D1E"/>
    <w:rsid w:val="0025320B"/>
    <w:rsid w:val="00253A40"/>
    <w:rsid w:val="002543B5"/>
    <w:rsid w:val="00254ED3"/>
    <w:rsid w:val="002551D1"/>
    <w:rsid w:val="002556B9"/>
    <w:rsid w:val="00255BB1"/>
    <w:rsid w:val="00255DAE"/>
    <w:rsid w:val="0025706B"/>
    <w:rsid w:val="002577F1"/>
    <w:rsid w:val="00257BC8"/>
    <w:rsid w:val="002619BF"/>
    <w:rsid w:val="00263CB1"/>
    <w:rsid w:val="00264648"/>
    <w:rsid w:val="00264E23"/>
    <w:rsid w:val="00266A5E"/>
    <w:rsid w:val="00267E26"/>
    <w:rsid w:val="002706D4"/>
    <w:rsid w:val="00270AB2"/>
    <w:rsid w:val="00270FC8"/>
    <w:rsid w:val="00271651"/>
    <w:rsid w:val="00271B8D"/>
    <w:rsid w:val="00272091"/>
    <w:rsid w:val="002724EB"/>
    <w:rsid w:val="002725DE"/>
    <w:rsid w:val="00272623"/>
    <w:rsid w:val="00273896"/>
    <w:rsid w:val="0027431F"/>
    <w:rsid w:val="00275868"/>
    <w:rsid w:val="00276737"/>
    <w:rsid w:val="00276839"/>
    <w:rsid w:val="0027688A"/>
    <w:rsid w:val="00276A87"/>
    <w:rsid w:val="00276F0A"/>
    <w:rsid w:val="00280337"/>
    <w:rsid w:val="0028100A"/>
    <w:rsid w:val="00282453"/>
    <w:rsid w:val="002837A2"/>
    <w:rsid w:val="00283BC0"/>
    <w:rsid w:val="002843BD"/>
    <w:rsid w:val="002844C2"/>
    <w:rsid w:val="0028465E"/>
    <w:rsid w:val="00284FCD"/>
    <w:rsid w:val="00285BEE"/>
    <w:rsid w:val="00285C1E"/>
    <w:rsid w:val="00285EEF"/>
    <w:rsid w:val="0028604C"/>
    <w:rsid w:val="00286D01"/>
    <w:rsid w:val="00287D6B"/>
    <w:rsid w:val="00290783"/>
    <w:rsid w:val="002909C2"/>
    <w:rsid w:val="0029273C"/>
    <w:rsid w:val="00293487"/>
    <w:rsid w:val="0029367C"/>
    <w:rsid w:val="0029533F"/>
    <w:rsid w:val="002954A5"/>
    <w:rsid w:val="00295F4F"/>
    <w:rsid w:val="00296CAE"/>
    <w:rsid w:val="00297E21"/>
    <w:rsid w:val="002A1645"/>
    <w:rsid w:val="002A2640"/>
    <w:rsid w:val="002A5D78"/>
    <w:rsid w:val="002A6130"/>
    <w:rsid w:val="002A621E"/>
    <w:rsid w:val="002A6372"/>
    <w:rsid w:val="002A65EC"/>
    <w:rsid w:val="002A67CB"/>
    <w:rsid w:val="002A6E9C"/>
    <w:rsid w:val="002A76DD"/>
    <w:rsid w:val="002A7C14"/>
    <w:rsid w:val="002A7F0A"/>
    <w:rsid w:val="002B00D6"/>
    <w:rsid w:val="002B0C93"/>
    <w:rsid w:val="002B11F5"/>
    <w:rsid w:val="002B2E4D"/>
    <w:rsid w:val="002B30AF"/>
    <w:rsid w:val="002B3386"/>
    <w:rsid w:val="002B4C28"/>
    <w:rsid w:val="002B4C75"/>
    <w:rsid w:val="002B52F2"/>
    <w:rsid w:val="002B601D"/>
    <w:rsid w:val="002B796E"/>
    <w:rsid w:val="002C0679"/>
    <w:rsid w:val="002C0A02"/>
    <w:rsid w:val="002C0F72"/>
    <w:rsid w:val="002C124C"/>
    <w:rsid w:val="002C2833"/>
    <w:rsid w:val="002C3914"/>
    <w:rsid w:val="002C3BFF"/>
    <w:rsid w:val="002C526C"/>
    <w:rsid w:val="002C55E2"/>
    <w:rsid w:val="002C56DB"/>
    <w:rsid w:val="002C58AC"/>
    <w:rsid w:val="002C5F04"/>
    <w:rsid w:val="002C5F07"/>
    <w:rsid w:val="002C77F6"/>
    <w:rsid w:val="002C7D89"/>
    <w:rsid w:val="002D0443"/>
    <w:rsid w:val="002D0ED8"/>
    <w:rsid w:val="002D14E2"/>
    <w:rsid w:val="002D25C8"/>
    <w:rsid w:val="002D419E"/>
    <w:rsid w:val="002D4B02"/>
    <w:rsid w:val="002D5145"/>
    <w:rsid w:val="002D6B4F"/>
    <w:rsid w:val="002D6F06"/>
    <w:rsid w:val="002D732B"/>
    <w:rsid w:val="002D79F2"/>
    <w:rsid w:val="002E00EB"/>
    <w:rsid w:val="002E012C"/>
    <w:rsid w:val="002E07EF"/>
    <w:rsid w:val="002E17D5"/>
    <w:rsid w:val="002E18FD"/>
    <w:rsid w:val="002E285A"/>
    <w:rsid w:val="002E3BEB"/>
    <w:rsid w:val="002E46C6"/>
    <w:rsid w:val="002E47D6"/>
    <w:rsid w:val="002E5B9A"/>
    <w:rsid w:val="002E5C21"/>
    <w:rsid w:val="002E7007"/>
    <w:rsid w:val="002E75D6"/>
    <w:rsid w:val="002E76DF"/>
    <w:rsid w:val="002F0080"/>
    <w:rsid w:val="002F02E3"/>
    <w:rsid w:val="002F1814"/>
    <w:rsid w:val="002F19D5"/>
    <w:rsid w:val="002F1D88"/>
    <w:rsid w:val="002F1EDF"/>
    <w:rsid w:val="002F288D"/>
    <w:rsid w:val="002F324C"/>
    <w:rsid w:val="002F3A16"/>
    <w:rsid w:val="002F3D2B"/>
    <w:rsid w:val="002F46AE"/>
    <w:rsid w:val="002F4CF5"/>
    <w:rsid w:val="002F6A00"/>
    <w:rsid w:val="002F7EDC"/>
    <w:rsid w:val="002F7F5D"/>
    <w:rsid w:val="0030069E"/>
    <w:rsid w:val="0030148A"/>
    <w:rsid w:val="003014CD"/>
    <w:rsid w:val="00301799"/>
    <w:rsid w:val="00301C25"/>
    <w:rsid w:val="0030206E"/>
    <w:rsid w:val="0030261F"/>
    <w:rsid w:val="003028BD"/>
    <w:rsid w:val="003029FA"/>
    <w:rsid w:val="00302E2F"/>
    <w:rsid w:val="003032D3"/>
    <w:rsid w:val="003033DB"/>
    <w:rsid w:val="00303520"/>
    <w:rsid w:val="003037E7"/>
    <w:rsid w:val="00304264"/>
    <w:rsid w:val="00304DCD"/>
    <w:rsid w:val="00304F29"/>
    <w:rsid w:val="00305366"/>
    <w:rsid w:val="00305429"/>
    <w:rsid w:val="003068DC"/>
    <w:rsid w:val="0030723F"/>
    <w:rsid w:val="003101E5"/>
    <w:rsid w:val="003105B4"/>
    <w:rsid w:val="003105E3"/>
    <w:rsid w:val="00311A6C"/>
    <w:rsid w:val="00312524"/>
    <w:rsid w:val="003126B4"/>
    <w:rsid w:val="0031303E"/>
    <w:rsid w:val="00313502"/>
    <w:rsid w:val="00313783"/>
    <w:rsid w:val="003137A2"/>
    <w:rsid w:val="00313BE6"/>
    <w:rsid w:val="00313DF4"/>
    <w:rsid w:val="00315029"/>
    <w:rsid w:val="0031506D"/>
    <w:rsid w:val="00315114"/>
    <w:rsid w:val="0031554F"/>
    <w:rsid w:val="00315BC9"/>
    <w:rsid w:val="00315C14"/>
    <w:rsid w:val="003164F5"/>
    <w:rsid w:val="00316948"/>
    <w:rsid w:val="00316D32"/>
    <w:rsid w:val="00316F89"/>
    <w:rsid w:val="00317787"/>
    <w:rsid w:val="00320AEC"/>
    <w:rsid w:val="00320D46"/>
    <w:rsid w:val="00321DA2"/>
    <w:rsid w:val="00321E3D"/>
    <w:rsid w:val="00321E9F"/>
    <w:rsid w:val="003223E1"/>
    <w:rsid w:val="00322E15"/>
    <w:rsid w:val="00323F60"/>
    <w:rsid w:val="00324510"/>
    <w:rsid w:val="00325922"/>
    <w:rsid w:val="003265AB"/>
    <w:rsid w:val="0032670F"/>
    <w:rsid w:val="00326A1D"/>
    <w:rsid w:val="00326A41"/>
    <w:rsid w:val="003277C6"/>
    <w:rsid w:val="00330319"/>
    <w:rsid w:val="0033080A"/>
    <w:rsid w:val="00330942"/>
    <w:rsid w:val="00330F22"/>
    <w:rsid w:val="00330F68"/>
    <w:rsid w:val="00331DB5"/>
    <w:rsid w:val="00331E6F"/>
    <w:rsid w:val="00331F26"/>
    <w:rsid w:val="00332079"/>
    <w:rsid w:val="00332A0A"/>
    <w:rsid w:val="00332BC4"/>
    <w:rsid w:val="003331EE"/>
    <w:rsid w:val="003332BE"/>
    <w:rsid w:val="0033344A"/>
    <w:rsid w:val="003345FC"/>
    <w:rsid w:val="003349D2"/>
    <w:rsid w:val="00334D22"/>
    <w:rsid w:val="00335D91"/>
    <w:rsid w:val="00336070"/>
    <w:rsid w:val="00336223"/>
    <w:rsid w:val="003365CF"/>
    <w:rsid w:val="00336E75"/>
    <w:rsid w:val="00336FF8"/>
    <w:rsid w:val="003373C7"/>
    <w:rsid w:val="00337B85"/>
    <w:rsid w:val="00340CA9"/>
    <w:rsid w:val="003412D7"/>
    <w:rsid w:val="0034137C"/>
    <w:rsid w:val="0034146E"/>
    <w:rsid w:val="003417B6"/>
    <w:rsid w:val="00342B0A"/>
    <w:rsid w:val="00343207"/>
    <w:rsid w:val="00343471"/>
    <w:rsid w:val="00343C4E"/>
    <w:rsid w:val="00343D13"/>
    <w:rsid w:val="003445FD"/>
    <w:rsid w:val="00347B3E"/>
    <w:rsid w:val="003509BB"/>
    <w:rsid w:val="00350E5E"/>
    <w:rsid w:val="00351387"/>
    <w:rsid w:val="00352859"/>
    <w:rsid w:val="0035311F"/>
    <w:rsid w:val="003538D7"/>
    <w:rsid w:val="00353964"/>
    <w:rsid w:val="003543B9"/>
    <w:rsid w:val="00355FD2"/>
    <w:rsid w:val="0035620B"/>
    <w:rsid w:val="00356919"/>
    <w:rsid w:val="0035691D"/>
    <w:rsid w:val="003603E3"/>
    <w:rsid w:val="00361BCF"/>
    <w:rsid w:val="0036216A"/>
    <w:rsid w:val="003622DA"/>
    <w:rsid w:val="00362A98"/>
    <w:rsid w:val="00362C7F"/>
    <w:rsid w:val="00364265"/>
    <w:rsid w:val="00364600"/>
    <w:rsid w:val="00364A66"/>
    <w:rsid w:val="003651B4"/>
    <w:rsid w:val="00365806"/>
    <w:rsid w:val="003701A2"/>
    <w:rsid w:val="0037027F"/>
    <w:rsid w:val="003708BC"/>
    <w:rsid w:val="0037195B"/>
    <w:rsid w:val="003719A2"/>
    <w:rsid w:val="00371FFD"/>
    <w:rsid w:val="00372D59"/>
    <w:rsid w:val="00374CBC"/>
    <w:rsid w:val="00375EF9"/>
    <w:rsid w:val="0037693C"/>
    <w:rsid w:val="00377769"/>
    <w:rsid w:val="00380D79"/>
    <w:rsid w:val="00381989"/>
    <w:rsid w:val="00381992"/>
    <w:rsid w:val="003826F7"/>
    <w:rsid w:val="00383B1A"/>
    <w:rsid w:val="00383D9B"/>
    <w:rsid w:val="003847E7"/>
    <w:rsid w:val="00384C12"/>
    <w:rsid w:val="003858CF"/>
    <w:rsid w:val="00385A83"/>
    <w:rsid w:val="0038625E"/>
    <w:rsid w:val="00386842"/>
    <w:rsid w:val="003878E2"/>
    <w:rsid w:val="0039048C"/>
    <w:rsid w:val="00390840"/>
    <w:rsid w:val="00390D9A"/>
    <w:rsid w:val="00391869"/>
    <w:rsid w:val="0039211F"/>
    <w:rsid w:val="0039217F"/>
    <w:rsid w:val="00392357"/>
    <w:rsid w:val="00392B23"/>
    <w:rsid w:val="00392F90"/>
    <w:rsid w:val="0039307F"/>
    <w:rsid w:val="0039388F"/>
    <w:rsid w:val="0039410C"/>
    <w:rsid w:val="003946B9"/>
    <w:rsid w:val="003962D2"/>
    <w:rsid w:val="003967FC"/>
    <w:rsid w:val="00396B6F"/>
    <w:rsid w:val="0039710B"/>
    <w:rsid w:val="003A023B"/>
    <w:rsid w:val="003A31D3"/>
    <w:rsid w:val="003A3335"/>
    <w:rsid w:val="003A3A15"/>
    <w:rsid w:val="003A41F7"/>
    <w:rsid w:val="003A5795"/>
    <w:rsid w:val="003A6E49"/>
    <w:rsid w:val="003A7163"/>
    <w:rsid w:val="003A71E0"/>
    <w:rsid w:val="003A730E"/>
    <w:rsid w:val="003A7ADB"/>
    <w:rsid w:val="003A7C46"/>
    <w:rsid w:val="003A7DAD"/>
    <w:rsid w:val="003A7F8D"/>
    <w:rsid w:val="003B0522"/>
    <w:rsid w:val="003B0813"/>
    <w:rsid w:val="003B0E02"/>
    <w:rsid w:val="003B0EC6"/>
    <w:rsid w:val="003B2372"/>
    <w:rsid w:val="003B251E"/>
    <w:rsid w:val="003B2935"/>
    <w:rsid w:val="003B2CB5"/>
    <w:rsid w:val="003B52B3"/>
    <w:rsid w:val="003B6C56"/>
    <w:rsid w:val="003C0A85"/>
    <w:rsid w:val="003C1CC2"/>
    <w:rsid w:val="003C224B"/>
    <w:rsid w:val="003C2853"/>
    <w:rsid w:val="003C3388"/>
    <w:rsid w:val="003C39D7"/>
    <w:rsid w:val="003C3AFA"/>
    <w:rsid w:val="003C3C48"/>
    <w:rsid w:val="003C4F92"/>
    <w:rsid w:val="003C50F2"/>
    <w:rsid w:val="003C5ABA"/>
    <w:rsid w:val="003C5B0F"/>
    <w:rsid w:val="003C5FEC"/>
    <w:rsid w:val="003C619A"/>
    <w:rsid w:val="003C68D3"/>
    <w:rsid w:val="003C76D1"/>
    <w:rsid w:val="003D0F23"/>
    <w:rsid w:val="003D12DA"/>
    <w:rsid w:val="003D1D05"/>
    <w:rsid w:val="003D2541"/>
    <w:rsid w:val="003D2D0A"/>
    <w:rsid w:val="003D3209"/>
    <w:rsid w:val="003D3AE1"/>
    <w:rsid w:val="003D47D0"/>
    <w:rsid w:val="003D5458"/>
    <w:rsid w:val="003D57DB"/>
    <w:rsid w:val="003E0B05"/>
    <w:rsid w:val="003E123C"/>
    <w:rsid w:val="003E1D86"/>
    <w:rsid w:val="003E1EAB"/>
    <w:rsid w:val="003E3C5D"/>
    <w:rsid w:val="003E5AC0"/>
    <w:rsid w:val="003E5B8A"/>
    <w:rsid w:val="003E6A89"/>
    <w:rsid w:val="003E7223"/>
    <w:rsid w:val="003E74D4"/>
    <w:rsid w:val="003E74DE"/>
    <w:rsid w:val="003E77E4"/>
    <w:rsid w:val="003E7ACD"/>
    <w:rsid w:val="003F0678"/>
    <w:rsid w:val="003F0F60"/>
    <w:rsid w:val="003F1C3A"/>
    <w:rsid w:val="003F21B9"/>
    <w:rsid w:val="003F2DB5"/>
    <w:rsid w:val="003F3860"/>
    <w:rsid w:val="003F54A5"/>
    <w:rsid w:val="003F5924"/>
    <w:rsid w:val="003F6729"/>
    <w:rsid w:val="003F78C9"/>
    <w:rsid w:val="00400C3A"/>
    <w:rsid w:val="00401572"/>
    <w:rsid w:val="00401610"/>
    <w:rsid w:val="00401AE2"/>
    <w:rsid w:val="00401C84"/>
    <w:rsid w:val="00402DE7"/>
    <w:rsid w:val="004030D6"/>
    <w:rsid w:val="004033B6"/>
    <w:rsid w:val="00403A9A"/>
    <w:rsid w:val="00403FDB"/>
    <w:rsid w:val="00404531"/>
    <w:rsid w:val="0040474C"/>
    <w:rsid w:val="00404B64"/>
    <w:rsid w:val="00404CBC"/>
    <w:rsid w:val="004050BF"/>
    <w:rsid w:val="004068B3"/>
    <w:rsid w:val="00406EE6"/>
    <w:rsid w:val="00406F12"/>
    <w:rsid w:val="00407165"/>
    <w:rsid w:val="0040777C"/>
    <w:rsid w:val="004100FC"/>
    <w:rsid w:val="00412739"/>
    <w:rsid w:val="00413C51"/>
    <w:rsid w:val="0041416D"/>
    <w:rsid w:val="00414D1B"/>
    <w:rsid w:val="004162E2"/>
    <w:rsid w:val="004163A2"/>
    <w:rsid w:val="00416513"/>
    <w:rsid w:val="00417FA5"/>
    <w:rsid w:val="0042039A"/>
    <w:rsid w:val="00420E02"/>
    <w:rsid w:val="00420E92"/>
    <w:rsid w:val="00420F5A"/>
    <w:rsid w:val="004213D9"/>
    <w:rsid w:val="004214AB"/>
    <w:rsid w:val="004221AD"/>
    <w:rsid w:val="004227EB"/>
    <w:rsid w:val="0042386A"/>
    <w:rsid w:val="0042464F"/>
    <w:rsid w:val="0042488A"/>
    <w:rsid w:val="00425763"/>
    <w:rsid w:val="0042592B"/>
    <w:rsid w:val="00425D39"/>
    <w:rsid w:val="00425F54"/>
    <w:rsid w:val="0042648E"/>
    <w:rsid w:val="0042702D"/>
    <w:rsid w:val="004276FF"/>
    <w:rsid w:val="00427766"/>
    <w:rsid w:val="00427E05"/>
    <w:rsid w:val="00427F14"/>
    <w:rsid w:val="00430998"/>
    <w:rsid w:val="00431DC6"/>
    <w:rsid w:val="00431FD0"/>
    <w:rsid w:val="00432553"/>
    <w:rsid w:val="00432D59"/>
    <w:rsid w:val="00432F36"/>
    <w:rsid w:val="00433CF3"/>
    <w:rsid w:val="00435C3D"/>
    <w:rsid w:val="00436517"/>
    <w:rsid w:val="00436551"/>
    <w:rsid w:val="0043709D"/>
    <w:rsid w:val="00440D65"/>
    <w:rsid w:val="00441950"/>
    <w:rsid w:val="00441DBC"/>
    <w:rsid w:val="00442180"/>
    <w:rsid w:val="00442441"/>
    <w:rsid w:val="004425CB"/>
    <w:rsid w:val="00442C48"/>
    <w:rsid w:val="004431C0"/>
    <w:rsid w:val="00443E86"/>
    <w:rsid w:val="0044450A"/>
    <w:rsid w:val="00444CCE"/>
    <w:rsid w:val="00444D9C"/>
    <w:rsid w:val="00445DA1"/>
    <w:rsid w:val="0044605C"/>
    <w:rsid w:val="0044659A"/>
    <w:rsid w:val="00446FD6"/>
    <w:rsid w:val="00447BF3"/>
    <w:rsid w:val="00447D23"/>
    <w:rsid w:val="004507DC"/>
    <w:rsid w:val="00450B09"/>
    <w:rsid w:val="004519FE"/>
    <w:rsid w:val="00452C24"/>
    <w:rsid w:val="00452E1F"/>
    <w:rsid w:val="00452E9C"/>
    <w:rsid w:val="00454271"/>
    <w:rsid w:val="004543D8"/>
    <w:rsid w:val="0045525E"/>
    <w:rsid w:val="00456022"/>
    <w:rsid w:val="00456245"/>
    <w:rsid w:val="00456875"/>
    <w:rsid w:val="00456CA7"/>
    <w:rsid w:val="00457841"/>
    <w:rsid w:val="00457C51"/>
    <w:rsid w:val="004601C0"/>
    <w:rsid w:val="00460B0E"/>
    <w:rsid w:val="00461A39"/>
    <w:rsid w:val="00461DA2"/>
    <w:rsid w:val="004620A8"/>
    <w:rsid w:val="00462106"/>
    <w:rsid w:val="004622E4"/>
    <w:rsid w:val="00462C84"/>
    <w:rsid w:val="00462E81"/>
    <w:rsid w:val="00463882"/>
    <w:rsid w:val="0046397D"/>
    <w:rsid w:val="00464217"/>
    <w:rsid w:val="00464F96"/>
    <w:rsid w:val="00465533"/>
    <w:rsid w:val="0046569F"/>
    <w:rsid w:val="00465C5A"/>
    <w:rsid w:val="004663A2"/>
    <w:rsid w:val="004663EE"/>
    <w:rsid w:val="0047013D"/>
    <w:rsid w:val="004708D8"/>
    <w:rsid w:val="00470E6E"/>
    <w:rsid w:val="0047132A"/>
    <w:rsid w:val="0047221B"/>
    <w:rsid w:val="00472B9D"/>
    <w:rsid w:val="00472C90"/>
    <w:rsid w:val="00473275"/>
    <w:rsid w:val="00473864"/>
    <w:rsid w:val="00474116"/>
    <w:rsid w:val="00475973"/>
    <w:rsid w:val="00475C4C"/>
    <w:rsid w:val="00475D2E"/>
    <w:rsid w:val="004760B1"/>
    <w:rsid w:val="00476443"/>
    <w:rsid w:val="00476BAA"/>
    <w:rsid w:val="00477A70"/>
    <w:rsid w:val="00477D33"/>
    <w:rsid w:val="004808D0"/>
    <w:rsid w:val="0048138D"/>
    <w:rsid w:val="004826DA"/>
    <w:rsid w:val="004827C7"/>
    <w:rsid w:val="00482F91"/>
    <w:rsid w:val="0048300B"/>
    <w:rsid w:val="00483528"/>
    <w:rsid w:val="00485118"/>
    <w:rsid w:val="00485F5B"/>
    <w:rsid w:val="004863DF"/>
    <w:rsid w:val="00487C71"/>
    <w:rsid w:val="00490540"/>
    <w:rsid w:val="0049110F"/>
    <w:rsid w:val="00491E80"/>
    <w:rsid w:val="00492673"/>
    <w:rsid w:val="00492960"/>
    <w:rsid w:val="004936D2"/>
    <w:rsid w:val="00493C99"/>
    <w:rsid w:val="00493F4C"/>
    <w:rsid w:val="004941B8"/>
    <w:rsid w:val="00494C0B"/>
    <w:rsid w:val="00494D7B"/>
    <w:rsid w:val="00495053"/>
    <w:rsid w:val="0049559A"/>
    <w:rsid w:val="00497D01"/>
    <w:rsid w:val="00497FAF"/>
    <w:rsid w:val="00497FFD"/>
    <w:rsid w:val="004A0426"/>
    <w:rsid w:val="004A18B2"/>
    <w:rsid w:val="004A1D21"/>
    <w:rsid w:val="004A2CF7"/>
    <w:rsid w:val="004A3820"/>
    <w:rsid w:val="004A42BC"/>
    <w:rsid w:val="004A4366"/>
    <w:rsid w:val="004A548B"/>
    <w:rsid w:val="004A58B2"/>
    <w:rsid w:val="004A7C37"/>
    <w:rsid w:val="004B0850"/>
    <w:rsid w:val="004B0B6A"/>
    <w:rsid w:val="004B168B"/>
    <w:rsid w:val="004B1784"/>
    <w:rsid w:val="004B2833"/>
    <w:rsid w:val="004B29BA"/>
    <w:rsid w:val="004B2B8A"/>
    <w:rsid w:val="004B388C"/>
    <w:rsid w:val="004B46CE"/>
    <w:rsid w:val="004B4F17"/>
    <w:rsid w:val="004B5690"/>
    <w:rsid w:val="004B5C81"/>
    <w:rsid w:val="004B5FA8"/>
    <w:rsid w:val="004B6657"/>
    <w:rsid w:val="004B6B7A"/>
    <w:rsid w:val="004C0174"/>
    <w:rsid w:val="004C032B"/>
    <w:rsid w:val="004C2532"/>
    <w:rsid w:val="004C29AA"/>
    <w:rsid w:val="004C3957"/>
    <w:rsid w:val="004C454B"/>
    <w:rsid w:val="004C4620"/>
    <w:rsid w:val="004C4B53"/>
    <w:rsid w:val="004C4E84"/>
    <w:rsid w:val="004C5441"/>
    <w:rsid w:val="004C5F72"/>
    <w:rsid w:val="004C6A01"/>
    <w:rsid w:val="004C7346"/>
    <w:rsid w:val="004C7448"/>
    <w:rsid w:val="004D0B8D"/>
    <w:rsid w:val="004D1504"/>
    <w:rsid w:val="004D17B7"/>
    <w:rsid w:val="004D2A2F"/>
    <w:rsid w:val="004D2B95"/>
    <w:rsid w:val="004D4BC7"/>
    <w:rsid w:val="004D4C38"/>
    <w:rsid w:val="004D4D20"/>
    <w:rsid w:val="004D59A5"/>
    <w:rsid w:val="004D6478"/>
    <w:rsid w:val="004D795A"/>
    <w:rsid w:val="004D7D34"/>
    <w:rsid w:val="004E255C"/>
    <w:rsid w:val="004E339A"/>
    <w:rsid w:val="004E363D"/>
    <w:rsid w:val="004E454B"/>
    <w:rsid w:val="004E51C5"/>
    <w:rsid w:val="004E5A5E"/>
    <w:rsid w:val="004E5FF0"/>
    <w:rsid w:val="004E60AC"/>
    <w:rsid w:val="004E6BBC"/>
    <w:rsid w:val="004E735D"/>
    <w:rsid w:val="004E7A1E"/>
    <w:rsid w:val="004F0662"/>
    <w:rsid w:val="004F0979"/>
    <w:rsid w:val="004F1F23"/>
    <w:rsid w:val="004F2C72"/>
    <w:rsid w:val="004F3D58"/>
    <w:rsid w:val="004F470E"/>
    <w:rsid w:val="004F47BA"/>
    <w:rsid w:val="004F4D34"/>
    <w:rsid w:val="004F50EE"/>
    <w:rsid w:val="004F5794"/>
    <w:rsid w:val="004F5F9F"/>
    <w:rsid w:val="004F68C5"/>
    <w:rsid w:val="004F76F1"/>
    <w:rsid w:val="004F777B"/>
    <w:rsid w:val="005007AB"/>
    <w:rsid w:val="00500D98"/>
    <w:rsid w:val="0050147D"/>
    <w:rsid w:val="00501619"/>
    <w:rsid w:val="005024DF"/>
    <w:rsid w:val="005036D0"/>
    <w:rsid w:val="00503863"/>
    <w:rsid w:val="00503AC0"/>
    <w:rsid w:val="005044A2"/>
    <w:rsid w:val="00504689"/>
    <w:rsid w:val="00504A7B"/>
    <w:rsid w:val="00505972"/>
    <w:rsid w:val="00506298"/>
    <w:rsid w:val="00506BD2"/>
    <w:rsid w:val="00510099"/>
    <w:rsid w:val="0051069A"/>
    <w:rsid w:val="00510DA5"/>
    <w:rsid w:val="005110BE"/>
    <w:rsid w:val="00512289"/>
    <w:rsid w:val="0051239C"/>
    <w:rsid w:val="00512FA5"/>
    <w:rsid w:val="005139E2"/>
    <w:rsid w:val="00516DDE"/>
    <w:rsid w:val="00521057"/>
    <w:rsid w:val="0052137B"/>
    <w:rsid w:val="0052145F"/>
    <w:rsid w:val="0052165E"/>
    <w:rsid w:val="005226C5"/>
    <w:rsid w:val="00522F9A"/>
    <w:rsid w:val="005232DD"/>
    <w:rsid w:val="00523D85"/>
    <w:rsid w:val="00524531"/>
    <w:rsid w:val="005247C5"/>
    <w:rsid w:val="00526B2D"/>
    <w:rsid w:val="00526C3B"/>
    <w:rsid w:val="00526F1A"/>
    <w:rsid w:val="00527634"/>
    <w:rsid w:val="0053064B"/>
    <w:rsid w:val="00530B50"/>
    <w:rsid w:val="0053207D"/>
    <w:rsid w:val="005323E5"/>
    <w:rsid w:val="00532ACB"/>
    <w:rsid w:val="00533148"/>
    <w:rsid w:val="00533B9B"/>
    <w:rsid w:val="00533FF0"/>
    <w:rsid w:val="005357B8"/>
    <w:rsid w:val="005359B6"/>
    <w:rsid w:val="005372F0"/>
    <w:rsid w:val="00540AAA"/>
    <w:rsid w:val="00540E97"/>
    <w:rsid w:val="00541121"/>
    <w:rsid w:val="00541A2B"/>
    <w:rsid w:val="00542042"/>
    <w:rsid w:val="00542295"/>
    <w:rsid w:val="00542854"/>
    <w:rsid w:val="00542D2E"/>
    <w:rsid w:val="00542F1D"/>
    <w:rsid w:val="00542FD2"/>
    <w:rsid w:val="00543193"/>
    <w:rsid w:val="0054624B"/>
    <w:rsid w:val="0054645B"/>
    <w:rsid w:val="005471AA"/>
    <w:rsid w:val="005471C3"/>
    <w:rsid w:val="005471CB"/>
    <w:rsid w:val="00547A0A"/>
    <w:rsid w:val="005527FC"/>
    <w:rsid w:val="005534CF"/>
    <w:rsid w:val="005541AF"/>
    <w:rsid w:val="00554920"/>
    <w:rsid w:val="005550A8"/>
    <w:rsid w:val="00555A36"/>
    <w:rsid w:val="00556C11"/>
    <w:rsid w:val="00556C8C"/>
    <w:rsid w:val="00556DAC"/>
    <w:rsid w:val="00557495"/>
    <w:rsid w:val="005577B8"/>
    <w:rsid w:val="00557B14"/>
    <w:rsid w:val="00560C2D"/>
    <w:rsid w:val="00561416"/>
    <w:rsid w:val="00561964"/>
    <w:rsid w:val="005648C1"/>
    <w:rsid w:val="00564C8F"/>
    <w:rsid w:val="0056679D"/>
    <w:rsid w:val="00566A44"/>
    <w:rsid w:val="00566C5B"/>
    <w:rsid w:val="00566E2C"/>
    <w:rsid w:val="0056712A"/>
    <w:rsid w:val="00567975"/>
    <w:rsid w:val="00570985"/>
    <w:rsid w:val="00570EE1"/>
    <w:rsid w:val="005712E3"/>
    <w:rsid w:val="00571F15"/>
    <w:rsid w:val="00574207"/>
    <w:rsid w:val="005751F1"/>
    <w:rsid w:val="0057604E"/>
    <w:rsid w:val="00576E56"/>
    <w:rsid w:val="005800D4"/>
    <w:rsid w:val="00580EBB"/>
    <w:rsid w:val="00581274"/>
    <w:rsid w:val="00581F6A"/>
    <w:rsid w:val="005823D4"/>
    <w:rsid w:val="005833D1"/>
    <w:rsid w:val="00584191"/>
    <w:rsid w:val="00584703"/>
    <w:rsid w:val="00584860"/>
    <w:rsid w:val="00584D6E"/>
    <w:rsid w:val="0058536F"/>
    <w:rsid w:val="00585D5C"/>
    <w:rsid w:val="005861FB"/>
    <w:rsid w:val="00587ABC"/>
    <w:rsid w:val="00591F8A"/>
    <w:rsid w:val="0059221B"/>
    <w:rsid w:val="00592279"/>
    <w:rsid w:val="005927C6"/>
    <w:rsid w:val="0059334C"/>
    <w:rsid w:val="00594061"/>
    <w:rsid w:val="00594186"/>
    <w:rsid w:val="005945E7"/>
    <w:rsid w:val="0059475B"/>
    <w:rsid w:val="00594928"/>
    <w:rsid w:val="005957BC"/>
    <w:rsid w:val="00595C0C"/>
    <w:rsid w:val="00595DAD"/>
    <w:rsid w:val="00595DFE"/>
    <w:rsid w:val="0059600F"/>
    <w:rsid w:val="00596A19"/>
    <w:rsid w:val="00597295"/>
    <w:rsid w:val="0059782D"/>
    <w:rsid w:val="005A1508"/>
    <w:rsid w:val="005A2B97"/>
    <w:rsid w:val="005A447D"/>
    <w:rsid w:val="005A5FF2"/>
    <w:rsid w:val="005A6C55"/>
    <w:rsid w:val="005A6CFC"/>
    <w:rsid w:val="005A75DC"/>
    <w:rsid w:val="005A7E50"/>
    <w:rsid w:val="005B1BF8"/>
    <w:rsid w:val="005B1EB6"/>
    <w:rsid w:val="005B2BBC"/>
    <w:rsid w:val="005B3F13"/>
    <w:rsid w:val="005B4D33"/>
    <w:rsid w:val="005B505A"/>
    <w:rsid w:val="005B51AD"/>
    <w:rsid w:val="005B54B9"/>
    <w:rsid w:val="005B65FC"/>
    <w:rsid w:val="005B6BC8"/>
    <w:rsid w:val="005B6C19"/>
    <w:rsid w:val="005B6D0B"/>
    <w:rsid w:val="005B719A"/>
    <w:rsid w:val="005B7511"/>
    <w:rsid w:val="005C0BB2"/>
    <w:rsid w:val="005C1763"/>
    <w:rsid w:val="005C229F"/>
    <w:rsid w:val="005C312F"/>
    <w:rsid w:val="005C479E"/>
    <w:rsid w:val="005C4FBB"/>
    <w:rsid w:val="005C5F60"/>
    <w:rsid w:val="005C6CFA"/>
    <w:rsid w:val="005C6E19"/>
    <w:rsid w:val="005D0D07"/>
    <w:rsid w:val="005D15E8"/>
    <w:rsid w:val="005D1CB9"/>
    <w:rsid w:val="005D2429"/>
    <w:rsid w:val="005D27F0"/>
    <w:rsid w:val="005D2DB4"/>
    <w:rsid w:val="005D3EE4"/>
    <w:rsid w:val="005D44BE"/>
    <w:rsid w:val="005D45CA"/>
    <w:rsid w:val="005D580C"/>
    <w:rsid w:val="005D60B7"/>
    <w:rsid w:val="005D695E"/>
    <w:rsid w:val="005D6C40"/>
    <w:rsid w:val="005D75AB"/>
    <w:rsid w:val="005E0A98"/>
    <w:rsid w:val="005E0E29"/>
    <w:rsid w:val="005E11E9"/>
    <w:rsid w:val="005E2942"/>
    <w:rsid w:val="005E2DD4"/>
    <w:rsid w:val="005E3A46"/>
    <w:rsid w:val="005E4046"/>
    <w:rsid w:val="005E4EB0"/>
    <w:rsid w:val="005E545C"/>
    <w:rsid w:val="005E5A5D"/>
    <w:rsid w:val="005E66D4"/>
    <w:rsid w:val="005E6D6C"/>
    <w:rsid w:val="005F085E"/>
    <w:rsid w:val="005F0D60"/>
    <w:rsid w:val="005F105C"/>
    <w:rsid w:val="005F105D"/>
    <w:rsid w:val="005F143D"/>
    <w:rsid w:val="005F1DF4"/>
    <w:rsid w:val="005F23CA"/>
    <w:rsid w:val="005F53FB"/>
    <w:rsid w:val="005F6E26"/>
    <w:rsid w:val="005F70AD"/>
    <w:rsid w:val="006002E9"/>
    <w:rsid w:val="00601178"/>
    <w:rsid w:val="00601391"/>
    <w:rsid w:val="00601774"/>
    <w:rsid w:val="006020C3"/>
    <w:rsid w:val="006020D3"/>
    <w:rsid w:val="00602246"/>
    <w:rsid w:val="0060258D"/>
    <w:rsid w:val="00603017"/>
    <w:rsid w:val="0060302E"/>
    <w:rsid w:val="006030D4"/>
    <w:rsid w:val="00603DBB"/>
    <w:rsid w:val="00604970"/>
    <w:rsid w:val="00605706"/>
    <w:rsid w:val="0060619B"/>
    <w:rsid w:val="0061006B"/>
    <w:rsid w:val="006108F1"/>
    <w:rsid w:val="00610C28"/>
    <w:rsid w:val="006111AC"/>
    <w:rsid w:val="00611880"/>
    <w:rsid w:val="00611A22"/>
    <w:rsid w:val="00612D58"/>
    <w:rsid w:val="006132AE"/>
    <w:rsid w:val="006133F6"/>
    <w:rsid w:val="006138EE"/>
    <w:rsid w:val="0061425D"/>
    <w:rsid w:val="00614F9D"/>
    <w:rsid w:val="00614FE4"/>
    <w:rsid w:val="0061575B"/>
    <w:rsid w:val="006159E1"/>
    <w:rsid w:val="00616ED5"/>
    <w:rsid w:val="0062022F"/>
    <w:rsid w:val="00621183"/>
    <w:rsid w:val="00621F89"/>
    <w:rsid w:val="006224F3"/>
    <w:rsid w:val="006229AF"/>
    <w:rsid w:val="0062327E"/>
    <w:rsid w:val="00624C1F"/>
    <w:rsid w:val="0062513B"/>
    <w:rsid w:val="006251A7"/>
    <w:rsid w:val="006255A0"/>
    <w:rsid w:val="006257EB"/>
    <w:rsid w:val="00625D54"/>
    <w:rsid w:val="0062621D"/>
    <w:rsid w:val="006268AA"/>
    <w:rsid w:val="00626C40"/>
    <w:rsid w:val="00627334"/>
    <w:rsid w:val="00627991"/>
    <w:rsid w:val="00627A38"/>
    <w:rsid w:val="006300AB"/>
    <w:rsid w:val="006300F4"/>
    <w:rsid w:val="0063107D"/>
    <w:rsid w:val="006312B2"/>
    <w:rsid w:val="00631425"/>
    <w:rsid w:val="00631F29"/>
    <w:rsid w:val="00632401"/>
    <w:rsid w:val="00632686"/>
    <w:rsid w:val="006327DC"/>
    <w:rsid w:val="0063453C"/>
    <w:rsid w:val="0063493A"/>
    <w:rsid w:val="006349CD"/>
    <w:rsid w:val="006354FC"/>
    <w:rsid w:val="006355D6"/>
    <w:rsid w:val="00635A45"/>
    <w:rsid w:val="00635B6A"/>
    <w:rsid w:val="00635D79"/>
    <w:rsid w:val="00640997"/>
    <w:rsid w:val="006411DE"/>
    <w:rsid w:val="00641EDE"/>
    <w:rsid w:val="0064226E"/>
    <w:rsid w:val="006429F4"/>
    <w:rsid w:val="00643477"/>
    <w:rsid w:val="00643730"/>
    <w:rsid w:val="00643E3B"/>
    <w:rsid w:val="00643F00"/>
    <w:rsid w:val="0064590B"/>
    <w:rsid w:val="006466E7"/>
    <w:rsid w:val="0064679F"/>
    <w:rsid w:val="00651B91"/>
    <w:rsid w:val="00651D46"/>
    <w:rsid w:val="00651E40"/>
    <w:rsid w:val="00652569"/>
    <w:rsid w:val="00652A21"/>
    <w:rsid w:val="00652BF0"/>
    <w:rsid w:val="006537E3"/>
    <w:rsid w:val="00653A99"/>
    <w:rsid w:val="00653FDD"/>
    <w:rsid w:val="0065417F"/>
    <w:rsid w:val="00654FDF"/>
    <w:rsid w:val="006577D7"/>
    <w:rsid w:val="00657DEF"/>
    <w:rsid w:val="00661208"/>
    <w:rsid w:val="0066120D"/>
    <w:rsid w:val="006615C1"/>
    <w:rsid w:val="00662F96"/>
    <w:rsid w:val="006632C7"/>
    <w:rsid w:val="0066367B"/>
    <w:rsid w:val="0066399A"/>
    <w:rsid w:val="0066423C"/>
    <w:rsid w:val="006650BA"/>
    <w:rsid w:val="006655F6"/>
    <w:rsid w:val="00665B2A"/>
    <w:rsid w:val="006662B4"/>
    <w:rsid w:val="006662BF"/>
    <w:rsid w:val="006662DC"/>
    <w:rsid w:val="00667292"/>
    <w:rsid w:val="006678A4"/>
    <w:rsid w:val="006718D5"/>
    <w:rsid w:val="00671CB3"/>
    <w:rsid w:val="00675A03"/>
    <w:rsid w:val="00675E39"/>
    <w:rsid w:val="00675E4B"/>
    <w:rsid w:val="00676A5E"/>
    <w:rsid w:val="00676F7F"/>
    <w:rsid w:val="0067777E"/>
    <w:rsid w:val="00680241"/>
    <w:rsid w:val="006811D7"/>
    <w:rsid w:val="006818A2"/>
    <w:rsid w:val="006829D1"/>
    <w:rsid w:val="00682AC7"/>
    <w:rsid w:val="00682C9A"/>
    <w:rsid w:val="00682EE6"/>
    <w:rsid w:val="0068347F"/>
    <w:rsid w:val="006838A3"/>
    <w:rsid w:val="006838D5"/>
    <w:rsid w:val="00684F2A"/>
    <w:rsid w:val="0068586D"/>
    <w:rsid w:val="00685F7A"/>
    <w:rsid w:val="00686266"/>
    <w:rsid w:val="00686724"/>
    <w:rsid w:val="00686A41"/>
    <w:rsid w:val="00686C14"/>
    <w:rsid w:val="0068761D"/>
    <w:rsid w:val="00690A60"/>
    <w:rsid w:val="00690BE0"/>
    <w:rsid w:val="0069108A"/>
    <w:rsid w:val="0069168D"/>
    <w:rsid w:val="006918F9"/>
    <w:rsid w:val="006921EE"/>
    <w:rsid w:val="00692335"/>
    <w:rsid w:val="00693061"/>
    <w:rsid w:val="00693825"/>
    <w:rsid w:val="00693BC4"/>
    <w:rsid w:val="006947A4"/>
    <w:rsid w:val="006957E7"/>
    <w:rsid w:val="006972EA"/>
    <w:rsid w:val="006979CF"/>
    <w:rsid w:val="006A0510"/>
    <w:rsid w:val="006A0D25"/>
    <w:rsid w:val="006A1114"/>
    <w:rsid w:val="006A11CF"/>
    <w:rsid w:val="006A2348"/>
    <w:rsid w:val="006A2EDB"/>
    <w:rsid w:val="006A359E"/>
    <w:rsid w:val="006A41CF"/>
    <w:rsid w:val="006A4A41"/>
    <w:rsid w:val="006A4C8C"/>
    <w:rsid w:val="006A50FB"/>
    <w:rsid w:val="006A548F"/>
    <w:rsid w:val="006A59B3"/>
    <w:rsid w:val="006A5F10"/>
    <w:rsid w:val="006A5FF4"/>
    <w:rsid w:val="006A6C86"/>
    <w:rsid w:val="006A6D65"/>
    <w:rsid w:val="006A7FEB"/>
    <w:rsid w:val="006B0357"/>
    <w:rsid w:val="006B284C"/>
    <w:rsid w:val="006B6752"/>
    <w:rsid w:val="006B680C"/>
    <w:rsid w:val="006B7355"/>
    <w:rsid w:val="006C058E"/>
    <w:rsid w:val="006C1052"/>
    <w:rsid w:val="006C1D6E"/>
    <w:rsid w:val="006C3962"/>
    <w:rsid w:val="006C3B49"/>
    <w:rsid w:val="006C3BF2"/>
    <w:rsid w:val="006C401E"/>
    <w:rsid w:val="006C429A"/>
    <w:rsid w:val="006C490F"/>
    <w:rsid w:val="006C5015"/>
    <w:rsid w:val="006C53C0"/>
    <w:rsid w:val="006C622B"/>
    <w:rsid w:val="006C71D0"/>
    <w:rsid w:val="006C7655"/>
    <w:rsid w:val="006D088F"/>
    <w:rsid w:val="006D106D"/>
    <w:rsid w:val="006D15CA"/>
    <w:rsid w:val="006D1A65"/>
    <w:rsid w:val="006D228A"/>
    <w:rsid w:val="006D2C60"/>
    <w:rsid w:val="006D3317"/>
    <w:rsid w:val="006D3B42"/>
    <w:rsid w:val="006D4362"/>
    <w:rsid w:val="006D484D"/>
    <w:rsid w:val="006D498C"/>
    <w:rsid w:val="006D61D2"/>
    <w:rsid w:val="006D68A0"/>
    <w:rsid w:val="006D6B77"/>
    <w:rsid w:val="006D6E3A"/>
    <w:rsid w:val="006D6EC9"/>
    <w:rsid w:val="006D761F"/>
    <w:rsid w:val="006D7FBA"/>
    <w:rsid w:val="006E0861"/>
    <w:rsid w:val="006E089A"/>
    <w:rsid w:val="006E08C9"/>
    <w:rsid w:val="006E0FEE"/>
    <w:rsid w:val="006E10A7"/>
    <w:rsid w:val="006E10BE"/>
    <w:rsid w:val="006E1489"/>
    <w:rsid w:val="006E3BDB"/>
    <w:rsid w:val="006E3DFC"/>
    <w:rsid w:val="006E4BBA"/>
    <w:rsid w:val="006E5573"/>
    <w:rsid w:val="006E757A"/>
    <w:rsid w:val="006E7B64"/>
    <w:rsid w:val="006F001D"/>
    <w:rsid w:val="006F042B"/>
    <w:rsid w:val="006F166C"/>
    <w:rsid w:val="006F1B84"/>
    <w:rsid w:val="006F2079"/>
    <w:rsid w:val="006F229C"/>
    <w:rsid w:val="006F28A0"/>
    <w:rsid w:val="006F34DB"/>
    <w:rsid w:val="006F3B0F"/>
    <w:rsid w:val="006F41CF"/>
    <w:rsid w:val="006F48EA"/>
    <w:rsid w:val="006F52AC"/>
    <w:rsid w:val="006F75AC"/>
    <w:rsid w:val="006F78BF"/>
    <w:rsid w:val="006F7E34"/>
    <w:rsid w:val="0070060C"/>
    <w:rsid w:val="007018DA"/>
    <w:rsid w:val="0070193F"/>
    <w:rsid w:val="00702A9F"/>
    <w:rsid w:val="00703675"/>
    <w:rsid w:val="00703B3B"/>
    <w:rsid w:val="00703C06"/>
    <w:rsid w:val="0070445D"/>
    <w:rsid w:val="007044F8"/>
    <w:rsid w:val="00705952"/>
    <w:rsid w:val="00705F72"/>
    <w:rsid w:val="0070732B"/>
    <w:rsid w:val="0071069F"/>
    <w:rsid w:val="007107B0"/>
    <w:rsid w:val="00710913"/>
    <w:rsid w:val="00710CDD"/>
    <w:rsid w:val="00711287"/>
    <w:rsid w:val="00711EAC"/>
    <w:rsid w:val="00711F24"/>
    <w:rsid w:val="00712182"/>
    <w:rsid w:val="00713148"/>
    <w:rsid w:val="007136EC"/>
    <w:rsid w:val="00714153"/>
    <w:rsid w:val="0071452A"/>
    <w:rsid w:val="00715655"/>
    <w:rsid w:val="007157DC"/>
    <w:rsid w:val="007168E9"/>
    <w:rsid w:val="00716A03"/>
    <w:rsid w:val="0071708C"/>
    <w:rsid w:val="007177B9"/>
    <w:rsid w:val="007217A6"/>
    <w:rsid w:val="0072180C"/>
    <w:rsid w:val="00722FAE"/>
    <w:rsid w:val="00725612"/>
    <w:rsid w:val="0072703F"/>
    <w:rsid w:val="00727AA4"/>
    <w:rsid w:val="00727C7B"/>
    <w:rsid w:val="00727D9B"/>
    <w:rsid w:val="007303EC"/>
    <w:rsid w:val="00730EE3"/>
    <w:rsid w:val="00730F90"/>
    <w:rsid w:val="00732CE6"/>
    <w:rsid w:val="00734659"/>
    <w:rsid w:val="00734864"/>
    <w:rsid w:val="007349E9"/>
    <w:rsid w:val="00735A13"/>
    <w:rsid w:val="00735D8D"/>
    <w:rsid w:val="007360F9"/>
    <w:rsid w:val="00736394"/>
    <w:rsid w:val="00736793"/>
    <w:rsid w:val="0073752D"/>
    <w:rsid w:val="0074089C"/>
    <w:rsid w:val="00740D64"/>
    <w:rsid w:val="007418C5"/>
    <w:rsid w:val="00741B26"/>
    <w:rsid w:val="00741C9C"/>
    <w:rsid w:val="00741EC4"/>
    <w:rsid w:val="00742CB2"/>
    <w:rsid w:val="00742FFB"/>
    <w:rsid w:val="007434BD"/>
    <w:rsid w:val="007438FD"/>
    <w:rsid w:val="00743B92"/>
    <w:rsid w:val="00744FB3"/>
    <w:rsid w:val="007472D2"/>
    <w:rsid w:val="00747308"/>
    <w:rsid w:val="007478B5"/>
    <w:rsid w:val="007505A4"/>
    <w:rsid w:val="00750650"/>
    <w:rsid w:val="00750AEC"/>
    <w:rsid w:val="00750AF6"/>
    <w:rsid w:val="00750B38"/>
    <w:rsid w:val="00751117"/>
    <w:rsid w:val="00751393"/>
    <w:rsid w:val="00751950"/>
    <w:rsid w:val="00751CA6"/>
    <w:rsid w:val="007547BB"/>
    <w:rsid w:val="00755B9F"/>
    <w:rsid w:val="00755E0B"/>
    <w:rsid w:val="00756C50"/>
    <w:rsid w:val="007570A7"/>
    <w:rsid w:val="00757D0C"/>
    <w:rsid w:val="00757DCE"/>
    <w:rsid w:val="00760885"/>
    <w:rsid w:val="007610ED"/>
    <w:rsid w:val="007628EA"/>
    <w:rsid w:val="00763935"/>
    <w:rsid w:val="007646A2"/>
    <w:rsid w:val="00764C65"/>
    <w:rsid w:val="00765A2A"/>
    <w:rsid w:val="00766C2B"/>
    <w:rsid w:val="00770201"/>
    <w:rsid w:val="007703A6"/>
    <w:rsid w:val="00771189"/>
    <w:rsid w:val="0077132A"/>
    <w:rsid w:val="007729B0"/>
    <w:rsid w:val="00773331"/>
    <w:rsid w:val="007733E6"/>
    <w:rsid w:val="00773FA7"/>
    <w:rsid w:val="0077406E"/>
    <w:rsid w:val="0077408E"/>
    <w:rsid w:val="00774C2D"/>
    <w:rsid w:val="007750AC"/>
    <w:rsid w:val="0077527A"/>
    <w:rsid w:val="00775534"/>
    <w:rsid w:val="00775CF5"/>
    <w:rsid w:val="007771D4"/>
    <w:rsid w:val="007772B7"/>
    <w:rsid w:val="00781461"/>
    <w:rsid w:val="0078168B"/>
    <w:rsid w:val="00782837"/>
    <w:rsid w:val="00782A73"/>
    <w:rsid w:val="00782AFD"/>
    <w:rsid w:val="00783A2D"/>
    <w:rsid w:val="007843B1"/>
    <w:rsid w:val="007845C5"/>
    <w:rsid w:val="00784A66"/>
    <w:rsid w:val="00784D44"/>
    <w:rsid w:val="00785F76"/>
    <w:rsid w:val="007860B7"/>
    <w:rsid w:val="007869A5"/>
    <w:rsid w:val="007918CB"/>
    <w:rsid w:val="00791DCB"/>
    <w:rsid w:val="00792C9F"/>
    <w:rsid w:val="00792D7F"/>
    <w:rsid w:val="00792F15"/>
    <w:rsid w:val="007932EF"/>
    <w:rsid w:val="0079344F"/>
    <w:rsid w:val="007935C7"/>
    <w:rsid w:val="007937A4"/>
    <w:rsid w:val="00794C1D"/>
    <w:rsid w:val="0079556B"/>
    <w:rsid w:val="00796134"/>
    <w:rsid w:val="00796AFF"/>
    <w:rsid w:val="007A0164"/>
    <w:rsid w:val="007A05E2"/>
    <w:rsid w:val="007A062B"/>
    <w:rsid w:val="007A0F25"/>
    <w:rsid w:val="007A1818"/>
    <w:rsid w:val="007A1B9A"/>
    <w:rsid w:val="007A1ED8"/>
    <w:rsid w:val="007A2AA5"/>
    <w:rsid w:val="007A4265"/>
    <w:rsid w:val="007A476B"/>
    <w:rsid w:val="007A4A15"/>
    <w:rsid w:val="007A4CB7"/>
    <w:rsid w:val="007A5AA2"/>
    <w:rsid w:val="007A5FDB"/>
    <w:rsid w:val="007A5FED"/>
    <w:rsid w:val="007A6901"/>
    <w:rsid w:val="007A7989"/>
    <w:rsid w:val="007A7FE0"/>
    <w:rsid w:val="007B102F"/>
    <w:rsid w:val="007B1951"/>
    <w:rsid w:val="007B233A"/>
    <w:rsid w:val="007B23AE"/>
    <w:rsid w:val="007B3138"/>
    <w:rsid w:val="007B533C"/>
    <w:rsid w:val="007B57CE"/>
    <w:rsid w:val="007B64A3"/>
    <w:rsid w:val="007B7897"/>
    <w:rsid w:val="007C0029"/>
    <w:rsid w:val="007C01A7"/>
    <w:rsid w:val="007C02F0"/>
    <w:rsid w:val="007C0586"/>
    <w:rsid w:val="007C0981"/>
    <w:rsid w:val="007C0DCD"/>
    <w:rsid w:val="007C11A3"/>
    <w:rsid w:val="007C1821"/>
    <w:rsid w:val="007C1D28"/>
    <w:rsid w:val="007C2238"/>
    <w:rsid w:val="007C314C"/>
    <w:rsid w:val="007C32B4"/>
    <w:rsid w:val="007C3753"/>
    <w:rsid w:val="007C3B24"/>
    <w:rsid w:val="007C3B27"/>
    <w:rsid w:val="007C3BF6"/>
    <w:rsid w:val="007C51B7"/>
    <w:rsid w:val="007C56E9"/>
    <w:rsid w:val="007C61FF"/>
    <w:rsid w:val="007C6B13"/>
    <w:rsid w:val="007D0D67"/>
    <w:rsid w:val="007D177E"/>
    <w:rsid w:val="007D25AA"/>
    <w:rsid w:val="007D3527"/>
    <w:rsid w:val="007D390A"/>
    <w:rsid w:val="007D3B11"/>
    <w:rsid w:val="007D41D8"/>
    <w:rsid w:val="007D43FB"/>
    <w:rsid w:val="007D4D53"/>
    <w:rsid w:val="007D4E18"/>
    <w:rsid w:val="007D5A0E"/>
    <w:rsid w:val="007D5BE9"/>
    <w:rsid w:val="007D5F10"/>
    <w:rsid w:val="007D5F99"/>
    <w:rsid w:val="007D6874"/>
    <w:rsid w:val="007D6B2B"/>
    <w:rsid w:val="007D71E8"/>
    <w:rsid w:val="007D76F8"/>
    <w:rsid w:val="007D78EE"/>
    <w:rsid w:val="007E05B0"/>
    <w:rsid w:val="007E0A2C"/>
    <w:rsid w:val="007E0F81"/>
    <w:rsid w:val="007E294E"/>
    <w:rsid w:val="007E2F34"/>
    <w:rsid w:val="007E391A"/>
    <w:rsid w:val="007E393B"/>
    <w:rsid w:val="007E4DF5"/>
    <w:rsid w:val="007E5DEE"/>
    <w:rsid w:val="007E68D8"/>
    <w:rsid w:val="007E7A75"/>
    <w:rsid w:val="007F0D79"/>
    <w:rsid w:val="007F1AE8"/>
    <w:rsid w:val="007F1BE4"/>
    <w:rsid w:val="007F1C27"/>
    <w:rsid w:val="007F1F07"/>
    <w:rsid w:val="007F2075"/>
    <w:rsid w:val="007F2182"/>
    <w:rsid w:val="007F3008"/>
    <w:rsid w:val="007F32DF"/>
    <w:rsid w:val="007F3854"/>
    <w:rsid w:val="007F4E68"/>
    <w:rsid w:val="007F5D06"/>
    <w:rsid w:val="007F6CE8"/>
    <w:rsid w:val="007F7094"/>
    <w:rsid w:val="007F75E5"/>
    <w:rsid w:val="007F7EBF"/>
    <w:rsid w:val="00800F51"/>
    <w:rsid w:val="00801583"/>
    <w:rsid w:val="00802145"/>
    <w:rsid w:val="008026D3"/>
    <w:rsid w:val="00804A10"/>
    <w:rsid w:val="00805203"/>
    <w:rsid w:val="008069DB"/>
    <w:rsid w:val="00807118"/>
    <w:rsid w:val="008071AF"/>
    <w:rsid w:val="008072FC"/>
    <w:rsid w:val="008074D3"/>
    <w:rsid w:val="008077E5"/>
    <w:rsid w:val="008118F1"/>
    <w:rsid w:val="00811D4F"/>
    <w:rsid w:val="0081202E"/>
    <w:rsid w:val="008137A2"/>
    <w:rsid w:val="008144B5"/>
    <w:rsid w:val="00814AA6"/>
    <w:rsid w:val="00814D2E"/>
    <w:rsid w:val="00815B8D"/>
    <w:rsid w:val="00816E02"/>
    <w:rsid w:val="00816ECB"/>
    <w:rsid w:val="00817697"/>
    <w:rsid w:val="008200DD"/>
    <w:rsid w:val="008204E2"/>
    <w:rsid w:val="00821470"/>
    <w:rsid w:val="0082171B"/>
    <w:rsid w:val="00822589"/>
    <w:rsid w:val="00822645"/>
    <w:rsid w:val="00823777"/>
    <w:rsid w:val="00823847"/>
    <w:rsid w:val="00824CB3"/>
    <w:rsid w:val="00824D6C"/>
    <w:rsid w:val="00824EF2"/>
    <w:rsid w:val="008250D7"/>
    <w:rsid w:val="0082551B"/>
    <w:rsid w:val="00825537"/>
    <w:rsid w:val="008256F0"/>
    <w:rsid w:val="00825DE6"/>
    <w:rsid w:val="00826417"/>
    <w:rsid w:val="00826476"/>
    <w:rsid w:val="00827645"/>
    <w:rsid w:val="00827B9B"/>
    <w:rsid w:val="00830A8F"/>
    <w:rsid w:val="00831CC6"/>
    <w:rsid w:val="008326DD"/>
    <w:rsid w:val="00833435"/>
    <w:rsid w:val="008349A4"/>
    <w:rsid w:val="0083600D"/>
    <w:rsid w:val="008367D2"/>
    <w:rsid w:val="00836C2D"/>
    <w:rsid w:val="00837CEA"/>
    <w:rsid w:val="00840DAA"/>
    <w:rsid w:val="00841E4F"/>
    <w:rsid w:val="008425F1"/>
    <w:rsid w:val="00843A55"/>
    <w:rsid w:val="008440D4"/>
    <w:rsid w:val="00844B02"/>
    <w:rsid w:val="0084528A"/>
    <w:rsid w:val="00846B5D"/>
    <w:rsid w:val="00846DDE"/>
    <w:rsid w:val="008475AC"/>
    <w:rsid w:val="00850293"/>
    <w:rsid w:val="00850A17"/>
    <w:rsid w:val="00850A69"/>
    <w:rsid w:val="00850E3A"/>
    <w:rsid w:val="008515FE"/>
    <w:rsid w:val="008537D3"/>
    <w:rsid w:val="0085421C"/>
    <w:rsid w:val="00854F47"/>
    <w:rsid w:val="0085558D"/>
    <w:rsid w:val="0085582B"/>
    <w:rsid w:val="0085599B"/>
    <w:rsid w:val="00855C06"/>
    <w:rsid w:val="00855EA3"/>
    <w:rsid w:val="0085607B"/>
    <w:rsid w:val="00860148"/>
    <w:rsid w:val="00860702"/>
    <w:rsid w:val="00860FC1"/>
    <w:rsid w:val="0086288A"/>
    <w:rsid w:val="00862A20"/>
    <w:rsid w:val="0086306F"/>
    <w:rsid w:val="0086349D"/>
    <w:rsid w:val="00863A1C"/>
    <w:rsid w:val="00864047"/>
    <w:rsid w:val="00864225"/>
    <w:rsid w:val="00864F65"/>
    <w:rsid w:val="008658D6"/>
    <w:rsid w:val="00866693"/>
    <w:rsid w:val="008666E6"/>
    <w:rsid w:val="008669BB"/>
    <w:rsid w:val="00867B63"/>
    <w:rsid w:val="00867C4C"/>
    <w:rsid w:val="00871F2A"/>
    <w:rsid w:val="00872410"/>
    <w:rsid w:val="008733B0"/>
    <w:rsid w:val="0087376E"/>
    <w:rsid w:val="00873BB6"/>
    <w:rsid w:val="008749B5"/>
    <w:rsid w:val="00874C8B"/>
    <w:rsid w:val="00874D22"/>
    <w:rsid w:val="00874FF1"/>
    <w:rsid w:val="00875D35"/>
    <w:rsid w:val="00876220"/>
    <w:rsid w:val="00876E9D"/>
    <w:rsid w:val="008774E3"/>
    <w:rsid w:val="0087787B"/>
    <w:rsid w:val="00880043"/>
    <w:rsid w:val="008801B2"/>
    <w:rsid w:val="008807AD"/>
    <w:rsid w:val="00881255"/>
    <w:rsid w:val="00881FF7"/>
    <w:rsid w:val="008827F1"/>
    <w:rsid w:val="00882B80"/>
    <w:rsid w:val="0088383A"/>
    <w:rsid w:val="00883F43"/>
    <w:rsid w:val="0088468E"/>
    <w:rsid w:val="00884A87"/>
    <w:rsid w:val="00884AF7"/>
    <w:rsid w:val="00884E86"/>
    <w:rsid w:val="00885A77"/>
    <w:rsid w:val="008869D5"/>
    <w:rsid w:val="00886F95"/>
    <w:rsid w:val="008877AB"/>
    <w:rsid w:val="008904B4"/>
    <w:rsid w:val="00892311"/>
    <w:rsid w:val="008929FB"/>
    <w:rsid w:val="00892DA3"/>
    <w:rsid w:val="00893800"/>
    <w:rsid w:val="0089419C"/>
    <w:rsid w:val="0089526E"/>
    <w:rsid w:val="0089555D"/>
    <w:rsid w:val="008961F2"/>
    <w:rsid w:val="0089708E"/>
    <w:rsid w:val="00897889"/>
    <w:rsid w:val="008A005B"/>
    <w:rsid w:val="008A17C4"/>
    <w:rsid w:val="008A2914"/>
    <w:rsid w:val="008A369A"/>
    <w:rsid w:val="008A3D0B"/>
    <w:rsid w:val="008A7E2E"/>
    <w:rsid w:val="008B0247"/>
    <w:rsid w:val="008B0ADE"/>
    <w:rsid w:val="008B223E"/>
    <w:rsid w:val="008B2848"/>
    <w:rsid w:val="008B2C86"/>
    <w:rsid w:val="008B41ED"/>
    <w:rsid w:val="008B435C"/>
    <w:rsid w:val="008B4711"/>
    <w:rsid w:val="008B56FD"/>
    <w:rsid w:val="008B67B2"/>
    <w:rsid w:val="008B6DE7"/>
    <w:rsid w:val="008B7445"/>
    <w:rsid w:val="008B758B"/>
    <w:rsid w:val="008B7691"/>
    <w:rsid w:val="008C00A6"/>
    <w:rsid w:val="008C010B"/>
    <w:rsid w:val="008C055C"/>
    <w:rsid w:val="008C0942"/>
    <w:rsid w:val="008C1BD5"/>
    <w:rsid w:val="008C2780"/>
    <w:rsid w:val="008C299E"/>
    <w:rsid w:val="008C2B3A"/>
    <w:rsid w:val="008C2F9D"/>
    <w:rsid w:val="008C2FAC"/>
    <w:rsid w:val="008C3119"/>
    <w:rsid w:val="008C37AC"/>
    <w:rsid w:val="008C3DE7"/>
    <w:rsid w:val="008C443A"/>
    <w:rsid w:val="008C45C8"/>
    <w:rsid w:val="008C5187"/>
    <w:rsid w:val="008C51D9"/>
    <w:rsid w:val="008C51EC"/>
    <w:rsid w:val="008C5CA0"/>
    <w:rsid w:val="008C60FF"/>
    <w:rsid w:val="008C6304"/>
    <w:rsid w:val="008C63E7"/>
    <w:rsid w:val="008C6560"/>
    <w:rsid w:val="008C6699"/>
    <w:rsid w:val="008C673E"/>
    <w:rsid w:val="008D02DF"/>
    <w:rsid w:val="008D0DF6"/>
    <w:rsid w:val="008D121D"/>
    <w:rsid w:val="008D2905"/>
    <w:rsid w:val="008D3214"/>
    <w:rsid w:val="008D329E"/>
    <w:rsid w:val="008D3666"/>
    <w:rsid w:val="008D4587"/>
    <w:rsid w:val="008D466D"/>
    <w:rsid w:val="008D4E05"/>
    <w:rsid w:val="008D4E0E"/>
    <w:rsid w:val="008D4FD2"/>
    <w:rsid w:val="008D51BD"/>
    <w:rsid w:val="008D57CE"/>
    <w:rsid w:val="008D5842"/>
    <w:rsid w:val="008D6056"/>
    <w:rsid w:val="008D6C93"/>
    <w:rsid w:val="008D7216"/>
    <w:rsid w:val="008D7983"/>
    <w:rsid w:val="008E08D8"/>
    <w:rsid w:val="008E1A44"/>
    <w:rsid w:val="008E1B79"/>
    <w:rsid w:val="008E1E5D"/>
    <w:rsid w:val="008E4D8E"/>
    <w:rsid w:val="008E50E7"/>
    <w:rsid w:val="008E5FBF"/>
    <w:rsid w:val="008E6AFA"/>
    <w:rsid w:val="008E76FC"/>
    <w:rsid w:val="008E7ACC"/>
    <w:rsid w:val="008F0CC7"/>
    <w:rsid w:val="008F0CD3"/>
    <w:rsid w:val="008F193C"/>
    <w:rsid w:val="008F1BDD"/>
    <w:rsid w:val="008F228D"/>
    <w:rsid w:val="008F2ACE"/>
    <w:rsid w:val="008F3650"/>
    <w:rsid w:val="008F474E"/>
    <w:rsid w:val="008F5006"/>
    <w:rsid w:val="008F5BC1"/>
    <w:rsid w:val="008F622D"/>
    <w:rsid w:val="008F6A11"/>
    <w:rsid w:val="008F6A97"/>
    <w:rsid w:val="008F7645"/>
    <w:rsid w:val="0090103E"/>
    <w:rsid w:val="0090140F"/>
    <w:rsid w:val="00901AC7"/>
    <w:rsid w:val="009037A2"/>
    <w:rsid w:val="00903A60"/>
    <w:rsid w:val="00903B7B"/>
    <w:rsid w:val="00903BF5"/>
    <w:rsid w:val="009045E3"/>
    <w:rsid w:val="00904DC9"/>
    <w:rsid w:val="0090502E"/>
    <w:rsid w:val="0090515E"/>
    <w:rsid w:val="00905312"/>
    <w:rsid w:val="0090586F"/>
    <w:rsid w:val="00906712"/>
    <w:rsid w:val="00906B10"/>
    <w:rsid w:val="00910A09"/>
    <w:rsid w:val="00911FCA"/>
    <w:rsid w:val="00912D35"/>
    <w:rsid w:val="009145DF"/>
    <w:rsid w:val="00915071"/>
    <w:rsid w:val="00915936"/>
    <w:rsid w:val="00915A27"/>
    <w:rsid w:val="0091610B"/>
    <w:rsid w:val="00916465"/>
    <w:rsid w:val="009164F3"/>
    <w:rsid w:val="00916603"/>
    <w:rsid w:val="00916FA4"/>
    <w:rsid w:val="009175E6"/>
    <w:rsid w:val="0091767F"/>
    <w:rsid w:val="00917894"/>
    <w:rsid w:val="00917C16"/>
    <w:rsid w:val="00921373"/>
    <w:rsid w:val="0092432B"/>
    <w:rsid w:val="00924A7A"/>
    <w:rsid w:val="00924DDA"/>
    <w:rsid w:val="00925B33"/>
    <w:rsid w:val="00926FAD"/>
    <w:rsid w:val="00927BE3"/>
    <w:rsid w:val="00927BFE"/>
    <w:rsid w:val="009304E0"/>
    <w:rsid w:val="0093057A"/>
    <w:rsid w:val="0093141A"/>
    <w:rsid w:val="00931BFF"/>
    <w:rsid w:val="00931D82"/>
    <w:rsid w:val="00931F2F"/>
    <w:rsid w:val="009329A2"/>
    <w:rsid w:val="0093334A"/>
    <w:rsid w:val="009339BA"/>
    <w:rsid w:val="00940205"/>
    <w:rsid w:val="0094129B"/>
    <w:rsid w:val="0094158C"/>
    <w:rsid w:val="00942121"/>
    <w:rsid w:val="00942D7E"/>
    <w:rsid w:val="00943572"/>
    <w:rsid w:val="009436A0"/>
    <w:rsid w:val="00943F48"/>
    <w:rsid w:val="009440D7"/>
    <w:rsid w:val="00944596"/>
    <w:rsid w:val="0094463D"/>
    <w:rsid w:val="00944A33"/>
    <w:rsid w:val="00944DAC"/>
    <w:rsid w:val="00945C47"/>
    <w:rsid w:val="00945F3B"/>
    <w:rsid w:val="00951203"/>
    <w:rsid w:val="0095131A"/>
    <w:rsid w:val="009515F1"/>
    <w:rsid w:val="009525AA"/>
    <w:rsid w:val="00952D5B"/>
    <w:rsid w:val="00952F28"/>
    <w:rsid w:val="0095316D"/>
    <w:rsid w:val="00953420"/>
    <w:rsid w:val="00957894"/>
    <w:rsid w:val="00960A34"/>
    <w:rsid w:val="00960F9D"/>
    <w:rsid w:val="00961EE0"/>
    <w:rsid w:val="009625D7"/>
    <w:rsid w:val="0096319B"/>
    <w:rsid w:val="00963614"/>
    <w:rsid w:val="009639FA"/>
    <w:rsid w:val="00963C5D"/>
    <w:rsid w:val="0096445F"/>
    <w:rsid w:val="00965ACC"/>
    <w:rsid w:val="00966101"/>
    <w:rsid w:val="009669CB"/>
    <w:rsid w:val="0096775A"/>
    <w:rsid w:val="00970850"/>
    <w:rsid w:val="00970EF1"/>
    <w:rsid w:val="009713F2"/>
    <w:rsid w:val="00971A93"/>
    <w:rsid w:val="00971D37"/>
    <w:rsid w:val="009726B1"/>
    <w:rsid w:val="009732E5"/>
    <w:rsid w:val="00973A75"/>
    <w:rsid w:val="009740A5"/>
    <w:rsid w:val="0097422E"/>
    <w:rsid w:val="00974C03"/>
    <w:rsid w:val="009757C8"/>
    <w:rsid w:val="00977C74"/>
    <w:rsid w:val="00980480"/>
    <w:rsid w:val="0098095C"/>
    <w:rsid w:val="009834CE"/>
    <w:rsid w:val="0098591C"/>
    <w:rsid w:val="00985FA7"/>
    <w:rsid w:val="00986005"/>
    <w:rsid w:val="009868F1"/>
    <w:rsid w:val="00986E3C"/>
    <w:rsid w:val="009870F0"/>
    <w:rsid w:val="0098754E"/>
    <w:rsid w:val="00987BB4"/>
    <w:rsid w:val="00987BFE"/>
    <w:rsid w:val="00990CB4"/>
    <w:rsid w:val="00991C78"/>
    <w:rsid w:val="00992199"/>
    <w:rsid w:val="00992AE5"/>
    <w:rsid w:val="009930FE"/>
    <w:rsid w:val="00994090"/>
    <w:rsid w:val="0099461C"/>
    <w:rsid w:val="00994A50"/>
    <w:rsid w:val="00994E4A"/>
    <w:rsid w:val="0099514F"/>
    <w:rsid w:val="0099569F"/>
    <w:rsid w:val="00996C1C"/>
    <w:rsid w:val="00996EB8"/>
    <w:rsid w:val="009977B9"/>
    <w:rsid w:val="00997DFD"/>
    <w:rsid w:val="009A0074"/>
    <w:rsid w:val="009A038D"/>
    <w:rsid w:val="009A0636"/>
    <w:rsid w:val="009A0FD1"/>
    <w:rsid w:val="009A36B1"/>
    <w:rsid w:val="009A3739"/>
    <w:rsid w:val="009A3AF9"/>
    <w:rsid w:val="009A3F54"/>
    <w:rsid w:val="009A47E2"/>
    <w:rsid w:val="009A4A12"/>
    <w:rsid w:val="009A6A40"/>
    <w:rsid w:val="009A6F52"/>
    <w:rsid w:val="009A7CF6"/>
    <w:rsid w:val="009A7D78"/>
    <w:rsid w:val="009A7E0C"/>
    <w:rsid w:val="009B276A"/>
    <w:rsid w:val="009B4479"/>
    <w:rsid w:val="009B44BE"/>
    <w:rsid w:val="009B75A3"/>
    <w:rsid w:val="009B7EE1"/>
    <w:rsid w:val="009C0CFD"/>
    <w:rsid w:val="009C10C6"/>
    <w:rsid w:val="009C115E"/>
    <w:rsid w:val="009C16E5"/>
    <w:rsid w:val="009C1C90"/>
    <w:rsid w:val="009C27D3"/>
    <w:rsid w:val="009C2C93"/>
    <w:rsid w:val="009C2F50"/>
    <w:rsid w:val="009C314F"/>
    <w:rsid w:val="009C33A6"/>
    <w:rsid w:val="009C3F9F"/>
    <w:rsid w:val="009C4D7B"/>
    <w:rsid w:val="009C4FC6"/>
    <w:rsid w:val="009C5922"/>
    <w:rsid w:val="009C5E03"/>
    <w:rsid w:val="009D0193"/>
    <w:rsid w:val="009D02EB"/>
    <w:rsid w:val="009D0A04"/>
    <w:rsid w:val="009D0A6D"/>
    <w:rsid w:val="009D273B"/>
    <w:rsid w:val="009D2FA7"/>
    <w:rsid w:val="009D6794"/>
    <w:rsid w:val="009D6B8C"/>
    <w:rsid w:val="009D6C8C"/>
    <w:rsid w:val="009E1547"/>
    <w:rsid w:val="009E1B59"/>
    <w:rsid w:val="009E1E18"/>
    <w:rsid w:val="009E20A9"/>
    <w:rsid w:val="009E2278"/>
    <w:rsid w:val="009E27C9"/>
    <w:rsid w:val="009E29A5"/>
    <w:rsid w:val="009E3D93"/>
    <w:rsid w:val="009E407A"/>
    <w:rsid w:val="009E474D"/>
    <w:rsid w:val="009E4DFE"/>
    <w:rsid w:val="009E5049"/>
    <w:rsid w:val="009E62B9"/>
    <w:rsid w:val="009E7366"/>
    <w:rsid w:val="009E74CC"/>
    <w:rsid w:val="009E7B52"/>
    <w:rsid w:val="009E7EA9"/>
    <w:rsid w:val="009F0688"/>
    <w:rsid w:val="009F0AEC"/>
    <w:rsid w:val="009F0AF0"/>
    <w:rsid w:val="009F0F24"/>
    <w:rsid w:val="009F19B1"/>
    <w:rsid w:val="009F24BB"/>
    <w:rsid w:val="009F2E4C"/>
    <w:rsid w:val="009F2FFD"/>
    <w:rsid w:val="009F3337"/>
    <w:rsid w:val="009F34D7"/>
    <w:rsid w:val="009F495A"/>
    <w:rsid w:val="009F4EAB"/>
    <w:rsid w:val="009F50C8"/>
    <w:rsid w:val="009F5673"/>
    <w:rsid w:val="009F5885"/>
    <w:rsid w:val="009F5E70"/>
    <w:rsid w:val="009F64C7"/>
    <w:rsid w:val="00A001BD"/>
    <w:rsid w:val="00A0138C"/>
    <w:rsid w:val="00A01445"/>
    <w:rsid w:val="00A018F2"/>
    <w:rsid w:val="00A01ECC"/>
    <w:rsid w:val="00A030B7"/>
    <w:rsid w:val="00A03472"/>
    <w:rsid w:val="00A047C9"/>
    <w:rsid w:val="00A04DE6"/>
    <w:rsid w:val="00A05373"/>
    <w:rsid w:val="00A05486"/>
    <w:rsid w:val="00A05F28"/>
    <w:rsid w:val="00A05F37"/>
    <w:rsid w:val="00A06763"/>
    <w:rsid w:val="00A068E4"/>
    <w:rsid w:val="00A069C6"/>
    <w:rsid w:val="00A06B08"/>
    <w:rsid w:val="00A07AA9"/>
    <w:rsid w:val="00A07F6E"/>
    <w:rsid w:val="00A10472"/>
    <w:rsid w:val="00A1085E"/>
    <w:rsid w:val="00A10930"/>
    <w:rsid w:val="00A10BEC"/>
    <w:rsid w:val="00A10D95"/>
    <w:rsid w:val="00A11854"/>
    <w:rsid w:val="00A11D69"/>
    <w:rsid w:val="00A11E6C"/>
    <w:rsid w:val="00A1242B"/>
    <w:rsid w:val="00A1285B"/>
    <w:rsid w:val="00A12A1D"/>
    <w:rsid w:val="00A12F1F"/>
    <w:rsid w:val="00A13694"/>
    <w:rsid w:val="00A141DF"/>
    <w:rsid w:val="00A1436D"/>
    <w:rsid w:val="00A14C5D"/>
    <w:rsid w:val="00A15077"/>
    <w:rsid w:val="00A153D0"/>
    <w:rsid w:val="00A16B42"/>
    <w:rsid w:val="00A1786E"/>
    <w:rsid w:val="00A2037A"/>
    <w:rsid w:val="00A2069F"/>
    <w:rsid w:val="00A20797"/>
    <w:rsid w:val="00A20F13"/>
    <w:rsid w:val="00A2184B"/>
    <w:rsid w:val="00A21D83"/>
    <w:rsid w:val="00A21DC7"/>
    <w:rsid w:val="00A22398"/>
    <w:rsid w:val="00A223BD"/>
    <w:rsid w:val="00A22F55"/>
    <w:rsid w:val="00A23FC4"/>
    <w:rsid w:val="00A24DB1"/>
    <w:rsid w:val="00A24DF9"/>
    <w:rsid w:val="00A25D94"/>
    <w:rsid w:val="00A26333"/>
    <w:rsid w:val="00A2670C"/>
    <w:rsid w:val="00A275B4"/>
    <w:rsid w:val="00A27717"/>
    <w:rsid w:val="00A27E91"/>
    <w:rsid w:val="00A30E4F"/>
    <w:rsid w:val="00A315D5"/>
    <w:rsid w:val="00A31C91"/>
    <w:rsid w:val="00A323A3"/>
    <w:rsid w:val="00A32621"/>
    <w:rsid w:val="00A33603"/>
    <w:rsid w:val="00A33A38"/>
    <w:rsid w:val="00A33A46"/>
    <w:rsid w:val="00A33FFF"/>
    <w:rsid w:val="00A3420F"/>
    <w:rsid w:val="00A3502D"/>
    <w:rsid w:val="00A3617A"/>
    <w:rsid w:val="00A36513"/>
    <w:rsid w:val="00A372CD"/>
    <w:rsid w:val="00A37A80"/>
    <w:rsid w:val="00A37A87"/>
    <w:rsid w:val="00A37F9F"/>
    <w:rsid w:val="00A407B8"/>
    <w:rsid w:val="00A412AB"/>
    <w:rsid w:val="00A41E40"/>
    <w:rsid w:val="00A41F9E"/>
    <w:rsid w:val="00A42B22"/>
    <w:rsid w:val="00A4376F"/>
    <w:rsid w:val="00A43ABE"/>
    <w:rsid w:val="00A44B0E"/>
    <w:rsid w:val="00A45641"/>
    <w:rsid w:val="00A459B2"/>
    <w:rsid w:val="00A468DF"/>
    <w:rsid w:val="00A46A4A"/>
    <w:rsid w:val="00A46A58"/>
    <w:rsid w:val="00A47900"/>
    <w:rsid w:val="00A500F5"/>
    <w:rsid w:val="00A509A7"/>
    <w:rsid w:val="00A51F49"/>
    <w:rsid w:val="00A531FD"/>
    <w:rsid w:val="00A551B1"/>
    <w:rsid w:val="00A55219"/>
    <w:rsid w:val="00A5521D"/>
    <w:rsid w:val="00A55459"/>
    <w:rsid w:val="00A56D34"/>
    <w:rsid w:val="00A60334"/>
    <w:rsid w:val="00A611CF"/>
    <w:rsid w:val="00A61D2C"/>
    <w:rsid w:val="00A621BF"/>
    <w:rsid w:val="00A6238B"/>
    <w:rsid w:val="00A6263F"/>
    <w:rsid w:val="00A62821"/>
    <w:rsid w:val="00A6285C"/>
    <w:rsid w:val="00A63761"/>
    <w:rsid w:val="00A6417F"/>
    <w:rsid w:val="00A648DB"/>
    <w:rsid w:val="00A666D1"/>
    <w:rsid w:val="00A66A37"/>
    <w:rsid w:val="00A670E0"/>
    <w:rsid w:val="00A67291"/>
    <w:rsid w:val="00A706B8"/>
    <w:rsid w:val="00A710E4"/>
    <w:rsid w:val="00A716E0"/>
    <w:rsid w:val="00A72927"/>
    <w:rsid w:val="00A7313A"/>
    <w:rsid w:val="00A734C2"/>
    <w:rsid w:val="00A736C3"/>
    <w:rsid w:val="00A7435D"/>
    <w:rsid w:val="00A74A1F"/>
    <w:rsid w:val="00A75976"/>
    <w:rsid w:val="00A75A2E"/>
    <w:rsid w:val="00A75EE2"/>
    <w:rsid w:val="00A76D9C"/>
    <w:rsid w:val="00A770C2"/>
    <w:rsid w:val="00A775D7"/>
    <w:rsid w:val="00A77C16"/>
    <w:rsid w:val="00A803D1"/>
    <w:rsid w:val="00A809BC"/>
    <w:rsid w:val="00A80F34"/>
    <w:rsid w:val="00A81873"/>
    <w:rsid w:val="00A81BA2"/>
    <w:rsid w:val="00A8302D"/>
    <w:rsid w:val="00A83984"/>
    <w:rsid w:val="00A83A15"/>
    <w:rsid w:val="00A83F17"/>
    <w:rsid w:val="00A84222"/>
    <w:rsid w:val="00A8544D"/>
    <w:rsid w:val="00A85538"/>
    <w:rsid w:val="00A8586D"/>
    <w:rsid w:val="00A85FD7"/>
    <w:rsid w:val="00A860FE"/>
    <w:rsid w:val="00A861CA"/>
    <w:rsid w:val="00A866B5"/>
    <w:rsid w:val="00A86CF9"/>
    <w:rsid w:val="00A87169"/>
    <w:rsid w:val="00A9056B"/>
    <w:rsid w:val="00A918EE"/>
    <w:rsid w:val="00A92664"/>
    <w:rsid w:val="00A92AB6"/>
    <w:rsid w:val="00A92B33"/>
    <w:rsid w:val="00A93238"/>
    <w:rsid w:val="00A94B38"/>
    <w:rsid w:val="00A94E28"/>
    <w:rsid w:val="00A950AE"/>
    <w:rsid w:val="00A954BE"/>
    <w:rsid w:val="00A966C6"/>
    <w:rsid w:val="00A96BCE"/>
    <w:rsid w:val="00A9735A"/>
    <w:rsid w:val="00AA067F"/>
    <w:rsid w:val="00AA2BD1"/>
    <w:rsid w:val="00AA31DD"/>
    <w:rsid w:val="00AA4B08"/>
    <w:rsid w:val="00AA5132"/>
    <w:rsid w:val="00AA5216"/>
    <w:rsid w:val="00AA7299"/>
    <w:rsid w:val="00AA7353"/>
    <w:rsid w:val="00AA7462"/>
    <w:rsid w:val="00AB0143"/>
    <w:rsid w:val="00AB0379"/>
    <w:rsid w:val="00AB2732"/>
    <w:rsid w:val="00AB3015"/>
    <w:rsid w:val="00AB3773"/>
    <w:rsid w:val="00AB38E0"/>
    <w:rsid w:val="00AB525E"/>
    <w:rsid w:val="00AB6825"/>
    <w:rsid w:val="00AB6F07"/>
    <w:rsid w:val="00AC04B9"/>
    <w:rsid w:val="00AC0A4C"/>
    <w:rsid w:val="00AC0F44"/>
    <w:rsid w:val="00AC1066"/>
    <w:rsid w:val="00AC1F35"/>
    <w:rsid w:val="00AC2883"/>
    <w:rsid w:val="00AC2C3E"/>
    <w:rsid w:val="00AC2D2B"/>
    <w:rsid w:val="00AC2F7A"/>
    <w:rsid w:val="00AC3D4A"/>
    <w:rsid w:val="00AC3F82"/>
    <w:rsid w:val="00AC431A"/>
    <w:rsid w:val="00AC4C6B"/>
    <w:rsid w:val="00AC4E8B"/>
    <w:rsid w:val="00AC4E8F"/>
    <w:rsid w:val="00AC52DC"/>
    <w:rsid w:val="00AC5969"/>
    <w:rsid w:val="00AC5D7B"/>
    <w:rsid w:val="00AC68B5"/>
    <w:rsid w:val="00AC6900"/>
    <w:rsid w:val="00AC791C"/>
    <w:rsid w:val="00AC7EB3"/>
    <w:rsid w:val="00AD0D73"/>
    <w:rsid w:val="00AD1527"/>
    <w:rsid w:val="00AD15D3"/>
    <w:rsid w:val="00AD183A"/>
    <w:rsid w:val="00AD21D3"/>
    <w:rsid w:val="00AD2C72"/>
    <w:rsid w:val="00AD2C91"/>
    <w:rsid w:val="00AD2F5C"/>
    <w:rsid w:val="00AD367A"/>
    <w:rsid w:val="00AD43D7"/>
    <w:rsid w:val="00AD4721"/>
    <w:rsid w:val="00AD490B"/>
    <w:rsid w:val="00AD5A01"/>
    <w:rsid w:val="00AD5BD9"/>
    <w:rsid w:val="00AD5E93"/>
    <w:rsid w:val="00AD616C"/>
    <w:rsid w:val="00AD69E1"/>
    <w:rsid w:val="00AD6B50"/>
    <w:rsid w:val="00AD7C36"/>
    <w:rsid w:val="00AD7D01"/>
    <w:rsid w:val="00AE099E"/>
    <w:rsid w:val="00AE0D5E"/>
    <w:rsid w:val="00AE0D9E"/>
    <w:rsid w:val="00AE14F3"/>
    <w:rsid w:val="00AE17BA"/>
    <w:rsid w:val="00AE1FB0"/>
    <w:rsid w:val="00AE26CD"/>
    <w:rsid w:val="00AE2D74"/>
    <w:rsid w:val="00AE2DB0"/>
    <w:rsid w:val="00AE35A2"/>
    <w:rsid w:val="00AE44BD"/>
    <w:rsid w:val="00AE49C9"/>
    <w:rsid w:val="00AE4A3B"/>
    <w:rsid w:val="00AE4FE3"/>
    <w:rsid w:val="00AE55D3"/>
    <w:rsid w:val="00AE5BB2"/>
    <w:rsid w:val="00AE7245"/>
    <w:rsid w:val="00AE760F"/>
    <w:rsid w:val="00AF147F"/>
    <w:rsid w:val="00AF239C"/>
    <w:rsid w:val="00AF2961"/>
    <w:rsid w:val="00AF32E8"/>
    <w:rsid w:val="00AF362E"/>
    <w:rsid w:val="00AF38FC"/>
    <w:rsid w:val="00AF45F0"/>
    <w:rsid w:val="00AF46FD"/>
    <w:rsid w:val="00AF6464"/>
    <w:rsid w:val="00AF6667"/>
    <w:rsid w:val="00AF6812"/>
    <w:rsid w:val="00AF6A04"/>
    <w:rsid w:val="00B0191C"/>
    <w:rsid w:val="00B01B94"/>
    <w:rsid w:val="00B027C9"/>
    <w:rsid w:val="00B02F23"/>
    <w:rsid w:val="00B03E33"/>
    <w:rsid w:val="00B043AC"/>
    <w:rsid w:val="00B0452A"/>
    <w:rsid w:val="00B04B20"/>
    <w:rsid w:val="00B04F12"/>
    <w:rsid w:val="00B05362"/>
    <w:rsid w:val="00B05798"/>
    <w:rsid w:val="00B0602E"/>
    <w:rsid w:val="00B109C3"/>
    <w:rsid w:val="00B10AF2"/>
    <w:rsid w:val="00B10E08"/>
    <w:rsid w:val="00B1179C"/>
    <w:rsid w:val="00B11891"/>
    <w:rsid w:val="00B1190E"/>
    <w:rsid w:val="00B11981"/>
    <w:rsid w:val="00B119A0"/>
    <w:rsid w:val="00B123ED"/>
    <w:rsid w:val="00B13760"/>
    <w:rsid w:val="00B137A9"/>
    <w:rsid w:val="00B14E58"/>
    <w:rsid w:val="00B14FC3"/>
    <w:rsid w:val="00B15679"/>
    <w:rsid w:val="00B15DB9"/>
    <w:rsid w:val="00B17445"/>
    <w:rsid w:val="00B206E5"/>
    <w:rsid w:val="00B223CD"/>
    <w:rsid w:val="00B226E5"/>
    <w:rsid w:val="00B22A1B"/>
    <w:rsid w:val="00B22EB2"/>
    <w:rsid w:val="00B2306C"/>
    <w:rsid w:val="00B239FF"/>
    <w:rsid w:val="00B24E2E"/>
    <w:rsid w:val="00B2520A"/>
    <w:rsid w:val="00B2577E"/>
    <w:rsid w:val="00B271EC"/>
    <w:rsid w:val="00B301D9"/>
    <w:rsid w:val="00B30A60"/>
    <w:rsid w:val="00B314AE"/>
    <w:rsid w:val="00B328F0"/>
    <w:rsid w:val="00B32C08"/>
    <w:rsid w:val="00B332A4"/>
    <w:rsid w:val="00B33835"/>
    <w:rsid w:val="00B34378"/>
    <w:rsid w:val="00B36720"/>
    <w:rsid w:val="00B40E65"/>
    <w:rsid w:val="00B410C5"/>
    <w:rsid w:val="00B41508"/>
    <w:rsid w:val="00B41520"/>
    <w:rsid w:val="00B4191E"/>
    <w:rsid w:val="00B41BD5"/>
    <w:rsid w:val="00B41F54"/>
    <w:rsid w:val="00B428E4"/>
    <w:rsid w:val="00B429B8"/>
    <w:rsid w:val="00B42C4A"/>
    <w:rsid w:val="00B42C4F"/>
    <w:rsid w:val="00B43649"/>
    <w:rsid w:val="00B43DDB"/>
    <w:rsid w:val="00B44063"/>
    <w:rsid w:val="00B44841"/>
    <w:rsid w:val="00B454B2"/>
    <w:rsid w:val="00B454C5"/>
    <w:rsid w:val="00B45E10"/>
    <w:rsid w:val="00B479FF"/>
    <w:rsid w:val="00B508F7"/>
    <w:rsid w:val="00B50A25"/>
    <w:rsid w:val="00B5131B"/>
    <w:rsid w:val="00B529E1"/>
    <w:rsid w:val="00B53A14"/>
    <w:rsid w:val="00B54396"/>
    <w:rsid w:val="00B54E51"/>
    <w:rsid w:val="00B55E77"/>
    <w:rsid w:val="00B55F15"/>
    <w:rsid w:val="00B56AE0"/>
    <w:rsid w:val="00B603D0"/>
    <w:rsid w:val="00B60EB5"/>
    <w:rsid w:val="00B61230"/>
    <w:rsid w:val="00B62D15"/>
    <w:rsid w:val="00B636F9"/>
    <w:rsid w:val="00B6391B"/>
    <w:rsid w:val="00B64551"/>
    <w:rsid w:val="00B64A3C"/>
    <w:rsid w:val="00B64E94"/>
    <w:rsid w:val="00B6501E"/>
    <w:rsid w:val="00B65749"/>
    <w:rsid w:val="00B675B9"/>
    <w:rsid w:val="00B70904"/>
    <w:rsid w:val="00B70A0F"/>
    <w:rsid w:val="00B70BCB"/>
    <w:rsid w:val="00B71F2F"/>
    <w:rsid w:val="00B72241"/>
    <w:rsid w:val="00B72482"/>
    <w:rsid w:val="00B7303A"/>
    <w:rsid w:val="00B7382D"/>
    <w:rsid w:val="00B74E63"/>
    <w:rsid w:val="00B76436"/>
    <w:rsid w:val="00B80DAA"/>
    <w:rsid w:val="00B80DB3"/>
    <w:rsid w:val="00B80F7C"/>
    <w:rsid w:val="00B81193"/>
    <w:rsid w:val="00B812BE"/>
    <w:rsid w:val="00B81DF7"/>
    <w:rsid w:val="00B82454"/>
    <w:rsid w:val="00B824B2"/>
    <w:rsid w:val="00B82837"/>
    <w:rsid w:val="00B82CEA"/>
    <w:rsid w:val="00B83E4C"/>
    <w:rsid w:val="00B84290"/>
    <w:rsid w:val="00B8676B"/>
    <w:rsid w:val="00B8765B"/>
    <w:rsid w:val="00B87AD6"/>
    <w:rsid w:val="00B87F06"/>
    <w:rsid w:val="00B90ECC"/>
    <w:rsid w:val="00B92E2B"/>
    <w:rsid w:val="00B935C0"/>
    <w:rsid w:val="00B94961"/>
    <w:rsid w:val="00B94B4F"/>
    <w:rsid w:val="00B94E31"/>
    <w:rsid w:val="00B950F0"/>
    <w:rsid w:val="00B9544C"/>
    <w:rsid w:val="00B9580C"/>
    <w:rsid w:val="00B9597B"/>
    <w:rsid w:val="00B95A24"/>
    <w:rsid w:val="00B965C2"/>
    <w:rsid w:val="00B96CA9"/>
    <w:rsid w:val="00B975E9"/>
    <w:rsid w:val="00B97AF2"/>
    <w:rsid w:val="00BA0062"/>
    <w:rsid w:val="00BA024C"/>
    <w:rsid w:val="00BA0840"/>
    <w:rsid w:val="00BA1255"/>
    <w:rsid w:val="00BA1350"/>
    <w:rsid w:val="00BA14C9"/>
    <w:rsid w:val="00BA31A0"/>
    <w:rsid w:val="00BA31B1"/>
    <w:rsid w:val="00BA3EDB"/>
    <w:rsid w:val="00BA528D"/>
    <w:rsid w:val="00BA5BC6"/>
    <w:rsid w:val="00BA65DB"/>
    <w:rsid w:val="00BA684E"/>
    <w:rsid w:val="00BA6EE4"/>
    <w:rsid w:val="00BA6FE2"/>
    <w:rsid w:val="00BB09B0"/>
    <w:rsid w:val="00BB1063"/>
    <w:rsid w:val="00BB1278"/>
    <w:rsid w:val="00BB1E68"/>
    <w:rsid w:val="00BB24C6"/>
    <w:rsid w:val="00BB2569"/>
    <w:rsid w:val="00BB2F3C"/>
    <w:rsid w:val="00BB37A3"/>
    <w:rsid w:val="00BB493B"/>
    <w:rsid w:val="00BB4D95"/>
    <w:rsid w:val="00BB4E7F"/>
    <w:rsid w:val="00BB5157"/>
    <w:rsid w:val="00BB5D9C"/>
    <w:rsid w:val="00BB6D20"/>
    <w:rsid w:val="00BB6DE8"/>
    <w:rsid w:val="00BB72B3"/>
    <w:rsid w:val="00BB767F"/>
    <w:rsid w:val="00BC03D8"/>
    <w:rsid w:val="00BC0740"/>
    <w:rsid w:val="00BC0AAA"/>
    <w:rsid w:val="00BC1E39"/>
    <w:rsid w:val="00BC1F5F"/>
    <w:rsid w:val="00BC2D8A"/>
    <w:rsid w:val="00BC3106"/>
    <w:rsid w:val="00BC3170"/>
    <w:rsid w:val="00BC3DF2"/>
    <w:rsid w:val="00BC5B38"/>
    <w:rsid w:val="00BD0C4D"/>
    <w:rsid w:val="00BD119B"/>
    <w:rsid w:val="00BD1580"/>
    <w:rsid w:val="00BD26CE"/>
    <w:rsid w:val="00BD3FD8"/>
    <w:rsid w:val="00BD4319"/>
    <w:rsid w:val="00BD4342"/>
    <w:rsid w:val="00BD4AE0"/>
    <w:rsid w:val="00BD6382"/>
    <w:rsid w:val="00BD6ED7"/>
    <w:rsid w:val="00BE0375"/>
    <w:rsid w:val="00BE2A35"/>
    <w:rsid w:val="00BE2BBC"/>
    <w:rsid w:val="00BE3068"/>
    <w:rsid w:val="00BE408F"/>
    <w:rsid w:val="00BE46E6"/>
    <w:rsid w:val="00BE5504"/>
    <w:rsid w:val="00BE5AF9"/>
    <w:rsid w:val="00BF0A9D"/>
    <w:rsid w:val="00BF0ABB"/>
    <w:rsid w:val="00BF1F74"/>
    <w:rsid w:val="00BF2103"/>
    <w:rsid w:val="00BF2948"/>
    <w:rsid w:val="00BF394D"/>
    <w:rsid w:val="00BF3B76"/>
    <w:rsid w:val="00BF3FF6"/>
    <w:rsid w:val="00BF5674"/>
    <w:rsid w:val="00BF5C4D"/>
    <w:rsid w:val="00BF5CD1"/>
    <w:rsid w:val="00BF610F"/>
    <w:rsid w:val="00BF61B5"/>
    <w:rsid w:val="00BF61C8"/>
    <w:rsid w:val="00BF67C5"/>
    <w:rsid w:val="00BF67C6"/>
    <w:rsid w:val="00C01B4E"/>
    <w:rsid w:val="00C03E69"/>
    <w:rsid w:val="00C047F5"/>
    <w:rsid w:val="00C0486B"/>
    <w:rsid w:val="00C05392"/>
    <w:rsid w:val="00C05517"/>
    <w:rsid w:val="00C060C4"/>
    <w:rsid w:val="00C0610F"/>
    <w:rsid w:val="00C07E47"/>
    <w:rsid w:val="00C10408"/>
    <w:rsid w:val="00C1049A"/>
    <w:rsid w:val="00C105DA"/>
    <w:rsid w:val="00C106B9"/>
    <w:rsid w:val="00C10987"/>
    <w:rsid w:val="00C11180"/>
    <w:rsid w:val="00C12301"/>
    <w:rsid w:val="00C129C5"/>
    <w:rsid w:val="00C12FAE"/>
    <w:rsid w:val="00C13974"/>
    <w:rsid w:val="00C15B3A"/>
    <w:rsid w:val="00C16507"/>
    <w:rsid w:val="00C16F87"/>
    <w:rsid w:val="00C17B4C"/>
    <w:rsid w:val="00C17D75"/>
    <w:rsid w:val="00C2081B"/>
    <w:rsid w:val="00C20850"/>
    <w:rsid w:val="00C230AC"/>
    <w:rsid w:val="00C23F40"/>
    <w:rsid w:val="00C25B60"/>
    <w:rsid w:val="00C26387"/>
    <w:rsid w:val="00C268A1"/>
    <w:rsid w:val="00C26A8E"/>
    <w:rsid w:val="00C27504"/>
    <w:rsid w:val="00C27656"/>
    <w:rsid w:val="00C3023A"/>
    <w:rsid w:val="00C30EE4"/>
    <w:rsid w:val="00C32448"/>
    <w:rsid w:val="00C3269D"/>
    <w:rsid w:val="00C32821"/>
    <w:rsid w:val="00C328F0"/>
    <w:rsid w:val="00C33824"/>
    <w:rsid w:val="00C338EB"/>
    <w:rsid w:val="00C339AA"/>
    <w:rsid w:val="00C34007"/>
    <w:rsid w:val="00C344BA"/>
    <w:rsid w:val="00C35F37"/>
    <w:rsid w:val="00C37368"/>
    <w:rsid w:val="00C3764D"/>
    <w:rsid w:val="00C37728"/>
    <w:rsid w:val="00C37A20"/>
    <w:rsid w:val="00C41A2B"/>
    <w:rsid w:val="00C41D4F"/>
    <w:rsid w:val="00C426C6"/>
    <w:rsid w:val="00C4476E"/>
    <w:rsid w:val="00C45C6E"/>
    <w:rsid w:val="00C45E9E"/>
    <w:rsid w:val="00C4712D"/>
    <w:rsid w:val="00C47909"/>
    <w:rsid w:val="00C514AC"/>
    <w:rsid w:val="00C51A4C"/>
    <w:rsid w:val="00C51C1F"/>
    <w:rsid w:val="00C521C7"/>
    <w:rsid w:val="00C522D6"/>
    <w:rsid w:val="00C53875"/>
    <w:rsid w:val="00C53B09"/>
    <w:rsid w:val="00C5443C"/>
    <w:rsid w:val="00C548A9"/>
    <w:rsid w:val="00C55EF1"/>
    <w:rsid w:val="00C55F89"/>
    <w:rsid w:val="00C57099"/>
    <w:rsid w:val="00C57D1C"/>
    <w:rsid w:val="00C60613"/>
    <w:rsid w:val="00C614B6"/>
    <w:rsid w:val="00C62C9C"/>
    <w:rsid w:val="00C631B3"/>
    <w:rsid w:val="00C637F5"/>
    <w:rsid w:val="00C63CC6"/>
    <w:rsid w:val="00C6417A"/>
    <w:rsid w:val="00C64424"/>
    <w:rsid w:val="00C65B00"/>
    <w:rsid w:val="00C66CDF"/>
    <w:rsid w:val="00C67025"/>
    <w:rsid w:val="00C6754B"/>
    <w:rsid w:val="00C67F9D"/>
    <w:rsid w:val="00C70079"/>
    <w:rsid w:val="00C700AD"/>
    <w:rsid w:val="00C70485"/>
    <w:rsid w:val="00C70B75"/>
    <w:rsid w:val="00C70F89"/>
    <w:rsid w:val="00C725ED"/>
    <w:rsid w:val="00C7282A"/>
    <w:rsid w:val="00C72B6D"/>
    <w:rsid w:val="00C72D91"/>
    <w:rsid w:val="00C72E79"/>
    <w:rsid w:val="00C73586"/>
    <w:rsid w:val="00C73C0A"/>
    <w:rsid w:val="00C74A46"/>
    <w:rsid w:val="00C7551F"/>
    <w:rsid w:val="00C75E87"/>
    <w:rsid w:val="00C7686D"/>
    <w:rsid w:val="00C76B0C"/>
    <w:rsid w:val="00C77904"/>
    <w:rsid w:val="00C77AA2"/>
    <w:rsid w:val="00C77FFA"/>
    <w:rsid w:val="00C8006D"/>
    <w:rsid w:val="00C803A2"/>
    <w:rsid w:val="00C807A6"/>
    <w:rsid w:val="00C80915"/>
    <w:rsid w:val="00C80B07"/>
    <w:rsid w:val="00C80E49"/>
    <w:rsid w:val="00C810EE"/>
    <w:rsid w:val="00C81415"/>
    <w:rsid w:val="00C817FE"/>
    <w:rsid w:val="00C81D6B"/>
    <w:rsid w:val="00C8307B"/>
    <w:rsid w:val="00C83234"/>
    <w:rsid w:val="00C84EEB"/>
    <w:rsid w:val="00C85803"/>
    <w:rsid w:val="00C85B05"/>
    <w:rsid w:val="00C85B65"/>
    <w:rsid w:val="00C86C69"/>
    <w:rsid w:val="00C87390"/>
    <w:rsid w:val="00C90F04"/>
    <w:rsid w:val="00C9125C"/>
    <w:rsid w:val="00C916BE"/>
    <w:rsid w:val="00C91D7B"/>
    <w:rsid w:val="00C91FC2"/>
    <w:rsid w:val="00C921F6"/>
    <w:rsid w:val="00C93794"/>
    <w:rsid w:val="00C93A4E"/>
    <w:rsid w:val="00C93FDF"/>
    <w:rsid w:val="00C94665"/>
    <w:rsid w:val="00C948CC"/>
    <w:rsid w:val="00C96B14"/>
    <w:rsid w:val="00C96DCE"/>
    <w:rsid w:val="00C97D08"/>
    <w:rsid w:val="00CA23E3"/>
    <w:rsid w:val="00CA325A"/>
    <w:rsid w:val="00CA370C"/>
    <w:rsid w:val="00CA431A"/>
    <w:rsid w:val="00CA43C0"/>
    <w:rsid w:val="00CA563F"/>
    <w:rsid w:val="00CA5CA5"/>
    <w:rsid w:val="00CA6673"/>
    <w:rsid w:val="00CA6926"/>
    <w:rsid w:val="00CA6B0B"/>
    <w:rsid w:val="00CA6D00"/>
    <w:rsid w:val="00CA7EBE"/>
    <w:rsid w:val="00CB05E5"/>
    <w:rsid w:val="00CB0A86"/>
    <w:rsid w:val="00CB1F27"/>
    <w:rsid w:val="00CB2147"/>
    <w:rsid w:val="00CB3716"/>
    <w:rsid w:val="00CB4EFD"/>
    <w:rsid w:val="00CB532E"/>
    <w:rsid w:val="00CB6363"/>
    <w:rsid w:val="00CB6457"/>
    <w:rsid w:val="00CB6990"/>
    <w:rsid w:val="00CB7997"/>
    <w:rsid w:val="00CC0B18"/>
    <w:rsid w:val="00CC15B4"/>
    <w:rsid w:val="00CC17E3"/>
    <w:rsid w:val="00CC241D"/>
    <w:rsid w:val="00CC2CB3"/>
    <w:rsid w:val="00CC4306"/>
    <w:rsid w:val="00CC4590"/>
    <w:rsid w:val="00CC4643"/>
    <w:rsid w:val="00CC49A4"/>
    <w:rsid w:val="00CC4BA3"/>
    <w:rsid w:val="00CC4DD1"/>
    <w:rsid w:val="00CC543C"/>
    <w:rsid w:val="00CC5E76"/>
    <w:rsid w:val="00CC5F3D"/>
    <w:rsid w:val="00CC6709"/>
    <w:rsid w:val="00CC71CC"/>
    <w:rsid w:val="00CC7B68"/>
    <w:rsid w:val="00CD06F9"/>
    <w:rsid w:val="00CD0D53"/>
    <w:rsid w:val="00CD16D4"/>
    <w:rsid w:val="00CD1C6B"/>
    <w:rsid w:val="00CD24E1"/>
    <w:rsid w:val="00CD324B"/>
    <w:rsid w:val="00CD3F4F"/>
    <w:rsid w:val="00CD4181"/>
    <w:rsid w:val="00CD4882"/>
    <w:rsid w:val="00CD49F9"/>
    <w:rsid w:val="00CD4B23"/>
    <w:rsid w:val="00CD4C8F"/>
    <w:rsid w:val="00CD55A7"/>
    <w:rsid w:val="00CD6D9D"/>
    <w:rsid w:val="00CD702E"/>
    <w:rsid w:val="00CD7FE6"/>
    <w:rsid w:val="00CE0760"/>
    <w:rsid w:val="00CE088D"/>
    <w:rsid w:val="00CE08D4"/>
    <w:rsid w:val="00CE1147"/>
    <w:rsid w:val="00CE12F1"/>
    <w:rsid w:val="00CE1B79"/>
    <w:rsid w:val="00CE1C6E"/>
    <w:rsid w:val="00CE2F9E"/>
    <w:rsid w:val="00CE3915"/>
    <w:rsid w:val="00CE40B9"/>
    <w:rsid w:val="00CE4886"/>
    <w:rsid w:val="00CE48DC"/>
    <w:rsid w:val="00CE5677"/>
    <w:rsid w:val="00CE5DBB"/>
    <w:rsid w:val="00CE5E24"/>
    <w:rsid w:val="00CE6022"/>
    <w:rsid w:val="00CE6382"/>
    <w:rsid w:val="00CE649E"/>
    <w:rsid w:val="00CE73EC"/>
    <w:rsid w:val="00CF00F2"/>
    <w:rsid w:val="00CF2000"/>
    <w:rsid w:val="00CF3F86"/>
    <w:rsid w:val="00CF4348"/>
    <w:rsid w:val="00CF51F0"/>
    <w:rsid w:val="00CF5651"/>
    <w:rsid w:val="00CF6209"/>
    <w:rsid w:val="00CF68DC"/>
    <w:rsid w:val="00CF724B"/>
    <w:rsid w:val="00D0085B"/>
    <w:rsid w:val="00D023F6"/>
    <w:rsid w:val="00D026C3"/>
    <w:rsid w:val="00D02790"/>
    <w:rsid w:val="00D02886"/>
    <w:rsid w:val="00D04B90"/>
    <w:rsid w:val="00D04C81"/>
    <w:rsid w:val="00D04CF0"/>
    <w:rsid w:val="00D05B42"/>
    <w:rsid w:val="00D06753"/>
    <w:rsid w:val="00D067B8"/>
    <w:rsid w:val="00D07670"/>
    <w:rsid w:val="00D07AD6"/>
    <w:rsid w:val="00D102B8"/>
    <w:rsid w:val="00D11C6A"/>
    <w:rsid w:val="00D12858"/>
    <w:rsid w:val="00D12C0B"/>
    <w:rsid w:val="00D12FAF"/>
    <w:rsid w:val="00D13301"/>
    <w:rsid w:val="00D13386"/>
    <w:rsid w:val="00D13672"/>
    <w:rsid w:val="00D15646"/>
    <w:rsid w:val="00D158D1"/>
    <w:rsid w:val="00D15AB1"/>
    <w:rsid w:val="00D161DB"/>
    <w:rsid w:val="00D168D5"/>
    <w:rsid w:val="00D16ACF"/>
    <w:rsid w:val="00D179D3"/>
    <w:rsid w:val="00D20381"/>
    <w:rsid w:val="00D21255"/>
    <w:rsid w:val="00D21E3B"/>
    <w:rsid w:val="00D23193"/>
    <w:rsid w:val="00D23DDB"/>
    <w:rsid w:val="00D24737"/>
    <w:rsid w:val="00D26B97"/>
    <w:rsid w:val="00D27456"/>
    <w:rsid w:val="00D30584"/>
    <w:rsid w:val="00D30B6E"/>
    <w:rsid w:val="00D310BE"/>
    <w:rsid w:val="00D31392"/>
    <w:rsid w:val="00D31613"/>
    <w:rsid w:val="00D31942"/>
    <w:rsid w:val="00D31C91"/>
    <w:rsid w:val="00D32224"/>
    <w:rsid w:val="00D3337B"/>
    <w:rsid w:val="00D34A21"/>
    <w:rsid w:val="00D3561A"/>
    <w:rsid w:val="00D35665"/>
    <w:rsid w:val="00D359B3"/>
    <w:rsid w:val="00D360A6"/>
    <w:rsid w:val="00D36C9B"/>
    <w:rsid w:val="00D40175"/>
    <w:rsid w:val="00D40242"/>
    <w:rsid w:val="00D40253"/>
    <w:rsid w:val="00D40A41"/>
    <w:rsid w:val="00D40AEB"/>
    <w:rsid w:val="00D40EA7"/>
    <w:rsid w:val="00D40F32"/>
    <w:rsid w:val="00D41A0D"/>
    <w:rsid w:val="00D42BF2"/>
    <w:rsid w:val="00D42DD3"/>
    <w:rsid w:val="00D42DE2"/>
    <w:rsid w:val="00D43380"/>
    <w:rsid w:val="00D43399"/>
    <w:rsid w:val="00D43B3D"/>
    <w:rsid w:val="00D44036"/>
    <w:rsid w:val="00D448B9"/>
    <w:rsid w:val="00D4518C"/>
    <w:rsid w:val="00D4569D"/>
    <w:rsid w:val="00D461E3"/>
    <w:rsid w:val="00D4655D"/>
    <w:rsid w:val="00D46AEC"/>
    <w:rsid w:val="00D47093"/>
    <w:rsid w:val="00D47B3F"/>
    <w:rsid w:val="00D5009F"/>
    <w:rsid w:val="00D507AE"/>
    <w:rsid w:val="00D50B57"/>
    <w:rsid w:val="00D510D5"/>
    <w:rsid w:val="00D514A7"/>
    <w:rsid w:val="00D51EC5"/>
    <w:rsid w:val="00D51FDD"/>
    <w:rsid w:val="00D52B3E"/>
    <w:rsid w:val="00D52F8B"/>
    <w:rsid w:val="00D542E8"/>
    <w:rsid w:val="00D56547"/>
    <w:rsid w:val="00D567F2"/>
    <w:rsid w:val="00D56BA4"/>
    <w:rsid w:val="00D56D00"/>
    <w:rsid w:val="00D57B5E"/>
    <w:rsid w:val="00D6120A"/>
    <w:rsid w:val="00D620C3"/>
    <w:rsid w:val="00D624F1"/>
    <w:rsid w:val="00D62B80"/>
    <w:rsid w:val="00D6307B"/>
    <w:rsid w:val="00D63806"/>
    <w:rsid w:val="00D63CF5"/>
    <w:rsid w:val="00D63DDE"/>
    <w:rsid w:val="00D653E5"/>
    <w:rsid w:val="00D6689B"/>
    <w:rsid w:val="00D67166"/>
    <w:rsid w:val="00D67814"/>
    <w:rsid w:val="00D700CD"/>
    <w:rsid w:val="00D70686"/>
    <w:rsid w:val="00D7113E"/>
    <w:rsid w:val="00D7288F"/>
    <w:rsid w:val="00D72BE6"/>
    <w:rsid w:val="00D72D01"/>
    <w:rsid w:val="00D731FC"/>
    <w:rsid w:val="00D73F7C"/>
    <w:rsid w:val="00D7431B"/>
    <w:rsid w:val="00D75771"/>
    <w:rsid w:val="00D75C66"/>
    <w:rsid w:val="00D769E4"/>
    <w:rsid w:val="00D76B60"/>
    <w:rsid w:val="00D77976"/>
    <w:rsid w:val="00D77A13"/>
    <w:rsid w:val="00D77D03"/>
    <w:rsid w:val="00D80260"/>
    <w:rsid w:val="00D8100C"/>
    <w:rsid w:val="00D8127C"/>
    <w:rsid w:val="00D820AF"/>
    <w:rsid w:val="00D82AFA"/>
    <w:rsid w:val="00D83815"/>
    <w:rsid w:val="00D83F1A"/>
    <w:rsid w:val="00D843A1"/>
    <w:rsid w:val="00D84753"/>
    <w:rsid w:val="00D847C9"/>
    <w:rsid w:val="00D84F79"/>
    <w:rsid w:val="00D87C15"/>
    <w:rsid w:val="00D904C9"/>
    <w:rsid w:val="00D908B7"/>
    <w:rsid w:val="00D91249"/>
    <w:rsid w:val="00D91EA2"/>
    <w:rsid w:val="00D921B6"/>
    <w:rsid w:val="00D9315E"/>
    <w:rsid w:val="00D93759"/>
    <w:rsid w:val="00D93BCE"/>
    <w:rsid w:val="00D9475E"/>
    <w:rsid w:val="00D949A6"/>
    <w:rsid w:val="00D95F0E"/>
    <w:rsid w:val="00D95FD4"/>
    <w:rsid w:val="00D96984"/>
    <w:rsid w:val="00D96AD0"/>
    <w:rsid w:val="00D970F2"/>
    <w:rsid w:val="00D971C1"/>
    <w:rsid w:val="00D97C00"/>
    <w:rsid w:val="00DA0BFF"/>
    <w:rsid w:val="00DA179A"/>
    <w:rsid w:val="00DA21E7"/>
    <w:rsid w:val="00DA22ED"/>
    <w:rsid w:val="00DA25BE"/>
    <w:rsid w:val="00DA277D"/>
    <w:rsid w:val="00DA2B58"/>
    <w:rsid w:val="00DA3AC2"/>
    <w:rsid w:val="00DA4183"/>
    <w:rsid w:val="00DA4FE7"/>
    <w:rsid w:val="00DA6140"/>
    <w:rsid w:val="00DA6B62"/>
    <w:rsid w:val="00DB058A"/>
    <w:rsid w:val="00DB1021"/>
    <w:rsid w:val="00DB157E"/>
    <w:rsid w:val="00DB1712"/>
    <w:rsid w:val="00DB284D"/>
    <w:rsid w:val="00DB2C57"/>
    <w:rsid w:val="00DB2CA9"/>
    <w:rsid w:val="00DB383B"/>
    <w:rsid w:val="00DB3BC2"/>
    <w:rsid w:val="00DB5AE5"/>
    <w:rsid w:val="00DB66F2"/>
    <w:rsid w:val="00DB6987"/>
    <w:rsid w:val="00DB75DD"/>
    <w:rsid w:val="00DB77FC"/>
    <w:rsid w:val="00DC0DBD"/>
    <w:rsid w:val="00DC1373"/>
    <w:rsid w:val="00DC1816"/>
    <w:rsid w:val="00DC1A49"/>
    <w:rsid w:val="00DC2D84"/>
    <w:rsid w:val="00DC56AC"/>
    <w:rsid w:val="00DC5757"/>
    <w:rsid w:val="00DC58A7"/>
    <w:rsid w:val="00DC59A9"/>
    <w:rsid w:val="00DC5B1B"/>
    <w:rsid w:val="00DC64D8"/>
    <w:rsid w:val="00DC660C"/>
    <w:rsid w:val="00DC665E"/>
    <w:rsid w:val="00DC6FDA"/>
    <w:rsid w:val="00DC749B"/>
    <w:rsid w:val="00DC7710"/>
    <w:rsid w:val="00DD020C"/>
    <w:rsid w:val="00DD19F2"/>
    <w:rsid w:val="00DD1C49"/>
    <w:rsid w:val="00DD229E"/>
    <w:rsid w:val="00DD2D2A"/>
    <w:rsid w:val="00DD3FCB"/>
    <w:rsid w:val="00DD5D0C"/>
    <w:rsid w:val="00DD61D5"/>
    <w:rsid w:val="00DD63D9"/>
    <w:rsid w:val="00DD6BB2"/>
    <w:rsid w:val="00DD73BD"/>
    <w:rsid w:val="00DD7839"/>
    <w:rsid w:val="00DE0143"/>
    <w:rsid w:val="00DE06CB"/>
    <w:rsid w:val="00DE0C26"/>
    <w:rsid w:val="00DE0D02"/>
    <w:rsid w:val="00DE0F45"/>
    <w:rsid w:val="00DE125E"/>
    <w:rsid w:val="00DE146C"/>
    <w:rsid w:val="00DE1E45"/>
    <w:rsid w:val="00DE3213"/>
    <w:rsid w:val="00DE5A83"/>
    <w:rsid w:val="00DE70D8"/>
    <w:rsid w:val="00DE7271"/>
    <w:rsid w:val="00DF1842"/>
    <w:rsid w:val="00DF2028"/>
    <w:rsid w:val="00DF2B20"/>
    <w:rsid w:val="00DF3475"/>
    <w:rsid w:val="00DF42EC"/>
    <w:rsid w:val="00DF59B3"/>
    <w:rsid w:val="00DF59D9"/>
    <w:rsid w:val="00DF59DB"/>
    <w:rsid w:val="00DF5D46"/>
    <w:rsid w:val="00DF61CE"/>
    <w:rsid w:val="00DF6636"/>
    <w:rsid w:val="00DF6E4B"/>
    <w:rsid w:val="00DF7B33"/>
    <w:rsid w:val="00E00A89"/>
    <w:rsid w:val="00E019FD"/>
    <w:rsid w:val="00E01A9F"/>
    <w:rsid w:val="00E020C9"/>
    <w:rsid w:val="00E021C6"/>
    <w:rsid w:val="00E0273F"/>
    <w:rsid w:val="00E03AA3"/>
    <w:rsid w:val="00E04895"/>
    <w:rsid w:val="00E04B7C"/>
    <w:rsid w:val="00E05817"/>
    <w:rsid w:val="00E06867"/>
    <w:rsid w:val="00E10B6D"/>
    <w:rsid w:val="00E1267A"/>
    <w:rsid w:val="00E136F8"/>
    <w:rsid w:val="00E13A7E"/>
    <w:rsid w:val="00E13B24"/>
    <w:rsid w:val="00E165D1"/>
    <w:rsid w:val="00E16FAB"/>
    <w:rsid w:val="00E2058A"/>
    <w:rsid w:val="00E20EEF"/>
    <w:rsid w:val="00E213CE"/>
    <w:rsid w:val="00E215DA"/>
    <w:rsid w:val="00E22FA0"/>
    <w:rsid w:val="00E237DA"/>
    <w:rsid w:val="00E23AA9"/>
    <w:rsid w:val="00E23BEF"/>
    <w:rsid w:val="00E2421C"/>
    <w:rsid w:val="00E24246"/>
    <w:rsid w:val="00E24B6D"/>
    <w:rsid w:val="00E2549D"/>
    <w:rsid w:val="00E26796"/>
    <w:rsid w:val="00E3083E"/>
    <w:rsid w:val="00E3111A"/>
    <w:rsid w:val="00E31CE5"/>
    <w:rsid w:val="00E322EC"/>
    <w:rsid w:val="00E32A17"/>
    <w:rsid w:val="00E337CB"/>
    <w:rsid w:val="00E33AAC"/>
    <w:rsid w:val="00E34D36"/>
    <w:rsid w:val="00E35098"/>
    <w:rsid w:val="00E357D7"/>
    <w:rsid w:val="00E35D13"/>
    <w:rsid w:val="00E35EB6"/>
    <w:rsid w:val="00E3697E"/>
    <w:rsid w:val="00E369DE"/>
    <w:rsid w:val="00E36C0F"/>
    <w:rsid w:val="00E40039"/>
    <w:rsid w:val="00E40B48"/>
    <w:rsid w:val="00E41225"/>
    <w:rsid w:val="00E41805"/>
    <w:rsid w:val="00E41A33"/>
    <w:rsid w:val="00E420C6"/>
    <w:rsid w:val="00E42295"/>
    <w:rsid w:val="00E424B6"/>
    <w:rsid w:val="00E4277C"/>
    <w:rsid w:val="00E4485D"/>
    <w:rsid w:val="00E44F75"/>
    <w:rsid w:val="00E462BD"/>
    <w:rsid w:val="00E472B4"/>
    <w:rsid w:val="00E47643"/>
    <w:rsid w:val="00E50CF8"/>
    <w:rsid w:val="00E51BC1"/>
    <w:rsid w:val="00E55EA4"/>
    <w:rsid w:val="00E56142"/>
    <w:rsid w:val="00E57487"/>
    <w:rsid w:val="00E57857"/>
    <w:rsid w:val="00E579BE"/>
    <w:rsid w:val="00E57CB9"/>
    <w:rsid w:val="00E6219E"/>
    <w:rsid w:val="00E6299F"/>
    <w:rsid w:val="00E62C5D"/>
    <w:rsid w:val="00E63886"/>
    <w:rsid w:val="00E63B02"/>
    <w:rsid w:val="00E654D7"/>
    <w:rsid w:val="00E65652"/>
    <w:rsid w:val="00E659DD"/>
    <w:rsid w:val="00E66121"/>
    <w:rsid w:val="00E6617E"/>
    <w:rsid w:val="00E66EF2"/>
    <w:rsid w:val="00E67367"/>
    <w:rsid w:val="00E67AD4"/>
    <w:rsid w:val="00E7006C"/>
    <w:rsid w:val="00E7151D"/>
    <w:rsid w:val="00E7185B"/>
    <w:rsid w:val="00E71C87"/>
    <w:rsid w:val="00E724FE"/>
    <w:rsid w:val="00E72C39"/>
    <w:rsid w:val="00E732B5"/>
    <w:rsid w:val="00E741A2"/>
    <w:rsid w:val="00E77797"/>
    <w:rsid w:val="00E77851"/>
    <w:rsid w:val="00E8013B"/>
    <w:rsid w:val="00E81D8A"/>
    <w:rsid w:val="00E82492"/>
    <w:rsid w:val="00E82540"/>
    <w:rsid w:val="00E82E02"/>
    <w:rsid w:val="00E83F63"/>
    <w:rsid w:val="00E845B9"/>
    <w:rsid w:val="00E847EC"/>
    <w:rsid w:val="00E8553A"/>
    <w:rsid w:val="00E85B62"/>
    <w:rsid w:val="00E87C50"/>
    <w:rsid w:val="00E87FCE"/>
    <w:rsid w:val="00E9054F"/>
    <w:rsid w:val="00E90625"/>
    <w:rsid w:val="00E90774"/>
    <w:rsid w:val="00E90CE4"/>
    <w:rsid w:val="00E913C3"/>
    <w:rsid w:val="00E919EC"/>
    <w:rsid w:val="00E92516"/>
    <w:rsid w:val="00E94A7E"/>
    <w:rsid w:val="00E94DEF"/>
    <w:rsid w:val="00E95EB9"/>
    <w:rsid w:val="00E96E64"/>
    <w:rsid w:val="00E96F06"/>
    <w:rsid w:val="00E974EC"/>
    <w:rsid w:val="00E97520"/>
    <w:rsid w:val="00E97B8B"/>
    <w:rsid w:val="00EA081D"/>
    <w:rsid w:val="00EA0A9A"/>
    <w:rsid w:val="00EA30B0"/>
    <w:rsid w:val="00EA46C4"/>
    <w:rsid w:val="00EA4A7A"/>
    <w:rsid w:val="00EA4BA2"/>
    <w:rsid w:val="00EA4DBA"/>
    <w:rsid w:val="00EA5270"/>
    <w:rsid w:val="00EA5980"/>
    <w:rsid w:val="00EA6903"/>
    <w:rsid w:val="00EA72DA"/>
    <w:rsid w:val="00EA7EAB"/>
    <w:rsid w:val="00EB0877"/>
    <w:rsid w:val="00EB10A0"/>
    <w:rsid w:val="00EB198A"/>
    <w:rsid w:val="00EB1B72"/>
    <w:rsid w:val="00EB1F97"/>
    <w:rsid w:val="00EB2AF7"/>
    <w:rsid w:val="00EB3271"/>
    <w:rsid w:val="00EB3378"/>
    <w:rsid w:val="00EB429E"/>
    <w:rsid w:val="00EB4CE5"/>
    <w:rsid w:val="00EB562F"/>
    <w:rsid w:val="00EB5A34"/>
    <w:rsid w:val="00EB6102"/>
    <w:rsid w:val="00EB65A6"/>
    <w:rsid w:val="00EB72DB"/>
    <w:rsid w:val="00EC0D81"/>
    <w:rsid w:val="00EC1161"/>
    <w:rsid w:val="00EC1394"/>
    <w:rsid w:val="00EC1415"/>
    <w:rsid w:val="00EC2436"/>
    <w:rsid w:val="00EC2A4C"/>
    <w:rsid w:val="00EC2BD2"/>
    <w:rsid w:val="00EC2BEC"/>
    <w:rsid w:val="00EC3B26"/>
    <w:rsid w:val="00EC4820"/>
    <w:rsid w:val="00EC66F8"/>
    <w:rsid w:val="00EC6E01"/>
    <w:rsid w:val="00EC71C2"/>
    <w:rsid w:val="00ED0414"/>
    <w:rsid w:val="00ED0780"/>
    <w:rsid w:val="00ED0ABE"/>
    <w:rsid w:val="00ED0FE7"/>
    <w:rsid w:val="00ED1071"/>
    <w:rsid w:val="00ED12C4"/>
    <w:rsid w:val="00ED1504"/>
    <w:rsid w:val="00ED16C3"/>
    <w:rsid w:val="00ED3ADE"/>
    <w:rsid w:val="00ED46AA"/>
    <w:rsid w:val="00ED629E"/>
    <w:rsid w:val="00ED6584"/>
    <w:rsid w:val="00ED66E8"/>
    <w:rsid w:val="00ED762B"/>
    <w:rsid w:val="00EE062B"/>
    <w:rsid w:val="00EE2240"/>
    <w:rsid w:val="00EE2B35"/>
    <w:rsid w:val="00EE2E11"/>
    <w:rsid w:val="00EE48D1"/>
    <w:rsid w:val="00EE4F6A"/>
    <w:rsid w:val="00EE4F7B"/>
    <w:rsid w:val="00EF0263"/>
    <w:rsid w:val="00EF0AE5"/>
    <w:rsid w:val="00EF0D2E"/>
    <w:rsid w:val="00EF176A"/>
    <w:rsid w:val="00EF1ACB"/>
    <w:rsid w:val="00EF1F4C"/>
    <w:rsid w:val="00EF2E49"/>
    <w:rsid w:val="00EF4AAB"/>
    <w:rsid w:val="00EF5800"/>
    <w:rsid w:val="00EF5FEF"/>
    <w:rsid w:val="00EF623D"/>
    <w:rsid w:val="00EF6533"/>
    <w:rsid w:val="00EF699A"/>
    <w:rsid w:val="00EF6AF2"/>
    <w:rsid w:val="00EF6B09"/>
    <w:rsid w:val="00EF76FA"/>
    <w:rsid w:val="00EF7F4A"/>
    <w:rsid w:val="00EF7F8E"/>
    <w:rsid w:val="00F024D7"/>
    <w:rsid w:val="00F0368F"/>
    <w:rsid w:val="00F03AF2"/>
    <w:rsid w:val="00F04633"/>
    <w:rsid w:val="00F04B40"/>
    <w:rsid w:val="00F04FA2"/>
    <w:rsid w:val="00F055AB"/>
    <w:rsid w:val="00F059D2"/>
    <w:rsid w:val="00F05DE1"/>
    <w:rsid w:val="00F064D1"/>
    <w:rsid w:val="00F078B2"/>
    <w:rsid w:val="00F07B5C"/>
    <w:rsid w:val="00F10947"/>
    <w:rsid w:val="00F11559"/>
    <w:rsid w:val="00F119BC"/>
    <w:rsid w:val="00F12389"/>
    <w:rsid w:val="00F123A4"/>
    <w:rsid w:val="00F12D18"/>
    <w:rsid w:val="00F12EB5"/>
    <w:rsid w:val="00F13074"/>
    <w:rsid w:val="00F13AA8"/>
    <w:rsid w:val="00F15840"/>
    <w:rsid w:val="00F15CF8"/>
    <w:rsid w:val="00F1661E"/>
    <w:rsid w:val="00F173BC"/>
    <w:rsid w:val="00F2216E"/>
    <w:rsid w:val="00F2314A"/>
    <w:rsid w:val="00F23255"/>
    <w:rsid w:val="00F23F21"/>
    <w:rsid w:val="00F23FD3"/>
    <w:rsid w:val="00F2439C"/>
    <w:rsid w:val="00F25C64"/>
    <w:rsid w:val="00F25D9E"/>
    <w:rsid w:val="00F26AFA"/>
    <w:rsid w:val="00F278AD"/>
    <w:rsid w:val="00F31183"/>
    <w:rsid w:val="00F31478"/>
    <w:rsid w:val="00F32F8F"/>
    <w:rsid w:val="00F33CAF"/>
    <w:rsid w:val="00F341D9"/>
    <w:rsid w:val="00F362E2"/>
    <w:rsid w:val="00F37207"/>
    <w:rsid w:val="00F378DE"/>
    <w:rsid w:val="00F379C4"/>
    <w:rsid w:val="00F40672"/>
    <w:rsid w:val="00F40CDC"/>
    <w:rsid w:val="00F41E13"/>
    <w:rsid w:val="00F43E0E"/>
    <w:rsid w:val="00F448C8"/>
    <w:rsid w:val="00F44BCA"/>
    <w:rsid w:val="00F44D22"/>
    <w:rsid w:val="00F450A9"/>
    <w:rsid w:val="00F45793"/>
    <w:rsid w:val="00F45AE3"/>
    <w:rsid w:val="00F46CE5"/>
    <w:rsid w:val="00F47E3D"/>
    <w:rsid w:val="00F5074C"/>
    <w:rsid w:val="00F5164D"/>
    <w:rsid w:val="00F52037"/>
    <w:rsid w:val="00F53D31"/>
    <w:rsid w:val="00F53DB2"/>
    <w:rsid w:val="00F5512D"/>
    <w:rsid w:val="00F57890"/>
    <w:rsid w:val="00F57F0D"/>
    <w:rsid w:val="00F57F60"/>
    <w:rsid w:val="00F60031"/>
    <w:rsid w:val="00F60033"/>
    <w:rsid w:val="00F60637"/>
    <w:rsid w:val="00F60A0E"/>
    <w:rsid w:val="00F60D6A"/>
    <w:rsid w:val="00F60DD9"/>
    <w:rsid w:val="00F610EA"/>
    <w:rsid w:val="00F61594"/>
    <w:rsid w:val="00F617E2"/>
    <w:rsid w:val="00F62557"/>
    <w:rsid w:val="00F62A56"/>
    <w:rsid w:val="00F6425A"/>
    <w:rsid w:val="00F64FAA"/>
    <w:rsid w:val="00F653CB"/>
    <w:rsid w:val="00F65745"/>
    <w:rsid w:val="00F67039"/>
    <w:rsid w:val="00F67B8E"/>
    <w:rsid w:val="00F701EF"/>
    <w:rsid w:val="00F706FB"/>
    <w:rsid w:val="00F70CFB"/>
    <w:rsid w:val="00F71895"/>
    <w:rsid w:val="00F72D8F"/>
    <w:rsid w:val="00F73DF0"/>
    <w:rsid w:val="00F73E4F"/>
    <w:rsid w:val="00F759E4"/>
    <w:rsid w:val="00F77B13"/>
    <w:rsid w:val="00F80209"/>
    <w:rsid w:val="00F80A59"/>
    <w:rsid w:val="00F8130E"/>
    <w:rsid w:val="00F81757"/>
    <w:rsid w:val="00F831BD"/>
    <w:rsid w:val="00F83269"/>
    <w:rsid w:val="00F835C1"/>
    <w:rsid w:val="00F8461E"/>
    <w:rsid w:val="00F8464A"/>
    <w:rsid w:val="00F85204"/>
    <w:rsid w:val="00F852E5"/>
    <w:rsid w:val="00F85E2D"/>
    <w:rsid w:val="00F85E93"/>
    <w:rsid w:val="00F8689E"/>
    <w:rsid w:val="00F8762E"/>
    <w:rsid w:val="00F87CC3"/>
    <w:rsid w:val="00F87DDE"/>
    <w:rsid w:val="00F9016A"/>
    <w:rsid w:val="00F90D13"/>
    <w:rsid w:val="00F9273E"/>
    <w:rsid w:val="00F92B2C"/>
    <w:rsid w:val="00F95DA9"/>
    <w:rsid w:val="00F970BB"/>
    <w:rsid w:val="00F9787A"/>
    <w:rsid w:val="00FA0AF1"/>
    <w:rsid w:val="00FA107B"/>
    <w:rsid w:val="00FA187F"/>
    <w:rsid w:val="00FA1AF0"/>
    <w:rsid w:val="00FA1D3B"/>
    <w:rsid w:val="00FA2A68"/>
    <w:rsid w:val="00FA3225"/>
    <w:rsid w:val="00FA3344"/>
    <w:rsid w:val="00FA3D32"/>
    <w:rsid w:val="00FA4A87"/>
    <w:rsid w:val="00FA4A91"/>
    <w:rsid w:val="00FA4E14"/>
    <w:rsid w:val="00FA4EFC"/>
    <w:rsid w:val="00FA5211"/>
    <w:rsid w:val="00FA5730"/>
    <w:rsid w:val="00FA61E5"/>
    <w:rsid w:val="00FA6818"/>
    <w:rsid w:val="00FA7183"/>
    <w:rsid w:val="00FA74F7"/>
    <w:rsid w:val="00FA7F83"/>
    <w:rsid w:val="00FB08FD"/>
    <w:rsid w:val="00FB1335"/>
    <w:rsid w:val="00FB1FFD"/>
    <w:rsid w:val="00FB27A1"/>
    <w:rsid w:val="00FB2C63"/>
    <w:rsid w:val="00FB3669"/>
    <w:rsid w:val="00FB3756"/>
    <w:rsid w:val="00FB37FC"/>
    <w:rsid w:val="00FB4155"/>
    <w:rsid w:val="00FB4967"/>
    <w:rsid w:val="00FB4C17"/>
    <w:rsid w:val="00FB509F"/>
    <w:rsid w:val="00FB54B1"/>
    <w:rsid w:val="00FB5543"/>
    <w:rsid w:val="00FB5B98"/>
    <w:rsid w:val="00FB5E28"/>
    <w:rsid w:val="00FB604F"/>
    <w:rsid w:val="00FB64D3"/>
    <w:rsid w:val="00FB660F"/>
    <w:rsid w:val="00FB770C"/>
    <w:rsid w:val="00FC02A2"/>
    <w:rsid w:val="00FC02C9"/>
    <w:rsid w:val="00FC0DBE"/>
    <w:rsid w:val="00FC148E"/>
    <w:rsid w:val="00FC22BE"/>
    <w:rsid w:val="00FC25F8"/>
    <w:rsid w:val="00FC2DD4"/>
    <w:rsid w:val="00FC38F8"/>
    <w:rsid w:val="00FC3BE5"/>
    <w:rsid w:val="00FC486D"/>
    <w:rsid w:val="00FC4CA5"/>
    <w:rsid w:val="00FC56CE"/>
    <w:rsid w:val="00FC5933"/>
    <w:rsid w:val="00FC598E"/>
    <w:rsid w:val="00FC5A8D"/>
    <w:rsid w:val="00FC6593"/>
    <w:rsid w:val="00FC6E31"/>
    <w:rsid w:val="00FC76FC"/>
    <w:rsid w:val="00FD1926"/>
    <w:rsid w:val="00FD28A0"/>
    <w:rsid w:val="00FD3667"/>
    <w:rsid w:val="00FD3B06"/>
    <w:rsid w:val="00FD3D36"/>
    <w:rsid w:val="00FD5189"/>
    <w:rsid w:val="00FD51DE"/>
    <w:rsid w:val="00FD665D"/>
    <w:rsid w:val="00FE09C8"/>
    <w:rsid w:val="00FE0A15"/>
    <w:rsid w:val="00FE2179"/>
    <w:rsid w:val="00FE2257"/>
    <w:rsid w:val="00FE27AA"/>
    <w:rsid w:val="00FE2A06"/>
    <w:rsid w:val="00FE2FBB"/>
    <w:rsid w:val="00FE390A"/>
    <w:rsid w:val="00FE3EA0"/>
    <w:rsid w:val="00FE4686"/>
    <w:rsid w:val="00FE6BF8"/>
    <w:rsid w:val="00FE6EF3"/>
    <w:rsid w:val="00FE7F8E"/>
    <w:rsid w:val="00FF0B41"/>
    <w:rsid w:val="00FF19C4"/>
    <w:rsid w:val="00FF223E"/>
    <w:rsid w:val="00FF2460"/>
    <w:rsid w:val="00FF2606"/>
    <w:rsid w:val="00FF2BAD"/>
    <w:rsid w:val="00FF2C9D"/>
    <w:rsid w:val="00FF3082"/>
    <w:rsid w:val="00FF42F3"/>
    <w:rsid w:val="00FF450D"/>
    <w:rsid w:val="00FF52FE"/>
    <w:rsid w:val="00FF532B"/>
    <w:rsid w:val="00FF63AA"/>
    <w:rsid w:val="00FF6A26"/>
    <w:rsid w:val="00FF785D"/>
    <w:rsid w:val="17CBE0C4"/>
    <w:rsid w:val="432C512A"/>
    <w:rsid w:val="450BEEAF"/>
    <w:rsid w:val="4E69B9CC"/>
    <w:rsid w:val="5D810C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84F641"/>
  <w15:docId w15:val="{53611EEF-AAD1-463C-AC97-180AB076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CF3"/>
    <w:pPr>
      <w:ind w:left="720"/>
      <w:contextualSpacing/>
    </w:pPr>
  </w:style>
  <w:style w:type="paragraph" w:styleId="ListBullet">
    <w:name w:val="List Bullet"/>
    <w:basedOn w:val="Normal"/>
    <w:uiPriority w:val="99"/>
    <w:semiHidden/>
    <w:unhideWhenUsed/>
    <w:rsid w:val="00595DAD"/>
    <w:pPr>
      <w:numPr>
        <w:numId w:val="4"/>
      </w:numPr>
      <w:contextualSpacing/>
    </w:pPr>
  </w:style>
  <w:style w:type="paragraph" w:styleId="ListBullet2">
    <w:name w:val="List Bullet 2"/>
    <w:basedOn w:val="Normal"/>
    <w:uiPriority w:val="99"/>
    <w:semiHidden/>
    <w:unhideWhenUsed/>
    <w:rsid w:val="00595DAD"/>
    <w:pPr>
      <w:numPr>
        <w:numId w:val="5"/>
      </w:numPr>
      <w:contextualSpacing/>
    </w:pPr>
  </w:style>
  <w:style w:type="paragraph" w:styleId="ListBullet3">
    <w:name w:val="List Bullet 3"/>
    <w:basedOn w:val="Normal"/>
    <w:uiPriority w:val="99"/>
    <w:semiHidden/>
    <w:unhideWhenUsed/>
    <w:rsid w:val="00595DAD"/>
    <w:pPr>
      <w:numPr>
        <w:numId w:val="6"/>
      </w:numPr>
      <w:contextualSpacing/>
    </w:pPr>
  </w:style>
  <w:style w:type="paragraph" w:styleId="ListBullet4">
    <w:name w:val="List Bullet 4"/>
    <w:basedOn w:val="Normal"/>
    <w:uiPriority w:val="99"/>
    <w:semiHidden/>
    <w:unhideWhenUsed/>
    <w:rsid w:val="00595DAD"/>
    <w:pPr>
      <w:numPr>
        <w:numId w:val="7"/>
      </w:numPr>
      <w:contextualSpacing/>
    </w:pPr>
  </w:style>
  <w:style w:type="character" w:styleId="PlaceholderText">
    <w:name w:val="Placeholder Text"/>
    <w:basedOn w:val="DefaultParagraphFont"/>
    <w:uiPriority w:val="99"/>
    <w:semiHidden/>
    <w:rsid w:val="00BB2F3C"/>
    <w:rPr>
      <w:color w:val="666666"/>
    </w:rPr>
  </w:style>
  <w:style w:type="table" w:styleId="TableGrid">
    <w:name w:val="Table Grid"/>
    <w:basedOn w:val="TableNormal"/>
    <w:uiPriority w:val="59"/>
    <w:rsid w:val="00DE146C"/>
    <w:pPr>
      <w:spacing w:after="0" w:line="240" w:lineRule="auto"/>
    </w:pPr>
    <w:tblPr/>
  </w:style>
  <w:style w:type="paragraph" w:styleId="Revision">
    <w:name w:val="Revision"/>
    <w:hidden/>
    <w:uiPriority w:val="99"/>
    <w:semiHidden/>
    <w:rsid w:val="00153F1E"/>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C921F6"/>
    <w:rPr>
      <w:sz w:val="16"/>
      <w:szCs w:val="16"/>
    </w:rPr>
  </w:style>
  <w:style w:type="paragraph" w:styleId="CommentText">
    <w:name w:val="annotation text"/>
    <w:basedOn w:val="Normal"/>
    <w:link w:val="CommentTextChar"/>
    <w:uiPriority w:val="99"/>
    <w:unhideWhenUsed/>
    <w:rsid w:val="00C921F6"/>
    <w:rPr>
      <w:sz w:val="20"/>
      <w:szCs w:val="20"/>
    </w:rPr>
  </w:style>
  <w:style w:type="character" w:customStyle="1" w:styleId="CommentTextChar">
    <w:name w:val="Comment Text Char"/>
    <w:basedOn w:val="DefaultParagraphFont"/>
    <w:link w:val="CommentText"/>
    <w:uiPriority w:val="99"/>
    <w:rsid w:val="00C921F6"/>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C921F6"/>
    <w:rPr>
      <w:b/>
      <w:bCs/>
    </w:rPr>
  </w:style>
  <w:style w:type="character" w:customStyle="1" w:styleId="CommentSubjectChar">
    <w:name w:val="Comment Subject Char"/>
    <w:basedOn w:val="CommentTextChar"/>
    <w:link w:val="CommentSubject"/>
    <w:uiPriority w:val="99"/>
    <w:semiHidden/>
    <w:rsid w:val="00C921F6"/>
    <w:rPr>
      <w:rFonts w:ascii="Times New Roman" w:hAnsi="Times New Roman" w:cs="Times New Roman"/>
      <w:b/>
      <w:bCs/>
      <w:sz w:val="20"/>
      <w:szCs w:val="20"/>
      <w:lang w:val="lv-LV"/>
    </w:rPr>
  </w:style>
  <w:style w:type="character" w:styleId="Hyperlink">
    <w:name w:val="Hyperlink"/>
    <w:basedOn w:val="DefaultParagraphFont"/>
    <w:uiPriority w:val="99"/>
    <w:unhideWhenUsed/>
    <w:rsid w:val="004213D9"/>
    <w:rPr>
      <w:color w:val="0000FF" w:themeColor="hyperlink"/>
      <w:u w:val="single"/>
    </w:rPr>
  </w:style>
  <w:style w:type="character" w:customStyle="1" w:styleId="UnresolvedMention">
    <w:name w:val="Unresolved Mention"/>
    <w:basedOn w:val="DefaultParagraphFont"/>
    <w:uiPriority w:val="99"/>
    <w:semiHidden/>
    <w:unhideWhenUsed/>
    <w:rsid w:val="00796134"/>
    <w:rPr>
      <w:color w:val="605E5C"/>
      <w:shd w:val="clear" w:color="auto" w:fill="E1DFDD"/>
    </w:rPr>
  </w:style>
  <w:style w:type="paragraph" w:styleId="NormalWeb">
    <w:name w:val="Normal (Web)"/>
    <w:basedOn w:val="Normal"/>
    <w:uiPriority w:val="99"/>
    <w:semiHidden/>
    <w:unhideWhenUsed/>
    <w:rsid w:val="006972EA"/>
    <w:rPr>
      <w:szCs w:val="24"/>
    </w:rPr>
  </w:style>
  <w:style w:type="character" w:customStyle="1" w:styleId="HeaderChar">
    <w:name w:val="Header Char"/>
    <w:basedOn w:val="DefaultParagraphFont"/>
    <w:link w:val="Header"/>
    <w:uiPriority w:val="99"/>
    <w:rsid w:val="007C51B7"/>
    <w:rPr>
      <w:rFonts w:ascii="Times New Roman" w:hAnsi="Times New Roman" w:cs="Times New Roman"/>
      <w:sz w:val="24"/>
      <w:lang w:val="lv-LV"/>
    </w:rPr>
  </w:style>
  <w:style w:type="character" w:customStyle="1" w:styleId="FooterChar">
    <w:name w:val="Footer Char"/>
    <w:basedOn w:val="DefaultParagraphFont"/>
    <w:link w:val="Footer"/>
    <w:uiPriority w:val="99"/>
    <w:rsid w:val="007C51B7"/>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C51B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C51B7"/>
    <w:pPr>
      <w:spacing w:before="0"/>
      <w:jc w:val="right"/>
    </w:pPr>
    <w:rPr>
      <w:sz w:val="28"/>
    </w:rPr>
  </w:style>
  <w:style w:type="paragraph" w:customStyle="1" w:styleId="FooterSensitivity">
    <w:name w:val="Footer Sensitivity"/>
    <w:basedOn w:val="Normal"/>
    <w:rsid w:val="007C51B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Tiret5">
    <w:name w:val="Tiret 5"/>
    <w:basedOn w:val="Point5"/>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NumPar5">
    <w:name w:val="NumPar 5"/>
    <w:basedOn w:val="Normal"/>
    <w:next w:val="Text2"/>
    <w:pPr>
      <w:numPr>
        <w:ilvl w:val="4"/>
        <w:numId w:val="26"/>
      </w:numPr>
    </w:pPr>
  </w:style>
  <w:style w:type="paragraph" w:customStyle="1" w:styleId="NumPar6">
    <w:name w:val="NumPar 6"/>
    <w:basedOn w:val="Normal"/>
    <w:next w:val="Text2"/>
    <w:pPr>
      <w:numPr>
        <w:ilvl w:val="5"/>
        <w:numId w:val="26"/>
      </w:numPr>
    </w:pPr>
  </w:style>
  <w:style w:type="paragraph" w:customStyle="1" w:styleId="NumPar7">
    <w:name w:val="NumPar 7"/>
    <w:basedOn w:val="Normal"/>
    <w:next w:val="Text2"/>
    <w:pPr>
      <w:numPr>
        <w:ilvl w:val="6"/>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7C51B7"/>
    <w:pPr>
      <w:tabs>
        <w:tab w:val="center" w:pos="4535"/>
        <w:tab w:val="right" w:pos="9071"/>
      </w:tabs>
      <w:spacing w:before="0"/>
    </w:pPr>
  </w:style>
  <w:style w:type="paragraph" w:customStyle="1" w:styleId="HeaderLandscape">
    <w:name w:val="HeaderLandscape"/>
    <w:basedOn w:val="Normal"/>
    <w:rsid w:val="007C51B7"/>
    <w:pPr>
      <w:tabs>
        <w:tab w:val="center" w:pos="7285"/>
        <w:tab w:val="right" w:pos="14003"/>
      </w:tabs>
      <w:spacing w:before="0"/>
    </w:pPr>
  </w:style>
  <w:style w:type="paragraph" w:styleId="Footer">
    <w:name w:val="footer"/>
    <w:basedOn w:val="Normal"/>
    <w:link w:val="FooterChar"/>
    <w:uiPriority w:val="99"/>
    <w:unhideWhenUsed/>
    <w:rsid w:val="007C51B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C51B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5016">
      <w:bodyDiv w:val="1"/>
      <w:marLeft w:val="0"/>
      <w:marRight w:val="0"/>
      <w:marTop w:val="0"/>
      <w:marBottom w:val="0"/>
      <w:divBdr>
        <w:top w:val="none" w:sz="0" w:space="0" w:color="auto"/>
        <w:left w:val="none" w:sz="0" w:space="0" w:color="auto"/>
        <w:bottom w:val="none" w:sz="0" w:space="0" w:color="auto"/>
        <w:right w:val="none" w:sz="0" w:space="0" w:color="auto"/>
      </w:divBdr>
      <w:divsChild>
        <w:div w:id="772936337">
          <w:marLeft w:val="0"/>
          <w:marRight w:val="0"/>
          <w:marTop w:val="0"/>
          <w:marBottom w:val="0"/>
          <w:divBdr>
            <w:top w:val="none" w:sz="0" w:space="0" w:color="auto"/>
            <w:left w:val="none" w:sz="0" w:space="0" w:color="auto"/>
            <w:bottom w:val="none" w:sz="0" w:space="0" w:color="auto"/>
            <w:right w:val="none" w:sz="0" w:space="0" w:color="auto"/>
          </w:divBdr>
        </w:div>
        <w:div w:id="1080181204">
          <w:marLeft w:val="0"/>
          <w:marRight w:val="0"/>
          <w:marTop w:val="0"/>
          <w:marBottom w:val="0"/>
          <w:divBdr>
            <w:top w:val="none" w:sz="0" w:space="0" w:color="auto"/>
            <w:left w:val="none" w:sz="0" w:space="0" w:color="auto"/>
            <w:bottom w:val="none" w:sz="0" w:space="0" w:color="auto"/>
            <w:right w:val="none" w:sz="0" w:space="0" w:color="auto"/>
          </w:divBdr>
        </w:div>
        <w:div w:id="2040229646">
          <w:marLeft w:val="0"/>
          <w:marRight w:val="0"/>
          <w:marTop w:val="0"/>
          <w:marBottom w:val="0"/>
          <w:divBdr>
            <w:top w:val="none" w:sz="0" w:space="0" w:color="auto"/>
            <w:left w:val="none" w:sz="0" w:space="0" w:color="auto"/>
            <w:bottom w:val="none" w:sz="0" w:space="0" w:color="auto"/>
            <w:right w:val="none" w:sz="0" w:space="0" w:color="auto"/>
          </w:divBdr>
        </w:div>
      </w:divsChild>
    </w:div>
    <w:div w:id="47609353">
      <w:bodyDiv w:val="1"/>
      <w:marLeft w:val="0"/>
      <w:marRight w:val="0"/>
      <w:marTop w:val="0"/>
      <w:marBottom w:val="0"/>
      <w:divBdr>
        <w:top w:val="none" w:sz="0" w:space="0" w:color="auto"/>
        <w:left w:val="none" w:sz="0" w:space="0" w:color="auto"/>
        <w:bottom w:val="none" w:sz="0" w:space="0" w:color="auto"/>
        <w:right w:val="none" w:sz="0" w:space="0" w:color="auto"/>
      </w:divBdr>
      <w:divsChild>
        <w:div w:id="403995999">
          <w:marLeft w:val="0"/>
          <w:marRight w:val="0"/>
          <w:marTop w:val="0"/>
          <w:marBottom w:val="0"/>
          <w:divBdr>
            <w:top w:val="none" w:sz="0" w:space="0" w:color="auto"/>
            <w:left w:val="none" w:sz="0" w:space="0" w:color="auto"/>
            <w:bottom w:val="none" w:sz="0" w:space="0" w:color="auto"/>
            <w:right w:val="none" w:sz="0" w:space="0" w:color="auto"/>
          </w:divBdr>
        </w:div>
        <w:div w:id="419642422">
          <w:marLeft w:val="0"/>
          <w:marRight w:val="0"/>
          <w:marTop w:val="0"/>
          <w:marBottom w:val="0"/>
          <w:divBdr>
            <w:top w:val="none" w:sz="0" w:space="0" w:color="auto"/>
            <w:left w:val="none" w:sz="0" w:space="0" w:color="auto"/>
            <w:bottom w:val="none" w:sz="0" w:space="0" w:color="auto"/>
            <w:right w:val="none" w:sz="0" w:space="0" w:color="auto"/>
          </w:divBdr>
        </w:div>
        <w:div w:id="1344284254">
          <w:marLeft w:val="0"/>
          <w:marRight w:val="0"/>
          <w:marTop w:val="0"/>
          <w:marBottom w:val="0"/>
          <w:divBdr>
            <w:top w:val="none" w:sz="0" w:space="0" w:color="auto"/>
            <w:left w:val="none" w:sz="0" w:space="0" w:color="auto"/>
            <w:bottom w:val="none" w:sz="0" w:space="0" w:color="auto"/>
            <w:right w:val="none" w:sz="0" w:space="0" w:color="auto"/>
          </w:divBdr>
        </w:div>
        <w:div w:id="1633710148">
          <w:marLeft w:val="0"/>
          <w:marRight w:val="0"/>
          <w:marTop w:val="0"/>
          <w:marBottom w:val="0"/>
          <w:divBdr>
            <w:top w:val="none" w:sz="0" w:space="0" w:color="auto"/>
            <w:left w:val="none" w:sz="0" w:space="0" w:color="auto"/>
            <w:bottom w:val="none" w:sz="0" w:space="0" w:color="auto"/>
            <w:right w:val="none" w:sz="0" w:space="0" w:color="auto"/>
          </w:divBdr>
        </w:div>
      </w:divsChild>
    </w:div>
    <w:div w:id="165218634">
      <w:bodyDiv w:val="1"/>
      <w:marLeft w:val="0"/>
      <w:marRight w:val="0"/>
      <w:marTop w:val="0"/>
      <w:marBottom w:val="0"/>
      <w:divBdr>
        <w:top w:val="none" w:sz="0" w:space="0" w:color="auto"/>
        <w:left w:val="none" w:sz="0" w:space="0" w:color="auto"/>
        <w:bottom w:val="none" w:sz="0" w:space="0" w:color="auto"/>
        <w:right w:val="none" w:sz="0" w:space="0" w:color="auto"/>
      </w:divBdr>
    </w:div>
    <w:div w:id="193736223">
      <w:bodyDiv w:val="1"/>
      <w:marLeft w:val="0"/>
      <w:marRight w:val="0"/>
      <w:marTop w:val="0"/>
      <w:marBottom w:val="0"/>
      <w:divBdr>
        <w:top w:val="none" w:sz="0" w:space="0" w:color="auto"/>
        <w:left w:val="none" w:sz="0" w:space="0" w:color="auto"/>
        <w:bottom w:val="none" w:sz="0" w:space="0" w:color="auto"/>
        <w:right w:val="none" w:sz="0" w:space="0" w:color="auto"/>
      </w:divBdr>
      <w:divsChild>
        <w:div w:id="960065588">
          <w:marLeft w:val="0"/>
          <w:marRight w:val="0"/>
          <w:marTop w:val="0"/>
          <w:marBottom w:val="0"/>
          <w:divBdr>
            <w:top w:val="none" w:sz="0" w:space="0" w:color="auto"/>
            <w:left w:val="none" w:sz="0" w:space="0" w:color="auto"/>
            <w:bottom w:val="none" w:sz="0" w:space="0" w:color="auto"/>
            <w:right w:val="none" w:sz="0" w:space="0" w:color="auto"/>
          </w:divBdr>
          <w:divsChild>
            <w:div w:id="15191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82703">
      <w:bodyDiv w:val="1"/>
      <w:marLeft w:val="0"/>
      <w:marRight w:val="0"/>
      <w:marTop w:val="0"/>
      <w:marBottom w:val="0"/>
      <w:divBdr>
        <w:top w:val="none" w:sz="0" w:space="0" w:color="auto"/>
        <w:left w:val="none" w:sz="0" w:space="0" w:color="auto"/>
        <w:bottom w:val="none" w:sz="0" w:space="0" w:color="auto"/>
        <w:right w:val="none" w:sz="0" w:space="0" w:color="auto"/>
      </w:divBdr>
    </w:div>
    <w:div w:id="381251481">
      <w:bodyDiv w:val="1"/>
      <w:marLeft w:val="0"/>
      <w:marRight w:val="0"/>
      <w:marTop w:val="0"/>
      <w:marBottom w:val="0"/>
      <w:divBdr>
        <w:top w:val="none" w:sz="0" w:space="0" w:color="auto"/>
        <w:left w:val="none" w:sz="0" w:space="0" w:color="auto"/>
        <w:bottom w:val="none" w:sz="0" w:space="0" w:color="auto"/>
        <w:right w:val="none" w:sz="0" w:space="0" w:color="auto"/>
      </w:divBdr>
    </w:div>
    <w:div w:id="478233457">
      <w:bodyDiv w:val="1"/>
      <w:marLeft w:val="0"/>
      <w:marRight w:val="0"/>
      <w:marTop w:val="0"/>
      <w:marBottom w:val="0"/>
      <w:divBdr>
        <w:top w:val="none" w:sz="0" w:space="0" w:color="auto"/>
        <w:left w:val="none" w:sz="0" w:space="0" w:color="auto"/>
        <w:bottom w:val="none" w:sz="0" w:space="0" w:color="auto"/>
        <w:right w:val="none" w:sz="0" w:space="0" w:color="auto"/>
      </w:divBdr>
    </w:div>
    <w:div w:id="805506898">
      <w:bodyDiv w:val="1"/>
      <w:marLeft w:val="0"/>
      <w:marRight w:val="0"/>
      <w:marTop w:val="0"/>
      <w:marBottom w:val="0"/>
      <w:divBdr>
        <w:top w:val="none" w:sz="0" w:space="0" w:color="auto"/>
        <w:left w:val="none" w:sz="0" w:space="0" w:color="auto"/>
        <w:bottom w:val="none" w:sz="0" w:space="0" w:color="auto"/>
        <w:right w:val="none" w:sz="0" w:space="0" w:color="auto"/>
      </w:divBdr>
    </w:div>
    <w:div w:id="962034867">
      <w:bodyDiv w:val="1"/>
      <w:marLeft w:val="0"/>
      <w:marRight w:val="0"/>
      <w:marTop w:val="0"/>
      <w:marBottom w:val="0"/>
      <w:divBdr>
        <w:top w:val="none" w:sz="0" w:space="0" w:color="auto"/>
        <w:left w:val="none" w:sz="0" w:space="0" w:color="auto"/>
        <w:bottom w:val="none" w:sz="0" w:space="0" w:color="auto"/>
        <w:right w:val="none" w:sz="0" w:space="0" w:color="auto"/>
      </w:divBdr>
      <w:divsChild>
        <w:div w:id="1562016405">
          <w:marLeft w:val="0"/>
          <w:marRight w:val="0"/>
          <w:marTop w:val="0"/>
          <w:marBottom w:val="0"/>
          <w:divBdr>
            <w:top w:val="none" w:sz="0" w:space="0" w:color="auto"/>
            <w:left w:val="none" w:sz="0" w:space="0" w:color="auto"/>
            <w:bottom w:val="none" w:sz="0" w:space="0" w:color="auto"/>
            <w:right w:val="none" w:sz="0" w:space="0" w:color="auto"/>
          </w:divBdr>
          <w:divsChild>
            <w:div w:id="15295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91264">
      <w:bodyDiv w:val="1"/>
      <w:marLeft w:val="0"/>
      <w:marRight w:val="0"/>
      <w:marTop w:val="0"/>
      <w:marBottom w:val="0"/>
      <w:divBdr>
        <w:top w:val="none" w:sz="0" w:space="0" w:color="auto"/>
        <w:left w:val="none" w:sz="0" w:space="0" w:color="auto"/>
        <w:bottom w:val="none" w:sz="0" w:space="0" w:color="auto"/>
        <w:right w:val="none" w:sz="0" w:space="0" w:color="auto"/>
      </w:divBdr>
    </w:div>
    <w:div w:id="1472477417">
      <w:bodyDiv w:val="1"/>
      <w:marLeft w:val="0"/>
      <w:marRight w:val="0"/>
      <w:marTop w:val="0"/>
      <w:marBottom w:val="0"/>
      <w:divBdr>
        <w:top w:val="none" w:sz="0" w:space="0" w:color="auto"/>
        <w:left w:val="none" w:sz="0" w:space="0" w:color="auto"/>
        <w:bottom w:val="none" w:sz="0" w:space="0" w:color="auto"/>
        <w:right w:val="none" w:sz="0" w:space="0" w:color="auto"/>
      </w:divBdr>
    </w:div>
    <w:div w:id="1718779864">
      <w:bodyDiv w:val="1"/>
      <w:marLeft w:val="0"/>
      <w:marRight w:val="0"/>
      <w:marTop w:val="0"/>
      <w:marBottom w:val="0"/>
      <w:divBdr>
        <w:top w:val="none" w:sz="0" w:space="0" w:color="auto"/>
        <w:left w:val="none" w:sz="0" w:space="0" w:color="auto"/>
        <w:bottom w:val="none" w:sz="0" w:space="0" w:color="auto"/>
        <w:right w:val="none" w:sz="0" w:space="0" w:color="auto"/>
      </w:divBdr>
      <w:divsChild>
        <w:div w:id="2046172965">
          <w:marLeft w:val="0"/>
          <w:marRight w:val="0"/>
          <w:marTop w:val="0"/>
          <w:marBottom w:val="0"/>
          <w:divBdr>
            <w:top w:val="none" w:sz="0" w:space="0" w:color="auto"/>
            <w:left w:val="none" w:sz="0" w:space="0" w:color="auto"/>
            <w:bottom w:val="none" w:sz="0" w:space="0" w:color="auto"/>
            <w:right w:val="none" w:sz="0" w:space="0" w:color="auto"/>
          </w:divBdr>
          <w:divsChild>
            <w:div w:id="18503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3871">
      <w:bodyDiv w:val="1"/>
      <w:marLeft w:val="0"/>
      <w:marRight w:val="0"/>
      <w:marTop w:val="0"/>
      <w:marBottom w:val="0"/>
      <w:divBdr>
        <w:top w:val="none" w:sz="0" w:space="0" w:color="auto"/>
        <w:left w:val="none" w:sz="0" w:space="0" w:color="auto"/>
        <w:bottom w:val="none" w:sz="0" w:space="0" w:color="auto"/>
        <w:right w:val="none" w:sz="0" w:space="0" w:color="auto"/>
      </w:divBdr>
      <w:divsChild>
        <w:div w:id="127822048">
          <w:marLeft w:val="0"/>
          <w:marRight w:val="0"/>
          <w:marTop w:val="0"/>
          <w:marBottom w:val="0"/>
          <w:divBdr>
            <w:top w:val="none" w:sz="0" w:space="0" w:color="auto"/>
            <w:left w:val="none" w:sz="0" w:space="0" w:color="auto"/>
            <w:bottom w:val="none" w:sz="0" w:space="0" w:color="auto"/>
            <w:right w:val="none" w:sz="0" w:space="0" w:color="auto"/>
          </w:divBdr>
        </w:div>
        <w:div w:id="609243966">
          <w:marLeft w:val="0"/>
          <w:marRight w:val="0"/>
          <w:marTop w:val="0"/>
          <w:marBottom w:val="0"/>
          <w:divBdr>
            <w:top w:val="none" w:sz="0" w:space="0" w:color="auto"/>
            <w:left w:val="none" w:sz="0" w:space="0" w:color="auto"/>
            <w:bottom w:val="none" w:sz="0" w:space="0" w:color="auto"/>
            <w:right w:val="none" w:sz="0" w:space="0" w:color="auto"/>
          </w:divBdr>
        </w:div>
        <w:div w:id="619531994">
          <w:marLeft w:val="0"/>
          <w:marRight w:val="0"/>
          <w:marTop w:val="0"/>
          <w:marBottom w:val="0"/>
          <w:divBdr>
            <w:top w:val="none" w:sz="0" w:space="0" w:color="auto"/>
            <w:left w:val="none" w:sz="0" w:space="0" w:color="auto"/>
            <w:bottom w:val="none" w:sz="0" w:space="0" w:color="auto"/>
            <w:right w:val="none" w:sz="0" w:space="0" w:color="auto"/>
          </w:divBdr>
        </w:div>
        <w:div w:id="1408377002">
          <w:marLeft w:val="0"/>
          <w:marRight w:val="0"/>
          <w:marTop w:val="0"/>
          <w:marBottom w:val="0"/>
          <w:divBdr>
            <w:top w:val="none" w:sz="0" w:space="0" w:color="auto"/>
            <w:left w:val="none" w:sz="0" w:space="0" w:color="auto"/>
            <w:bottom w:val="none" w:sz="0" w:space="0" w:color="auto"/>
            <w:right w:val="none" w:sz="0" w:space="0" w:color="auto"/>
          </w:divBdr>
        </w:div>
      </w:divsChild>
    </w:div>
    <w:div w:id="1981495789">
      <w:bodyDiv w:val="1"/>
      <w:marLeft w:val="0"/>
      <w:marRight w:val="0"/>
      <w:marTop w:val="0"/>
      <w:marBottom w:val="0"/>
      <w:divBdr>
        <w:top w:val="none" w:sz="0" w:space="0" w:color="auto"/>
        <w:left w:val="none" w:sz="0" w:space="0" w:color="auto"/>
        <w:bottom w:val="none" w:sz="0" w:space="0" w:color="auto"/>
        <w:right w:val="none" w:sz="0" w:space="0" w:color="auto"/>
      </w:divBdr>
    </w:div>
    <w:div w:id="2071613710">
      <w:bodyDiv w:val="1"/>
      <w:marLeft w:val="0"/>
      <w:marRight w:val="0"/>
      <w:marTop w:val="0"/>
      <w:marBottom w:val="0"/>
      <w:divBdr>
        <w:top w:val="none" w:sz="0" w:space="0" w:color="auto"/>
        <w:left w:val="none" w:sz="0" w:space="0" w:color="auto"/>
        <w:bottom w:val="none" w:sz="0" w:space="0" w:color="auto"/>
        <w:right w:val="none" w:sz="0" w:space="0" w:color="auto"/>
      </w:divBdr>
      <w:divsChild>
        <w:div w:id="471756928">
          <w:marLeft w:val="0"/>
          <w:marRight w:val="0"/>
          <w:marTop w:val="0"/>
          <w:marBottom w:val="0"/>
          <w:divBdr>
            <w:top w:val="none" w:sz="0" w:space="0" w:color="auto"/>
            <w:left w:val="none" w:sz="0" w:space="0" w:color="auto"/>
            <w:bottom w:val="none" w:sz="0" w:space="0" w:color="auto"/>
            <w:right w:val="none" w:sz="0" w:space="0" w:color="auto"/>
          </w:divBdr>
          <w:divsChild>
            <w:div w:id="5043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del/2016/2251/oj" TargetMode="External"/><Relationship Id="rId2" Type="http://schemas.openxmlformats.org/officeDocument/2006/relationships/hyperlink" Target="http://data.europa.eu/eli/reg/2024/2987/oj" TargetMode="External"/><Relationship Id="rId1" Type="http://schemas.openxmlformats.org/officeDocument/2006/relationships/hyperlink" Target="http://data.europa.eu/eli/reg/2012/648/oj" TargetMode="External"/><Relationship Id="rId4" Type="http://schemas.openxmlformats.org/officeDocument/2006/relationships/hyperlink" Target="http://data.europa.eu/eli/reg/2024/2509/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ACFF4-8309-4212-BFA6-7B115FAC366B}">
  <ds:schemaRefs>
    <ds:schemaRef ds:uri="http://schemas.microsoft.com/office/2006/metadata/properties"/>
    <ds:schemaRef ds:uri="http://schemas.microsoft.com/office/infopath/2007/PartnerControls"/>
    <ds:schemaRef ds:uri="f7bb8512-91eb-4bfd-be42-d6f021407e9a"/>
    <ds:schemaRef ds:uri="144c03d0-0f03-451f-9d46-5279004462a4"/>
    <ds:schemaRef ds:uri="http://schemas.microsoft.com/sharepoint/v3/fields"/>
  </ds:schemaRefs>
</ds:datastoreItem>
</file>

<file path=customXml/itemProps2.xml><?xml version="1.0" encoding="utf-8"?>
<ds:datastoreItem xmlns:ds="http://schemas.openxmlformats.org/officeDocument/2006/customXml" ds:itemID="{364CB0F7-7094-46B9-A14F-A7D21834B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6E1A2-F64A-4DE1-8F5E-141D8F667A0E}">
  <ds:schemaRefs>
    <ds:schemaRef ds:uri="http://schemas.microsoft.com/sharepoint/v3/contenttype/forms"/>
  </ds:schemaRefs>
</ds:datastoreItem>
</file>

<file path=customXml/itemProps4.xml><?xml version="1.0" encoding="utf-8"?>
<ds:datastoreItem xmlns:ds="http://schemas.openxmlformats.org/officeDocument/2006/customXml" ds:itemID="{03543F4C-8E12-49A6-9219-480E14B2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8</Pages>
  <Words>3241</Words>
  <Characters>18475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2026-04-15T08:34:00Z</dcterms:created>
  <dcterms:modified xsi:type="dcterms:W3CDTF">2026-04-27T08:08:00Z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2025-09-18T14:25:51Z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c2d66b72-1a00-4262-9ee4-3dcc07da30c3</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ContentTypeId">
    <vt:lpwstr>0x010100894EC8B1AAB1AF4CBC83EADDB4207A90</vt:lpwstr>
  </property>
  <property fmtid="{D5CDD505-2E9C-101B-9397-08002B2CF9AE}" pid="19" name="MediaServiceImageTags">
    <vt:lpwstr/>
  </property>
  <property fmtid="{D5CDD505-2E9C-101B-9397-08002B2CF9AE}" pid="20" name="DQCStatus">
    <vt:lpwstr>Green (DQC version 03)</vt:lpwstr>
  </property>
  <property name="OP_sanitized" fmtid="{D5CDD505-2E9C-101B-9397-08002B2CF9AE}" pid="21">
    <vt:lpwstr>True</vt:lpwstr>
  </property>
</Properties>
</file>