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15C83" w14:textId="24EB30D4" w:rsidR="00452C13" w:rsidRPr="00EB2E0A" w:rsidRDefault="00620A84" w:rsidP="00620A84">
      <w:pPr>
        <w:pStyle w:val="Pagedecouverture"/>
        <w:rPr>
          <w:noProof/>
        </w:rPr>
      </w:pPr>
      <w:r>
        <w:rPr>
          <w:noProof/>
        </w:rPr>
        <w:pict w14:anchorId="31E04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BDBD610-5815-422D-BEB4-39809BA6F7C3" style="width:455.25pt;height:399pt">
            <v:imagedata r:id="rId11" o:title=""/>
          </v:shape>
        </w:pict>
      </w:r>
    </w:p>
    <w:p w14:paraId="1D3BA757" w14:textId="106FE719" w:rsidR="004D3289" w:rsidRPr="00EB2E0A" w:rsidRDefault="004D3289" w:rsidP="004D3289">
      <w:pPr>
        <w:pStyle w:val="Pagedecouverture"/>
        <w:rPr>
          <w:noProof/>
        </w:rPr>
        <w:sectPr w:rsidR="004D3289" w:rsidRPr="00EB2E0A" w:rsidSect="00620A84">
          <w:footerReference w:type="even" r:id="rId12"/>
          <w:footerReference w:type="default" r:id="rId13"/>
          <w:pgSz w:w="11907" w:h="16839"/>
          <w:pgMar w:top="1134" w:right="1417" w:bottom="1134" w:left="1417" w:header="709" w:footer="709" w:gutter="0"/>
          <w:pgNumType w:start="0"/>
          <w:cols w:space="720"/>
          <w:docGrid w:linePitch="360"/>
        </w:sectPr>
      </w:pPr>
    </w:p>
    <w:p w14:paraId="33517930" w14:textId="77777777" w:rsidR="00C42585" w:rsidRPr="00EB2E0A" w:rsidRDefault="00C42585" w:rsidP="00C42585">
      <w:pPr>
        <w:pStyle w:val="Exposdesmotifstitre"/>
        <w:rPr>
          <w:noProof/>
        </w:rPr>
      </w:pPr>
      <w:bookmarkStart w:id="0" w:name="_GoBack"/>
      <w:bookmarkEnd w:id="0"/>
      <w:r w:rsidRPr="00EB2E0A">
        <w:rPr>
          <w:noProof/>
        </w:rPr>
        <w:lastRenderedPageBreak/>
        <w:t>PASKAIDROJUMA RAKSTS</w:t>
      </w:r>
    </w:p>
    <w:p w14:paraId="57A2E97F" w14:textId="77777777" w:rsidR="00C42585" w:rsidRPr="00EB2E0A" w:rsidRDefault="00C42585" w:rsidP="00C42585">
      <w:pPr>
        <w:pStyle w:val="ManualHeading1"/>
        <w:rPr>
          <w:noProof/>
        </w:rPr>
      </w:pPr>
      <w:r>
        <w:rPr>
          <w:noProof/>
        </w:rPr>
        <w:t>1.</w:t>
      </w:r>
      <w:r>
        <w:rPr>
          <w:noProof/>
        </w:rPr>
        <w:tab/>
      </w:r>
      <w:r w:rsidRPr="00EB2E0A">
        <w:rPr>
          <w:noProof/>
        </w:rPr>
        <w:t>DELEĢĒTĀ AKTA KONTEKSTS</w:t>
      </w:r>
    </w:p>
    <w:p w14:paraId="1FE49CC8" w14:textId="77777777" w:rsidR="00C42585" w:rsidRPr="00EB2E0A" w:rsidRDefault="00C42585" w:rsidP="00C42585">
      <w:pPr>
        <w:rPr>
          <w:noProof/>
        </w:rPr>
      </w:pPr>
      <w:r w:rsidRPr="00EB2E0A">
        <w:rPr>
          <w:noProof/>
        </w:rPr>
        <w:t>Eiropas Parlamenta un Padomes Regula (ES) 2022/2554 (2022. gada 14. decembris) par finanšu nozares digitālās darbības noturību un ar ko groza Regulas (EK) Nr. 1060/2009, (ES) Nr. 648/2012, (ES) Nr. 600/2014, (ES) Nr. 909/2014 un (ES) 2016/1011 (“Digitālās darbības noturības akts” jeb “</w:t>
      </w:r>
      <w:r w:rsidRPr="00EB2E0A">
        <w:rPr>
          <w:i/>
          <w:noProof/>
        </w:rPr>
        <w:t>DORA”</w:t>
      </w:r>
      <w:r w:rsidRPr="00EB2E0A">
        <w:rPr>
          <w:noProof/>
        </w:rPr>
        <w:t>) tika publicēta 2022. gada 27. decembrī un stājās spēkā 2023. gada 17. janvārī</w:t>
      </w:r>
      <w:r w:rsidRPr="00EB2E0A">
        <w:rPr>
          <w:rStyle w:val="FootnoteReference"/>
          <w:noProof/>
        </w:rPr>
        <w:footnoteReference w:id="2"/>
      </w:r>
      <w:r w:rsidRPr="00EB2E0A">
        <w:rPr>
          <w:noProof/>
        </w:rPr>
        <w:t>.</w:t>
      </w:r>
      <w:r w:rsidRPr="00EB2E0A">
        <w:rPr>
          <w:noProof/>
        </w:rPr>
        <w:cr/>
      </w:r>
      <w:r w:rsidRPr="00EB2E0A">
        <w:rPr>
          <w:noProof/>
        </w:rPr>
        <w:br/>
        <w:t xml:space="preserve"> Šī regula nodrošina visaptverošu tiesisko regulējumu, kas aptver dažādus finanšu vienību digitālās darbības noturības pamatkomponentus. Digitālās darbības noturības akts uzlabo vispārējo informācijas un komunikācijas tehnoloģiju (IKT) riska pārvaldību, nosaka testēšanas noteikumus IKT sistēmām un, izmantojot saskaņotu ES sistēmu ziņošanai par incidentiem, palielina finanšu uzraudzības iestāžu informētību par kiberriskiem.</w:t>
      </w:r>
    </w:p>
    <w:p w14:paraId="205F70DC" w14:textId="77777777" w:rsidR="00C42585" w:rsidRPr="00EB2E0A" w:rsidRDefault="00C42585" w:rsidP="00C42585">
      <w:pPr>
        <w:rPr>
          <w:noProof/>
        </w:rPr>
      </w:pPr>
      <w:r w:rsidRPr="00EB2E0A">
        <w:rPr>
          <w:noProof/>
        </w:rPr>
        <w:t xml:space="preserve">Lai novērstu iespējamos sistēmiskos un koncentrācijas riskus, ko rada finanšu nozaru paļaušanās uz nelielu skaitu trešo personu, kas sniedz IKT pakalpojumus, ar regulu izveido ES pārraudzības sistēmu attiecībā uz trešām personām, kas sniedz IKT pakalpojumus, kuras uzskata par kritiski svarīgām. Katrai no trim Eiropas uzraudzības iestādēm (EUI) kā galvenajiem pārraugiem (GP) būs pilnvaras Eiropas mērogā uzraudzīt kritiski svarīgu trešo personu, kas sniedz IKT pakalpojumus, darbību saistībā ar to IKT pakalpojumiem finanšu nozarē. Proti, Digitālās darbības noturības aktā EUI tiek uzticēta ekskluzīva kompetence trešās personas, kas sniedz IKT pakalpojumus, izraudzīties par kritiski svarīgām. Regula arī piešķir GP uzdevumu un pilnvaru kopumu kritiski svarīgu trešo personu, kas sniedz IKT pakalpojumus, darbības pārraudzīšanai.  </w:t>
      </w:r>
    </w:p>
    <w:p w14:paraId="08797759" w14:textId="77777777" w:rsidR="00C42585" w:rsidRPr="00EB2E0A" w:rsidRDefault="00C42585" w:rsidP="00C42585">
      <w:pPr>
        <w:rPr>
          <w:noProof/>
        </w:rPr>
      </w:pPr>
      <w:r w:rsidRPr="00EB2E0A">
        <w:rPr>
          <w:noProof/>
        </w:rPr>
        <w:t>Ar Digitālās darbības noturības akta 31. panta 6. punktu Komisija tiek pilnvarota pieņemt deleģēto aktu, kurā sīkāk precizē kritērijus trešo personu, kas sniedz IKT pakalpojumus, izraudzīšanai par kritiski svarīgām. Proti, izraudzīšanās kritēriji ir sīkāk jāprecizē attiecībā uz šādiem aspektiem:</w:t>
      </w:r>
    </w:p>
    <w:p w14:paraId="36E4597D" w14:textId="77777777" w:rsidR="00C42585" w:rsidRPr="00EB2E0A" w:rsidRDefault="00C42585" w:rsidP="00C42585">
      <w:pPr>
        <w:pStyle w:val="Point0"/>
        <w:rPr>
          <w:noProof/>
        </w:rPr>
      </w:pPr>
      <w:r w:rsidRPr="00EB2E0A">
        <w:rPr>
          <w:noProof/>
        </w:rPr>
        <w:t>i)</w:t>
      </w:r>
      <w:r w:rsidRPr="00EB2E0A">
        <w:rPr>
          <w:noProof/>
        </w:rPr>
        <w:tab/>
        <w:t>sistēmiskā ietekme, kāda trešās personas, kas sniedz IKT pakalpojumus, atteicei vai darbības traucējumam varētu būt uz finanšu vienībām, kurām tā sniedz IKT pakalpojumus;</w:t>
      </w:r>
    </w:p>
    <w:p w14:paraId="7149E72D" w14:textId="77777777" w:rsidR="00C42585" w:rsidRPr="00EB2E0A" w:rsidRDefault="00C42585" w:rsidP="00C42585">
      <w:pPr>
        <w:pStyle w:val="Point0"/>
        <w:rPr>
          <w:noProof/>
        </w:rPr>
      </w:pPr>
      <w:r w:rsidRPr="00EB2E0A">
        <w:rPr>
          <w:noProof/>
        </w:rPr>
        <w:t>ii)</w:t>
      </w:r>
      <w:r w:rsidRPr="00EB2E0A">
        <w:rPr>
          <w:noProof/>
        </w:rPr>
        <w:tab/>
        <w:t>sistēmiskais raksturs vai nozīme, ņemot vērā to globālo sistēmiski nozīmīgo iestāžu (G-SNI) vai citu sistēmiski nozīmīgu iestāžu (C-SNI) skaitu, kuras paļaujas uz attiecīgo trešo personu, kas sniedz IKT pakalpojumus;</w:t>
      </w:r>
    </w:p>
    <w:p w14:paraId="3B36903A" w14:textId="77777777" w:rsidR="00C42585" w:rsidRPr="00EB2E0A" w:rsidRDefault="00C42585" w:rsidP="00C42585">
      <w:pPr>
        <w:pStyle w:val="Point0"/>
        <w:rPr>
          <w:noProof/>
        </w:rPr>
      </w:pPr>
      <w:r w:rsidRPr="00EB2E0A">
        <w:rPr>
          <w:noProof/>
        </w:rPr>
        <w:t>iii)</w:t>
      </w:r>
      <w:r w:rsidRPr="00EB2E0A">
        <w:rPr>
          <w:noProof/>
        </w:rPr>
        <w:tab/>
        <w:t xml:space="preserve">pakalpojumu, ko sniedz trešās personas, kas sniedz IKT pakalpojumus, atbalstīto funkciju kritiskais svarīgums vai svarīgums; </w:t>
      </w:r>
    </w:p>
    <w:p w14:paraId="3747C3AF" w14:textId="77777777" w:rsidR="00C42585" w:rsidRPr="00EB2E0A" w:rsidRDefault="00C42585" w:rsidP="00C42585">
      <w:pPr>
        <w:pStyle w:val="Point0"/>
        <w:rPr>
          <w:noProof/>
        </w:rPr>
      </w:pPr>
      <w:r w:rsidRPr="00EB2E0A">
        <w:rPr>
          <w:noProof/>
        </w:rPr>
        <w:t>iv)</w:t>
      </w:r>
      <w:r w:rsidRPr="00EB2E0A">
        <w:rPr>
          <w:noProof/>
        </w:rPr>
        <w:tab/>
        <w:t>trešās personas, kas sniedz IKT pakalpojumus, aizstājamības pakāpe, ņemot vērā konkrētā tirgū strādājošo trešo personu, kuras sniedz IKT pakalpojumus, skaitu, kā arī izmaksas, kādas ir datu un IKT darba slodzes migrēšanai uz citu trešo personu, kas sniedz IKT pakalpojumus.</w:t>
      </w:r>
    </w:p>
    <w:p w14:paraId="572AD668" w14:textId="77777777" w:rsidR="00C42585" w:rsidRPr="00EB2E0A" w:rsidRDefault="00C42585" w:rsidP="00C42585">
      <w:pPr>
        <w:pStyle w:val="ManualHeading1"/>
        <w:rPr>
          <w:noProof/>
        </w:rPr>
      </w:pPr>
      <w:r>
        <w:rPr>
          <w:noProof/>
        </w:rPr>
        <w:t>2.</w:t>
      </w:r>
      <w:r>
        <w:rPr>
          <w:noProof/>
        </w:rPr>
        <w:tab/>
      </w:r>
      <w:r w:rsidRPr="00EB2E0A">
        <w:rPr>
          <w:noProof/>
        </w:rPr>
        <w:t>PIRMS AKTA PIEŅEMŠANAS NOTIKUSĪ APSPRIEŠANĀS</w:t>
      </w:r>
    </w:p>
    <w:p w14:paraId="217038B6" w14:textId="77777777" w:rsidR="00C42585" w:rsidRPr="00EB2E0A" w:rsidRDefault="00C42585" w:rsidP="00C42585">
      <w:pPr>
        <w:rPr>
          <w:rStyle w:val="Strong"/>
          <w:noProof/>
        </w:rPr>
      </w:pPr>
      <w:r w:rsidRPr="00EB2E0A">
        <w:rPr>
          <w:rStyle w:val="Strong"/>
          <w:noProof/>
        </w:rPr>
        <w:t>Procedūras jautājumi</w:t>
      </w:r>
    </w:p>
    <w:p w14:paraId="693C6B4B" w14:textId="77777777" w:rsidR="00C42585" w:rsidRPr="00EB2E0A" w:rsidRDefault="00C42585" w:rsidP="00C42585">
      <w:pPr>
        <w:rPr>
          <w:noProof/>
        </w:rPr>
      </w:pPr>
      <w:r w:rsidRPr="00EB2E0A">
        <w:rPr>
          <w:noProof/>
        </w:rPr>
        <w:t xml:space="preserve">Komisija 2022. gada 21. decembrī lūdza EUI sniegt tehnisku atzinumu par Komisijas deleģēto aktu, kurā sīkāk precizēti kritēriji, kas EUI jāņem vērā, novērtējot trešo personu, kas sniedz IKT pakalpojumus, kritiski svarīgo būtību, un par maksu apmēra noteikšanu un veidu, kādā kritiski svarīgām trešām personām, kas sniedz IKT pakalpojumus, tās jāmaksā. </w:t>
      </w:r>
    </w:p>
    <w:p w14:paraId="4DECF988" w14:textId="77777777" w:rsidR="00C42585" w:rsidRPr="00EB2E0A" w:rsidRDefault="00C42585" w:rsidP="00C42585">
      <w:pPr>
        <w:rPr>
          <w:noProof/>
        </w:rPr>
      </w:pPr>
      <w:r w:rsidRPr="00EB2E0A">
        <w:rPr>
          <w:noProof/>
        </w:rPr>
        <w:t>EUI no 2023. gada 26. maija līdz 23. jūnijam rīkoja sabiedrisko apspriešanu par tehniskā atzinuma projektu</w:t>
      </w:r>
      <w:r w:rsidRPr="00EB2E0A">
        <w:rPr>
          <w:rStyle w:val="FootnoteReference"/>
          <w:noProof/>
        </w:rPr>
        <w:footnoteReference w:id="3"/>
      </w:r>
      <w:r w:rsidRPr="00EB2E0A">
        <w:rPr>
          <w:noProof/>
        </w:rPr>
        <w:t>. Kopumā EUI saņēma 41 atbildi uz apspriešanas dokumentu. EUI 2023. gada 29. septembrī nosūtīja Komisijai savu tehnisko atzinumu.</w:t>
      </w:r>
    </w:p>
    <w:p w14:paraId="172DB5B8" w14:textId="77777777" w:rsidR="00C42585" w:rsidRPr="00EB2E0A" w:rsidRDefault="00C42585" w:rsidP="00C42585">
      <w:pPr>
        <w:rPr>
          <w:noProof/>
        </w:rPr>
      </w:pPr>
      <w:r w:rsidRPr="00EB2E0A">
        <w:rPr>
          <w:noProof/>
        </w:rPr>
        <w:t>Komisija 2023. gada 29. septembrī apspriedās ar Ekspertu grupu banku, maksājumu un apdrošināšanas jomā (</w:t>
      </w:r>
      <w:r w:rsidRPr="00EB2E0A">
        <w:rPr>
          <w:i/>
          <w:noProof/>
        </w:rPr>
        <w:t>EGBPI</w:t>
      </w:r>
      <w:r w:rsidRPr="00EB2E0A">
        <w:rPr>
          <w:noProof/>
        </w:rPr>
        <w:t xml:space="preserve">) par šā deleģētā akta saturu. Grupa atbalstīja Komisijas pieeju deleģētajam aktam par kritērijiem trešo personu, kas sniedz IKT pakalpojumus, izraudzīšanai par kritiski svarīgām; par deleģētā akta saturu komentārus ir snieguši tikai eksperti no dažām dalībvalstīm. Grupas pārstāvji jo īpaši ieteica, cik vien iespējams, saglabāt formulējumu, ko EUI izmanto savā tehniskajā atzinumā.  </w:t>
      </w:r>
    </w:p>
    <w:p w14:paraId="4FA1091E" w14:textId="77777777" w:rsidR="00C42585" w:rsidRPr="00EB2E0A" w:rsidRDefault="00C42585" w:rsidP="00C42585">
      <w:pPr>
        <w:rPr>
          <w:rStyle w:val="Strong"/>
          <w:noProof/>
        </w:rPr>
      </w:pPr>
      <w:r w:rsidRPr="00EB2E0A">
        <w:rPr>
          <w:rStyle w:val="Strong"/>
          <w:noProof/>
        </w:rPr>
        <w:t>Ieinteresēto personu viedokļi</w:t>
      </w:r>
    </w:p>
    <w:p w14:paraId="6FE7A35B" w14:textId="77777777" w:rsidR="00C42585" w:rsidRPr="00EB2E0A" w:rsidRDefault="00C42585" w:rsidP="00C42585">
      <w:pPr>
        <w:rPr>
          <w:noProof/>
        </w:rPr>
      </w:pPr>
      <w:r w:rsidRPr="00EB2E0A">
        <w:rPr>
          <w:noProof/>
        </w:rPr>
        <w:t xml:space="preserve">Iepriekš minēto apspriešanu, kā arī </w:t>
      </w:r>
      <w:r w:rsidRPr="00EB2E0A">
        <w:rPr>
          <w:i/>
          <w:noProof/>
        </w:rPr>
        <w:t>ad hoc</w:t>
      </w:r>
      <w:r w:rsidRPr="00EB2E0A">
        <w:rPr>
          <w:noProof/>
        </w:rPr>
        <w:t xml:space="preserve"> sniegto atbilžu rezultātā Komisija saņēma plašu viedokļu klāstu par deleģētā akta saturu. Minētie viedokļi galvenokārt attiecas uz EUI ierosināto divu posmu pieeju un katra kritiskā svarīguma kritērija dažādajiem apakškritērijiem: ietekmi uz finanšu pakalpojumu sniegšanu, finanšu vienību svarīgumu, kritiski svarīgajām vai svarīgajām funkcijām un aizstājamības pakāpi. </w:t>
      </w:r>
    </w:p>
    <w:p w14:paraId="2472C3A2" w14:textId="77777777" w:rsidR="00C42585" w:rsidRPr="00EB2E0A" w:rsidRDefault="00C42585" w:rsidP="00C42585">
      <w:pPr>
        <w:rPr>
          <w:rStyle w:val="Emphasis"/>
          <w:noProof/>
        </w:rPr>
      </w:pPr>
      <w:r w:rsidRPr="00EB2E0A">
        <w:rPr>
          <w:rStyle w:val="Emphasis"/>
          <w:noProof/>
        </w:rPr>
        <w:t>Divu posmu pieeja un dažas vispārīgas piezīmes</w:t>
      </w:r>
    </w:p>
    <w:p w14:paraId="61C7F524" w14:textId="77777777" w:rsidR="00C42585" w:rsidRPr="00EB2E0A" w:rsidRDefault="00C42585" w:rsidP="00C42585">
      <w:pPr>
        <w:rPr>
          <w:noProof/>
        </w:rPr>
      </w:pPr>
      <w:r w:rsidRPr="00EB2E0A">
        <w:rPr>
          <w:noProof/>
        </w:rPr>
        <w:t>Vairākas ieinteresētās personas pauda vispārēju atbalstu EUI ierosinātajai divu posmu pieejai. Daži respondenti ierosināja, ka attiecībā uz izraudzīšanos kritēriji būtu jāpiemēro kumulatīvi, savukārt citi ierosināja kritērijus piemērot secīgi, katru kritēriju kārtīgi piemērojot novērtēšanas procesā. Sabiedriskajā apspriešanā ieinteresētās personas arī aicināja sniegt papildu skaidrojumus vai norādījumus par “IKT pakalpojumu” definīciju un ierosināja šajā sakarā izstrādāt taksonomiju.</w:t>
      </w:r>
    </w:p>
    <w:p w14:paraId="4F14575E" w14:textId="77777777" w:rsidR="00C42585" w:rsidRPr="00EB2E0A" w:rsidRDefault="00C42585" w:rsidP="00C42585">
      <w:pPr>
        <w:rPr>
          <w:noProof/>
        </w:rPr>
      </w:pPr>
      <w:r w:rsidRPr="00EB2E0A">
        <w:rPr>
          <w:noProof/>
        </w:rPr>
        <w:t>Ieinteresētās personas pauda plašu atbalstu tam, ka dažādajos apakškritērijos uzsvars tiek likts uz IKT pakalpojumiem, ar ko atbalsta finanšu vienību kritiski svarīgas vai svarīgas funkcijas, un ka apakškritēriji tiek saglabāti vienkārši un nepārklājas.</w:t>
      </w:r>
    </w:p>
    <w:p w14:paraId="5A68A390" w14:textId="77777777" w:rsidR="00C42585" w:rsidRPr="00EB2E0A" w:rsidRDefault="00C42585" w:rsidP="00C42585">
      <w:pPr>
        <w:rPr>
          <w:noProof/>
        </w:rPr>
      </w:pPr>
      <w:r w:rsidRPr="00EB2E0A">
        <w:rPr>
          <w:noProof/>
        </w:rPr>
        <w:t>Kas attiecas uz minimālo apgrozījuma laiku (aprites cikla ilgumu) sarakstā ar kritiski svarīgām trešām personām, kas sniedz IKT pakalpojumus, ieinteresētās personas pauda atbalstu mērķim nodrošināt, ka saraksts ar izraudzītajām kritiski svarīgajām trešām personām, kas sniedz IKT pakalpojumus, laika gaitā ir stabils, lai pārvaldītu robežvērtības efektus.</w:t>
      </w:r>
    </w:p>
    <w:p w14:paraId="7B57B329" w14:textId="77777777" w:rsidR="00C42585" w:rsidRPr="00EB2E0A" w:rsidRDefault="00C42585" w:rsidP="00C42585">
      <w:pPr>
        <w:rPr>
          <w:rStyle w:val="Emphasis"/>
          <w:noProof/>
        </w:rPr>
      </w:pPr>
      <w:r w:rsidRPr="00EB2E0A">
        <w:rPr>
          <w:rStyle w:val="Emphasis"/>
          <w:noProof/>
        </w:rPr>
        <w:t xml:space="preserve">Ietekme uz </w:t>
      </w:r>
      <w:bookmarkStart w:id="2" w:name="_Hlk145679634"/>
      <w:r w:rsidRPr="00EB2E0A">
        <w:rPr>
          <w:rStyle w:val="Emphasis"/>
          <w:noProof/>
        </w:rPr>
        <w:t xml:space="preserve">finanšu pakalpojumu sniegšanu </w:t>
      </w:r>
      <w:bookmarkEnd w:id="2"/>
    </w:p>
    <w:p w14:paraId="6E8122A7" w14:textId="77777777" w:rsidR="00C42585" w:rsidRPr="00EB2E0A" w:rsidRDefault="00C42585" w:rsidP="00C42585">
      <w:pPr>
        <w:rPr>
          <w:noProof/>
        </w:rPr>
      </w:pPr>
      <w:r w:rsidRPr="00EB2E0A">
        <w:rPr>
          <w:noProof/>
        </w:rPr>
        <w:t xml:space="preserve">Atbildēs uz EUI rīkoto sabiedrisko apspriešanu vairāki respondenti uzskatīja, ka ierosinātās robežvērtības ir diezgan zemas (piemēram, 10 %), kā rezultātā būtu liels skaits kritiski svarīgu trešo personu, kas sniedz IKT pakalpojumus. Citi respondenti ierosināja pakāpenisku pieeju indikatīvo robežvērtību piemērošanai, sākotnēji tās nosakot augstākā līmenī, lai varētu pārraudzīt lielākās kritiski svarīgās trešās personas, kas sniedz IKT pakalpojumus, un pēc tam apsverot zemāku robežvērtību izmantošanu. </w:t>
      </w:r>
    </w:p>
    <w:p w14:paraId="6B1B5D1F" w14:textId="77777777" w:rsidR="00C42585" w:rsidRPr="00EB2E0A" w:rsidRDefault="00C42585" w:rsidP="00C42585">
      <w:pPr>
        <w:rPr>
          <w:noProof/>
        </w:rPr>
      </w:pPr>
      <w:r w:rsidRPr="00EB2E0A">
        <w:rPr>
          <w:noProof/>
        </w:rPr>
        <w:t xml:space="preserve">Ieinteresētās personas arī norādīja, ka finanšu vienību kopējā skaita rādītāju nevajadzētu aplūkot izolēti un varētu ņemt vērā vairāk aspektu, piemēram, bilances kopsummu, izplatību tirgū, klientu apjomu vai līdzīgus uzņēmējdarbības kritērijus. Turklāt daži respondenti pauda bažas par “kopējo aktīvu” kā vienota ES rādītāja piemērošanu novērtēšanai, ierosinot izmantot citus alternatīvus rādītājus, piemēram, pārvaldītos aktīvus, bruto parakstītās prēmijas u. c. </w:t>
      </w:r>
    </w:p>
    <w:p w14:paraId="13D0633A" w14:textId="77777777" w:rsidR="00C42585" w:rsidRPr="00EB2E0A" w:rsidRDefault="00C42585" w:rsidP="00C42585">
      <w:pPr>
        <w:rPr>
          <w:rStyle w:val="Emphasis"/>
          <w:noProof/>
        </w:rPr>
      </w:pPr>
      <w:r w:rsidRPr="00EB2E0A">
        <w:rPr>
          <w:rStyle w:val="Emphasis"/>
          <w:noProof/>
        </w:rPr>
        <w:t xml:space="preserve">Finanšu vienību svarīgums </w:t>
      </w:r>
    </w:p>
    <w:p w14:paraId="3C7B7060" w14:textId="77777777" w:rsidR="00C42585" w:rsidRPr="00EB2E0A" w:rsidRDefault="00C42585" w:rsidP="00C42585">
      <w:pPr>
        <w:rPr>
          <w:noProof/>
        </w:rPr>
      </w:pPr>
      <w:r w:rsidRPr="00EB2E0A">
        <w:rPr>
          <w:noProof/>
        </w:rPr>
        <w:t xml:space="preserve">EUI sabiedriskās apspriešanas respondenti norādīja, ka, lai gan ierosinātie apakškritēriji attiecas uz finanšu vienībām, kas aktīvi izmanto pakalpojumus, kurus sniedz trešās personas, kas sniedz IKT pakalpojumus, nav skaidrs, kā tiek definēts vai mērīts izmantojums. </w:t>
      </w:r>
    </w:p>
    <w:p w14:paraId="6692F794" w14:textId="77777777" w:rsidR="00C42585" w:rsidRPr="00EB2E0A" w:rsidRDefault="00C42585" w:rsidP="00C42585">
      <w:pPr>
        <w:rPr>
          <w:noProof/>
        </w:rPr>
      </w:pPr>
      <w:r w:rsidRPr="00EB2E0A">
        <w:rPr>
          <w:noProof/>
        </w:rPr>
        <w:t>Ieinteresētās personas arī uzsvēra, ka G-SNI un C-SNI saraksti attiecas uz kredītiestādēm, un līdz ar to citu veidu finanšu vienības nav iekļautas. Vairāki respondenti aicināja izstrādāt skaidrākus noteikumus par to, kā kompetentās iestādes finanšu vienību atzīst par “sistēmisku”, jo citādāk kompetentajām iestādēm ir pārāk liela rīcības brīvība, kas var radīt nevienlīdzīgus konkurences apstākļus ES tirgū.</w:t>
      </w:r>
    </w:p>
    <w:p w14:paraId="2F30C767" w14:textId="77777777" w:rsidR="00C42585" w:rsidRPr="00EB2E0A" w:rsidRDefault="00C42585" w:rsidP="00C42585">
      <w:pPr>
        <w:rPr>
          <w:noProof/>
        </w:rPr>
      </w:pPr>
      <w:r w:rsidRPr="00EB2E0A">
        <w:rPr>
          <w:noProof/>
        </w:rPr>
        <w:t>Attiecībā uz apakškritērijiem par tehnoloģiskās savstarpējās atkarības pakāpi vairākas ieinteresētās personas norādīja, ka ir ļoti problemātiski un sarežģīti iegūt konkrētus un reprezentatīvus datus, ar kuriem novērtēt šos apakškritērijus ES finanšu nozarē.</w:t>
      </w:r>
    </w:p>
    <w:p w14:paraId="7D5E7DB3" w14:textId="77777777" w:rsidR="00C42585" w:rsidRPr="00EB2E0A" w:rsidRDefault="00C42585" w:rsidP="00C42585">
      <w:pPr>
        <w:rPr>
          <w:rStyle w:val="Emphasis"/>
          <w:noProof/>
        </w:rPr>
      </w:pPr>
      <w:r w:rsidRPr="00EB2E0A">
        <w:rPr>
          <w:rStyle w:val="Emphasis"/>
          <w:noProof/>
        </w:rPr>
        <w:t xml:space="preserve">Kritiski svarīgas vai svarīgas funkcijas </w:t>
      </w:r>
    </w:p>
    <w:p w14:paraId="2D094094" w14:textId="77777777" w:rsidR="00C42585" w:rsidRPr="00EB2E0A" w:rsidRDefault="00C42585" w:rsidP="00C42585">
      <w:pPr>
        <w:rPr>
          <w:noProof/>
        </w:rPr>
      </w:pPr>
      <w:r w:rsidRPr="00EB2E0A">
        <w:rPr>
          <w:noProof/>
        </w:rPr>
        <w:t>Tika panākta plaša vienprātība par ierosināto pieeju koncentrēties uz IKT pakalpojumiem, kas atbalsta finanšu vienību kritiski svarīgas vai svarīgas funkcijas, un ieinteresētās personas piekrita, ka uz šo jautājumu lielāks uzsvars tiek likts novērtējuma pirmajā posmā. Daudzi respondenti ierosināja terminus “IKT pakalpojumu taksonomija” un terminu “kritiska svarīguma līmenis” definēt, pamatojoties uz dažādu regulatoru/standartu noteikšanas struktūru jau paveikto vai notiekošo darbu. Citi respondenti bija piesardzīgāki jautājumā par “IKT pakalpojumu taksonomijas” noteikšanu, jo konkrētai finanšu vienībai pakalpojums vai reģions var būt kritiski svarīgs atkarībā no tā, kā tiek īstenota minētā pakalpojuma vai reģiona izmantošana, bet citām finanšu vienībām tas var nebūt kritiski svarīgs.</w:t>
      </w:r>
    </w:p>
    <w:p w14:paraId="56FF2DAE" w14:textId="77777777" w:rsidR="00C42585" w:rsidRPr="00EB2E0A" w:rsidRDefault="00C42585" w:rsidP="00C42585">
      <w:pPr>
        <w:rPr>
          <w:noProof/>
        </w:rPr>
      </w:pPr>
      <w:r w:rsidRPr="00EB2E0A">
        <w:rPr>
          <w:noProof/>
        </w:rPr>
        <w:t>Ieinteresētās personas arī uzskatīja, ka ierosinātās robežvērtības (piemēram, 10 %) ir pārāk zemas, un lūdza lielāku skaidrību par to, kas ir “kritiski svarīgas vai svarīgas funkcijas”. Dažas personas pat ieteica izmantot iepriekš noteiktu kritiski svarīgu funkciju sarakstu vai veikt kritiski svarīgo funkciju novērtējumu, pamatojoties uz uzņēmējdarbības ietekmes analīzi un riskā balstītu pieeju.</w:t>
      </w:r>
    </w:p>
    <w:p w14:paraId="168843BB" w14:textId="77777777" w:rsidR="00C42585" w:rsidRPr="00EB2E0A" w:rsidRDefault="00C42585" w:rsidP="00C42585">
      <w:pPr>
        <w:rPr>
          <w:rStyle w:val="Emphasis"/>
          <w:noProof/>
        </w:rPr>
      </w:pPr>
      <w:r w:rsidRPr="00EB2E0A">
        <w:rPr>
          <w:rStyle w:val="Emphasis"/>
          <w:noProof/>
        </w:rPr>
        <w:t>Aizstājamības pakāpe</w:t>
      </w:r>
    </w:p>
    <w:p w14:paraId="049B1668" w14:textId="77777777" w:rsidR="00C42585" w:rsidRPr="00EB2E0A" w:rsidRDefault="00C42585" w:rsidP="00C42585">
      <w:pPr>
        <w:rPr>
          <w:noProof/>
        </w:rPr>
      </w:pPr>
      <w:r w:rsidRPr="00EB2E0A">
        <w:rPr>
          <w:noProof/>
        </w:rPr>
        <w:t>Vairāki respondenti, kas piedalījās EUI rīkotajā sabiedriskajā apspriešanā, piekrita ierosinātajiem apakškritērijiem, bet norādīja, ka tie ir ļoti sarežģīti. Daži respondenti ierosināja aizstājamības pakāpi mērīt pēc tirgus koncentrācijas un datu pārnesamības. Tie ierosināja, ka koncentrāciju varētu novērtēt, ņemot vērā trešās personas, kas sniedz IKT pakalpojumus, tirgus daļas lielumu, savukārt pārnesamību varētu uzskatīt par kritiski svarīgu, ja migrācija nav iespējama vai ietver ievērojamu laiku (piemēram, vairāk nekā 12 mēnešus) un ievērojamas izmaksas (piemēram, 5 % vai vairāk no finanšu vienības kopējā IT budžeta), lai pārietu uz alternatīvu trešo personu, kura sniedz IKT pakalpojumus.</w:t>
      </w:r>
    </w:p>
    <w:p w14:paraId="4CB75378" w14:textId="77777777" w:rsidR="00C42585" w:rsidRPr="00EB2E0A" w:rsidRDefault="00C42585" w:rsidP="00C42585">
      <w:pPr>
        <w:rPr>
          <w:noProof/>
        </w:rPr>
      </w:pPr>
      <w:r w:rsidRPr="00EB2E0A">
        <w:rPr>
          <w:noProof/>
        </w:rPr>
        <w:t>Vairāki respondenti atbalstīja apakškritēriju par trešo personu, kas tieši vai netieši sniedz IKT pakalpojumus finanšu iestādēm, tirgus daļu. Tomēr dažas ieinteresētās personas izteica iebildumus, jo uzskatīja, ka ir ļoti sarežģīti un apgrūtinoši vākt salīdzināmus un reprezentatīvus datus par šo apakškritēriju (piemēram, pakalpojumu sniedzēji piedāvā plašu pakalpojumu klāstu un tādējādi tiem varētu būt ievērojama tirgus daļa vienā jomā, savukārt citi pakalpojumu sniedzēji var piedāvāt tikai vienu konkrētu pakalpojumu un ir ļoti dominējoši šajā konkrētajā jomā).</w:t>
      </w:r>
    </w:p>
    <w:p w14:paraId="0C6AA5E0" w14:textId="79A944AE" w:rsidR="00C42585" w:rsidRPr="00EB2E0A" w:rsidRDefault="00C42585" w:rsidP="00C42585">
      <w:pPr>
        <w:rPr>
          <w:noProof/>
        </w:rPr>
      </w:pPr>
      <w:r w:rsidRPr="00EB2E0A">
        <w:rPr>
          <w:noProof/>
        </w:rPr>
        <w:t>Saskaņā ar Komisijas labāka regulējuma pamatnostādnēm par deleģēto aktu četras nedēļas (no 2023. gada 16. novembra līdz 2023. gada 14. decembrim) varēja arī sniegt atsauksmes portālā “Izsakiet viedokli”. Atbildes tika saņemtas no 20 respondentiem. Proti, daži uzņēmumi un to apvienības norādīja, ka kritiska svarīguma kritēriji var būt pārāk zemi un nav īpaši vērsti uz IKT pakalpojumu sniedzēja lielumu un būtību, un ierosināja tos piemērot šaurāk, citi uzņēmumi pauda bažas, ka otrāpiee posma ja novērtējuma ziņā ir plašāka nekā pirmā posma pieeja, un daudzi uzņēmumi kopumā lūdza tiesību aktā skaidri iekļaut procesuālās prasības, piemēram, prasības motivēt lēmumus, saglabāt konfidenciālus datus, kas saņemti no trešo personu pakalpojumu sniedzējiem, utt.</w:t>
      </w:r>
    </w:p>
    <w:p w14:paraId="726A40F0" w14:textId="2DEF0E26" w:rsidR="00C42585" w:rsidRPr="00EB2E0A" w:rsidRDefault="00C42585" w:rsidP="00C42585">
      <w:pPr>
        <w:rPr>
          <w:noProof/>
        </w:rPr>
      </w:pPr>
      <w:r w:rsidRPr="00EB2E0A">
        <w:rPr>
          <w:noProof/>
        </w:rPr>
        <w:t xml:space="preserve">Komisija ir pilnībā izvērtējusi visas saņemtās atsauksmes, tostarp EUI sniegto tehnisko atzinumu un EUI veiktajā sabiedriskajā apspriešanā saņemtās atbildes, no </w:t>
      </w:r>
      <w:r w:rsidRPr="00EB2E0A">
        <w:rPr>
          <w:i/>
          <w:iCs/>
          <w:noProof/>
        </w:rPr>
        <w:t>EGBPI</w:t>
      </w:r>
      <w:r w:rsidRPr="00EB2E0A">
        <w:rPr>
          <w:noProof/>
        </w:rPr>
        <w:t xml:space="preserve"> saņemtās atsauksmes, kā arī visu informāciju, ko Komisijai sniegušas ieinteresētās personas. Pamatojoties uz to, Komisija ierosina saskaņā ar Digitālās darbības noturības akta 31. panta 6. punktu pieņemt šo deleģēto aktu, kurā sīkāk precizēti kritēriji trešo personu, kas sniedz IKT pakalpojumus, izraudzīšanai par kritiski svarīgām. Deleģētais akts ir saskaņā ar EUI sniegto tehnisko atzinumu.</w:t>
      </w:r>
    </w:p>
    <w:p w14:paraId="714A2AB9" w14:textId="77777777" w:rsidR="00C42585" w:rsidRPr="00EB2E0A" w:rsidRDefault="00C42585" w:rsidP="00C42585">
      <w:pPr>
        <w:pStyle w:val="ManualHeading1"/>
        <w:rPr>
          <w:noProof/>
        </w:rPr>
      </w:pPr>
      <w:r>
        <w:rPr>
          <w:noProof/>
        </w:rPr>
        <w:t>3.</w:t>
      </w:r>
      <w:r>
        <w:rPr>
          <w:noProof/>
        </w:rPr>
        <w:tab/>
      </w:r>
      <w:r w:rsidRPr="00EB2E0A">
        <w:rPr>
          <w:noProof/>
        </w:rPr>
        <w:t>DELEĢĒTĀ AKTA JURIDISKIE ASPEKTI</w:t>
      </w:r>
    </w:p>
    <w:p w14:paraId="4555FF02" w14:textId="77777777" w:rsidR="00C42585" w:rsidRPr="00EB2E0A" w:rsidRDefault="00C42585" w:rsidP="00C42585">
      <w:pPr>
        <w:rPr>
          <w:noProof/>
        </w:rPr>
      </w:pPr>
      <w:r w:rsidRPr="00EB2E0A">
        <w:rPr>
          <w:noProof/>
        </w:rPr>
        <w:t>1. pantā ir precizēta novērtēšanas pieeja, kas EUI jāizmanto, piemērojot dažādos apakškritērijus.</w:t>
      </w:r>
    </w:p>
    <w:p w14:paraId="0F24B6B0" w14:textId="77777777" w:rsidR="00C42585" w:rsidRPr="00EB2E0A" w:rsidRDefault="00C42585" w:rsidP="00C42585">
      <w:pPr>
        <w:rPr>
          <w:noProof/>
        </w:rPr>
      </w:pPr>
      <w:r w:rsidRPr="00EB2E0A">
        <w:rPr>
          <w:noProof/>
        </w:rPr>
        <w:t>2. pantā ir precizēti apakškritēriji un to attiecīgās formulas un robežvērtības saistībā ar kritēriju, ko izmanto trešo personu, kas sniedz IKT pakalpojumus, sistēmiskās ietekmes novērtēšanai attiecībā uz abiem noteiktajiem posmiem.</w:t>
      </w:r>
    </w:p>
    <w:p w14:paraId="0E8131F1" w14:textId="77777777" w:rsidR="00C42585" w:rsidRPr="00EB2E0A" w:rsidRDefault="00C42585" w:rsidP="00C42585">
      <w:pPr>
        <w:rPr>
          <w:noProof/>
        </w:rPr>
      </w:pPr>
      <w:r w:rsidRPr="00EB2E0A">
        <w:rPr>
          <w:noProof/>
        </w:rPr>
        <w:t>3. pantā ir precizēti apakškritēriji un to attiecīgās formulas un robežvērtības saistībā ar kritēriju, ko izmanto finanšu vienībām sniegto IKT pakalpojumu sistēmiskās būtības un svarīguma novērtēšanai attiecībā uz abiem noteiktajiem posmiem.</w:t>
      </w:r>
    </w:p>
    <w:p w14:paraId="0D65A047" w14:textId="77777777" w:rsidR="00C42585" w:rsidRPr="00EB2E0A" w:rsidRDefault="00C42585" w:rsidP="00C42585">
      <w:pPr>
        <w:rPr>
          <w:noProof/>
        </w:rPr>
      </w:pPr>
      <w:r w:rsidRPr="00EB2E0A">
        <w:rPr>
          <w:noProof/>
        </w:rPr>
        <w:t>4. pantā ir precizēti apakškritēriji un to attiecīgās formulas un robežvērtības saistībā ar kritēriju, ko izmanto funkciju kritiskā svarīguma vai svarīguma novērtēšanai attiecībā uz noteikto otro posmu.</w:t>
      </w:r>
    </w:p>
    <w:p w14:paraId="0EC28057" w14:textId="77777777" w:rsidR="00C42585" w:rsidRPr="00EB2E0A" w:rsidRDefault="00C42585" w:rsidP="00C42585">
      <w:pPr>
        <w:rPr>
          <w:noProof/>
        </w:rPr>
      </w:pPr>
      <w:r w:rsidRPr="00EB2E0A">
        <w:rPr>
          <w:noProof/>
        </w:rPr>
        <w:t>5. pantā ir precizēti apakškritēriji un to attiecīgās formulas un robežvērtības saistībā ar kritēriju, ko izmanto aizstājamības pakāpes novērtēšanai attiecībā uz abiem noteiktajiem posmiem.</w:t>
      </w:r>
    </w:p>
    <w:p w14:paraId="56C23417" w14:textId="77777777" w:rsidR="00C42585" w:rsidRPr="00EB2E0A" w:rsidRDefault="00C42585" w:rsidP="00C42585">
      <w:pPr>
        <w:rPr>
          <w:noProof/>
        </w:rPr>
      </w:pPr>
      <w:r w:rsidRPr="00EB2E0A">
        <w:rPr>
          <w:noProof/>
        </w:rPr>
        <w:t>6. pantā ir noteikti informācijas avoti, kas EUI jāizmanto, lai veiktu kritiskā svarīguma novērtējumu.</w:t>
      </w:r>
    </w:p>
    <w:p w14:paraId="73552FD1" w14:textId="77777777" w:rsidR="00C42585" w:rsidRPr="00EB2E0A" w:rsidRDefault="00C42585" w:rsidP="00C42585">
      <w:pPr>
        <w:rPr>
          <w:noProof/>
        </w:rPr>
      </w:pPr>
      <w:r w:rsidRPr="00EB2E0A">
        <w:rPr>
          <w:noProof/>
        </w:rPr>
        <w:t>7. pantā ir noteikta šā akta stāšanās spēkā un piemērošana.</w:t>
      </w:r>
    </w:p>
    <w:p w14:paraId="2618607C" w14:textId="77777777" w:rsidR="00C42585" w:rsidRPr="00EB2E0A" w:rsidRDefault="00C42585" w:rsidP="00C42585">
      <w:pPr>
        <w:rPr>
          <w:noProof/>
        </w:rPr>
        <w:sectPr w:rsidR="00C42585" w:rsidRPr="00EB2E0A" w:rsidSect="00620A8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103A3CC2" w14:textId="2404711B" w:rsidR="00C42585" w:rsidRPr="00EB2E0A" w:rsidRDefault="00EB2E0A" w:rsidP="00EB2E0A">
      <w:pPr>
        <w:pStyle w:val="Typedudocument"/>
        <w:rPr>
          <w:noProof/>
        </w:rPr>
      </w:pPr>
      <w:r w:rsidRPr="00EB2E0A">
        <w:rPr>
          <w:noProof/>
        </w:rPr>
        <w:t>KOMISIJAS DELEĢĒTĀ REGULA (ES) …/..</w:t>
      </w:r>
    </w:p>
    <w:p w14:paraId="25398B6F" w14:textId="23A3CD36" w:rsidR="00C42585" w:rsidRPr="00EB2E0A" w:rsidRDefault="00EB2E0A" w:rsidP="00EB2E0A">
      <w:pPr>
        <w:pStyle w:val="Datedadoption"/>
        <w:rPr>
          <w:noProof/>
        </w:rPr>
      </w:pPr>
      <w:r>
        <w:rPr>
          <w:noProof/>
        </w:rPr>
        <w:t>(22.2.2024)</w:t>
      </w:r>
    </w:p>
    <w:p w14:paraId="2BA6FA91" w14:textId="69BA0494" w:rsidR="00C42585" w:rsidRPr="00EB2E0A" w:rsidRDefault="00EB2E0A" w:rsidP="00EB2E0A">
      <w:pPr>
        <w:pStyle w:val="Titreobjet"/>
        <w:rPr>
          <w:noProof/>
        </w:rPr>
      </w:pPr>
      <w:r w:rsidRPr="00EB2E0A">
        <w:rPr>
          <w:noProof/>
        </w:rPr>
        <w:t>ar ko Eiropas Parlamenta un Padomes Regulu (ES) 2022/2554 papildina, precizējot kritērijus, saskaņā ar kuriem trešās personas, kas sniedz IKT pakalpojumus, izraugās par finanšu vienībām kritiski svarīgām</w:t>
      </w:r>
    </w:p>
    <w:p w14:paraId="3FE74CF7" w14:textId="037D5AB6" w:rsidR="00C42585" w:rsidRPr="00EB2E0A" w:rsidRDefault="00EB2E0A" w:rsidP="00EB2E0A">
      <w:pPr>
        <w:pStyle w:val="IntrtEEE"/>
        <w:rPr>
          <w:noProof/>
        </w:rPr>
      </w:pPr>
      <w:r w:rsidRPr="00EB2E0A">
        <w:rPr>
          <w:noProof/>
        </w:rPr>
        <w:t>(Dokuments attiecas uz EEZ)</w:t>
      </w:r>
    </w:p>
    <w:p w14:paraId="278073BA" w14:textId="77777777" w:rsidR="00C42585" w:rsidRPr="00EB2E0A" w:rsidRDefault="00C42585" w:rsidP="00C42585">
      <w:pPr>
        <w:pStyle w:val="Institutionquiagit"/>
        <w:rPr>
          <w:noProof/>
        </w:rPr>
      </w:pPr>
      <w:r w:rsidRPr="00EB2E0A">
        <w:rPr>
          <w:noProof/>
        </w:rPr>
        <w:t>EIROPAS KOMISIJA,</w:t>
      </w:r>
    </w:p>
    <w:p w14:paraId="05E471CD" w14:textId="77777777" w:rsidR="00C42585" w:rsidRPr="00EB2E0A" w:rsidRDefault="00C42585" w:rsidP="00C42585">
      <w:pPr>
        <w:rPr>
          <w:noProof/>
        </w:rPr>
      </w:pPr>
      <w:r w:rsidRPr="00EB2E0A">
        <w:rPr>
          <w:noProof/>
        </w:rPr>
        <w:t>ņemot vērā Līgumu par Eiropas Savienības darbību,</w:t>
      </w:r>
    </w:p>
    <w:p w14:paraId="27EE8709" w14:textId="77777777" w:rsidR="00C42585" w:rsidRPr="00EB2E0A" w:rsidRDefault="00C42585" w:rsidP="00C42585">
      <w:pPr>
        <w:rPr>
          <w:noProof/>
        </w:rPr>
      </w:pPr>
      <w:r w:rsidRPr="00EB2E0A">
        <w:rPr>
          <w:noProof/>
        </w:rPr>
        <w:t>ņemot vērā Eiropas Parlamenta un Padomes Regula (ES) 2022/2554 (2022. gada 14. decembris) par finanšu nozares digitālās darbības noturību un ar ko groza Regulas (EK) Nr. 1060/2009, (ES) Nr. 648/2012, (ES) Nr. 600/2014, (ES) Nr. 909/2014 un (ES) 2016/1011</w:t>
      </w:r>
      <w:r w:rsidRPr="00EB2E0A">
        <w:rPr>
          <w:rStyle w:val="FootnoteReference"/>
          <w:noProof/>
        </w:rPr>
        <w:footnoteReference w:id="4"/>
      </w:r>
      <w:r w:rsidRPr="00EB2E0A">
        <w:rPr>
          <w:noProof/>
        </w:rPr>
        <w:t>, un jo īpaši tās 31. panta 6. punktu,</w:t>
      </w:r>
    </w:p>
    <w:p w14:paraId="04BF3BA4" w14:textId="77777777" w:rsidR="00C42585" w:rsidRPr="00EB2E0A" w:rsidRDefault="00C42585" w:rsidP="00C42585">
      <w:pPr>
        <w:rPr>
          <w:noProof/>
        </w:rPr>
      </w:pPr>
      <w:r w:rsidRPr="00EB2E0A">
        <w:rPr>
          <w:noProof/>
        </w:rPr>
        <w:t>tā kā:</w:t>
      </w:r>
    </w:p>
    <w:p w14:paraId="375FAE1D" w14:textId="77777777" w:rsidR="00C42585" w:rsidRPr="00EB2E0A" w:rsidRDefault="00C42585" w:rsidP="00C42585">
      <w:pPr>
        <w:pStyle w:val="ManualConsidrant"/>
        <w:rPr>
          <w:noProof/>
        </w:rPr>
      </w:pPr>
      <w:r>
        <w:rPr>
          <w:noProof/>
        </w:rPr>
        <w:t>(1)</w:t>
      </w:r>
      <w:r>
        <w:rPr>
          <w:noProof/>
        </w:rPr>
        <w:tab/>
      </w:r>
      <w:bookmarkStart w:id="3" w:name="_Hlk148454292"/>
      <w:r w:rsidRPr="00EB2E0A">
        <w:rPr>
          <w:noProof/>
        </w:rPr>
        <w:t xml:space="preserve">Lai novērtētu, vai trešā persona, kas sniedz IKT pakalpojumus, ir kritiski svarīga finanšu vienībām, un ņemot vērā Regulas (ES) 2022/2554 31. panta 2. punktā noteiktos kritērijus, Eiropas uzraudzības iestādēm (EUI) būtu jāizmanto apakškritēriji divos posmos veikta novērtējuma ietvaros. Ņemot vērā IKT pakalpojumu lielo skaitu un to finanšu iestāžu daudzveidību un skaitu, kuras izmanto šos pakalpojumus, šāda divu posmu pieeja būtu jāīsteno, lai filtrētu trešo personu, kas sniedz IKT pakalpojumus, kopumu un identificētu kritiski vissvarīgākos IKT pakalpojumu sniedzējus. Kvantitatīvie apakškritēriji, kas jāuzskata par novērtējuma pirmā posma daļu, ir nepieciešami, lai veiktu to trešo personu, kas sniedz IKT pakalpojumus, kopuma atlasi, attiecībā uz kurām ir svarīgi veikt turpmāku padziļinātu analīzi, izmantojot kvalitatīvos apakškritērijus, kas jāuzskata par novērtējuma otrā posma daļu. </w:t>
      </w:r>
      <w:bookmarkEnd w:id="3"/>
    </w:p>
    <w:p w14:paraId="6CA75677" w14:textId="77777777" w:rsidR="00C42585" w:rsidRPr="00EB2E0A" w:rsidRDefault="00C42585" w:rsidP="00C42585">
      <w:pPr>
        <w:pStyle w:val="ManualConsidrant"/>
        <w:rPr>
          <w:noProof/>
        </w:rPr>
      </w:pPr>
      <w:r>
        <w:rPr>
          <w:noProof/>
        </w:rPr>
        <w:t>(2)</w:t>
      </w:r>
      <w:r>
        <w:rPr>
          <w:noProof/>
        </w:rPr>
        <w:tab/>
      </w:r>
      <w:bookmarkStart w:id="4" w:name="_Hlk148454340"/>
      <w:r w:rsidRPr="00EB2E0A">
        <w:rPr>
          <w:noProof/>
        </w:rPr>
        <w:t xml:space="preserve">Apmērs, kādā pakalpojums, ko nodrošina trešā persona, kas sniedz IKT pakalpojumus, atbalsta finanšu vienības kritiski svarīgās vai svarīgās funkcijas, kopumā tiek uzskatīts par kritiskā svarīguma novērtējuma būtisku elementu. Tāpēc finanšu vienību darbību, kuras atbalsta IKT pakalpojumi, svarīgums būtu jāintegrē visos pirmā posma apakškritērijos. Līdz ar to novērtējuma pirmajāne posmā vajadzētu būt atsevišķam kvantitatīvam novērtējumam par finanšu vienību funkciju kritisko svarīgumu. Tā vietā būtu lietderīgi, ja EUI finanšu vienību funkciju, kuras atbalsta IKT pakalpojumi, kritisko svarīgumu un svarīgumu izvērtētu novērtējuma otrā kvalitatīvo aspektu posma ietvaros. </w:t>
      </w:r>
    </w:p>
    <w:p w14:paraId="6AACFB74" w14:textId="77777777" w:rsidR="00C42585" w:rsidRPr="00EB2E0A" w:rsidRDefault="00C42585" w:rsidP="00C42585">
      <w:pPr>
        <w:pStyle w:val="ManualConsidrant"/>
        <w:rPr>
          <w:noProof/>
        </w:rPr>
      </w:pPr>
      <w:r>
        <w:rPr>
          <w:noProof/>
        </w:rPr>
        <w:t>(3)</w:t>
      </w:r>
      <w:r>
        <w:rPr>
          <w:noProof/>
        </w:rPr>
        <w:tab/>
      </w:r>
      <w:r w:rsidRPr="00EB2E0A">
        <w:rPr>
          <w:noProof/>
        </w:rPr>
        <w:t>Novērtējums būtu jāveic par katru atsevišķu trešo personu, kas sniedz IKT pakalpojumus, vai attiecīgā gadījumā par katru trešo personu grupu, kas sniedz IKT pakalpojumus, ja trešā persona, kas sniedz IKT pakalpojumus, ietilpst grupā saskaņā ar Regulas (ES) 2022/2554 31. panta 3. punktu. Lai varētu veikt visaptverošu novērtējumu par iespējamo sistēmisko ietekmi uz Savienības finanšu nozari, EUI būtu jānovērtē arī trešo personu, kas sniedz IKT pakalpojumus, IKT apakšuzņēmēji un attiecīgā gadījumā tie jāizraugās par kritiski svarīgām trešām personām, kas sniedz IKT pakalpojumus.</w:t>
      </w:r>
    </w:p>
    <w:bookmarkEnd w:id="4"/>
    <w:p w14:paraId="09378475" w14:textId="77777777" w:rsidR="00C42585" w:rsidRPr="00EB2E0A" w:rsidRDefault="00C42585" w:rsidP="00C42585">
      <w:pPr>
        <w:pStyle w:val="ManualConsidrant"/>
        <w:rPr>
          <w:noProof/>
        </w:rPr>
      </w:pPr>
      <w:r>
        <w:rPr>
          <w:noProof/>
        </w:rPr>
        <w:t>(4)</w:t>
      </w:r>
      <w:r>
        <w:rPr>
          <w:noProof/>
        </w:rPr>
        <w:tab/>
      </w:r>
      <w:r w:rsidRPr="00EB2E0A">
        <w:rPr>
          <w:noProof/>
        </w:rPr>
        <w:t xml:space="preserve">Lai noteiktu trešās personas, kas sniedz IKT pakalpojumus, sistēmisko ietekmi uz finanšu pakalpojumu sniegšanas stabilitāti, nepārtrauktību vai kvalitāti, ir ārkārtīgi svarīgi rast skaidru priekšstatu par to, kādā apmērā un veidā trešās personas, kas sniedz IKT pakalpojumus, plaša mēroga darbības atteice radītu sistēmisku ietekmi uz finanšu vienībām, kuras paļaujas uz trešās personas, kas sniedz IKT pakalpojumus, sniegtajiem pakalpojumiem, un uz finanšu sistēmu. Tāpēc, lai novērtētu, vai ir būtiski trešo personu, kas sniedz IKT pakalpojumus, uzskatīt par kritiski svarīgu, ir lietderīgi ņemt vērā to konkrētas kategorijas finanšu vienību skaitu, kas izmanto vienus un tos pašus IKT pakalpojumus, kā arī šo vienību aktīvu vērtību. Turklāt, lai noteiktu trešās personas, kas sniedz IKT pakalpojumus, sistēmisko ietekmi uz finanšu vienību darbībām, būtu jāveic kvalitatīvs novērtējums par trešo personu, kas sniedz IKT pakalpojumus, sistēmisko nozīmīgumu un savstarpējo saistību, kā arī par trešo personu, kas sniedz IKT pakalpojumus, nodrošināto pakalpojumu svarīgumu finanšu vienību finanšu pakalpojumu sniegšanai, izvērtējot pakalpojumu stabilitāti un nepārtrauktību. </w:t>
      </w:r>
    </w:p>
    <w:p w14:paraId="31E144E3" w14:textId="77777777" w:rsidR="00C42585" w:rsidRPr="00EB2E0A" w:rsidRDefault="00C42585" w:rsidP="00C42585">
      <w:pPr>
        <w:pStyle w:val="ManualConsidrant"/>
        <w:rPr>
          <w:noProof/>
        </w:rPr>
      </w:pPr>
      <w:r>
        <w:rPr>
          <w:noProof/>
        </w:rPr>
        <w:t>(5)</w:t>
      </w:r>
      <w:r>
        <w:rPr>
          <w:noProof/>
        </w:rPr>
        <w:tab/>
      </w:r>
      <w:r w:rsidRPr="00EB2E0A">
        <w:rPr>
          <w:noProof/>
        </w:rPr>
        <w:t>Lai noteiktu to finanšu vienību sistēmisko būtību un svarīgumu, kuras paļaujas uz IKT pakalpojumiem, ir jāņem vērā minēto finanšu vienību būtība. Ja finanšu vienības, kas ir klasificētas kā G-SNI un C-SNI vai ir identificētas kā “sistēmiskas”, paļaujas uz vieniem un tiem pašiem IKT pakalpojumiem, lai atbalstītu savas kritiski svarīgās vai svarīgās funkcijas, ir lietderīgi novērtēt, vai trešā persona, kas sniedz IKT pakalpojumus, būtu jāuzskata par kritiski svarīgu Savienības finanšu nozarei. Lai noteiktu, kāda ir finanšu vienību paļaušanās uz attiecīgo trešo personu, kas sniedz IKT pakalpojumus, būtu jānovērtē arī savstarpējā saistība, kāda Savienības finanšu nozarē pastāv starp finanšu vienībām, kuras paļaujas uz vienu un to pašu trešo personu, kas sniedz IKT pakalpojumus.</w:t>
      </w:r>
    </w:p>
    <w:p w14:paraId="2A1C7DC6" w14:textId="77777777" w:rsidR="00C42585" w:rsidRPr="00EB2E0A" w:rsidRDefault="00C42585" w:rsidP="00C42585">
      <w:pPr>
        <w:pStyle w:val="ManualConsidrant"/>
        <w:rPr>
          <w:noProof/>
        </w:rPr>
      </w:pPr>
      <w:r>
        <w:rPr>
          <w:noProof/>
        </w:rPr>
        <w:t>(6)</w:t>
      </w:r>
      <w:r>
        <w:rPr>
          <w:noProof/>
        </w:rPr>
        <w:tab/>
      </w:r>
      <w:r w:rsidRPr="00EB2E0A">
        <w:rPr>
          <w:noProof/>
        </w:rPr>
        <w:t xml:space="preserve">IKT pakalpojumi, ar kuriem atbalsta finanšu vienību kritiski svarīgās vai svarīgās funkcijas, kas ir nepieciešamas, lai finanšu vienības varētu veikt savas darbības bez jebkādiem traucējumiem, būtu jānovērtē, izvērtējot to veidu un kritiski svarīgo būtību. </w:t>
      </w:r>
    </w:p>
    <w:p w14:paraId="2211EF72" w14:textId="77777777" w:rsidR="00C42585" w:rsidRPr="00EB2E0A" w:rsidRDefault="00C42585" w:rsidP="00C42585">
      <w:pPr>
        <w:pStyle w:val="ManualConsidrant"/>
        <w:rPr>
          <w:noProof/>
        </w:rPr>
      </w:pPr>
      <w:r>
        <w:rPr>
          <w:noProof/>
        </w:rPr>
        <w:t>(7)</w:t>
      </w:r>
      <w:r>
        <w:rPr>
          <w:noProof/>
        </w:rPr>
        <w:tab/>
      </w:r>
      <w:r w:rsidRPr="00EB2E0A">
        <w:rPr>
          <w:noProof/>
        </w:rPr>
        <w:t xml:space="preserve">Lai noteiktu trešās personas, kas sniedz IKT pakalpojumus, aizstājamības pakāpi, EUI veicamā novērtējuma ietvaros ir jāņem vērā konkrētā tirgū strādājošo trešo personu, kuras sniedz IKT pakalpojumus, skaits, tam pašam IKT pakalpojumam alternatīvu risinājumu esība, kā arī izmaksas, kādas ir datu un IKT darba slodzes migrēšanai uz citām trešām personām, kas sniedz IKT pakalpojumus. </w:t>
      </w:r>
    </w:p>
    <w:p w14:paraId="251BAC14" w14:textId="77777777" w:rsidR="00C42585" w:rsidRPr="00EB2E0A" w:rsidRDefault="00C42585" w:rsidP="00C42585">
      <w:pPr>
        <w:pStyle w:val="ManualConsidrant"/>
        <w:rPr>
          <w:noProof/>
        </w:rPr>
      </w:pPr>
      <w:r>
        <w:rPr>
          <w:noProof/>
        </w:rPr>
        <w:t>(8)</w:t>
      </w:r>
      <w:r>
        <w:rPr>
          <w:noProof/>
        </w:rPr>
        <w:tab/>
      </w:r>
      <w:r w:rsidRPr="00EB2E0A">
        <w:rPr>
          <w:noProof/>
        </w:rPr>
        <w:t xml:space="preserve">Lai nodrošinātu novērtēšanas procesa pamatotību, ir svarīgi, lai EUI, novērtējot, vai trešās personas, kas sniedz IKT pakalpojumus, būtu jāizraugās kā kritiski svarīgas personas, paļaujas uz Regulas (ES) 2022/2554 28. panta 3. punktā minēto informācijas reģistru datiem un jebkādu citu viegli pieejamu informāciju, </w:t>
      </w:r>
    </w:p>
    <w:p w14:paraId="31A52F91" w14:textId="77777777" w:rsidR="00C42585" w:rsidRPr="00EB2E0A" w:rsidRDefault="00C42585" w:rsidP="00C42585">
      <w:pPr>
        <w:pStyle w:val="Formuledadoption"/>
        <w:rPr>
          <w:noProof/>
        </w:rPr>
      </w:pPr>
      <w:r w:rsidRPr="00EB2E0A">
        <w:rPr>
          <w:noProof/>
        </w:rPr>
        <w:t>IR PIEŅĒMUSI ŠO REGULU.</w:t>
      </w:r>
    </w:p>
    <w:p w14:paraId="291E9F46" w14:textId="77777777" w:rsidR="00C42585" w:rsidRPr="00EB2E0A" w:rsidRDefault="00C42585" w:rsidP="00C42585">
      <w:pPr>
        <w:pStyle w:val="Titrearticle"/>
        <w:rPr>
          <w:noProof/>
        </w:rPr>
      </w:pPr>
      <w:r w:rsidRPr="00EB2E0A">
        <w:rPr>
          <w:noProof/>
        </w:rPr>
        <w:t>1. pants</w:t>
      </w:r>
      <w:r w:rsidRPr="00EB2E0A">
        <w:rPr>
          <w:noProof/>
        </w:rPr>
        <w:br/>
        <w:t>Novērtēšanas pieeja</w:t>
      </w:r>
    </w:p>
    <w:p w14:paraId="16D112DB" w14:textId="77777777" w:rsidR="00C42585" w:rsidRPr="00EB2E0A" w:rsidRDefault="00C42585" w:rsidP="00C42585">
      <w:pPr>
        <w:pStyle w:val="ManualNumPar1"/>
        <w:rPr>
          <w:noProof/>
        </w:rPr>
      </w:pPr>
      <w:r>
        <w:rPr>
          <w:noProof/>
        </w:rPr>
        <w:t>1.</w:t>
      </w:r>
      <w:r>
        <w:rPr>
          <w:noProof/>
        </w:rPr>
        <w:tab/>
      </w:r>
      <w:r w:rsidRPr="00EB2E0A">
        <w:rPr>
          <w:noProof/>
        </w:rPr>
        <w:t>Apsverot Regulas (ES) 2022/2554 31. panta 2. punktā noteiktos kritērijus, saskaņā ar kuriem izraugās finanšu vienībām kritiski svarīgu trešo personu, kas sniedz IKT pakalpojumus, EUI piemēro šādu pieeju:</w:t>
      </w:r>
    </w:p>
    <w:p w14:paraId="6DCD078A" w14:textId="77777777" w:rsidR="00C42585" w:rsidRPr="00EB2E0A" w:rsidRDefault="00C42585" w:rsidP="00C42585">
      <w:pPr>
        <w:pStyle w:val="Point1"/>
        <w:rPr>
          <w:noProof/>
        </w:rPr>
      </w:pPr>
      <w:r>
        <w:rPr>
          <w:noProof/>
        </w:rPr>
        <w:t>(a)</w:t>
      </w:r>
      <w:r>
        <w:rPr>
          <w:noProof/>
        </w:rPr>
        <w:tab/>
      </w:r>
      <w:r w:rsidRPr="00EB2E0A">
        <w:rPr>
          <w:noProof/>
        </w:rPr>
        <w:t xml:space="preserve">pirmajā posmā EUI novērtē, vai trešā persona, kas sniedz IKT pakalpojumus, atbilst visiem “1. posma” apakškritērijiem, kas noteikti </w:t>
      </w:r>
      <w:bookmarkStart w:id="5" w:name="_Hlk147129526"/>
      <w:r w:rsidRPr="00EB2E0A">
        <w:rPr>
          <w:noProof/>
        </w:rPr>
        <w:t>2. panta 1. punktā, 3. panta 1. punktā un 5. panta 1. punktā;</w:t>
      </w:r>
      <w:bookmarkEnd w:id="5"/>
    </w:p>
    <w:p w14:paraId="6DA72ADF" w14:textId="77777777" w:rsidR="00C42585" w:rsidRPr="00EB2E0A" w:rsidRDefault="00C42585" w:rsidP="00C42585">
      <w:pPr>
        <w:pStyle w:val="Point1"/>
        <w:rPr>
          <w:noProof/>
        </w:rPr>
      </w:pPr>
      <w:r>
        <w:rPr>
          <w:noProof/>
        </w:rPr>
        <w:t>(b)</w:t>
      </w:r>
      <w:r>
        <w:rPr>
          <w:noProof/>
        </w:rPr>
        <w:tab/>
      </w:r>
      <w:r w:rsidRPr="00EB2E0A">
        <w:rPr>
          <w:noProof/>
        </w:rPr>
        <w:t xml:space="preserve">otrajā posmā EUI attiecībā uz trešām personām, kas sniedz IKT pakalpojumus un atbilst visiem 1. posma apakškritērijiem, kuri minēti a) apakšpunktā, veic novērtējumu, ņemot vērā 2. posma apakškritērijus, kas minēti 2. panta 5. punktā, 3. panta 4. punktā, 4. panta 1. punktā un 5. panta 5. punktā. </w:t>
      </w:r>
    </w:p>
    <w:p w14:paraId="4124A306" w14:textId="77777777" w:rsidR="00C42585" w:rsidRPr="00EB2E0A" w:rsidRDefault="00C42585" w:rsidP="00C42585">
      <w:pPr>
        <w:pStyle w:val="Text1"/>
        <w:rPr>
          <w:noProof/>
        </w:rPr>
      </w:pPr>
      <w:r w:rsidRPr="00EB2E0A">
        <w:rPr>
          <w:noProof/>
        </w:rPr>
        <w:t xml:space="preserve">Atkāpjoties no šā panta pirmās daļas, lai novērtētu Regulas (ES) 2022/2554 31. panta 2. punkta c) apakšpunkta kritēriju, uz pirmo posmu attiecas novērtējums, kas jāveic attiecībā uz Regulas (ES) 2022/2554 31. panta 2. punkta a), b) un d) apakšpunktā minētajiem kritērijiem. </w:t>
      </w:r>
    </w:p>
    <w:p w14:paraId="358EFA51" w14:textId="77777777" w:rsidR="00C42585" w:rsidRPr="00EB2E0A" w:rsidRDefault="00C42585" w:rsidP="00C42585">
      <w:pPr>
        <w:pStyle w:val="ManualNumPar1"/>
        <w:rPr>
          <w:noProof/>
        </w:rPr>
      </w:pPr>
      <w:r>
        <w:rPr>
          <w:noProof/>
        </w:rPr>
        <w:t>2.</w:t>
      </w:r>
      <w:r>
        <w:rPr>
          <w:noProof/>
        </w:rPr>
        <w:tab/>
      </w:r>
      <w:r w:rsidRPr="00EB2E0A">
        <w:rPr>
          <w:noProof/>
        </w:rPr>
        <w:t>Pēc Regulas (ES) 2022/2554 31. panta 5. punkta pirmajā daļā minētā pamatotā paziņojuma iesniegšanas laikposma beigām EUI ar Apvienotās komitejas starpniecību un pēc Pārraudzības foruma ieteikuma trešo personu, kas sniedz IKT pakalpojumus, izraugās par finanšu vienībām kritiski svarīgu, ja tā izpilda visus 1. punkta a) apakšpunktā minētos “1. posma” apakškritērijus un ja novērtējuma, kas veikts saistībā ar 1. punkta b) apakšpunktā minētajiem “2. posma” apakškritērijiem, rezultāts ir pozitīvs.</w:t>
      </w:r>
    </w:p>
    <w:p w14:paraId="4925C6CC" w14:textId="77777777" w:rsidR="00C42585" w:rsidRPr="00EB2E0A" w:rsidRDefault="00C42585" w:rsidP="00C42585">
      <w:pPr>
        <w:pStyle w:val="Titrearticle"/>
        <w:rPr>
          <w:noProof/>
        </w:rPr>
      </w:pPr>
      <w:r w:rsidRPr="00EB2E0A">
        <w:rPr>
          <w:noProof/>
        </w:rPr>
        <w:t>2. pants</w:t>
      </w:r>
      <w:r w:rsidRPr="00EB2E0A">
        <w:rPr>
          <w:noProof/>
        </w:rPr>
        <w:br/>
        <w:t>Trešo personu, kas sniedz IKT pakalpojumus, sistēmiskā ietekme uz finanšu pakalpojumu sniegšanas stabilitāti, nepārtrauktību vai kvalitāti</w:t>
      </w:r>
    </w:p>
    <w:p w14:paraId="494863FD" w14:textId="77777777" w:rsidR="00C42585" w:rsidRPr="00EB2E0A" w:rsidRDefault="00C42585" w:rsidP="00C42585">
      <w:pPr>
        <w:pStyle w:val="ManualNumPar1"/>
        <w:rPr>
          <w:noProof/>
        </w:rPr>
      </w:pPr>
      <w:r>
        <w:rPr>
          <w:noProof/>
        </w:rPr>
        <w:t>1.</w:t>
      </w:r>
      <w:r>
        <w:rPr>
          <w:noProof/>
        </w:rPr>
        <w:tab/>
      </w:r>
      <w:r w:rsidRPr="00EB2E0A">
        <w:rPr>
          <w:noProof/>
        </w:rPr>
        <w:t>Apsverot Regulas (ES) 2022/2554 31. panta 2. punkta a) apakšpunktā noteikto kritēriju, EUI novērtē, vai trešā persona, kas sniedz IKT pakalpojumus, atbilst šādiem “1. posma” apakškritērijiem:</w:t>
      </w:r>
    </w:p>
    <w:p w14:paraId="7930BF9E" w14:textId="77777777" w:rsidR="00C42585" w:rsidRPr="00EB2E0A" w:rsidRDefault="00C42585" w:rsidP="00C42585">
      <w:pPr>
        <w:pStyle w:val="Point1"/>
        <w:rPr>
          <w:noProof/>
        </w:rPr>
      </w:pPr>
      <w:r>
        <w:rPr>
          <w:noProof/>
        </w:rPr>
        <w:t>(a)</w:t>
      </w:r>
      <w:r>
        <w:rPr>
          <w:noProof/>
        </w:rPr>
        <w:tab/>
      </w:r>
      <w:r w:rsidRPr="00EB2E0A">
        <w:rPr>
          <w:noProof/>
        </w:rPr>
        <w:t>1.1. apakškritērijs – to finanšu vienību skaita īpatsvars sadalījumā pa Regulas (ES) 2022/2554 2. panta 1. punktā uzskaitītajām finanšu vienību kategorijām, kurām IKT pakalpojumus sniedz viena un tā pati trešā persona, kas sniedz IKT pakalpojumus, ja IKT pakalpojumi atbalsta kritiski svarīgas vai svarīgas funkcijas;</w:t>
      </w:r>
    </w:p>
    <w:p w14:paraId="5E340104" w14:textId="77777777" w:rsidR="00C42585" w:rsidRPr="00EB2E0A" w:rsidRDefault="00C42585" w:rsidP="00C42585">
      <w:pPr>
        <w:pStyle w:val="Point1"/>
        <w:rPr>
          <w:noProof/>
        </w:rPr>
      </w:pPr>
      <w:r>
        <w:rPr>
          <w:noProof/>
        </w:rPr>
        <w:t>(b)</w:t>
      </w:r>
      <w:r>
        <w:rPr>
          <w:noProof/>
        </w:rPr>
        <w:tab/>
      </w:r>
      <w:r w:rsidRPr="00EB2E0A">
        <w:rPr>
          <w:noProof/>
        </w:rPr>
        <w:t>1.2. apakškritērijs – to finanšu vienību aktīvu kopējās vērtības īpatsvars sadalījumā pa Regulas (ES) 2022/2554 2. panta 1. punktā uzskaitītajām finanšu vienību kategorijām, kurām IKT pakalpojumus sniedz viena un tā pati trešā persona, kas sniedz IKT pakalpojumus, ja IKT pakalpojumi atbalsta finanšu vienību kritiski svarīgas vai svarīgas funkcijas.</w:t>
      </w:r>
    </w:p>
    <w:p w14:paraId="0C17D098" w14:textId="77777777" w:rsidR="00C42585" w:rsidRPr="00EB2E0A" w:rsidRDefault="00C42585" w:rsidP="00C42585">
      <w:pPr>
        <w:pStyle w:val="ManualNumPar1"/>
        <w:rPr>
          <w:noProof/>
        </w:rPr>
      </w:pPr>
      <w:r>
        <w:rPr>
          <w:noProof/>
        </w:rPr>
        <w:t>2.</w:t>
      </w:r>
      <w:r>
        <w:rPr>
          <w:noProof/>
        </w:rPr>
        <w:tab/>
      </w:r>
      <w:r w:rsidRPr="00EB2E0A">
        <w:rPr>
          <w:noProof/>
        </w:rPr>
        <w:t xml:space="preserve">Šā panta 1. punkta a) apakšpunktā noteikto 1.1. apakškritēriju aprēķina šādi: </w:t>
      </w:r>
    </w:p>
    <w:bookmarkStart w:id="6" w:name="_Hlk158726878"/>
    <w:p w14:paraId="08AA1E68" w14:textId="6B13C45D" w:rsidR="00C42585" w:rsidRPr="00EB2E0A" w:rsidRDefault="00CF6663" w:rsidP="00C42585">
      <w:pPr>
        <w:rPr>
          <w:noProof/>
        </w:rPr>
      </w:pPr>
      <m:oMathPara>
        <m:oMath>
          <m:f>
            <m:fPr>
              <m:ctrlPr>
                <w:rPr>
                  <w:rFonts w:ascii="Cambria Math" w:hAnsi="Cambria Math"/>
                  <w:i/>
                  <w:noProof/>
                </w:rPr>
              </m:ctrlPr>
            </m:fPr>
            <m:num>
              <m:eqArr>
                <m:eqArrPr>
                  <m:ctrlPr>
                    <w:rPr>
                      <w:rFonts w:ascii="Cambria Math" w:hAnsi="Cambria Math"/>
                      <w:noProof/>
                    </w:rPr>
                  </m:ctrlPr>
                </m:eqArrPr>
                <m:e>
                  <m:r>
                    <m:rPr>
                      <m:sty m:val="p"/>
                    </m:rPr>
                    <w:rPr>
                      <w:rFonts w:ascii="Cambria Math" w:hAnsi="Cambria Math"/>
                      <w:noProof/>
                    </w:rPr>
                    <m:t>to konkrētas kategorijas finanšu vienību skaits,</m:t>
                  </m:r>
                </m:e>
                <m:e>
                  <m:r>
                    <m:rPr>
                      <m:sty m:val="p"/>
                    </m:rPr>
                    <w:rPr>
                      <w:rFonts w:ascii="Cambria Math" w:hAnsi="Cambria Math"/>
                      <w:noProof/>
                    </w:rPr>
                    <m:t xml:space="preserve">kā noteikts Regulas </m:t>
                  </m:r>
                  <m:d>
                    <m:dPr>
                      <m:ctrlPr>
                        <w:rPr>
                          <w:rFonts w:ascii="Cambria Math" w:hAnsi="Cambria Math"/>
                          <w:noProof/>
                        </w:rPr>
                      </m:ctrlPr>
                    </m:dPr>
                    <m:e>
                      <m:r>
                        <m:rPr>
                          <m:sty m:val="p"/>
                        </m:rPr>
                        <w:rPr>
                          <w:rFonts w:ascii="Cambria Math" w:hAnsi="Cambria Math"/>
                          <w:noProof/>
                        </w:rPr>
                        <m:t>ES</m:t>
                      </m:r>
                    </m:e>
                  </m:d>
                  <m:r>
                    <w:rPr>
                      <w:rFonts w:ascii="Cambria Math" w:hAnsi="Cambria Math"/>
                      <w:noProof/>
                    </w:rPr>
                    <m:t>2022/2554</m:t>
                  </m:r>
                  <m:r>
                    <m:rPr>
                      <m:sty m:val="p"/>
                    </m:rPr>
                    <w:rPr>
                      <w:rFonts w:ascii="Cambria Math" w:hAnsi="Cambria Math"/>
                      <w:noProof/>
                    </w:rPr>
                    <m:t xml:space="preserve"> 2. panta 1.punktā,</m:t>
                  </m:r>
                  <m:ctrlPr>
                    <w:rPr>
                      <w:rFonts w:ascii="Cambria Math" w:eastAsia="Cambria Math" w:hAnsi="Cambria Math" w:cs="Cambria Math"/>
                      <w:noProof/>
                    </w:rPr>
                  </m:ctrlPr>
                </m:e>
                <m:e>
                  <m:r>
                    <m:rPr>
                      <m:sty m:val="p"/>
                    </m:rPr>
                    <w:rPr>
                      <w:rFonts w:ascii="Cambria Math" w:hAnsi="Cambria Math"/>
                      <w:noProof/>
                    </w:rPr>
                    <m:t xml:space="preserve"> kurām IKT pakalpojumus sniedz viena un tā pati trešā persona, kas niedz </m:t>
                  </m:r>
                  <m:r>
                    <m:rPr>
                      <m:sty m:val="p"/>
                    </m:rPr>
                    <w:rPr>
                      <w:rFonts w:ascii="Cambria Math" w:hAnsi="Cambria Math"/>
                      <w:noProof/>
                    </w:rPr>
                    <m:t>IKT pakalpojumus,</m:t>
                  </m:r>
                  <m:ctrlPr>
                    <w:rPr>
                      <w:rFonts w:ascii="Cambria Math" w:eastAsia="Cambria Math" w:hAnsi="Cambria Math" w:cs="Cambria Math"/>
                      <w:noProof/>
                    </w:rPr>
                  </m:ctrlPr>
                </m:e>
                <m:e>
                  <m:r>
                    <m:rPr>
                      <m:sty m:val="p"/>
                    </m:rPr>
                    <w:rPr>
                      <w:rFonts w:ascii="Cambria Math" w:hAnsi="Cambria Math"/>
                      <w:noProof/>
                    </w:rPr>
                    <m:t xml:space="preserve"> ja IKT pakalpojumi atbalsta finanšu vienību kritiski svarīgas vai svarīgas funkcijas</m:t>
                  </m:r>
                </m:e>
              </m:eqArr>
            </m:num>
            <m:den>
              <m:eqArr>
                <m:eqArrPr>
                  <m:ctrlPr>
                    <w:rPr>
                      <w:rFonts w:ascii="Cambria Math" w:hAnsi="Cambria Math"/>
                      <w:noProof/>
                    </w:rPr>
                  </m:ctrlPr>
                </m:eqArrPr>
                <m:e>
                  <m:r>
                    <m:rPr>
                      <m:sty m:val="p"/>
                    </m:rPr>
                    <w:rPr>
                      <w:rFonts w:ascii="Cambria Math" w:hAnsi="Cambria Math"/>
                      <w:noProof/>
                    </w:rPr>
                    <m:t xml:space="preserve">konkrētas kategorijas finanšu vienību kopskaits, </m:t>
                  </m:r>
                </m:e>
                <m:e>
                  <m:r>
                    <m:rPr>
                      <m:sty m:val="p"/>
                    </m:rPr>
                    <w:rPr>
                      <w:rFonts w:ascii="Cambria Math" w:hAnsi="Cambria Math"/>
                      <w:noProof/>
                    </w:rPr>
                    <m:t>kā noteikts Regulas (ES) 2022/2554 2. panta 1. punktā</m:t>
                  </m:r>
                </m:e>
              </m:eqArr>
            </m:den>
          </m:f>
        </m:oMath>
      </m:oMathPara>
      <w:bookmarkEnd w:id="6"/>
    </w:p>
    <w:p w14:paraId="015D1E54" w14:textId="77777777" w:rsidR="00C42585" w:rsidRPr="00EB2E0A" w:rsidRDefault="00C42585" w:rsidP="00C42585">
      <w:pPr>
        <w:pStyle w:val="ManualNumPar1"/>
        <w:rPr>
          <w:noProof/>
        </w:rPr>
      </w:pPr>
      <w:r>
        <w:rPr>
          <w:noProof/>
        </w:rPr>
        <w:t>3.</w:t>
      </w:r>
      <w:r>
        <w:rPr>
          <w:noProof/>
        </w:rPr>
        <w:tab/>
      </w:r>
      <w:r w:rsidRPr="00EB2E0A">
        <w:rPr>
          <w:noProof/>
        </w:rPr>
        <w:t>Šā panta 1. punkta b) apakšpunktā minēto 1.2. apakškritēriju aprēķina šādi:</w:t>
      </w:r>
    </w:p>
    <w:bookmarkStart w:id="7" w:name="_Hlk158727534"/>
    <w:p w14:paraId="6C6125E0" w14:textId="5AF3EE67" w:rsidR="00C42585" w:rsidRPr="00EB2E0A" w:rsidRDefault="00CF6663" w:rsidP="00F04385">
      <w:pPr>
        <w:rPr>
          <w:noProof/>
        </w:rPr>
      </w:pPr>
      <m:oMathPara>
        <m:oMath>
          <m:f>
            <m:fPr>
              <m:ctrlPr>
                <w:rPr>
                  <w:rFonts w:ascii="Cambria Math" w:hAnsi="Cambria Math"/>
                  <w:i/>
                  <w:noProof/>
                </w:rPr>
              </m:ctrlPr>
            </m:fPr>
            <m:num>
              <m:eqArr>
                <m:eqArrPr>
                  <m:ctrlPr>
                    <w:rPr>
                      <w:rFonts w:ascii="Cambria Math" w:hAnsi="Cambria Math"/>
                      <w:noProof/>
                    </w:rPr>
                  </m:ctrlPr>
                </m:eqArrPr>
                <m:e>
                  <m:r>
                    <m:rPr>
                      <m:sty m:val="p"/>
                    </m:rPr>
                    <w:rPr>
                      <w:rFonts w:ascii="Cambria Math" w:hAnsi="Cambria Math"/>
                      <w:noProof/>
                    </w:rPr>
                    <m:t>to konkrētas kategorijas finanšu vienību aktīvu kopējā vērtība,</m:t>
                  </m:r>
                </m:e>
                <m:e>
                  <m:r>
                    <m:rPr>
                      <m:sty m:val="p"/>
                    </m:rPr>
                    <w:rPr>
                      <w:rFonts w:ascii="Cambria Math" w:hAnsi="Cambria Math"/>
                      <w:noProof/>
                    </w:rPr>
                    <m:t>kā uzskaitīts Regulas (ES) 2022/2554 2. panta 1. punktā,</m:t>
                  </m:r>
                  <m:ctrlPr>
                    <w:rPr>
                      <w:rFonts w:ascii="Cambria Math" w:eastAsia="Cambria Math" w:hAnsi="Cambria Math" w:cs="Cambria Math"/>
                      <w:noProof/>
                    </w:rPr>
                  </m:ctrlPr>
                </m:e>
                <m:e>
                  <m:r>
                    <m:rPr>
                      <m:sty m:val="p"/>
                    </m:rPr>
                    <w:rPr>
                      <w:rFonts w:ascii="Cambria Math" w:hAnsi="Cambria Math"/>
                      <w:noProof/>
                    </w:rPr>
                    <m:t xml:space="preserve"> kurām IKT pakalpojumus sniedz viena un tā pati trešā persona, kas sniedz IKT pakalpojumus, </m:t>
                  </m:r>
                  <m:ctrlPr>
                    <w:rPr>
                      <w:rFonts w:ascii="Cambria Math" w:eastAsia="Cambria Math" w:hAnsi="Cambria Math" w:cs="Cambria Math"/>
                      <w:noProof/>
                    </w:rPr>
                  </m:ctrlPr>
                </m:e>
                <m:e>
                  <m:r>
                    <m:rPr>
                      <m:sty m:val="p"/>
                    </m:rPr>
                    <w:rPr>
                      <w:rFonts w:ascii="Cambria Math" w:hAnsi="Cambria Math"/>
                      <w:noProof/>
                    </w:rPr>
                    <m:t>ja IKT pakalpojum</m:t>
                  </m:r>
                  <m:r>
                    <m:rPr>
                      <m:sty m:val="p"/>
                    </m:rPr>
                    <w:rPr>
                      <w:rFonts w:ascii="Cambria Math" w:hAnsi="Cambria Math"/>
                      <w:noProof/>
                    </w:rPr>
                    <m:t>i atbalsta finanšu vienību kritiski svarīgas vai svarīgas funkcijas</m:t>
                  </m:r>
                </m:e>
              </m:eqArr>
            </m:num>
            <m:den>
              <m:eqArr>
                <m:eqArrPr>
                  <m:ctrlPr>
                    <w:rPr>
                      <w:rFonts w:ascii="Cambria Math" w:hAnsi="Cambria Math"/>
                      <w:noProof/>
                    </w:rPr>
                  </m:ctrlPr>
                </m:eqArrPr>
                <m:e>
                  <m:r>
                    <m:rPr>
                      <m:sty m:val="p"/>
                    </m:rPr>
                    <w:rPr>
                      <w:rFonts w:ascii="Cambria Math" w:hAnsi="Cambria Math"/>
                      <w:noProof/>
                    </w:rPr>
                    <m:t>visu vienas un tās pašas kategorijas ES finanšu vienību aktīvu kopējā vērtība,</m:t>
                  </m:r>
                </m:e>
                <m:e>
                  <m:r>
                    <m:rPr>
                      <m:sty m:val="p"/>
                    </m:rPr>
                    <w:rPr>
                      <w:rFonts w:ascii="Cambria Math" w:hAnsi="Cambria Math"/>
                      <w:noProof/>
                    </w:rPr>
                    <m:t xml:space="preserve"> kā noteikts Regulas (ES) 2022/2554 2. panta 1. punktā</m:t>
                  </m:r>
                </m:e>
              </m:eqArr>
            </m:den>
          </m:f>
        </m:oMath>
      </m:oMathPara>
    </w:p>
    <w:bookmarkEnd w:id="7"/>
    <w:p w14:paraId="65F6E667" w14:textId="3A916B96" w:rsidR="00C42585" w:rsidRPr="00EB2E0A" w:rsidRDefault="00BC2E6B" w:rsidP="00C42585">
      <w:pPr>
        <w:pStyle w:val="ManualNumPar1"/>
        <w:rPr>
          <w:noProof/>
        </w:rPr>
      </w:pPr>
      <w:r>
        <w:rPr>
          <w:noProof/>
        </w:rPr>
        <w:t>4.</w:t>
      </w:r>
      <w:r>
        <w:rPr>
          <w:noProof/>
        </w:rPr>
        <w:tab/>
        <w:t>U</w:t>
      </w:r>
      <w:r w:rsidR="00C42585" w:rsidRPr="00EB2E0A">
        <w:rPr>
          <w:noProof/>
        </w:rPr>
        <w:t xml:space="preserve">zskata, ka trešā persona, kas sniedz IKT pakalpojumus, ir izpildījusi 1. punktā minētos “1. posma” apakškritērijus, ja abi saskaņā ar 2. un 3. punktu aprēķinātie īpatsvara rādītāji ir vismaz 10 % no kopējā skaita vismaz vienai finanšu vienību kategorijai, kā noteikts Regulas (ES) 2022/2554 2. panta 1. punktā. </w:t>
      </w:r>
    </w:p>
    <w:p w14:paraId="4BF1F5AD" w14:textId="46FA2236" w:rsidR="00C42585" w:rsidRPr="00EB2E0A" w:rsidRDefault="00C42585" w:rsidP="00C42585">
      <w:pPr>
        <w:pStyle w:val="ManualNumPar1"/>
        <w:rPr>
          <w:noProof/>
        </w:rPr>
      </w:pPr>
      <w:r>
        <w:rPr>
          <w:noProof/>
        </w:rPr>
        <w:t>5.</w:t>
      </w:r>
      <w:r>
        <w:rPr>
          <w:noProof/>
        </w:rPr>
        <w:tab/>
      </w:r>
      <w:r w:rsidRPr="00EB2E0A">
        <w:rPr>
          <w:noProof/>
        </w:rPr>
        <w:t>Apsverot Regulas (ES) 2022/2554 31. panta 2. punkta a) apakšpunktā noteikto kritēriju un ja trešā persona, kas sniedz IKT pakalpojumus, izpilda šā panta 1.</w:t>
      </w:r>
      <w:r w:rsidR="004F638D">
        <w:rPr>
          <w:noProof/>
        </w:rPr>
        <w:t> </w:t>
      </w:r>
      <w:r w:rsidRPr="00EB2E0A">
        <w:rPr>
          <w:noProof/>
        </w:rPr>
        <w:t>punktā minētos “1. posma” apakškritērijus, EUI veic novērtējumu, ņemot vērā šādus “2. posma” apakškritērijus:</w:t>
      </w:r>
    </w:p>
    <w:p w14:paraId="1C6ADC25" w14:textId="77777777" w:rsidR="00C42585" w:rsidRPr="00EB2E0A" w:rsidRDefault="00C42585" w:rsidP="00C42585">
      <w:pPr>
        <w:pStyle w:val="Point1"/>
        <w:rPr>
          <w:noProof/>
        </w:rPr>
      </w:pPr>
      <w:r>
        <w:rPr>
          <w:noProof/>
        </w:rPr>
        <w:t>(a)</w:t>
      </w:r>
      <w:r>
        <w:rPr>
          <w:noProof/>
        </w:rPr>
        <w:tab/>
      </w:r>
      <w:r w:rsidRPr="00EB2E0A">
        <w:rPr>
          <w:noProof/>
        </w:rPr>
        <w:t>1.3. apakškritērijs – trešās personas, kas sniedz IKT pakalpojumus, sniegto pakalpojumu pārtraukšanas ietekmes intensitāte uz šā panta 1. punktā minētajos “1. posma” apakškritērijos identificēto finanšu vienību darbībām un operācijām un skarto finanšu vienību skaits;</w:t>
      </w:r>
    </w:p>
    <w:p w14:paraId="4A8C394E" w14:textId="77777777" w:rsidR="00C42585" w:rsidRPr="00EB2E0A" w:rsidRDefault="00C42585" w:rsidP="00C42585">
      <w:pPr>
        <w:pStyle w:val="Point1"/>
        <w:rPr>
          <w:noProof/>
        </w:rPr>
      </w:pPr>
      <w:r>
        <w:rPr>
          <w:noProof/>
        </w:rPr>
        <w:t>(b)</w:t>
      </w:r>
      <w:r>
        <w:rPr>
          <w:noProof/>
        </w:rPr>
        <w:tab/>
      </w:r>
      <w:r w:rsidRPr="00EB2E0A">
        <w:rPr>
          <w:noProof/>
        </w:rPr>
        <w:t>1.4. apakškritērijs – kritiski svarīgās trešās personas, kas sniedz IKT pakalpojumus, atkarība no vieniem un tiem pašiem apakšuzņēmējiem, kas sniedz IKT pakalpojumus, kuri atbalsta finanšu vienību kritiski svarīgas vai svarīgas funkcijas.</w:t>
      </w:r>
    </w:p>
    <w:p w14:paraId="007F3237" w14:textId="77777777" w:rsidR="00C42585" w:rsidRPr="00EB2E0A" w:rsidRDefault="00C42585" w:rsidP="00C42585">
      <w:pPr>
        <w:pStyle w:val="Titrearticle"/>
        <w:rPr>
          <w:noProof/>
        </w:rPr>
      </w:pPr>
      <w:r w:rsidRPr="00EB2E0A">
        <w:rPr>
          <w:noProof/>
        </w:rPr>
        <w:t>3. pants</w:t>
      </w:r>
      <w:r w:rsidRPr="00EB2E0A">
        <w:rPr>
          <w:noProof/>
        </w:rPr>
        <w:br/>
        <w:t>Finanšu vienībām sniegto IKT pakalpojumu sistēmiskais raksturs un nozīme</w:t>
      </w:r>
    </w:p>
    <w:p w14:paraId="2AB62965" w14:textId="77777777" w:rsidR="00C42585" w:rsidRPr="00EB2E0A" w:rsidRDefault="00C42585" w:rsidP="00C42585">
      <w:pPr>
        <w:pStyle w:val="ManualNumPar1"/>
        <w:rPr>
          <w:noProof/>
        </w:rPr>
      </w:pPr>
      <w:r>
        <w:rPr>
          <w:noProof/>
        </w:rPr>
        <w:t>1.</w:t>
      </w:r>
      <w:r>
        <w:rPr>
          <w:noProof/>
        </w:rPr>
        <w:tab/>
      </w:r>
      <w:r w:rsidRPr="00EB2E0A">
        <w:rPr>
          <w:noProof/>
        </w:rPr>
        <w:t xml:space="preserve">Apsverot Regulas (ES) 2022/2554 31. panta 2. punkta b) apakšpunktā noteikto kritēriju, EUI novērtē, vai trešā persona, kas sniedz IKT pakalpojumus, atbilst šādiem “1. posma” apakškritērijiem: </w:t>
      </w:r>
    </w:p>
    <w:p w14:paraId="295ED120" w14:textId="77777777" w:rsidR="00C42585" w:rsidRPr="00EB2E0A" w:rsidRDefault="00C42585" w:rsidP="00C42585">
      <w:pPr>
        <w:pStyle w:val="Point1"/>
        <w:rPr>
          <w:noProof/>
        </w:rPr>
      </w:pPr>
      <w:r>
        <w:rPr>
          <w:noProof/>
        </w:rPr>
        <w:t>(a)</w:t>
      </w:r>
      <w:r>
        <w:rPr>
          <w:noProof/>
        </w:rPr>
        <w:tab/>
      </w:r>
      <w:r w:rsidRPr="00EB2E0A">
        <w:rPr>
          <w:noProof/>
        </w:rPr>
        <w:t>2.1. apakškritērijs – tādu globālu sistēmiski nozīmīgu iestāžu (G-SNI) un citu sistēmiski nozīmīgu iestāžu (C-SNI) skaits, kuras ir kredītiestādes, kurām IKT pakalpojumus sniedz viena un tā pati trešā persona, kas sniedz IKT pakalpojumus, ja IKT pakalpojumi atbalsta kritiski svarīgas vai svarīgas funkcijas;</w:t>
      </w:r>
    </w:p>
    <w:p w14:paraId="358977E7" w14:textId="654C4228" w:rsidR="00C42585" w:rsidRPr="00EB2E0A" w:rsidRDefault="00C42585" w:rsidP="00C42585">
      <w:pPr>
        <w:pStyle w:val="Point1"/>
        <w:rPr>
          <w:noProof/>
        </w:rPr>
      </w:pPr>
      <w:r>
        <w:rPr>
          <w:noProof/>
        </w:rPr>
        <w:t>(b)</w:t>
      </w:r>
      <w:r>
        <w:rPr>
          <w:noProof/>
        </w:rPr>
        <w:tab/>
      </w:r>
      <w:r w:rsidRPr="00EB2E0A">
        <w:rPr>
          <w:noProof/>
        </w:rPr>
        <w:t>2.2. apakškritērijs – to finanšu vienību skaits, kuras nav kredītiestādes vai a)</w:t>
      </w:r>
      <w:r w:rsidR="004F638D">
        <w:rPr>
          <w:noProof/>
        </w:rPr>
        <w:t> </w:t>
      </w:r>
      <w:r w:rsidRPr="00EB2E0A">
        <w:rPr>
          <w:noProof/>
        </w:rPr>
        <w:t>apakšpunktā minētās G-SNI un C-SNI un kuras Regulas (ES) 2022/2554 46.</w:t>
      </w:r>
      <w:r w:rsidR="004F638D">
        <w:rPr>
          <w:noProof/>
        </w:rPr>
        <w:t> </w:t>
      </w:r>
      <w:r w:rsidRPr="00EB2E0A">
        <w:rPr>
          <w:noProof/>
        </w:rPr>
        <w:t>pantā minētās kompetentās iestādes ir atzinušas par sistēmiskām, un kurām IKT pakalpojumus sniedz viena un tā pati trešā persona, kas sniedz IKT pakalpojumus, ja IKT pakalpojumi atbalsta kritiski svarīgas vai svarīgas funkcijas.</w:t>
      </w:r>
    </w:p>
    <w:p w14:paraId="75C9AEBF" w14:textId="520787E3" w:rsidR="00C42585" w:rsidRPr="00EB2E0A" w:rsidRDefault="00C42585" w:rsidP="00C42585">
      <w:pPr>
        <w:pStyle w:val="ManualNumPar1"/>
        <w:rPr>
          <w:noProof/>
        </w:rPr>
      </w:pPr>
      <w:r>
        <w:rPr>
          <w:noProof/>
        </w:rPr>
        <w:t>2.</w:t>
      </w:r>
      <w:r>
        <w:rPr>
          <w:noProof/>
        </w:rPr>
        <w:tab/>
      </w:r>
      <w:r w:rsidRPr="00EB2E0A">
        <w:rPr>
          <w:noProof/>
        </w:rPr>
        <w:t>Uzskata, ka trešā persona, kas sniedz IKT pakalpojumus, ir izpildījusi 1. punkta a)</w:t>
      </w:r>
      <w:r w:rsidR="004F638D">
        <w:rPr>
          <w:noProof/>
        </w:rPr>
        <w:t> </w:t>
      </w:r>
      <w:r w:rsidRPr="00EB2E0A">
        <w:rPr>
          <w:noProof/>
        </w:rPr>
        <w:t>apakšpunktā noteikto apakškritēriju, ja tās sniegtos IKT pakalpojumus izmanto vismaz:</w:t>
      </w:r>
    </w:p>
    <w:p w14:paraId="5541C507" w14:textId="77777777" w:rsidR="00C42585" w:rsidRPr="00EB2E0A" w:rsidRDefault="00C42585" w:rsidP="00C42585">
      <w:pPr>
        <w:pStyle w:val="Point1"/>
        <w:rPr>
          <w:noProof/>
        </w:rPr>
      </w:pPr>
      <w:r>
        <w:rPr>
          <w:noProof/>
        </w:rPr>
        <w:t>(a)</w:t>
      </w:r>
      <w:r>
        <w:rPr>
          <w:noProof/>
        </w:rPr>
        <w:tab/>
      </w:r>
      <w:r w:rsidRPr="00EB2E0A">
        <w:rPr>
          <w:noProof/>
        </w:rPr>
        <w:t>viena G-SNI;</w:t>
      </w:r>
    </w:p>
    <w:p w14:paraId="57309042" w14:textId="77777777" w:rsidR="00C42585" w:rsidRPr="00EB2E0A" w:rsidRDefault="00C42585" w:rsidP="00C42585">
      <w:pPr>
        <w:pStyle w:val="Point1"/>
        <w:rPr>
          <w:noProof/>
        </w:rPr>
      </w:pPr>
      <w:r>
        <w:rPr>
          <w:noProof/>
        </w:rPr>
        <w:t>(b)</w:t>
      </w:r>
      <w:r>
        <w:rPr>
          <w:noProof/>
        </w:rPr>
        <w:tab/>
      </w:r>
      <w:r w:rsidRPr="00EB2E0A">
        <w:rPr>
          <w:noProof/>
        </w:rPr>
        <w:t>vismaz trīs C-SNI;</w:t>
      </w:r>
    </w:p>
    <w:p w14:paraId="7D1B1155" w14:textId="77777777" w:rsidR="00C42585" w:rsidRPr="00EB2E0A" w:rsidRDefault="00C42585" w:rsidP="00C42585">
      <w:pPr>
        <w:pStyle w:val="Point1"/>
        <w:rPr>
          <w:noProof/>
        </w:rPr>
      </w:pPr>
      <w:r>
        <w:rPr>
          <w:noProof/>
        </w:rPr>
        <w:t>(c)</w:t>
      </w:r>
      <w:r>
        <w:rPr>
          <w:noProof/>
        </w:rPr>
        <w:tab/>
      </w:r>
      <w:r w:rsidRPr="00EB2E0A">
        <w:rPr>
          <w:noProof/>
        </w:rPr>
        <w:t>vismaz viena C-SNI ar C-SNI vērtējumu virs 3000, kas aprēķināts saskaņā ar Direktīvas 2013/36/ES</w:t>
      </w:r>
      <w:r w:rsidRPr="00EB2E0A">
        <w:rPr>
          <w:rStyle w:val="FootnoteReference"/>
          <w:noProof/>
        </w:rPr>
        <w:footnoteReference w:id="5"/>
      </w:r>
      <w:r w:rsidRPr="00EB2E0A">
        <w:rPr>
          <w:noProof/>
        </w:rPr>
        <w:t xml:space="preserve"> 131. panta 3. punktu.</w:t>
      </w:r>
    </w:p>
    <w:p w14:paraId="1274F686" w14:textId="22420902" w:rsidR="00C42585" w:rsidRPr="00EB2E0A" w:rsidRDefault="00C42585" w:rsidP="00C42585">
      <w:pPr>
        <w:pStyle w:val="ManualNumPar1"/>
        <w:rPr>
          <w:noProof/>
        </w:rPr>
      </w:pPr>
      <w:r>
        <w:rPr>
          <w:noProof/>
        </w:rPr>
        <w:t>3.</w:t>
      </w:r>
      <w:r>
        <w:rPr>
          <w:noProof/>
        </w:rPr>
        <w:tab/>
      </w:r>
      <w:r w:rsidRPr="00EB2E0A">
        <w:rPr>
          <w:noProof/>
        </w:rPr>
        <w:t>Uzskata, ka trešā persona, kas sniedz IKT pakalpojumus, ir izpildījusi 1. punkta b)</w:t>
      </w:r>
      <w:r w:rsidR="004F638D">
        <w:rPr>
          <w:noProof/>
        </w:rPr>
        <w:t> </w:t>
      </w:r>
      <w:r w:rsidRPr="00EB2E0A">
        <w:rPr>
          <w:noProof/>
        </w:rPr>
        <w:t>apakšpunktā noteikto apakškritēriju, ja tās sniegtos IKT pakalpojumus izmanto vismaz:</w:t>
      </w:r>
    </w:p>
    <w:p w14:paraId="2C2223E9" w14:textId="77777777" w:rsidR="00C42585" w:rsidRPr="00EB2E0A" w:rsidRDefault="00C42585" w:rsidP="00C42585">
      <w:pPr>
        <w:pStyle w:val="Point1"/>
        <w:rPr>
          <w:noProof/>
        </w:rPr>
      </w:pPr>
      <w:r>
        <w:rPr>
          <w:noProof/>
        </w:rPr>
        <w:t>(a)</w:t>
      </w:r>
      <w:r>
        <w:rPr>
          <w:noProof/>
        </w:rPr>
        <w:tab/>
      </w:r>
      <w:r w:rsidRPr="00EB2E0A">
        <w:rPr>
          <w:noProof/>
        </w:rPr>
        <w:t>viena finanšu vienība, kas ir Regulas (ES) 2022/2254 2. panta 1. punkta g), h), i) vai j) apakšpunktā minēta finanšu vienība un ko kompetentās iestādes ir identificējušas kā “sistēmisku”;</w:t>
      </w:r>
    </w:p>
    <w:p w14:paraId="34C86215" w14:textId="77777777" w:rsidR="00C42585" w:rsidRPr="00EB2E0A" w:rsidRDefault="00C42585" w:rsidP="00C42585">
      <w:pPr>
        <w:pStyle w:val="Point1"/>
        <w:rPr>
          <w:noProof/>
        </w:rPr>
      </w:pPr>
      <w:r>
        <w:rPr>
          <w:noProof/>
        </w:rPr>
        <w:t>(b)</w:t>
      </w:r>
      <w:r>
        <w:rPr>
          <w:noProof/>
        </w:rPr>
        <w:tab/>
      </w:r>
      <w:r w:rsidRPr="00EB2E0A">
        <w:rPr>
          <w:noProof/>
        </w:rPr>
        <w:t>vismaz trīs finanšu vienības, kas nav kredītiestādes un kas nav Regulas (ES) 2022/2254 2. panta 1. punkta g), h), i) vai j) apakšpunktā minētās finanšu vienības, un ko kompetentās iestādes ir identificējušas kā “sistēmiskas”.</w:t>
      </w:r>
    </w:p>
    <w:p w14:paraId="0667A190" w14:textId="3AAD692B" w:rsidR="00C42585" w:rsidRPr="00EB2E0A" w:rsidRDefault="00C42585" w:rsidP="00C42585">
      <w:pPr>
        <w:pStyle w:val="ManualNumPar1"/>
        <w:rPr>
          <w:noProof/>
        </w:rPr>
      </w:pPr>
      <w:r>
        <w:rPr>
          <w:noProof/>
        </w:rPr>
        <w:t>4.</w:t>
      </w:r>
      <w:r>
        <w:rPr>
          <w:noProof/>
        </w:rPr>
        <w:tab/>
      </w:r>
      <w:r w:rsidRPr="00EB2E0A">
        <w:rPr>
          <w:noProof/>
        </w:rPr>
        <w:t>Apsverot Regulas (ES) 2022/255431. panta 2. punkta a) apakšpunktā noteikto kritēriju un ja trešā persona, kas sniedz IKT pakalpojumus, izpilda šā panta 1.</w:t>
      </w:r>
      <w:r w:rsidR="004F638D">
        <w:rPr>
          <w:noProof/>
        </w:rPr>
        <w:t> </w:t>
      </w:r>
      <w:r w:rsidRPr="00EB2E0A">
        <w:rPr>
          <w:noProof/>
        </w:rPr>
        <w:t>punktā minētos “1. posma” apakškritērijus, EUI veic novērtējumu, ņemot vērā šādu “2. posma” apakškritēriju:</w:t>
      </w:r>
    </w:p>
    <w:p w14:paraId="50ADD44C" w14:textId="77777777" w:rsidR="00C42585" w:rsidRPr="00EB2E0A" w:rsidRDefault="00C42585" w:rsidP="00C42585">
      <w:pPr>
        <w:pStyle w:val="Tiret1"/>
        <w:numPr>
          <w:ilvl w:val="0"/>
          <w:numId w:val="24"/>
        </w:numPr>
        <w:rPr>
          <w:noProof/>
        </w:rPr>
      </w:pPr>
      <w:r w:rsidRPr="00EB2E0A">
        <w:rPr>
          <w:noProof/>
        </w:rPr>
        <w:t>2.3. apakškritērijs – G-SNI vai C-SNI un citas finanšu vienības, kas iekļautas novērtējumā šā panta 1. punktā minētajā “1. posma” apakškritērijā, tostarp, ja minētās G-SNI vai C-SNI sniedz finanšu infrastruktūras pakalpojumus citām finanšu vienībām, paļaujoties uz IKT pakalpojumu, ko sniedz tā pati trešā persona, kas sniedz IKT pakalpojumus, ir savstarpēji atkarīgas.</w:t>
      </w:r>
    </w:p>
    <w:p w14:paraId="37B65049" w14:textId="77777777" w:rsidR="00C42585" w:rsidRPr="00EB2E0A" w:rsidRDefault="00C42585" w:rsidP="00C42585">
      <w:pPr>
        <w:pStyle w:val="Titrearticle"/>
        <w:rPr>
          <w:noProof/>
        </w:rPr>
      </w:pPr>
      <w:r w:rsidRPr="00EB2E0A">
        <w:rPr>
          <w:noProof/>
        </w:rPr>
        <w:t>4. pants</w:t>
      </w:r>
      <w:r w:rsidRPr="00EB2E0A">
        <w:rPr>
          <w:noProof/>
        </w:rPr>
        <w:br/>
      </w:r>
      <w:bookmarkStart w:id="8" w:name="_Hlk150161052"/>
      <w:r w:rsidRPr="00EB2E0A">
        <w:rPr>
          <w:noProof/>
        </w:rPr>
        <w:t>Funkciju kritisks svarīgums vai svarīgums</w:t>
      </w:r>
      <w:bookmarkEnd w:id="8"/>
    </w:p>
    <w:p w14:paraId="6832D0D7" w14:textId="77777777" w:rsidR="00C42585" w:rsidRPr="00EB2E0A" w:rsidRDefault="00C42585" w:rsidP="00C42585">
      <w:pPr>
        <w:pStyle w:val="ManualNumPar1"/>
        <w:rPr>
          <w:noProof/>
        </w:rPr>
      </w:pPr>
      <w:r>
        <w:rPr>
          <w:noProof/>
        </w:rPr>
        <w:t>1.</w:t>
      </w:r>
      <w:r>
        <w:rPr>
          <w:noProof/>
        </w:rPr>
        <w:tab/>
      </w:r>
      <w:r w:rsidRPr="00EB2E0A">
        <w:rPr>
          <w:noProof/>
        </w:rPr>
        <w:t>Apsverot Regulas (ES) 2022/2554 31. panta 2. punkta c) apakšpunktā noteikto kritēriju, EUI veic novērtējumu, ņemot vērā šo “2. posma” apakškritēriju:</w:t>
      </w:r>
    </w:p>
    <w:p w14:paraId="0082BD86" w14:textId="77777777" w:rsidR="00C42585" w:rsidRPr="00EB2E0A" w:rsidRDefault="00C42585" w:rsidP="00C42585">
      <w:pPr>
        <w:pStyle w:val="Tiret1"/>
        <w:numPr>
          <w:ilvl w:val="0"/>
          <w:numId w:val="22"/>
        </w:numPr>
        <w:rPr>
          <w:noProof/>
        </w:rPr>
      </w:pPr>
      <w:r w:rsidRPr="00EB2E0A">
        <w:rPr>
          <w:noProof/>
        </w:rPr>
        <w:t xml:space="preserve">3.1. apakškritērijs – IKT pakalpojums, kuru galu galā sniedz viena un tā pati trešā persona, kas sniedz IKT pakalpojumus, un kurš atbalsta finanšu vienību kritiski svarīgas vai svarīgas funkcijas, ir kritiski svarīgs finanšu vienību darbībām. </w:t>
      </w:r>
    </w:p>
    <w:p w14:paraId="32AD62FF" w14:textId="77777777" w:rsidR="00C42585" w:rsidRPr="00EB2E0A" w:rsidRDefault="00C42585" w:rsidP="00C42585">
      <w:pPr>
        <w:pStyle w:val="Titrearticle"/>
        <w:rPr>
          <w:noProof/>
        </w:rPr>
      </w:pPr>
      <w:r w:rsidRPr="00EB2E0A">
        <w:rPr>
          <w:noProof/>
        </w:rPr>
        <w:t>5. pants</w:t>
      </w:r>
      <w:r w:rsidRPr="00EB2E0A">
        <w:rPr>
          <w:noProof/>
        </w:rPr>
        <w:br/>
        <w:t>Aizstājamības pakāpe</w:t>
      </w:r>
    </w:p>
    <w:p w14:paraId="40BB95A6" w14:textId="77777777" w:rsidR="00C42585" w:rsidRPr="00EB2E0A" w:rsidRDefault="00C42585" w:rsidP="00C42585">
      <w:pPr>
        <w:pStyle w:val="ManualNumPar1"/>
        <w:rPr>
          <w:noProof/>
        </w:rPr>
      </w:pPr>
      <w:r>
        <w:rPr>
          <w:noProof/>
        </w:rPr>
        <w:t>1.</w:t>
      </w:r>
      <w:r>
        <w:rPr>
          <w:noProof/>
        </w:rPr>
        <w:tab/>
      </w:r>
      <w:r w:rsidRPr="00EB2E0A">
        <w:rPr>
          <w:noProof/>
        </w:rPr>
        <w:t>Apsverot Regulas (ES) 2022/2554 31. panta 2. punkta d) apakšpunktā noteikto kritēriju, EUI novērtē, vai trešā persona, kas sniedz IKT pakalpojumus, atbilst šādiem “1. posma” apakškritērijiem:</w:t>
      </w:r>
    </w:p>
    <w:p w14:paraId="7768CB71" w14:textId="77777777" w:rsidR="00C42585" w:rsidRPr="00EB2E0A" w:rsidRDefault="00C42585" w:rsidP="00C42585">
      <w:pPr>
        <w:pStyle w:val="Point1"/>
        <w:rPr>
          <w:noProof/>
        </w:rPr>
      </w:pPr>
      <w:r>
        <w:rPr>
          <w:noProof/>
        </w:rPr>
        <w:t>(a)</w:t>
      </w:r>
      <w:r>
        <w:rPr>
          <w:noProof/>
        </w:rPr>
        <w:tab/>
      </w:r>
      <w:r w:rsidRPr="00EB2E0A">
        <w:rPr>
          <w:noProof/>
        </w:rPr>
        <w:t>4.1. apakškritērijs – to finanšu vienību kopskaita īpatsvars sadalījumā pa Regulas (ES) 2022/2554 2. panta 1. punktā noteiktajām finanšu vienību kategorijām, kurām nav pieejama alternatīva trešā persona, kas sniedz IKT pakalpojumus un kam būtu vajadzīgā spēja sniegt tos pašus IKT pakalpojumus, kuri atbalsta finanšu vienību kritiski svarīgas vai svarīgas funkcijas tāpat kā pakalpojums, ko sniedz attiecīgā trešā persona, kas sniedz IKT pakalpojumus;</w:t>
      </w:r>
    </w:p>
    <w:p w14:paraId="0A51B72C" w14:textId="77777777" w:rsidR="00C42585" w:rsidRPr="00EB2E0A" w:rsidRDefault="00C42585" w:rsidP="00C42585">
      <w:pPr>
        <w:pStyle w:val="Point1"/>
        <w:rPr>
          <w:noProof/>
        </w:rPr>
      </w:pPr>
      <w:r>
        <w:rPr>
          <w:noProof/>
        </w:rPr>
        <w:t>(b)</w:t>
      </w:r>
      <w:r>
        <w:rPr>
          <w:noProof/>
        </w:rPr>
        <w:tab/>
      </w:r>
      <w:r w:rsidRPr="00EB2E0A">
        <w:rPr>
          <w:noProof/>
        </w:rPr>
        <w:t>4.2. apakškritērijs – to finanšu vienību kopskaita īpatsvars sadalījumā pa Regulas (ES) 2022/2554 2. panta 1. punktā noteiktajām finanšu vienību kategorijām, kam IKT pakalpojumu, ko sniedz attiecīgā trešā persona, kas sniedz IKT pakalpojumus un kas atbalsta finanšu vienību kritiski svarīgas vai svarīgas funkcijas, ir ļoti grūti migrēt uz citu trešo personu, kas sniedz IKT pakalpojumus.</w:t>
      </w:r>
    </w:p>
    <w:p w14:paraId="7BECD60B" w14:textId="77777777" w:rsidR="00C42585" w:rsidRPr="00EB2E0A" w:rsidRDefault="00C42585" w:rsidP="00C42585">
      <w:pPr>
        <w:pStyle w:val="ManualNumPar1"/>
        <w:rPr>
          <w:noProof/>
        </w:rPr>
      </w:pPr>
      <w:r>
        <w:rPr>
          <w:noProof/>
        </w:rPr>
        <w:t>2.</w:t>
      </w:r>
      <w:r>
        <w:rPr>
          <w:noProof/>
        </w:rPr>
        <w:tab/>
      </w:r>
      <w:r w:rsidRPr="00EB2E0A">
        <w:rPr>
          <w:noProof/>
        </w:rPr>
        <w:t xml:space="preserve">Šā panta 1. punkta a) apakšpunktā noteikto 4.1. apakškritēriju aprēķina šādi: </w:t>
      </w:r>
    </w:p>
    <w:p w14:paraId="47DC53A4" w14:textId="33C1F43A" w:rsidR="00C42585" w:rsidRPr="00EB2E0A" w:rsidRDefault="00CF6663" w:rsidP="00C42585">
      <w:pPr>
        <w:rPr>
          <w:rFonts w:eastAsia="Calibri"/>
          <w:noProof/>
          <w:szCs w:val="24"/>
        </w:rPr>
      </w:pPr>
      <m:oMathPara>
        <m:oMath>
          <m:f>
            <m:fPr>
              <m:ctrlPr>
                <w:rPr>
                  <w:rFonts w:ascii="Cambria Math" w:eastAsia="Calibri" w:hAnsi="Cambria Math"/>
                  <w:i/>
                  <w:noProof/>
                  <w:szCs w:val="24"/>
                </w:rPr>
              </m:ctrlPr>
            </m:fPr>
            <m:num>
              <m:eqArr>
                <m:eqArrPr>
                  <m:ctrlPr>
                    <w:rPr>
                      <w:rFonts w:ascii="Cambria Math" w:hAnsi="Cambria Math"/>
                      <w:noProof/>
                    </w:rPr>
                  </m:ctrlPr>
                </m:eqArrPr>
                <m:e>
                  <m:r>
                    <m:rPr>
                      <m:sty m:val="p"/>
                    </m:rPr>
                    <w:rPr>
                      <w:rFonts w:ascii="Cambria Math" w:hAnsi="Cambria Math"/>
                      <w:noProof/>
                    </w:rPr>
                    <m:t>t</m:t>
                  </m:r>
                  <m:r>
                    <m:rPr>
                      <m:sty m:val="p"/>
                    </m:rPr>
                    <w:rPr>
                      <w:rFonts w:ascii="Cambria Math" w:eastAsiaTheme="minorEastAsia" w:hAnsi="Cambria Math"/>
                      <w:noProof/>
                    </w:rPr>
                    <m:t>o konkrētas kategorijas finanšu vienību skaits, kā  noteikts</m:t>
                  </m:r>
                </m:e>
                <m:e>
                  <m:r>
                    <m:rPr>
                      <m:sty m:val="p"/>
                    </m:rPr>
                    <w:rPr>
                      <w:rFonts w:ascii="Cambria Math" w:hAnsi="Cambria Math"/>
                      <w:noProof/>
                    </w:rPr>
                    <m:t xml:space="preserve"> Regulas </m:t>
                  </m:r>
                  <m:d>
                    <m:dPr>
                      <m:ctrlPr>
                        <w:rPr>
                          <w:rFonts w:ascii="Cambria Math" w:hAnsi="Cambria Math"/>
                          <w:noProof/>
                        </w:rPr>
                      </m:ctrlPr>
                    </m:dPr>
                    <m:e>
                      <m:r>
                        <m:rPr>
                          <m:sty m:val="p"/>
                        </m:rPr>
                        <w:rPr>
                          <w:rFonts w:ascii="Cambria Math" w:hAnsi="Cambria Math"/>
                          <w:noProof/>
                        </w:rPr>
                        <m:t>ES</m:t>
                      </m:r>
                    </m:e>
                  </m:d>
                  <m:r>
                    <w:rPr>
                      <w:rFonts w:ascii="Cambria Math" w:hAnsi="Cambria Math"/>
                      <w:noProof/>
                    </w:rPr>
                    <m:t xml:space="preserve"> 2022/2554 2. </m:t>
                  </m:r>
                  <m:r>
                    <m:rPr>
                      <m:sty m:val="p"/>
                    </m:rPr>
                    <w:rPr>
                      <w:rFonts w:ascii="Cambria Math" w:hAnsi="Cambria Math"/>
                      <w:noProof/>
                    </w:rPr>
                    <m:t>panta 1. punktā,</m:t>
                  </m:r>
                  <m:ctrlPr>
                    <w:rPr>
                      <w:rFonts w:ascii="Cambria Math" w:eastAsia="Cambria Math" w:hAnsi="Cambria Math" w:cs="Cambria Math"/>
                      <w:noProof/>
                    </w:rPr>
                  </m:ctrlPr>
                </m:e>
                <m:e>
                  <m:r>
                    <m:rPr>
                      <m:sty m:val="p"/>
                    </m:rPr>
                    <w:rPr>
                      <w:rFonts w:ascii="Cambria Math" w:hAnsi="Cambria Math"/>
                      <w:noProof/>
                    </w:rPr>
                    <m:t xml:space="preserve"> </m:t>
                  </m:r>
                  <m:r>
                    <m:rPr>
                      <m:sty m:val="p"/>
                    </m:rPr>
                    <w:rPr>
                      <w:rFonts w:ascii="Cambria Math" w:eastAsiaTheme="minorEastAsia" w:hAnsi="Cambria Math"/>
                      <w:noProof/>
                    </w:rPr>
                    <m:t xml:space="preserve">kurām nav pieejama alternatīva trešā persona, kas sniedz IKT pakalpojumus </m:t>
                  </m:r>
                  <m:ctrlPr>
                    <w:rPr>
                      <w:rFonts w:ascii="Cambria Math" w:eastAsia="Cambria Math" w:hAnsi="Cambria Math" w:cs="Cambria Math"/>
                      <w:noProof/>
                    </w:rPr>
                  </m:ctrlPr>
                </m:e>
                <m:e>
                  <m:r>
                    <m:rPr>
                      <m:sty m:val="p"/>
                    </m:rPr>
                    <w:rPr>
                      <w:rFonts w:ascii="Cambria Math" w:eastAsiaTheme="minorEastAsia" w:hAnsi="Cambria Math"/>
                      <w:noProof/>
                    </w:rPr>
                    <m:t>un kam būtu vajadzīgā spēja sniegt tos pašus IKT pakalpojumus,</m:t>
                  </m:r>
                  <m:ctrlPr>
                    <w:rPr>
                      <w:rFonts w:ascii="Cambria Math" w:eastAsia="Cambria Math" w:hAnsi="Cambria Math" w:cs="Cambria Math"/>
                      <w:noProof/>
                    </w:rPr>
                  </m:ctrlPr>
                </m:e>
                <m:e>
                  <m:r>
                    <m:rPr>
                      <m:sty m:val="p"/>
                    </m:rPr>
                    <w:rPr>
                      <w:rFonts w:ascii="Cambria Math" w:hAnsi="Cambria Math"/>
                      <w:noProof/>
                    </w:rPr>
                    <m:t xml:space="preserve"> </m:t>
                  </m:r>
                  <m:r>
                    <m:rPr>
                      <m:sty m:val="p"/>
                    </m:rPr>
                    <w:rPr>
                      <w:rFonts w:ascii="Cambria Math" w:eastAsiaTheme="minorEastAsia" w:hAnsi="Cambria Math"/>
                      <w:noProof/>
                    </w:rPr>
                    <m:t>kuri atbalsta finanšu vienību kritiski svarīgas vai svarīgas funkcijas</m:t>
                  </m:r>
                  <m:r>
                    <m:rPr>
                      <m:sty m:val="p"/>
                    </m:rPr>
                    <w:rPr>
                      <w:rFonts w:ascii="Cambria Math" w:hAnsi="Cambria Math"/>
                      <w:noProof/>
                    </w:rPr>
                    <m:t xml:space="preserve"> </m:t>
                  </m:r>
                  <m:ctrlPr>
                    <w:rPr>
                      <w:rFonts w:ascii="Cambria Math" w:eastAsia="Cambria Math" w:hAnsi="Cambria Math" w:cs="Cambria Math"/>
                      <w:noProof/>
                    </w:rPr>
                  </m:ctrlPr>
                </m:e>
                <m:e>
                  <m:r>
                    <m:rPr>
                      <m:sty m:val="p"/>
                    </m:rPr>
                    <w:rPr>
                      <w:rFonts w:ascii="Cambria Math" w:eastAsiaTheme="minorEastAsia" w:hAnsi="Cambria Math"/>
                      <w:noProof/>
                    </w:rPr>
                    <m:t>tāpat kā pakalpojums, ko sniedz attiecīgā trešā persona, kas sniedz IKT pakalpojumus</m:t>
                  </m:r>
                </m:e>
              </m:eqArr>
            </m:num>
            <m:den>
              <m:eqArr>
                <m:eqArrPr>
                  <m:ctrlPr>
                    <w:rPr>
                      <w:rFonts w:ascii="Cambria Math" w:hAnsi="Cambria Math"/>
                      <w:noProof/>
                    </w:rPr>
                  </m:ctrlPr>
                </m:eqArrPr>
                <m:e>
                  <m:r>
                    <m:rPr>
                      <m:sty m:val="p"/>
                    </m:rPr>
                    <w:rPr>
                      <w:rFonts w:ascii="Cambria Math" w:hAnsi="Cambria Math"/>
                      <w:noProof/>
                    </w:rPr>
                    <m:t xml:space="preserve">konkrētās kategorijas finanšu vienību </m:t>
                  </m:r>
                  <m:r>
                    <m:rPr>
                      <m:sty m:val="p"/>
                    </m:rPr>
                    <w:rPr>
                      <w:rFonts w:ascii="Cambria Math" w:hAnsi="Cambria Math"/>
                      <w:noProof/>
                    </w:rPr>
                    <m:t xml:space="preserve">kopskaits, </m:t>
                  </m:r>
                </m:e>
                <m:e>
                  <m:r>
                    <m:rPr>
                      <m:sty m:val="p"/>
                    </m:rPr>
                    <w:rPr>
                      <w:rFonts w:ascii="Cambria Math" w:hAnsi="Cambria Math"/>
                      <w:noProof/>
                    </w:rPr>
                    <m:t xml:space="preserve">kā noteikts Regulas 2022/2554 2. panta 1. punktā  </m:t>
                  </m:r>
                </m:e>
              </m:eqArr>
            </m:den>
          </m:f>
        </m:oMath>
      </m:oMathPara>
    </w:p>
    <w:p w14:paraId="6A8186EE" w14:textId="77777777" w:rsidR="00C42585" w:rsidRPr="00EB2E0A" w:rsidRDefault="00C42585" w:rsidP="00C42585">
      <w:pPr>
        <w:pStyle w:val="ManualNumPar1"/>
        <w:rPr>
          <w:noProof/>
        </w:rPr>
      </w:pPr>
      <w:r>
        <w:rPr>
          <w:noProof/>
        </w:rPr>
        <w:t>3.</w:t>
      </w:r>
      <w:r>
        <w:rPr>
          <w:noProof/>
        </w:rPr>
        <w:tab/>
      </w:r>
      <w:r w:rsidRPr="00EB2E0A">
        <w:rPr>
          <w:noProof/>
        </w:rPr>
        <w:t>Šā panta 1. punkta b) apakšpunktā minēto apakškritēriju aprēķina šādi:</w:t>
      </w:r>
    </w:p>
    <w:p w14:paraId="062235D3" w14:textId="789628B3" w:rsidR="00C42585" w:rsidRPr="00EB2E0A" w:rsidRDefault="00CF6663" w:rsidP="00F04385">
      <w:pPr>
        <w:rPr>
          <w:rFonts w:ascii="Cambria Math" w:hAnsi="Cambria Math"/>
          <w:noProof/>
        </w:rPr>
      </w:pPr>
      <m:oMathPara>
        <m:oMath>
          <m:f>
            <m:fPr>
              <m:ctrlPr>
                <w:rPr>
                  <w:rFonts w:ascii="Cambria Math" w:hAnsi="Cambria Math"/>
                  <w:noProof/>
                </w:rPr>
              </m:ctrlPr>
            </m:fPr>
            <m:num>
              <m:eqArr>
                <m:eqArrPr>
                  <m:ctrlPr>
                    <w:rPr>
                      <w:rFonts w:ascii="Cambria Math" w:hAnsi="Cambria Math"/>
                      <w:noProof/>
                    </w:rPr>
                  </m:ctrlPr>
                </m:eqArrPr>
                <m:e>
                  <m:r>
                    <m:rPr>
                      <m:sty m:val="p"/>
                    </m:rPr>
                    <w:rPr>
                      <w:rFonts w:ascii="Cambria Math" w:hAnsi="Cambria Math"/>
                      <w:noProof/>
                    </w:rPr>
                    <m:t>to konkrētas kategorijas finanšu vienību skaits, kā noteikts</m:t>
                  </m:r>
                </m:e>
                <m:e>
                  <m:r>
                    <m:rPr>
                      <m:sty m:val="p"/>
                    </m:rPr>
                    <w:rPr>
                      <w:rFonts w:ascii="Cambria Math" w:hAnsi="Cambria Math"/>
                      <w:noProof/>
                    </w:rPr>
                    <m:t xml:space="preserve">Regulas </m:t>
                  </m:r>
                  <m:d>
                    <m:dPr>
                      <m:ctrlPr>
                        <w:rPr>
                          <w:rFonts w:ascii="Cambria Math" w:hAnsi="Cambria Math"/>
                          <w:noProof/>
                        </w:rPr>
                      </m:ctrlPr>
                    </m:dPr>
                    <m:e>
                      <m:r>
                        <m:rPr>
                          <m:sty m:val="p"/>
                        </m:rPr>
                        <w:rPr>
                          <w:rFonts w:ascii="Cambria Math" w:hAnsi="Cambria Math"/>
                          <w:noProof/>
                        </w:rPr>
                        <m:t>ES</m:t>
                      </m:r>
                    </m:e>
                  </m:d>
                  <m:r>
                    <m:rPr>
                      <m:sty m:val="p"/>
                    </m:rPr>
                    <w:rPr>
                      <w:rFonts w:ascii="Cambria Math" w:hAnsi="Cambria Math"/>
                      <w:noProof/>
                    </w:rPr>
                    <m:t xml:space="preserve"> 2022/2554 2. panta 1. punktā,</m:t>
                  </m:r>
                  <m:ctrlPr>
                    <w:rPr>
                      <w:rFonts w:ascii="Cambria Math" w:eastAsia="Cambria Math" w:hAnsi="Cambria Math" w:cs="Cambria Math"/>
                      <w:noProof/>
                    </w:rPr>
                  </m:ctrlPr>
                </m:e>
                <m:e>
                  <m:r>
                    <m:rPr>
                      <m:sty m:val="p"/>
                    </m:rPr>
                    <w:rPr>
                      <w:rFonts w:ascii="Cambria Math" w:hAnsi="Cambria Math"/>
                      <w:noProof/>
                    </w:rPr>
                    <m:t xml:space="preserve"> kam</m:t>
                  </m:r>
                  <m:r>
                    <m:rPr>
                      <m:sty m:val="p"/>
                    </m:rPr>
                    <w:rPr>
                      <w:rFonts w:ascii="Cambria Math" w:eastAsiaTheme="minorEastAsia" w:hAnsi="Cambria Math"/>
                      <w:noProof/>
                    </w:rPr>
                    <m:t xml:space="preserve"> IKT pakalpojumu</m:t>
                  </m:r>
                  <m:r>
                    <m:rPr>
                      <m:sty m:val="p"/>
                    </m:rPr>
                    <w:rPr>
                      <w:rFonts w:ascii="Cambria Math" w:eastAsiaTheme="minorEastAsia" w:hAnsi="Cambria Math"/>
                      <w:noProof/>
                    </w:rPr>
                    <m:t>, ko sniedz trešā persona, kas sniedz IKT pakalpojumus un</m:t>
                  </m:r>
                  <m:ctrlPr>
                    <w:rPr>
                      <w:rFonts w:ascii="Cambria Math" w:eastAsia="Cambria Math" w:hAnsi="Cambria Math" w:cs="Cambria Math"/>
                      <w:noProof/>
                    </w:rPr>
                  </m:ctrlPr>
                </m:e>
                <m:e>
                  <m:r>
                    <m:rPr>
                      <m:sty m:val="p"/>
                    </m:rPr>
                    <w:rPr>
                      <w:rFonts w:ascii="Cambria Math" w:hAnsi="Cambria Math"/>
                      <w:noProof/>
                    </w:rPr>
                    <m:t xml:space="preserve"> </m:t>
                  </m:r>
                  <m:r>
                    <m:rPr>
                      <m:sty m:val="p"/>
                    </m:rPr>
                    <w:rPr>
                      <w:rFonts w:ascii="Cambria Math" w:eastAsiaTheme="minorEastAsia" w:hAnsi="Cambria Math"/>
                      <w:noProof/>
                    </w:rPr>
                    <m:t xml:space="preserve">kas atbalsta kritiski svarīgas vai svarīgas funkcijas, ir ļoti grūti migrēt uz </m:t>
                  </m:r>
                  <m:ctrlPr>
                    <w:rPr>
                      <w:rFonts w:ascii="Cambria Math" w:eastAsia="Cambria Math" w:hAnsi="Cambria Math" w:cs="Cambria Math"/>
                      <w:noProof/>
                    </w:rPr>
                  </m:ctrlPr>
                </m:e>
                <m:e>
                  <m:r>
                    <m:rPr>
                      <m:sty m:val="p"/>
                    </m:rPr>
                    <w:rPr>
                      <w:rFonts w:ascii="Cambria Math" w:eastAsiaTheme="minorEastAsia" w:hAnsi="Cambria Math"/>
                      <w:noProof/>
                    </w:rPr>
                    <m:t>vai reintegrēt ar citu trešo personu, kas sniedz IKT pakalpojumus</m:t>
                  </m:r>
                </m:e>
              </m:eqArr>
            </m:num>
            <m:den>
              <m:eqArr>
                <m:eqArrPr>
                  <m:ctrlPr>
                    <w:rPr>
                      <w:rFonts w:ascii="Cambria Math" w:hAnsi="Cambria Math"/>
                      <w:noProof/>
                    </w:rPr>
                  </m:ctrlPr>
                </m:eqArrPr>
                <m:e>
                  <m:r>
                    <m:rPr>
                      <m:sty m:val="p"/>
                    </m:rPr>
                    <w:rPr>
                      <w:rFonts w:ascii="Cambria Math" w:hAnsi="Cambria Math"/>
                      <w:noProof/>
                    </w:rPr>
                    <m:t xml:space="preserve">konkrētās kategorijas ES finanšu vienību kopskaits, </m:t>
                  </m:r>
                </m:e>
                <m:e>
                  <m:r>
                    <m:rPr>
                      <m:sty m:val="p"/>
                    </m:rPr>
                    <w:rPr>
                      <w:rFonts w:ascii="Cambria Math" w:hAnsi="Cambria Math"/>
                      <w:noProof/>
                    </w:rPr>
                    <m:t>kā</m:t>
                  </m:r>
                  <m:r>
                    <m:rPr>
                      <m:sty m:val="p"/>
                    </m:rPr>
                    <w:rPr>
                      <w:rFonts w:ascii="Cambria Math" w:hAnsi="Cambria Math"/>
                      <w:noProof/>
                    </w:rPr>
                    <m:t xml:space="preserve"> noteikts Regulas (ES) 2022/2554 2. panta 1. punktā</m:t>
                  </m:r>
                </m:e>
              </m:eqArr>
            </m:den>
          </m:f>
        </m:oMath>
      </m:oMathPara>
    </w:p>
    <w:p w14:paraId="69779F90" w14:textId="44580C14" w:rsidR="00C42585" w:rsidRPr="00EB2E0A" w:rsidRDefault="00EF3141" w:rsidP="00C42585">
      <w:pPr>
        <w:pStyle w:val="ManualNumPar1"/>
        <w:rPr>
          <w:noProof/>
        </w:rPr>
      </w:pPr>
      <w:r>
        <w:rPr>
          <w:noProof/>
        </w:rPr>
        <w:t>4.</w:t>
      </w:r>
      <w:r>
        <w:rPr>
          <w:noProof/>
        </w:rPr>
        <w:tab/>
      </w:r>
      <w:bookmarkStart w:id="9" w:name="_Hlk147152497"/>
      <w:r>
        <w:rPr>
          <w:noProof/>
        </w:rPr>
        <w:t>U</w:t>
      </w:r>
      <w:r w:rsidR="00C42585" w:rsidRPr="00EB2E0A">
        <w:rPr>
          <w:noProof/>
        </w:rPr>
        <w:t>zskata, ka trešā persona, kas sniedz IKT pakalpojumus, ir izpildījusi gan 4.1., gan 4.2. apakškritēriju, ja ir izpildīts kāds no turpmāk minētajiem kritērijiem:</w:t>
      </w:r>
    </w:p>
    <w:p w14:paraId="2D315532" w14:textId="77777777" w:rsidR="00C42585" w:rsidRPr="00EB2E0A" w:rsidRDefault="00C42585" w:rsidP="00C42585">
      <w:pPr>
        <w:pStyle w:val="Point1"/>
        <w:rPr>
          <w:noProof/>
        </w:rPr>
      </w:pPr>
      <w:r>
        <w:rPr>
          <w:noProof/>
        </w:rPr>
        <w:t>(a)</w:t>
      </w:r>
      <w:r>
        <w:rPr>
          <w:noProof/>
        </w:rPr>
        <w:tab/>
      </w:r>
      <w:r w:rsidRPr="00EB2E0A">
        <w:rPr>
          <w:noProof/>
        </w:rPr>
        <w:t>šā panta 1. punkta a) apakšpunktā minēto finanšu vienību kopskaita īpatsvars ir</w:t>
      </w:r>
      <w:bookmarkEnd w:id="9"/>
      <w:r w:rsidRPr="00EB2E0A">
        <w:rPr>
          <w:noProof/>
        </w:rPr>
        <w:t xml:space="preserve"> vismaz 10 % no finanšu vienību kopskaita kādā no Regulas (ES) 2022/2554 2. panta 1. punktā noteiktajām finanšu vienību kategorijām;</w:t>
      </w:r>
    </w:p>
    <w:p w14:paraId="589E18A2" w14:textId="77777777" w:rsidR="00C42585" w:rsidRPr="00EB2E0A" w:rsidRDefault="00C42585" w:rsidP="00C42585">
      <w:pPr>
        <w:pStyle w:val="Point1"/>
        <w:rPr>
          <w:noProof/>
        </w:rPr>
      </w:pPr>
      <w:r>
        <w:rPr>
          <w:noProof/>
        </w:rPr>
        <w:t>(b)</w:t>
      </w:r>
      <w:r>
        <w:rPr>
          <w:noProof/>
        </w:rPr>
        <w:tab/>
      </w:r>
      <w:r w:rsidRPr="00EB2E0A">
        <w:rPr>
          <w:noProof/>
        </w:rPr>
        <w:t>šā panta 1. punkta b) apakšpunktā minēto finanšu vienību kopskaita īpatsvars ir vismaz 10 % no Regulas (ES) 2022/2554 2. panta 1. punktā noteikto finanšu vienību vai finanšu vienību kategorijas kopējā skaita.</w:t>
      </w:r>
    </w:p>
    <w:p w14:paraId="4423E4E7" w14:textId="176A4FBE" w:rsidR="00C42585" w:rsidRPr="00EB2E0A" w:rsidRDefault="00C42585" w:rsidP="00C42585">
      <w:pPr>
        <w:pStyle w:val="ManualNumPar1"/>
        <w:rPr>
          <w:noProof/>
        </w:rPr>
      </w:pPr>
      <w:r>
        <w:rPr>
          <w:noProof/>
        </w:rPr>
        <w:t>5.</w:t>
      </w:r>
      <w:r>
        <w:rPr>
          <w:noProof/>
        </w:rPr>
        <w:tab/>
      </w:r>
      <w:r w:rsidRPr="00EB2E0A">
        <w:rPr>
          <w:noProof/>
        </w:rPr>
        <w:t>Apsverot Regulas (ES) 2022/2554 31. panta 2. punkta d) apakšpunktā noteikto kritēriju un ja trešā persona, kas sniedz IKT pakalpojumus, izpilda šā panta 1.</w:t>
      </w:r>
      <w:r w:rsidR="00434255">
        <w:rPr>
          <w:noProof/>
        </w:rPr>
        <w:t> </w:t>
      </w:r>
      <w:r w:rsidRPr="00EB2E0A">
        <w:rPr>
          <w:noProof/>
        </w:rPr>
        <w:t>punktā minētos “1. posma” apakškritērijus, EUI veic novērtējumu, ņemot vērā šādu “2. posma” apakškritēriju, kas precizēts Regulas (ES) 2022/2554 31. panta 2.</w:t>
      </w:r>
      <w:r w:rsidR="00434255">
        <w:rPr>
          <w:noProof/>
        </w:rPr>
        <w:t> </w:t>
      </w:r>
      <w:r w:rsidRPr="00EB2E0A">
        <w:rPr>
          <w:noProof/>
        </w:rPr>
        <w:t>punkta d) apakšpunkta i) punktā.</w:t>
      </w:r>
    </w:p>
    <w:p w14:paraId="30115AE5" w14:textId="77777777" w:rsidR="00C42585" w:rsidRPr="00EB2E0A" w:rsidRDefault="00C42585" w:rsidP="00C42585">
      <w:pPr>
        <w:pStyle w:val="Titrearticle"/>
        <w:rPr>
          <w:noProof/>
        </w:rPr>
      </w:pPr>
      <w:r w:rsidRPr="00EB2E0A">
        <w:rPr>
          <w:noProof/>
        </w:rPr>
        <w:t>6. pants</w:t>
      </w:r>
      <w:r w:rsidRPr="00EB2E0A">
        <w:rPr>
          <w:noProof/>
        </w:rPr>
        <w:br/>
        <w:t>Informācijas avoti kritiska svarīguma novērtēšanai</w:t>
      </w:r>
    </w:p>
    <w:p w14:paraId="24D8C907" w14:textId="77777777" w:rsidR="00C42585" w:rsidRPr="00EB2E0A" w:rsidRDefault="00C42585" w:rsidP="00C42585">
      <w:pPr>
        <w:pStyle w:val="ManualNumPar1"/>
        <w:rPr>
          <w:noProof/>
        </w:rPr>
      </w:pPr>
      <w:r>
        <w:rPr>
          <w:noProof/>
        </w:rPr>
        <w:t>1.</w:t>
      </w:r>
      <w:r>
        <w:rPr>
          <w:noProof/>
        </w:rPr>
        <w:tab/>
      </w:r>
      <w:r w:rsidRPr="00EB2E0A">
        <w:rPr>
          <w:noProof/>
        </w:rPr>
        <w:t xml:space="preserve">Lai novērtētu 2.–5. pantā uzskaitītos apakškritērijus, EUI izmanto Regulas (ES) 2022/2554 28. panta 3. punktā minēto informācijas reģistru sniegtos datus. Lai veiktu kritiska svarīguma novērtējumu, EUI var izmantot arī papildu pieejamos datus, kas ir to rīcībā no visiem informācijas avotiem. </w:t>
      </w:r>
    </w:p>
    <w:p w14:paraId="2BA4D01C" w14:textId="77777777" w:rsidR="00C42585" w:rsidRPr="00EB2E0A" w:rsidRDefault="00C42585" w:rsidP="00C42585">
      <w:pPr>
        <w:pStyle w:val="ManualNumPar1"/>
        <w:rPr>
          <w:noProof/>
        </w:rPr>
      </w:pPr>
      <w:r>
        <w:rPr>
          <w:noProof/>
        </w:rPr>
        <w:t>2.</w:t>
      </w:r>
      <w:r>
        <w:rPr>
          <w:noProof/>
        </w:rPr>
        <w:tab/>
      </w:r>
      <w:r w:rsidRPr="00EB2E0A">
        <w:rPr>
          <w:noProof/>
        </w:rPr>
        <w:t>EUI ņem vērā jaunākos datus, kas tām pieejami novērtēšanas gadā, vai attiecīgā gadījumā datus, kas tām darīti pieejami vēlākais līdz 31. decembrim gadā pirms kritiskuma novērtējuma.</w:t>
      </w:r>
    </w:p>
    <w:p w14:paraId="6CD08F58" w14:textId="77777777" w:rsidR="00C42585" w:rsidRPr="00EB2E0A" w:rsidRDefault="00C42585" w:rsidP="00C42585">
      <w:pPr>
        <w:pStyle w:val="Titrearticle"/>
        <w:rPr>
          <w:noProof/>
        </w:rPr>
      </w:pPr>
      <w:r w:rsidRPr="00EB2E0A">
        <w:rPr>
          <w:noProof/>
        </w:rPr>
        <w:t>7. pants</w:t>
      </w:r>
      <w:r w:rsidRPr="00EB2E0A">
        <w:rPr>
          <w:noProof/>
        </w:rPr>
        <w:br/>
        <w:t>Stāšanās spēkā un piemērošana</w:t>
      </w:r>
    </w:p>
    <w:p w14:paraId="1818269F" w14:textId="77777777" w:rsidR="00C42585" w:rsidRPr="00EB2E0A" w:rsidRDefault="00C42585" w:rsidP="00C42585">
      <w:pPr>
        <w:rPr>
          <w:noProof/>
        </w:rPr>
      </w:pPr>
      <w:r w:rsidRPr="00EB2E0A">
        <w:rPr>
          <w:noProof/>
        </w:rPr>
        <w:t xml:space="preserve">Šī regula stājas spēkā divdesmitajā dienā pēc tās publicēšanas </w:t>
      </w:r>
      <w:r w:rsidRPr="00EB2E0A">
        <w:rPr>
          <w:i/>
          <w:noProof/>
        </w:rPr>
        <w:t>Eiropas Savienības Oficiālajā Vēstnesī</w:t>
      </w:r>
      <w:r w:rsidRPr="00EB2E0A">
        <w:rPr>
          <w:noProof/>
        </w:rPr>
        <w:t>.</w:t>
      </w:r>
    </w:p>
    <w:p w14:paraId="718E5AC8" w14:textId="672E2EBC" w:rsidR="00C42585" w:rsidRPr="00EB2E0A" w:rsidRDefault="00C42585" w:rsidP="00C42585">
      <w:pPr>
        <w:rPr>
          <w:noProof/>
        </w:rPr>
      </w:pPr>
      <w:r w:rsidRPr="00EB2E0A">
        <w:rPr>
          <w:noProof/>
        </w:rPr>
        <w:t>Tomēr galvenais pārraugs piemēro 2. panta 5. punkta b) apakšpunktā minēto 1.4.</w:t>
      </w:r>
      <w:r w:rsidR="00434255">
        <w:rPr>
          <w:noProof/>
        </w:rPr>
        <w:t> </w:t>
      </w:r>
      <w:r w:rsidRPr="00EB2E0A">
        <w:rPr>
          <w:noProof/>
        </w:rPr>
        <w:t>apakškritēriju no (PB: lūgums ievietot datumu — 24 mēneši pēc Digitālās darbības noturības akta stāšanās spēkā).</w:t>
      </w:r>
    </w:p>
    <w:p w14:paraId="7D3D8D42" w14:textId="77777777" w:rsidR="00C42585" w:rsidRPr="00EB2E0A" w:rsidRDefault="00C42585" w:rsidP="00C42585">
      <w:pPr>
        <w:pStyle w:val="Applicationdirecte"/>
        <w:rPr>
          <w:noProof/>
        </w:rPr>
      </w:pPr>
      <w:r w:rsidRPr="00EB2E0A">
        <w:rPr>
          <w:noProof/>
        </w:rPr>
        <w:t>Šī regula uzliek saistības kopumā un ir tieši piemērojama visās dalībvalstīs.</w:t>
      </w:r>
    </w:p>
    <w:p w14:paraId="3D611EAE" w14:textId="1E9B36BA" w:rsidR="00C42585" w:rsidRPr="00EB2E0A" w:rsidRDefault="00EB2E0A" w:rsidP="000A1AAF">
      <w:pPr>
        <w:pStyle w:val="Fait"/>
        <w:rPr>
          <w:noProof/>
        </w:rPr>
      </w:pPr>
      <w:r>
        <w:rPr>
          <w:noProof/>
        </w:rPr>
        <w:t>Briselē, 22.2.2024</w:t>
      </w:r>
    </w:p>
    <w:p w14:paraId="51E2BCDF" w14:textId="77777777" w:rsidR="00C42585" w:rsidRPr="00EB2E0A" w:rsidRDefault="00C42585" w:rsidP="000A1AAF">
      <w:pPr>
        <w:pStyle w:val="Institutionquisigne"/>
        <w:rPr>
          <w:noProof/>
        </w:rPr>
      </w:pPr>
      <w:r w:rsidRPr="00EB2E0A">
        <w:rPr>
          <w:noProof/>
        </w:rPr>
        <w:tab/>
        <w:t>Komisijas vārdā –</w:t>
      </w:r>
    </w:p>
    <w:p w14:paraId="027491AE" w14:textId="4E9E572A" w:rsidR="00C42585" w:rsidRPr="00EB2E0A" w:rsidRDefault="00FC4156" w:rsidP="000A1AAF">
      <w:pPr>
        <w:pStyle w:val="Personnequisigne"/>
        <w:keepNext/>
        <w:rPr>
          <w:noProof/>
        </w:rPr>
      </w:pPr>
      <w:r>
        <w:rPr>
          <w:noProof/>
        </w:rPr>
        <w:tab/>
        <w:t>priekšsēdētāja</w:t>
      </w:r>
      <w:r>
        <w:rPr>
          <w:noProof/>
        </w:rPr>
        <w:br/>
      </w:r>
      <w:r>
        <w:rPr>
          <w:noProof/>
        </w:rPr>
        <w:tab/>
        <w:t>Ursula VON DER LEYEN</w:t>
      </w:r>
    </w:p>
    <w:p w14:paraId="416646BA" w14:textId="53FE852B" w:rsidR="00452C13" w:rsidRPr="00EB2E0A" w:rsidRDefault="00452C13" w:rsidP="00452C13">
      <w:pPr>
        <w:pStyle w:val="Personnequisigne"/>
        <w:rPr>
          <w:noProof/>
        </w:rPr>
      </w:pPr>
    </w:p>
    <w:sectPr w:rsidR="00452C13" w:rsidRPr="00EB2E0A" w:rsidSect="00620A8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DA165" w14:textId="77777777" w:rsidR="00ED5DDE" w:rsidRDefault="00ED5DDE" w:rsidP="00452C13">
      <w:pPr>
        <w:spacing w:before="0" w:after="0"/>
      </w:pPr>
      <w:r>
        <w:separator/>
      </w:r>
    </w:p>
  </w:endnote>
  <w:endnote w:type="continuationSeparator" w:id="0">
    <w:p w14:paraId="32F33579" w14:textId="77777777" w:rsidR="00ED5DDE" w:rsidRDefault="00ED5DDE" w:rsidP="00452C13">
      <w:pPr>
        <w:spacing w:before="0" w:after="0"/>
      </w:pPr>
      <w:r>
        <w:continuationSeparator/>
      </w:r>
    </w:p>
  </w:endnote>
  <w:endnote w:type="continuationNotice" w:id="1">
    <w:p w14:paraId="2700E416" w14:textId="77777777" w:rsidR="00ED5DDE" w:rsidRDefault="00ED5D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98087" w14:textId="0FD5EE97" w:rsidR="00620A84" w:rsidRPr="00620A84" w:rsidRDefault="00620A84" w:rsidP="00620A84">
    <w:pPr>
      <w:pStyle w:val="Footer"/>
      <w:rPr>
        <w:rFonts w:ascii="Arial" w:hAnsi="Arial" w:cs="Arial"/>
        <w:b/>
        <w:sz w:val="48"/>
      </w:rPr>
    </w:pPr>
    <w:r w:rsidRPr="00620A84">
      <w:rPr>
        <w:rFonts w:ascii="Arial" w:hAnsi="Arial" w:cs="Arial"/>
        <w:b/>
        <w:sz w:val="48"/>
      </w:rPr>
      <w:t>LV</w:t>
    </w:r>
    <w:r w:rsidRPr="00620A84">
      <w:rPr>
        <w:rFonts w:ascii="Arial" w:hAnsi="Arial" w:cs="Arial"/>
        <w:b/>
        <w:sz w:val="48"/>
      </w:rPr>
      <w:tab/>
    </w:r>
    <w:r w:rsidRPr="00620A84">
      <w:rPr>
        <w:rFonts w:ascii="Arial" w:hAnsi="Arial" w:cs="Arial"/>
        <w:b/>
        <w:sz w:val="48"/>
      </w:rPr>
      <w:tab/>
    </w:r>
    <w:r w:rsidRPr="00620A84">
      <w:tab/>
    </w:r>
    <w:r w:rsidRPr="00620A84">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32823" w14:textId="25A5E461" w:rsidR="00620A84" w:rsidRPr="00620A84" w:rsidRDefault="00620A84" w:rsidP="00620A84">
    <w:pPr>
      <w:pStyle w:val="Footer"/>
      <w:rPr>
        <w:rFonts w:ascii="Arial" w:hAnsi="Arial" w:cs="Arial"/>
        <w:b/>
        <w:sz w:val="48"/>
      </w:rPr>
    </w:pPr>
    <w:r w:rsidRPr="00620A84">
      <w:rPr>
        <w:rFonts w:ascii="Arial" w:hAnsi="Arial" w:cs="Arial"/>
        <w:b/>
        <w:sz w:val="48"/>
      </w:rPr>
      <w:t>LV</w:t>
    </w:r>
    <w:r w:rsidRPr="00620A84">
      <w:rPr>
        <w:rFonts w:ascii="Arial" w:hAnsi="Arial" w:cs="Arial"/>
        <w:b/>
        <w:sz w:val="48"/>
      </w:rPr>
      <w:tab/>
    </w:r>
    <w:r w:rsidRPr="00620A84">
      <w:rPr>
        <w:rFonts w:ascii="Arial" w:hAnsi="Arial" w:cs="Arial"/>
        <w:b/>
        <w:sz w:val="48"/>
      </w:rPr>
      <w:tab/>
    </w:r>
    <w:r w:rsidRPr="00620A84">
      <w:tab/>
    </w:r>
    <w:r w:rsidRPr="00620A84">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FC658" w14:textId="77777777" w:rsidR="00620A84" w:rsidRDefault="00620A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58EA6" w14:textId="1D14AAA8" w:rsidR="00620A84" w:rsidRPr="00620A84" w:rsidRDefault="00620A84" w:rsidP="00620A84">
    <w:pPr>
      <w:pStyle w:val="Footer"/>
      <w:rPr>
        <w:rFonts w:ascii="Arial" w:hAnsi="Arial" w:cs="Arial"/>
        <w:b/>
        <w:sz w:val="48"/>
      </w:rPr>
    </w:pPr>
    <w:r w:rsidRPr="00620A84">
      <w:rPr>
        <w:rFonts w:ascii="Arial" w:hAnsi="Arial" w:cs="Arial"/>
        <w:b/>
        <w:sz w:val="48"/>
      </w:rPr>
      <w:t>LV</w:t>
    </w:r>
    <w:r w:rsidRPr="00620A84">
      <w:rPr>
        <w:rFonts w:ascii="Arial" w:hAnsi="Arial" w:cs="Arial"/>
        <w:b/>
        <w:sz w:val="48"/>
      </w:rPr>
      <w:tab/>
    </w:r>
    <w:r>
      <w:fldChar w:fldCharType="begin"/>
    </w:r>
    <w:r>
      <w:instrText xml:space="preserve"> PAGE  \* MERGEFORMAT </w:instrText>
    </w:r>
    <w:r>
      <w:fldChar w:fldCharType="separate"/>
    </w:r>
    <w:r w:rsidR="000A1AAF">
      <w:rPr>
        <w:noProof/>
      </w:rPr>
      <w:t>11</w:t>
    </w:r>
    <w:r>
      <w:fldChar w:fldCharType="end"/>
    </w:r>
    <w:r>
      <w:tab/>
    </w:r>
    <w:r w:rsidRPr="00620A84">
      <w:tab/>
    </w:r>
    <w:r w:rsidRPr="00620A84">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9B192" w14:textId="77777777" w:rsidR="00620A84" w:rsidRDefault="00620A84" w:rsidP="00620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05270" w14:textId="77777777" w:rsidR="00ED5DDE" w:rsidRDefault="00ED5DDE" w:rsidP="00452C13">
      <w:pPr>
        <w:spacing w:before="0" w:after="0"/>
      </w:pPr>
      <w:r>
        <w:separator/>
      </w:r>
    </w:p>
  </w:footnote>
  <w:footnote w:type="continuationSeparator" w:id="0">
    <w:p w14:paraId="670512BE" w14:textId="77777777" w:rsidR="00ED5DDE" w:rsidRDefault="00ED5DDE" w:rsidP="00452C13">
      <w:pPr>
        <w:spacing w:before="0" w:after="0"/>
      </w:pPr>
      <w:r>
        <w:continuationSeparator/>
      </w:r>
    </w:p>
  </w:footnote>
  <w:footnote w:type="continuationNotice" w:id="1">
    <w:p w14:paraId="2FCF0057" w14:textId="77777777" w:rsidR="00ED5DDE" w:rsidRDefault="00ED5DDE">
      <w:pPr>
        <w:spacing w:before="0" w:after="0"/>
      </w:pPr>
    </w:p>
  </w:footnote>
  <w:footnote w:id="2">
    <w:p w14:paraId="4D056B72" w14:textId="77777777" w:rsidR="00C42585" w:rsidRPr="005D7F55" w:rsidRDefault="00C42585" w:rsidP="00C42585">
      <w:pPr>
        <w:pStyle w:val="FootnoteText"/>
        <w:ind w:left="0" w:firstLine="0"/>
      </w:pPr>
      <w:r>
        <w:rPr>
          <w:rStyle w:val="FootnoteReference"/>
        </w:rPr>
        <w:footnoteRef/>
      </w:r>
      <w:r>
        <w:tab/>
      </w:r>
      <w:bookmarkStart w:id="1" w:name="_Hlk149295922"/>
      <w:r>
        <w:t>OV L 333, 27.12.2022., 1.–79. lpp.</w:t>
      </w:r>
      <w:bookmarkEnd w:id="1"/>
    </w:p>
  </w:footnote>
  <w:footnote w:id="3">
    <w:p w14:paraId="63F7C6D6" w14:textId="77777777" w:rsidR="00C42585" w:rsidRPr="005D7F55" w:rsidRDefault="00C42585" w:rsidP="00C42585">
      <w:pPr>
        <w:pStyle w:val="FootnoteText"/>
        <w:ind w:left="0" w:firstLine="0"/>
      </w:pPr>
      <w:r>
        <w:rPr>
          <w:rStyle w:val="FootnoteReference"/>
        </w:rPr>
        <w:footnoteRef/>
      </w:r>
      <w:r>
        <w:tab/>
      </w:r>
      <w:hyperlink r:id="rId1" w:history="1">
        <w:r>
          <w:rPr>
            <w:rStyle w:val="Hyperlink"/>
          </w:rPr>
          <w:t>https://www.esma.europa.eu/sites/default/files/2023-09/Joint-ESAs__response_to_the_Call_for_advice_on_the_designation_criteria_and_fees_for_the_DORA_oversight_framework_final.pdf</w:t>
        </w:r>
      </w:hyperlink>
      <w:r>
        <w:t xml:space="preserve">. </w:t>
      </w:r>
    </w:p>
  </w:footnote>
  <w:footnote w:id="4">
    <w:p w14:paraId="3393E918" w14:textId="77777777" w:rsidR="00C42585" w:rsidRPr="00B528A4" w:rsidRDefault="00C42585" w:rsidP="00C42585">
      <w:pPr>
        <w:pStyle w:val="FootnoteText"/>
        <w:ind w:left="0" w:firstLine="0"/>
      </w:pPr>
      <w:r>
        <w:rPr>
          <w:rStyle w:val="FootnoteReference"/>
        </w:rPr>
        <w:footnoteRef/>
      </w:r>
      <w:r>
        <w:tab/>
        <w:t xml:space="preserve">OV L 333, 27.12.2022., 1. lpp., ELI: http://data.europa.eu/eli/reg/2022/2554/oj. </w:t>
      </w:r>
    </w:p>
  </w:footnote>
  <w:footnote w:id="5">
    <w:p w14:paraId="4C620008" w14:textId="68955D16" w:rsidR="00C42585" w:rsidRPr="0014118A" w:rsidRDefault="00C42585" w:rsidP="00C42585">
      <w:pPr>
        <w:pStyle w:val="FootnoteText"/>
      </w:pPr>
      <w:r w:rsidRPr="00EA1CEB">
        <w:rPr>
          <w:rStyle w:val="FootnoteReference"/>
        </w:rPr>
        <w:footnoteRef/>
      </w:r>
      <w:r w:rsidR="00EA1CEB">
        <w:tab/>
      </w:r>
      <w:r>
        <w:t>Eiropas Parlamenta un Padomes Direktīva 2013/36/ES (2013. gada 26. jūnijs) par piekļuvi kredītiestāžu darbībai un kredītiestāžu prudenciālo uzraudzību, ar ko groza Direktīvu 2002/87/EK un atceļ Direktīvas 2006/48/EK un 2006/49/EK (OV L 176, 27.6.2013., 338. lpp.,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5E79E" w14:textId="77777777" w:rsidR="00620A84" w:rsidRDefault="00620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3A71E" w14:textId="77777777" w:rsidR="00620A84" w:rsidRDefault="00620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CE0EBA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6EC593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99E6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DE4CC1E6"/>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FC084FF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9"/>
    <w:lvlOverride w:ilvl="0">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num>
  <w:num w:numId="25">
    <w:abstractNumId w:val="16"/>
  </w:num>
  <w:num w:numId="26">
    <w:abstractNumId w:val="9"/>
  </w:num>
  <w:num w:numId="27">
    <w:abstractNumId w:val="18"/>
  </w:num>
  <w:num w:numId="28">
    <w:abstractNumId w:val="8"/>
  </w:num>
  <w:num w:numId="29">
    <w:abstractNumId w:val="10"/>
  </w:num>
  <w:num w:numId="30">
    <w:abstractNumId w:val="11"/>
  </w:num>
  <w:num w:numId="31">
    <w:abstractNumId w:val="6"/>
  </w:num>
  <w:num w:numId="32">
    <w:abstractNumId w:val="17"/>
  </w:num>
  <w:num w:numId="33">
    <w:abstractNumId w:val="5"/>
  </w:num>
  <w:num w:numId="34">
    <w:abstractNumId w:val="12"/>
  </w:num>
  <w:num w:numId="35">
    <w:abstractNumId w:val="14"/>
  </w:num>
  <w:num w:numId="36">
    <w:abstractNumId w:val="15"/>
  </w:num>
  <w:num w:numId="37">
    <w:abstractNumId w:val="7"/>
  </w:num>
  <w:num w:numId="38">
    <w:abstractNumId w:val="13"/>
  </w:num>
  <w:num w:numId="39">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02-21 16:29: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BDBD610-5815-422D-BEB4-39809BA6F7C3"/>
    <w:docVar w:name="LW_COVERPAGE_TYPE" w:val="1"/>
    <w:docVar w:name="LW_CROSSREFERENCE" w:val="&lt;UNUSED&gt;"/>
    <w:docVar w:name="LW_DATE.ADOPT.CP" w:val="(22.2.2024)"/>
    <w:docVar w:name="LW_DATE.ADOPT.CP_DATEFORMAT" w:val="(%DATE%),"/>
    <w:docVar w:name="LW_DATE.ADOPT.CP_ISODATE" w:val="2024-02-22"/>
    <w:docVar w:name="LW_DocType" w:val="COM"/>
    <w:docVar w:name="LW_EMISSION" w:val="22.2.2024"/>
    <w:docVar w:name="LW_EMISSION_ISODATE" w:val="2024-02-22"/>
    <w:docVar w:name="LW_EMISSION_LOCATION" w:val="BRX"/>
    <w:docVar w:name="LW_EMISSION_PREFIX" w:val="Brisel\u275?, "/>
    <w:docVar w:name="LW_EMISSION_SUFFIX" w:val="."/>
    <w:docVar w:name="LW_ID_DOCMODEL" w:val="SJ-003"/>
    <w:docVar w:name="LW_ID_DOCSIGNATURE" w:val="SJ-003"/>
    <w:docVar w:name="LW_ID_DOCSTRUCTURE" w:val="COM/AA"/>
    <w:docVar w:name="LW_ID_DOCTYPE" w:val="SJ-003"/>
    <w:docVar w:name="LW_INSERT_EXP.MOTIFS.NEW" w:val="1"/>
    <w:docVar w:name="LW_INTERETEEE.CP" w:val="(Dokuments attiecas uz EEZ)"/>
    <w:docVar w:name="LW_LANGUE" w:val="LV"/>
    <w:docVar w:name="LW_LANGUESFAISANTFOI.CP" w:val="&lt;UNUSED&gt;"/>
    <w:docVar w:name="LW_LEVEL_OF_SENSITIVITY" w:val="Standard treatment"/>
    <w:docVar w:name="LW_NOM.INST" w:val="EIROPAS KOMISIJA"/>
    <w:docVar w:name="LW_NOM.INST_JOINTDOC" w:val="&lt;EMPTY&gt;"/>
    <w:docVar w:name="LW_PART_NBR" w:val="1"/>
    <w:docVar w:name="LW_PART_NBR_TOTAL" w:val="1"/>
    <w:docVar w:name="LW_REF.INST.NEW" w:val="C"/>
    <w:docVar w:name="LW_REF.INST.NEW_ADOPTED" w:val="final"/>
    <w:docVar w:name="LW_REF.INST.NEW_TEXT" w:val="(2024) 89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r ko Eiropas Parlamenta un Padomes Regulu (ES) 2022/2554 papildina, preciz\u275?jot krit\u275?rijus, saska\u326?\u257? ar kuriem tre\u353?\u257?s personas, kas sniedz IKT pakalpojumus, izraug\u257?s par finan\u353?u vien\u299?b\u257?m kritiski svar\u299?g\u257?m"/>
    <w:docVar w:name="LW_TYPE.DOC.CP" w:val="KOMISIJAS DELE\u290?\u274?T\u256? REGULA (ES) \u8230?/.."/>
    <w:docVar w:name="LwApiVersions" w:val="LW4CoDe 1.24.4.0; LW 9.0, Build 20240125"/>
  </w:docVars>
  <w:rsids>
    <w:rsidRoot w:val="00452C13"/>
    <w:rsid w:val="00002F1D"/>
    <w:rsid w:val="00003613"/>
    <w:rsid w:val="0000510F"/>
    <w:rsid w:val="00013E35"/>
    <w:rsid w:val="0001509E"/>
    <w:rsid w:val="00015516"/>
    <w:rsid w:val="000170EE"/>
    <w:rsid w:val="00020340"/>
    <w:rsid w:val="0002416B"/>
    <w:rsid w:val="00025552"/>
    <w:rsid w:val="00033386"/>
    <w:rsid w:val="000341FD"/>
    <w:rsid w:val="00034B4F"/>
    <w:rsid w:val="000351CD"/>
    <w:rsid w:val="00041A01"/>
    <w:rsid w:val="00050BAB"/>
    <w:rsid w:val="00051F5C"/>
    <w:rsid w:val="00053927"/>
    <w:rsid w:val="000550C5"/>
    <w:rsid w:val="00055635"/>
    <w:rsid w:val="000645D4"/>
    <w:rsid w:val="00065133"/>
    <w:rsid w:val="00075984"/>
    <w:rsid w:val="00075F3D"/>
    <w:rsid w:val="00076391"/>
    <w:rsid w:val="00076D7A"/>
    <w:rsid w:val="00077993"/>
    <w:rsid w:val="00080008"/>
    <w:rsid w:val="00080359"/>
    <w:rsid w:val="000816F2"/>
    <w:rsid w:val="00082F21"/>
    <w:rsid w:val="00084179"/>
    <w:rsid w:val="0009132B"/>
    <w:rsid w:val="00092EAE"/>
    <w:rsid w:val="000A1AAF"/>
    <w:rsid w:val="000A54FD"/>
    <w:rsid w:val="000A758E"/>
    <w:rsid w:val="000B2A03"/>
    <w:rsid w:val="000B36C1"/>
    <w:rsid w:val="000B62B8"/>
    <w:rsid w:val="000C137C"/>
    <w:rsid w:val="000C58FE"/>
    <w:rsid w:val="000C7D98"/>
    <w:rsid w:val="000D55F8"/>
    <w:rsid w:val="000D6ABD"/>
    <w:rsid w:val="000D75AA"/>
    <w:rsid w:val="000E4C86"/>
    <w:rsid w:val="000E5E5A"/>
    <w:rsid w:val="000F1E2F"/>
    <w:rsid w:val="000F59A7"/>
    <w:rsid w:val="000F5FB0"/>
    <w:rsid w:val="001002B2"/>
    <w:rsid w:val="001065F5"/>
    <w:rsid w:val="00110C2B"/>
    <w:rsid w:val="0011186D"/>
    <w:rsid w:val="00114EE8"/>
    <w:rsid w:val="00117B7A"/>
    <w:rsid w:val="001210B8"/>
    <w:rsid w:val="001238EF"/>
    <w:rsid w:val="00124353"/>
    <w:rsid w:val="0012696B"/>
    <w:rsid w:val="00126A85"/>
    <w:rsid w:val="001313D6"/>
    <w:rsid w:val="001316FA"/>
    <w:rsid w:val="001328D3"/>
    <w:rsid w:val="00137196"/>
    <w:rsid w:val="0014017D"/>
    <w:rsid w:val="00140228"/>
    <w:rsid w:val="0014118A"/>
    <w:rsid w:val="00142C3B"/>
    <w:rsid w:val="00143008"/>
    <w:rsid w:val="00144322"/>
    <w:rsid w:val="001500B8"/>
    <w:rsid w:val="0015E776"/>
    <w:rsid w:val="00160AAB"/>
    <w:rsid w:val="0016224A"/>
    <w:rsid w:val="00162A44"/>
    <w:rsid w:val="001672DC"/>
    <w:rsid w:val="0016779B"/>
    <w:rsid w:val="001704FF"/>
    <w:rsid w:val="001708D4"/>
    <w:rsid w:val="00174283"/>
    <w:rsid w:val="0018179D"/>
    <w:rsid w:val="001828E3"/>
    <w:rsid w:val="00183589"/>
    <w:rsid w:val="00186CA2"/>
    <w:rsid w:val="001879BB"/>
    <w:rsid w:val="001942AD"/>
    <w:rsid w:val="00194E8B"/>
    <w:rsid w:val="0019672C"/>
    <w:rsid w:val="00196D0E"/>
    <w:rsid w:val="00197613"/>
    <w:rsid w:val="001A2869"/>
    <w:rsid w:val="001B4EAF"/>
    <w:rsid w:val="001B67C9"/>
    <w:rsid w:val="001C4AAC"/>
    <w:rsid w:val="001C5177"/>
    <w:rsid w:val="001C5E33"/>
    <w:rsid w:val="001D1CB4"/>
    <w:rsid w:val="001D23A7"/>
    <w:rsid w:val="001D2FFC"/>
    <w:rsid w:val="001D3D28"/>
    <w:rsid w:val="001D7860"/>
    <w:rsid w:val="001D7B44"/>
    <w:rsid w:val="001E5077"/>
    <w:rsid w:val="001E663B"/>
    <w:rsid w:val="001E7E40"/>
    <w:rsid w:val="001F100E"/>
    <w:rsid w:val="001F44AD"/>
    <w:rsid w:val="001F614C"/>
    <w:rsid w:val="001F6F5A"/>
    <w:rsid w:val="001F786E"/>
    <w:rsid w:val="00202E55"/>
    <w:rsid w:val="00207D03"/>
    <w:rsid w:val="002164C2"/>
    <w:rsid w:val="002209EF"/>
    <w:rsid w:val="0022226E"/>
    <w:rsid w:val="002277F1"/>
    <w:rsid w:val="00231E99"/>
    <w:rsid w:val="00231F2C"/>
    <w:rsid w:val="002322DE"/>
    <w:rsid w:val="0023279B"/>
    <w:rsid w:val="00233234"/>
    <w:rsid w:val="00233DC7"/>
    <w:rsid w:val="00233ED3"/>
    <w:rsid w:val="002405FF"/>
    <w:rsid w:val="00243494"/>
    <w:rsid w:val="00247779"/>
    <w:rsid w:val="002504D0"/>
    <w:rsid w:val="0025206D"/>
    <w:rsid w:val="0025375C"/>
    <w:rsid w:val="002609CD"/>
    <w:rsid w:val="00262AF7"/>
    <w:rsid w:val="00263DDB"/>
    <w:rsid w:val="0027224B"/>
    <w:rsid w:val="00276981"/>
    <w:rsid w:val="00276C65"/>
    <w:rsid w:val="0028477A"/>
    <w:rsid w:val="00284C2D"/>
    <w:rsid w:val="00285BEE"/>
    <w:rsid w:val="00294C26"/>
    <w:rsid w:val="0029533F"/>
    <w:rsid w:val="00297476"/>
    <w:rsid w:val="002A0182"/>
    <w:rsid w:val="002A0BA5"/>
    <w:rsid w:val="002A144E"/>
    <w:rsid w:val="002A1DBC"/>
    <w:rsid w:val="002A2025"/>
    <w:rsid w:val="002A2CDB"/>
    <w:rsid w:val="002A343E"/>
    <w:rsid w:val="002A6FB7"/>
    <w:rsid w:val="002B046E"/>
    <w:rsid w:val="002B0789"/>
    <w:rsid w:val="002B15D1"/>
    <w:rsid w:val="002B1D2D"/>
    <w:rsid w:val="002B2050"/>
    <w:rsid w:val="002B30AF"/>
    <w:rsid w:val="002C1F20"/>
    <w:rsid w:val="002C5CD5"/>
    <w:rsid w:val="002C799E"/>
    <w:rsid w:val="002D11AA"/>
    <w:rsid w:val="002D1B7D"/>
    <w:rsid w:val="002D1B8C"/>
    <w:rsid w:val="002D2484"/>
    <w:rsid w:val="002D355C"/>
    <w:rsid w:val="002D3797"/>
    <w:rsid w:val="002D423B"/>
    <w:rsid w:val="002D4F87"/>
    <w:rsid w:val="002D4FFC"/>
    <w:rsid w:val="002D63BE"/>
    <w:rsid w:val="002D7BAE"/>
    <w:rsid w:val="002F1FDD"/>
    <w:rsid w:val="002F4F77"/>
    <w:rsid w:val="002F7BF9"/>
    <w:rsid w:val="00304226"/>
    <w:rsid w:val="00315A79"/>
    <w:rsid w:val="00323313"/>
    <w:rsid w:val="003243FF"/>
    <w:rsid w:val="00325010"/>
    <w:rsid w:val="00326428"/>
    <w:rsid w:val="0032775C"/>
    <w:rsid w:val="003310DA"/>
    <w:rsid w:val="0033344A"/>
    <w:rsid w:val="00334F93"/>
    <w:rsid w:val="0033599A"/>
    <w:rsid w:val="003411D5"/>
    <w:rsid w:val="003427A8"/>
    <w:rsid w:val="0034356D"/>
    <w:rsid w:val="0035016A"/>
    <w:rsid w:val="003504ED"/>
    <w:rsid w:val="0035256B"/>
    <w:rsid w:val="003525B6"/>
    <w:rsid w:val="00356BBB"/>
    <w:rsid w:val="00361EB0"/>
    <w:rsid w:val="003620C5"/>
    <w:rsid w:val="00363334"/>
    <w:rsid w:val="00363C7C"/>
    <w:rsid w:val="003654E8"/>
    <w:rsid w:val="00366D31"/>
    <w:rsid w:val="003769F8"/>
    <w:rsid w:val="0038408E"/>
    <w:rsid w:val="00384BC3"/>
    <w:rsid w:val="00385625"/>
    <w:rsid w:val="003860C6"/>
    <w:rsid w:val="00387A93"/>
    <w:rsid w:val="00387AD0"/>
    <w:rsid w:val="00394D00"/>
    <w:rsid w:val="00396F09"/>
    <w:rsid w:val="003A3D0C"/>
    <w:rsid w:val="003A3E44"/>
    <w:rsid w:val="003B004E"/>
    <w:rsid w:val="003B006A"/>
    <w:rsid w:val="003B046F"/>
    <w:rsid w:val="003B5F5A"/>
    <w:rsid w:val="003B6E86"/>
    <w:rsid w:val="003B774B"/>
    <w:rsid w:val="003C00A9"/>
    <w:rsid w:val="003C6C95"/>
    <w:rsid w:val="003C6EF4"/>
    <w:rsid w:val="003D61A1"/>
    <w:rsid w:val="003E2F5F"/>
    <w:rsid w:val="003F0204"/>
    <w:rsid w:val="003F3CC9"/>
    <w:rsid w:val="003F602D"/>
    <w:rsid w:val="00401141"/>
    <w:rsid w:val="00403CF0"/>
    <w:rsid w:val="00404E55"/>
    <w:rsid w:val="00411D9B"/>
    <w:rsid w:val="00412D3D"/>
    <w:rsid w:val="004140D0"/>
    <w:rsid w:val="00415109"/>
    <w:rsid w:val="004151C3"/>
    <w:rsid w:val="0042648E"/>
    <w:rsid w:val="00427387"/>
    <w:rsid w:val="00427B76"/>
    <w:rsid w:val="00434255"/>
    <w:rsid w:val="00435C0E"/>
    <w:rsid w:val="00440EC8"/>
    <w:rsid w:val="004418D5"/>
    <w:rsid w:val="004526B1"/>
    <w:rsid w:val="00452C13"/>
    <w:rsid w:val="00455CA2"/>
    <w:rsid w:val="00457544"/>
    <w:rsid w:val="00460529"/>
    <w:rsid w:val="00462D5A"/>
    <w:rsid w:val="00463181"/>
    <w:rsid w:val="00463DF8"/>
    <w:rsid w:val="004742B8"/>
    <w:rsid w:val="004762A2"/>
    <w:rsid w:val="00476A01"/>
    <w:rsid w:val="00481E28"/>
    <w:rsid w:val="00482DEF"/>
    <w:rsid w:val="004869FA"/>
    <w:rsid w:val="00486CC1"/>
    <w:rsid w:val="00487B5C"/>
    <w:rsid w:val="004901A6"/>
    <w:rsid w:val="004909BB"/>
    <w:rsid w:val="00492640"/>
    <w:rsid w:val="004936D2"/>
    <w:rsid w:val="00495E2C"/>
    <w:rsid w:val="004969AD"/>
    <w:rsid w:val="004A35A7"/>
    <w:rsid w:val="004A55BF"/>
    <w:rsid w:val="004B0AE3"/>
    <w:rsid w:val="004B4CC2"/>
    <w:rsid w:val="004B5030"/>
    <w:rsid w:val="004B5044"/>
    <w:rsid w:val="004B6232"/>
    <w:rsid w:val="004B7460"/>
    <w:rsid w:val="004C11D3"/>
    <w:rsid w:val="004C3A34"/>
    <w:rsid w:val="004C746D"/>
    <w:rsid w:val="004D1511"/>
    <w:rsid w:val="004D2F3D"/>
    <w:rsid w:val="004D3289"/>
    <w:rsid w:val="004E06D5"/>
    <w:rsid w:val="004F3BE2"/>
    <w:rsid w:val="004F4586"/>
    <w:rsid w:val="004F51CA"/>
    <w:rsid w:val="004F582C"/>
    <w:rsid w:val="004F638D"/>
    <w:rsid w:val="004F66A1"/>
    <w:rsid w:val="00500F6D"/>
    <w:rsid w:val="00500FA3"/>
    <w:rsid w:val="00502401"/>
    <w:rsid w:val="00504119"/>
    <w:rsid w:val="00504F08"/>
    <w:rsid w:val="00504F3B"/>
    <w:rsid w:val="00506973"/>
    <w:rsid w:val="00507368"/>
    <w:rsid w:val="0051032B"/>
    <w:rsid w:val="00510AEB"/>
    <w:rsid w:val="0051228F"/>
    <w:rsid w:val="00512E7B"/>
    <w:rsid w:val="0051361A"/>
    <w:rsid w:val="00513757"/>
    <w:rsid w:val="00513FB4"/>
    <w:rsid w:val="005151FF"/>
    <w:rsid w:val="00524CD1"/>
    <w:rsid w:val="00525F70"/>
    <w:rsid w:val="005336FC"/>
    <w:rsid w:val="00536A91"/>
    <w:rsid w:val="0054559E"/>
    <w:rsid w:val="005471C1"/>
    <w:rsid w:val="00547BB6"/>
    <w:rsid w:val="00553CF6"/>
    <w:rsid w:val="00562FEE"/>
    <w:rsid w:val="00564C45"/>
    <w:rsid w:val="00566AA0"/>
    <w:rsid w:val="005729A6"/>
    <w:rsid w:val="005736DB"/>
    <w:rsid w:val="0058095B"/>
    <w:rsid w:val="00582F69"/>
    <w:rsid w:val="005848F3"/>
    <w:rsid w:val="00585D01"/>
    <w:rsid w:val="00587E26"/>
    <w:rsid w:val="00590D59"/>
    <w:rsid w:val="00591524"/>
    <w:rsid w:val="00592964"/>
    <w:rsid w:val="00594C90"/>
    <w:rsid w:val="005972DE"/>
    <w:rsid w:val="005A23D7"/>
    <w:rsid w:val="005A2662"/>
    <w:rsid w:val="005A48A2"/>
    <w:rsid w:val="005A543D"/>
    <w:rsid w:val="005A546B"/>
    <w:rsid w:val="005B1EB6"/>
    <w:rsid w:val="005B2748"/>
    <w:rsid w:val="005B65FE"/>
    <w:rsid w:val="005C1456"/>
    <w:rsid w:val="005C357E"/>
    <w:rsid w:val="005C518C"/>
    <w:rsid w:val="005C7150"/>
    <w:rsid w:val="005D3F4B"/>
    <w:rsid w:val="005D7625"/>
    <w:rsid w:val="005D7F55"/>
    <w:rsid w:val="005E641D"/>
    <w:rsid w:val="005F1338"/>
    <w:rsid w:val="005F2049"/>
    <w:rsid w:val="005F397E"/>
    <w:rsid w:val="005F3CB7"/>
    <w:rsid w:val="005F487C"/>
    <w:rsid w:val="005F4B4E"/>
    <w:rsid w:val="005F5DD2"/>
    <w:rsid w:val="005F6428"/>
    <w:rsid w:val="005F75FD"/>
    <w:rsid w:val="00607089"/>
    <w:rsid w:val="006101E1"/>
    <w:rsid w:val="00610914"/>
    <w:rsid w:val="0061136E"/>
    <w:rsid w:val="00616C88"/>
    <w:rsid w:val="00620A84"/>
    <w:rsid w:val="00645442"/>
    <w:rsid w:val="006461EC"/>
    <w:rsid w:val="00646720"/>
    <w:rsid w:val="0064766A"/>
    <w:rsid w:val="00650A33"/>
    <w:rsid w:val="0065355B"/>
    <w:rsid w:val="006543AD"/>
    <w:rsid w:val="00656016"/>
    <w:rsid w:val="00657448"/>
    <w:rsid w:val="00657692"/>
    <w:rsid w:val="006624C8"/>
    <w:rsid w:val="00663547"/>
    <w:rsid w:val="0066418C"/>
    <w:rsid w:val="00664DCE"/>
    <w:rsid w:val="0066522E"/>
    <w:rsid w:val="00666077"/>
    <w:rsid w:val="006671CD"/>
    <w:rsid w:val="00667D2D"/>
    <w:rsid w:val="006725DE"/>
    <w:rsid w:val="00674402"/>
    <w:rsid w:val="006759A5"/>
    <w:rsid w:val="00675B3D"/>
    <w:rsid w:val="00675E9D"/>
    <w:rsid w:val="006776A5"/>
    <w:rsid w:val="006810F9"/>
    <w:rsid w:val="006818E6"/>
    <w:rsid w:val="0069084D"/>
    <w:rsid w:val="0069318F"/>
    <w:rsid w:val="00693EC4"/>
    <w:rsid w:val="006963D1"/>
    <w:rsid w:val="00696404"/>
    <w:rsid w:val="00696AF5"/>
    <w:rsid w:val="006974B0"/>
    <w:rsid w:val="00697B6C"/>
    <w:rsid w:val="006A498D"/>
    <w:rsid w:val="006A4DFB"/>
    <w:rsid w:val="006A54FC"/>
    <w:rsid w:val="006A591B"/>
    <w:rsid w:val="006B0C3C"/>
    <w:rsid w:val="006B1E87"/>
    <w:rsid w:val="006B23D5"/>
    <w:rsid w:val="006B256C"/>
    <w:rsid w:val="006B3631"/>
    <w:rsid w:val="006B3E1A"/>
    <w:rsid w:val="006B5587"/>
    <w:rsid w:val="006B670F"/>
    <w:rsid w:val="006C4D9C"/>
    <w:rsid w:val="006C51C4"/>
    <w:rsid w:val="006D07E4"/>
    <w:rsid w:val="006D1D5B"/>
    <w:rsid w:val="006D4A66"/>
    <w:rsid w:val="006D66B9"/>
    <w:rsid w:val="006E0156"/>
    <w:rsid w:val="006E1C41"/>
    <w:rsid w:val="006E2B9E"/>
    <w:rsid w:val="006F6553"/>
    <w:rsid w:val="006F7D59"/>
    <w:rsid w:val="006F7DFA"/>
    <w:rsid w:val="00700D87"/>
    <w:rsid w:val="007036FF"/>
    <w:rsid w:val="007045FB"/>
    <w:rsid w:val="0070481C"/>
    <w:rsid w:val="00706D66"/>
    <w:rsid w:val="00710946"/>
    <w:rsid w:val="0071255B"/>
    <w:rsid w:val="0071263E"/>
    <w:rsid w:val="00714FF2"/>
    <w:rsid w:val="00723E17"/>
    <w:rsid w:val="00726BED"/>
    <w:rsid w:val="00727BB9"/>
    <w:rsid w:val="0073776C"/>
    <w:rsid w:val="00737F2C"/>
    <w:rsid w:val="00744FDF"/>
    <w:rsid w:val="0075098B"/>
    <w:rsid w:val="007514E7"/>
    <w:rsid w:val="00751C2B"/>
    <w:rsid w:val="0075210F"/>
    <w:rsid w:val="007524BE"/>
    <w:rsid w:val="00752D9E"/>
    <w:rsid w:val="007531CC"/>
    <w:rsid w:val="0075391A"/>
    <w:rsid w:val="00754538"/>
    <w:rsid w:val="0075682B"/>
    <w:rsid w:val="00760A94"/>
    <w:rsid w:val="00765E57"/>
    <w:rsid w:val="00771583"/>
    <w:rsid w:val="0077309D"/>
    <w:rsid w:val="00773331"/>
    <w:rsid w:val="00775BAC"/>
    <w:rsid w:val="0077652A"/>
    <w:rsid w:val="007775FA"/>
    <w:rsid w:val="00777FB7"/>
    <w:rsid w:val="0078025C"/>
    <w:rsid w:val="0078309C"/>
    <w:rsid w:val="00786CDE"/>
    <w:rsid w:val="00786E27"/>
    <w:rsid w:val="00790774"/>
    <w:rsid w:val="007932EF"/>
    <w:rsid w:val="007A655E"/>
    <w:rsid w:val="007A6FBA"/>
    <w:rsid w:val="007A74F7"/>
    <w:rsid w:val="007A77D4"/>
    <w:rsid w:val="007B1D66"/>
    <w:rsid w:val="007B3DFB"/>
    <w:rsid w:val="007B49DC"/>
    <w:rsid w:val="007B5462"/>
    <w:rsid w:val="007B7898"/>
    <w:rsid w:val="007C257D"/>
    <w:rsid w:val="007C294A"/>
    <w:rsid w:val="007C7A5E"/>
    <w:rsid w:val="007D1C31"/>
    <w:rsid w:val="007D1CD1"/>
    <w:rsid w:val="007D7241"/>
    <w:rsid w:val="007D7F1B"/>
    <w:rsid w:val="007E05B0"/>
    <w:rsid w:val="007E153D"/>
    <w:rsid w:val="007E31A1"/>
    <w:rsid w:val="007E784F"/>
    <w:rsid w:val="007F1324"/>
    <w:rsid w:val="007F3046"/>
    <w:rsid w:val="007F429D"/>
    <w:rsid w:val="007F515B"/>
    <w:rsid w:val="007F6C4F"/>
    <w:rsid w:val="00801314"/>
    <w:rsid w:val="00804257"/>
    <w:rsid w:val="00807D7A"/>
    <w:rsid w:val="008101EA"/>
    <w:rsid w:val="00810E97"/>
    <w:rsid w:val="00812373"/>
    <w:rsid w:val="0081273D"/>
    <w:rsid w:val="00814653"/>
    <w:rsid w:val="00814D37"/>
    <w:rsid w:val="00822D1E"/>
    <w:rsid w:val="00824228"/>
    <w:rsid w:val="0082431D"/>
    <w:rsid w:val="0082790A"/>
    <w:rsid w:val="0083359F"/>
    <w:rsid w:val="00833A6E"/>
    <w:rsid w:val="00833B5F"/>
    <w:rsid w:val="00834DC6"/>
    <w:rsid w:val="00836CE1"/>
    <w:rsid w:val="008441FC"/>
    <w:rsid w:val="00844B76"/>
    <w:rsid w:val="008455BB"/>
    <w:rsid w:val="00846061"/>
    <w:rsid w:val="00850355"/>
    <w:rsid w:val="0085083E"/>
    <w:rsid w:val="00850C8D"/>
    <w:rsid w:val="008521DF"/>
    <w:rsid w:val="0086206A"/>
    <w:rsid w:val="00864F2B"/>
    <w:rsid w:val="00870D2C"/>
    <w:rsid w:val="008747D9"/>
    <w:rsid w:val="00874D22"/>
    <w:rsid w:val="00876C95"/>
    <w:rsid w:val="00882E48"/>
    <w:rsid w:val="0088386C"/>
    <w:rsid w:val="00885EBD"/>
    <w:rsid w:val="00885EF2"/>
    <w:rsid w:val="00893B23"/>
    <w:rsid w:val="008943F8"/>
    <w:rsid w:val="00894930"/>
    <w:rsid w:val="00895C0A"/>
    <w:rsid w:val="008A09C9"/>
    <w:rsid w:val="008A1ACE"/>
    <w:rsid w:val="008A2914"/>
    <w:rsid w:val="008A36AF"/>
    <w:rsid w:val="008A45E8"/>
    <w:rsid w:val="008A46A6"/>
    <w:rsid w:val="008A69B8"/>
    <w:rsid w:val="008B40DB"/>
    <w:rsid w:val="008B4257"/>
    <w:rsid w:val="008B62E0"/>
    <w:rsid w:val="008B68BE"/>
    <w:rsid w:val="008C135C"/>
    <w:rsid w:val="008C1B7E"/>
    <w:rsid w:val="008C3A2C"/>
    <w:rsid w:val="008C400F"/>
    <w:rsid w:val="008C5401"/>
    <w:rsid w:val="008C5CBA"/>
    <w:rsid w:val="008C7F62"/>
    <w:rsid w:val="008D0755"/>
    <w:rsid w:val="008E2174"/>
    <w:rsid w:val="008E49B0"/>
    <w:rsid w:val="008E4D8E"/>
    <w:rsid w:val="008E6222"/>
    <w:rsid w:val="008E7EDD"/>
    <w:rsid w:val="008F0D4B"/>
    <w:rsid w:val="008F1D1E"/>
    <w:rsid w:val="008F4E0B"/>
    <w:rsid w:val="008F6B78"/>
    <w:rsid w:val="0090378D"/>
    <w:rsid w:val="0090496D"/>
    <w:rsid w:val="00905B21"/>
    <w:rsid w:val="00906E76"/>
    <w:rsid w:val="00907920"/>
    <w:rsid w:val="0091198C"/>
    <w:rsid w:val="00912D81"/>
    <w:rsid w:val="00913997"/>
    <w:rsid w:val="0092051C"/>
    <w:rsid w:val="00922E38"/>
    <w:rsid w:val="00923CBF"/>
    <w:rsid w:val="009312BE"/>
    <w:rsid w:val="0093186D"/>
    <w:rsid w:val="0093264B"/>
    <w:rsid w:val="00932D2E"/>
    <w:rsid w:val="00933FE9"/>
    <w:rsid w:val="009346FC"/>
    <w:rsid w:val="00937A3A"/>
    <w:rsid w:val="00937F2E"/>
    <w:rsid w:val="00941688"/>
    <w:rsid w:val="00944682"/>
    <w:rsid w:val="00946A23"/>
    <w:rsid w:val="009473A7"/>
    <w:rsid w:val="0095455E"/>
    <w:rsid w:val="00956E1A"/>
    <w:rsid w:val="0096002F"/>
    <w:rsid w:val="00961812"/>
    <w:rsid w:val="00961EDE"/>
    <w:rsid w:val="00962A90"/>
    <w:rsid w:val="00963097"/>
    <w:rsid w:val="00963E23"/>
    <w:rsid w:val="00964A8A"/>
    <w:rsid w:val="009741FF"/>
    <w:rsid w:val="009749F5"/>
    <w:rsid w:val="00976781"/>
    <w:rsid w:val="00977CE3"/>
    <w:rsid w:val="009811F1"/>
    <w:rsid w:val="00981A3E"/>
    <w:rsid w:val="00996BEC"/>
    <w:rsid w:val="00997410"/>
    <w:rsid w:val="00997818"/>
    <w:rsid w:val="009979D8"/>
    <w:rsid w:val="009A1939"/>
    <w:rsid w:val="009A75F7"/>
    <w:rsid w:val="009B7273"/>
    <w:rsid w:val="009C146E"/>
    <w:rsid w:val="009C3964"/>
    <w:rsid w:val="009C55BE"/>
    <w:rsid w:val="009D07D6"/>
    <w:rsid w:val="009D0B4E"/>
    <w:rsid w:val="009D0F2C"/>
    <w:rsid w:val="009D4B08"/>
    <w:rsid w:val="009D5492"/>
    <w:rsid w:val="009E5454"/>
    <w:rsid w:val="009E5FA4"/>
    <w:rsid w:val="009E7488"/>
    <w:rsid w:val="009F3E0D"/>
    <w:rsid w:val="00A00438"/>
    <w:rsid w:val="00A01DE8"/>
    <w:rsid w:val="00A05C9F"/>
    <w:rsid w:val="00A06883"/>
    <w:rsid w:val="00A06EF4"/>
    <w:rsid w:val="00A11176"/>
    <w:rsid w:val="00A12C19"/>
    <w:rsid w:val="00A13D00"/>
    <w:rsid w:val="00A1444D"/>
    <w:rsid w:val="00A15B08"/>
    <w:rsid w:val="00A16007"/>
    <w:rsid w:val="00A17505"/>
    <w:rsid w:val="00A2180F"/>
    <w:rsid w:val="00A23134"/>
    <w:rsid w:val="00A23758"/>
    <w:rsid w:val="00A23A9F"/>
    <w:rsid w:val="00A275FA"/>
    <w:rsid w:val="00A300DE"/>
    <w:rsid w:val="00A348CA"/>
    <w:rsid w:val="00A36973"/>
    <w:rsid w:val="00A36C1A"/>
    <w:rsid w:val="00A40AA3"/>
    <w:rsid w:val="00A4431A"/>
    <w:rsid w:val="00A45F48"/>
    <w:rsid w:val="00A475FB"/>
    <w:rsid w:val="00A51CE2"/>
    <w:rsid w:val="00A535E7"/>
    <w:rsid w:val="00A55A30"/>
    <w:rsid w:val="00A56890"/>
    <w:rsid w:val="00A6059F"/>
    <w:rsid w:val="00A60607"/>
    <w:rsid w:val="00A6337F"/>
    <w:rsid w:val="00A65945"/>
    <w:rsid w:val="00A65B34"/>
    <w:rsid w:val="00A70DC0"/>
    <w:rsid w:val="00A73C22"/>
    <w:rsid w:val="00A879D8"/>
    <w:rsid w:val="00A905B4"/>
    <w:rsid w:val="00A921D6"/>
    <w:rsid w:val="00AA1823"/>
    <w:rsid w:val="00AA19A5"/>
    <w:rsid w:val="00AA482D"/>
    <w:rsid w:val="00AA5EF5"/>
    <w:rsid w:val="00AB546B"/>
    <w:rsid w:val="00AC1266"/>
    <w:rsid w:val="00AC2333"/>
    <w:rsid w:val="00AC4BE6"/>
    <w:rsid w:val="00AC79D8"/>
    <w:rsid w:val="00AD09D0"/>
    <w:rsid w:val="00AE079A"/>
    <w:rsid w:val="00AE0F27"/>
    <w:rsid w:val="00AE5599"/>
    <w:rsid w:val="00AE6262"/>
    <w:rsid w:val="00AE6E6E"/>
    <w:rsid w:val="00AF1F14"/>
    <w:rsid w:val="00AF2766"/>
    <w:rsid w:val="00AF4733"/>
    <w:rsid w:val="00AF5522"/>
    <w:rsid w:val="00AF715D"/>
    <w:rsid w:val="00B01837"/>
    <w:rsid w:val="00B04E08"/>
    <w:rsid w:val="00B16548"/>
    <w:rsid w:val="00B2309A"/>
    <w:rsid w:val="00B23AD5"/>
    <w:rsid w:val="00B26D3A"/>
    <w:rsid w:val="00B27D01"/>
    <w:rsid w:val="00B340B0"/>
    <w:rsid w:val="00B4242A"/>
    <w:rsid w:val="00B447FD"/>
    <w:rsid w:val="00B4491D"/>
    <w:rsid w:val="00B464D2"/>
    <w:rsid w:val="00B51EEA"/>
    <w:rsid w:val="00B528A4"/>
    <w:rsid w:val="00B54F3B"/>
    <w:rsid w:val="00B60B44"/>
    <w:rsid w:val="00B669C5"/>
    <w:rsid w:val="00B70F30"/>
    <w:rsid w:val="00B7352E"/>
    <w:rsid w:val="00B73A54"/>
    <w:rsid w:val="00B866CF"/>
    <w:rsid w:val="00B94214"/>
    <w:rsid w:val="00B948A2"/>
    <w:rsid w:val="00B96EC2"/>
    <w:rsid w:val="00B97B75"/>
    <w:rsid w:val="00B97C6E"/>
    <w:rsid w:val="00BA0A4A"/>
    <w:rsid w:val="00BA1267"/>
    <w:rsid w:val="00BA31E4"/>
    <w:rsid w:val="00BA32A0"/>
    <w:rsid w:val="00BA55CF"/>
    <w:rsid w:val="00BA5A28"/>
    <w:rsid w:val="00BA6447"/>
    <w:rsid w:val="00BB0F59"/>
    <w:rsid w:val="00BB4C5E"/>
    <w:rsid w:val="00BB6920"/>
    <w:rsid w:val="00BC2A6B"/>
    <w:rsid w:val="00BC2E6B"/>
    <w:rsid w:val="00BC2FC4"/>
    <w:rsid w:val="00BC3AE7"/>
    <w:rsid w:val="00BC690D"/>
    <w:rsid w:val="00BD7436"/>
    <w:rsid w:val="00BD78C6"/>
    <w:rsid w:val="00BE1557"/>
    <w:rsid w:val="00BE1EC8"/>
    <w:rsid w:val="00BE3A17"/>
    <w:rsid w:val="00BE4547"/>
    <w:rsid w:val="00BF2B91"/>
    <w:rsid w:val="00BF462B"/>
    <w:rsid w:val="00BF690E"/>
    <w:rsid w:val="00C04C2D"/>
    <w:rsid w:val="00C0503F"/>
    <w:rsid w:val="00C05200"/>
    <w:rsid w:val="00C07A07"/>
    <w:rsid w:val="00C07A3C"/>
    <w:rsid w:val="00C12301"/>
    <w:rsid w:val="00C14555"/>
    <w:rsid w:val="00C16454"/>
    <w:rsid w:val="00C17466"/>
    <w:rsid w:val="00C25C20"/>
    <w:rsid w:val="00C31636"/>
    <w:rsid w:val="00C35DEC"/>
    <w:rsid w:val="00C3601D"/>
    <w:rsid w:val="00C40962"/>
    <w:rsid w:val="00C42585"/>
    <w:rsid w:val="00C431DC"/>
    <w:rsid w:val="00C45BD6"/>
    <w:rsid w:val="00C476D6"/>
    <w:rsid w:val="00C53023"/>
    <w:rsid w:val="00C53262"/>
    <w:rsid w:val="00C54705"/>
    <w:rsid w:val="00C63F16"/>
    <w:rsid w:val="00C677AA"/>
    <w:rsid w:val="00C70D18"/>
    <w:rsid w:val="00C72061"/>
    <w:rsid w:val="00C739E1"/>
    <w:rsid w:val="00C763DF"/>
    <w:rsid w:val="00C77BE9"/>
    <w:rsid w:val="00C77FDA"/>
    <w:rsid w:val="00C85E9C"/>
    <w:rsid w:val="00C86BE9"/>
    <w:rsid w:val="00C96981"/>
    <w:rsid w:val="00CA05ED"/>
    <w:rsid w:val="00CA09F9"/>
    <w:rsid w:val="00CA0F51"/>
    <w:rsid w:val="00CA465F"/>
    <w:rsid w:val="00CA72B4"/>
    <w:rsid w:val="00CA7557"/>
    <w:rsid w:val="00CA7EC2"/>
    <w:rsid w:val="00CB78A6"/>
    <w:rsid w:val="00CC0313"/>
    <w:rsid w:val="00CC12F1"/>
    <w:rsid w:val="00CC157F"/>
    <w:rsid w:val="00CC28B4"/>
    <w:rsid w:val="00CC39E6"/>
    <w:rsid w:val="00CC4473"/>
    <w:rsid w:val="00CC7C5A"/>
    <w:rsid w:val="00CC7CB8"/>
    <w:rsid w:val="00CD2748"/>
    <w:rsid w:val="00CD3117"/>
    <w:rsid w:val="00CD7A60"/>
    <w:rsid w:val="00CE20ED"/>
    <w:rsid w:val="00CE2F93"/>
    <w:rsid w:val="00CE3BC7"/>
    <w:rsid w:val="00CE5B6F"/>
    <w:rsid w:val="00CE726F"/>
    <w:rsid w:val="00CE7B8E"/>
    <w:rsid w:val="00CF073D"/>
    <w:rsid w:val="00CF0D90"/>
    <w:rsid w:val="00CF1BF9"/>
    <w:rsid w:val="00CF3066"/>
    <w:rsid w:val="00CF323C"/>
    <w:rsid w:val="00CF399C"/>
    <w:rsid w:val="00CF53A0"/>
    <w:rsid w:val="00CF54C9"/>
    <w:rsid w:val="00CF6149"/>
    <w:rsid w:val="00CF7E48"/>
    <w:rsid w:val="00D0259D"/>
    <w:rsid w:val="00D02B92"/>
    <w:rsid w:val="00D07EB8"/>
    <w:rsid w:val="00D10DEC"/>
    <w:rsid w:val="00D12860"/>
    <w:rsid w:val="00D12EA6"/>
    <w:rsid w:val="00D169D3"/>
    <w:rsid w:val="00D16BE0"/>
    <w:rsid w:val="00D20381"/>
    <w:rsid w:val="00D2132F"/>
    <w:rsid w:val="00D22B92"/>
    <w:rsid w:val="00D26FD6"/>
    <w:rsid w:val="00D438A8"/>
    <w:rsid w:val="00D45E0B"/>
    <w:rsid w:val="00D5098C"/>
    <w:rsid w:val="00D5141C"/>
    <w:rsid w:val="00D517D1"/>
    <w:rsid w:val="00D54A87"/>
    <w:rsid w:val="00D56EFF"/>
    <w:rsid w:val="00D636A7"/>
    <w:rsid w:val="00D6640F"/>
    <w:rsid w:val="00D72408"/>
    <w:rsid w:val="00D72B6E"/>
    <w:rsid w:val="00D7479B"/>
    <w:rsid w:val="00D75A80"/>
    <w:rsid w:val="00D82E9B"/>
    <w:rsid w:val="00D83C3F"/>
    <w:rsid w:val="00D83D3F"/>
    <w:rsid w:val="00D840E9"/>
    <w:rsid w:val="00D848A1"/>
    <w:rsid w:val="00D87B44"/>
    <w:rsid w:val="00D9015D"/>
    <w:rsid w:val="00D90E4C"/>
    <w:rsid w:val="00D918D8"/>
    <w:rsid w:val="00D945AF"/>
    <w:rsid w:val="00D95C11"/>
    <w:rsid w:val="00DA05F5"/>
    <w:rsid w:val="00DA2DBD"/>
    <w:rsid w:val="00DA3E13"/>
    <w:rsid w:val="00DA4FCC"/>
    <w:rsid w:val="00DA5972"/>
    <w:rsid w:val="00DA7886"/>
    <w:rsid w:val="00DC2796"/>
    <w:rsid w:val="00DC6B1D"/>
    <w:rsid w:val="00DC76B5"/>
    <w:rsid w:val="00DC7E44"/>
    <w:rsid w:val="00DD0159"/>
    <w:rsid w:val="00DD12FC"/>
    <w:rsid w:val="00DD2A67"/>
    <w:rsid w:val="00DD3E82"/>
    <w:rsid w:val="00DD5341"/>
    <w:rsid w:val="00DD550A"/>
    <w:rsid w:val="00DD69F2"/>
    <w:rsid w:val="00DD757C"/>
    <w:rsid w:val="00DE2DE6"/>
    <w:rsid w:val="00DE6DC9"/>
    <w:rsid w:val="00DE756D"/>
    <w:rsid w:val="00DF1B49"/>
    <w:rsid w:val="00DF1C0F"/>
    <w:rsid w:val="00E01224"/>
    <w:rsid w:val="00E016DD"/>
    <w:rsid w:val="00E13D74"/>
    <w:rsid w:val="00E17792"/>
    <w:rsid w:val="00E2395E"/>
    <w:rsid w:val="00E23F68"/>
    <w:rsid w:val="00E26736"/>
    <w:rsid w:val="00E32171"/>
    <w:rsid w:val="00E32976"/>
    <w:rsid w:val="00E33176"/>
    <w:rsid w:val="00E34BEB"/>
    <w:rsid w:val="00E37425"/>
    <w:rsid w:val="00E40D04"/>
    <w:rsid w:val="00E41D5A"/>
    <w:rsid w:val="00E4503D"/>
    <w:rsid w:val="00E469B9"/>
    <w:rsid w:val="00E52929"/>
    <w:rsid w:val="00E53E56"/>
    <w:rsid w:val="00E5444E"/>
    <w:rsid w:val="00E56694"/>
    <w:rsid w:val="00E60B77"/>
    <w:rsid w:val="00E61472"/>
    <w:rsid w:val="00E6191A"/>
    <w:rsid w:val="00E62129"/>
    <w:rsid w:val="00E62905"/>
    <w:rsid w:val="00E63EEE"/>
    <w:rsid w:val="00E64031"/>
    <w:rsid w:val="00E65E64"/>
    <w:rsid w:val="00E67D31"/>
    <w:rsid w:val="00E74988"/>
    <w:rsid w:val="00E7570C"/>
    <w:rsid w:val="00E84962"/>
    <w:rsid w:val="00E84EFB"/>
    <w:rsid w:val="00E84F61"/>
    <w:rsid w:val="00E92CEB"/>
    <w:rsid w:val="00E94AFD"/>
    <w:rsid w:val="00E96560"/>
    <w:rsid w:val="00E97A00"/>
    <w:rsid w:val="00EA0C4D"/>
    <w:rsid w:val="00EA1CEB"/>
    <w:rsid w:val="00EA6C97"/>
    <w:rsid w:val="00EB2D20"/>
    <w:rsid w:val="00EB2E0A"/>
    <w:rsid w:val="00EB379C"/>
    <w:rsid w:val="00EB62BD"/>
    <w:rsid w:val="00EB62DE"/>
    <w:rsid w:val="00EB6528"/>
    <w:rsid w:val="00EB6B40"/>
    <w:rsid w:val="00EC228B"/>
    <w:rsid w:val="00EC3B21"/>
    <w:rsid w:val="00ED5DDE"/>
    <w:rsid w:val="00ED66BE"/>
    <w:rsid w:val="00ED69A1"/>
    <w:rsid w:val="00EE0281"/>
    <w:rsid w:val="00EE2F1D"/>
    <w:rsid w:val="00EE3B5D"/>
    <w:rsid w:val="00EE465C"/>
    <w:rsid w:val="00EE4934"/>
    <w:rsid w:val="00EE743C"/>
    <w:rsid w:val="00EE7EEB"/>
    <w:rsid w:val="00EF05FB"/>
    <w:rsid w:val="00EF3141"/>
    <w:rsid w:val="00EF357D"/>
    <w:rsid w:val="00EF3FF5"/>
    <w:rsid w:val="00F022E3"/>
    <w:rsid w:val="00F02A1F"/>
    <w:rsid w:val="00F04385"/>
    <w:rsid w:val="00F06FF7"/>
    <w:rsid w:val="00F101AE"/>
    <w:rsid w:val="00F10C3E"/>
    <w:rsid w:val="00F11144"/>
    <w:rsid w:val="00F11904"/>
    <w:rsid w:val="00F143A1"/>
    <w:rsid w:val="00F17EBD"/>
    <w:rsid w:val="00F22670"/>
    <w:rsid w:val="00F25610"/>
    <w:rsid w:val="00F26E34"/>
    <w:rsid w:val="00F26FBD"/>
    <w:rsid w:val="00F330D0"/>
    <w:rsid w:val="00F40F07"/>
    <w:rsid w:val="00F41753"/>
    <w:rsid w:val="00F41D8F"/>
    <w:rsid w:val="00F4237F"/>
    <w:rsid w:val="00F440C8"/>
    <w:rsid w:val="00F53655"/>
    <w:rsid w:val="00F54D14"/>
    <w:rsid w:val="00F5539F"/>
    <w:rsid w:val="00F575AE"/>
    <w:rsid w:val="00F61CFA"/>
    <w:rsid w:val="00F7050B"/>
    <w:rsid w:val="00F72C57"/>
    <w:rsid w:val="00F765B7"/>
    <w:rsid w:val="00F76714"/>
    <w:rsid w:val="00F77F7D"/>
    <w:rsid w:val="00F85255"/>
    <w:rsid w:val="00F85593"/>
    <w:rsid w:val="00F86489"/>
    <w:rsid w:val="00F86AAA"/>
    <w:rsid w:val="00F957E7"/>
    <w:rsid w:val="00F9682B"/>
    <w:rsid w:val="00FA11C3"/>
    <w:rsid w:val="00FA4123"/>
    <w:rsid w:val="00FA7F29"/>
    <w:rsid w:val="00FB15C0"/>
    <w:rsid w:val="00FB26A2"/>
    <w:rsid w:val="00FB40B3"/>
    <w:rsid w:val="00FC1C5B"/>
    <w:rsid w:val="00FC21E3"/>
    <w:rsid w:val="00FC38F8"/>
    <w:rsid w:val="00FC4156"/>
    <w:rsid w:val="00FC6BA8"/>
    <w:rsid w:val="00FD4450"/>
    <w:rsid w:val="00FE2748"/>
    <w:rsid w:val="00FE387A"/>
    <w:rsid w:val="00FE5BA3"/>
    <w:rsid w:val="00FE793D"/>
    <w:rsid w:val="00FF0158"/>
    <w:rsid w:val="00FF1546"/>
    <w:rsid w:val="00FF1D9C"/>
    <w:rsid w:val="00FF4E32"/>
    <w:rsid w:val="01D5E6C1"/>
    <w:rsid w:val="03504F35"/>
    <w:rsid w:val="03821013"/>
    <w:rsid w:val="03DA3F09"/>
    <w:rsid w:val="04355205"/>
    <w:rsid w:val="0507E52F"/>
    <w:rsid w:val="06C42CBC"/>
    <w:rsid w:val="0A64B9BF"/>
    <w:rsid w:val="0AC63FE9"/>
    <w:rsid w:val="0AD97E91"/>
    <w:rsid w:val="0B4C788C"/>
    <w:rsid w:val="0C11A418"/>
    <w:rsid w:val="0CC45582"/>
    <w:rsid w:val="0D0EEAEB"/>
    <w:rsid w:val="0E9ED053"/>
    <w:rsid w:val="0F70F5B9"/>
    <w:rsid w:val="0F7804AC"/>
    <w:rsid w:val="10DE4506"/>
    <w:rsid w:val="115B46CA"/>
    <w:rsid w:val="12879FF5"/>
    <w:rsid w:val="12CB6819"/>
    <w:rsid w:val="18BBA30F"/>
    <w:rsid w:val="193E6861"/>
    <w:rsid w:val="1A12A9E5"/>
    <w:rsid w:val="1B13AA30"/>
    <w:rsid w:val="1C237BD9"/>
    <w:rsid w:val="1C3C0DB3"/>
    <w:rsid w:val="1C5E753A"/>
    <w:rsid w:val="1C724A5F"/>
    <w:rsid w:val="1C7B66D5"/>
    <w:rsid w:val="1C80219A"/>
    <w:rsid w:val="1D0EB515"/>
    <w:rsid w:val="1E590200"/>
    <w:rsid w:val="1EDCBE9E"/>
    <w:rsid w:val="20467319"/>
    <w:rsid w:val="22263FCD"/>
    <w:rsid w:val="242A1CCC"/>
    <w:rsid w:val="243FEE34"/>
    <w:rsid w:val="24E5FF87"/>
    <w:rsid w:val="25DBBE95"/>
    <w:rsid w:val="26AD097D"/>
    <w:rsid w:val="26ED8801"/>
    <w:rsid w:val="276AC69A"/>
    <w:rsid w:val="2935D505"/>
    <w:rsid w:val="2A034AE9"/>
    <w:rsid w:val="2A1792D8"/>
    <w:rsid w:val="2A9DE8C8"/>
    <w:rsid w:val="2AA03617"/>
    <w:rsid w:val="2AAF2FB8"/>
    <w:rsid w:val="2CF8B9D3"/>
    <w:rsid w:val="2D866373"/>
    <w:rsid w:val="2E275E3C"/>
    <w:rsid w:val="300A5402"/>
    <w:rsid w:val="30789820"/>
    <w:rsid w:val="3244511D"/>
    <w:rsid w:val="32D23A0F"/>
    <w:rsid w:val="33BAB4C9"/>
    <w:rsid w:val="3609DAD1"/>
    <w:rsid w:val="36F615E0"/>
    <w:rsid w:val="3A4D43DA"/>
    <w:rsid w:val="3A4F6302"/>
    <w:rsid w:val="3A7D7D53"/>
    <w:rsid w:val="3B6405D2"/>
    <w:rsid w:val="3BC05EE0"/>
    <w:rsid w:val="3BD20B06"/>
    <w:rsid w:val="3CAE679A"/>
    <w:rsid w:val="3F027B89"/>
    <w:rsid w:val="40C4008C"/>
    <w:rsid w:val="41235A2F"/>
    <w:rsid w:val="420F2F9C"/>
    <w:rsid w:val="42DF6192"/>
    <w:rsid w:val="43B73155"/>
    <w:rsid w:val="4459AEC0"/>
    <w:rsid w:val="456F89B0"/>
    <w:rsid w:val="458C2BF4"/>
    <w:rsid w:val="462876C5"/>
    <w:rsid w:val="47A017E4"/>
    <w:rsid w:val="481F478A"/>
    <w:rsid w:val="48978DE1"/>
    <w:rsid w:val="497F368B"/>
    <w:rsid w:val="49999597"/>
    <w:rsid w:val="4A2C56A6"/>
    <w:rsid w:val="4AA78918"/>
    <w:rsid w:val="4B623D01"/>
    <w:rsid w:val="4C4A005A"/>
    <w:rsid w:val="4CD3FD56"/>
    <w:rsid w:val="4EFBD6F6"/>
    <w:rsid w:val="4FB1E764"/>
    <w:rsid w:val="52F49AE3"/>
    <w:rsid w:val="53E4100E"/>
    <w:rsid w:val="54855887"/>
    <w:rsid w:val="570452E8"/>
    <w:rsid w:val="570E2E40"/>
    <w:rsid w:val="58824075"/>
    <w:rsid w:val="5A1E1EBA"/>
    <w:rsid w:val="5AC09F7A"/>
    <w:rsid w:val="5B505B77"/>
    <w:rsid w:val="5B7860CB"/>
    <w:rsid w:val="5BBF29A5"/>
    <w:rsid w:val="5C0BF91E"/>
    <w:rsid w:val="5C722774"/>
    <w:rsid w:val="5CD856B3"/>
    <w:rsid w:val="5F1FFDC0"/>
    <w:rsid w:val="5F711577"/>
    <w:rsid w:val="605ECFC5"/>
    <w:rsid w:val="61929F79"/>
    <w:rsid w:val="625B5D28"/>
    <w:rsid w:val="626E0458"/>
    <w:rsid w:val="63D63B1D"/>
    <w:rsid w:val="63DFCCE5"/>
    <w:rsid w:val="64A7287D"/>
    <w:rsid w:val="64BE0DF2"/>
    <w:rsid w:val="65A7D502"/>
    <w:rsid w:val="6665AD09"/>
    <w:rsid w:val="68DED973"/>
    <w:rsid w:val="699DB15E"/>
    <w:rsid w:val="6A4FC9D3"/>
    <w:rsid w:val="6A5FEDE0"/>
    <w:rsid w:val="6B830A8E"/>
    <w:rsid w:val="6BDD8E3F"/>
    <w:rsid w:val="6C11648E"/>
    <w:rsid w:val="6CCC436D"/>
    <w:rsid w:val="6CD55220"/>
    <w:rsid w:val="6CF60261"/>
    <w:rsid w:val="6CF6FE80"/>
    <w:rsid w:val="6E60B1F3"/>
    <w:rsid w:val="6E7F64F3"/>
    <w:rsid w:val="6F25323B"/>
    <w:rsid w:val="722A758D"/>
    <w:rsid w:val="73AC107A"/>
    <w:rsid w:val="74385697"/>
    <w:rsid w:val="749C2A0F"/>
    <w:rsid w:val="75154F0D"/>
    <w:rsid w:val="7647EEFF"/>
    <w:rsid w:val="785E7D61"/>
    <w:rsid w:val="78BA7F05"/>
    <w:rsid w:val="79ACB1EB"/>
    <w:rsid w:val="79B6816F"/>
    <w:rsid w:val="7BF58022"/>
    <w:rsid w:val="7C6CB70C"/>
    <w:rsid w:val="7DE6E6C9"/>
    <w:rsid w:val="7E458BB1"/>
    <w:rsid w:val="7F7B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609D55"/>
  <w15:docId w15:val="{44B6743F-012A-4CF6-A364-A6FD6892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paragraph" w:styleId="Heading9">
    <w:name w:val="heading 9"/>
    <w:basedOn w:val="Normal"/>
    <w:next w:val="Normal"/>
    <w:link w:val="Heading9Char"/>
    <w:uiPriority w:val="9"/>
    <w:semiHidden/>
    <w:unhideWhenUsed/>
    <w:qFormat/>
    <w:rsid w:val="004526B1"/>
    <w:pPr>
      <w:keepNext/>
      <w:keepLines/>
      <w:spacing w:before="40" w:after="0"/>
      <w:jc w:val="left"/>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0D4B"/>
    <w:rPr>
      <w:sz w:val="16"/>
      <w:szCs w:val="16"/>
    </w:rPr>
  </w:style>
  <w:style w:type="paragraph" w:styleId="CommentText">
    <w:name w:val="annotation text"/>
    <w:basedOn w:val="Normal"/>
    <w:link w:val="CommentTextChar"/>
    <w:uiPriority w:val="99"/>
    <w:unhideWhenUsed/>
    <w:rsid w:val="008F0D4B"/>
    <w:rPr>
      <w:sz w:val="20"/>
      <w:szCs w:val="20"/>
    </w:rPr>
  </w:style>
  <w:style w:type="character" w:customStyle="1" w:styleId="CommentTextChar">
    <w:name w:val="Comment Text Char"/>
    <w:basedOn w:val="DefaultParagraphFont"/>
    <w:link w:val="CommentText"/>
    <w:uiPriority w:val="99"/>
    <w:rsid w:val="008F0D4B"/>
    <w:rPr>
      <w:rFonts w:ascii="Times New Roman" w:hAnsi="Times New Roman" w:cs="Times New Roman"/>
      <w:sz w:val="20"/>
      <w:szCs w:val="20"/>
      <w:lang w:val="lv-LV"/>
    </w:rPr>
  </w:style>
  <w:style w:type="paragraph" w:styleId="BalloonText">
    <w:name w:val="Balloon Text"/>
    <w:basedOn w:val="Normal"/>
    <w:link w:val="BalloonTextChar"/>
    <w:uiPriority w:val="99"/>
    <w:semiHidden/>
    <w:unhideWhenUsed/>
    <w:rsid w:val="008F0D4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D4B"/>
    <w:rPr>
      <w:rFonts w:ascii="Segoe UI" w:hAnsi="Segoe UI" w:cs="Segoe UI"/>
      <w:sz w:val="18"/>
      <w:szCs w:val="18"/>
      <w:lang w:val="lv-LV"/>
    </w:rPr>
  </w:style>
  <w:style w:type="paragraph" w:styleId="ListParagraph">
    <w:name w:val="List Paragraph"/>
    <w:aliases w:val="Paragraphe EI,Paragraphe de liste1,EC,Normal bullet 2,Bullet list,List Paragraph1,Numbered List,1st level - Bullet List Paragraph,Lettre d'introduction,Medium Grid 1 - Accent 21,List Paragraph11,Dot pt,3,Paragrafo elenco,Issue Action POC"/>
    <w:basedOn w:val="Normal"/>
    <w:link w:val="ListParagraphChar"/>
    <w:uiPriority w:val="34"/>
    <w:qFormat/>
    <w:rsid w:val="00025552"/>
    <w:pPr>
      <w:ind w:left="720"/>
      <w:contextualSpacing/>
    </w:pPr>
  </w:style>
  <w:style w:type="paragraph" w:styleId="ListBullet">
    <w:name w:val="List Bullet"/>
    <w:basedOn w:val="Normal"/>
    <w:uiPriority w:val="99"/>
    <w:semiHidden/>
    <w:unhideWhenUsed/>
    <w:rsid w:val="00361EB0"/>
    <w:pPr>
      <w:numPr>
        <w:numId w:val="1"/>
      </w:numPr>
      <w:contextualSpacing/>
    </w:pPr>
  </w:style>
  <w:style w:type="paragraph" w:styleId="ListBullet2">
    <w:name w:val="List Bullet 2"/>
    <w:basedOn w:val="Normal"/>
    <w:uiPriority w:val="99"/>
    <w:semiHidden/>
    <w:unhideWhenUsed/>
    <w:rsid w:val="00361EB0"/>
    <w:pPr>
      <w:numPr>
        <w:numId w:val="2"/>
      </w:numPr>
      <w:contextualSpacing/>
    </w:pPr>
  </w:style>
  <w:style w:type="paragraph" w:styleId="ListBullet3">
    <w:name w:val="List Bullet 3"/>
    <w:basedOn w:val="Normal"/>
    <w:uiPriority w:val="99"/>
    <w:semiHidden/>
    <w:unhideWhenUsed/>
    <w:rsid w:val="00361EB0"/>
    <w:pPr>
      <w:numPr>
        <w:numId w:val="3"/>
      </w:numPr>
      <w:contextualSpacing/>
    </w:pPr>
  </w:style>
  <w:style w:type="paragraph" w:styleId="ListBullet4">
    <w:name w:val="List Bullet 4"/>
    <w:basedOn w:val="Normal"/>
    <w:uiPriority w:val="99"/>
    <w:semiHidden/>
    <w:unhideWhenUsed/>
    <w:rsid w:val="00361EB0"/>
    <w:pPr>
      <w:numPr>
        <w:numId w:val="4"/>
      </w:numPr>
      <w:contextualSpacing/>
    </w:pPr>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Medium Grid 1 - Accent 21 Char"/>
    <w:basedOn w:val="DefaultParagraphFont"/>
    <w:link w:val="ListParagraph"/>
    <w:uiPriority w:val="34"/>
    <w:qFormat/>
    <w:locked/>
    <w:rsid w:val="00AE6262"/>
    <w:rPr>
      <w:rFonts w:ascii="Times New Roman" w:hAnsi="Times New Roman" w:cs="Times New Roman"/>
      <w:sz w:val="24"/>
      <w:lang w:val="lv-LV"/>
    </w:rPr>
  </w:style>
  <w:style w:type="paragraph" w:styleId="ListNumber">
    <w:name w:val="List Number"/>
    <w:basedOn w:val="Normal"/>
    <w:uiPriority w:val="99"/>
    <w:semiHidden/>
    <w:unhideWhenUsed/>
    <w:rsid w:val="00F17EBD"/>
    <w:pPr>
      <w:numPr>
        <w:numId w:val="5"/>
      </w:numPr>
      <w:contextualSpacing/>
    </w:pPr>
  </w:style>
  <w:style w:type="character" w:styleId="Hyperlink">
    <w:name w:val="Hyperlink"/>
    <w:basedOn w:val="DefaultParagraphFont"/>
    <w:uiPriority w:val="99"/>
    <w:rsid w:val="00616C88"/>
    <w:rPr>
      <w:color w:val="0000FF" w:themeColor="hyperlink"/>
      <w:u w:val="single"/>
    </w:rPr>
  </w:style>
  <w:style w:type="paragraph" w:styleId="Revision">
    <w:name w:val="Revision"/>
    <w:hidden/>
    <w:uiPriority w:val="99"/>
    <w:semiHidden/>
    <w:rsid w:val="00F61CFA"/>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F022E3"/>
    <w:rPr>
      <w:b/>
      <w:bCs/>
    </w:rPr>
  </w:style>
  <w:style w:type="character" w:customStyle="1" w:styleId="CommentSubjectChar">
    <w:name w:val="Comment Subject Char"/>
    <w:basedOn w:val="CommentTextChar"/>
    <w:link w:val="CommentSubject"/>
    <w:uiPriority w:val="99"/>
    <w:semiHidden/>
    <w:rsid w:val="00F022E3"/>
    <w:rPr>
      <w:rFonts w:ascii="Times New Roman" w:hAnsi="Times New Roman" w:cs="Times New Roman"/>
      <w:b/>
      <w:bCs/>
      <w:sz w:val="20"/>
      <w:szCs w:val="20"/>
      <w:lang w:val="lv-LV"/>
    </w:rPr>
  </w:style>
  <w:style w:type="character" w:styleId="PlaceholderText">
    <w:name w:val="Placeholder Text"/>
    <w:basedOn w:val="DefaultParagraphFont"/>
    <w:uiPriority w:val="99"/>
    <w:semiHidden/>
    <w:rsid w:val="00777FB7"/>
    <w:rPr>
      <w:color w:val="808080"/>
    </w:rPr>
  </w:style>
  <w:style w:type="character" w:customStyle="1" w:styleId="Heading9Char">
    <w:name w:val="Heading 9 Char"/>
    <w:basedOn w:val="DefaultParagraphFont"/>
    <w:link w:val="Heading9"/>
    <w:uiPriority w:val="9"/>
    <w:semiHidden/>
    <w:rsid w:val="004526B1"/>
    <w:rPr>
      <w:rFonts w:asciiTheme="majorHAnsi" w:eastAsiaTheme="majorEastAsia" w:hAnsiTheme="majorHAnsi" w:cstheme="majorBidi"/>
      <w:i/>
      <w:iCs/>
      <w:color w:val="272727" w:themeColor="text1" w:themeTint="D8"/>
      <w:sz w:val="21"/>
      <w:szCs w:val="21"/>
      <w:lang w:val="lv-LV" w:eastAsia="en-GB"/>
    </w:rPr>
  </w:style>
  <w:style w:type="character" w:customStyle="1" w:styleId="UnresolvedMention">
    <w:name w:val="Unresolved Mention"/>
    <w:basedOn w:val="DefaultParagraphFont"/>
    <w:uiPriority w:val="99"/>
    <w:semiHidden/>
    <w:unhideWhenUsed/>
    <w:rsid w:val="006974B0"/>
    <w:rPr>
      <w:color w:val="605E5C"/>
      <w:shd w:val="clear" w:color="auto" w:fill="E1DFDD"/>
    </w:rPr>
  </w:style>
  <w:style w:type="character" w:styleId="Strong">
    <w:name w:val="Strong"/>
    <w:basedOn w:val="DefaultParagraphFont"/>
    <w:uiPriority w:val="22"/>
    <w:qFormat/>
    <w:rsid w:val="005D7F55"/>
    <w:rPr>
      <w:b/>
      <w:bCs/>
    </w:rPr>
  </w:style>
  <w:style w:type="character" w:styleId="Emphasis">
    <w:name w:val="Emphasis"/>
    <w:basedOn w:val="DefaultParagraphFont"/>
    <w:uiPriority w:val="20"/>
    <w:qFormat/>
    <w:rsid w:val="005D7F55"/>
    <w:rPr>
      <w:i/>
      <w:iCs/>
    </w:rPr>
  </w:style>
  <w:style w:type="character" w:customStyle="1" w:styleId="HeaderChar">
    <w:name w:val="Header Char"/>
    <w:basedOn w:val="DefaultParagraphFont"/>
    <w:link w:val="Header"/>
    <w:uiPriority w:val="99"/>
    <w:rsid w:val="00620A84"/>
    <w:rPr>
      <w:rFonts w:ascii="Times New Roman" w:hAnsi="Times New Roman" w:cs="Times New Roman"/>
      <w:sz w:val="24"/>
      <w:lang w:val="lv-LV"/>
    </w:rPr>
  </w:style>
  <w:style w:type="character" w:customStyle="1" w:styleId="FooterChar">
    <w:name w:val="Footer Char"/>
    <w:basedOn w:val="DefaultParagraphFont"/>
    <w:link w:val="Footer"/>
    <w:uiPriority w:val="99"/>
    <w:rsid w:val="00620A84"/>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20A8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20A84"/>
    <w:pPr>
      <w:spacing w:before="0"/>
      <w:jc w:val="right"/>
    </w:pPr>
    <w:rPr>
      <w:sz w:val="28"/>
    </w:rPr>
  </w:style>
  <w:style w:type="paragraph" w:customStyle="1" w:styleId="FooterSensitivity">
    <w:name w:val="Footer Sensitivity"/>
    <w:basedOn w:val="Normal"/>
    <w:rsid w:val="00620A8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20A84"/>
    <w:pPr>
      <w:tabs>
        <w:tab w:val="center" w:pos="4535"/>
        <w:tab w:val="right" w:pos="9071"/>
      </w:tabs>
      <w:spacing w:before="0"/>
    </w:pPr>
  </w:style>
  <w:style w:type="paragraph" w:customStyle="1" w:styleId="HeaderLandscape">
    <w:name w:val="HeaderLandscape"/>
    <w:basedOn w:val="Normal"/>
    <w:rsid w:val="00620A84"/>
    <w:pPr>
      <w:tabs>
        <w:tab w:val="center" w:pos="7285"/>
        <w:tab w:val="right" w:pos="14003"/>
      </w:tabs>
      <w:spacing w:before="0"/>
    </w:pPr>
  </w:style>
  <w:style w:type="paragraph" w:styleId="Footer">
    <w:name w:val="footer"/>
    <w:basedOn w:val="Normal"/>
    <w:link w:val="FooterChar"/>
    <w:uiPriority w:val="99"/>
    <w:unhideWhenUsed/>
    <w:rsid w:val="00620A8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20A8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050351">
      <w:bodyDiv w:val="1"/>
      <w:marLeft w:val="0"/>
      <w:marRight w:val="0"/>
      <w:marTop w:val="0"/>
      <w:marBottom w:val="0"/>
      <w:divBdr>
        <w:top w:val="none" w:sz="0" w:space="0" w:color="auto"/>
        <w:left w:val="none" w:sz="0" w:space="0" w:color="auto"/>
        <w:bottom w:val="none" w:sz="0" w:space="0" w:color="auto"/>
        <w:right w:val="none" w:sz="0" w:space="0" w:color="auto"/>
      </w:divBdr>
    </w:div>
    <w:div w:id="68389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2023-09/Joint-ESAs__response_to_the_Call_for_advice_on_the_designation_criteria_and_fees_for_the_DORA_oversight_framework_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E2997-A03A-494E-92E9-E4329DA48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30F1A-A0CF-4A9E-A438-AFD9FE586790}">
  <ds:schemaRefs>
    <ds:schemaRef ds:uri="http://schemas.microsoft.com/sharepoint/v3/contenttype/forms"/>
  </ds:schemaRefs>
</ds:datastoreItem>
</file>

<file path=customXml/itemProps3.xml><?xml version="1.0" encoding="utf-8"?>
<ds:datastoreItem xmlns:ds="http://schemas.openxmlformats.org/officeDocument/2006/customXml" ds:itemID="{4DDBBC64-8002-466B-AE48-C07EC27CA6F2}">
  <ds:schemaRefs>
    <ds:schemaRef ds:uri="39d607b5-3019-4139-86e9-2e131faaffa8"/>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379e0a09-5deb-44c7-a703-b352a170740d"/>
    <ds:schemaRef ds:uri="http://schemas.microsoft.com/sharepoint/v3/fields"/>
    <ds:schemaRef ds:uri="http://www.w3.org/XML/1998/namespace"/>
    <ds:schemaRef ds:uri="http://purl.org/dc/terms/"/>
  </ds:schemaRefs>
</ds:datastoreItem>
</file>

<file path=customXml/itemProps4.xml><?xml version="1.0" encoding="utf-8"?>
<ds:datastoreItem xmlns:ds="http://schemas.openxmlformats.org/officeDocument/2006/customXml" ds:itemID="{C9CA86FE-4C17-4B66-A56D-802BBEBC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83</TotalTime>
  <Pages>8</Pages>
  <Words>4487</Words>
  <Characters>25582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70</cp:revision>
  <cp:lastPrinted>2023-10-06T14:18:00Z</cp:lastPrinted>
  <dcterms:created xsi:type="dcterms:W3CDTF">2023-12-20T13:02:00Z</dcterms:created>
  <dcterms:modified xsi:type="dcterms:W3CDTF">2024-02-21T15:29:00Z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2023-06-12T12:48:22Z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3fb54677-7dc1-4b59-86c2-a0705060ad78</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SJ-003</vt:lpwstr>
  </property>
  <property fmtid="{D5CDD505-2E9C-101B-9397-08002B2CF9AE}" pid="17" name="ContentTypeId">
    <vt:lpwstr>0x010100258AA79CEB83498886A3A086811232500033285A78CCB54F4DA2ECE5FA2B2AF218</vt:lpwstr>
  </property>
  <property fmtid="{D5CDD505-2E9C-101B-9397-08002B2CF9AE}" pid="18" name="ERISKeywords">
    <vt:lpwstr/>
  </property>
  <property fmtid="{D5CDD505-2E9C-101B-9397-08002B2CF9AE}" pid="19" name="ERISDocumentType">
    <vt:lpwstr/>
  </property>
  <property fmtid="{D5CDD505-2E9C-101B-9397-08002B2CF9AE}" pid="20" name="MediaServiceImageTags">
    <vt:lpwstr/>
  </property>
  <property fmtid="{D5CDD505-2E9C-101B-9397-08002B2CF9AE}" pid="21" name="DQCStatus">
    <vt:lpwstr>Green (DQC version 03)</vt:lpwstr>
  </property>
  <property name="OP_sanitized" fmtid="{D5CDD505-2E9C-101B-9397-08002B2CF9AE}" pid="22">
    <vt:lpwstr>True</vt:lpwstr>
  </property>
</Properties>
</file>