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F0" w:rsidRPr="00FD5F7A" w:rsidRDefault="00CA72CC" w:rsidP="00CA72C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B0D6D16-6CB7-4BDA-9C7C-C26216A21F13" style="width:455.25pt;height:399pt">
            <v:imagedata r:id="rId11" o:title=""/>
          </v:shape>
        </w:pict>
      </w:r>
    </w:p>
    <w:p w:rsidR="00FF376D" w:rsidRPr="00FD5F7A" w:rsidRDefault="00FF376D" w:rsidP="00FF376D">
      <w:pPr>
        <w:pStyle w:val="Pagedecouverture"/>
        <w:rPr>
          <w:noProof/>
        </w:rPr>
        <w:sectPr w:rsidR="00FF376D" w:rsidRPr="00FD5F7A" w:rsidSect="00CA72CC">
          <w:footerReference w:type="even" r:id="rId12"/>
          <w:footerReference w:type="default" r:id="rId13"/>
          <w:pgSz w:w="11907" w:h="16839"/>
          <w:pgMar w:top="1134" w:right="1417" w:bottom="1134" w:left="1417" w:header="709" w:footer="709" w:gutter="0"/>
          <w:pgNumType w:start="0"/>
          <w:cols w:space="720"/>
          <w:docGrid w:linePitch="360"/>
        </w:sectPr>
      </w:pPr>
    </w:p>
    <w:p w:rsidR="00537579" w:rsidRPr="00FD5F7A" w:rsidRDefault="00537579" w:rsidP="00537579">
      <w:pPr>
        <w:pStyle w:val="Exposdesmotifstitre"/>
        <w:rPr>
          <w:noProof/>
        </w:rPr>
      </w:pPr>
      <w:bookmarkStart w:id="0" w:name="_GoBack"/>
      <w:bookmarkEnd w:id="0"/>
      <w:r w:rsidRPr="00FD5F7A">
        <w:rPr>
          <w:noProof/>
        </w:rPr>
        <w:lastRenderedPageBreak/>
        <w:t>PASKAIDROJUMA RAKSTS</w:t>
      </w:r>
    </w:p>
    <w:p w:rsidR="00537579" w:rsidRPr="00FD5F7A" w:rsidRDefault="00537579" w:rsidP="00537579">
      <w:pPr>
        <w:pStyle w:val="ManualHeading1"/>
        <w:rPr>
          <w:noProof/>
        </w:rPr>
      </w:pPr>
      <w:r w:rsidRPr="00FD5F7A">
        <w:rPr>
          <w:noProof/>
        </w:rPr>
        <w:t>1.</w:t>
      </w:r>
      <w:r w:rsidRPr="00FD5F7A">
        <w:rPr>
          <w:noProof/>
        </w:rPr>
        <w:tab/>
        <w:t>DELEĢĒTĀ AKTA KONTEKSTS</w:t>
      </w:r>
    </w:p>
    <w:p w:rsidR="00537579" w:rsidRPr="00FD5F7A" w:rsidRDefault="00537579" w:rsidP="00537579">
      <w:pPr>
        <w:rPr>
          <w:noProof/>
        </w:rPr>
      </w:pPr>
      <w:r w:rsidRPr="00FD5F7A">
        <w:rPr>
          <w:noProof/>
          <w:bdr w:val="none" w:sz="0" w:space="0" w:color="auto" w:frame="1"/>
        </w:rPr>
        <w:t>Eiropas Vērtspapīru un tirgu iestādei (EVTI) ir kompleksa maksu finansēšanas sistēma, kas balstās uz vairākiem nozares tiesību aktos noteiktiem juridiskajiem pamatiem. Aprēķinu un maksāšanas kārtība, kas piemērojama maksām, kuras EVTI iekasē no tās tiešā uzraudzībā esošajām dažādo veidu vienībām, pašlaik ir noteikta septiņos deleģētajos aktos</w:t>
      </w:r>
      <w:r w:rsidRPr="00FD5F7A">
        <w:rPr>
          <w:rStyle w:val="FootnoteReference"/>
          <w:noProof/>
          <w:bdr w:val="none" w:sz="0" w:space="0" w:color="auto" w:frame="1"/>
        </w:rPr>
        <w:footnoteReference w:id="2"/>
      </w:r>
      <w:r w:rsidRPr="00FD5F7A">
        <w:rPr>
          <w:noProof/>
          <w:bdr w:val="none" w:sz="0" w:space="0" w:color="auto" w:frame="1"/>
        </w:rPr>
        <w:t xml:space="preserve">. </w:t>
      </w:r>
    </w:p>
    <w:p w:rsidR="00537579" w:rsidRPr="00FD5F7A" w:rsidRDefault="00537579" w:rsidP="00537579">
      <w:pPr>
        <w:rPr>
          <w:noProof/>
        </w:rPr>
      </w:pPr>
      <w:r w:rsidRPr="00FD5F7A">
        <w:rPr>
          <w:noProof/>
        </w:rPr>
        <w:t>EVTI cita starpā iekasē maksas no darījumu reģistriem saskaņā ar Komisijas Deleģēto regulu (ES) Nr. 1003/2013</w:t>
      </w:r>
      <w:r w:rsidRPr="00FD5F7A">
        <w:rPr>
          <w:rStyle w:val="FootnoteReference"/>
          <w:noProof/>
        </w:rPr>
        <w:footnoteReference w:id="3"/>
      </w:r>
      <w:r w:rsidRPr="00FD5F7A">
        <w:rPr>
          <w:noProof/>
        </w:rPr>
        <w:t>, kas pieņemta saskaņā ar Regulas (ES) Nr. 648/2012 (Eiropas Tirgu infrastruktūras regula jeb ETIR)</w:t>
      </w:r>
      <w:r w:rsidRPr="00FD5F7A">
        <w:rPr>
          <w:rStyle w:val="FootnoteReference"/>
          <w:noProof/>
        </w:rPr>
        <w:footnoteReference w:id="4"/>
      </w:r>
      <w:r w:rsidRPr="00FD5F7A">
        <w:rPr>
          <w:noProof/>
        </w:rPr>
        <w:t xml:space="preserve"> 72. panta 3. punktu. </w:t>
      </w:r>
    </w:p>
    <w:p w:rsidR="00537579" w:rsidRPr="00FD5F7A" w:rsidRDefault="00537579" w:rsidP="00537579">
      <w:pPr>
        <w:rPr>
          <w:noProof/>
        </w:rPr>
      </w:pPr>
      <w:r w:rsidRPr="00FD5F7A">
        <w:rPr>
          <w:noProof/>
        </w:rPr>
        <w:t>Pilnvaras pieņemt deleģēto regulu ir paredzētas ETIR 72. panta 3. punktā. Saskaņā ar minēto noteikumu Komisija ir pilnvarota pieņemt deleģēto regulu, kurā tā konkretizē maksu veidus, pakalpojumus, par kuriem tās iekasē, maksu apmēru un samaksas kārtību.</w:t>
      </w:r>
    </w:p>
    <w:p w:rsidR="00537579" w:rsidRPr="00FD5F7A" w:rsidRDefault="00537579" w:rsidP="00537579">
      <w:pPr>
        <w:rPr>
          <w:noProof/>
          <w:bdr w:val="none" w:sz="0" w:space="0" w:color="auto" w:frame="1"/>
        </w:rPr>
      </w:pPr>
      <w:r w:rsidRPr="00FD5F7A">
        <w:rPr>
          <w:noProof/>
        </w:rPr>
        <w:t xml:space="preserve">Eiropas Komisijas Iekšējās revīzijas dienests (IRD) 2018. gada pārskatā secināja, ka nozares deleģēto regulu saskaņotības trūkums nevajadzīgi sarežģī sistēmu un nozīmē, ka EVTI resursi netiek izmantoti pēc iespējas lietderīgi un efektīvi. </w:t>
      </w:r>
      <w:r w:rsidRPr="00FD5F7A">
        <w:rPr>
          <w:noProof/>
          <w:bdr w:val="none" w:sz="0" w:space="0" w:color="auto" w:frame="1"/>
        </w:rPr>
        <w:t>Tajā pašā gadā Eiropas Revīzijas palāta pauda novērojumu, ka EVTI maksu finansēšanas sistēmas sarežģītība apdraud maksu pareizu aprēķināšanu</w:t>
      </w:r>
      <w:r w:rsidRPr="00FD5F7A">
        <w:rPr>
          <w:rStyle w:val="FootnoteReference"/>
          <w:noProof/>
          <w:bdr w:val="none" w:sz="0" w:space="0" w:color="auto" w:frame="1"/>
        </w:rPr>
        <w:footnoteReference w:id="5"/>
      </w:r>
      <w:r w:rsidRPr="00FD5F7A">
        <w:rPr>
          <w:noProof/>
          <w:bdr w:val="none" w:sz="0" w:space="0" w:color="auto" w:frame="1"/>
        </w:rPr>
        <w:t>.</w:t>
      </w:r>
    </w:p>
    <w:p w:rsidR="00537579" w:rsidRPr="00FD5F7A" w:rsidRDefault="00537579" w:rsidP="00537579">
      <w:pPr>
        <w:rPr>
          <w:noProof/>
        </w:rPr>
      </w:pPr>
      <w:r w:rsidRPr="00FD5F7A">
        <w:rPr>
          <w:noProof/>
        </w:rPr>
        <w:t>Ievērojot šos apsvērumus, Komisija lūdza EVTI sniegt tehnisku atzinumu par to, kā saskaņot un vienkāršot deleģētos aktus, kuri attiecas uz EVTI iekasētajām maksām. EVTI sniedza divus tehniskos atzinumus ar mērķi EVTI iekasēto maksu jomā sekmēt visu attiecīgo deleģēto regulu konsekvenci un saskaņotību: 2021. gada 21. jūnijā par kredītreitingu aģentūrām piemērojamajām maksām</w:t>
      </w:r>
      <w:r w:rsidRPr="00FD5F7A">
        <w:rPr>
          <w:rStyle w:val="FootnoteReference"/>
          <w:noProof/>
        </w:rPr>
        <w:footnoteReference w:id="6"/>
      </w:r>
      <w:r w:rsidRPr="00FD5F7A">
        <w:rPr>
          <w:noProof/>
        </w:rPr>
        <w:t xml:space="preserve"> un 2021. gada 8. jūlijā par maksām, kuras darījumu reģistriem tiek piemērotas saskaņā ar ETIR un Vērtspapīru finansēšanas darījumu regulu (VFDR)</w:t>
      </w:r>
      <w:r w:rsidRPr="00FD5F7A">
        <w:rPr>
          <w:rStyle w:val="FootnoteReference"/>
          <w:noProof/>
        </w:rPr>
        <w:footnoteReference w:id="7"/>
      </w:r>
      <w:r w:rsidRPr="00FD5F7A">
        <w:rPr>
          <w:noProof/>
        </w:rPr>
        <w:t>.</w:t>
      </w:r>
    </w:p>
    <w:p w:rsidR="00537579" w:rsidRPr="00FD5F7A" w:rsidRDefault="00537579" w:rsidP="00537579">
      <w:pPr>
        <w:rPr>
          <w:noProof/>
        </w:rPr>
      </w:pPr>
      <w:r w:rsidRPr="00FD5F7A">
        <w:rPr>
          <w:noProof/>
        </w:rPr>
        <w:t xml:space="preserve">Komisijas mērķis ir salāgot maksu iekasēšanas procesa tehniskos aspektus attiecībā uz visām EVTI uzraudzības pilnvarām, balstoties uz Iekšējās revīzijas dienesta ieteikumiem, Eiropas Revīzijas palātas apsvērumiem un EVTI tehniskajiem atzinumiem. Lai to panāktu, ir jāgroza piecas no septiņām deleģētajām regulām. </w:t>
      </w:r>
      <w:bookmarkStart w:id="1" w:name="_Hlk154139719"/>
      <w:r w:rsidRPr="00FD5F7A">
        <w:rPr>
          <w:noProof/>
        </w:rPr>
        <w:t>Grozījumi netiks veikti deleģētajās regulās par centrālajiem darījumu partneriem</w:t>
      </w:r>
      <w:r w:rsidRPr="00FD5F7A">
        <w:rPr>
          <w:rStyle w:val="FootnoteReference"/>
          <w:noProof/>
        </w:rPr>
        <w:footnoteReference w:id="8"/>
      </w:r>
      <w:r w:rsidRPr="00FD5F7A">
        <w:rPr>
          <w:noProof/>
        </w:rPr>
        <w:t xml:space="preserve"> un datu ziņošanas pakalpojumu sniedzējiem</w:t>
      </w:r>
      <w:r w:rsidRPr="00FD5F7A">
        <w:rPr>
          <w:rStyle w:val="FootnoteReference"/>
          <w:noProof/>
        </w:rPr>
        <w:footnoteReference w:id="9"/>
      </w:r>
      <w:r w:rsidRPr="00FD5F7A">
        <w:rPr>
          <w:noProof/>
        </w:rPr>
        <w:t xml:space="preserve">, jo tās galvenajos attiecīgajos aspektos jau ir saskaņotas. </w:t>
      </w:r>
      <w:bookmarkEnd w:id="1"/>
      <w:r w:rsidRPr="00FD5F7A">
        <w:rPr>
          <w:noProof/>
        </w:rPr>
        <w:t>Grozījumi Deleģētajā regulā (ES) Nr. 1003/2013 un vēl četros deleģētajos aktos par EVTI iekasētajām maksām</w:t>
      </w:r>
      <w:r w:rsidRPr="00FD5F7A">
        <w:rPr>
          <w:rStyle w:val="FootnoteReference"/>
          <w:noProof/>
        </w:rPr>
        <w:footnoteReference w:id="10"/>
      </w:r>
      <w:r w:rsidRPr="00FD5F7A">
        <w:rPr>
          <w:noProof/>
        </w:rPr>
        <w:t xml:space="preserve"> nodrošinās konsekvenci attiecībā uz jēdzienu “piemērojamais apgrozījums”, maksāšanas kārtību un vispārējo pieeju no budžeta viedokļa un tādējādi mazinās EVTI maksu pārvaldības sarežģītību. </w:t>
      </w:r>
    </w:p>
    <w:p w:rsidR="00537579" w:rsidRPr="00FD5F7A" w:rsidRDefault="00537579" w:rsidP="00537579">
      <w:pPr>
        <w:pStyle w:val="ManualHeading1"/>
        <w:rPr>
          <w:noProof/>
        </w:rPr>
      </w:pPr>
      <w:r w:rsidRPr="00FD5F7A">
        <w:rPr>
          <w:noProof/>
        </w:rPr>
        <w:t>2.</w:t>
      </w:r>
      <w:r w:rsidRPr="00FD5F7A">
        <w:rPr>
          <w:noProof/>
        </w:rPr>
        <w:tab/>
        <w:t>PIRMS AKTA PIEŅEMŠANAS NOTIKUSĪ APSPRIEŠANĀS</w:t>
      </w:r>
    </w:p>
    <w:p w:rsidR="00537579" w:rsidRPr="00FD5F7A" w:rsidRDefault="00537579" w:rsidP="00537579">
      <w:pPr>
        <w:rPr>
          <w:noProof/>
        </w:rPr>
      </w:pPr>
      <w:r w:rsidRPr="00FD5F7A">
        <w:rPr>
          <w:noProof/>
        </w:rPr>
        <w:t>Komisija 2020. gada jūlijā lūdza EVTI sniegt tehnisko atzinumu nolūkā pārskatīt Komisijas deleģētās regulas par maksām, kuras darījumu reģistriem tiek piemērotas saskaņā ar ETIR un VFDR. Komisija jo īpaši norādīja, ka, tās skatījumā, būtu lietderīgi, ka EVTI šo atzinumu sniedz, balstoties uz pieredzi, ko tā ir guvusi, piemērojot deleģētos aktus par maksām, kā arī uz IRD un Revīzijas palātas apsvērumiem to revīzijās par EVTI maksu iekasēšanas procesiem. Tā arī norādīja, ka tehniskajam atzinumam būtu jāiezīmē, kā sekmēt visu EVTI piemērojamo deleģēto regulu konsekvenci un saskaņotību.</w:t>
      </w:r>
    </w:p>
    <w:p w:rsidR="00537579" w:rsidRPr="00FD5F7A" w:rsidRDefault="00537579" w:rsidP="00537579">
      <w:pPr>
        <w:rPr>
          <w:noProof/>
        </w:rPr>
      </w:pPr>
      <w:r w:rsidRPr="00FD5F7A">
        <w:rPr>
          <w:noProof/>
        </w:rPr>
        <w:t>Pēc padziļināta tehniskā novērtējuma veikšanas EVTI no 2021. gada martam līdz aprīlim organizēja sabiedrisko apspriešanu par tehniskajiem aspektiem iecerētajā deleģētajā regulā par maksām. Apspriešanā sniegtās nekonfidenciālās atbildes ir publicētas EVTI vietnē. EVTI savu tehnisko atzinumu Komisijai iesniedza 2021. gada jūlijā.</w:t>
      </w:r>
    </w:p>
    <w:p w:rsidR="00537579" w:rsidRPr="00FD5F7A" w:rsidRDefault="00537579" w:rsidP="00537579">
      <w:pPr>
        <w:rPr>
          <w:noProof/>
        </w:rPr>
      </w:pPr>
      <w:r w:rsidRPr="00FD5F7A">
        <w:rPr>
          <w:noProof/>
        </w:rPr>
        <w:t xml:space="preserve">Komisija par EVTI tehnisko atzinumu un par šā deleģētā akta saturu 2023. gada 21. septembrī apspriedās ar Eiropas Vērtspapīru komitejas ekspertu grupu (EVKEG). EVKEG atbalstīja Komisijas pieeju. </w:t>
      </w:r>
    </w:p>
    <w:p w:rsidR="00537579" w:rsidRPr="00FD5F7A" w:rsidRDefault="00537579" w:rsidP="00537579">
      <w:pPr>
        <w:rPr>
          <w:noProof/>
        </w:rPr>
      </w:pPr>
      <w:r w:rsidRPr="00FD5F7A">
        <w:rPr>
          <w:noProof/>
        </w:rPr>
        <w:t xml:space="preserve">Saskaņā ar principiem, kas noteikti Iestāžu nolīgumā par labāku likumdošanas procesu, deleģētās regulas projekts četras nedēļas no 2024. gada 3. janvāra līdz 2024. gada 31. janvārim bija pieejams labāka regulējuma portālā atsauksmju sniegšanai. </w:t>
      </w:r>
      <w:bookmarkStart w:id="2" w:name="_Hlk158297679"/>
      <w:r w:rsidRPr="00FD5F7A">
        <w:rPr>
          <w:noProof/>
        </w:rPr>
        <w:t>Apspriešanā sniegtās atbildes ir publicētas Komisijas vietnē</w:t>
      </w:r>
      <w:r w:rsidRPr="00FD5F7A">
        <w:rPr>
          <w:rStyle w:val="FootnoteReference"/>
          <w:noProof/>
        </w:rPr>
        <w:footnoteReference w:id="11"/>
      </w:r>
      <w:r w:rsidRPr="00FD5F7A">
        <w:rPr>
          <w:noProof/>
        </w:rPr>
        <w:t xml:space="preserve">. Par deleģētās regulas projektu tika saņemtas divas piezīmes – viena no privātpersonas un viena no darījumu reģistra. </w:t>
      </w:r>
    </w:p>
    <w:p w:rsidR="00537579" w:rsidRPr="00FD5F7A" w:rsidRDefault="00537579" w:rsidP="00537579">
      <w:pPr>
        <w:rPr>
          <w:noProof/>
        </w:rPr>
      </w:pPr>
      <w:r w:rsidRPr="00FD5F7A">
        <w:rPr>
          <w:noProof/>
        </w:rPr>
        <w:t>Privātpersona sniedza vispārīgas piezīmes par uzņēmējdarbības vidi, kuras Komisija atzina par nesaistītām ar šā deleģētā akta saturu.</w:t>
      </w:r>
    </w:p>
    <w:p w:rsidR="00537579" w:rsidRPr="00FD5F7A" w:rsidRDefault="00537579" w:rsidP="00537579">
      <w:pPr>
        <w:rPr>
          <w:noProof/>
        </w:rPr>
      </w:pPr>
      <w:r w:rsidRPr="00FD5F7A">
        <w:rPr>
          <w:noProof/>
        </w:rPr>
        <w:t xml:space="preserve">Darījumu reģistrs ierosināja, lai tiktu sniegtas papildu detaļas un informācija par maksām un izmaksām un tiktu ieviesti maksu griesti. Šī piezīme netika ņemta vērā, jo EVTI ir publiska iestāde un tādējādi uz to attiecas stingri budžeta un uzskaites noteikumi. Turklāt tās budžetu ik gadu revidē Eiropas Revīzijas palāta. </w:t>
      </w:r>
    </w:p>
    <w:p w:rsidR="00537579" w:rsidRPr="00FD5F7A" w:rsidRDefault="00537579" w:rsidP="00537579">
      <w:pPr>
        <w:rPr>
          <w:noProof/>
        </w:rPr>
      </w:pPr>
      <w:r w:rsidRPr="00FD5F7A">
        <w:rPr>
          <w:noProof/>
        </w:rPr>
        <w:t>Darījumu reģistrs arī norādīja uz jautājumiem, kas saistīti ar kopējā piemērojamā apgrozījuma aprēķināšanu gadījumā, ja darījumu reģistri attiecīgi iziet no tirgus vai ieiet tajā. Komisija uzskata, ka deleģētais akts vieš pietiekamu skaidrību šajos jautājumos. Pēc tam, kad darījumu reģistrs ir izgājis no tirgus, tā apgrozījums neatkarīgi no pārskatu atsauces gada netiks ņemts vērā, nosakot kopējo piemērojamo apgrozījumu darījumu reģistriem, kas paliek tirgū. Savukārt maksas, kas darījumu reģistriem jāmaksā pirmajā gadā pēc to ieiešanas tirgū, ir noteiktas konkrētā pantā.</w:t>
      </w:r>
    </w:p>
    <w:p w:rsidR="00537579" w:rsidRPr="00FD5F7A" w:rsidRDefault="00537579" w:rsidP="00537579">
      <w:pPr>
        <w:rPr>
          <w:noProof/>
        </w:rPr>
      </w:pPr>
      <w:r w:rsidRPr="00FD5F7A">
        <w:rPr>
          <w:noProof/>
        </w:rPr>
        <w:t xml:space="preserve">Visbeidzot, darījumu reģistrs atkārtoti prasīja, lai gada uzraudzības un atzīšanas maksu samaksas termiņš tiktu pagarināts līdz 60 dienām. Attiecībā uz šo Komisija vēlas precizēt, ka gada uzraudzības maksu noteikšanas procedūra ir pārredzama un ka darījumu reģistri maksu apmēru var paredzēt jau iepriekš. EVTI katru gadu septembrī publisko savu gada darba programmu, kā arī lēstās izmaksas un budžeta projektu. No tā var gūt pirmo ieskatu par maksu apmēru. Apstiprinātais budžets tiek publicēts EVTI vietnē un ES </w:t>
      </w:r>
      <w:r w:rsidRPr="00FD5F7A">
        <w:rPr>
          <w:i/>
          <w:noProof/>
        </w:rPr>
        <w:t>Oficiālajā Vēstnesī</w:t>
      </w:r>
      <w:r w:rsidRPr="00FD5F7A">
        <w:rPr>
          <w:noProof/>
        </w:rPr>
        <w:t xml:space="preserve"> tā kalendārā gada sākumā, uz kuru tas attiecas. Atzīšanas maksas ir fiksētas maksas un izriet no iekšēji apstiprināta lēmuma par atzīšanas pieteikumu, līdz ar to darījumu reģistri jau laikus var ieplānot attiecīgo maksājumu.</w:t>
      </w:r>
    </w:p>
    <w:bookmarkEnd w:id="2"/>
    <w:p w:rsidR="00537579" w:rsidRPr="00FD5F7A" w:rsidRDefault="00537579" w:rsidP="00537579">
      <w:pPr>
        <w:pStyle w:val="ManualHeading1"/>
        <w:rPr>
          <w:noProof/>
        </w:rPr>
      </w:pPr>
      <w:r w:rsidRPr="00FD5F7A">
        <w:rPr>
          <w:noProof/>
        </w:rPr>
        <w:t>3.</w:t>
      </w:r>
      <w:r w:rsidRPr="00FD5F7A">
        <w:rPr>
          <w:noProof/>
        </w:rPr>
        <w:tab/>
        <w:t>DELEĢĒTĀ AKTA JURIDISKIE ASPEKTI</w:t>
      </w:r>
    </w:p>
    <w:p w:rsidR="00537579" w:rsidRPr="00FD5F7A" w:rsidRDefault="00C126F5" w:rsidP="00537579">
      <w:pPr>
        <w:rPr>
          <w:noProof/>
        </w:rPr>
      </w:pPr>
      <w:r w:rsidRPr="00FD5F7A">
        <w:rPr>
          <w:noProof/>
        </w:rPr>
        <w:t>R</w:t>
      </w:r>
      <w:r w:rsidR="00537579" w:rsidRPr="00FD5F7A">
        <w:rPr>
          <w:noProof/>
        </w:rPr>
        <w:t>egulas 1. pantā ir paredzēti grozījumi Deleģētajā regulā (ES) Nr. 1003/2013. Konkrēti, grozāmajā regulā ir paredzēti šādi grozījumi:</w:t>
      </w:r>
    </w:p>
    <w:p w:rsidR="00537579" w:rsidRPr="00FD5F7A" w:rsidRDefault="00537579" w:rsidP="00537579">
      <w:pPr>
        <w:pStyle w:val="Tiret0"/>
        <w:numPr>
          <w:ilvl w:val="0"/>
          <w:numId w:val="7"/>
        </w:numPr>
        <w:rPr>
          <w:rStyle w:val="num"/>
          <w:noProof/>
        </w:rPr>
      </w:pPr>
      <w:bookmarkStart w:id="3" w:name="_Hlk154140249"/>
      <w:r w:rsidRPr="00FD5F7A">
        <w:rPr>
          <w:noProof/>
        </w:rPr>
        <w:t>2. pantā tiek noteikts no maksām pilnībā sedzamo (tiešo un netiešo) izmaksu tvērums;</w:t>
      </w:r>
      <w:bookmarkStart w:id="4" w:name="_Hlk154140101"/>
      <w:bookmarkStart w:id="5" w:name="_Hlk154140214"/>
      <w:bookmarkEnd w:id="4"/>
      <w:bookmarkEnd w:id="5"/>
    </w:p>
    <w:bookmarkEnd w:id="3"/>
    <w:p w:rsidR="00537579" w:rsidRPr="00FD5F7A" w:rsidRDefault="00537579" w:rsidP="00537579">
      <w:pPr>
        <w:pStyle w:val="Tiret0"/>
        <w:numPr>
          <w:ilvl w:val="0"/>
          <w:numId w:val="7"/>
        </w:numPr>
        <w:rPr>
          <w:noProof/>
        </w:rPr>
      </w:pPr>
      <w:r w:rsidRPr="00FD5F7A">
        <w:rPr>
          <w:noProof/>
        </w:rPr>
        <w:t>3. pantā tiek definēts piemērojamais apgrozījums (pamatojoties uz attiecīgā bāzes gada (n–2) revidētajiem pārskatiem) un noteikts, ka tad, ja revidētie pārskati ir valūtā, kas nav euro, attiecīgās summas konvertē euro;</w:t>
      </w:r>
    </w:p>
    <w:p w:rsidR="00537579" w:rsidRPr="00FD5F7A" w:rsidRDefault="00537579" w:rsidP="00537579">
      <w:pPr>
        <w:pStyle w:val="Tiret0"/>
        <w:rPr>
          <w:noProof/>
        </w:rPr>
      </w:pPr>
      <w:r w:rsidRPr="00FD5F7A">
        <w:rPr>
          <w:noProof/>
        </w:rPr>
        <w:t>7. pantā tiek noteikta reģistrācijas maksas summa gadījumā, ja paralēli tiek iesniegti pieteikumi reģistrācijai saskaņā ar ETIR un VFDR, no darījumu reģistriem iekasēto maksu summas starpība gadījumā, ja notiek būtiskas izmaiņas to pakalpojumu sniegšanā, atsauce uz EVTI budžeta principiem, tas, kā darījumu reģistra reģistrācijas gadā tiek noteikta sākotnējā uzraudzības maksa, gada uzraudzības maksas minimālā summa un pirmajā reģistrācijas gadā maksājamās uzraudzības maksas summa un samaksas termiņš;</w:t>
      </w:r>
    </w:p>
    <w:p w:rsidR="00537579" w:rsidRPr="00FD5F7A" w:rsidRDefault="00537579" w:rsidP="00537579">
      <w:pPr>
        <w:pStyle w:val="Tiret0"/>
        <w:rPr>
          <w:noProof/>
        </w:rPr>
      </w:pPr>
      <w:r w:rsidRPr="00FD5F7A">
        <w:rPr>
          <w:rStyle w:val="num"/>
          <w:noProof/>
        </w:rPr>
        <w:t>9. pantā tiek noteikta nokavētiem maksājumiem piemērojamā procentu likme;</w:t>
      </w:r>
    </w:p>
    <w:p w:rsidR="00537579" w:rsidRPr="00FD5F7A" w:rsidRDefault="00537579" w:rsidP="00537579">
      <w:pPr>
        <w:pStyle w:val="Tiret0"/>
        <w:rPr>
          <w:noProof/>
        </w:rPr>
      </w:pPr>
      <w:r w:rsidRPr="00FD5F7A">
        <w:rPr>
          <w:rStyle w:val="num"/>
          <w:noProof/>
        </w:rPr>
        <w:t xml:space="preserve">10. pantā tiek noteikts reģistrācijas maksas samaksas termiņš; </w:t>
      </w:r>
    </w:p>
    <w:p w:rsidR="00537579" w:rsidRPr="00FD5F7A" w:rsidRDefault="00537579" w:rsidP="00537579">
      <w:pPr>
        <w:pStyle w:val="Tiret0"/>
        <w:rPr>
          <w:noProof/>
        </w:rPr>
      </w:pPr>
      <w:r w:rsidRPr="00FD5F7A">
        <w:rPr>
          <w:rStyle w:val="num"/>
          <w:noProof/>
        </w:rPr>
        <w:t>11. pantā tiek noteikts gada uzraudzības maksas samaksas termiņš un tas, kādus revidētos pārskatus izmanto piemērojamā apgrozījuma noteikšanai, ja dati par piemērojamo apgrozījumu atbilstoši 3. pantam vēl nav pieejami;</w:t>
      </w:r>
    </w:p>
    <w:p w:rsidR="00537579" w:rsidRPr="00FD5F7A" w:rsidRDefault="00537579" w:rsidP="00537579">
      <w:pPr>
        <w:pStyle w:val="Tiret0"/>
        <w:rPr>
          <w:noProof/>
        </w:rPr>
      </w:pPr>
      <w:r w:rsidRPr="00FD5F7A">
        <w:rPr>
          <w:noProof/>
        </w:rPr>
        <w:t>12. pantā tiek noteikts trešo valstu darījumu reģistru atzīšanas maksas un gada uzraudzības maksas samaksas termiņš.</w:t>
      </w:r>
    </w:p>
    <w:p w:rsidR="00537579" w:rsidRPr="00FD5F7A" w:rsidRDefault="00537579" w:rsidP="00537579">
      <w:pPr>
        <w:rPr>
          <w:noProof/>
        </w:rPr>
        <w:sectPr w:rsidR="00537579" w:rsidRPr="00FD5F7A" w:rsidSect="00CA72C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537579" w:rsidRPr="00FD5F7A" w:rsidRDefault="00FD5F7A" w:rsidP="00FD5F7A">
      <w:pPr>
        <w:pStyle w:val="Typedudocument"/>
        <w:rPr>
          <w:noProof/>
        </w:rPr>
      </w:pPr>
      <w:r w:rsidRPr="00FD5F7A">
        <w:rPr>
          <w:noProof/>
        </w:rPr>
        <w:t>KOMISIJAS DELEĢĒTĀ REGULA (ES) …/..</w:t>
      </w:r>
    </w:p>
    <w:p w:rsidR="00537579" w:rsidRPr="00FD5F7A" w:rsidRDefault="00A24754" w:rsidP="00FD5F7A">
      <w:pPr>
        <w:pStyle w:val="Datedadoption"/>
        <w:rPr>
          <w:noProof/>
        </w:rPr>
      </w:pPr>
      <w:r>
        <w:rPr>
          <w:noProof/>
        </w:rPr>
        <w:t>(11.3.2024),</w:t>
      </w:r>
    </w:p>
    <w:p w:rsidR="00537579" w:rsidRPr="00FD5F7A" w:rsidRDefault="00FD5F7A" w:rsidP="00FD5F7A">
      <w:pPr>
        <w:pStyle w:val="Titreobjet"/>
        <w:rPr>
          <w:noProof/>
        </w:rPr>
      </w:pPr>
      <w:r w:rsidRPr="00FD5F7A">
        <w:rPr>
          <w:noProof/>
        </w:rPr>
        <w:t>ar ko Deleģēto regulu (ES) Nr. 1003/2013 groza attiecībā uz maksu, kuras Eiropas Vērtspapīru un tirgu iestāde iekasē no darījumu reģistriem, konkrētu aspektu saskaņošanu</w:t>
      </w:r>
    </w:p>
    <w:p w:rsidR="00537579" w:rsidRPr="00FD5F7A" w:rsidRDefault="00FD5F7A" w:rsidP="00FD5F7A">
      <w:pPr>
        <w:pStyle w:val="IntrtEEE"/>
        <w:rPr>
          <w:noProof/>
        </w:rPr>
      </w:pPr>
      <w:r w:rsidRPr="00FD5F7A">
        <w:rPr>
          <w:noProof/>
        </w:rPr>
        <w:t>(Dokuments attiecas uz EEZ)</w:t>
      </w:r>
    </w:p>
    <w:p w:rsidR="00537579" w:rsidRPr="00FD5F7A" w:rsidRDefault="00537579" w:rsidP="00537579">
      <w:pPr>
        <w:pStyle w:val="Institutionquiagit"/>
        <w:rPr>
          <w:noProof/>
        </w:rPr>
      </w:pPr>
      <w:r w:rsidRPr="00FD5F7A">
        <w:rPr>
          <w:noProof/>
        </w:rPr>
        <w:t>EIROPAS KOMISIJA,</w:t>
      </w:r>
    </w:p>
    <w:p w:rsidR="00537579" w:rsidRPr="00FD5F7A" w:rsidRDefault="00537579" w:rsidP="00537579">
      <w:pPr>
        <w:rPr>
          <w:noProof/>
        </w:rPr>
      </w:pPr>
      <w:r w:rsidRPr="00FD5F7A">
        <w:rPr>
          <w:noProof/>
          <w:color w:val="000000"/>
        </w:rPr>
        <w:t>ņemot vērā Līgumu par Eiropas Savienības darbību,</w:t>
      </w:r>
    </w:p>
    <w:p w:rsidR="00537579" w:rsidRPr="00FD5F7A" w:rsidRDefault="00537579" w:rsidP="00537579">
      <w:pPr>
        <w:rPr>
          <w:noProof/>
        </w:rPr>
      </w:pPr>
      <w:r w:rsidRPr="00FD5F7A">
        <w:rPr>
          <w:noProof/>
        </w:rPr>
        <w:t>ņemot vērā Eiropas Parlamenta un Padomes Regulu (ES) Nr. 648/2012 (2012. gada 4. jūlijs) par ārpusbiržas atvasinātajiem instrumentiem, centrālajiem darījumu partneriem un darījumu reģistriem</w:t>
      </w:r>
      <w:r w:rsidRPr="00FD5F7A">
        <w:rPr>
          <w:rStyle w:val="FootnoteReference"/>
          <w:noProof/>
        </w:rPr>
        <w:footnoteReference w:id="12"/>
      </w:r>
      <w:r w:rsidRPr="00FD5F7A">
        <w:rPr>
          <w:noProof/>
        </w:rPr>
        <w:t xml:space="preserve"> un jo īpaši tās 72. panta 3. punktu,</w:t>
      </w:r>
    </w:p>
    <w:p w:rsidR="00537579" w:rsidRPr="00FD5F7A" w:rsidRDefault="00537579" w:rsidP="00537579">
      <w:pPr>
        <w:rPr>
          <w:noProof/>
        </w:rPr>
      </w:pPr>
      <w:r w:rsidRPr="00FD5F7A">
        <w:rPr>
          <w:noProof/>
        </w:rPr>
        <w:t>tā kā:</w:t>
      </w:r>
    </w:p>
    <w:p w:rsidR="00537579" w:rsidRPr="00FD5F7A" w:rsidRDefault="00537579" w:rsidP="00537579">
      <w:pPr>
        <w:pStyle w:val="ManualConsidrant"/>
        <w:rPr>
          <w:noProof/>
          <w:shd w:val="clear" w:color="auto" w:fill="FFFFFF"/>
        </w:rPr>
      </w:pPr>
      <w:r>
        <w:rPr>
          <w:noProof/>
        </w:rPr>
        <w:t>(1)</w:t>
      </w:r>
      <w:r>
        <w:rPr>
          <w:noProof/>
        </w:rPr>
        <w:tab/>
      </w:r>
      <w:r w:rsidRPr="00FD5F7A">
        <w:rPr>
          <w:noProof/>
          <w:shd w:val="clear" w:color="auto" w:fill="FFFFFF"/>
        </w:rPr>
        <w:t>Komisijas Deleģētajā regulā (ES) Nr. 1003/2013</w:t>
      </w:r>
      <w:r w:rsidRPr="00FD5F7A">
        <w:rPr>
          <w:rStyle w:val="FootnoteReference"/>
          <w:noProof/>
        </w:rPr>
        <w:footnoteReference w:id="13"/>
      </w:r>
      <w:r w:rsidRPr="00FD5F7A">
        <w:rPr>
          <w:noProof/>
          <w:shd w:val="clear" w:color="auto" w:fill="FFFFFF"/>
        </w:rPr>
        <w:t xml:space="preserve"> ir noteikti maksu veidi, aprēķināšanas kārtība un maksāšanas kārtība attiecībā uz maksām, kuras Eiropas Vērtspapīru un tirgu iestāde (EVTI) iekasē no darījumu reģistriem.</w:t>
      </w:r>
    </w:p>
    <w:p w:rsidR="00537579" w:rsidRPr="00FD5F7A" w:rsidRDefault="00537579" w:rsidP="00537579">
      <w:pPr>
        <w:pStyle w:val="ManualConsidrant"/>
        <w:rPr>
          <w:noProof/>
        </w:rPr>
      </w:pPr>
      <w:r>
        <w:rPr>
          <w:noProof/>
        </w:rPr>
        <w:t>(2)</w:t>
      </w:r>
      <w:r>
        <w:rPr>
          <w:noProof/>
        </w:rPr>
        <w:tab/>
      </w:r>
      <w:r w:rsidRPr="00FD5F7A">
        <w:rPr>
          <w:noProof/>
        </w:rPr>
        <w:t>2018. gadā gan Komisijas Iekšējās revīzijas dienesta pārskatā, gan Eiropas Revīzijas palātas revīzijā</w:t>
      </w:r>
      <w:r w:rsidRPr="00FD5F7A">
        <w:rPr>
          <w:rStyle w:val="FootnoteReference"/>
          <w:noProof/>
        </w:rPr>
        <w:footnoteReference w:id="14"/>
      </w:r>
      <w:r w:rsidRPr="00FD5F7A">
        <w:rPr>
          <w:noProof/>
        </w:rPr>
        <w:t xml:space="preserve"> tika secināts, ka EVTI maksu finansēšanas sistēma ir nepamatoti sarežģīta. </w:t>
      </w:r>
      <w:r w:rsidRPr="00FD5F7A">
        <w:rPr>
          <w:noProof/>
          <w:color w:val="000000"/>
          <w:shd w:val="clear" w:color="auto" w:fill="FFFFFF"/>
        </w:rPr>
        <w:t>Lai vienkāršotu maksu iekasēšanu un samazinātu riskus, kas saistīti ar maksu nepareizu aprēķināšanu vai neefektīvu piemērošanu, ir nepieciešams nodrošināt tehnisko aspektu konsekvenci visos deleģētajos aktos par maksām, kuras iekasē EVTI, ciktāl tas ir lietderīgi un iespējams.</w:t>
      </w:r>
    </w:p>
    <w:p w:rsidR="00537579" w:rsidRPr="00FD5F7A" w:rsidRDefault="00537579" w:rsidP="00537579">
      <w:pPr>
        <w:pStyle w:val="ManualConsidrant"/>
        <w:rPr>
          <w:noProof/>
        </w:rPr>
      </w:pPr>
      <w:r>
        <w:rPr>
          <w:noProof/>
        </w:rPr>
        <w:t>(3)</w:t>
      </w:r>
      <w:r>
        <w:rPr>
          <w:noProof/>
        </w:rPr>
        <w:tab/>
      </w:r>
      <w:r w:rsidRPr="00FD5F7A">
        <w:rPr>
          <w:noProof/>
        </w:rPr>
        <w:t>Lai nodrošinātu konsekvenci attiecībā uz maksām, kuras EVTI iekasē no darījumu reģistriem, Deleģētā regula (ES) Nr. 1003/2013 būtu jāsalāgo ar Komisijas Deleģēto regulu (ES) 2019/360</w:t>
      </w:r>
      <w:r w:rsidRPr="00FD5F7A">
        <w:rPr>
          <w:rStyle w:val="FootnoteReference"/>
          <w:noProof/>
          <w:lang w:eastAsia="en-IE"/>
        </w:rPr>
        <w:footnoteReference w:id="15"/>
      </w:r>
      <w:r w:rsidRPr="00FD5F7A">
        <w:rPr>
          <w:noProof/>
        </w:rPr>
        <w:t>.</w:t>
      </w:r>
    </w:p>
    <w:p w:rsidR="00537579" w:rsidRPr="00FD5F7A" w:rsidRDefault="00537579" w:rsidP="00537579">
      <w:pPr>
        <w:pStyle w:val="ManualConsidrant"/>
        <w:rPr>
          <w:noProof/>
        </w:rPr>
      </w:pPr>
      <w:r>
        <w:rPr>
          <w:noProof/>
        </w:rPr>
        <w:t>(4)</w:t>
      </w:r>
      <w:r>
        <w:rPr>
          <w:noProof/>
        </w:rPr>
        <w:tab/>
      </w:r>
      <w:r w:rsidRPr="00FD5F7A">
        <w:rPr>
          <w:noProof/>
        </w:rPr>
        <w:t>Lai pilnībā segtu EVTI izdevumus, kas saistīti ar darījumu reģistru uzraudzību, gada uzraudzības maksas būtu jānosaka, balstoties uz visu to tiešo izmaksu ikgadēju aplēsi, kuras nepieciešamas EVTI uzraudzības uzdevumu veikšanai, un EVTI fiksēto un mainīgo pieskaitāmo izmaksu saprātīgu proporciju.</w:t>
      </w:r>
      <w:bookmarkStart w:id="6" w:name="_Hlk152938241"/>
      <w:bookmarkEnd w:id="6"/>
    </w:p>
    <w:p w:rsidR="00537579" w:rsidRPr="00FD5F7A" w:rsidRDefault="00537579" w:rsidP="00537579">
      <w:pPr>
        <w:pStyle w:val="ManualConsidrant"/>
        <w:rPr>
          <w:noProof/>
        </w:rPr>
      </w:pPr>
      <w:r>
        <w:rPr>
          <w:noProof/>
        </w:rPr>
        <w:t>(5)</w:t>
      </w:r>
      <w:r>
        <w:rPr>
          <w:noProof/>
        </w:rPr>
        <w:tab/>
      </w:r>
      <w:r w:rsidRPr="00FD5F7A">
        <w:rPr>
          <w:noProof/>
        </w:rPr>
        <w:t xml:space="preserve">Lai EVTI uzraudzības maksu noteikšanas vajadzībām nodrošinātu darījumu reģistru datu konsekvenci un salīdzināmību, gada uzraudzības maksas būtu jāaprēķina, balstoties vienīgi uz darījumu reģistru apgrozījumu no pamatdarbības un papildpakalpojumiem. </w:t>
      </w:r>
    </w:p>
    <w:p w:rsidR="00537579" w:rsidRPr="00FD5F7A" w:rsidRDefault="00537579" w:rsidP="00537579">
      <w:pPr>
        <w:pStyle w:val="ManualConsidrant"/>
        <w:rPr>
          <w:rFonts w:eastAsia="Calibri"/>
          <w:noProof/>
          <w:szCs w:val="24"/>
        </w:rPr>
      </w:pPr>
      <w:r>
        <w:rPr>
          <w:noProof/>
        </w:rPr>
        <w:t>(6)</w:t>
      </w:r>
      <w:r>
        <w:rPr>
          <w:noProof/>
        </w:rPr>
        <w:tab/>
      </w:r>
      <w:r w:rsidRPr="00FD5F7A">
        <w:rPr>
          <w:noProof/>
        </w:rPr>
        <w:t>Lai nodrošinātu konsekvenci starp deleģētajiem aktiem par maksām, kas jāmaksā EVTI, un lai EVTI varētu laikus saņemt revidētos apgrozījuma datus nolūkā aplēst maksas, kuras darījumu reģistriem jāmaksā EVTI, piemērojamā apgrozījuma noteikšanas vajadzībām par revidēto pārskatu atsauces gadu būtu jānosaka gads, kas ir 2 gadus pirms gada, par kuru EVTI iekasē maksu no darījumu reģistra.</w:t>
      </w:r>
    </w:p>
    <w:p w:rsidR="00537579" w:rsidRPr="00FD5F7A" w:rsidRDefault="00537579" w:rsidP="00537579">
      <w:pPr>
        <w:pStyle w:val="ManualConsidrant"/>
        <w:rPr>
          <w:noProof/>
        </w:rPr>
      </w:pPr>
      <w:r>
        <w:rPr>
          <w:noProof/>
        </w:rPr>
        <w:t>(7)</w:t>
      </w:r>
      <w:r>
        <w:rPr>
          <w:noProof/>
        </w:rPr>
        <w:tab/>
      </w:r>
      <w:r w:rsidRPr="00FD5F7A">
        <w:rPr>
          <w:noProof/>
        </w:rPr>
        <w:t>Darījumu reģistru piemērojamais apgrozījums tiek rēķināts euro. Tāpēc ir nepieciešams noteikt mehānismu citās valūtās gūto ieņēmumu konvertēšanai euro.</w:t>
      </w:r>
    </w:p>
    <w:p w:rsidR="00537579" w:rsidRPr="00FD5F7A" w:rsidRDefault="00537579" w:rsidP="00537579">
      <w:pPr>
        <w:pStyle w:val="ManualConsidrant"/>
        <w:rPr>
          <w:noProof/>
        </w:rPr>
      </w:pPr>
      <w:r>
        <w:rPr>
          <w:noProof/>
        </w:rPr>
        <w:t>(8)</w:t>
      </w:r>
      <w:r>
        <w:rPr>
          <w:noProof/>
        </w:rPr>
        <w:tab/>
      </w:r>
      <w:r w:rsidRPr="00FD5F7A">
        <w:rPr>
          <w:noProof/>
        </w:rPr>
        <w:t>Saskaņā ar Komisijas Deleģēto regulu (ES) 2019/715</w:t>
      </w:r>
      <w:r w:rsidRPr="00FD5F7A">
        <w:rPr>
          <w:rStyle w:val="FootnoteReference"/>
          <w:noProof/>
        </w:rPr>
        <w:footnoteReference w:id="16"/>
      </w:r>
      <w:r w:rsidRPr="00FD5F7A">
        <w:rPr>
          <w:noProof/>
        </w:rPr>
        <w:t xml:space="preserve"> maksas, kuras tiek iekasētas no darījumu reģistriem, būtu jānosaka tādā līmenī, kas nodrošina, ka tiek pilnībā segtas EVTI sniegto pakalpojumu izmaksas un tiek novērsts deficīts, vienlaikus izvairoties no ievērojama pārpalikuma uzkrāšanās. </w:t>
      </w:r>
      <w:bookmarkStart w:id="7" w:name="_Hlk151979305"/>
      <w:r w:rsidRPr="00FD5F7A">
        <w:rPr>
          <w:noProof/>
        </w:rPr>
        <w:t xml:space="preserve">Ja budžeta bilance atkārtoti ir ievērojami pozitīva vai negatīva, maksu līmenis būtu jāpārskata. </w:t>
      </w:r>
      <w:bookmarkEnd w:id="7"/>
    </w:p>
    <w:p w:rsidR="00537579" w:rsidRPr="00FD5F7A" w:rsidRDefault="00537579" w:rsidP="00537579">
      <w:pPr>
        <w:pStyle w:val="ManualConsidrant"/>
        <w:rPr>
          <w:noProof/>
        </w:rPr>
      </w:pPr>
      <w:r>
        <w:rPr>
          <w:noProof/>
        </w:rPr>
        <w:t>(9)</w:t>
      </w:r>
      <w:r>
        <w:rPr>
          <w:noProof/>
        </w:rPr>
        <w:tab/>
      </w:r>
      <w:r w:rsidRPr="00FD5F7A">
        <w:rPr>
          <w:noProof/>
        </w:rPr>
        <w:t xml:space="preserve">Lai novērstu, ka reģistrētam darījumu reģistram tā reģistrācijas gadā ir jāmaksā pārmērīgi liela uzraudzības maksa, šim darījumu reģistram būtu jāmaksā tāda sākotnējā uzraudzības maksa, kuras summa ir proporcionāla šā pirmā gada periodam, kurā darījumu reģistrs bija reģistrēts. </w:t>
      </w:r>
    </w:p>
    <w:p w:rsidR="00537579" w:rsidRPr="00FD5F7A" w:rsidRDefault="00537579" w:rsidP="00537579">
      <w:pPr>
        <w:pStyle w:val="ManualConsidrant"/>
        <w:rPr>
          <w:noProof/>
        </w:rPr>
      </w:pPr>
      <w:r>
        <w:rPr>
          <w:noProof/>
        </w:rPr>
        <w:t>(10)</w:t>
      </w:r>
      <w:r>
        <w:rPr>
          <w:noProof/>
        </w:rPr>
        <w:tab/>
      </w:r>
      <w:r w:rsidRPr="00FD5F7A">
        <w:rPr>
          <w:noProof/>
        </w:rPr>
        <w:t>Ja darījumu reģistrs, kas vēl nav reģistrēts saskaņā ar Regulu (ES) Nr. 648/2012, vienlaikus iesniedz reģistrācijas pieteikumus gan saskaņā ar Regulu (ES) Nr. 648/2012, gan saskaņā ar Eiropas Parlamenta un Padomes Regulu (ES) 2015/2365</w:t>
      </w:r>
      <w:r w:rsidRPr="00FD5F7A">
        <w:rPr>
          <w:rStyle w:val="FootnoteReference"/>
          <w:noProof/>
        </w:rPr>
        <w:footnoteReference w:id="17"/>
      </w:r>
      <w:r w:rsidRPr="00FD5F7A">
        <w:rPr>
          <w:noProof/>
        </w:rPr>
        <w:t>, izdevumiem, kas nepieciešami pieteikumu pareizai novērtēšanai un izskatīšanai, vajadzētu būt mazākiem, jo viena un tā paša veida dokumenti būtu jāizskata tikai vienreiz. Tāpēc pieteikumu vienlaicīgas iesniegšanas gadījumā darījumu reģistram būtu jāmaksā pilna maksa par reģistrāciju saskaņā ar Regulu (ES) Nr. 648/2012 un samazināta maksa par reģistrācijas tvēruma paplašināšanas saskaņā ar Regulu (ES) 2015/2365.</w:t>
      </w:r>
    </w:p>
    <w:p w:rsidR="00537579" w:rsidRPr="00FD5F7A" w:rsidRDefault="00537579" w:rsidP="00537579">
      <w:pPr>
        <w:pStyle w:val="ManualConsidrant"/>
        <w:rPr>
          <w:noProof/>
        </w:rPr>
      </w:pPr>
      <w:r>
        <w:rPr>
          <w:noProof/>
        </w:rPr>
        <w:t>(11)</w:t>
      </w:r>
      <w:r>
        <w:rPr>
          <w:noProof/>
        </w:rPr>
        <w:tab/>
      </w:r>
      <w:r w:rsidRPr="00FD5F7A">
        <w:rPr>
          <w:noProof/>
        </w:rPr>
        <w:t>Ja darījumu reģistrs ir reģistrēts decembrī, administratīvās izmaksas, kas ir attiecināmas uz pirmā gada uzraudzības maksu, nebūtu samērīgas ar minēto maksu. Tāpēc, ja darījumu reģistrs ir reģistrēts decembrī, tas būtu jāatbrīvo no prasības maksāt gada uzraudzības maksu par tā reģistrācijas gadu.</w:t>
      </w:r>
    </w:p>
    <w:p w:rsidR="00537579" w:rsidRPr="00FD5F7A" w:rsidRDefault="00537579" w:rsidP="00537579">
      <w:pPr>
        <w:pStyle w:val="ManualConsidrant"/>
        <w:rPr>
          <w:noProof/>
        </w:rPr>
      </w:pPr>
      <w:r>
        <w:rPr>
          <w:noProof/>
        </w:rPr>
        <w:t>(12)</w:t>
      </w:r>
      <w:r>
        <w:rPr>
          <w:noProof/>
        </w:rPr>
        <w:tab/>
      </w:r>
      <w:r w:rsidRPr="00FD5F7A">
        <w:rPr>
          <w:noProof/>
        </w:rPr>
        <w:t>Lai nodrošinātu konsekvenci starp deleģētajiem aktiem par maksām, kas jāmaksā EVTI, nokavētu maksājumu gadījumā kavējuma nauda EVTI būtu jāaprēķina saskaņā ar noteikumiem par kavējuma procentiem, kuri paredzēti Eiropas Parlamenta un Padomes Regulas (ES, Euratom) 2018/1046</w:t>
      </w:r>
      <w:r w:rsidRPr="00FD5F7A">
        <w:rPr>
          <w:rStyle w:val="FootnoteReference"/>
          <w:noProof/>
          <w:lang w:eastAsia="en-IE"/>
        </w:rPr>
        <w:footnoteReference w:id="18"/>
      </w:r>
      <w:r w:rsidRPr="00FD5F7A">
        <w:rPr>
          <w:noProof/>
        </w:rPr>
        <w:t xml:space="preserve"> 99. pantā.</w:t>
      </w:r>
    </w:p>
    <w:p w:rsidR="00537579" w:rsidRPr="00FD5F7A" w:rsidRDefault="00537579" w:rsidP="00537579">
      <w:pPr>
        <w:pStyle w:val="ManualConsidrant"/>
        <w:rPr>
          <w:noProof/>
        </w:rPr>
      </w:pPr>
      <w:r>
        <w:rPr>
          <w:noProof/>
        </w:rPr>
        <w:t>(13)</w:t>
      </w:r>
      <w:r>
        <w:rPr>
          <w:noProof/>
        </w:rPr>
        <w:tab/>
      </w:r>
      <w:r w:rsidRPr="00FD5F7A">
        <w:rPr>
          <w:noProof/>
        </w:rPr>
        <w:t>Lai palielinātu darījumu reģistriem piemērojamo maksu samaksas noteikumu un procesu pārredzamību, ir nepieciešams noteikt, kādā periodā vai līdz kuram datumam darījumu reģistriem ir jāsamaksā EVTI izdotie rēķini. Attiecībā uz gada uzraudzības maksām ir nepieciešams noteikt to summu un termiņu, kurā EVTI ir jānosūta attiecīgie rēķini darījumu reģistriem.</w:t>
      </w:r>
    </w:p>
    <w:p w:rsidR="00537579" w:rsidRPr="00FD5F7A" w:rsidRDefault="00537579" w:rsidP="00537579">
      <w:pPr>
        <w:pStyle w:val="ManualConsidrant"/>
        <w:rPr>
          <w:noProof/>
        </w:rPr>
      </w:pPr>
      <w:r>
        <w:rPr>
          <w:noProof/>
        </w:rPr>
        <w:t>(14)</w:t>
      </w:r>
      <w:r>
        <w:rPr>
          <w:noProof/>
        </w:rPr>
        <w:tab/>
      </w:r>
      <w:r w:rsidRPr="00FD5F7A">
        <w:rPr>
          <w:noProof/>
        </w:rPr>
        <w:t>Lai nodrošinātu reģistrācijas maksu un atzīšanas maksu savlaicīgu samaksu, minētās maksas jebkurā gadījumā būtu jāsamaksā 30 kalendāro dienu laikā no EVTI rēķina izdošanas dienas.</w:t>
      </w:r>
    </w:p>
    <w:p w:rsidR="00537579" w:rsidRPr="00FD5F7A" w:rsidRDefault="00537579" w:rsidP="00537579">
      <w:pPr>
        <w:pStyle w:val="ManualConsidrant"/>
        <w:rPr>
          <w:noProof/>
        </w:rPr>
      </w:pPr>
      <w:r>
        <w:rPr>
          <w:noProof/>
        </w:rPr>
        <w:t>(15)</w:t>
      </w:r>
      <w:r>
        <w:rPr>
          <w:noProof/>
        </w:rPr>
        <w:tab/>
      </w:r>
      <w:r w:rsidRPr="00FD5F7A">
        <w:rPr>
          <w:noProof/>
        </w:rPr>
        <w:t>Lai vienkāršotu maksājumu plūsmas un nodrošinātu, ka EVTI rīcībā ir plānoto uzraudzības darbību veikšanai nepieciešamie līdzekļi, būtu jāparedz, ka gada uzraudzības maksas tiek maksātas vienā maksājumā tā kalendārā gada pirmajos trijos mēnešos, uz kuru šīs maksas attiecas.</w:t>
      </w:r>
    </w:p>
    <w:p w:rsidR="00537579" w:rsidRPr="00FD5F7A" w:rsidRDefault="00537579" w:rsidP="00537579">
      <w:pPr>
        <w:pStyle w:val="ManualConsidrant"/>
        <w:rPr>
          <w:noProof/>
        </w:rPr>
      </w:pPr>
      <w:r>
        <w:rPr>
          <w:noProof/>
        </w:rPr>
        <w:t>(16)</w:t>
      </w:r>
      <w:r>
        <w:rPr>
          <w:noProof/>
        </w:rPr>
        <w:tab/>
      </w:r>
      <w:r w:rsidRPr="00FD5F7A">
        <w:rPr>
          <w:noProof/>
        </w:rPr>
        <w:t>Nolūkā atvēlēt pietiekami daudz laika un atvieglot iekšējos apstiprināšanas procesus, EVTI gada uzraudzības maksu rēķini būtu jānosūta vismaz 30 kalendārās dienas pirms attiecīgā samaksas termiņa.</w:t>
      </w:r>
      <w:bookmarkStart w:id="8" w:name="_Hlk151980289"/>
      <w:bookmarkEnd w:id="8"/>
    </w:p>
    <w:p w:rsidR="00537579" w:rsidRPr="00FD5F7A" w:rsidRDefault="00537579" w:rsidP="00537579">
      <w:pPr>
        <w:pStyle w:val="ManualConsidrant"/>
        <w:rPr>
          <w:noProof/>
        </w:rPr>
      </w:pPr>
      <w:r>
        <w:rPr>
          <w:noProof/>
        </w:rPr>
        <w:t>(17)</w:t>
      </w:r>
      <w:r>
        <w:rPr>
          <w:noProof/>
        </w:rPr>
        <w:tab/>
      </w:r>
      <w:r w:rsidRPr="00FD5F7A">
        <w:rPr>
          <w:noProof/>
        </w:rPr>
        <w:t>Lai novērstu juridisko nenoteiktību attiecībā uz kārtējo maksu iekasēšanas procesu, šī regula būtu jāpiemēro no 2025. gada 1. janvāra.</w:t>
      </w:r>
    </w:p>
    <w:p w:rsidR="00537579" w:rsidRPr="00FD5F7A" w:rsidRDefault="00537579" w:rsidP="00537579">
      <w:pPr>
        <w:pStyle w:val="ManualConsidrant"/>
        <w:rPr>
          <w:noProof/>
        </w:rPr>
      </w:pPr>
      <w:r>
        <w:rPr>
          <w:noProof/>
        </w:rPr>
        <w:t>(18)</w:t>
      </w:r>
      <w:r>
        <w:rPr>
          <w:noProof/>
        </w:rPr>
        <w:tab/>
      </w:r>
      <w:r w:rsidRPr="00FD5F7A">
        <w:rPr>
          <w:noProof/>
        </w:rPr>
        <w:t>Tāpēc būtu attiecīgi jāgroza Deleģētā regula (ES) Nr. 1003/2013,</w:t>
      </w:r>
    </w:p>
    <w:p w:rsidR="00537579" w:rsidRPr="00FD5F7A" w:rsidRDefault="00537579" w:rsidP="00537579">
      <w:pPr>
        <w:pStyle w:val="Formuledadoption"/>
        <w:rPr>
          <w:noProof/>
        </w:rPr>
      </w:pPr>
      <w:r w:rsidRPr="00FD5F7A">
        <w:rPr>
          <w:noProof/>
        </w:rPr>
        <w:t>IR PIEŅĒMUSI ŠO REGULU.</w:t>
      </w:r>
    </w:p>
    <w:p w:rsidR="00537579" w:rsidRPr="00FD5F7A" w:rsidRDefault="00537579" w:rsidP="00537579">
      <w:pPr>
        <w:pStyle w:val="Titrearticle"/>
        <w:rPr>
          <w:noProof/>
        </w:rPr>
      </w:pPr>
      <w:r w:rsidRPr="00FD5F7A">
        <w:rPr>
          <w:noProof/>
        </w:rPr>
        <w:t>1. pants</w:t>
      </w:r>
    </w:p>
    <w:p w:rsidR="00537579" w:rsidRPr="00FD5F7A" w:rsidRDefault="00537579" w:rsidP="00537579">
      <w:pPr>
        <w:shd w:val="clear" w:color="auto" w:fill="FFFFFF"/>
        <w:spacing w:before="60"/>
        <w:jc w:val="center"/>
        <w:rPr>
          <w:rFonts w:eastAsia="Times New Roman"/>
          <w:b/>
          <w:bCs/>
          <w:noProof/>
          <w:color w:val="000000"/>
          <w:szCs w:val="24"/>
        </w:rPr>
      </w:pPr>
      <w:r w:rsidRPr="00FD5F7A">
        <w:rPr>
          <w:b/>
          <w:noProof/>
          <w:color w:val="000000"/>
        </w:rPr>
        <w:t>Grozījumi Deleģētajā regulā (ES) Nr. 1003/2013</w:t>
      </w:r>
    </w:p>
    <w:p w:rsidR="00537579" w:rsidRPr="00FD5F7A" w:rsidRDefault="00537579" w:rsidP="00537579">
      <w:pPr>
        <w:shd w:val="clear" w:color="auto" w:fill="FFFFFF" w:themeFill="background1"/>
        <w:spacing w:after="0"/>
        <w:rPr>
          <w:rFonts w:eastAsia="Times New Roman"/>
          <w:noProof/>
          <w:color w:val="000000" w:themeColor="text1"/>
        </w:rPr>
      </w:pPr>
      <w:r w:rsidRPr="00FD5F7A">
        <w:rPr>
          <w:noProof/>
          <w:color w:val="000000" w:themeColor="text1"/>
        </w:rPr>
        <w:t>Deleģēto regulu (ES) Nr. 1003/2013 groza šādi:</w:t>
      </w:r>
    </w:p>
    <w:p w:rsidR="00537579" w:rsidRPr="00FD5F7A" w:rsidRDefault="00537579" w:rsidP="00537579">
      <w:pPr>
        <w:pStyle w:val="Point0"/>
        <w:rPr>
          <w:noProof/>
        </w:rPr>
      </w:pPr>
      <w:r>
        <w:rPr>
          <w:noProof/>
        </w:rPr>
        <w:t>(1)</w:t>
      </w:r>
      <w:r>
        <w:rPr>
          <w:noProof/>
        </w:rPr>
        <w:tab/>
      </w:r>
      <w:r w:rsidRPr="00FD5F7A">
        <w:rPr>
          <w:noProof/>
        </w:rPr>
        <w:t>regulas 2. pantu aizstāj ar šādu:</w:t>
      </w:r>
    </w:p>
    <w:p w:rsidR="00537579" w:rsidRPr="00FD5F7A" w:rsidRDefault="00537579" w:rsidP="00537579">
      <w:pPr>
        <w:pStyle w:val="Titrearticle"/>
        <w:rPr>
          <w:noProof/>
        </w:rPr>
      </w:pPr>
      <w:r w:rsidRPr="00FD5F7A">
        <w:rPr>
          <w:noProof/>
        </w:rPr>
        <w:t>“2. pants</w:t>
      </w:r>
    </w:p>
    <w:p w:rsidR="00537579" w:rsidRPr="00FD5F7A" w:rsidRDefault="00537579" w:rsidP="00537579">
      <w:pPr>
        <w:pStyle w:val="NormalCentered"/>
        <w:rPr>
          <w:noProof/>
        </w:rPr>
      </w:pPr>
      <w:r w:rsidRPr="00FD5F7A">
        <w:rPr>
          <w:b/>
          <w:noProof/>
        </w:rPr>
        <w:t>Uzraudzības izmaksu pilnīga segšana</w:t>
      </w:r>
    </w:p>
    <w:p w:rsidR="00537579" w:rsidRPr="00FD5F7A" w:rsidRDefault="00537579" w:rsidP="00537579">
      <w:pPr>
        <w:pStyle w:val="Text1"/>
        <w:rPr>
          <w:noProof/>
        </w:rPr>
      </w:pPr>
      <w:r w:rsidRPr="00FD5F7A">
        <w:rPr>
          <w:noProof/>
        </w:rPr>
        <w:t>No darījumu reģistriem iekasētās maksas sedz:</w:t>
      </w:r>
    </w:p>
    <w:p w:rsidR="00537579" w:rsidRPr="00FD5F7A" w:rsidRDefault="00537579" w:rsidP="00537579">
      <w:pPr>
        <w:pStyle w:val="Point1"/>
        <w:rPr>
          <w:noProof/>
        </w:rPr>
      </w:pPr>
      <w:r>
        <w:rPr>
          <w:noProof/>
        </w:rPr>
        <w:t>(a)</w:t>
      </w:r>
      <w:r>
        <w:rPr>
          <w:noProof/>
        </w:rPr>
        <w:tab/>
      </w:r>
      <w:r w:rsidRPr="00FD5F7A">
        <w:rPr>
          <w:noProof/>
        </w:rPr>
        <w:t>visas tiešās un netiešās izmaksas, kas saistītas ar darījumu reģistru reģistrāciju un uzraudzību, kuru EVTI veic saskaņā ar Regulu (ES) Nr. 648/2012, ieskaitot izmaksas, kas izriet no darījumu reģistru atzīšanas;</w:t>
      </w:r>
    </w:p>
    <w:p w:rsidR="00537579" w:rsidRPr="00FD5F7A" w:rsidRDefault="00537579" w:rsidP="00537579">
      <w:pPr>
        <w:pStyle w:val="Point1"/>
        <w:rPr>
          <w:noProof/>
        </w:rPr>
      </w:pPr>
      <w:r>
        <w:rPr>
          <w:noProof/>
        </w:rPr>
        <w:t>(b)</w:t>
      </w:r>
      <w:r>
        <w:rPr>
          <w:noProof/>
        </w:rPr>
        <w:tab/>
      </w:r>
      <w:r w:rsidRPr="00FD5F7A">
        <w:rPr>
          <w:noProof/>
        </w:rPr>
        <w:t>visas izmaksas, ko rada tiešo un netiešo izmaksu atlīdzināšana kompetentajām iestādēm, kuras ir veikušas darbu saskaņā ar Regulu (ES) Nr. 648/2012, un ko jo īpaši rada uzdevumu deleģēšana saskaņā ar Regulas (ES) Nr. 648/2012 74. pantu.”;</w:t>
      </w:r>
    </w:p>
    <w:p w:rsidR="00537579" w:rsidRPr="00FD5F7A" w:rsidRDefault="00537579" w:rsidP="00537579">
      <w:pPr>
        <w:pStyle w:val="Point0"/>
        <w:rPr>
          <w:noProof/>
        </w:rPr>
      </w:pPr>
      <w:r>
        <w:rPr>
          <w:noProof/>
        </w:rPr>
        <w:t>(2)</w:t>
      </w:r>
      <w:r>
        <w:rPr>
          <w:noProof/>
        </w:rPr>
        <w:tab/>
      </w:r>
      <w:r w:rsidRPr="00FD5F7A">
        <w:rPr>
          <w:noProof/>
        </w:rPr>
        <w:t>regulas 3. pantu aizstāj ar šādu:</w:t>
      </w:r>
    </w:p>
    <w:p w:rsidR="00537579" w:rsidRPr="00FD5F7A" w:rsidRDefault="00537579" w:rsidP="00537579">
      <w:pPr>
        <w:shd w:val="clear" w:color="auto" w:fill="FFFFFF"/>
        <w:spacing w:before="360"/>
        <w:jc w:val="center"/>
        <w:rPr>
          <w:rFonts w:eastAsia="Times New Roman"/>
          <w:i/>
          <w:iCs/>
          <w:noProof/>
          <w:color w:val="000000"/>
          <w:szCs w:val="24"/>
        </w:rPr>
      </w:pPr>
      <w:r w:rsidRPr="00FD5F7A">
        <w:rPr>
          <w:i/>
          <w:noProof/>
          <w:color w:val="000000"/>
        </w:rPr>
        <w:t>“3. pants</w:t>
      </w:r>
    </w:p>
    <w:p w:rsidR="00537579" w:rsidRPr="00FD5F7A" w:rsidRDefault="00537579" w:rsidP="00537579">
      <w:pPr>
        <w:shd w:val="clear" w:color="auto" w:fill="FFFFFF"/>
        <w:spacing w:before="60"/>
        <w:jc w:val="center"/>
        <w:rPr>
          <w:rFonts w:eastAsia="Times New Roman"/>
          <w:b/>
          <w:bCs/>
          <w:noProof/>
          <w:color w:val="000000"/>
          <w:szCs w:val="24"/>
        </w:rPr>
      </w:pPr>
      <w:r w:rsidRPr="00FD5F7A">
        <w:rPr>
          <w:b/>
          <w:noProof/>
          <w:color w:val="000000"/>
        </w:rPr>
        <w:t>Piemērojamais apgrozījums</w:t>
      </w:r>
    </w:p>
    <w:p w:rsidR="00537579" w:rsidRPr="00FD5F7A" w:rsidRDefault="00537579" w:rsidP="00537579">
      <w:pPr>
        <w:pStyle w:val="ManualNumPar1"/>
        <w:tabs>
          <w:tab w:val="num" w:pos="567"/>
          <w:tab w:val="left" w:pos="709"/>
          <w:tab w:val="left" w:pos="993"/>
        </w:tabs>
        <w:ind w:left="567" w:firstLine="0"/>
        <w:rPr>
          <w:noProof/>
        </w:rPr>
      </w:pPr>
      <w:r>
        <w:rPr>
          <w:noProof/>
        </w:rPr>
        <w:t>1.</w:t>
      </w:r>
      <w:r>
        <w:rPr>
          <w:noProof/>
        </w:rPr>
        <w:tab/>
      </w:r>
      <w:r w:rsidRPr="00FD5F7A">
        <w:rPr>
          <w:noProof/>
        </w:rPr>
        <w:t>Darījumu reģistri, kas reģistrēti saskaņā ar Regulu (ES) Nr. 648/2012, šīs regulas piemērošanas nolūkā kārto revidētu uzskaiti, kurā tiek savstarpēji nošķirtas šādas pozīcijas:</w:t>
      </w:r>
    </w:p>
    <w:p w:rsidR="00537579" w:rsidRPr="00FD5F7A" w:rsidRDefault="00537579" w:rsidP="00537579">
      <w:pPr>
        <w:pStyle w:val="Point1"/>
        <w:ind w:left="1134"/>
        <w:rPr>
          <w:noProof/>
        </w:rPr>
      </w:pPr>
      <w:r>
        <w:rPr>
          <w:noProof/>
        </w:rPr>
        <w:t>(a)</w:t>
      </w:r>
      <w:r>
        <w:rPr>
          <w:noProof/>
        </w:rPr>
        <w:tab/>
      </w:r>
      <w:r w:rsidRPr="00FD5F7A">
        <w:rPr>
          <w:noProof/>
        </w:rPr>
        <w:t xml:space="preserve">ieņēmumi, kas gūti no pamatdarbības, t. i., ierakstu centralizētas vākšanas un uzturēšanas par atvasinātajiem instrumentiem saskaņā ar Regulu (ES) Nr. 648/2012; </w:t>
      </w:r>
    </w:p>
    <w:p w:rsidR="00537579" w:rsidRPr="00FD5F7A" w:rsidRDefault="00537579" w:rsidP="00537579">
      <w:pPr>
        <w:pStyle w:val="Point1"/>
        <w:ind w:left="1134"/>
        <w:rPr>
          <w:noProof/>
        </w:rPr>
      </w:pPr>
      <w:r>
        <w:rPr>
          <w:noProof/>
        </w:rPr>
        <w:t>(b)</w:t>
      </w:r>
      <w:r>
        <w:rPr>
          <w:noProof/>
        </w:rPr>
        <w:tab/>
      </w:r>
      <w:r w:rsidRPr="00FD5F7A">
        <w:rPr>
          <w:noProof/>
        </w:rPr>
        <w:t>ieņēmumi, kas gūti no papildpakalpojumiem, kuri ir tieši saistīti ar ierakstu centralizētu vākšanu un uzturēšanu par atvasinātajiem instrumentiem saskaņā ar Regulu (ES) Nr. 648/2012.</w:t>
      </w:r>
    </w:p>
    <w:p w:rsidR="00537579" w:rsidRPr="00FD5F7A" w:rsidRDefault="00537579" w:rsidP="00537579">
      <w:pPr>
        <w:shd w:val="clear" w:color="auto" w:fill="FFFFFF"/>
        <w:spacing w:after="0"/>
        <w:ind w:left="567"/>
        <w:rPr>
          <w:noProof/>
          <w:color w:val="000000"/>
        </w:rPr>
      </w:pPr>
      <w:r w:rsidRPr="00FD5F7A">
        <w:rPr>
          <w:noProof/>
          <w:color w:val="000000"/>
        </w:rPr>
        <w:t>Piemērojamie ieņēmumi no darījumu reģistra papildpakalpojumiem konkrētā gadā n ir ieņēmumi no b) apakšpunktā noteiktajiem pakalpojumiem.</w:t>
      </w:r>
    </w:p>
    <w:p w:rsidR="00537579" w:rsidRPr="00FD5F7A" w:rsidRDefault="00537579" w:rsidP="00537579">
      <w:pPr>
        <w:pStyle w:val="ManualNumPar1"/>
        <w:tabs>
          <w:tab w:val="num" w:pos="1134"/>
        </w:tabs>
        <w:ind w:left="567" w:firstLine="0"/>
        <w:rPr>
          <w:noProof/>
        </w:rPr>
      </w:pPr>
      <w:r>
        <w:rPr>
          <w:noProof/>
        </w:rPr>
        <w:t>2.</w:t>
      </w:r>
      <w:r>
        <w:rPr>
          <w:noProof/>
        </w:rPr>
        <w:tab/>
      </w:r>
      <w:r w:rsidRPr="00FD5F7A">
        <w:rPr>
          <w:noProof/>
        </w:rPr>
        <w:t>Darījumu reģistri, kas reģistrēti gan saskaņā ar Regulu (ES) Nr. 648/2012, gan saskaņā ar Regulu (ES) 2015/2365, šīs regulas piemērošanas nolūkā kārto revidētu uzskaiti, kurā tiek savstarpēji nošķirtas šādas pozīcijas:</w:t>
      </w:r>
    </w:p>
    <w:p w:rsidR="00537579" w:rsidRPr="00FD5F7A" w:rsidRDefault="00537579" w:rsidP="00537579">
      <w:pPr>
        <w:pStyle w:val="Point1"/>
        <w:tabs>
          <w:tab w:val="num" w:pos="1134"/>
        </w:tabs>
        <w:ind w:left="1134"/>
        <w:rPr>
          <w:noProof/>
        </w:rPr>
      </w:pPr>
      <w:r>
        <w:rPr>
          <w:noProof/>
        </w:rPr>
        <w:t>(a)</w:t>
      </w:r>
      <w:r>
        <w:rPr>
          <w:noProof/>
        </w:rPr>
        <w:tab/>
      </w:r>
      <w:r w:rsidRPr="00FD5F7A">
        <w:rPr>
          <w:noProof/>
        </w:rPr>
        <w:t>ieņēmumi, kas gūti no pamatdarbības, t. i., ierakstu centralizētas vākšanas un uzturēšanas par atvasinātajiem instrumentiem saskaņā ar Regulu (ES) Nr. 648/2012;</w:t>
      </w:r>
    </w:p>
    <w:p w:rsidR="00537579" w:rsidRPr="00FD5F7A" w:rsidRDefault="00537579" w:rsidP="00537579">
      <w:pPr>
        <w:pStyle w:val="Point1"/>
        <w:ind w:left="1134"/>
        <w:rPr>
          <w:noProof/>
        </w:rPr>
      </w:pPr>
      <w:r>
        <w:rPr>
          <w:noProof/>
        </w:rPr>
        <w:t>(b)</w:t>
      </w:r>
      <w:r>
        <w:rPr>
          <w:noProof/>
        </w:rPr>
        <w:tab/>
      </w:r>
      <w:r w:rsidRPr="00FD5F7A">
        <w:rPr>
          <w:noProof/>
        </w:rPr>
        <w:t>ieņēmumi, kas gūti no pamatdarbības, t. i., ierakstu centralizētas vākšanas un uzturēšanas par vērtspapīru finansēšanas darījumiem saskaņā ar Regulu (ES) 2015/2365;</w:t>
      </w:r>
    </w:p>
    <w:p w:rsidR="00537579" w:rsidRPr="00FD5F7A" w:rsidRDefault="00537579" w:rsidP="00537579">
      <w:pPr>
        <w:pStyle w:val="Point1"/>
        <w:ind w:left="1134"/>
        <w:rPr>
          <w:noProof/>
        </w:rPr>
      </w:pPr>
      <w:r>
        <w:rPr>
          <w:noProof/>
        </w:rPr>
        <w:t>(c)</w:t>
      </w:r>
      <w:r>
        <w:rPr>
          <w:noProof/>
        </w:rPr>
        <w:tab/>
      </w:r>
      <w:r w:rsidRPr="00FD5F7A">
        <w:rPr>
          <w:noProof/>
        </w:rPr>
        <w:t>ieņēmumi, kas gūti no papildpakalpojumiem, kuri ir tieši saistīti ar ierakstu centralizētu vākšanu un uzturēšanu par atvasinātajiem instrumentiem saskaņā ar Regulu (ES) Nr. 648/2012;</w:t>
      </w:r>
    </w:p>
    <w:p w:rsidR="00537579" w:rsidRPr="00FD5F7A" w:rsidRDefault="00537579" w:rsidP="00537579">
      <w:pPr>
        <w:pStyle w:val="Point1"/>
        <w:ind w:left="1134"/>
        <w:rPr>
          <w:noProof/>
        </w:rPr>
      </w:pPr>
      <w:r>
        <w:rPr>
          <w:noProof/>
        </w:rPr>
        <w:t>(d)</w:t>
      </w:r>
      <w:r>
        <w:rPr>
          <w:noProof/>
        </w:rPr>
        <w:tab/>
      </w:r>
      <w:r w:rsidRPr="00FD5F7A">
        <w:rPr>
          <w:noProof/>
        </w:rPr>
        <w:t>ieņēmumi, kas gūti no papildpakalpojumiem, kuri ir tieši saistīti ar ierakstu centralizētu vākšanu un uzturēšanu par atvasinātajiem instrumentiem saskaņā ar Regulu (ES) Nr. 648/2012 un ar ierakstu centralizētu vākšanu un uzturēšanu par vērtspapīru finansēšanas darījumiem saskaņā ar Regulu (ES) 2015/2365.</w:t>
      </w:r>
    </w:p>
    <w:p w:rsidR="00537579" w:rsidRPr="00FD5F7A" w:rsidRDefault="00537579" w:rsidP="00537579">
      <w:pPr>
        <w:shd w:val="clear" w:color="auto" w:fill="FFFFFF"/>
        <w:ind w:left="567"/>
        <w:rPr>
          <w:noProof/>
          <w:color w:val="000000"/>
        </w:rPr>
      </w:pPr>
      <w:r w:rsidRPr="00FD5F7A">
        <w:rPr>
          <w:noProof/>
          <w:color w:val="000000"/>
        </w:rPr>
        <w:t>Piemērojamie ieņēmumi no darījumu reģistra papildpakalpojumiem konkrētā gadā n ir summa, ko veido:</w:t>
      </w:r>
    </w:p>
    <w:p w:rsidR="00537579" w:rsidRPr="00FD5F7A" w:rsidRDefault="00537579" w:rsidP="00537579">
      <w:pPr>
        <w:pStyle w:val="Text1"/>
        <w:tabs>
          <w:tab w:val="left" w:pos="1134"/>
        </w:tabs>
        <w:ind w:left="567"/>
        <w:rPr>
          <w:noProof/>
        </w:rPr>
      </w:pPr>
      <w:r w:rsidRPr="00FD5F7A">
        <w:rPr>
          <w:noProof/>
        </w:rPr>
        <w:t>a)</w:t>
      </w:r>
      <w:r w:rsidRPr="00FD5F7A">
        <w:rPr>
          <w:noProof/>
        </w:rPr>
        <w:tab/>
        <w:t>ieņēmumi, kas minēti šā punkta pirmās daļas c) apakšpunktā;</w:t>
      </w:r>
    </w:p>
    <w:p w:rsidR="00537579" w:rsidRPr="00FD5F7A" w:rsidRDefault="00537579" w:rsidP="00537579">
      <w:pPr>
        <w:tabs>
          <w:tab w:val="left" w:pos="1134"/>
        </w:tabs>
        <w:ind w:left="567"/>
        <w:rPr>
          <w:noProof/>
        </w:rPr>
      </w:pPr>
      <w:r w:rsidRPr="00FD5F7A">
        <w:rPr>
          <w:noProof/>
        </w:rPr>
        <w:t>b)</w:t>
      </w:r>
      <w:r w:rsidRPr="00FD5F7A">
        <w:rPr>
          <w:noProof/>
        </w:rPr>
        <w:tab/>
        <w:t>proporcionāla daļa no ieņēmumiem, kas minēti šā punkta pirmās daļas d) apakšpunktā.</w:t>
      </w:r>
    </w:p>
    <w:p w:rsidR="00537579" w:rsidRPr="00FD5F7A" w:rsidRDefault="00537579" w:rsidP="00537579">
      <w:pPr>
        <w:shd w:val="clear" w:color="auto" w:fill="FFFFFF"/>
        <w:ind w:left="567"/>
        <w:rPr>
          <w:noProof/>
          <w:color w:val="000000"/>
        </w:rPr>
      </w:pPr>
      <w:r w:rsidRPr="00FD5F7A">
        <w:rPr>
          <w:noProof/>
          <w:color w:val="000000"/>
        </w:rPr>
        <w:t>Proporcionālo daļu no ieņēmumiem, kas minēti d) apakšpunktā, iegūst, šā punkta minētās daļas a) apakšpunktā minētos ieņēmumus dalot ar summu, ko veido:</w:t>
      </w:r>
    </w:p>
    <w:p w:rsidR="00537579" w:rsidRPr="00FD5F7A" w:rsidRDefault="00537579" w:rsidP="00537579">
      <w:pPr>
        <w:tabs>
          <w:tab w:val="left" w:pos="1134"/>
        </w:tabs>
        <w:ind w:left="567"/>
        <w:rPr>
          <w:noProof/>
          <w:color w:val="000000"/>
        </w:rPr>
      </w:pPr>
      <w:r w:rsidRPr="00FD5F7A">
        <w:rPr>
          <w:noProof/>
        </w:rPr>
        <w:t>a)</w:t>
      </w:r>
      <w:r w:rsidRPr="00FD5F7A">
        <w:rPr>
          <w:noProof/>
        </w:rPr>
        <w:tab/>
        <w:t>ieņēmumi, kas minēti šā punkta pirmās daļas a) apakšpunktā;</w:t>
      </w:r>
    </w:p>
    <w:p w:rsidR="00537579" w:rsidRPr="00FD5F7A" w:rsidRDefault="00537579" w:rsidP="00537579">
      <w:pPr>
        <w:tabs>
          <w:tab w:val="left" w:pos="851"/>
          <w:tab w:val="left" w:pos="1134"/>
        </w:tabs>
        <w:ind w:left="567"/>
        <w:rPr>
          <w:noProof/>
        </w:rPr>
      </w:pPr>
      <w:r w:rsidRPr="00FD5F7A">
        <w:rPr>
          <w:noProof/>
        </w:rPr>
        <w:t>b)</w:t>
      </w:r>
      <w:r w:rsidRPr="00FD5F7A">
        <w:rPr>
          <w:noProof/>
        </w:rPr>
        <w:tab/>
      </w:r>
      <w:r w:rsidRPr="00FD5F7A">
        <w:rPr>
          <w:noProof/>
        </w:rPr>
        <w:tab/>
        <w:t>ieņēmumi, kas minēti šā punkta pirmās daļas b) apakšpunktā.</w:t>
      </w:r>
    </w:p>
    <w:p w:rsidR="00537579" w:rsidRPr="00FD5F7A" w:rsidRDefault="00537579" w:rsidP="00537579">
      <w:pPr>
        <w:pStyle w:val="ManualNumPar1"/>
        <w:tabs>
          <w:tab w:val="left" w:pos="1134"/>
        </w:tabs>
        <w:ind w:left="567" w:firstLine="0"/>
        <w:rPr>
          <w:noProof/>
        </w:rPr>
      </w:pPr>
      <w:r>
        <w:rPr>
          <w:noProof/>
        </w:rPr>
        <w:t>3.</w:t>
      </w:r>
      <w:r>
        <w:rPr>
          <w:noProof/>
        </w:rPr>
        <w:tab/>
      </w:r>
      <w:r w:rsidRPr="00FD5F7A">
        <w:rPr>
          <w:noProof/>
        </w:rPr>
        <w:t>Konkrēta darījumu reģistra piemērojamais apgrozījums noteiktā gadā n ir šā punkta a) un b) apakšpunktā minēto summu kopsumma, kas dalīta ar šā punkta c) un d) apakšpunktā minēto summu kopsummu:</w:t>
      </w:r>
    </w:p>
    <w:p w:rsidR="00537579" w:rsidRPr="00FD5F7A" w:rsidRDefault="00537579" w:rsidP="00537579">
      <w:pPr>
        <w:pStyle w:val="Point1"/>
        <w:ind w:left="1134"/>
        <w:rPr>
          <w:noProof/>
        </w:rPr>
      </w:pPr>
      <w:r>
        <w:rPr>
          <w:noProof/>
        </w:rPr>
        <w:t>(a)</w:t>
      </w:r>
      <w:r>
        <w:rPr>
          <w:noProof/>
        </w:rPr>
        <w:tab/>
      </w:r>
      <w:r w:rsidRPr="00FD5F7A">
        <w:rPr>
          <w:noProof/>
        </w:rPr>
        <w:t xml:space="preserve">ieņēmumi, kas gūti no pamatdarbības, t. i., ierakstu centralizētas vākšanas un uzturēšanas par atvasinātajiem instrumentiem saskaņā ar Regulu (ES) Nr. 648/2012 (pamatojoties uz gada n–2 revidētajiem pārskatiem); </w:t>
      </w:r>
    </w:p>
    <w:p w:rsidR="00537579" w:rsidRPr="00FD5F7A" w:rsidRDefault="00537579" w:rsidP="00537579">
      <w:pPr>
        <w:pStyle w:val="Point1"/>
        <w:ind w:left="1134"/>
        <w:rPr>
          <w:noProof/>
        </w:rPr>
      </w:pPr>
      <w:r>
        <w:rPr>
          <w:noProof/>
        </w:rPr>
        <w:t>(b)</w:t>
      </w:r>
      <w:r>
        <w:rPr>
          <w:noProof/>
        </w:rPr>
        <w:tab/>
      </w:r>
      <w:r w:rsidRPr="00FD5F7A">
        <w:rPr>
          <w:noProof/>
        </w:rPr>
        <w:t xml:space="preserve">piemērojamie ieņēmumi no papildpakalpojumiem, kas noteikti saskaņā ar attiecīgi 1. un 2. punktu (pamatojoties uz gada n–2 revidētajiem pārskatiem); </w:t>
      </w:r>
    </w:p>
    <w:p w:rsidR="00537579" w:rsidRPr="00FD5F7A" w:rsidRDefault="00537579" w:rsidP="00537579">
      <w:pPr>
        <w:pStyle w:val="Point1"/>
        <w:ind w:left="1134"/>
        <w:rPr>
          <w:noProof/>
        </w:rPr>
      </w:pPr>
      <w:r>
        <w:rPr>
          <w:noProof/>
        </w:rPr>
        <w:t>(c)</w:t>
      </w:r>
      <w:r>
        <w:rPr>
          <w:noProof/>
        </w:rPr>
        <w:tab/>
      </w:r>
      <w:r w:rsidRPr="00FD5F7A">
        <w:rPr>
          <w:noProof/>
        </w:rPr>
        <w:t>visu reģistrēto darījumu reģistru kopējie ieņēmumi, kas gūti no pamatdarbības, t. i., ierakstu centralizētas vākšanas un uzturēšanas par atvasinātajiem instrumentiem saskaņā ar Regulu (ES) Nr. 648/2012 (pamatojoties uz gada n–2 revidētajiem pārskatiem);</w:t>
      </w:r>
    </w:p>
    <w:p w:rsidR="00537579" w:rsidRPr="00FD5F7A" w:rsidRDefault="00537579" w:rsidP="00537579">
      <w:pPr>
        <w:pStyle w:val="Point1"/>
        <w:ind w:left="1134"/>
        <w:rPr>
          <w:noProof/>
        </w:rPr>
      </w:pPr>
      <w:r>
        <w:rPr>
          <w:noProof/>
        </w:rPr>
        <w:t>(d)</w:t>
      </w:r>
      <w:r>
        <w:rPr>
          <w:noProof/>
        </w:rPr>
        <w:tab/>
      </w:r>
      <w:r w:rsidRPr="00FD5F7A">
        <w:rPr>
          <w:noProof/>
        </w:rPr>
        <w:t>visu reģistrēto darījumu reģistru kopējie piemērojamie ieņēmumi, kas gūti no papildpakalpojumiem, kuri noteikti saskaņā ar attiecīgi 1. un 2. punktu (pamatojoties uz gada n–2 revidētajiem pārskatiem).</w:t>
      </w:r>
    </w:p>
    <w:p w:rsidR="00537579" w:rsidRPr="00FD5F7A" w:rsidRDefault="00537579" w:rsidP="00537579">
      <w:pPr>
        <w:pStyle w:val="ManualNumPar1"/>
        <w:tabs>
          <w:tab w:val="left" w:pos="1134"/>
        </w:tabs>
        <w:ind w:left="567" w:firstLine="0"/>
        <w:rPr>
          <w:noProof/>
        </w:rPr>
      </w:pPr>
      <w:r>
        <w:rPr>
          <w:noProof/>
        </w:rPr>
        <w:t>4.</w:t>
      </w:r>
      <w:r>
        <w:rPr>
          <w:noProof/>
        </w:rPr>
        <w:tab/>
      </w:r>
      <w:r w:rsidRPr="00FD5F7A">
        <w:rPr>
          <w:noProof/>
        </w:rPr>
        <w:t>Darījumu reģistri ik gadu iesniedz EVTI 1. un 2. punktā minētos revidētos pārskatus. Darījumu reģistri šos pārskatus EVTI iesniedz elektroniski līdz katra gada (gads n–1) 30. septembrim.</w:t>
      </w:r>
    </w:p>
    <w:p w:rsidR="00537579" w:rsidRPr="00FD5F7A" w:rsidRDefault="00537579" w:rsidP="00537579">
      <w:pPr>
        <w:pStyle w:val="ManualNumPar1"/>
        <w:tabs>
          <w:tab w:val="left" w:pos="1134"/>
        </w:tabs>
        <w:ind w:left="567" w:firstLine="0"/>
        <w:rPr>
          <w:noProof/>
        </w:rPr>
      </w:pPr>
      <w:r>
        <w:rPr>
          <w:noProof/>
        </w:rPr>
        <w:t>5.</w:t>
      </w:r>
      <w:r>
        <w:rPr>
          <w:noProof/>
        </w:rPr>
        <w:tab/>
      </w:r>
      <w:r w:rsidRPr="00FD5F7A">
        <w:rPr>
          <w:noProof/>
        </w:rPr>
        <w:t>Ja darījumu reģistrs gadā n–2 nedarbojās pilnu gadu, piemērojamo apgrozījumu EVTI aplēš, ievērojot 3. punktu, un aprēķināto vērtību par to mēnešu skaitu, kuros šis darījumu reģistrs darbojās gadā n–2, ekstrapolē uz visu gadu n–2.</w:t>
      </w:r>
    </w:p>
    <w:p w:rsidR="00537579" w:rsidRPr="00FD5F7A" w:rsidRDefault="00537579" w:rsidP="00537579">
      <w:pPr>
        <w:pStyle w:val="ManualNumPar1"/>
        <w:tabs>
          <w:tab w:val="left" w:pos="1134"/>
        </w:tabs>
        <w:ind w:left="567" w:firstLine="0"/>
        <w:rPr>
          <w:noProof/>
        </w:rPr>
      </w:pPr>
      <w:r>
        <w:rPr>
          <w:noProof/>
        </w:rPr>
        <w:t>6.</w:t>
      </w:r>
      <w:r>
        <w:rPr>
          <w:noProof/>
        </w:rPr>
        <w:tab/>
      </w:r>
      <w:r w:rsidRPr="00FD5F7A">
        <w:rPr>
          <w:noProof/>
        </w:rPr>
        <w:t>Ja revidētie pārskati par gadu n–2 nav pieejami, EVTI izmanto revidētos pārskatus par gadu n–1.</w:t>
      </w:r>
    </w:p>
    <w:p w:rsidR="00537579" w:rsidRPr="00FD5F7A" w:rsidRDefault="00537579" w:rsidP="00537579">
      <w:pPr>
        <w:pStyle w:val="ManualNumPar1"/>
        <w:tabs>
          <w:tab w:val="left" w:pos="1134"/>
        </w:tabs>
        <w:ind w:left="567" w:firstLine="0"/>
        <w:rPr>
          <w:noProof/>
        </w:rPr>
      </w:pPr>
      <w:r>
        <w:rPr>
          <w:noProof/>
        </w:rPr>
        <w:t>7.</w:t>
      </w:r>
      <w:r>
        <w:rPr>
          <w:noProof/>
        </w:rPr>
        <w:tab/>
      </w:r>
      <w:r w:rsidRPr="00FD5F7A">
        <w:rPr>
          <w:noProof/>
        </w:rPr>
        <w:t>Ja 3. punktā minētie ieņēmumi ir uzrādīti valūtā, kas nav euro, EVTI šos ieņēmumus konvertē euro, izmantojot vidējo euro valūtas maiņas kursu, kurš bija piemērojams periodā, kurā minētie ieņēmumi reģistrēti. Šajā nolūkā EVTI izmanto Eiropas Centrālās bankas publicēto euro atsauces maiņas kursu.”;</w:t>
      </w:r>
    </w:p>
    <w:p w:rsidR="00537579" w:rsidRPr="00FD5F7A" w:rsidRDefault="00537579" w:rsidP="00537579">
      <w:pPr>
        <w:pStyle w:val="Point0"/>
        <w:ind w:left="567" w:hanging="567"/>
        <w:rPr>
          <w:noProof/>
        </w:rPr>
      </w:pPr>
      <w:r>
        <w:rPr>
          <w:noProof/>
        </w:rPr>
        <w:t>(3)</w:t>
      </w:r>
      <w:r>
        <w:rPr>
          <w:noProof/>
        </w:rPr>
        <w:tab/>
      </w:r>
      <w:r w:rsidRPr="00FD5F7A">
        <w:rPr>
          <w:noProof/>
        </w:rPr>
        <w:t>regulas 4. pantu svītro;</w:t>
      </w:r>
    </w:p>
    <w:p w:rsidR="00537579" w:rsidRPr="00FD5F7A" w:rsidRDefault="00537579" w:rsidP="00537579">
      <w:pPr>
        <w:pStyle w:val="Point0"/>
        <w:ind w:left="567" w:hanging="567"/>
        <w:rPr>
          <w:noProof/>
        </w:rPr>
      </w:pPr>
      <w:r>
        <w:rPr>
          <w:noProof/>
        </w:rPr>
        <w:t>(4)</w:t>
      </w:r>
      <w:r>
        <w:rPr>
          <w:noProof/>
        </w:rPr>
        <w:tab/>
      </w:r>
      <w:r w:rsidRPr="00FD5F7A">
        <w:rPr>
          <w:noProof/>
        </w:rPr>
        <w:t>regulas 6. pantā iekļauj šādu 6.a punktu:</w:t>
      </w:r>
    </w:p>
    <w:p w:rsidR="00537579" w:rsidRPr="00FD5F7A" w:rsidRDefault="00537579" w:rsidP="00537579">
      <w:pPr>
        <w:shd w:val="clear" w:color="auto" w:fill="FFFFFF"/>
        <w:tabs>
          <w:tab w:val="left" w:pos="1134"/>
        </w:tabs>
        <w:spacing w:after="0"/>
        <w:ind w:left="567"/>
        <w:rPr>
          <w:noProof/>
        </w:rPr>
      </w:pPr>
      <w:r w:rsidRPr="00FD5F7A">
        <w:rPr>
          <w:noProof/>
        </w:rPr>
        <w:t>“6.a</w:t>
      </w:r>
      <w:r w:rsidRPr="00FD5F7A">
        <w:rPr>
          <w:noProof/>
        </w:rPr>
        <w:tab/>
        <w:t>Ja darījumu reģistrs, kas vēl nav reģistrēts saskaņā ar Regulu (ES) 2015/2365, vienlaikus iesniedz reģistrācijas pieteikumus gan saskaņā ar Regulu (ES) 2015/2365, gan saskaņā ar Regulu (ES) Nr. 648/2012, šis darījumu reģistrs maksā pilnu maksu par reģistrāciju saskaņā ar Regulu (ES) Nr. 648/2012 un maksu par reģistrācijas tvēruma paplašināšanu saskaņā ar Regulas (ES) 2015/2365 5. panta 5. punktu.”;</w:t>
      </w:r>
    </w:p>
    <w:p w:rsidR="00537579" w:rsidRPr="00FD5F7A" w:rsidRDefault="00537579" w:rsidP="00537579">
      <w:pPr>
        <w:pStyle w:val="Point0"/>
        <w:ind w:left="567" w:hanging="567"/>
        <w:rPr>
          <w:noProof/>
        </w:rPr>
      </w:pPr>
      <w:r>
        <w:rPr>
          <w:noProof/>
        </w:rPr>
        <w:t>(5)</w:t>
      </w:r>
      <w:r>
        <w:rPr>
          <w:noProof/>
        </w:rPr>
        <w:tab/>
      </w:r>
      <w:r w:rsidRPr="00FD5F7A">
        <w:rPr>
          <w:noProof/>
        </w:rPr>
        <w:t>regulas 7. panta 2., 3. un 4. punktu aizstāj ar šādiem:</w:t>
      </w:r>
    </w:p>
    <w:p w:rsidR="00537579" w:rsidRPr="00FD5F7A" w:rsidRDefault="00537579" w:rsidP="00537579">
      <w:pPr>
        <w:pStyle w:val="Text1"/>
        <w:rPr>
          <w:noProof/>
        </w:rPr>
      </w:pPr>
      <w:r w:rsidRPr="00FD5F7A">
        <w:rPr>
          <w:noProof/>
        </w:rPr>
        <w:t>“2.</w:t>
      </w:r>
      <w:r w:rsidRPr="00FD5F7A">
        <w:rPr>
          <w:noProof/>
        </w:rPr>
        <w:tab/>
        <w:t>Kopējo gada uzraudzības maksu un konkrēta darījumu reģistra gada uzraudzības maksu par konkrētu gadu n aprēķina šādi:</w:t>
      </w:r>
    </w:p>
    <w:p w:rsidR="00537579" w:rsidRPr="00FD5F7A" w:rsidRDefault="00537579" w:rsidP="00537579">
      <w:pPr>
        <w:pStyle w:val="Point2"/>
        <w:ind w:left="1701"/>
        <w:rPr>
          <w:noProof/>
          <w:szCs w:val="24"/>
        </w:rPr>
      </w:pPr>
      <w:r>
        <w:rPr>
          <w:noProof/>
        </w:rPr>
        <w:t>(a)</w:t>
      </w:r>
      <w:r>
        <w:rPr>
          <w:noProof/>
        </w:rPr>
        <w:tab/>
      </w:r>
      <w:r w:rsidRPr="00FD5F7A">
        <w:rPr>
          <w:noProof/>
        </w:rPr>
        <w:t>kopējā gada uzraudzības maksa konkrētā gadā n ir vienāda ar EVTI attiecīgā gada budžetā iekļauto aplēsi attiecībā uz izdevumiem, kas saistīti ar reģistrēto darījumu reģistru darbības uzraudzību saskaņā ar Regulu (ES) Nr. 648/2012</w:t>
      </w:r>
      <w:r w:rsidRPr="00FD5F7A">
        <w:rPr>
          <w:noProof/>
          <w:color w:val="000000" w:themeColor="text1"/>
          <w:shd w:val="clear" w:color="auto" w:fill="FFFFFF" w:themeFill="background1"/>
        </w:rPr>
        <w:t>;</w:t>
      </w:r>
    </w:p>
    <w:p w:rsidR="00537579" w:rsidRPr="00FD5F7A" w:rsidRDefault="00537579" w:rsidP="00537579">
      <w:pPr>
        <w:pStyle w:val="Point2"/>
        <w:ind w:left="1701"/>
        <w:rPr>
          <w:noProof/>
        </w:rPr>
      </w:pPr>
      <w:r>
        <w:rPr>
          <w:noProof/>
        </w:rPr>
        <w:t>(b)</w:t>
      </w:r>
      <w:r>
        <w:rPr>
          <w:noProof/>
        </w:rPr>
        <w:tab/>
      </w:r>
      <w:r w:rsidRPr="00FD5F7A">
        <w:rPr>
          <w:noProof/>
        </w:rPr>
        <w:t>reģistrēta darījumu reģistra gada uzraudzības maksa konkrētā gadā n ir vienāda ar visu gadā n–1 reģistrēto darījumu reģistru kopējo gada uzraudzības maksu saskaņā ar a) apakšpunktu, kas reizināta ar šā darījumu reģistra piemērojamo apgrozījumu, kurš aprēķināts saskaņā ar 3. panta 3. punktu.</w:t>
      </w:r>
    </w:p>
    <w:p w:rsidR="00537579" w:rsidRPr="00FD5F7A" w:rsidRDefault="00537579" w:rsidP="00537579">
      <w:pPr>
        <w:tabs>
          <w:tab w:val="left" w:pos="1701"/>
        </w:tabs>
        <w:ind w:left="1134"/>
        <w:rPr>
          <w:noProof/>
        </w:rPr>
      </w:pPr>
      <w:r w:rsidRPr="00FD5F7A">
        <w:rPr>
          <w:noProof/>
        </w:rPr>
        <w:t>3.</w:t>
      </w:r>
      <w:r w:rsidRPr="00FD5F7A">
        <w:rPr>
          <w:noProof/>
        </w:rPr>
        <w:tab/>
        <w:t>Saskaņā ar Regulas (ES) Nr. 648/2012 55. panta 1. punktu reģistrēta darījumu reģistra gada uzraudzības maksa nekādā gadījumā nevar būt mazāka par 30 000 EUR.</w:t>
      </w:r>
    </w:p>
    <w:p w:rsidR="00537579" w:rsidRPr="00FD5F7A" w:rsidRDefault="00537579" w:rsidP="00537579">
      <w:pPr>
        <w:tabs>
          <w:tab w:val="left" w:pos="1701"/>
        </w:tabs>
        <w:ind w:left="1134"/>
        <w:rPr>
          <w:noProof/>
          <w:szCs w:val="24"/>
        </w:rPr>
      </w:pPr>
      <w:r w:rsidRPr="00FD5F7A">
        <w:rPr>
          <w:noProof/>
        </w:rPr>
        <w:t>4.</w:t>
      </w:r>
      <w:r w:rsidRPr="00FD5F7A">
        <w:rPr>
          <w:noProof/>
        </w:rPr>
        <w:tab/>
        <w:t xml:space="preserve">Atkāpjoties no 1., 2. un 3. punkta, reģistrēts darījumu reģistrs tā reģistrācijas gadā (“gads n”) maksā sākotnējo uzraudzības maksu (“SF(n)”), kuru aprēķina šādi: </w:t>
      </w:r>
    </w:p>
    <w:p w:rsidR="00537579" w:rsidRPr="00FD5F7A" w:rsidRDefault="00537579" w:rsidP="00537579">
      <w:pPr>
        <w:shd w:val="clear" w:color="auto" w:fill="FFFFFF"/>
        <w:spacing w:after="0"/>
        <w:ind w:left="1134"/>
        <w:rPr>
          <w:noProof/>
        </w:rPr>
      </w:pPr>
      <m:oMathPara>
        <m:oMathParaPr>
          <m:jc m:val="center"/>
        </m:oMathParaPr>
        <m:oMath>
          <m:r>
            <w:rPr>
              <w:rFonts w:ascii="Cambria Math" w:hAnsi="Cambria Math"/>
              <w:noProof/>
              <w:lang w:eastAsia="en-IE"/>
            </w:rPr>
            <m:t>SF(n)=RF∙k</m:t>
          </m:r>
        </m:oMath>
      </m:oMathPara>
    </w:p>
    <w:p w:rsidR="00537579" w:rsidRPr="00FD5F7A" w:rsidRDefault="00537579" w:rsidP="00537579">
      <w:pPr>
        <w:ind w:left="1134"/>
        <w:rPr>
          <w:noProof/>
          <w:szCs w:val="24"/>
        </w:rPr>
      </w:pPr>
      <w:r w:rsidRPr="00FD5F7A">
        <w:rPr>
          <w:noProof/>
        </w:rPr>
        <w:t>kur:</w:t>
      </w:r>
    </w:p>
    <w:p w:rsidR="00537579" w:rsidRPr="00FD5F7A" w:rsidRDefault="00537579" w:rsidP="00537579">
      <w:pPr>
        <w:ind w:left="1134"/>
        <w:rPr>
          <w:noProof/>
          <w:szCs w:val="24"/>
        </w:rPr>
      </w:pPr>
      <w:r w:rsidRPr="00FD5F7A">
        <w:rPr>
          <w:noProof/>
        </w:rPr>
        <w:t xml:space="preserve">RF = reģistrācijas maksa, kas aprēķināta saskaņā ar 6. pantu; </w:t>
      </w:r>
    </w:p>
    <w:p w:rsidR="00537579" w:rsidRPr="00FD5F7A" w:rsidRDefault="00537579" w:rsidP="00537579">
      <w:pPr>
        <w:ind w:left="1134"/>
        <w:rPr>
          <w:noProof/>
          <w:szCs w:val="24"/>
        </w:rPr>
      </w:pPr>
      <w:r w:rsidRPr="00FD5F7A">
        <w:rPr>
          <w:noProof/>
        </w:rPr>
        <w:t xml:space="preserve">k = </w:t>
      </w:r>
      <m:oMath>
        <m:f>
          <m:fPr>
            <m:ctrlPr>
              <w:rPr>
                <w:rFonts w:ascii="Cambria Math" w:eastAsia="Times New Roman" w:hAnsi="Cambria Math"/>
                <w:bCs/>
                <w:iCs/>
                <w:noProof/>
                <w:color w:val="000000"/>
                <w:szCs w:val="24"/>
                <w:lang w:eastAsia="en-IE"/>
              </w:rPr>
            </m:ctrlPr>
          </m:fPr>
          <m:num>
            <m:eqArr>
              <m:eqArrPr>
                <m:ctrlPr>
                  <w:rPr>
                    <w:rFonts w:ascii="Cambria Math" w:eastAsia="Times New Roman" w:hAnsi="Cambria Math"/>
                    <w:bCs/>
                    <w:noProof/>
                    <w:color w:val="000000"/>
                    <w:szCs w:val="24"/>
                    <w:lang w:eastAsia="en-IE"/>
                  </w:rPr>
                </m:ctrlPr>
              </m:eqArrPr>
              <m:e>
                <m:r>
                  <m:rPr>
                    <m:sty m:val="p"/>
                  </m:rPr>
                  <w:rPr>
                    <w:rFonts w:ascii="Cambria Math" w:hAnsi="Cambria Math"/>
                    <w:noProof/>
                  </w:rPr>
                  <m:t>kalendāro dienu skaits no reģistrācijas datuma līdz gada n 31. decembrim</m:t>
                </m:r>
              </m:e>
              <m:e>
                <m:r>
                  <m:rPr>
                    <m:sty m:val="p"/>
                  </m:rPr>
                  <w:rPr>
                    <w:rFonts w:ascii="Cambria Math" w:eastAsia="Times New Roman" w:hAnsi="Cambria Math"/>
                    <w:noProof/>
                    <w:color w:val="000000"/>
                    <w:szCs w:val="24"/>
                    <w:lang w:eastAsia="en-IE"/>
                  </w:rPr>
                  <m:t xml:space="preserve">  </m:t>
                </m:r>
              </m:e>
            </m:eqArr>
          </m:num>
          <m:den>
            <m:r>
              <m:rPr>
                <m:sty m:val="p"/>
              </m:rPr>
              <w:rPr>
                <w:rFonts w:ascii="Cambria Math" w:hAnsi="Cambria Math"/>
                <w:noProof/>
              </w:rPr>
              <m:t>kalendāro dienu skaits gadā n</m:t>
            </m:r>
          </m:den>
        </m:f>
      </m:oMath>
      <w:r w:rsidRPr="00FD5F7A">
        <w:rPr>
          <w:noProof/>
        </w:rPr>
        <w:t xml:space="preserve">. </w:t>
      </w:r>
    </w:p>
    <w:p w:rsidR="00537579" w:rsidRPr="00FD5F7A" w:rsidRDefault="00537579" w:rsidP="00537579">
      <w:pPr>
        <w:pStyle w:val="Text1"/>
        <w:rPr>
          <w:noProof/>
        </w:rPr>
      </w:pPr>
      <w:r w:rsidRPr="00FD5F7A">
        <w:rPr>
          <w:noProof/>
        </w:rPr>
        <w:t xml:space="preserve">Pēc tam, kad EVTI reģistrētajam darījumu reģistram ir paziņojusi, ka tā pieteikums ir pieņemts, darījumu reģistrs pirmā gada uzraudzības maksu samaksā 30 kalendāro dienu laikā no EVTI rēķina izdošanas dienas. </w:t>
      </w:r>
    </w:p>
    <w:p w:rsidR="00537579" w:rsidRPr="00FD5F7A" w:rsidRDefault="00537579" w:rsidP="00537579">
      <w:pPr>
        <w:pStyle w:val="Text1"/>
        <w:rPr>
          <w:noProof/>
        </w:rPr>
      </w:pPr>
      <w:r w:rsidRPr="00FD5F7A">
        <w:rPr>
          <w:noProof/>
        </w:rPr>
        <w:t>Tomēr, ja darījumu reģistrs ir reģistrēts decembrī, tam nav jāmaksā gada uzraudzības maksa par tā reģistrācijas gadu.”;</w:t>
      </w:r>
    </w:p>
    <w:p w:rsidR="00537579" w:rsidRPr="00FD5F7A" w:rsidRDefault="00537579" w:rsidP="00537579">
      <w:pPr>
        <w:pStyle w:val="Point0"/>
        <w:ind w:left="567" w:hanging="567"/>
        <w:rPr>
          <w:noProof/>
        </w:rPr>
      </w:pPr>
      <w:r>
        <w:rPr>
          <w:noProof/>
        </w:rPr>
        <w:t>(6)</w:t>
      </w:r>
      <w:r>
        <w:rPr>
          <w:noProof/>
        </w:rPr>
        <w:tab/>
      </w:r>
      <w:r w:rsidRPr="00FD5F7A">
        <w:rPr>
          <w:noProof/>
        </w:rPr>
        <w:t>regulas 9. panta 2. punktu aizstāj ar šādu:</w:t>
      </w:r>
    </w:p>
    <w:p w:rsidR="00537579" w:rsidRPr="00FD5F7A" w:rsidRDefault="00537579" w:rsidP="00537579">
      <w:pPr>
        <w:tabs>
          <w:tab w:val="left" w:pos="1134"/>
        </w:tabs>
        <w:ind w:left="567"/>
        <w:rPr>
          <w:noProof/>
        </w:rPr>
      </w:pPr>
      <w:r w:rsidRPr="00FD5F7A">
        <w:rPr>
          <w:noProof/>
        </w:rPr>
        <w:t>“2.</w:t>
      </w:r>
      <w:r w:rsidRPr="00FD5F7A">
        <w:rPr>
          <w:noProof/>
        </w:rPr>
        <w:tab/>
        <w:t>Nokavētiem maksājumiem piemēro Eiropas Parlamenta un Padomes Regulas (ES, Euratom) 2018/1046</w:t>
      </w:r>
      <w:r w:rsidRPr="00FD5F7A">
        <w:rPr>
          <w:noProof/>
          <w:vertAlign w:val="superscript"/>
        </w:rPr>
        <w:t>*</w:t>
      </w:r>
      <w:r w:rsidRPr="00FD5F7A">
        <w:rPr>
          <w:noProof/>
        </w:rPr>
        <w:t xml:space="preserve"> 99. pantā noteiktos kavējuma procentus.</w:t>
      </w:r>
    </w:p>
    <w:p w:rsidR="00537579" w:rsidRPr="00FD5F7A" w:rsidRDefault="00537579" w:rsidP="00537579">
      <w:pPr>
        <w:tabs>
          <w:tab w:val="left" w:pos="1134"/>
        </w:tabs>
        <w:ind w:left="567"/>
        <w:rPr>
          <w:noProof/>
        </w:rPr>
      </w:pPr>
      <w:r w:rsidRPr="00FD5F7A">
        <w:rPr>
          <w:noProof/>
        </w:rPr>
        <w:t>_________________________________________</w:t>
      </w:r>
    </w:p>
    <w:p w:rsidR="00537579" w:rsidRPr="00FD5F7A" w:rsidRDefault="00537579" w:rsidP="00537579">
      <w:pPr>
        <w:ind w:left="1134" w:hanging="567"/>
        <w:rPr>
          <w:noProof/>
          <w:szCs w:val="24"/>
        </w:rPr>
      </w:pPr>
      <w:r w:rsidRPr="00FD5F7A">
        <w:rPr>
          <w:noProof/>
          <w:sz w:val="20"/>
          <w:vertAlign w:val="superscript"/>
        </w:rPr>
        <w:t>*</w:t>
      </w:r>
      <w:r w:rsidRPr="00FD5F7A">
        <w:rPr>
          <w:noProof/>
          <w:sz w:val="20"/>
        </w:rPr>
        <w:tab/>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(OV L 193, 30.7.2018., 1. lpp., ELI: http://data.europa.eu/eli/reg/2018/1046/oj).</w:t>
      </w:r>
      <w:r w:rsidRPr="00FD5F7A">
        <w:rPr>
          <w:noProof/>
        </w:rPr>
        <w:t>”;</w:t>
      </w:r>
    </w:p>
    <w:p w:rsidR="00537579" w:rsidRPr="00FD5F7A" w:rsidRDefault="00537579" w:rsidP="00537579">
      <w:pPr>
        <w:pStyle w:val="Point0"/>
        <w:ind w:left="567" w:hanging="567"/>
        <w:rPr>
          <w:noProof/>
        </w:rPr>
      </w:pPr>
      <w:r>
        <w:rPr>
          <w:noProof/>
        </w:rPr>
        <w:t>(7)</w:t>
      </w:r>
      <w:r>
        <w:rPr>
          <w:noProof/>
        </w:rPr>
        <w:tab/>
      </w:r>
      <w:r w:rsidRPr="00FD5F7A">
        <w:rPr>
          <w:noProof/>
        </w:rPr>
        <w:t>regulas 10. panta 1. punktu aizstāj ar šādu:</w:t>
      </w:r>
    </w:p>
    <w:p w:rsidR="00537579" w:rsidRPr="00FD5F7A" w:rsidRDefault="00537579" w:rsidP="00537579">
      <w:pPr>
        <w:rPr>
          <w:b/>
          <w:bCs/>
          <w:noProof/>
        </w:rPr>
      </w:pPr>
      <w:r w:rsidRPr="00FD5F7A">
        <w:rPr>
          <w:noProof/>
        </w:rPr>
        <w:t>“1.</w:t>
      </w:r>
      <w:r w:rsidRPr="00FD5F7A">
        <w:rPr>
          <w:noProof/>
        </w:rPr>
        <w:tab/>
        <w:t>Darījumu reģistram iesniedzot reģistrācijas pieteikumu saskaņā ar Regulas (ES) Nr. 648/2012 55. panta 1. punktu, šīs regulas 6. pantā minētā reģistrācijas maksa ir pilnā apmērā jāsamaksā 30 kalendāro dienu laikā no EVTI rēķina izdošanas dienas.”;</w:t>
      </w:r>
    </w:p>
    <w:p w:rsidR="00537579" w:rsidRPr="00FD5F7A" w:rsidRDefault="00537579" w:rsidP="00537579">
      <w:pPr>
        <w:pStyle w:val="Point0"/>
        <w:ind w:left="567" w:hanging="567"/>
        <w:rPr>
          <w:noProof/>
        </w:rPr>
      </w:pPr>
      <w:r>
        <w:rPr>
          <w:noProof/>
        </w:rPr>
        <w:t>(8)</w:t>
      </w:r>
      <w:r>
        <w:rPr>
          <w:noProof/>
        </w:rPr>
        <w:tab/>
      </w:r>
      <w:r w:rsidRPr="00FD5F7A">
        <w:rPr>
          <w:noProof/>
        </w:rPr>
        <w:t xml:space="preserve">regulas 11. un 12. pantu aizstāj ar šādiem: </w:t>
      </w:r>
    </w:p>
    <w:p w:rsidR="00537579" w:rsidRPr="00FD5F7A" w:rsidRDefault="00537579" w:rsidP="00537579">
      <w:pPr>
        <w:pStyle w:val="NormalCentered"/>
        <w:rPr>
          <w:noProof/>
        </w:rPr>
      </w:pPr>
      <w:r w:rsidRPr="00FD5F7A">
        <w:rPr>
          <w:noProof/>
        </w:rPr>
        <w:t>“</w:t>
      </w:r>
      <w:r w:rsidRPr="00FD5F7A">
        <w:rPr>
          <w:i/>
          <w:noProof/>
        </w:rPr>
        <w:t>11. pants</w:t>
      </w:r>
    </w:p>
    <w:p w:rsidR="00537579" w:rsidRPr="00FD5F7A" w:rsidRDefault="00537579" w:rsidP="00537579">
      <w:pPr>
        <w:pStyle w:val="NormalCentered"/>
        <w:rPr>
          <w:b/>
          <w:bCs/>
          <w:noProof/>
        </w:rPr>
      </w:pPr>
      <w:r w:rsidRPr="00FD5F7A">
        <w:rPr>
          <w:b/>
          <w:noProof/>
        </w:rPr>
        <w:t>Gada uzraudzības maksas samaksas kārtība</w:t>
      </w:r>
    </w:p>
    <w:p w:rsidR="00537579" w:rsidRPr="00FD5F7A" w:rsidRDefault="00537579" w:rsidP="00537579">
      <w:pPr>
        <w:shd w:val="clear" w:color="auto" w:fill="FFFFFF"/>
        <w:tabs>
          <w:tab w:val="left" w:pos="1134"/>
        </w:tabs>
        <w:spacing w:after="0"/>
        <w:ind w:left="567"/>
        <w:rPr>
          <w:noProof/>
        </w:rPr>
      </w:pPr>
      <w:r w:rsidRPr="00FD5F7A">
        <w:rPr>
          <w:noProof/>
          <w:color w:val="000000"/>
        </w:rPr>
        <w:t>1.</w:t>
      </w:r>
      <w:r w:rsidRPr="00FD5F7A">
        <w:rPr>
          <w:noProof/>
          <w:color w:val="000000"/>
        </w:rPr>
        <w:tab/>
      </w:r>
      <w:r w:rsidRPr="00FD5F7A">
        <w:rPr>
          <w:noProof/>
        </w:rPr>
        <w:t xml:space="preserve">Gada uzraudzības maksu, kas minēta 7. pantā, par konkrētu gadu n samaksā vienā maksājumā </w:t>
      </w:r>
      <w:bookmarkStart w:id="9" w:name="_Hlk147520690"/>
      <w:r w:rsidRPr="00FD5F7A">
        <w:rPr>
          <w:noProof/>
        </w:rPr>
        <w:t>līdz tā gada marta beigām, uz kuru šī maksa attiecas.</w:t>
      </w:r>
      <w:bookmarkEnd w:id="9"/>
    </w:p>
    <w:p w:rsidR="00537579" w:rsidRPr="00FD5F7A" w:rsidRDefault="00537579" w:rsidP="00537579">
      <w:pPr>
        <w:ind w:left="567"/>
        <w:rPr>
          <w:noProof/>
          <w:szCs w:val="24"/>
        </w:rPr>
      </w:pPr>
      <w:r w:rsidRPr="00FD5F7A">
        <w:rPr>
          <w:noProof/>
        </w:rPr>
        <w:t>Gada uzraudzības maksu EVTI neatlīdzina.</w:t>
      </w:r>
    </w:p>
    <w:p w:rsidR="00537579" w:rsidRPr="00FD5F7A" w:rsidRDefault="00537579" w:rsidP="00537579">
      <w:pPr>
        <w:tabs>
          <w:tab w:val="left" w:pos="1134"/>
        </w:tabs>
        <w:ind w:left="567"/>
        <w:rPr>
          <w:noProof/>
          <w:szCs w:val="24"/>
        </w:rPr>
      </w:pPr>
      <w:r w:rsidRPr="00FD5F7A">
        <w:rPr>
          <w:noProof/>
          <w:color w:val="000000"/>
        </w:rPr>
        <w:t>2.</w:t>
      </w:r>
      <w:r w:rsidRPr="00FD5F7A">
        <w:rPr>
          <w:noProof/>
          <w:color w:val="000000"/>
        </w:rPr>
        <w:tab/>
        <w:t>Rēķinu, kurā norādīta gada uzraudzības maksas summa, EVTI darījumu reģistriem nosūta vēlākais 30 kalendārās dienas pirms samaksas termiņa.</w:t>
      </w:r>
    </w:p>
    <w:p w:rsidR="00537579" w:rsidRPr="00FD5F7A" w:rsidRDefault="00537579" w:rsidP="00537579">
      <w:pPr>
        <w:pStyle w:val="NormalCentered"/>
        <w:rPr>
          <w:i/>
          <w:iCs/>
          <w:noProof/>
        </w:rPr>
      </w:pPr>
      <w:r w:rsidRPr="00FD5F7A">
        <w:rPr>
          <w:i/>
          <w:noProof/>
        </w:rPr>
        <w:t>12. pants</w:t>
      </w:r>
    </w:p>
    <w:p w:rsidR="00537579" w:rsidRPr="00FD5F7A" w:rsidRDefault="00537579" w:rsidP="00537579">
      <w:pPr>
        <w:shd w:val="clear" w:color="auto" w:fill="FFFFFF"/>
        <w:spacing w:after="0"/>
        <w:ind w:left="567"/>
        <w:jc w:val="center"/>
        <w:rPr>
          <w:rFonts w:eastAsia="Times New Roman"/>
          <w:b/>
          <w:bCs/>
          <w:noProof/>
          <w:color w:val="000000"/>
          <w:szCs w:val="24"/>
        </w:rPr>
      </w:pPr>
      <w:r w:rsidRPr="00FD5F7A">
        <w:rPr>
          <w:b/>
          <w:noProof/>
          <w:color w:val="000000"/>
        </w:rPr>
        <w:t>Atzīšanas maksas samaksas kārtība</w:t>
      </w:r>
    </w:p>
    <w:p w:rsidR="00537579" w:rsidRPr="00FD5F7A" w:rsidRDefault="00537579" w:rsidP="00537579">
      <w:pPr>
        <w:pStyle w:val="ManualNumPar1"/>
        <w:tabs>
          <w:tab w:val="num" w:pos="1134"/>
        </w:tabs>
        <w:ind w:left="567" w:firstLine="0"/>
        <w:rPr>
          <w:noProof/>
          <w:color w:val="000000"/>
        </w:rPr>
      </w:pPr>
      <w:r>
        <w:rPr>
          <w:noProof/>
        </w:rPr>
        <w:t>1.</w:t>
      </w:r>
      <w:r>
        <w:rPr>
          <w:noProof/>
        </w:rPr>
        <w:tab/>
      </w:r>
      <w:r w:rsidRPr="00FD5F7A">
        <w:rPr>
          <w:noProof/>
        </w:rPr>
        <w:t>Darījumu reģistram iesniedzot atzīšanas pieteikumu saskaņā ar Regulas (ES) Nr. 648/2012 77. panta 1. punktu, šīs regulas 8. panta 1. punktā minētās atzīšanas maksas ir pilnā apmērā jāsamaksā 30 kalendāro dienu laikā no EVTI rēķina izdošanas dienas.</w:t>
      </w:r>
      <w:r w:rsidRPr="00FD5F7A">
        <w:rPr>
          <w:noProof/>
          <w:color w:val="000000"/>
        </w:rPr>
        <w:t xml:space="preserve"> </w:t>
      </w:r>
    </w:p>
    <w:p w:rsidR="00537579" w:rsidRPr="00FD5F7A" w:rsidRDefault="00537579" w:rsidP="00537579">
      <w:pPr>
        <w:shd w:val="clear" w:color="auto" w:fill="FFFFFF"/>
        <w:spacing w:after="0"/>
        <w:ind w:left="567"/>
        <w:rPr>
          <w:rFonts w:eastAsia="Times New Roman"/>
          <w:noProof/>
          <w:color w:val="000000"/>
          <w:szCs w:val="24"/>
        </w:rPr>
      </w:pPr>
      <w:r w:rsidRPr="00FD5F7A">
        <w:rPr>
          <w:noProof/>
          <w:color w:val="000000"/>
        </w:rPr>
        <w:t>Atzīšanas maksu EVTI neatlīdzina.</w:t>
      </w:r>
    </w:p>
    <w:p w:rsidR="00537579" w:rsidRPr="00FD5F7A" w:rsidRDefault="00537579" w:rsidP="00537579">
      <w:pPr>
        <w:pStyle w:val="ManualNumPar1"/>
        <w:tabs>
          <w:tab w:val="num" w:pos="1134"/>
        </w:tabs>
        <w:ind w:left="567" w:firstLine="0"/>
        <w:rPr>
          <w:rFonts w:eastAsia="Times New Roman"/>
          <w:noProof/>
          <w:color w:val="000000"/>
          <w:szCs w:val="24"/>
        </w:rPr>
      </w:pPr>
      <w:r>
        <w:rPr>
          <w:noProof/>
        </w:rPr>
        <w:t>2.</w:t>
      </w:r>
      <w:r>
        <w:rPr>
          <w:noProof/>
        </w:rPr>
        <w:tab/>
      </w:r>
      <w:r w:rsidRPr="00FD5F7A">
        <w:rPr>
          <w:noProof/>
          <w:color w:val="000000"/>
        </w:rPr>
        <w:t>Atzīta darījumu reģistra gada uzraudzības maksu par gadu n samaksā līdz tā kalendārā gada trešā mēneša beigām, uz kuru šī maksa attiecas.</w:t>
      </w:r>
      <w:bookmarkStart w:id="10" w:name="_Hlk151984148"/>
      <w:bookmarkStart w:id="11" w:name="_Hlk138338205"/>
      <w:bookmarkEnd w:id="10"/>
      <w:r w:rsidRPr="00FD5F7A">
        <w:rPr>
          <w:noProof/>
          <w:color w:val="000000"/>
        </w:rPr>
        <w:t xml:space="preserve"> Rēķinu, kurā norādīta gada uzraudzības maksas summa, EVTI atzītajam darījumu reģistram nosūta vēlākais 30 kalendārās dienas pirms samaksas termiņa.”.</w:t>
      </w:r>
      <w:bookmarkEnd w:id="11"/>
    </w:p>
    <w:p w:rsidR="00537579" w:rsidRPr="00FD5F7A" w:rsidRDefault="00537579" w:rsidP="00537579">
      <w:pPr>
        <w:pStyle w:val="Titrearticle"/>
        <w:rPr>
          <w:noProof/>
        </w:rPr>
      </w:pPr>
      <w:r w:rsidRPr="00FD5F7A">
        <w:rPr>
          <w:noProof/>
        </w:rPr>
        <w:t>2. pants</w:t>
      </w:r>
    </w:p>
    <w:p w:rsidR="00537579" w:rsidRPr="00FD5F7A" w:rsidRDefault="00537579" w:rsidP="00537579">
      <w:pPr>
        <w:pStyle w:val="Titrearticle"/>
        <w:spacing w:before="0"/>
        <w:rPr>
          <w:b/>
          <w:bCs/>
          <w:i w:val="0"/>
          <w:iCs/>
          <w:noProof/>
        </w:rPr>
      </w:pPr>
      <w:r w:rsidRPr="00FD5F7A">
        <w:rPr>
          <w:b/>
          <w:i w:val="0"/>
          <w:noProof/>
        </w:rPr>
        <w:t>Stāšanās spēkā</w:t>
      </w:r>
    </w:p>
    <w:p w:rsidR="00537579" w:rsidRPr="00FD5F7A" w:rsidRDefault="00537579" w:rsidP="00537579">
      <w:pPr>
        <w:shd w:val="clear" w:color="auto" w:fill="FFFFFF" w:themeFill="background1"/>
        <w:spacing w:after="0"/>
        <w:rPr>
          <w:rFonts w:eastAsia="Times New Roman"/>
          <w:noProof/>
          <w:color w:val="000000" w:themeColor="text1"/>
        </w:rPr>
      </w:pPr>
      <w:r w:rsidRPr="00FD5F7A">
        <w:rPr>
          <w:noProof/>
        </w:rPr>
        <w:t xml:space="preserve">Šī regula stājas spēkā divdesmitajā dienā pēc tās publicēšanas </w:t>
      </w:r>
      <w:r w:rsidRPr="00FD5F7A">
        <w:rPr>
          <w:i/>
          <w:noProof/>
        </w:rPr>
        <w:t>Eiropas Savienības Oficiālajā Vēstnesī</w:t>
      </w:r>
      <w:r w:rsidRPr="00FD5F7A">
        <w:rPr>
          <w:noProof/>
        </w:rPr>
        <w:t>.</w:t>
      </w:r>
      <w:r w:rsidRPr="00FD5F7A">
        <w:rPr>
          <w:noProof/>
          <w:color w:val="000000" w:themeColor="text1"/>
        </w:rPr>
        <w:t xml:space="preserve"> </w:t>
      </w:r>
    </w:p>
    <w:p w:rsidR="00537579" w:rsidRPr="00FD5F7A" w:rsidRDefault="00537579" w:rsidP="00537579">
      <w:pPr>
        <w:shd w:val="clear" w:color="auto" w:fill="FFFFFF" w:themeFill="background1"/>
        <w:spacing w:after="0"/>
        <w:rPr>
          <w:rFonts w:eastAsia="Times New Roman"/>
          <w:noProof/>
          <w:color w:val="000000" w:themeColor="text1"/>
        </w:rPr>
      </w:pPr>
      <w:r w:rsidRPr="00FD5F7A">
        <w:rPr>
          <w:noProof/>
          <w:color w:val="000000" w:themeColor="text1"/>
        </w:rPr>
        <w:t>To piemēro no 2025. gada 1. janvāra.</w:t>
      </w:r>
    </w:p>
    <w:p w:rsidR="00537579" w:rsidRPr="00FD5F7A" w:rsidRDefault="00537579" w:rsidP="00537579">
      <w:pPr>
        <w:shd w:val="clear" w:color="auto" w:fill="FFFFFF"/>
        <w:spacing w:after="0"/>
        <w:rPr>
          <w:rFonts w:eastAsia="Times New Roman"/>
          <w:noProof/>
          <w:color w:val="000000"/>
          <w:szCs w:val="24"/>
        </w:rPr>
      </w:pPr>
      <w:r w:rsidRPr="00FD5F7A">
        <w:rPr>
          <w:noProof/>
          <w:color w:val="000000"/>
        </w:rPr>
        <w:t>Šī regula uzliek saistības kopumā un ir tieši piemērojama visās dalībvalstīs.</w:t>
      </w:r>
    </w:p>
    <w:p w:rsidR="00537579" w:rsidRPr="00FD5F7A" w:rsidRDefault="00A24754" w:rsidP="002840B4">
      <w:pPr>
        <w:pStyle w:val="Fait"/>
        <w:rPr>
          <w:noProof/>
        </w:rPr>
      </w:pPr>
      <w:r>
        <w:rPr>
          <w:noProof/>
        </w:rPr>
        <w:t>Briselē, 11.3.2024</w:t>
      </w:r>
    </w:p>
    <w:p w:rsidR="00537579" w:rsidRPr="00FD5F7A" w:rsidRDefault="00537579" w:rsidP="002840B4">
      <w:pPr>
        <w:pStyle w:val="Institutionquisigne"/>
        <w:rPr>
          <w:noProof/>
        </w:rPr>
      </w:pPr>
      <w:r w:rsidRPr="00FD5F7A">
        <w:rPr>
          <w:noProof/>
        </w:rPr>
        <w:tab/>
        <w:t>Komisijas vārdā –</w:t>
      </w:r>
    </w:p>
    <w:p w:rsidR="00617274" w:rsidRPr="00FD5F7A" w:rsidRDefault="009954F3" w:rsidP="00537579">
      <w:pPr>
        <w:pStyle w:val="Personnequisigne"/>
        <w:rPr>
          <w:noProof/>
        </w:rPr>
      </w:pPr>
      <w:r>
        <w:rPr>
          <w:noProof/>
        </w:rPr>
        <w:tab/>
        <w:t>priekšsēdētāja</w:t>
      </w:r>
      <w:r>
        <w:rPr>
          <w:noProof/>
        </w:rPr>
        <w:br/>
      </w:r>
      <w:r>
        <w:rPr>
          <w:noProof/>
        </w:rPr>
        <w:tab/>
        <w:t>Ursula VON DER LEYEN</w:t>
      </w:r>
    </w:p>
    <w:sectPr w:rsidR="00617274" w:rsidRPr="00FD5F7A" w:rsidSect="00CA72CC">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DFD" w:rsidRDefault="004A0DFD" w:rsidP="00617274">
      <w:pPr>
        <w:spacing w:before="0" w:after="0"/>
      </w:pPr>
      <w:r>
        <w:separator/>
      </w:r>
    </w:p>
  </w:endnote>
  <w:endnote w:type="continuationSeparator" w:id="0">
    <w:p w:rsidR="004A0DFD" w:rsidRDefault="004A0DFD" w:rsidP="00617274">
      <w:pPr>
        <w:spacing w:before="0" w:after="0"/>
      </w:pPr>
      <w:r>
        <w:continuationSeparator/>
      </w:r>
    </w:p>
  </w:endnote>
  <w:endnote w:type="continuationNotice" w:id="1">
    <w:p w:rsidR="004A0DFD" w:rsidRDefault="004A0D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Pr="00CA72CC" w:rsidRDefault="00CA72CC" w:rsidP="00CA72CC">
    <w:pPr>
      <w:pStyle w:val="Footer"/>
      <w:rPr>
        <w:rFonts w:ascii="Arial" w:hAnsi="Arial" w:cs="Arial"/>
        <w:b/>
        <w:sz w:val="48"/>
      </w:rPr>
    </w:pPr>
    <w:r w:rsidRPr="00CA72CC">
      <w:rPr>
        <w:rFonts w:ascii="Arial" w:hAnsi="Arial" w:cs="Arial"/>
        <w:b/>
        <w:sz w:val="48"/>
      </w:rPr>
      <w:t>LV</w:t>
    </w:r>
    <w:r w:rsidRPr="00CA72CC">
      <w:rPr>
        <w:rFonts w:ascii="Arial" w:hAnsi="Arial" w:cs="Arial"/>
        <w:b/>
        <w:sz w:val="48"/>
      </w:rPr>
      <w:tab/>
    </w:r>
    <w:r w:rsidRPr="00CA72CC">
      <w:rPr>
        <w:rFonts w:ascii="Arial" w:hAnsi="Arial" w:cs="Arial"/>
        <w:b/>
        <w:sz w:val="48"/>
      </w:rPr>
      <w:tab/>
    </w:r>
    <w:r w:rsidRPr="00CA72CC">
      <w:tab/>
    </w:r>
    <w:r w:rsidRPr="00CA72CC">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Pr="00CA72CC" w:rsidRDefault="00CA72CC" w:rsidP="00CA72CC">
    <w:pPr>
      <w:pStyle w:val="Footer"/>
      <w:rPr>
        <w:rFonts w:ascii="Arial" w:hAnsi="Arial" w:cs="Arial"/>
        <w:b/>
        <w:sz w:val="48"/>
      </w:rPr>
    </w:pPr>
    <w:r w:rsidRPr="00CA72CC">
      <w:rPr>
        <w:rFonts w:ascii="Arial" w:hAnsi="Arial" w:cs="Arial"/>
        <w:b/>
        <w:sz w:val="48"/>
      </w:rPr>
      <w:t>LV</w:t>
    </w:r>
    <w:r w:rsidRPr="00CA72CC">
      <w:rPr>
        <w:rFonts w:ascii="Arial" w:hAnsi="Arial" w:cs="Arial"/>
        <w:b/>
        <w:sz w:val="48"/>
      </w:rPr>
      <w:tab/>
    </w:r>
    <w:r w:rsidRPr="00CA72CC">
      <w:rPr>
        <w:rFonts w:ascii="Arial" w:hAnsi="Arial" w:cs="Arial"/>
        <w:b/>
        <w:sz w:val="48"/>
      </w:rPr>
      <w:tab/>
    </w:r>
    <w:r w:rsidRPr="00CA72CC">
      <w:tab/>
    </w:r>
    <w:r w:rsidRPr="00CA72CC">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Default="00CA7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Pr="00CA72CC" w:rsidRDefault="00CA72CC" w:rsidP="00CA72CC">
    <w:pPr>
      <w:pStyle w:val="Footer"/>
      <w:rPr>
        <w:rFonts w:ascii="Arial" w:hAnsi="Arial" w:cs="Arial"/>
        <w:b/>
        <w:sz w:val="48"/>
      </w:rPr>
    </w:pPr>
    <w:r w:rsidRPr="00CA72CC">
      <w:rPr>
        <w:rFonts w:ascii="Arial" w:hAnsi="Arial" w:cs="Arial"/>
        <w:b/>
        <w:sz w:val="48"/>
      </w:rPr>
      <w:t>LV</w:t>
    </w:r>
    <w:r w:rsidRPr="00CA72CC">
      <w:rPr>
        <w:rFonts w:ascii="Arial" w:hAnsi="Arial" w:cs="Arial"/>
        <w:b/>
        <w:sz w:val="48"/>
      </w:rPr>
      <w:tab/>
    </w:r>
    <w:r>
      <w:fldChar w:fldCharType="begin"/>
    </w:r>
    <w:r>
      <w:instrText xml:space="preserve"> PAGE  \* MERGEFORMAT </w:instrText>
    </w:r>
    <w:r>
      <w:fldChar w:fldCharType="separate"/>
    </w:r>
    <w:r w:rsidR="002840B4">
      <w:rPr>
        <w:noProof/>
      </w:rPr>
      <w:t>11</w:t>
    </w:r>
    <w:r>
      <w:fldChar w:fldCharType="end"/>
    </w:r>
    <w:r>
      <w:tab/>
    </w:r>
    <w:r w:rsidRPr="00CA72CC">
      <w:tab/>
    </w:r>
    <w:r w:rsidRPr="00CA72CC">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Default="00CA72CC" w:rsidP="00CA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DFD" w:rsidRDefault="004A0DFD" w:rsidP="00617274">
      <w:pPr>
        <w:spacing w:before="0" w:after="0"/>
      </w:pPr>
      <w:r>
        <w:separator/>
      </w:r>
    </w:p>
  </w:footnote>
  <w:footnote w:type="continuationSeparator" w:id="0">
    <w:p w:rsidR="004A0DFD" w:rsidRDefault="004A0DFD" w:rsidP="00617274">
      <w:pPr>
        <w:spacing w:before="0" w:after="0"/>
      </w:pPr>
      <w:r>
        <w:continuationSeparator/>
      </w:r>
    </w:p>
  </w:footnote>
  <w:footnote w:type="continuationNotice" w:id="1">
    <w:p w:rsidR="004A0DFD" w:rsidRDefault="004A0DFD">
      <w:pPr>
        <w:spacing w:before="0" w:after="0"/>
      </w:pPr>
    </w:p>
  </w:footnote>
  <w:footnote w:id="2">
    <w:p w:rsidR="00537579" w:rsidRPr="008849ED" w:rsidRDefault="00537579" w:rsidP="00537579">
      <w:pPr>
        <w:pStyle w:val="FootnoteText"/>
      </w:pPr>
      <w:r>
        <w:rPr>
          <w:rStyle w:val="FootnoteReference"/>
        </w:rPr>
        <w:footnoteRef/>
      </w:r>
      <w:r>
        <w:tab/>
        <w:t>Komisijas Deleģētā regula (ES) Nr. 272/2012 (2012. gada 7. februāris), ar ko papildina Eiropas Parlamenta un Padomes Regulu (EK) Nr. 1060/2009 attiecībā uz Eiropas Vērtspapīru un tirgus iestādes noteiktām maksām kredītreitingu aģentūrām (OV L 90, 28.3.2012., 6.–10. lpp.);</w:t>
      </w:r>
    </w:p>
    <w:p w:rsidR="00537579" w:rsidRPr="008849ED" w:rsidRDefault="00537579" w:rsidP="00537579">
      <w:pPr>
        <w:pStyle w:val="FootnoteText"/>
        <w:ind w:firstLine="0"/>
      </w:pPr>
      <w:r>
        <w:t>Komisijas Deleģētā regula (ES) Nr. 1003/2013 (2013. gada 12. jūlijs), ar ko papildina Eiropas Parlamenta un Padomes Regulu (ES) Nr. 648/2012 attiecībā uz Eiropas Vērtspapīru un tirgu iestādes noteiktām maksām darījumu reģistriem (OV L 279, 19.10.2013., 4.–9. lpp.);</w:t>
      </w:r>
    </w:p>
    <w:p w:rsidR="00537579" w:rsidRPr="008849ED" w:rsidRDefault="00537579" w:rsidP="00537579">
      <w:pPr>
        <w:pStyle w:val="FootnoteText"/>
        <w:ind w:firstLine="0"/>
      </w:pPr>
      <w:r>
        <w:t>Komisijas Deleģētā regula (ES) 2019/360 (2018. gada 13. decembris), ar ko Eiropas Parlamenta un Padomes Regulu (ES) 2015/2365 papildina attiecībā uz Eiropas Vērtspapīru un tirgu iestādes noteiktām maksām darījumu reģistriem (OV L 81, 22.3.2019., 58.–68. lpp.);</w:t>
      </w:r>
    </w:p>
    <w:p w:rsidR="00537579" w:rsidRPr="008849ED" w:rsidRDefault="00537579" w:rsidP="00537579">
      <w:pPr>
        <w:pStyle w:val="FootnoteText"/>
        <w:ind w:firstLine="0"/>
      </w:pPr>
      <w:r>
        <w:t>Komisijas Deleģētā regula (ES) 2020/1732 (2020. gada 18. septembris), ar ko Eiropas Parlamenta un Padomes Regulu (ES) 2017/2402 papildina attiecībā uz Eiropas Vērtspapīru un tirgu iestādes noteiktām maksām vērtspapīrošanas reģistriem (OV L 390, 20.11.2020., 1.–6. lpp.);</w:t>
      </w:r>
    </w:p>
    <w:p w:rsidR="00537579" w:rsidRDefault="00537579" w:rsidP="00537579">
      <w:pPr>
        <w:pStyle w:val="FootnoteText"/>
        <w:ind w:firstLine="0"/>
      </w:pPr>
      <w:r>
        <w:t>Komisijas Deleģētā regula (ES) 2022/805 (2022. gada 16. februāris), ar kuru, precizējot maksas par Eiropas Vērtspapīru un tirgu iestādes veikto konkrētu etalonu administratoru uzraudzību, papildina Eiropas Parlamenta un Padomes Regulu (ES) 2016/1011 (OV L 145, 24.5.2022., 14.–19. lpp.);</w:t>
      </w:r>
    </w:p>
    <w:p w:rsidR="00537579" w:rsidRDefault="00537579" w:rsidP="00537579">
      <w:pPr>
        <w:pStyle w:val="FootnoteText"/>
        <w:ind w:firstLine="0"/>
      </w:pPr>
      <w:r>
        <w:t>Komisijas Deleģētā regula (ES) 2020/1302 (2020. gada 14. jūlijs), ar ko Eiropas Parlamenta un Padomes Regulu (ES) Nr. 648/2012 papildina attiecībā uz maksām, kuras Eiropas Vērtspapīru un tirgu iestāde iekasē no centrālajiem darījumu partneriem, kuri veic uzņēmējdarbību trešās valstīs (OV L 305, 21.9.2020., 1.–6. lpp.);</w:t>
      </w:r>
    </w:p>
    <w:p w:rsidR="00537579" w:rsidRPr="0093671E" w:rsidRDefault="00537579" w:rsidP="00537579">
      <w:pPr>
        <w:pStyle w:val="FootnoteText"/>
        <w:ind w:firstLine="0"/>
      </w:pPr>
      <w:r>
        <w:t>Komisijas Deleģētā regula (ES) 2022/930 (2022. gada 10. marts), ar kuru, precizējot maksas attiecībā uz Eiropas Vērtspapīru un tirgu iestādes veikto datu ziņošanas pakalpojumu sniedzēju uzraudzību, papildina Eiropas Parlamenta un Padomes Regulu (ES) Nr. 600/2014 (OV L 162, 17.6.2022., 1.–6. lpp.).</w:t>
      </w:r>
    </w:p>
  </w:footnote>
  <w:footnote w:id="3">
    <w:p w:rsidR="00537579" w:rsidRPr="007E39D8" w:rsidRDefault="00537579" w:rsidP="00537579">
      <w:pPr>
        <w:pStyle w:val="FootnoteText"/>
      </w:pPr>
      <w:r>
        <w:rPr>
          <w:rStyle w:val="FootnoteReference"/>
        </w:rPr>
        <w:footnoteRef/>
      </w:r>
      <w:r>
        <w:tab/>
        <w:t>Komisijas Deleģētā regula (ES) Nr. 1003/2013 (2013. gada 12. jūlijs), ar ko papildina Eiropas Parlamenta un Padomes Regulu (ES) Nr. 648/2012 attiecībā uz Eiropas Vērtspapīru un tirgu iestādes noteiktām maksām darījumu reģistriem (OV L 279, 19.10.2013., 4..–9. lpp.).</w:t>
      </w:r>
    </w:p>
  </w:footnote>
  <w:footnote w:id="4">
    <w:p w:rsidR="00537579" w:rsidRPr="00DE0AAD" w:rsidRDefault="00537579" w:rsidP="00537579">
      <w:pPr>
        <w:pStyle w:val="FootnoteText"/>
      </w:pPr>
      <w:r>
        <w:rPr>
          <w:rStyle w:val="FootnoteReference"/>
        </w:rPr>
        <w:footnoteRef/>
      </w:r>
      <w:r>
        <w:tab/>
        <w:t>Eiropas Parlamenta un Padomes Regula (ES) Nr. 648/2012 (2012. gada 4. jūlijs) par ārpusbiržas atvasinātajiem instrumentiem, centrālajiem darījumu partneriem un darījumu reģistriem (OV L 201, 27.7.2012., 1.–59. lpp.).</w:t>
      </w:r>
    </w:p>
  </w:footnote>
  <w:footnote w:id="5">
    <w:p w:rsidR="00537579" w:rsidRPr="000B3062" w:rsidRDefault="00537579" w:rsidP="00537579">
      <w:pPr>
        <w:pStyle w:val="FootnoteText"/>
      </w:pPr>
      <w:r>
        <w:rPr>
          <w:rStyle w:val="FootnoteReference"/>
        </w:rPr>
        <w:footnoteRef/>
      </w:r>
      <w:r>
        <w:tab/>
        <w:t xml:space="preserve">Eiropas Revīzijas palāta, </w:t>
      </w:r>
      <w:r>
        <w:rPr>
          <w:i/>
        </w:rPr>
        <w:t>2018 audit of EU agencies in brief – Introducing the European Court of Auditors' 2018 annual report on EU agencies</w:t>
      </w:r>
      <w:r>
        <w:t xml:space="preserve">, Eiropas Savienības Publikāciju birojs, 2019, </w:t>
      </w:r>
      <w:hyperlink r:id="rId1" w:history="1">
        <w:r>
          <w:rPr>
            <w:rStyle w:val="Hyperlink"/>
          </w:rPr>
          <w:t>https://data.europa.eu/doi/10.2865/74246</w:t>
        </w:r>
      </w:hyperlink>
      <w:r>
        <w:t>.</w:t>
      </w:r>
    </w:p>
  </w:footnote>
  <w:footnote w:id="6">
    <w:p w:rsidR="00537579" w:rsidRPr="0093671E" w:rsidRDefault="00537579" w:rsidP="00537579">
      <w:pPr>
        <w:pStyle w:val="FootnoteText"/>
      </w:pPr>
      <w:r>
        <w:rPr>
          <w:rStyle w:val="FootnoteReference"/>
        </w:rPr>
        <w:footnoteRef/>
      </w:r>
      <w:r>
        <w:tab/>
      </w:r>
      <w:r>
        <w:rPr>
          <w:i/>
        </w:rPr>
        <w:t>Technical Advice on Fees Charged to CRAs by ESMA</w:t>
      </w:r>
      <w:r>
        <w:t xml:space="preserve">, 2021. gada 21. jūnijs, ESMA80-196-5170, </w:t>
      </w:r>
      <w:hyperlink r:id="rId2" w:history="1">
        <w:r>
          <w:rPr>
            <w:rStyle w:val="Hyperlink"/>
          </w:rPr>
          <w:t>https://www.esma.europa.eu/sites/default/files/library/esma80-196-5170_final_report_technical_advice_on_fees_charged_to_cras_by_esma_0.pdf</w:t>
        </w:r>
      </w:hyperlink>
      <w:r>
        <w:t>.</w:t>
      </w:r>
    </w:p>
  </w:footnote>
  <w:footnote w:id="7">
    <w:p w:rsidR="00537579" w:rsidRDefault="00537579" w:rsidP="00537579">
      <w:pPr>
        <w:pStyle w:val="FootnoteText"/>
      </w:pPr>
      <w:r>
        <w:rPr>
          <w:rStyle w:val="FootnoteReference"/>
        </w:rPr>
        <w:footnoteRef/>
      </w:r>
      <w:r>
        <w:tab/>
      </w:r>
      <w:r>
        <w:rPr>
          <w:i/>
        </w:rPr>
        <w:t>Technical advice to EC on simplification and harmonisation of fees to TRs under EMIR and SFTR</w:t>
      </w:r>
      <w:r>
        <w:t>, 2021. gada 8. jūlijs, ESMA74-362-1978,</w:t>
      </w:r>
    </w:p>
    <w:p w:rsidR="00537579" w:rsidRPr="005E3EC7" w:rsidRDefault="00E018D2" w:rsidP="00537579">
      <w:pPr>
        <w:pStyle w:val="FootnoteText"/>
        <w:ind w:firstLine="0"/>
      </w:pPr>
      <w:hyperlink r:id="rId3" w:history="1">
        <w:r w:rsidR="00537579">
          <w:rPr>
            <w:rStyle w:val="Hyperlink"/>
          </w:rPr>
          <w:t>https://www.esma.europa.eu/sites/default/files/library/esma74-362-1978_final_report_technical_advice_on_simplification_tr_fees_under_sftr_and_emir.pdf</w:t>
        </w:r>
      </w:hyperlink>
      <w:r w:rsidR="00537579">
        <w:t xml:space="preserve">. </w:t>
      </w:r>
    </w:p>
  </w:footnote>
  <w:footnote w:id="8">
    <w:p w:rsidR="00537579" w:rsidRPr="00537C26" w:rsidRDefault="00537579" w:rsidP="00537579">
      <w:pPr>
        <w:pStyle w:val="FootnoteText"/>
      </w:pPr>
      <w:r>
        <w:rPr>
          <w:rStyle w:val="FootnoteReference"/>
        </w:rPr>
        <w:footnoteRef/>
      </w:r>
      <w:r>
        <w:tab/>
        <w:t>Komisijas Deleģētā regula (ES) 2020/1302.</w:t>
      </w:r>
    </w:p>
  </w:footnote>
  <w:footnote w:id="9">
    <w:p w:rsidR="00537579" w:rsidRPr="00537C26" w:rsidRDefault="00537579" w:rsidP="00537579">
      <w:pPr>
        <w:pStyle w:val="FootnoteText"/>
      </w:pPr>
      <w:r>
        <w:rPr>
          <w:rStyle w:val="FootnoteReference"/>
        </w:rPr>
        <w:footnoteRef/>
      </w:r>
      <w:r>
        <w:tab/>
        <w:t>Komisijas Deleģētā regula (ES) 2022/930.</w:t>
      </w:r>
    </w:p>
  </w:footnote>
  <w:footnote w:id="10">
    <w:p w:rsidR="00537579" w:rsidRPr="008849ED" w:rsidRDefault="00537579" w:rsidP="00537579">
      <w:pPr>
        <w:pStyle w:val="FootnoteText"/>
      </w:pPr>
      <w:r>
        <w:rPr>
          <w:rStyle w:val="FootnoteReference"/>
        </w:rPr>
        <w:footnoteRef/>
      </w:r>
      <w:r>
        <w:tab/>
        <w:t>Komisijas Deleģētā regula (ES) Nr. 272/2012 attiecībā uz Eiropas Vērtspapīru un tirgu iestādes noteiktām maksām kredītreitingu aģentūrām (OV L 90, 28.3.2012., 6.–10. lpp.);</w:t>
      </w:r>
    </w:p>
    <w:p w:rsidR="00537579" w:rsidRPr="008849ED" w:rsidRDefault="00537579" w:rsidP="00537579">
      <w:pPr>
        <w:pStyle w:val="FootnoteText"/>
        <w:ind w:firstLine="0"/>
      </w:pPr>
      <w:r>
        <w:t>Komisijas Deleģētā regula (ES) 2019/360 attiecībā uz Eiropas Vērtspapīru un tirgu iestādes noteiktām maksām darījumu reģistriem (OV L 81, 22.3.2019., 58.–68. lpp.);</w:t>
      </w:r>
    </w:p>
    <w:p w:rsidR="00537579" w:rsidRPr="008849ED" w:rsidRDefault="00537579" w:rsidP="00537579">
      <w:pPr>
        <w:pStyle w:val="FootnoteText"/>
        <w:ind w:firstLine="0"/>
      </w:pPr>
      <w:r>
        <w:t>Komisijas Deleģētā regula (ES) 2020/1732 attiecībā uz Eiropas Vērtspapīru un tirgu iestādes noteiktām maksām vērtspapīrošanas reģistriem (OV L 390, 20.11.2020., 1.–6. lpp.);</w:t>
      </w:r>
    </w:p>
    <w:p w:rsidR="00537579" w:rsidRPr="002E2A57" w:rsidRDefault="00537579" w:rsidP="00537579">
      <w:pPr>
        <w:pStyle w:val="FootnoteText"/>
        <w:ind w:firstLine="0"/>
      </w:pPr>
      <w:r>
        <w:t>Komisijas Deleģētā regula (ES) 2022/805 attiecībā uz maksām par Eiropas Vērtspapīru un tirgu iestādes veikto konkrētu etalonu administratoru uzraudzību (OV L 145, 24.5.2022., 14.–19. lpp.).</w:t>
      </w:r>
    </w:p>
  </w:footnote>
  <w:footnote w:id="11">
    <w:p w:rsidR="00537579" w:rsidRPr="00FF376D" w:rsidRDefault="00537579" w:rsidP="00537579">
      <w:pPr>
        <w:pStyle w:val="FootnoteText"/>
      </w:pPr>
      <w:r>
        <w:rPr>
          <w:rStyle w:val="FootnoteReference"/>
        </w:rPr>
        <w:footnoteRef/>
      </w:r>
      <w:r>
        <w:tab/>
      </w:r>
      <w:hyperlink r:id="rId4" w:history="1">
        <w:r>
          <w:rPr>
            <w:rStyle w:val="Hyperlink"/>
          </w:rPr>
          <w:t>https://ec.europa.eu/info/law/better-regulation/have-your-say/initiatives/13933-European-Securities-and-Markets-Authority-harmonising-and-simplifying-fees-charged-to-trade-repositories-under-EMIR_lv</w:t>
        </w:r>
      </w:hyperlink>
      <w:r>
        <w:t>.</w:t>
      </w:r>
    </w:p>
  </w:footnote>
  <w:footnote w:id="12">
    <w:p w:rsidR="00537579" w:rsidRPr="00AF15AD" w:rsidRDefault="00537579" w:rsidP="00537579">
      <w:pPr>
        <w:spacing w:before="0" w:after="0"/>
        <w:rPr>
          <w:sz w:val="20"/>
          <w:szCs w:val="20"/>
        </w:rPr>
      </w:pPr>
      <w:r>
        <w:rPr>
          <w:rStyle w:val="FootnoteReference"/>
        </w:rPr>
        <w:footnoteRef/>
      </w:r>
      <w:r>
        <w:tab/>
      </w:r>
      <w:r>
        <w:rPr>
          <w:rStyle w:val="FootnoteTextChar"/>
        </w:rPr>
        <w:t>OV L 201, 27.7.2012., 1. lpp., ELI: http://data.europa.eu/eli/reg/2012/648/oj.</w:t>
      </w:r>
    </w:p>
  </w:footnote>
  <w:footnote w:id="13">
    <w:p w:rsidR="00537579" w:rsidRPr="000D2E9A" w:rsidRDefault="00537579" w:rsidP="00537579">
      <w:pPr>
        <w:spacing w:before="0" w:after="0"/>
        <w:ind w:left="720" w:hanging="720"/>
        <w:rPr>
          <w:sz w:val="16"/>
          <w:szCs w:val="16"/>
        </w:rPr>
      </w:pPr>
      <w:r>
        <w:rPr>
          <w:rStyle w:val="FootnoteReference"/>
        </w:rPr>
        <w:footnoteRef/>
      </w:r>
      <w:r>
        <w:tab/>
      </w:r>
      <w:r w:rsidRPr="00E94E26">
        <w:rPr>
          <w:rStyle w:val="FootnoteTextChar"/>
          <w:lang w:val="lv-LV"/>
        </w:rPr>
        <w:t>Komisijas Deleģētā regula (ES) Nr. 1003/2013 (2013. gada 12. jūlijs), ar ko papildina Eiropas Parlamenta un Padomes Regulu (ES) Nr. 648/2012 attiecībā uz Eiropas Vērtspapīru un tirgu iestādes noteiktām maksām darījumu reģistriem (OV L 279, 19.10.2013., 4. lpp., ELI: http://data.europa.eu/eli/reg_del/2013/1003/oj).</w:t>
      </w:r>
    </w:p>
  </w:footnote>
  <w:footnote w:id="14">
    <w:p w:rsidR="00537579" w:rsidRPr="00AF15AD" w:rsidRDefault="00537579" w:rsidP="00537579">
      <w:pPr>
        <w:pStyle w:val="FootnoteText"/>
      </w:pPr>
      <w:r>
        <w:rPr>
          <w:rStyle w:val="FootnoteReference"/>
        </w:rPr>
        <w:footnoteRef/>
      </w:r>
      <w:r>
        <w:tab/>
        <w:t>Revīzijas palāta, Pārskats par ES aģentūrām attiecībā uz 2018. finanšu gadu (OV C 417, 11.12.2019., 29. lpp. un 85. un turpmākās lpp.).</w:t>
      </w:r>
    </w:p>
  </w:footnote>
  <w:footnote w:id="15">
    <w:p w:rsidR="00537579" w:rsidRPr="000D2E9A" w:rsidRDefault="00537579" w:rsidP="00537579">
      <w:pPr>
        <w:spacing w:before="0" w:after="0"/>
        <w:ind w:left="720" w:hanging="720"/>
        <w:rPr>
          <w:sz w:val="16"/>
          <w:szCs w:val="16"/>
        </w:rPr>
      </w:pPr>
      <w:r>
        <w:rPr>
          <w:rStyle w:val="FootnoteReference"/>
        </w:rPr>
        <w:footnoteRef/>
      </w:r>
      <w:r>
        <w:tab/>
      </w:r>
      <w:r w:rsidRPr="00E94E26">
        <w:rPr>
          <w:rStyle w:val="FootnoteTextChar"/>
          <w:lang w:val="lv-LV"/>
        </w:rPr>
        <w:t>Komisijas Deleģētā regula (ES) 2019/360 (2018. gada 13. decembris), ar ko Eiropas Parlamenta un Padomes Regulu (ES) 2015/2365 papildina attiecībā uz Eiropas Vērtspapīru un tirgu iestādes noteiktām maksām darījumu reģistriem (OV L 81, 22.3.2019., 58. lpp., ELI: http://data.europa.eu/eli/reg_del/2019/360/oj).</w:t>
      </w:r>
    </w:p>
  </w:footnote>
  <w:footnote w:id="16">
    <w:p w:rsidR="00537579" w:rsidRPr="00D97D80" w:rsidRDefault="00537579" w:rsidP="00537579">
      <w:pPr>
        <w:pStyle w:val="FootnoteText"/>
      </w:pPr>
      <w:r>
        <w:rPr>
          <w:rStyle w:val="FootnoteReference"/>
        </w:rPr>
        <w:footnoteRef/>
      </w:r>
      <w:r>
        <w:tab/>
        <w:t xml:space="preserve">Komisijas Deleģētā regula (ES) 2019/715 (2018. gada 18. decembris) par finanšu pamatregulu struktūrām, kas izveidotas saskaņā ar LESD un </w:t>
      </w:r>
      <w:r>
        <w:rPr>
          <w:i/>
        </w:rPr>
        <w:t>Euratom</w:t>
      </w:r>
      <w:r>
        <w:t xml:space="preserve"> līgumu un minētas Eiropas Parlamenta un Padomes Regulas (ES, Euratom) 2018/1046 70. pantā (OV L 122, 10.5.2019., 1. lpp., ELI: http://data.europa.eu/eli/reg_del/2019/715/oj).</w:t>
      </w:r>
    </w:p>
  </w:footnote>
  <w:footnote w:id="17">
    <w:p w:rsidR="00537579" w:rsidRPr="00D97D80" w:rsidRDefault="00537579" w:rsidP="00537579">
      <w:pPr>
        <w:pStyle w:val="FootnoteText"/>
      </w:pPr>
      <w:r>
        <w:rPr>
          <w:rStyle w:val="FootnoteReference"/>
        </w:rPr>
        <w:footnoteRef/>
      </w:r>
      <w:r>
        <w:tab/>
        <w:t>Eiropas Parlamenta un Padomes Regula (ES) 2015/2365 (2015. gada 25. novembris) par vērtspapīru finansēšanas darījumu un atkalizmantošanas pārredzamību un ar ko groza Regulu (ES) Nr. 648/2012 (OV L 337, 23.12.2015., 1. lpp., ELI: http://data.europa.eu/eli/reg/2015/2365/oj).</w:t>
      </w:r>
    </w:p>
  </w:footnote>
  <w:footnote w:id="18">
    <w:p w:rsidR="00537579" w:rsidRPr="00D97D80" w:rsidRDefault="00537579" w:rsidP="00537579">
      <w:pPr>
        <w:spacing w:before="0" w:after="0"/>
        <w:ind w:left="720" w:hanging="720"/>
      </w:pPr>
      <w:r>
        <w:rPr>
          <w:rStyle w:val="FootnoteReference"/>
        </w:rPr>
        <w:footnoteRef/>
      </w:r>
      <w:r>
        <w:tab/>
      </w:r>
      <w:r>
        <w:rPr>
          <w:sz w:val="20"/>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(OV L 193, 30.7.2018., 1. lpp., ELI: http://data.europa.eu/eli/reg/2018/1046/oj).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Default="00CA7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CC" w:rsidRDefault="00CA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DA486EC"/>
    <w:lvl w:ilvl="0">
      <w:start w:val="1"/>
      <w:numFmt w:val="bullet"/>
      <w:pStyle w:val="ListBullet4"/>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E5E9B9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2DE07D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45C960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8"/>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17"/>
  </w:num>
  <w:num w:numId="15">
    <w:abstractNumId w:val="7"/>
  </w:num>
  <w:num w:numId="16">
    <w:abstractNumId w:val="9"/>
  </w:num>
  <w:num w:numId="17">
    <w:abstractNumId w:val="10"/>
  </w:num>
  <w:num w:numId="18">
    <w:abstractNumId w:val="5"/>
  </w:num>
  <w:num w:numId="19">
    <w:abstractNumId w:val="16"/>
  </w:num>
  <w:num w:numId="20">
    <w:abstractNumId w:val="4"/>
  </w:num>
  <w:num w:numId="21">
    <w:abstractNumId w:val="11"/>
  </w:num>
  <w:num w:numId="22">
    <w:abstractNumId w:val="13"/>
  </w:num>
  <w:num w:numId="23">
    <w:abstractNumId w:val="14"/>
  </w:num>
  <w:num w:numId="24">
    <w:abstractNumId w:val="6"/>
  </w:num>
  <w:num w:numId="25">
    <w:abstractNumId w:val="12"/>
  </w:num>
  <w:num w:numId="26">
    <w:abstractNumId w:val="18"/>
  </w:num>
  <w:num w:numId="27">
    <w:abstractNumId w:val="15"/>
  </w:num>
  <w:num w:numId="28">
    <w:abstractNumId w:val="8"/>
  </w:num>
  <w:num w:numId="29">
    <w:abstractNumId w:val="17"/>
  </w:num>
  <w:num w:numId="30">
    <w:abstractNumId w:val="7"/>
  </w:num>
  <w:num w:numId="31">
    <w:abstractNumId w:val="9"/>
  </w:num>
  <w:num w:numId="32">
    <w:abstractNumId w:val="10"/>
  </w:num>
  <w:num w:numId="33">
    <w:abstractNumId w:val="5"/>
  </w:num>
  <w:num w:numId="34">
    <w:abstractNumId w:val="16"/>
  </w:num>
  <w:num w:numId="35">
    <w:abstractNumId w:val="4"/>
  </w:num>
  <w:num w:numId="36">
    <w:abstractNumId w:val="11"/>
  </w:num>
  <w:num w:numId="37">
    <w:abstractNumId w:val="13"/>
  </w:num>
  <w:num w:numId="38">
    <w:abstractNumId w:val="14"/>
  </w:num>
  <w:num w:numId="39">
    <w:abstractNumId w:val="6"/>
  </w:num>
  <w:num w:numId="40">
    <w:abstractNumId w:val="12"/>
  </w:num>
  <w:num w:numId="4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3-04 09:14: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B0D6D16-6CB7-4BDA-9C7C-C26216A21F13"/>
    <w:docVar w:name="LW_COVERPAGE_TYPE" w:val="1"/>
    <w:docVar w:name="LW_CROSSREFERENCE" w:val="&lt;UNUSED&gt;"/>
    <w:docVar w:name="LW_DATE.ADOPT.CP" w:val="(11.3.2024),"/>
    <w:docVar w:name="LW_DATE.ADOPT.CP_DATEFORMAT" w:val="(%DATE%),"/>
    <w:docVar w:name="LW_DATE.ADOPT.CP_ISODATE" w:val="2024-03-11"/>
    <w:docVar w:name="LW_DocType" w:val="COM"/>
    <w:docVar w:name="LW_EMISSION" w:val="11.3.2024"/>
    <w:docVar w:name="LW_EMISSION_ISODATE" w:val="2024-03-11"/>
    <w:docVar w:name="LW_EMISSION_LOCATION" w:val="BRX"/>
    <w:docVar w:name="LW_EMISSION_PREFIX" w:val="Brisel\u275?, "/>
    <w:docVar w:name="LW_EMISSION_SUFFIX" w:val="."/>
    <w:docVar w:name="LW_ID_DOCMODEL" w:val="SJ-003"/>
    <w:docVar w:name="LW_ID_DOCSIGNATURE" w:val="SJ-003"/>
    <w:docVar w:name="LW_ID_DOCSTRUCTURE" w:val="COM/AA"/>
    <w:docVar w:name="LW_ID_DOCTYPE" w:val="SJ-003"/>
    <w:docVar w:name="LW_INSERT_EXP.MOTIFS.NEW" w:val="1"/>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4) 132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Dele\u291?\u275?to regulu (ES) Nr. 1003/2013 groza attiec\u299?b\u257? uz maksu, kuras Eiropas V\u275?rtspap\u299?ru un tirgu iest\u257?de iekas\u275? no dar\u299?jumu re\u291?istriem, konkr\u275?tu aspektu saska\u326?o\u353?anu"/>
    <w:docVar w:name="LW_TYPE.DOC.CP" w:val="KOMISIJAS DELE\u290?\u274?T\u256? REGULA (ES) \u8230?/.."/>
    <w:docVar w:name="LwApiVersions" w:val="LW4CoDe 1.24.5.0; LW 9.0, Build 20240221"/>
  </w:docVars>
  <w:rsids>
    <w:rsidRoot w:val="00617274"/>
    <w:rsid w:val="00002593"/>
    <w:rsid w:val="000043DB"/>
    <w:rsid w:val="00005669"/>
    <w:rsid w:val="00012CED"/>
    <w:rsid w:val="00013E3C"/>
    <w:rsid w:val="00017A58"/>
    <w:rsid w:val="00020016"/>
    <w:rsid w:val="00021433"/>
    <w:rsid w:val="00022D61"/>
    <w:rsid w:val="00034AD7"/>
    <w:rsid w:val="000414D4"/>
    <w:rsid w:val="00043C74"/>
    <w:rsid w:val="000449FE"/>
    <w:rsid w:val="000473E6"/>
    <w:rsid w:val="00047DCF"/>
    <w:rsid w:val="00052D42"/>
    <w:rsid w:val="00054AA7"/>
    <w:rsid w:val="000571BC"/>
    <w:rsid w:val="00060326"/>
    <w:rsid w:val="00062F8D"/>
    <w:rsid w:val="00063453"/>
    <w:rsid w:val="00064D18"/>
    <w:rsid w:val="000651EE"/>
    <w:rsid w:val="000679D9"/>
    <w:rsid w:val="00067DF3"/>
    <w:rsid w:val="00074C06"/>
    <w:rsid w:val="00074DFA"/>
    <w:rsid w:val="00080420"/>
    <w:rsid w:val="00083054"/>
    <w:rsid w:val="000915F4"/>
    <w:rsid w:val="00093D7C"/>
    <w:rsid w:val="00095F92"/>
    <w:rsid w:val="000976F7"/>
    <w:rsid w:val="000A2573"/>
    <w:rsid w:val="000A2735"/>
    <w:rsid w:val="000A7016"/>
    <w:rsid w:val="000B3062"/>
    <w:rsid w:val="000B6481"/>
    <w:rsid w:val="000C2E77"/>
    <w:rsid w:val="000C3F93"/>
    <w:rsid w:val="000C5973"/>
    <w:rsid w:val="000C718A"/>
    <w:rsid w:val="000D0B71"/>
    <w:rsid w:val="000D2E9A"/>
    <w:rsid w:val="000D4835"/>
    <w:rsid w:val="000D49CF"/>
    <w:rsid w:val="000D4C4C"/>
    <w:rsid w:val="000D5C0C"/>
    <w:rsid w:val="000D5CF5"/>
    <w:rsid w:val="000E2F47"/>
    <w:rsid w:val="000E44C7"/>
    <w:rsid w:val="000E60A2"/>
    <w:rsid w:val="000E7BAA"/>
    <w:rsid w:val="000F20AF"/>
    <w:rsid w:val="000F306D"/>
    <w:rsid w:val="000F57BD"/>
    <w:rsid w:val="00104459"/>
    <w:rsid w:val="0010492F"/>
    <w:rsid w:val="001065F5"/>
    <w:rsid w:val="001074E3"/>
    <w:rsid w:val="00116BF8"/>
    <w:rsid w:val="001230CF"/>
    <w:rsid w:val="00123103"/>
    <w:rsid w:val="001238EF"/>
    <w:rsid w:val="00124691"/>
    <w:rsid w:val="0012575C"/>
    <w:rsid w:val="0012715D"/>
    <w:rsid w:val="001334AE"/>
    <w:rsid w:val="00135163"/>
    <w:rsid w:val="00136A16"/>
    <w:rsid w:val="00137FF1"/>
    <w:rsid w:val="00142ACE"/>
    <w:rsid w:val="00145888"/>
    <w:rsid w:val="00150814"/>
    <w:rsid w:val="00156B10"/>
    <w:rsid w:val="00157265"/>
    <w:rsid w:val="001601C9"/>
    <w:rsid w:val="00167A34"/>
    <w:rsid w:val="00172ED8"/>
    <w:rsid w:val="00172F96"/>
    <w:rsid w:val="0017471B"/>
    <w:rsid w:val="00177854"/>
    <w:rsid w:val="00180AC9"/>
    <w:rsid w:val="00183FC8"/>
    <w:rsid w:val="001947DE"/>
    <w:rsid w:val="001955FC"/>
    <w:rsid w:val="00197318"/>
    <w:rsid w:val="00197613"/>
    <w:rsid w:val="00197857"/>
    <w:rsid w:val="001A1302"/>
    <w:rsid w:val="001A1464"/>
    <w:rsid w:val="001A5B0A"/>
    <w:rsid w:val="001B192A"/>
    <w:rsid w:val="001B38EA"/>
    <w:rsid w:val="001B6107"/>
    <w:rsid w:val="001B65B7"/>
    <w:rsid w:val="001B762E"/>
    <w:rsid w:val="001C0800"/>
    <w:rsid w:val="001C0BED"/>
    <w:rsid w:val="001C11DE"/>
    <w:rsid w:val="001C3B29"/>
    <w:rsid w:val="001C567F"/>
    <w:rsid w:val="001C6854"/>
    <w:rsid w:val="001C7119"/>
    <w:rsid w:val="001C77A0"/>
    <w:rsid w:val="001D0348"/>
    <w:rsid w:val="001D067E"/>
    <w:rsid w:val="001E048B"/>
    <w:rsid w:val="001E309D"/>
    <w:rsid w:val="001E5FAB"/>
    <w:rsid w:val="001F156F"/>
    <w:rsid w:val="00200FF4"/>
    <w:rsid w:val="00210AB2"/>
    <w:rsid w:val="002130DC"/>
    <w:rsid w:val="0021326D"/>
    <w:rsid w:val="00214E11"/>
    <w:rsid w:val="002158AD"/>
    <w:rsid w:val="00216542"/>
    <w:rsid w:val="00217A20"/>
    <w:rsid w:val="00220787"/>
    <w:rsid w:val="00223C12"/>
    <w:rsid w:val="00227D3B"/>
    <w:rsid w:val="00231371"/>
    <w:rsid w:val="00233DC7"/>
    <w:rsid w:val="00233DD7"/>
    <w:rsid w:val="002362BD"/>
    <w:rsid w:val="00237454"/>
    <w:rsid w:val="00242F6D"/>
    <w:rsid w:val="0024421C"/>
    <w:rsid w:val="0024477B"/>
    <w:rsid w:val="00247779"/>
    <w:rsid w:val="00252009"/>
    <w:rsid w:val="0025236E"/>
    <w:rsid w:val="002542EF"/>
    <w:rsid w:val="00254655"/>
    <w:rsid w:val="002558E9"/>
    <w:rsid w:val="00255A6A"/>
    <w:rsid w:val="00255E05"/>
    <w:rsid w:val="0026095A"/>
    <w:rsid w:val="002615A2"/>
    <w:rsid w:val="0026612B"/>
    <w:rsid w:val="00267560"/>
    <w:rsid w:val="0027465F"/>
    <w:rsid w:val="00282D76"/>
    <w:rsid w:val="002840B4"/>
    <w:rsid w:val="00284C31"/>
    <w:rsid w:val="002858D6"/>
    <w:rsid w:val="00285BEE"/>
    <w:rsid w:val="00286A76"/>
    <w:rsid w:val="0028714D"/>
    <w:rsid w:val="00291DED"/>
    <w:rsid w:val="0029533F"/>
    <w:rsid w:val="00295642"/>
    <w:rsid w:val="002959E6"/>
    <w:rsid w:val="002969A0"/>
    <w:rsid w:val="002A0A15"/>
    <w:rsid w:val="002A1102"/>
    <w:rsid w:val="002B2316"/>
    <w:rsid w:val="002B30AF"/>
    <w:rsid w:val="002B4A0D"/>
    <w:rsid w:val="002B4AE9"/>
    <w:rsid w:val="002B5270"/>
    <w:rsid w:val="002B73F2"/>
    <w:rsid w:val="002C37B9"/>
    <w:rsid w:val="002C5B5D"/>
    <w:rsid w:val="002D0FC2"/>
    <w:rsid w:val="002D2D35"/>
    <w:rsid w:val="002D3327"/>
    <w:rsid w:val="002D4A59"/>
    <w:rsid w:val="002E2A57"/>
    <w:rsid w:val="002E4364"/>
    <w:rsid w:val="002E7E0E"/>
    <w:rsid w:val="002F0C2E"/>
    <w:rsid w:val="002F3248"/>
    <w:rsid w:val="002F723B"/>
    <w:rsid w:val="003016F7"/>
    <w:rsid w:val="00313103"/>
    <w:rsid w:val="00313300"/>
    <w:rsid w:val="00321B7C"/>
    <w:rsid w:val="00330172"/>
    <w:rsid w:val="0033166D"/>
    <w:rsid w:val="00331B74"/>
    <w:rsid w:val="0033344A"/>
    <w:rsid w:val="00333B31"/>
    <w:rsid w:val="00333C75"/>
    <w:rsid w:val="003342CF"/>
    <w:rsid w:val="00336B21"/>
    <w:rsid w:val="00336F0D"/>
    <w:rsid w:val="00340BA4"/>
    <w:rsid w:val="003434EB"/>
    <w:rsid w:val="00345E38"/>
    <w:rsid w:val="0035006B"/>
    <w:rsid w:val="003573E5"/>
    <w:rsid w:val="003607E3"/>
    <w:rsid w:val="00360B51"/>
    <w:rsid w:val="00362AF0"/>
    <w:rsid w:val="003651E4"/>
    <w:rsid w:val="0037272A"/>
    <w:rsid w:val="003728CD"/>
    <w:rsid w:val="00380027"/>
    <w:rsid w:val="00381186"/>
    <w:rsid w:val="00382B42"/>
    <w:rsid w:val="0038320D"/>
    <w:rsid w:val="003863AE"/>
    <w:rsid w:val="00397B27"/>
    <w:rsid w:val="003A31E2"/>
    <w:rsid w:val="003A4198"/>
    <w:rsid w:val="003A67EB"/>
    <w:rsid w:val="003B095B"/>
    <w:rsid w:val="003B16FD"/>
    <w:rsid w:val="003B1E30"/>
    <w:rsid w:val="003B5CD3"/>
    <w:rsid w:val="003C2052"/>
    <w:rsid w:val="003C25E7"/>
    <w:rsid w:val="003C4C51"/>
    <w:rsid w:val="003C6B99"/>
    <w:rsid w:val="003D37E5"/>
    <w:rsid w:val="003D7652"/>
    <w:rsid w:val="003E0092"/>
    <w:rsid w:val="003E3DDF"/>
    <w:rsid w:val="003E4706"/>
    <w:rsid w:val="003E5EEB"/>
    <w:rsid w:val="003E7F39"/>
    <w:rsid w:val="003F0F31"/>
    <w:rsid w:val="003F2256"/>
    <w:rsid w:val="003F4D22"/>
    <w:rsid w:val="003F51F1"/>
    <w:rsid w:val="003F5819"/>
    <w:rsid w:val="003F5C4F"/>
    <w:rsid w:val="003F64B8"/>
    <w:rsid w:val="003F791C"/>
    <w:rsid w:val="0040199F"/>
    <w:rsid w:val="00402395"/>
    <w:rsid w:val="004040C2"/>
    <w:rsid w:val="00405949"/>
    <w:rsid w:val="00407BA3"/>
    <w:rsid w:val="0041103D"/>
    <w:rsid w:val="00414840"/>
    <w:rsid w:val="00414BEF"/>
    <w:rsid w:val="00416174"/>
    <w:rsid w:val="00416E46"/>
    <w:rsid w:val="00421238"/>
    <w:rsid w:val="0042349F"/>
    <w:rsid w:val="0042648E"/>
    <w:rsid w:val="00431DC7"/>
    <w:rsid w:val="00431E24"/>
    <w:rsid w:val="0043509F"/>
    <w:rsid w:val="00435C89"/>
    <w:rsid w:val="004379DA"/>
    <w:rsid w:val="00443559"/>
    <w:rsid w:val="00444FDD"/>
    <w:rsid w:val="00450859"/>
    <w:rsid w:val="00453CEA"/>
    <w:rsid w:val="0045712D"/>
    <w:rsid w:val="00461060"/>
    <w:rsid w:val="00463DB0"/>
    <w:rsid w:val="004710AD"/>
    <w:rsid w:val="004720C8"/>
    <w:rsid w:val="00472366"/>
    <w:rsid w:val="004760A0"/>
    <w:rsid w:val="00480C91"/>
    <w:rsid w:val="00482395"/>
    <w:rsid w:val="00490ACC"/>
    <w:rsid w:val="0049104F"/>
    <w:rsid w:val="00492C5D"/>
    <w:rsid w:val="004936D2"/>
    <w:rsid w:val="00495EF8"/>
    <w:rsid w:val="004A01D2"/>
    <w:rsid w:val="004A0DFD"/>
    <w:rsid w:val="004A7BA2"/>
    <w:rsid w:val="004C03D2"/>
    <w:rsid w:val="004C3C8F"/>
    <w:rsid w:val="004D531E"/>
    <w:rsid w:val="004E0D05"/>
    <w:rsid w:val="004E678F"/>
    <w:rsid w:val="004F03DC"/>
    <w:rsid w:val="004F2915"/>
    <w:rsid w:val="004F7477"/>
    <w:rsid w:val="005010BD"/>
    <w:rsid w:val="00502A78"/>
    <w:rsid w:val="00503AFF"/>
    <w:rsid w:val="0050618F"/>
    <w:rsid w:val="005272C5"/>
    <w:rsid w:val="00527CE0"/>
    <w:rsid w:val="00530DEB"/>
    <w:rsid w:val="00531A12"/>
    <w:rsid w:val="005364B9"/>
    <w:rsid w:val="0053656D"/>
    <w:rsid w:val="00537579"/>
    <w:rsid w:val="0054444C"/>
    <w:rsid w:val="005459EB"/>
    <w:rsid w:val="00546513"/>
    <w:rsid w:val="00547EE0"/>
    <w:rsid w:val="0055291A"/>
    <w:rsid w:val="00557C56"/>
    <w:rsid w:val="00560FAE"/>
    <w:rsid w:val="005674BF"/>
    <w:rsid w:val="00567E08"/>
    <w:rsid w:val="00575991"/>
    <w:rsid w:val="005768CE"/>
    <w:rsid w:val="00585E7D"/>
    <w:rsid w:val="00587D16"/>
    <w:rsid w:val="0059022C"/>
    <w:rsid w:val="00591EA1"/>
    <w:rsid w:val="005A0175"/>
    <w:rsid w:val="005A2B71"/>
    <w:rsid w:val="005A55EC"/>
    <w:rsid w:val="005A74DA"/>
    <w:rsid w:val="005A7CF8"/>
    <w:rsid w:val="005A7FE2"/>
    <w:rsid w:val="005B1EB6"/>
    <w:rsid w:val="005B212B"/>
    <w:rsid w:val="005B5ACB"/>
    <w:rsid w:val="005B7D0C"/>
    <w:rsid w:val="005C0880"/>
    <w:rsid w:val="005C0CCB"/>
    <w:rsid w:val="005C12CB"/>
    <w:rsid w:val="005C1F67"/>
    <w:rsid w:val="005C5DC8"/>
    <w:rsid w:val="005C70A0"/>
    <w:rsid w:val="005C7AE8"/>
    <w:rsid w:val="005D1EEF"/>
    <w:rsid w:val="005D4057"/>
    <w:rsid w:val="005D466B"/>
    <w:rsid w:val="005E3439"/>
    <w:rsid w:val="005E3EC7"/>
    <w:rsid w:val="005E4B13"/>
    <w:rsid w:val="005E4BA5"/>
    <w:rsid w:val="005F0806"/>
    <w:rsid w:val="005F117F"/>
    <w:rsid w:val="005F588C"/>
    <w:rsid w:val="005F73C9"/>
    <w:rsid w:val="00603625"/>
    <w:rsid w:val="006036FF"/>
    <w:rsid w:val="00604BE9"/>
    <w:rsid w:val="00605649"/>
    <w:rsid w:val="006076BD"/>
    <w:rsid w:val="00610BD6"/>
    <w:rsid w:val="00614209"/>
    <w:rsid w:val="00614437"/>
    <w:rsid w:val="00615665"/>
    <w:rsid w:val="00615F0B"/>
    <w:rsid w:val="00617274"/>
    <w:rsid w:val="006238B0"/>
    <w:rsid w:val="00624CA6"/>
    <w:rsid w:val="006312AD"/>
    <w:rsid w:val="00642744"/>
    <w:rsid w:val="00642C76"/>
    <w:rsid w:val="0064504A"/>
    <w:rsid w:val="00645A1B"/>
    <w:rsid w:val="00646A08"/>
    <w:rsid w:val="00650DCC"/>
    <w:rsid w:val="00655CC8"/>
    <w:rsid w:val="006572E5"/>
    <w:rsid w:val="00661290"/>
    <w:rsid w:val="00661ADB"/>
    <w:rsid w:val="006620D2"/>
    <w:rsid w:val="00663FE3"/>
    <w:rsid w:val="00666803"/>
    <w:rsid w:val="00671A27"/>
    <w:rsid w:val="006724F8"/>
    <w:rsid w:val="0067458B"/>
    <w:rsid w:val="00675894"/>
    <w:rsid w:val="00680A09"/>
    <w:rsid w:val="00681854"/>
    <w:rsid w:val="00682E3F"/>
    <w:rsid w:val="00686858"/>
    <w:rsid w:val="00692803"/>
    <w:rsid w:val="00696FB3"/>
    <w:rsid w:val="00697927"/>
    <w:rsid w:val="006A1B84"/>
    <w:rsid w:val="006A300E"/>
    <w:rsid w:val="006A543B"/>
    <w:rsid w:val="006A5A44"/>
    <w:rsid w:val="006A6CB8"/>
    <w:rsid w:val="006B38EC"/>
    <w:rsid w:val="006B537C"/>
    <w:rsid w:val="006B60EF"/>
    <w:rsid w:val="006B6295"/>
    <w:rsid w:val="006B6B95"/>
    <w:rsid w:val="006C170D"/>
    <w:rsid w:val="006C1BA2"/>
    <w:rsid w:val="006C1CFA"/>
    <w:rsid w:val="006C2857"/>
    <w:rsid w:val="006C2B79"/>
    <w:rsid w:val="006C3749"/>
    <w:rsid w:val="006C3AD1"/>
    <w:rsid w:val="006D517E"/>
    <w:rsid w:val="006D7010"/>
    <w:rsid w:val="006E3606"/>
    <w:rsid w:val="006E3B94"/>
    <w:rsid w:val="006E4B5F"/>
    <w:rsid w:val="006E7DD1"/>
    <w:rsid w:val="006F009B"/>
    <w:rsid w:val="006F4C4C"/>
    <w:rsid w:val="006F5BF2"/>
    <w:rsid w:val="007044B2"/>
    <w:rsid w:val="0071078A"/>
    <w:rsid w:val="007108CC"/>
    <w:rsid w:val="0071186D"/>
    <w:rsid w:val="00713852"/>
    <w:rsid w:val="00715C18"/>
    <w:rsid w:val="007228B4"/>
    <w:rsid w:val="00722F80"/>
    <w:rsid w:val="007250BB"/>
    <w:rsid w:val="00725B69"/>
    <w:rsid w:val="00725DF1"/>
    <w:rsid w:val="00732799"/>
    <w:rsid w:val="00735D89"/>
    <w:rsid w:val="007376C2"/>
    <w:rsid w:val="00737A5E"/>
    <w:rsid w:val="00751B0C"/>
    <w:rsid w:val="0075560D"/>
    <w:rsid w:val="0075732B"/>
    <w:rsid w:val="007577A1"/>
    <w:rsid w:val="00760759"/>
    <w:rsid w:val="00760E09"/>
    <w:rsid w:val="00761F71"/>
    <w:rsid w:val="007620A2"/>
    <w:rsid w:val="00762E70"/>
    <w:rsid w:val="007641CA"/>
    <w:rsid w:val="00765A1C"/>
    <w:rsid w:val="00767955"/>
    <w:rsid w:val="00770766"/>
    <w:rsid w:val="00771FAA"/>
    <w:rsid w:val="00773331"/>
    <w:rsid w:val="00773F88"/>
    <w:rsid w:val="00774186"/>
    <w:rsid w:val="0077519C"/>
    <w:rsid w:val="00776548"/>
    <w:rsid w:val="00781477"/>
    <w:rsid w:val="007823C0"/>
    <w:rsid w:val="00782B2B"/>
    <w:rsid w:val="007932EF"/>
    <w:rsid w:val="007935FB"/>
    <w:rsid w:val="00793A52"/>
    <w:rsid w:val="00795280"/>
    <w:rsid w:val="007961BE"/>
    <w:rsid w:val="0079710F"/>
    <w:rsid w:val="007A0C47"/>
    <w:rsid w:val="007A5EA5"/>
    <w:rsid w:val="007B0AD4"/>
    <w:rsid w:val="007B15B2"/>
    <w:rsid w:val="007B1F3D"/>
    <w:rsid w:val="007B3F8B"/>
    <w:rsid w:val="007B53B5"/>
    <w:rsid w:val="007B6987"/>
    <w:rsid w:val="007C20B0"/>
    <w:rsid w:val="007C5996"/>
    <w:rsid w:val="007C61D7"/>
    <w:rsid w:val="007C73AF"/>
    <w:rsid w:val="007D642B"/>
    <w:rsid w:val="007D7F32"/>
    <w:rsid w:val="007E05B0"/>
    <w:rsid w:val="007E39D8"/>
    <w:rsid w:val="007E3AEA"/>
    <w:rsid w:val="007E6E32"/>
    <w:rsid w:val="007F086F"/>
    <w:rsid w:val="007F41B9"/>
    <w:rsid w:val="00801FD7"/>
    <w:rsid w:val="008021BE"/>
    <w:rsid w:val="008023EA"/>
    <w:rsid w:val="008032EC"/>
    <w:rsid w:val="008038DA"/>
    <w:rsid w:val="008043B9"/>
    <w:rsid w:val="00806E32"/>
    <w:rsid w:val="00811D6B"/>
    <w:rsid w:val="00812BFC"/>
    <w:rsid w:val="0081430D"/>
    <w:rsid w:val="00817252"/>
    <w:rsid w:val="00823058"/>
    <w:rsid w:val="00823FB5"/>
    <w:rsid w:val="008261C9"/>
    <w:rsid w:val="00827414"/>
    <w:rsid w:val="00834FA9"/>
    <w:rsid w:val="00835A73"/>
    <w:rsid w:val="008408A1"/>
    <w:rsid w:val="00841152"/>
    <w:rsid w:val="00842AF5"/>
    <w:rsid w:val="00842BFB"/>
    <w:rsid w:val="0084612F"/>
    <w:rsid w:val="008467BB"/>
    <w:rsid w:val="00846EEB"/>
    <w:rsid w:val="0085103D"/>
    <w:rsid w:val="008526F9"/>
    <w:rsid w:val="00853D39"/>
    <w:rsid w:val="0086753B"/>
    <w:rsid w:val="0087383E"/>
    <w:rsid w:val="008743E7"/>
    <w:rsid w:val="00874D22"/>
    <w:rsid w:val="00882A42"/>
    <w:rsid w:val="00885659"/>
    <w:rsid w:val="00887408"/>
    <w:rsid w:val="0089172A"/>
    <w:rsid w:val="00895EFF"/>
    <w:rsid w:val="008968EB"/>
    <w:rsid w:val="008975AB"/>
    <w:rsid w:val="008A03DD"/>
    <w:rsid w:val="008A0C26"/>
    <w:rsid w:val="008A11DB"/>
    <w:rsid w:val="008A281C"/>
    <w:rsid w:val="008A2914"/>
    <w:rsid w:val="008A76F2"/>
    <w:rsid w:val="008A8834"/>
    <w:rsid w:val="008B068D"/>
    <w:rsid w:val="008C0962"/>
    <w:rsid w:val="008C17F6"/>
    <w:rsid w:val="008C36CA"/>
    <w:rsid w:val="008C4784"/>
    <w:rsid w:val="008C501E"/>
    <w:rsid w:val="008C5A95"/>
    <w:rsid w:val="008D1303"/>
    <w:rsid w:val="008D1E81"/>
    <w:rsid w:val="008E0741"/>
    <w:rsid w:val="008E25B1"/>
    <w:rsid w:val="008E4D8E"/>
    <w:rsid w:val="008E59FD"/>
    <w:rsid w:val="008F0897"/>
    <w:rsid w:val="008F1C79"/>
    <w:rsid w:val="008F4E8C"/>
    <w:rsid w:val="008F62FC"/>
    <w:rsid w:val="009057B2"/>
    <w:rsid w:val="0091299A"/>
    <w:rsid w:val="009132E4"/>
    <w:rsid w:val="009167D7"/>
    <w:rsid w:val="00923D15"/>
    <w:rsid w:val="009279E9"/>
    <w:rsid w:val="00934A35"/>
    <w:rsid w:val="0093671E"/>
    <w:rsid w:val="00942FB5"/>
    <w:rsid w:val="009440BA"/>
    <w:rsid w:val="00944DEF"/>
    <w:rsid w:val="0094639B"/>
    <w:rsid w:val="00946B4D"/>
    <w:rsid w:val="00946DB8"/>
    <w:rsid w:val="009502CD"/>
    <w:rsid w:val="009531D2"/>
    <w:rsid w:val="00956ADC"/>
    <w:rsid w:val="00961B7C"/>
    <w:rsid w:val="00961D90"/>
    <w:rsid w:val="00963305"/>
    <w:rsid w:val="0096592C"/>
    <w:rsid w:val="009713B0"/>
    <w:rsid w:val="00972335"/>
    <w:rsid w:val="00974CBD"/>
    <w:rsid w:val="00974D2D"/>
    <w:rsid w:val="009778F6"/>
    <w:rsid w:val="00980CF9"/>
    <w:rsid w:val="00981B44"/>
    <w:rsid w:val="00983E61"/>
    <w:rsid w:val="0099035E"/>
    <w:rsid w:val="0099219A"/>
    <w:rsid w:val="00992371"/>
    <w:rsid w:val="009954F3"/>
    <w:rsid w:val="0099644B"/>
    <w:rsid w:val="0099703C"/>
    <w:rsid w:val="009A5A21"/>
    <w:rsid w:val="009A6AC4"/>
    <w:rsid w:val="009A6D94"/>
    <w:rsid w:val="009A7C9D"/>
    <w:rsid w:val="009B1A24"/>
    <w:rsid w:val="009B41C1"/>
    <w:rsid w:val="009B4F1C"/>
    <w:rsid w:val="009B768A"/>
    <w:rsid w:val="009C1346"/>
    <w:rsid w:val="009C1E7F"/>
    <w:rsid w:val="009C4C1C"/>
    <w:rsid w:val="009C4DAF"/>
    <w:rsid w:val="009C59B0"/>
    <w:rsid w:val="009C74F2"/>
    <w:rsid w:val="009D05E4"/>
    <w:rsid w:val="009D1188"/>
    <w:rsid w:val="009D6BF8"/>
    <w:rsid w:val="009E03B1"/>
    <w:rsid w:val="009E42C4"/>
    <w:rsid w:val="009E56D9"/>
    <w:rsid w:val="009E70AC"/>
    <w:rsid w:val="009E7EA9"/>
    <w:rsid w:val="009F1C35"/>
    <w:rsid w:val="009F59AE"/>
    <w:rsid w:val="009F63FB"/>
    <w:rsid w:val="009F7D17"/>
    <w:rsid w:val="00A023D9"/>
    <w:rsid w:val="00A02A32"/>
    <w:rsid w:val="00A040D0"/>
    <w:rsid w:val="00A123A7"/>
    <w:rsid w:val="00A12E3B"/>
    <w:rsid w:val="00A13E77"/>
    <w:rsid w:val="00A22C97"/>
    <w:rsid w:val="00A24754"/>
    <w:rsid w:val="00A24BBC"/>
    <w:rsid w:val="00A26202"/>
    <w:rsid w:val="00A277A1"/>
    <w:rsid w:val="00A30C79"/>
    <w:rsid w:val="00A3342A"/>
    <w:rsid w:val="00A33985"/>
    <w:rsid w:val="00A37685"/>
    <w:rsid w:val="00A41144"/>
    <w:rsid w:val="00A42CE2"/>
    <w:rsid w:val="00A44B24"/>
    <w:rsid w:val="00A5067E"/>
    <w:rsid w:val="00A53AE9"/>
    <w:rsid w:val="00A5570B"/>
    <w:rsid w:val="00A55775"/>
    <w:rsid w:val="00A57D54"/>
    <w:rsid w:val="00A65869"/>
    <w:rsid w:val="00A661F1"/>
    <w:rsid w:val="00A66BC6"/>
    <w:rsid w:val="00A732F4"/>
    <w:rsid w:val="00A76861"/>
    <w:rsid w:val="00A879AC"/>
    <w:rsid w:val="00A87B3B"/>
    <w:rsid w:val="00A9069F"/>
    <w:rsid w:val="00A9674D"/>
    <w:rsid w:val="00AA03C4"/>
    <w:rsid w:val="00AA047A"/>
    <w:rsid w:val="00AA3BEF"/>
    <w:rsid w:val="00AA505D"/>
    <w:rsid w:val="00AA6710"/>
    <w:rsid w:val="00AA6AFF"/>
    <w:rsid w:val="00AB237C"/>
    <w:rsid w:val="00AC38A5"/>
    <w:rsid w:val="00AC3A04"/>
    <w:rsid w:val="00AC5C3B"/>
    <w:rsid w:val="00AD5508"/>
    <w:rsid w:val="00AD5571"/>
    <w:rsid w:val="00AE144F"/>
    <w:rsid w:val="00AE6CD0"/>
    <w:rsid w:val="00AF15AD"/>
    <w:rsid w:val="00AF5B6E"/>
    <w:rsid w:val="00AF5E41"/>
    <w:rsid w:val="00AF75EC"/>
    <w:rsid w:val="00B02DF0"/>
    <w:rsid w:val="00B07431"/>
    <w:rsid w:val="00B0753D"/>
    <w:rsid w:val="00B125D3"/>
    <w:rsid w:val="00B152FC"/>
    <w:rsid w:val="00B22C61"/>
    <w:rsid w:val="00B30762"/>
    <w:rsid w:val="00B31FCE"/>
    <w:rsid w:val="00B32CF1"/>
    <w:rsid w:val="00B41BF5"/>
    <w:rsid w:val="00B41DE0"/>
    <w:rsid w:val="00B43FA0"/>
    <w:rsid w:val="00B47901"/>
    <w:rsid w:val="00B51B76"/>
    <w:rsid w:val="00B55FEF"/>
    <w:rsid w:val="00B5678A"/>
    <w:rsid w:val="00B61EA2"/>
    <w:rsid w:val="00B66E05"/>
    <w:rsid w:val="00B71F54"/>
    <w:rsid w:val="00B81433"/>
    <w:rsid w:val="00B83298"/>
    <w:rsid w:val="00B909A0"/>
    <w:rsid w:val="00B92DB2"/>
    <w:rsid w:val="00B96A0D"/>
    <w:rsid w:val="00B97935"/>
    <w:rsid w:val="00BA1AE1"/>
    <w:rsid w:val="00BA2D9E"/>
    <w:rsid w:val="00BA30D2"/>
    <w:rsid w:val="00BA71BA"/>
    <w:rsid w:val="00BB2F20"/>
    <w:rsid w:val="00BB47AD"/>
    <w:rsid w:val="00BC020F"/>
    <w:rsid w:val="00BC1EC6"/>
    <w:rsid w:val="00BC26E5"/>
    <w:rsid w:val="00BC2E47"/>
    <w:rsid w:val="00BC3ACB"/>
    <w:rsid w:val="00BC65F2"/>
    <w:rsid w:val="00BD058B"/>
    <w:rsid w:val="00BD1753"/>
    <w:rsid w:val="00BD1917"/>
    <w:rsid w:val="00BD3E38"/>
    <w:rsid w:val="00BD5EF7"/>
    <w:rsid w:val="00BD683C"/>
    <w:rsid w:val="00BE0F56"/>
    <w:rsid w:val="00BE72C5"/>
    <w:rsid w:val="00BF1093"/>
    <w:rsid w:val="00BF3FC7"/>
    <w:rsid w:val="00BF4B5F"/>
    <w:rsid w:val="00C0675D"/>
    <w:rsid w:val="00C1064F"/>
    <w:rsid w:val="00C12301"/>
    <w:rsid w:val="00C126F5"/>
    <w:rsid w:val="00C151E9"/>
    <w:rsid w:val="00C163B6"/>
    <w:rsid w:val="00C17BB3"/>
    <w:rsid w:val="00C22CAC"/>
    <w:rsid w:val="00C26211"/>
    <w:rsid w:val="00C311F7"/>
    <w:rsid w:val="00C345CB"/>
    <w:rsid w:val="00C34E70"/>
    <w:rsid w:val="00C410AA"/>
    <w:rsid w:val="00C439E6"/>
    <w:rsid w:val="00C45B63"/>
    <w:rsid w:val="00C46578"/>
    <w:rsid w:val="00C4764D"/>
    <w:rsid w:val="00C47A67"/>
    <w:rsid w:val="00C519C5"/>
    <w:rsid w:val="00C53D65"/>
    <w:rsid w:val="00C540CC"/>
    <w:rsid w:val="00C5689D"/>
    <w:rsid w:val="00C57269"/>
    <w:rsid w:val="00C61C0D"/>
    <w:rsid w:val="00C62601"/>
    <w:rsid w:val="00C67E0E"/>
    <w:rsid w:val="00C75324"/>
    <w:rsid w:val="00C75533"/>
    <w:rsid w:val="00C81CEA"/>
    <w:rsid w:val="00C90133"/>
    <w:rsid w:val="00C910E9"/>
    <w:rsid w:val="00C91CA3"/>
    <w:rsid w:val="00C925B9"/>
    <w:rsid w:val="00C9389B"/>
    <w:rsid w:val="00C96824"/>
    <w:rsid w:val="00CA23B6"/>
    <w:rsid w:val="00CA3A70"/>
    <w:rsid w:val="00CA6FCB"/>
    <w:rsid w:val="00CA70CA"/>
    <w:rsid w:val="00CA72CC"/>
    <w:rsid w:val="00CA7F21"/>
    <w:rsid w:val="00CB0503"/>
    <w:rsid w:val="00CB077F"/>
    <w:rsid w:val="00CB6966"/>
    <w:rsid w:val="00CC3487"/>
    <w:rsid w:val="00CC35BB"/>
    <w:rsid w:val="00CC4642"/>
    <w:rsid w:val="00CC4B76"/>
    <w:rsid w:val="00CC4EFB"/>
    <w:rsid w:val="00CC66B2"/>
    <w:rsid w:val="00CC70B3"/>
    <w:rsid w:val="00CD07DB"/>
    <w:rsid w:val="00CD3924"/>
    <w:rsid w:val="00CD5F82"/>
    <w:rsid w:val="00CD6914"/>
    <w:rsid w:val="00CE4027"/>
    <w:rsid w:val="00CE4774"/>
    <w:rsid w:val="00CE5512"/>
    <w:rsid w:val="00CE65B6"/>
    <w:rsid w:val="00CE7B03"/>
    <w:rsid w:val="00CE7CEB"/>
    <w:rsid w:val="00CF0094"/>
    <w:rsid w:val="00CF0CEF"/>
    <w:rsid w:val="00CF30C6"/>
    <w:rsid w:val="00D04BCF"/>
    <w:rsid w:val="00D06951"/>
    <w:rsid w:val="00D1190D"/>
    <w:rsid w:val="00D12C66"/>
    <w:rsid w:val="00D12DF9"/>
    <w:rsid w:val="00D1353F"/>
    <w:rsid w:val="00D13630"/>
    <w:rsid w:val="00D16F90"/>
    <w:rsid w:val="00D20381"/>
    <w:rsid w:val="00D20A4A"/>
    <w:rsid w:val="00D21964"/>
    <w:rsid w:val="00D24DE7"/>
    <w:rsid w:val="00D24EE5"/>
    <w:rsid w:val="00D25580"/>
    <w:rsid w:val="00D35E1B"/>
    <w:rsid w:val="00D401C1"/>
    <w:rsid w:val="00D44BA4"/>
    <w:rsid w:val="00D457DA"/>
    <w:rsid w:val="00D47CB6"/>
    <w:rsid w:val="00D50046"/>
    <w:rsid w:val="00D54C20"/>
    <w:rsid w:val="00D560F8"/>
    <w:rsid w:val="00D60DC0"/>
    <w:rsid w:val="00D64C65"/>
    <w:rsid w:val="00D67C64"/>
    <w:rsid w:val="00D706D6"/>
    <w:rsid w:val="00D73D32"/>
    <w:rsid w:val="00D752E6"/>
    <w:rsid w:val="00D80A8C"/>
    <w:rsid w:val="00D81FCF"/>
    <w:rsid w:val="00D83F85"/>
    <w:rsid w:val="00D840B1"/>
    <w:rsid w:val="00D86052"/>
    <w:rsid w:val="00D94301"/>
    <w:rsid w:val="00D97D80"/>
    <w:rsid w:val="00DA04EB"/>
    <w:rsid w:val="00DA37E9"/>
    <w:rsid w:val="00DB334B"/>
    <w:rsid w:val="00DB47D6"/>
    <w:rsid w:val="00DC1530"/>
    <w:rsid w:val="00DC3342"/>
    <w:rsid w:val="00DC5E73"/>
    <w:rsid w:val="00DC669B"/>
    <w:rsid w:val="00DC6CDA"/>
    <w:rsid w:val="00DD0F30"/>
    <w:rsid w:val="00DD3285"/>
    <w:rsid w:val="00DD38B3"/>
    <w:rsid w:val="00DD576A"/>
    <w:rsid w:val="00DE0C67"/>
    <w:rsid w:val="00DE234F"/>
    <w:rsid w:val="00DF1253"/>
    <w:rsid w:val="00DF2AC0"/>
    <w:rsid w:val="00DF330B"/>
    <w:rsid w:val="00DF43CB"/>
    <w:rsid w:val="00DF5899"/>
    <w:rsid w:val="00E077A3"/>
    <w:rsid w:val="00E128CE"/>
    <w:rsid w:val="00E142F3"/>
    <w:rsid w:val="00E146C0"/>
    <w:rsid w:val="00E16F73"/>
    <w:rsid w:val="00E1786F"/>
    <w:rsid w:val="00E207EA"/>
    <w:rsid w:val="00E24327"/>
    <w:rsid w:val="00E24495"/>
    <w:rsid w:val="00E25CFC"/>
    <w:rsid w:val="00E26F3D"/>
    <w:rsid w:val="00E31165"/>
    <w:rsid w:val="00E33C29"/>
    <w:rsid w:val="00E43710"/>
    <w:rsid w:val="00E46916"/>
    <w:rsid w:val="00E5057A"/>
    <w:rsid w:val="00E51181"/>
    <w:rsid w:val="00E52627"/>
    <w:rsid w:val="00E56F50"/>
    <w:rsid w:val="00E70122"/>
    <w:rsid w:val="00E7164D"/>
    <w:rsid w:val="00E7244B"/>
    <w:rsid w:val="00E7285C"/>
    <w:rsid w:val="00E72BB3"/>
    <w:rsid w:val="00E77AB3"/>
    <w:rsid w:val="00E841D1"/>
    <w:rsid w:val="00E8504B"/>
    <w:rsid w:val="00E878F0"/>
    <w:rsid w:val="00E90896"/>
    <w:rsid w:val="00E90F10"/>
    <w:rsid w:val="00E9488E"/>
    <w:rsid w:val="00E9684D"/>
    <w:rsid w:val="00EA27A3"/>
    <w:rsid w:val="00EA7F96"/>
    <w:rsid w:val="00EB2462"/>
    <w:rsid w:val="00EB522F"/>
    <w:rsid w:val="00EC2880"/>
    <w:rsid w:val="00EC688F"/>
    <w:rsid w:val="00ED215C"/>
    <w:rsid w:val="00ED3949"/>
    <w:rsid w:val="00EE201D"/>
    <w:rsid w:val="00EE4E86"/>
    <w:rsid w:val="00EE63BF"/>
    <w:rsid w:val="00EE6C6C"/>
    <w:rsid w:val="00EF0A23"/>
    <w:rsid w:val="00EF0E5B"/>
    <w:rsid w:val="00EF16C8"/>
    <w:rsid w:val="00EF49AF"/>
    <w:rsid w:val="00F036B6"/>
    <w:rsid w:val="00F04063"/>
    <w:rsid w:val="00F13DB4"/>
    <w:rsid w:val="00F15B65"/>
    <w:rsid w:val="00F22067"/>
    <w:rsid w:val="00F22ACE"/>
    <w:rsid w:val="00F23686"/>
    <w:rsid w:val="00F26A2F"/>
    <w:rsid w:val="00F26DB4"/>
    <w:rsid w:val="00F32036"/>
    <w:rsid w:val="00F358C1"/>
    <w:rsid w:val="00F36B9C"/>
    <w:rsid w:val="00F36C0C"/>
    <w:rsid w:val="00F36D64"/>
    <w:rsid w:val="00F405DC"/>
    <w:rsid w:val="00F41388"/>
    <w:rsid w:val="00F4317A"/>
    <w:rsid w:val="00F539F1"/>
    <w:rsid w:val="00F5426C"/>
    <w:rsid w:val="00F544D4"/>
    <w:rsid w:val="00F56F55"/>
    <w:rsid w:val="00F6405C"/>
    <w:rsid w:val="00F72A5B"/>
    <w:rsid w:val="00F76E7E"/>
    <w:rsid w:val="00F775A4"/>
    <w:rsid w:val="00F8527D"/>
    <w:rsid w:val="00F87CCD"/>
    <w:rsid w:val="00F87F78"/>
    <w:rsid w:val="00F93C86"/>
    <w:rsid w:val="00F96A7A"/>
    <w:rsid w:val="00F97A72"/>
    <w:rsid w:val="00FA593A"/>
    <w:rsid w:val="00FB4DC9"/>
    <w:rsid w:val="00FC38F8"/>
    <w:rsid w:val="00FC442D"/>
    <w:rsid w:val="00FC6A74"/>
    <w:rsid w:val="00FD5F7A"/>
    <w:rsid w:val="00FD6F0C"/>
    <w:rsid w:val="00FD6FB6"/>
    <w:rsid w:val="00FF0D82"/>
    <w:rsid w:val="00FF1217"/>
    <w:rsid w:val="00FF278A"/>
    <w:rsid w:val="00FF376D"/>
    <w:rsid w:val="00FF3F75"/>
    <w:rsid w:val="00FF6582"/>
    <w:rsid w:val="00FF72A3"/>
    <w:rsid w:val="00FF762D"/>
    <w:rsid w:val="00FF7AA4"/>
    <w:rsid w:val="0156317F"/>
    <w:rsid w:val="01FA625F"/>
    <w:rsid w:val="0230C137"/>
    <w:rsid w:val="025AE411"/>
    <w:rsid w:val="027FD9E8"/>
    <w:rsid w:val="0287F30F"/>
    <w:rsid w:val="02A8C358"/>
    <w:rsid w:val="02D483BB"/>
    <w:rsid w:val="02FE1081"/>
    <w:rsid w:val="0367A924"/>
    <w:rsid w:val="053BCC9A"/>
    <w:rsid w:val="05EB3F42"/>
    <w:rsid w:val="0654D906"/>
    <w:rsid w:val="06C6326F"/>
    <w:rsid w:val="07079F01"/>
    <w:rsid w:val="072A84EA"/>
    <w:rsid w:val="076005C5"/>
    <w:rsid w:val="077E4BEF"/>
    <w:rsid w:val="0797A44D"/>
    <w:rsid w:val="07AF41EF"/>
    <w:rsid w:val="08466FE9"/>
    <w:rsid w:val="098683AE"/>
    <w:rsid w:val="099A1254"/>
    <w:rsid w:val="0A3C74BC"/>
    <w:rsid w:val="0B678F34"/>
    <w:rsid w:val="0B840B95"/>
    <w:rsid w:val="0BA4713D"/>
    <w:rsid w:val="0BA9062A"/>
    <w:rsid w:val="0BAE3245"/>
    <w:rsid w:val="0BB7563F"/>
    <w:rsid w:val="0BD3DE32"/>
    <w:rsid w:val="0D1FDBF6"/>
    <w:rsid w:val="0D44AF17"/>
    <w:rsid w:val="0E84ABD8"/>
    <w:rsid w:val="0EE07F78"/>
    <w:rsid w:val="0F8BB8E4"/>
    <w:rsid w:val="0FE5E02E"/>
    <w:rsid w:val="105444BD"/>
    <w:rsid w:val="105F003C"/>
    <w:rsid w:val="10C4E71D"/>
    <w:rsid w:val="1163FC31"/>
    <w:rsid w:val="11EA35A3"/>
    <w:rsid w:val="125A5CD1"/>
    <w:rsid w:val="12E91EBB"/>
    <w:rsid w:val="133E6A8D"/>
    <w:rsid w:val="13DDC199"/>
    <w:rsid w:val="14C5E926"/>
    <w:rsid w:val="154A1B48"/>
    <w:rsid w:val="1555B722"/>
    <w:rsid w:val="1579A160"/>
    <w:rsid w:val="157B5C9F"/>
    <w:rsid w:val="15AF2537"/>
    <w:rsid w:val="15EBD993"/>
    <w:rsid w:val="16047BF8"/>
    <w:rsid w:val="16098268"/>
    <w:rsid w:val="16F51159"/>
    <w:rsid w:val="17ACD42C"/>
    <w:rsid w:val="1824E167"/>
    <w:rsid w:val="182AEA89"/>
    <w:rsid w:val="19200BDF"/>
    <w:rsid w:val="19415009"/>
    <w:rsid w:val="1967D694"/>
    <w:rsid w:val="19C6BAEA"/>
    <w:rsid w:val="19D1BFEE"/>
    <w:rsid w:val="1A3F783D"/>
    <w:rsid w:val="1A91D679"/>
    <w:rsid w:val="1B628B4B"/>
    <w:rsid w:val="1B789781"/>
    <w:rsid w:val="1BA7B7CD"/>
    <w:rsid w:val="1BFFB6C0"/>
    <w:rsid w:val="1C6884C5"/>
    <w:rsid w:val="1DA7EDFC"/>
    <w:rsid w:val="1DFDADDC"/>
    <w:rsid w:val="1E4ED305"/>
    <w:rsid w:val="1E8100AA"/>
    <w:rsid w:val="1E912953"/>
    <w:rsid w:val="1EA6F779"/>
    <w:rsid w:val="1F7B9673"/>
    <w:rsid w:val="1FCDFAB7"/>
    <w:rsid w:val="203C758E"/>
    <w:rsid w:val="20A1FC92"/>
    <w:rsid w:val="2122A78A"/>
    <w:rsid w:val="2138159B"/>
    <w:rsid w:val="21624334"/>
    <w:rsid w:val="22BD566E"/>
    <w:rsid w:val="23368D29"/>
    <w:rsid w:val="234A96D5"/>
    <w:rsid w:val="237E9681"/>
    <w:rsid w:val="2437E39F"/>
    <w:rsid w:val="25557ADD"/>
    <w:rsid w:val="261E3AD3"/>
    <w:rsid w:val="273C41D8"/>
    <w:rsid w:val="27573124"/>
    <w:rsid w:val="2779C26C"/>
    <w:rsid w:val="278CD6C5"/>
    <w:rsid w:val="279D3223"/>
    <w:rsid w:val="28441967"/>
    <w:rsid w:val="29043BA6"/>
    <w:rsid w:val="2962824E"/>
    <w:rsid w:val="29AE8D62"/>
    <w:rsid w:val="2AB9140D"/>
    <w:rsid w:val="2ACE3DE2"/>
    <w:rsid w:val="2CF1148B"/>
    <w:rsid w:val="2D21DD94"/>
    <w:rsid w:val="2D9EF51C"/>
    <w:rsid w:val="2E19D332"/>
    <w:rsid w:val="2E31650E"/>
    <w:rsid w:val="2E55E07C"/>
    <w:rsid w:val="2E9D0C99"/>
    <w:rsid w:val="2EBED618"/>
    <w:rsid w:val="2EE43753"/>
    <w:rsid w:val="2F25F439"/>
    <w:rsid w:val="2F7266C3"/>
    <w:rsid w:val="2FC7A8B3"/>
    <w:rsid w:val="3148BF56"/>
    <w:rsid w:val="31BBADB0"/>
    <w:rsid w:val="321EA209"/>
    <w:rsid w:val="329C5691"/>
    <w:rsid w:val="32B0EF1C"/>
    <w:rsid w:val="32E513F8"/>
    <w:rsid w:val="33BA8065"/>
    <w:rsid w:val="33F7AEA4"/>
    <w:rsid w:val="341C3715"/>
    <w:rsid w:val="342EA065"/>
    <w:rsid w:val="3454C190"/>
    <w:rsid w:val="34A1AA68"/>
    <w:rsid w:val="352D80FA"/>
    <w:rsid w:val="356CFF6D"/>
    <w:rsid w:val="35B61ABE"/>
    <w:rsid w:val="363A5731"/>
    <w:rsid w:val="36981244"/>
    <w:rsid w:val="37B75698"/>
    <w:rsid w:val="37E7BEAD"/>
    <w:rsid w:val="387A1462"/>
    <w:rsid w:val="394AB687"/>
    <w:rsid w:val="398D7BE1"/>
    <w:rsid w:val="3998DF72"/>
    <w:rsid w:val="39C597D5"/>
    <w:rsid w:val="3A26EDE2"/>
    <w:rsid w:val="3A4B8449"/>
    <w:rsid w:val="3A5995A4"/>
    <w:rsid w:val="3A939419"/>
    <w:rsid w:val="3AF06B84"/>
    <w:rsid w:val="3B81524C"/>
    <w:rsid w:val="3B9F419F"/>
    <w:rsid w:val="3C467F0D"/>
    <w:rsid w:val="3CA8FF0F"/>
    <w:rsid w:val="3DEB32DE"/>
    <w:rsid w:val="3EBE7766"/>
    <w:rsid w:val="3F2E3844"/>
    <w:rsid w:val="3F2F6D65"/>
    <w:rsid w:val="3F3E8D7A"/>
    <w:rsid w:val="3FBF0071"/>
    <w:rsid w:val="3FC2241A"/>
    <w:rsid w:val="408032C3"/>
    <w:rsid w:val="4173C1DE"/>
    <w:rsid w:val="418AE24D"/>
    <w:rsid w:val="41C464F9"/>
    <w:rsid w:val="4206B100"/>
    <w:rsid w:val="423CF25D"/>
    <w:rsid w:val="42556664"/>
    <w:rsid w:val="42828E2D"/>
    <w:rsid w:val="428A8342"/>
    <w:rsid w:val="42F9CBFC"/>
    <w:rsid w:val="43184093"/>
    <w:rsid w:val="434AB1FF"/>
    <w:rsid w:val="43C96347"/>
    <w:rsid w:val="450A09B4"/>
    <w:rsid w:val="45F71DC1"/>
    <w:rsid w:val="4604E63F"/>
    <w:rsid w:val="465AB061"/>
    <w:rsid w:val="47CF515E"/>
    <w:rsid w:val="48D57D01"/>
    <w:rsid w:val="4931AC5E"/>
    <w:rsid w:val="496EE6D3"/>
    <w:rsid w:val="496F3FD6"/>
    <w:rsid w:val="49F927F6"/>
    <w:rsid w:val="4A104985"/>
    <w:rsid w:val="4A418E70"/>
    <w:rsid w:val="4B8E9EC4"/>
    <w:rsid w:val="4BCC6169"/>
    <w:rsid w:val="4C0E6717"/>
    <w:rsid w:val="4C4D36E8"/>
    <w:rsid w:val="4C9B2E2E"/>
    <w:rsid w:val="4D620643"/>
    <w:rsid w:val="4DE90749"/>
    <w:rsid w:val="4E13BC15"/>
    <w:rsid w:val="4F141872"/>
    <w:rsid w:val="4F27B9D3"/>
    <w:rsid w:val="4F6F1062"/>
    <w:rsid w:val="4F84D7AA"/>
    <w:rsid w:val="4FE94602"/>
    <w:rsid w:val="4FEA16F0"/>
    <w:rsid w:val="5069167E"/>
    <w:rsid w:val="50B43F74"/>
    <w:rsid w:val="50B5F9F8"/>
    <w:rsid w:val="50E1D83A"/>
    <w:rsid w:val="5100DE0E"/>
    <w:rsid w:val="5176D4C6"/>
    <w:rsid w:val="51C2DEA5"/>
    <w:rsid w:val="51CCAFC7"/>
    <w:rsid w:val="51D3C20E"/>
    <w:rsid w:val="5203B68B"/>
    <w:rsid w:val="522D08C3"/>
    <w:rsid w:val="522ECE28"/>
    <w:rsid w:val="527DA89B"/>
    <w:rsid w:val="52BC786C"/>
    <w:rsid w:val="52E26046"/>
    <w:rsid w:val="532FEC08"/>
    <w:rsid w:val="53721056"/>
    <w:rsid w:val="53D4A52E"/>
    <w:rsid w:val="5450AB0E"/>
    <w:rsid w:val="5461967C"/>
    <w:rsid w:val="54D9EE84"/>
    <w:rsid w:val="54DD5D7B"/>
    <w:rsid w:val="5500EBD1"/>
    <w:rsid w:val="551BA6DA"/>
    <w:rsid w:val="55496A66"/>
    <w:rsid w:val="5558FE6A"/>
    <w:rsid w:val="5588900B"/>
    <w:rsid w:val="55A2D18D"/>
    <w:rsid w:val="561710A3"/>
    <w:rsid w:val="562CF43D"/>
    <w:rsid w:val="563F5A5C"/>
    <w:rsid w:val="5663A825"/>
    <w:rsid w:val="56E45D42"/>
    <w:rsid w:val="56E804A0"/>
    <w:rsid w:val="5742BB23"/>
    <w:rsid w:val="574C410B"/>
    <w:rsid w:val="577A71E3"/>
    <w:rsid w:val="57CBB553"/>
    <w:rsid w:val="58548B38"/>
    <w:rsid w:val="58568A20"/>
    <w:rsid w:val="58D5DE1C"/>
    <w:rsid w:val="58DC17E3"/>
    <w:rsid w:val="58DC7016"/>
    <w:rsid w:val="59091254"/>
    <w:rsid w:val="5A061300"/>
    <w:rsid w:val="5A3CB86B"/>
    <w:rsid w:val="5A5A9BA3"/>
    <w:rsid w:val="5A61D3C4"/>
    <w:rsid w:val="5B04532F"/>
    <w:rsid w:val="5B39D4B4"/>
    <w:rsid w:val="5C5A3257"/>
    <w:rsid w:val="5CBEAEF7"/>
    <w:rsid w:val="5D5B766B"/>
    <w:rsid w:val="5D6D628C"/>
    <w:rsid w:val="5DC93537"/>
    <w:rsid w:val="5E0AD8E5"/>
    <w:rsid w:val="5E917943"/>
    <w:rsid w:val="5F115C16"/>
    <w:rsid w:val="6100F591"/>
    <w:rsid w:val="617D7DC0"/>
    <w:rsid w:val="61E9AC22"/>
    <w:rsid w:val="6235E99A"/>
    <w:rsid w:val="63878F58"/>
    <w:rsid w:val="63985DC5"/>
    <w:rsid w:val="63DA99F0"/>
    <w:rsid w:val="6418C8E9"/>
    <w:rsid w:val="64458E45"/>
    <w:rsid w:val="65E28D96"/>
    <w:rsid w:val="66BB9BD6"/>
    <w:rsid w:val="66D0C0E3"/>
    <w:rsid w:val="66ECF994"/>
    <w:rsid w:val="6748003B"/>
    <w:rsid w:val="676113D4"/>
    <w:rsid w:val="680F41F5"/>
    <w:rsid w:val="68A1BFF7"/>
    <w:rsid w:val="68C25BE4"/>
    <w:rsid w:val="6955C965"/>
    <w:rsid w:val="69699643"/>
    <w:rsid w:val="69FF462A"/>
    <w:rsid w:val="6A24FD61"/>
    <w:rsid w:val="6A454237"/>
    <w:rsid w:val="6A5D8ABC"/>
    <w:rsid w:val="6BF31F86"/>
    <w:rsid w:val="6C07F6DB"/>
    <w:rsid w:val="6C322228"/>
    <w:rsid w:val="6D8F802F"/>
    <w:rsid w:val="6DBEF837"/>
    <w:rsid w:val="6E13F23C"/>
    <w:rsid w:val="6E5329FF"/>
    <w:rsid w:val="6E775A88"/>
    <w:rsid w:val="6EF3B637"/>
    <w:rsid w:val="6F358A41"/>
    <w:rsid w:val="6F5B1F17"/>
    <w:rsid w:val="6F69C2EA"/>
    <w:rsid w:val="6F6A9BB1"/>
    <w:rsid w:val="6F88E2A3"/>
    <w:rsid w:val="6F89BB02"/>
    <w:rsid w:val="701FACD0"/>
    <w:rsid w:val="7037E224"/>
    <w:rsid w:val="704B798D"/>
    <w:rsid w:val="705CE5A4"/>
    <w:rsid w:val="716FC721"/>
    <w:rsid w:val="71749717"/>
    <w:rsid w:val="71E8BA64"/>
    <w:rsid w:val="72930A15"/>
    <w:rsid w:val="72A1ABF3"/>
    <w:rsid w:val="72BD2DB9"/>
    <w:rsid w:val="72C86813"/>
    <w:rsid w:val="72E4C578"/>
    <w:rsid w:val="73265E15"/>
    <w:rsid w:val="73C1D4F6"/>
    <w:rsid w:val="73F79D10"/>
    <w:rsid w:val="743D927F"/>
    <w:rsid w:val="7458F3EE"/>
    <w:rsid w:val="756CCDE5"/>
    <w:rsid w:val="75868A9C"/>
    <w:rsid w:val="77607CBE"/>
    <w:rsid w:val="777AF4BD"/>
    <w:rsid w:val="77959207"/>
    <w:rsid w:val="7798DC98"/>
    <w:rsid w:val="77C87795"/>
    <w:rsid w:val="78EAAD90"/>
    <w:rsid w:val="7A41E41C"/>
    <w:rsid w:val="7B515101"/>
    <w:rsid w:val="7BB53CDE"/>
    <w:rsid w:val="7C405811"/>
    <w:rsid w:val="7CF51288"/>
    <w:rsid w:val="7D25358D"/>
    <w:rsid w:val="7E1F2FFE"/>
    <w:rsid w:val="7E647CDF"/>
    <w:rsid w:val="7EAA8C93"/>
    <w:rsid w:val="7F60A0B4"/>
    <w:rsid w:val="7F6C038F"/>
    <w:rsid w:val="7F96C3B8"/>
    <w:rsid w:val="7FC9BEA2"/>
    <w:rsid w:val="7FD75C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5FD4DF48-4205-458B-A6CB-B84378E8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CE0"/>
    <w:pPr>
      <w:spacing w:before="0" w:after="160" w:line="259" w:lineRule="auto"/>
      <w:ind w:left="720"/>
      <w:contextualSpacing/>
      <w:jc w:val="left"/>
    </w:pPr>
    <w:rPr>
      <w:rFonts w:asciiTheme="minorHAnsi" w:hAnsiTheme="minorHAnsi" w:cstheme="minorBidi"/>
      <w:sz w:val="22"/>
      <w:lang w:val="fr-BE"/>
    </w:rPr>
  </w:style>
  <w:style w:type="paragraph" w:customStyle="1" w:styleId="Normal1">
    <w:name w:val="Normal1"/>
    <w:basedOn w:val="Normal"/>
    <w:rsid w:val="00527CE0"/>
    <w:pPr>
      <w:spacing w:before="100" w:beforeAutospacing="1" w:after="100" w:afterAutospacing="1"/>
      <w:jc w:val="left"/>
    </w:pPr>
    <w:rPr>
      <w:rFonts w:eastAsia="Times New Roman"/>
      <w:szCs w:val="24"/>
      <w:lang w:val="en-IE" w:eastAsia="en-IE"/>
    </w:rPr>
  </w:style>
  <w:style w:type="paragraph" w:customStyle="1" w:styleId="ti-art">
    <w:name w:val="ti-art"/>
    <w:basedOn w:val="Normal"/>
    <w:rsid w:val="00527CE0"/>
    <w:pPr>
      <w:spacing w:before="100" w:beforeAutospacing="1" w:after="100" w:afterAutospacing="1"/>
      <w:jc w:val="left"/>
    </w:pPr>
    <w:rPr>
      <w:rFonts w:eastAsia="Times New Roman"/>
      <w:szCs w:val="24"/>
      <w:lang w:val="en-IE" w:eastAsia="en-IE"/>
    </w:rPr>
  </w:style>
  <w:style w:type="paragraph" w:customStyle="1" w:styleId="sti-art">
    <w:name w:val="sti-art"/>
    <w:basedOn w:val="Normal"/>
    <w:rsid w:val="00527CE0"/>
    <w:pPr>
      <w:spacing w:before="100" w:beforeAutospacing="1" w:after="100" w:afterAutospacing="1"/>
      <w:jc w:val="left"/>
    </w:pPr>
    <w:rPr>
      <w:rFonts w:eastAsia="Times New Roman"/>
      <w:szCs w:val="24"/>
      <w:lang w:val="en-IE" w:eastAsia="en-IE"/>
    </w:rPr>
  </w:style>
  <w:style w:type="character" w:styleId="CommentReference">
    <w:name w:val="annotation reference"/>
    <w:basedOn w:val="DefaultParagraphFont"/>
    <w:uiPriority w:val="99"/>
    <w:semiHidden/>
    <w:unhideWhenUsed/>
    <w:rsid w:val="00527CE0"/>
    <w:rPr>
      <w:sz w:val="16"/>
      <w:szCs w:val="16"/>
    </w:rPr>
  </w:style>
  <w:style w:type="paragraph" w:customStyle="1" w:styleId="Normal3">
    <w:name w:val="Normal3"/>
    <w:basedOn w:val="Normal"/>
    <w:rsid w:val="005A55EC"/>
    <w:pPr>
      <w:spacing w:before="100" w:beforeAutospacing="1" w:after="100" w:afterAutospacing="1"/>
      <w:jc w:val="left"/>
    </w:pPr>
    <w:rPr>
      <w:rFonts w:eastAsia="Times New Roman"/>
      <w:szCs w:val="24"/>
      <w:lang w:val="en-IE" w:eastAsia="en-IE"/>
    </w:rPr>
  </w:style>
  <w:style w:type="character" w:styleId="Hyperlink">
    <w:name w:val="Hyperlink"/>
    <w:basedOn w:val="DefaultParagraphFont"/>
    <w:uiPriority w:val="99"/>
    <w:unhideWhenUsed/>
    <w:rsid w:val="003D7652"/>
    <w:rPr>
      <w:color w:val="0000FF" w:themeColor="hyperlink"/>
      <w:u w:val="single"/>
    </w:rPr>
  </w:style>
  <w:style w:type="character" w:customStyle="1" w:styleId="UnresolvedMention">
    <w:name w:val="Unresolved Mention"/>
    <w:basedOn w:val="DefaultParagraphFont"/>
    <w:uiPriority w:val="99"/>
    <w:semiHidden/>
    <w:unhideWhenUsed/>
    <w:rsid w:val="003D7652"/>
    <w:rPr>
      <w:color w:val="605E5C"/>
      <w:shd w:val="clear" w:color="auto" w:fill="E1DFDD"/>
    </w:rPr>
  </w:style>
  <w:style w:type="paragraph" w:customStyle="1" w:styleId="Normal2">
    <w:name w:val="Normal2"/>
    <w:basedOn w:val="Normal"/>
    <w:uiPriority w:val="1"/>
    <w:rsid w:val="52BC786C"/>
    <w:pPr>
      <w:spacing w:beforeAutospacing="1" w:afterAutospacing="1"/>
      <w:jc w:val="left"/>
    </w:pPr>
    <w:rPr>
      <w:rFonts w:eastAsia="Times New Roman"/>
      <w:lang w:val="en-IE" w:eastAsia="en-IE"/>
    </w:rPr>
  </w:style>
  <w:style w:type="character" w:customStyle="1" w:styleId="num">
    <w:name w:val="num"/>
    <w:basedOn w:val="DefaultParagraphFont"/>
    <w:uiPriority w:val="1"/>
    <w:rsid w:val="52BC786C"/>
  </w:style>
  <w:style w:type="paragraph" w:customStyle="1" w:styleId="li">
    <w:name w:val="li"/>
    <w:basedOn w:val="Normal"/>
    <w:uiPriority w:val="1"/>
    <w:rsid w:val="52BC786C"/>
    <w:pPr>
      <w:spacing w:beforeAutospacing="1" w:afterAutospacing="1"/>
      <w:jc w:val="left"/>
    </w:pPr>
    <w:rPr>
      <w:rFonts w:eastAsia="Times New Roman"/>
      <w:lang w:val="en-IE" w:eastAsia="en-IE"/>
    </w:rPr>
  </w:style>
  <w:style w:type="paragraph" w:styleId="Revision">
    <w:name w:val="Revision"/>
    <w:hidden/>
    <w:uiPriority w:val="99"/>
    <w:semiHidden/>
    <w:rsid w:val="00F405DC"/>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rsid w:val="00F405DC"/>
    <w:pPr>
      <w:numPr>
        <w:numId w:val="1"/>
      </w:numPr>
      <w:contextualSpacing/>
    </w:pPr>
  </w:style>
  <w:style w:type="paragraph" w:styleId="ListBullet2">
    <w:name w:val="List Bullet 2"/>
    <w:basedOn w:val="Normal"/>
    <w:uiPriority w:val="99"/>
    <w:semiHidden/>
    <w:unhideWhenUsed/>
    <w:rsid w:val="00F405DC"/>
    <w:pPr>
      <w:numPr>
        <w:numId w:val="2"/>
      </w:numPr>
      <w:contextualSpacing/>
    </w:pPr>
  </w:style>
  <w:style w:type="paragraph" w:styleId="ListBullet3">
    <w:name w:val="List Bullet 3"/>
    <w:basedOn w:val="Normal"/>
    <w:uiPriority w:val="99"/>
    <w:semiHidden/>
    <w:unhideWhenUsed/>
    <w:rsid w:val="00F405DC"/>
    <w:pPr>
      <w:numPr>
        <w:numId w:val="3"/>
      </w:numPr>
      <w:contextualSpacing/>
    </w:pPr>
  </w:style>
  <w:style w:type="paragraph" w:styleId="ListBullet4">
    <w:name w:val="List Bullet 4"/>
    <w:basedOn w:val="Normal"/>
    <w:uiPriority w:val="99"/>
    <w:semiHidden/>
    <w:unhideWhenUsed/>
    <w:rsid w:val="00F405DC"/>
    <w:pPr>
      <w:numPr>
        <w:numId w:val="4"/>
      </w:numPr>
      <w:contextualSpacing/>
    </w:pPr>
  </w:style>
  <w:style w:type="paragraph" w:styleId="CommentText">
    <w:name w:val="annotation text"/>
    <w:basedOn w:val="Normal"/>
    <w:link w:val="CommentTextChar"/>
    <w:uiPriority w:val="99"/>
    <w:unhideWhenUsed/>
    <w:rsid w:val="00AC5C3B"/>
    <w:rPr>
      <w:sz w:val="20"/>
      <w:szCs w:val="20"/>
    </w:rPr>
  </w:style>
  <w:style w:type="character" w:customStyle="1" w:styleId="CommentTextChar">
    <w:name w:val="Comment Text Char"/>
    <w:basedOn w:val="DefaultParagraphFont"/>
    <w:link w:val="CommentText"/>
    <w:uiPriority w:val="99"/>
    <w:rsid w:val="00AC5C3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5C3B"/>
    <w:rPr>
      <w:b/>
      <w:bCs/>
    </w:rPr>
  </w:style>
  <w:style w:type="character" w:customStyle="1" w:styleId="CommentSubjectChar">
    <w:name w:val="Comment Subject Char"/>
    <w:basedOn w:val="CommentTextChar"/>
    <w:link w:val="CommentSubject"/>
    <w:uiPriority w:val="99"/>
    <w:semiHidden/>
    <w:rsid w:val="00AC5C3B"/>
    <w:rPr>
      <w:rFonts w:ascii="Times New Roman" w:hAnsi="Times New Roman" w:cs="Times New Roman"/>
      <w:b/>
      <w:bCs/>
      <w:sz w:val="20"/>
      <w:szCs w:val="20"/>
      <w:lang w:val="en-GB"/>
    </w:rPr>
  </w:style>
  <w:style w:type="paragraph" w:customStyle="1" w:styleId="title-bold">
    <w:name w:val="title-bold"/>
    <w:basedOn w:val="Normal"/>
    <w:rsid w:val="002D3327"/>
    <w:pPr>
      <w:spacing w:before="100" w:beforeAutospacing="1" w:after="100" w:afterAutospacing="1"/>
      <w:jc w:val="left"/>
    </w:pPr>
    <w:rPr>
      <w:szCs w:val="24"/>
      <w:lang w:val="en-IE" w:eastAsia="en-IE"/>
    </w:rPr>
  </w:style>
  <w:style w:type="paragraph" w:customStyle="1" w:styleId="title-article-norm">
    <w:name w:val="title-article-norm"/>
    <w:basedOn w:val="Normal"/>
    <w:rsid w:val="00333B31"/>
    <w:pPr>
      <w:spacing w:before="100" w:beforeAutospacing="1" w:after="100" w:afterAutospacing="1"/>
      <w:jc w:val="left"/>
    </w:pPr>
    <w:rPr>
      <w:rFonts w:eastAsia="Times New Roman"/>
      <w:szCs w:val="24"/>
      <w:lang w:val="en-IE" w:eastAsia="en-IE"/>
    </w:rPr>
  </w:style>
  <w:style w:type="paragraph" w:customStyle="1" w:styleId="stitle-article-norm">
    <w:name w:val="stitle-article-norm"/>
    <w:basedOn w:val="Normal"/>
    <w:rsid w:val="00333B31"/>
    <w:pPr>
      <w:spacing w:before="100" w:beforeAutospacing="1" w:after="100" w:afterAutospacing="1"/>
      <w:jc w:val="left"/>
    </w:pPr>
    <w:rPr>
      <w:rFonts w:eastAsia="Times New Roman"/>
      <w:szCs w:val="24"/>
      <w:lang w:val="en-IE" w:eastAsia="en-IE"/>
    </w:rPr>
  </w:style>
  <w:style w:type="paragraph" w:customStyle="1" w:styleId="norm">
    <w:name w:val="norm"/>
    <w:basedOn w:val="Normal"/>
    <w:rsid w:val="00333B31"/>
    <w:pPr>
      <w:spacing w:before="100" w:beforeAutospacing="1" w:after="100" w:afterAutospacing="1"/>
      <w:jc w:val="left"/>
    </w:pPr>
    <w:rPr>
      <w:rFonts w:eastAsia="Times New Roman"/>
      <w:szCs w:val="24"/>
      <w:lang w:val="en-IE" w:eastAsia="en-IE"/>
    </w:rPr>
  </w:style>
  <w:style w:type="paragraph" w:customStyle="1" w:styleId="Refere">
    <w:name w:val="Refere"/>
    <w:basedOn w:val="NumPar1"/>
    <w:rsid w:val="000F20AF"/>
    <w:rPr>
      <w:sz w:val="20"/>
      <w:szCs w:val="20"/>
    </w:rPr>
  </w:style>
  <w:style w:type="character" w:styleId="PlaceholderText">
    <w:name w:val="Placeholder Text"/>
    <w:basedOn w:val="DefaultParagraphFont"/>
    <w:uiPriority w:val="99"/>
    <w:semiHidden/>
    <w:rsid w:val="00414840"/>
    <w:rPr>
      <w:color w:val="808080"/>
    </w:rPr>
  </w:style>
  <w:style w:type="character" w:customStyle="1" w:styleId="css-192eh8c">
    <w:name w:val="css-192eh8c"/>
    <w:basedOn w:val="DefaultParagraphFont"/>
    <w:rsid w:val="00575991"/>
  </w:style>
  <w:style w:type="character" w:customStyle="1" w:styleId="css-m6440w">
    <w:name w:val="css-m6440w"/>
    <w:basedOn w:val="DefaultParagraphFont"/>
    <w:rsid w:val="00575991"/>
  </w:style>
  <w:style w:type="character" w:styleId="FollowedHyperlink">
    <w:name w:val="FollowedHyperlink"/>
    <w:basedOn w:val="DefaultParagraphFont"/>
    <w:uiPriority w:val="99"/>
    <w:semiHidden/>
    <w:unhideWhenUsed/>
    <w:rsid w:val="00F23686"/>
    <w:rPr>
      <w:color w:val="800080" w:themeColor="followedHyperlink"/>
      <w:u w:val="single"/>
    </w:rPr>
  </w:style>
  <w:style w:type="character" w:customStyle="1" w:styleId="HeaderChar">
    <w:name w:val="Header Char"/>
    <w:basedOn w:val="DefaultParagraphFont"/>
    <w:link w:val="Header"/>
    <w:uiPriority w:val="99"/>
    <w:rsid w:val="00CA72CC"/>
    <w:rPr>
      <w:rFonts w:ascii="Times New Roman" w:hAnsi="Times New Roman" w:cs="Times New Roman"/>
      <w:sz w:val="24"/>
      <w:lang w:val="lv-LV"/>
    </w:rPr>
  </w:style>
  <w:style w:type="character" w:customStyle="1" w:styleId="FooterChar">
    <w:name w:val="Footer Char"/>
    <w:basedOn w:val="DefaultParagraphFont"/>
    <w:link w:val="Footer"/>
    <w:uiPriority w:val="99"/>
    <w:rsid w:val="00CA72CC"/>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A72C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A72CC"/>
    <w:pPr>
      <w:spacing w:before="0"/>
      <w:jc w:val="right"/>
    </w:pPr>
    <w:rPr>
      <w:sz w:val="28"/>
    </w:rPr>
  </w:style>
  <w:style w:type="paragraph" w:customStyle="1" w:styleId="FooterSensitivity">
    <w:name w:val="Footer Sensitivity"/>
    <w:basedOn w:val="Normal"/>
    <w:rsid w:val="00CA72C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A72CC"/>
    <w:pPr>
      <w:tabs>
        <w:tab w:val="center" w:pos="4535"/>
        <w:tab w:val="right" w:pos="9071"/>
      </w:tabs>
      <w:spacing w:before="0"/>
    </w:pPr>
  </w:style>
  <w:style w:type="paragraph" w:customStyle="1" w:styleId="HeaderLandscape">
    <w:name w:val="HeaderLandscape"/>
    <w:basedOn w:val="Normal"/>
    <w:rsid w:val="00CA72CC"/>
    <w:pPr>
      <w:tabs>
        <w:tab w:val="center" w:pos="7285"/>
        <w:tab w:val="right" w:pos="14003"/>
      </w:tabs>
      <w:spacing w:before="0"/>
    </w:pPr>
  </w:style>
  <w:style w:type="paragraph" w:styleId="Footer">
    <w:name w:val="footer"/>
    <w:basedOn w:val="Normal"/>
    <w:link w:val="FooterChar"/>
    <w:uiPriority w:val="99"/>
    <w:unhideWhenUsed/>
    <w:rsid w:val="00CA72C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A72C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70566">
      <w:bodyDiv w:val="1"/>
      <w:marLeft w:val="0"/>
      <w:marRight w:val="0"/>
      <w:marTop w:val="0"/>
      <w:marBottom w:val="0"/>
      <w:divBdr>
        <w:top w:val="none" w:sz="0" w:space="0" w:color="auto"/>
        <w:left w:val="none" w:sz="0" w:space="0" w:color="auto"/>
        <w:bottom w:val="none" w:sz="0" w:space="0" w:color="auto"/>
        <w:right w:val="none" w:sz="0" w:space="0" w:color="auto"/>
      </w:divBdr>
      <w:divsChild>
        <w:div w:id="1897159698">
          <w:marLeft w:val="0"/>
          <w:marRight w:val="0"/>
          <w:marTop w:val="0"/>
          <w:marBottom w:val="0"/>
          <w:divBdr>
            <w:top w:val="none" w:sz="0" w:space="0" w:color="auto"/>
            <w:left w:val="none" w:sz="0" w:space="0" w:color="auto"/>
            <w:bottom w:val="none" w:sz="0" w:space="0" w:color="auto"/>
            <w:right w:val="none" w:sz="0" w:space="0" w:color="auto"/>
          </w:divBdr>
          <w:divsChild>
            <w:div w:id="1478381013">
              <w:marLeft w:val="0"/>
              <w:marRight w:val="0"/>
              <w:marTop w:val="0"/>
              <w:marBottom w:val="0"/>
              <w:divBdr>
                <w:top w:val="none" w:sz="0" w:space="0" w:color="auto"/>
                <w:left w:val="none" w:sz="0" w:space="0" w:color="auto"/>
                <w:bottom w:val="none" w:sz="0" w:space="0" w:color="auto"/>
                <w:right w:val="none" w:sz="0" w:space="0" w:color="auto"/>
              </w:divBdr>
              <w:divsChild>
                <w:div w:id="1447970816">
                  <w:marLeft w:val="0"/>
                  <w:marRight w:val="0"/>
                  <w:marTop w:val="0"/>
                  <w:marBottom w:val="0"/>
                  <w:divBdr>
                    <w:top w:val="none" w:sz="0" w:space="0" w:color="auto"/>
                    <w:left w:val="none" w:sz="0" w:space="0" w:color="auto"/>
                    <w:bottom w:val="none" w:sz="0" w:space="0" w:color="auto"/>
                    <w:right w:val="none" w:sz="0" w:space="0" w:color="auto"/>
                  </w:divBdr>
                  <w:divsChild>
                    <w:div w:id="600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19051">
      <w:bodyDiv w:val="1"/>
      <w:marLeft w:val="0"/>
      <w:marRight w:val="0"/>
      <w:marTop w:val="0"/>
      <w:marBottom w:val="0"/>
      <w:divBdr>
        <w:top w:val="none" w:sz="0" w:space="0" w:color="auto"/>
        <w:left w:val="none" w:sz="0" w:space="0" w:color="auto"/>
        <w:bottom w:val="none" w:sz="0" w:space="0" w:color="auto"/>
        <w:right w:val="none" w:sz="0" w:space="0" w:color="auto"/>
      </w:divBdr>
    </w:div>
    <w:div w:id="811872050">
      <w:bodyDiv w:val="1"/>
      <w:marLeft w:val="0"/>
      <w:marRight w:val="0"/>
      <w:marTop w:val="0"/>
      <w:marBottom w:val="0"/>
      <w:divBdr>
        <w:top w:val="none" w:sz="0" w:space="0" w:color="auto"/>
        <w:left w:val="none" w:sz="0" w:space="0" w:color="auto"/>
        <w:bottom w:val="none" w:sz="0" w:space="0" w:color="auto"/>
        <w:right w:val="none" w:sz="0" w:space="0" w:color="auto"/>
      </w:divBdr>
    </w:div>
    <w:div w:id="1630016945">
      <w:bodyDiv w:val="1"/>
      <w:marLeft w:val="0"/>
      <w:marRight w:val="0"/>
      <w:marTop w:val="0"/>
      <w:marBottom w:val="0"/>
      <w:divBdr>
        <w:top w:val="none" w:sz="0" w:space="0" w:color="auto"/>
        <w:left w:val="none" w:sz="0" w:space="0" w:color="auto"/>
        <w:bottom w:val="none" w:sz="0" w:space="0" w:color="auto"/>
        <w:right w:val="none" w:sz="0" w:space="0" w:color="auto"/>
      </w:divBdr>
    </w:div>
    <w:div w:id="1633898529">
      <w:bodyDiv w:val="1"/>
      <w:marLeft w:val="0"/>
      <w:marRight w:val="0"/>
      <w:marTop w:val="0"/>
      <w:marBottom w:val="0"/>
      <w:divBdr>
        <w:top w:val="none" w:sz="0" w:space="0" w:color="auto"/>
        <w:left w:val="none" w:sz="0" w:space="0" w:color="auto"/>
        <w:bottom w:val="none" w:sz="0" w:space="0" w:color="auto"/>
        <w:right w:val="none" w:sz="0" w:space="0" w:color="auto"/>
      </w:divBdr>
      <w:divsChild>
        <w:div w:id="1252542986">
          <w:marLeft w:val="0"/>
          <w:marRight w:val="0"/>
          <w:marTop w:val="0"/>
          <w:marBottom w:val="0"/>
          <w:divBdr>
            <w:top w:val="none" w:sz="0" w:space="0" w:color="auto"/>
            <w:left w:val="none" w:sz="0" w:space="0" w:color="auto"/>
            <w:bottom w:val="none" w:sz="0" w:space="0" w:color="auto"/>
            <w:right w:val="none" w:sz="0" w:space="0" w:color="auto"/>
          </w:divBdr>
        </w:div>
        <w:div w:id="1852721163">
          <w:marLeft w:val="0"/>
          <w:marRight w:val="0"/>
          <w:marTop w:val="0"/>
          <w:marBottom w:val="0"/>
          <w:divBdr>
            <w:top w:val="none" w:sz="0" w:space="0" w:color="auto"/>
            <w:left w:val="none" w:sz="0" w:space="0" w:color="auto"/>
            <w:bottom w:val="none" w:sz="0" w:space="0" w:color="auto"/>
            <w:right w:val="none" w:sz="0" w:space="0" w:color="auto"/>
          </w:divBdr>
          <w:divsChild>
            <w:div w:id="1839925931">
              <w:marLeft w:val="0"/>
              <w:marRight w:val="0"/>
              <w:marTop w:val="120"/>
              <w:marBottom w:val="0"/>
              <w:divBdr>
                <w:top w:val="none" w:sz="0" w:space="0" w:color="auto"/>
                <w:left w:val="none" w:sz="0" w:space="0" w:color="auto"/>
                <w:bottom w:val="none" w:sz="0" w:space="0" w:color="auto"/>
                <w:right w:val="none" w:sz="0" w:space="0" w:color="auto"/>
              </w:divBdr>
            </w:div>
            <w:div w:id="1570848098">
              <w:marLeft w:val="0"/>
              <w:marRight w:val="0"/>
              <w:marTop w:val="0"/>
              <w:marBottom w:val="0"/>
              <w:divBdr>
                <w:top w:val="none" w:sz="0" w:space="0" w:color="auto"/>
                <w:left w:val="none" w:sz="0" w:space="0" w:color="auto"/>
                <w:bottom w:val="none" w:sz="0" w:space="0" w:color="auto"/>
                <w:right w:val="none" w:sz="0" w:space="0" w:color="auto"/>
              </w:divBdr>
            </w:div>
          </w:divsChild>
        </w:div>
        <w:div w:id="1843936279">
          <w:marLeft w:val="0"/>
          <w:marRight w:val="0"/>
          <w:marTop w:val="0"/>
          <w:marBottom w:val="0"/>
          <w:divBdr>
            <w:top w:val="none" w:sz="0" w:space="0" w:color="auto"/>
            <w:left w:val="none" w:sz="0" w:space="0" w:color="auto"/>
            <w:bottom w:val="none" w:sz="0" w:space="0" w:color="auto"/>
            <w:right w:val="none" w:sz="0" w:space="0" w:color="auto"/>
          </w:divBdr>
          <w:divsChild>
            <w:div w:id="1834908716">
              <w:marLeft w:val="0"/>
              <w:marRight w:val="0"/>
              <w:marTop w:val="120"/>
              <w:marBottom w:val="0"/>
              <w:divBdr>
                <w:top w:val="none" w:sz="0" w:space="0" w:color="auto"/>
                <w:left w:val="none" w:sz="0" w:space="0" w:color="auto"/>
                <w:bottom w:val="none" w:sz="0" w:space="0" w:color="auto"/>
                <w:right w:val="none" w:sz="0" w:space="0" w:color="auto"/>
              </w:divBdr>
            </w:div>
            <w:div w:id="13237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839">
      <w:bodyDiv w:val="1"/>
      <w:marLeft w:val="0"/>
      <w:marRight w:val="0"/>
      <w:marTop w:val="0"/>
      <w:marBottom w:val="0"/>
      <w:divBdr>
        <w:top w:val="none" w:sz="0" w:space="0" w:color="auto"/>
        <w:left w:val="none" w:sz="0" w:space="0" w:color="auto"/>
        <w:bottom w:val="none" w:sz="0" w:space="0" w:color="auto"/>
        <w:right w:val="none" w:sz="0" w:space="0" w:color="auto"/>
      </w:divBdr>
      <w:divsChild>
        <w:div w:id="1321737749">
          <w:marLeft w:val="0"/>
          <w:marRight w:val="0"/>
          <w:marTop w:val="0"/>
          <w:marBottom w:val="0"/>
          <w:divBdr>
            <w:top w:val="none" w:sz="0" w:space="0" w:color="auto"/>
            <w:left w:val="none" w:sz="0" w:space="0" w:color="auto"/>
            <w:bottom w:val="none" w:sz="0" w:space="0" w:color="auto"/>
            <w:right w:val="none" w:sz="0" w:space="0" w:color="auto"/>
          </w:divBdr>
          <w:divsChild>
            <w:div w:id="369301908">
              <w:marLeft w:val="0"/>
              <w:marRight w:val="0"/>
              <w:marTop w:val="0"/>
              <w:marBottom w:val="0"/>
              <w:divBdr>
                <w:top w:val="none" w:sz="0" w:space="0" w:color="auto"/>
                <w:left w:val="none" w:sz="0" w:space="0" w:color="auto"/>
                <w:bottom w:val="none" w:sz="0" w:space="0" w:color="auto"/>
                <w:right w:val="none" w:sz="0" w:space="0" w:color="auto"/>
              </w:divBdr>
              <w:divsChild>
                <w:div w:id="1933734200">
                  <w:marLeft w:val="0"/>
                  <w:marRight w:val="0"/>
                  <w:marTop w:val="0"/>
                  <w:marBottom w:val="0"/>
                  <w:divBdr>
                    <w:top w:val="none" w:sz="0" w:space="0" w:color="auto"/>
                    <w:left w:val="none" w:sz="0" w:space="0" w:color="auto"/>
                    <w:bottom w:val="none" w:sz="0" w:space="0" w:color="auto"/>
                    <w:right w:val="none" w:sz="0" w:space="0" w:color="auto"/>
                  </w:divBdr>
                  <w:divsChild>
                    <w:div w:id="4187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7255">
      <w:bodyDiv w:val="1"/>
      <w:marLeft w:val="0"/>
      <w:marRight w:val="0"/>
      <w:marTop w:val="0"/>
      <w:marBottom w:val="0"/>
      <w:divBdr>
        <w:top w:val="none" w:sz="0" w:space="0" w:color="auto"/>
        <w:left w:val="none" w:sz="0" w:space="0" w:color="auto"/>
        <w:bottom w:val="none" w:sz="0" w:space="0" w:color="auto"/>
        <w:right w:val="none" w:sz="0" w:space="0" w:color="auto"/>
      </w:divBdr>
    </w:div>
    <w:div w:id="1754743693">
      <w:bodyDiv w:val="1"/>
      <w:marLeft w:val="0"/>
      <w:marRight w:val="0"/>
      <w:marTop w:val="0"/>
      <w:marBottom w:val="0"/>
      <w:divBdr>
        <w:top w:val="none" w:sz="0" w:space="0" w:color="auto"/>
        <w:left w:val="none" w:sz="0" w:space="0" w:color="auto"/>
        <w:bottom w:val="none" w:sz="0" w:space="0" w:color="auto"/>
        <w:right w:val="none" w:sz="0" w:space="0" w:color="auto"/>
      </w:divBdr>
    </w:div>
    <w:div w:id="1967272369">
      <w:bodyDiv w:val="1"/>
      <w:marLeft w:val="0"/>
      <w:marRight w:val="0"/>
      <w:marTop w:val="0"/>
      <w:marBottom w:val="0"/>
      <w:divBdr>
        <w:top w:val="none" w:sz="0" w:space="0" w:color="auto"/>
        <w:left w:val="none" w:sz="0" w:space="0" w:color="auto"/>
        <w:bottom w:val="none" w:sz="0" w:space="0" w:color="auto"/>
        <w:right w:val="none" w:sz="0" w:space="0" w:color="auto"/>
      </w:divBdr>
      <w:divsChild>
        <w:div w:id="517037268">
          <w:marLeft w:val="0"/>
          <w:marRight w:val="0"/>
          <w:marTop w:val="0"/>
          <w:marBottom w:val="0"/>
          <w:divBdr>
            <w:top w:val="none" w:sz="0" w:space="0" w:color="auto"/>
            <w:left w:val="none" w:sz="0" w:space="0" w:color="auto"/>
            <w:bottom w:val="none" w:sz="0" w:space="0" w:color="auto"/>
            <w:right w:val="none" w:sz="0" w:space="0" w:color="auto"/>
          </w:divBdr>
          <w:divsChild>
            <w:div w:id="1346637812">
              <w:marLeft w:val="0"/>
              <w:marRight w:val="0"/>
              <w:marTop w:val="0"/>
              <w:marBottom w:val="0"/>
              <w:divBdr>
                <w:top w:val="none" w:sz="0" w:space="0" w:color="auto"/>
                <w:left w:val="none" w:sz="0" w:space="0" w:color="auto"/>
                <w:bottom w:val="none" w:sz="0" w:space="0" w:color="auto"/>
                <w:right w:val="none" w:sz="0" w:space="0" w:color="auto"/>
              </w:divBdr>
              <w:divsChild>
                <w:div w:id="2141998141">
                  <w:marLeft w:val="0"/>
                  <w:marRight w:val="0"/>
                  <w:marTop w:val="0"/>
                  <w:marBottom w:val="0"/>
                  <w:divBdr>
                    <w:top w:val="none" w:sz="0" w:space="0" w:color="auto"/>
                    <w:left w:val="none" w:sz="0" w:space="0" w:color="auto"/>
                    <w:bottom w:val="none" w:sz="0" w:space="0" w:color="auto"/>
                    <w:right w:val="none" w:sz="0" w:space="0" w:color="auto"/>
                  </w:divBdr>
                  <w:divsChild>
                    <w:div w:id="2987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74973">
      <w:bodyDiv w:val="1"/>
      <w:marLeft w:val="0"/>
      <w:marRight w:val="0"/>
      <w:marTop w:val="0"/>
      <w:marBottom w:val="0"/>
      <w:divBdr>
        <w:top w:val="none" w:sz="0" w:space="0" w:color="auto"/>
        <w:left w:val="none" w:sz="0" w:space="0" w:color="auto"/>
        <w:bottom w:val="none" w:sz="0" w:space="0" w:color="auto"/>
        <w:right w:val="none" w:sz="0" w:space="0" w:color="auto"/>
      </w:divBdr>
      <w:divsChild>
        <w:div w:id="276720690">
          <w:marLeft w:val="0"/>
          <w:marRight w:val="0"/>
          <w:marTop w:val="0"/>
          <w:marBottom w:val="0"/>
          <w:divBdr>
            <w:top w:val="none" w:sz="0" w:space="0" w:color="auto"/>
            <w:left w:val="none" w:sz="0" w:space="0" w:color="auto"/>
            <w:bottom w:val="none" w:sz="0" w:space="0" w:color="auto"/>
            <w:right w:val="none" w:sz="0" w:space="0" w:color="auto"/>
          </w:divBdr>
          <w:divsChild>
            <w:div w:id="1559393679">
              <w:marLeft w:val="0"/>
              <w:marRight w:val="0"/>
              <w:marTop w:val="0"/>
              <w:marBottom w:val="0"/>
              <w:divBdr>
                <w:top w:val="none" w:sz="0" w:space="0" w:color="auto"/>
                <w:left w:val="none" w:sz="0" w:space="0" w:color="auto"/>
                <w:bottom w:val="none" w:sz="0" w:space="0" w:color="auto"/>
                <w:right w:val="none" w:sz="0" w:space="0" w:color="auto"/>
              </w:divBdr>
              <w:divsChild>
                <w:div w:id="1599289380">
                  <w:marLeft w:val="0"/>
                  <w:marRight w:val="0"/>
                  <w:marTop w:val="0"/>
                  <w:marBottom w:val="0"/>
                  <w:divBdr>
                    <w:top w:val="none" w:sz="0" w:space="0" w:color="auto"/>
                    <w:left w:val="none" w:sz="0" w:space="0" w:color="auto"/>
                    <w:bottom w:val="none" w:sz="0" w:space="0" w:color="auto"/>
                    <w:right w:val="none" w:sz="0" w:space="0" w:color="auto"/>
                  </w:divBdr>
                  <w:divsChild>
                    <w:div w:id="14419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74-362-1978_final_report_technical_advice_on_simplification_tr_fees_under_sftr_and_emir.pdf" TargetMode="External"/><Relationship Id="rId2" Type="http://schemas.openxmlformats.org/officeDocument/2006/relationships/hyperlink" Target="https://www.esma.europa.eu/sites/default/files/library/esma80-196-5170_final_report_technical_advice_on_fees_charged_to_cras_by_esma_0.pdf" TargetMode="External"/><Relationship Id="rId1" Type="http://schemas.openxmlformats.org/officeDocument/2006/relationships/hyperlink" Target="https://data.europa.eu/doi/10.2865/74246" TargetMode="External"/><Relationship Id="rId4" Type="http://schemas.openxmlformats.org/officeDocument/2006/relationships/hyperlink" Target="https://ec.europa.eu/info/law/better-regulation/have-your-say/initiatives/13933-European-Securities-and-Markets-Authority-harmhttps:/ec.europa.eu/info/law/better-regulation/have-your-say/initiatives/13933-European-Securities-and-Markets-Authority-harmonising-and-simplifying-fees-charged-to-trade-repositories-under-EMIR_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E9EA1-42FA-4A47-B238-AC2DF2631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9907E-BB72-4324-A522-55C5DA0CF73C}">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3.xml><?xml version="1.0" encoding="utf-8"?>
<ds:datastoreItem xmlns:ds="http://schemas.openxmlformats.org/officeDocument/2006/customXml" ds:itemID="{9B947430-D4B4-4BD6-A351-A6E29A5729E7}">
  <ds:schemaRefs>
    <ds:schemaRef ds:uri="http://schemas.microsoft.com/sharepoint/v3/contenttype/forms"/>
  </ds:schemaRefs>
</ds:datastoreItem>
</file>

<file path=customXml/itemProps4.xml><?xml version="1.0" encoding="utf-8"?>
<ds:datastoreItem xmlns:ds="http://schemas.openxmlformats.org/officeDocument/2006/customXml" ds:itemID="{C940B9EB-60A9-4FD9-952B-C8996493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11</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28</cp:revision>
  <cp:lastPrinted>2024-02-06T14:04:00Z</cp:lastPrinted>
  <dcterms:created xsi:type="dcterms:W3CDTF">2024-02-26T11:46:00Z</dcterms:created>
  <dcterms:modified xsi:type="dcterms:W3CDTF">2024-03-04T08:14:00Z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2023-09-27T10:30:54Z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6269fcfd-cff4-4845-831e-b77440eb6e78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SJ-003</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name="OP_sanitized" fmtid="{D5CDD505-2E9C-101B-9397-08002B2CF9AE}" pid="19">
    <vt:lpwstr>True</vt:lpwstr>
  </property>
</Properties>
</file>