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725A" w14:textId="55F9C1D1" w:rsidR="0065658F" w:rsidRPr="00D70B2C" w:rsidRDefault="007B27DF" w:rsidP="007B27DF">
      <w:pPr>
        <w:pStyle w:val="Pagedecouverture"/>
        <w:rPr>
          <w:noProof/>
        </w:rPr>
      </w:pPr>
      <w:r>
        <w:rPr>
          <w:noProof/>
        </w:rPr>
        <w:pict w14:anchorId="7AF1E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C6BC801-3716-4122-8415-F56A35B9D7EA" style="width:455.25pt;height:355.5pt">
            <v:imagedata r:id="rId7" o:title=""/>
          </v:shape>
        </w:pict>
      </w:r>
    </w:p>
    <w:p w14:paraId="3FEDE866" w14:textId="77777777" w:rsidR="0065658F" w:rsidRPr="00D70B2C" w:rsidRDefault="0065658F" w:rsidP="0065658F">
      <w:pPr>
        <w:rPr>
          <w:noProof/>
        </w:rPr>
        <w:sectPr w:rsidR="0065658F" w:rsidRPr="00D70B2C" w:rsidSect="007B27DF">
          <w:footerReference w:type="default" r:id="rId8"/>
          <w:pgSz w:w="11907" w:h="16839"/>
          <w:pgMar w:top="1134" w:right="1417" w:bottom="1134" w:left="1417" w:header="709" w:footer="709" w:gutter="0"/>
          <w:pgNumType w:start="0"/>
          <w:cols w:space="720"/>
          <w:docGrid w:linePitch="360"/>
        </w:sectPr>
      </w:pPr>
    </w:p>
    <w:p w14:paraId="24F954B8" w14:textId="77777777" w:rsidR="0065658F" w:rsidRPr="00D70B2C" w:rsidRDefault="0065658F" w:rsidP="00A75600">
      <w:pPr>
        <w:pStyle w:val="Exposdesmotifstitre"/>
        <w:rPr>
          <w:noProof/>
        </w:rPr>
      </w:pPr>
      <w:bookmarkStart w:id="0" w:name="_GoBack"/>
      <w:bookmarkEnd w:id="0"/>
      <w:r w:rsidRPr="00D70B2C">
        <w:rPr>
          <w:noProof/>
        </w:rPr>
        <w:lastRenderedPageBreak/>
        <w:t>PASKAIDROJUMA RAKSTS</w:t>
      </w:r>
    </w:p>
    <w:p w14:paraId="0C33CB26" w14:textId="77777777" w:rsidR="0065658F" w:rsidRPr="00D70B2C" w:rsidRDefault="0065658F" w:rsidP="00FB18DC">
      <w:pPr>
        <w:pStyle w:val="ManualHeading1"/>
        <w:rPr>
          <w:noProof/>
        </w:rPr>
      </w:pPr>
      <w:r w:rsidRPr="00D70B2C">
        <w:rPr>
          <w:noProof/>
        </w:rPr>
        <w:t>1.</w:t>
      </w:r>
      <w:r w:rsidRPr="00D70B2C">
        <w:rPr>
          <w:noProof/>
        </w:rPr>
        <w:tab/>
        <w:t>DELEĢĒTĀ AKTA KONTEKSTS</w:t>
      </w:r>
    </w:p>
    <w:p w14:paraId="3A051C0A" w14:textId="61012BCA" w:rsidR="0065658F" w:rsidRPr="00D70B2C" w:rsidRDefault="0065658F" w:rsidP="0065658F">
      <w:pPr>
        <w:rPr>
          <w:noProof/>
        </w:rPr>
      </w:pPr>
      <w:r w:rsidRPr="00D70B2C">
        <w:rPr>
          <w:noProof/>
        </w:rPr>
        <w:t>Saskaņā ar Eiropas Parlamenta un Padomes Regulas (ES) 2021/691</w:t>
      </w:r>
      <w:r w:rsidRPr="00D70B2C">
        <w:rPr>
          <w:rStyle w:val="FootnoteReference"/>
          <w:noProof/>
        </w:rPr>
        <w:footnoteReference w:id="1"/>
      </w:r>
      <w:r w:rsidRPr="00D70B2C">
        <w:rPr>
          <w:noProof/>
        </w:rPr>
        <w:t xml:space="preserve"> 23. panta 1. punkta pirmās daļas e) apakšpunktu un otro daļu 2021.–2027. gada plānošanas periodā dalībvalstīm ir jāziņo Komisijai par pārkāpumiem, tostarp krāpšanu, kas saistīti ar Eiropas Globalizācijas pielāgošanās fondu darbu zaudējušiem darba ņēmējiem (EGF).</w:t>
      </w:r>
    </w:p>
    <w:p w14:paraId="71117E0D" w14:textId="77777777" w:rsidR="0065658F" w:rsidRPr="00D70B2C" w:rsidRDefault="0065658F" w:rsidP="0065658F">
      <w:pPr>
        <w:rPr>
          <w:noProof/>
        </w:rPr>
      </w:pPr>
      <w:r w:rsidRPr="00D70B2C">
        <w:rPr>
          <w:noProof/>
        </w:rPr>
        <w:t>Savienības finanšu intereses būtu jāaizsargā vienādi neatkarīgi no izmantotā finansējuma avota un saskaņā ar konkrētajiem mērķiem, kuriem finansējums tika piešķirts. Attiecībā uz citiem ES fondiem Eiropas Parlamenta un Padomes Regulā (ES) 2021/1060</w:t>
      </w:r>
      <w:r w:rsidRPr="00D70B2C">
        <w:rPr>
          <w:rStyle w:val="FootnoteReference"/>
          <w:noProof/>
        </w:rPr>
        <w:footnoteReference w:id="2"/>
      </w:r>
      <w:r w:rsidRPr="00D70B2C">
        <w:rPr>
          <w:noProof/>
        </w:rPr>
        <w:t xml:space="preserve"> ir paredzēti sīki izstrādāti noteikumi attiecībā uz ziņošanu par pārkāpumiem. Lai nodrošinātu, ka visiem fondiem piemēro vienotus noteikumus, tiek ieviesti analogi un līdzvērtīgi noteikumi par ziņošanas pienākumiem saistībā ar EGF.</w:t>
      </w:r>
    </w:p>
    <w:p w14:paraId="471DB16F" w14:textId="40252859" w:rsidR="0065658F" w:rsidRPr="00D70B2C" w:rsidRDefault="0065658F" w:rsidP="0065658F">
      <w:pPr>
        <w:rPr>
          <w:noProof/>
        </w:rPr>
      </w:pPr>
      <w:r w:rsidRPr="00D70B2C">
        <w:rPr>
          <w:noProof/>
        </w:rPr>
        <w:t>Šajā deleģētajā aktā ir ņemtas vērā arī Komisijas Deleģētās regulas (ES) 2015/1971, (ES) 2015/1972, (ES) 2015/1973 un (ES) 2015/1974, kurās paredzēja īpašus noteikumus ziņošanai par pārkāpumiem saistībā ar dažādiem ES fondiem iepriekšējā 2014.–2020. gada plānošanas periodā.</w:t>
      </w:r>
    </w:p>
    <w:p w14:paraId="592CBAC7" w14:textId="77777777" w:rsidR="0065658F" w:rsidRPr="00D70B2C" w:rsidRDefault="0065658F" w:rsidP="00FB18DC">
      <w:pPr>
        <w:pStyle w:val="ManualHeading1"/>
        <w:rPr>
          <w:noProof/>
        </w:rPr>
      </w:pPr>
      <w:r w:rsidRPr="00D70B2C">
        <w:rPr>
          <w:noProof/>
        </w:rPr>
        <w:t>2.</w:t>
      </w:r>
      <w:r w:rsidRPr="00D70B2C">
        <w:rPr>
          <w:noProof/>
        </w:rPr>
        <w:tab/>
        <w:t>PIRMS AKTA PIEŅEMŠANAS NOTIKUSĪ APSPRIEŠANĀS</w:t>
      </w:r>
    </w:p>
    <w:p w14:paraId="24063AC3" w14:textId="77777777" w:rsidR="0065658F" w:rsidRPr="00D70B2C" w:rsidRDefault="0065658F" w:rsidP="0065658F">
      <w:pPr>
        <w:rPr>
          <w:noProof/>
          <w:sz w:val="22"/>
        </w:rPr>
      </w:pPr>
      <w:r w:rsidRPr="00D70B2C">
        <w:rPr>
          <w:noProof/>
        </w:rPr>
        <w:t>Saskaņā ar principiem, kas noteikti 2016. gada 13. aprīļa Iestāžu nolīgumā par labāku likumdošanas procesu, Komisija deleģētā akta projekta sagatavošanā apspriedās ar katras dalībvalsts ieceltajiem ekspertiem.</w:t>
      </w:r>
    </w:p>
    <w:p w14:paraId="1E0915D8" w14:textId="77777777" w:rsidR="0065658F" w:rsidRPr="00D70B2C" w:rsidRDefault="0065658F" w:rsidP="0065658F">
      <w:pPr>
        <w:rPr>
          <w:noProof/>
        </w:rPr>
      </w:pPr>
      <w:r w:rsidRPr="00D70B2C">
        <w:rPr>
          <w:noProof/>
        </w:rPr>
        <w:t>Apspriešanās notika Krāpšanas novēršanas koordinācijas padomdevējas komitejas (</w:t>
      </w:r>
      <w:r w:rsidRPr="00D70B2C">
        <w:rPr>
          <w:i/>
          <w:noProof/>
        </w:rPr>
        <w:t>COCOLAF</w:t>
      </w:r>
      <w:r w:rsidRPr="00D70B2C">
        <w:rPr>
          <w:noProof/>
        </w:rPr>
        <w:t>) sanāksmēs 2022. gada 12. decembrī, 2023. gada 4. maijā un 2023. gada 22. jūnijā. Komisija ņēma vērā apspriešanās laikā paustos viedokļus un nostājas.</w:t>
      </w:r>
    </w:p>
    <w:p w14:paraId="5D97D27D" w14:textId="77777777" w:rsidR="0065658F" w:rsidRPr="00D70B2C" w:rsidRDefault="0065658F" w:rsidP="0065658F">
      <w:pPr>
        <w:rPr>
          <w:noProof/>
        </w:rPr>
      </w:pPr>
      <w:r w:rsidRPr="00D70B2C">
        <w:rPr>
          <w:noProof/>
        </w:rPr>
        <w:t xml:space="preserve">Šajās sanāksmēs Komisija pilnībā iepazīstināja ar noteikumu projektu, un notika rūpīga viedokļu apmaiņa par visiem deleģētā akta projekta aspektiem. Sanāksmes sniedza Komisijai iespēju precizēt tās pieeju, uzklausīt ekspertu viedokļus par projektu un to attiecīgi pilnveidot. Eksperti pēc katras sanāksmes varēja iesniegt arī rakstiskus komentārus. </w:t>
      </w:r>
    </w:p>
    <w:p w14:paraId="2472E924" w14:textId="77777777" w:rsidR="0065658F" w:rsidRPr="00D70B2C" w:rsidRDefault="0065658F" w:rsidP="0065658F">
      <w:pPr>
        <w:rPr>
          <w:noProof/>
        </w:rPr>
      </w:pPr>
      <w:r w:rsidRPr="00D70B2C">
        <w:rPr>
          <w:noProof/>
        </w:rPr>
        <w:t>Turklāt, lai apkopotu atsauksmes, deleģētā akta projekts četras nedēļas bija publicēts Komisijas tīmekļa vietnē. Atsauksmes netika saņemtas.</w:t>
      </w:r>
    </w:p>
    <w:p w14:paraId="6766DAD9" w14:textId="77777777" w:rsidR="0065658F" w:rsidRPr="00D70B2C" w:rsidRDefault="0065658F" w:rsidP="00FB18DC">
      <w:pPr>
        <w:pStyle w:val="ManualHeading1"/>
        <w:rPr>
          <w:noProof/>
        </w:rPr>
      </w:pPr>
      <w:r w:rsidRPr="00D70B2C">
        <w:rPr>
          <w:noProof/>
        </w:rPr>
        <w:t>3.</w:t>
      </w:r>
      <w:r w:rsidRPr="00D70B2C">
        <w:rPr>
          <w:noProof/>
        </w:rPr>
        <w:tab/>
        <w:t>DELEĢĒTĀ AKTA JURIDISKIE ASPEKTI</w:t>
      </w:r>
    </w:p>
    <w:p w14:paraId="6FE6AFB0" w14:textId="77777777" w:rsidR="0065658F" w:rsidRPr="00D70B2C" w:rsidRDefault="0065658F" w:rsidP="0065658F">
      <w:pPr>
        <w:rPr>
          <w:noProof/>
        </w:rPr>
      </w:pPr>
      <w:r w:rsidRPr="00D70B2C">
        <w:rPr>
          <w:noProof/>
        </w:rPr>
        <w:t>Regulas (ES) 2021/691 23. panta 6. punktā ir paredzētas tiesības pieņemt deleģēto aktu.</w:t>
      </w:r>
    </w:p>
    <w:p w14:paraId="7FEEF29D" w14:textId="77777777" w:rsidR="0065658F" w:rsidRPr="00D70B2C" w:rsidRDefault="0065658F" w:rsidP="00815964">
      <w:pPr>
        <w:rPr>
          <w:noProof/>
        </w:rPr>
        <w:sectPr w:rsidR="0065658F" w:rsidRPr="00D70B2C" w:rsidSect="007B27DF">
          <w:footerReference w:type="default" r:id="rId9"/>
          <w:footerReference w:type="first" r:id="rId10"/>
          <w:pgSz w:w="11907" w:h="16839"/>
          <w:pgMar w:top="1134" w:right="1417" w:bottom="1134" w:left="1417" w:header="709" w:footer="709" w:gutter="0"/>
          <w:cols w:space="708"/>
          <w:docGrid w:linePitch="360"/>
        </w:sectPr>
      </w:pPr>
    </w:p>
    <w:p w14:paraId="0CDE5EA9" w14:textId="47E6871C" w:rsidR="0065658F" w:rsidRPr="00D70B2C" w:rsidRDefault="00D70B2C" w:rsidP="00D70B2C">
      <w:pPr>
        <w:pStyle w:val="Typedudocument"/>
        <w:rPr>
          <w:noProof/>
        </w:rPr>
      </w:pPr>
      <w:r w:rsidRPr="00D70B2C">
        <w:rPr>
          <w:noProof/>
        </w:rPr>
        <w:t>KOMISIJAS DELEĢĒTĀ REGULA (ES) …/..</w:t>
      </w:r>
    </w:p>
    <w:p w14:paraId="49E222FB" w14:textId="251E2DA1" w:rsidR="0065658F" w:rsidRPr="00D70B2C" w:rsidRDefault="008D29A6" w:rsidP="00D70B2C">
      <w:pPr>
        <w:pStyle w:val="Datedadoption"/>
        <w:rPr>
          <w:noProof/>
        </w:rPr>
      </w:pPr>
      <w:r>
        <w:t>(18.12.2023)</w:t>
      </w:r>
    </w:p>
    <w:p w14:paraId="0364C9C2" w14:textId="5E1A1D26" w:rsidR="0065658F" w:rsidRPr="00D70B2C" w:rsidRDefault="00D70B2C" w:rsidP="00D70B2C">
      <w:pPr>
        <w:pStyle w:val="Titreobjet"/>
        <w:rPr>
          <w:noProof/>
        </w:rPr>
      </w:pPr>
      <w:r w:rsidRPr="00D70B2C">
        <w:rPr>
          <w:noProof/>
        </w:rPr>
        <w:t>ar ko Eiropas Parlamenta un Padomes Regulu (ES) 2021/691 papildina ar īpašiem noteikumiem par ziņošanu par pārkāpumiem attiecībā uz Eiropas Globalizācijas pielāgošanās fondu darbu zaudējušiem darba ņēmējiem (EGF)</w:t>
      </w:r>
    </w:p>
    <w:p w14:paraId="4C9CD165" w14:textId="77777777" w:rsidR="0065658F" w:rsidRPr="00D70B2C" w:rsidRDefault="0065658F" w:rsidP="009343DF">
      <w:pPr>
        <w:pStyle w:val="Institutionquiagit"/>
        <w:rPr>
          <w:noProof/>
        </w:rPr>
      </w:pPr>
      <w:r w:rsidRPr="00D70B2C">
        <w:rPr>
          <w:noProof/>
        </w:rPr>
        <w:t>EIROPAS KOMISIJA,</w:t>
      </w:r>
    </w:p>
    <w:p w14:paraId="3719F931" w14:textId="77777777" w:rsidR="0065658F" w:rsidRPr="00D70B2C" w:rsidRDefault="0065658F" w:rsidP="0065658F">
      <w:pPr>
        <w:rPr>
          <w:noProof/>
        </w:rPr>
      </w:pPr>
      <w:r w:rsidRPr="00D70B2C">
        <w:rPr>
          <w:noProof/>
        </w:rPr>
        <w:t>ņemot vērā Līgumu par Eiropas Savienības darbību,</w:t>
      </w:r>
    </w:p>
    <w:p w14:paraId="7A799D0C" w14:textId="77777777" w:rsidR="0065658F" w:rsidRPr="00D70B2C" w:rsidRDefault="0065658F" w:rsidP="0065658F">
      <w:pPr>
        <w:rPr>
          <w:noProof/>
        </w:rPr>
      </w:pPr>
      <w:r w:rsidRPr="00D70B2C">
        <w:rPr>
          <w:noProof/>
        </w:rPr>
        <w:t>ņemot vērā Eiropas Parlamenta un Padomes Regulu (ES) 2021/691</w:t>
      </w:r>
      <w:r w:rsidRPr="00D70B2C">
        <w:rPr>
          <w:rStyle w:val="FootnoteReference"/>
          <w:noProof/>
        </w:rPr>
        <w:footnoteReference w:id="3"/>
      </w:r>
      <w:r w:rsidRPr="00D70B2C">
        <w:rPr>
          <w:noProof/>
        </w:rPr>
        <w:t xml:space="preserve"> (2021. gada 28. aprīlis) par Eiropas Globalizācijas pielāgošanās fondu darbu zaudējušiem darba ņēmējiem (EGF) un ar ko atceļ Regulu (ES) Nr. 1309/2013, un jo īpaši tās 23. panta 6. punktu,</w:t>
      </w:r>
    </w:p>
    <w:p w14:paraId="268AC3CE" w14:textId="77777777" w:rsidR="0065658F" w:rsidRPr="00D70B2C" w:rsidRDefault="0065658F" w:rsidP="0065658F">
      <w:pPr>
        <w:rPr>
          <w:noProof/>
        </w:rPr>
      </w:pPr>
      <w:r w:rsidRPr="00D70B2C">
        <w:rPr>
          <w:noProof/>
        </w:rPr>
        <w:t>tā kā:</w:t>
      </w:r>
    </w:p>
    <w:p w14:paraId="348685C9" w14:textId="273838CA" w:rsidR="0065658F" w:rsidRPr="00D70B2C" w:rsidRDefault="00B80658" w:rsidP="00B80658">
      <w:pPr>
        <w:pStyle w:val="Point0"/>
        <w:rPr>
          <w:noProof/>
        </w:rPr>
      </w:pPr>
      <w:r w:rsidRPr="00B80658">
        <w:t>(1)</w:t>
      </w:r>
      <w:r w:rsidRPr="00B80658">
        <w:tab/>
      </w:r>
      <w:r w:rsidR="0065658F" w:rsidRPr="00D70B2C">
        <w:rPr>
          <w:noProof/>
        </w:rPr>
        <w:t>Šīs regulas mērķis ir papildināt Regulas (ES) 2021/691 23. panta 1. punkta pirmās daļas e) apakšpunktā un otrajā daļā paredzēto noteikumu par dalībvalstu pienākumu ziņot Komisijai par pārkāpumiem attiecībā uz EGF. Lai Komisija varētu pildīt savus pienākumus attiecībā uz Savienības finanšu interešu aizsardzību, jo īpaši veikt riska analīzi, izstrādāt sistēmas efektīvākai riska identificēšanai un sagatavot ziņojumus šādu uzdevumu veikšanai, ir jānosaka kritēriji pārkāpumu gadījumu noteikšanai, par kuriem dalībvalstīm jāziņo Komisijai, un jāprecizē, kādi dati ir jāsniedz.</w:t>
      </w:r>
    </w:p>
    <w:p w14:paraId="27C74298" w14:textId="08BF1FEB" w:rsidR="0065658F" w:rsidRPr="00D70B2C" w:rsidRDefault="00B80658" w:rsidP="00B80658">
      <w:pPr>
        <w:pStyle w:val="Point0"/>
        <w:rPr>
          <w:noProof/>
        </w:rPr>
      </w:pPr>
      <w:r w:rsidRPr="00B80658">
        <w:t>(2)</w:t>
      </w:r>
      <w:r w:rsidRPr="00B80658">
        <w:tab/>
      </w:r>
      <w:r w:rsidR="0065658F" w:rsidRPr="00D70B2C">
        <w:rPr>
          <w:noProof/>
        </w:rPr>
        <w:t>Savienības finanšu intereses būtu jāaizsargā tādā pašā veidā neatkarīgi no attiecīgajiem fondiem un mērķiem, kuru dēļ šādi fondi ir izveidoti. Šajā nolūkā ar Regulas (ES) 2021/691 23. panta 6. punktu Komisija ir pilnvarota pieņemt noteikumus, ar kuriem papildina noteikumus par dalībvalstu pienākumu ziņot par pārkāpumiem saistībā ar EGF finansēšanu.  Šādiem noteikumiem vajadzētu būt līdzvērtīgiem sīki izstrādātajiem noteikumiem par ziņošanu par pārkāpumiem, kas izklāstīti Eiropas Parlamenta un Padomes Regulas (ES) 2021/1060</w:t>
      </w:r>
      <w:r w:rsidR="0065658F" w:rsidRPr="00D70B2C">
        <w:rPr>
          <w:rStyle w:val="FootnoteReference"/>
          <w:noProof/>
        </w:rPr>
        <w:footnoteReference w:id="4"/>
      </w:r>
      <w:r w:rsidR="0065658F" w:rsidRPr="00D70B2C">
        <w:rPr>
          <w:noProof/>
        </w:rPr>
        <w:t xml:space="preserve"> XII pielikuma 1. iedaļā, un saskaņā ar noteikumiem, kas izklāstīti Komisijas Deleģētājā regulā (ES) …/…</w:t>
      </w:r>
      <w:r w:rsidR="0065658F" w:rsidRPr="00D70B2C">
        <w:rPr>
          <w:rStyle w:val="FootnoteReference"/>
          <w:noProof/>
        </w:rPr>
        <w:footnoteReference w:id="5"/>
      </w:r>
      <w:r w:rsidR="0065658F" w:rsidRPr="00D70B2C">
        <w:rPr>
          <w:noProof/>
        </w:rPr>
        <w:t xml:space="preserve"> [</w:t>
      </w:r>
      <w:r w:rsidR="0065658F" w:rsidRPr="00D70B2C">
        <w:rPr>
          <w:i/>
          <w:noProof/>
        </w:rPr>
        <w:t>PB: lūgums ievietot atsauci uz Deleģēto regulu, ar ko papildina Regulu (ES) 2021/2116 – C(2023) 8459</w:t>
      </w:r>
      <w:r w:rsidR="0065658F" w:rsidRPr="00D70B2C">
        <w:rPr>
          <w:noProof/>
        </w:rPr>
        <w:t xml:space="preserve">]. </w:t>
      </w:r>
    </w:p>
    <w:p w14:paraId="22527B24" w14:textId="2895753B" w:rsidR="0065658F" w:rsidRPr="00D70B2C" w:rsidRDefault="00B80658" w:rsidP="00B80658">
      <w:pPr>
        <w:pStyle w:val="Point0"/>
        <w:rPr>
          <w:noProof/>
        </w:rPr>
      </w:pPr>
      <w:r w:rsidRPr="00B80658">
        <w:t>(3)</w:t>
      </w:r>
      <w:r w:rsidRPr="00B80658">
        <w:tab/>
      </w:r>
      <w:r w:rsidR="0065658F" w:rsidRPr="00D70B2C">
        <w:rPr>
          <w:noProof/>
        </w:rPr>
        <w:t>Lai nodrošinātu ziņošanas prasību konsekventu piemērošanu visās dalībvalstīs, ir jādefinē termins “aizdomas par krāpšanu”, ņemot vērā krāpšanas un citu noziedzīgu nodarījumu definīciju Eiropas Parlamenta un Padomes Direktīvas (ES) 2017/1371</w:t>
      </w:r>
      <w:r w:rsidR="0065658F" w:rsidRPr="00D70B2C">
        <w:rPr>
          <w:rStyle w:val="FootnoteReference"/>
          <w:noProof/>
        </w:rPr>
        <w:footnoteReference w:id="6"/>
      </w:r>
      <w:r w:rsidR="0065658F" w:rsidRPr="00D70B2C">
        <w:rPr>
          <w:noProof/>
        </w:rPr>
        <w:t xml:space="preserve"> 3. panta 2. punkta a) un b) apakšpunktā un 4. panta 1., 2. un 3. punktā, un attiecībā uz dalībvalstīm, kurām minētā direktīva nav saistoša, – ņemot vērā 1. panta 1. punkta a) apakšpunktu Konvencijā, kas izstrādāta, pamatojoties uz Līguma par Eiropas Savienību K3. pantu, par Eiropas Kopienu finanšu interešu aizsardzību</w:t>
      </w:r>
      <w:r w:rsidR="0065658F" w:rsidRPr="00D70B2C">
        <w:rPr>
          <w:rStyle w:val="FootnoteReference"/>
          <w:noProof/>
        </w:rPr>
        <w:footnoteReference w:id="7"/>
      </w:r>
      <w:r w:rsidR="0065658F" w:rsidRPr="00D70B2C">
        <w:rPr>
          <w:noProof/>
        </w:rPr>
        <w:t xml:space="preserve">. </w:t>
      </w:r>
    </w:p>
    <w:p w14:paraId="514AD737" w14:textId="327E0BBF" w:rsidR="0065658F" w:rsidRPr="00D70B2C" w:rsidRDefault="00B80658" w:rsidP="00B80658">
      <w:pPr>
        <w:pStyle w:val="Point0"/>
        <w:rPr>
          <w:noProof/>
        </w:rPr>
      </w:pPr>
      <w:r w:rsidRPr="00B80658">
        <w:t>(4)</w:t>
      </w:r>
      <w:r w:rsidRPr="00B80658">
        <w:tab/>
      </w:r>
      <w:r w:rsidR="0065658F" w:rsidRPr="00D70B2C">
        <w:rPr>
          <w:noProof/>
        </w:rPr>
        <w:t xml:space="preserve">Tāpat būtu jādefinē termins “pirmā administratīvā vai tiesas konstatācija” nolūkā nodrošināt ziņošanas pienākumu īstenošanas efektivitāti un konsekvenci. </w:t>
      </w:r>
    </w:p>
    <w:p w14:paraId="3F2F293B" w14:textId="369FFB72" w:rsidR="0065658F" w:rsidRPr="00D70B2C" w:rsidRDefault="00B80658" w:rsidP="00B80658">
      <w:pPr>
        <w:pStyle w:val="Point0"/>
        <w:rPr>
          <w:noProof/>
        </w:rPr>
      </w:pPr>
      <w:r w:rsidRPr="00B80658">
        <w:t>(5)</w:t>
      </w:r>
      <w:r w:rsidRPr="00B80658">
        <w:tab/>
      </w:r>
      <w:r w:rsidR="0065658F" w:rsidRPr="00D70B2C">
        <w:rPr>
          <w:noProof/>
        </w:rPr>
        <w:t>Ir jāprecizē, ka jēdziens “ekonomikas dalībnieks” jēdziena “pārkāpums” piemērošanas nolūkā Regulas (ES) 2021/691 3. panta 4. punkta nozīmē būtu jāsaprot jebkura fiziska vai juridiska persona vai cita struktūra, kas piedalās fonda palīdzības īstenošanā, izņemot dalībvalsti, kas īsteno savas prerogatīvas kā publiska iestāde Regulas (ES) 2021/1060 2. panta 30. punkta nozīmē.</w:t>
      </w:r>
    </w:p>
    <w:p w14:paraId="0F4D8485" w14:textId="3D711784" w:rsidR="0065658F" w:rsidRPr="00D70B2C" w:rsidRDefault="00B80658" w:rsidP="00B80658">
      <w:pPr>
        <w:pStyle w:val="Point0"/>
        <w:rPr>
          <w:noProof/>
        </w:rPr>
      </w:pPr>
      <w:r w:rsidRPr="00B80658">
        <w:t>(6)</w:t>
      </w:r>
      <w:r w:rsidRPr="00B80658">
        <w:tab/>
      </w:r>
      <w:r w:rsidR="0065658F" w:rsidRPr="00D70B2C">
        <w:rPr>
          <w:noProof/>
        </w:rPr>
        <w:t>Regula (ES) 2021/1060 nosaka ziņošanas slieksni, līdz kuram par pārkāpumiem Komisijai nav jāziņo, un gadījumus, attiecībā uz kuriem nav nepieciešams ziņot. Lai panāktu līdzsvaru starp administratīvo slogu dalībvalstīm un kopīgām interesēm sniegt precīzus datus analīzei, ko veic Savienības cīņas pret krāpšanu ietvaros, ir lietderīgi ziņošanas robežvērtības un atkāpes attiecībā uz ziņošanu par pārkāpumiem saskaņā ar šo deleģēto regulu saskaņot ar Regulā (ES) 2021/1060 paredzētajām robežvērtībām un atkāpēm.</w:t>
      </w:r>
    </w:p>
    <w:p w14:paraId="2BE18BC1" w14:textId="3F230484" w:rsidR="0065658F" w:rsidRPr="00D70B2C" w:rsidRDefault="00B80658" w:rsidP="00B80658">
      <w:pPr>
        <w:pStyle w:val="Point0"/>
        <w:rPr>
          <w:noProof/>
        </w:rPr>
      </w:pPr>
      <w:r w:rsidRPr="00B80658">
        <w:t>(7)</w:t>
      </w:r>
      <w:r w:rsidRPr="00B80658">
        <w:tab/>
      </w:r>
      <w:r w:rsidR="0065658F" w:rsidRPr="00D70B2C">
        <w:rPr>
          <w:noProof/>
        </w:rPr>
        <w:t>Lai nodrošinātu konsekventu ziņošanu, ir nepieciešams paredzēt kritērijus, ar ko nosaka pārkāpumu gadījumus, par kuriem jāziņo sākotnēji, un datus, kas jānorāda šādos sākotnējos ziņojumos.</w:t>
      </w:r>
    </w:p>
    <w:p w14:paraId="06BB2FC0" w14:textId="66BB6BCA" w:rsidR="0065658F" w:rsidRPr="00D70B2C" w:rsidRDefault="00B80658" w:rsidP="00B80658">
      <w:pPr>
        <w:pStyle w:val="Point0"/>
        <w:rPr>
          <w:noProof/>
        </w:rPr>
      </w:pPr>
      <w:r w:rsidRPr="00B80658">
        <w:t>(8)</w:t>
      </w:r>
      <w:r w:rsidRPr="00B80658">
        <w:tab/>
      </w:r>
      <w:r w:rsidR="0065658F" w:rsidRPr="00D70B2C">
        <w:rPr>
          <w:noProof/>
        </w:rPr>
        <w:t>Lai Komisijai sniegtie dati būtu precīzi, ir nepieciešama ziņošana par turpmākiem pasākumiem. Tādējādi dalībvalstīm būtu jāsniedz Komisijai jaunākā informācija par jebkuru būtisku attīstību administratīvās un juridiskās procedūrās vai tiesvedībā, kas attiecas uz katru sākotnējo ziņojumu.</w:t>
      </w:r>
    </w:p>
    <w:p w14:paraId="56239AE9" w14:textId="344218BA" w:rsidR="0065658F" w:rsidRPr="00D70B2C" w:rsidRDefault="00B80658" w:rsidP="00B80658">
      <w:pPr>
        <w:pStyle w:val="Point0"/>
        <w:rPr>
          <w:noProof/>
        </w:rPr>
      </w:pPr>
      <w:r w:rsidRPr="00B80658">
        <w:t>(9)</w:t>
      </w:r>
      <w:r w:rsidRPr="00B80658">
        <w:tab/>
      </w:r>
      <w:r w:rsidR="0065658F" w:rsidRPr="00D70B2C">
        <w:rPr>
          <w:noProof/>
        </w:rPr>
        <w:t>Ja šīs regulas vajadzībām ir jāapstrādā personas dati, tas būtu jāveic saskaņā ar Savienības tiesību aktiem par personas datu aizsardzību. Ņemot vērā Eiropas Parlamenta un Padomes Regulu (ES) 2016/679</w:t>
      </w:r>
      <w:r w:rsidR="0065658F" w:rsidRPr="00D70B2C">
        <w:rPr>
          <w:rStyle w:val="FootnoteReference"/>
          <w:noProof/>
        </w:rPr>
        <w:footnoteReference w:id="8"/>
      </w:r>
      <w:r w:rsidR="0065658F" w:rsidRPr="00D70B2C">
        <w:rPr>
          <w:noProof/>
        </w:rPr>
        <w:t xml:space="preserve"> un Eiropas Parlamenta un Padomes Regulu (ES) 2018/1725</w:t>
      </w:r>
      <w:r w:rsidR="0065658F" w:rsidRPr="00D70B2C">
        <w:rPr>
          <w:rStyle w:val="FootnoteReference"/>
          <w:noProof/>
        </w:rPr>
        <w:footnoteReference w:id="9"/>
      </w:r>
      <w:r w:rsidR="0065658F" w:rsidRPr="00D70B2C">
        <w:rPr>
          <w:noProof/>
        </w:rPr>
        <w:t>, Komisijai un dalībvalstīm attiecībā uz informāciju, ko sniedz saskaņā ar šo regulu, būtu jānovērš neatļauta personas datu izpaušana vai piekļuve tiem. Turklāt šajā regulā būtu skaidri jānorāda, kādos nolūkos Komisija un dalībvalstis minētos datus drīkst apstrādāt. To turpmāka izmantošana neskar Regulas (ES) 2016/679 6. panta 4. punktu.</w:t>
      </w:r>
    </w:p>
    <w:p w14:paraId="2EFAC565" w14:textId="215425FD" w:rsidR="0065658F" w:rsidRPr="00D70B2C" w:rsidRDefault="00B80658" w:rsidP="00B80658">
      <w:pPr>
        <w:pStyle w:val="Point0"/>
        <w:rPr>
          <w:noProof/>
        </w:rPr>
      </w:pPr>
      <w:r w:rsidRPr="00B80658">
        <w:t>(10)</w:t>
      </w:r>
      <w:r w:rsidRPr="00B80658">
        <w:tab/>
      </w:r>
      <w:r w:rsidR="0065658F" w:rsidRPr="00D70B2C">
        <w:rPr>
          <w:noProof/>
        </w:rPr>
        <w:t>Dalībvalstu pienākumi ziņot Komisijai par pārkāpumiem, izmantojot Pārkāpumu pārvaldības sistēmu (IMS), saskaņā ar Regulu (ES) 2021/691 būtu jāpiemēro, neskarot to pienākumus, kas noteikti Eiropas Parlamenta un Padomes Regulā (ES, Euratom) Nr. 883/2013</w:t>
      </w:r>
      <w:r w:rsidR="0065658F" w:rsidRPr="00D70B2C">
        <w:rPr>
          <w:rStyle w:val="FootnoteReference"/>
          <w:noProof/>
        </w:rPr>
        <w:footnoteReference w:id="10"/>
      </w:r>
      <w:r w:rsidR="0065658F" w:rsidRPr="00D70B2C">
        <w:rPr>
          <w:noProof/>
        </w:rPr>
        <w:t xml:space="preserve"> un Padomes Regulā (ES) 2017/1939</w:t>
      </w:r>
      <w:r w:rsidR="0065658F" w:rsidRPr="00D70B2C">
        <w:rPr>
          <w:rStyle w:val="FootnoteReference"/>
          <w:noProof/>
        </w:rPr>
        <w:footnoteReference w:id="11"/>
      </w:r>
      <w:r w:rsidR="0065658F" w:rsidRPr="00D70B2C">
        <w:rPr>
          <w:noProof/>
        </w:rPr>
        <w:t>.</w:t>
      </w:r>
    </w:p>
    <w:p w14:paraId="65738AFB" w14:textId="67F446FC" w:rsidR="0065658F" w:rsidRPr="00D70B2C" w:rsidRDefault="00B80658" w:rsidP="00B80658">
      <w:pPr>
        <w:pStyle w:val="Point0"/>
        <w:rPr>
          <w:noProof/>
        </w:rPr>
      </w:pPr>
      <w:r w:rsidRPr="00B80658">
        <w:t>(11)</w:t>
      </w:r>
      <w:r w:rsidRPr="00B80658">
        <w:tab/>
      </w:r>
      <w:r w:rsidR="0065658F" w:rsidRPr="00D70B2C">
        <w:rPr>
          <w:noProof/>
        </w:rPr>
        <w:t>Attiecībā uz šo regulu saskaņā ar Regulas (ES) 2018/1725 42. panta 1. punktu notika apspriešanās ar Eiropas Datu aizsardzības uzraudzītāju.</w:t>
      </w:r>
    </w:p>
    <w:p w14:paraId="1CA7B07A" w14:textId="0B3E1690" w:rsidR="0065658F" w:rsidRPr="00D70B2C" w:rsidRDefault="00B80658" w:rsidP="00B80658">
      <w:pPr>
        <w:pStyle w:val="Point0"/>
        <w:rPr>
          <w:noProof/>
        </w:rPr>
      </w:pPr>
      <w:r w:rsidRPr="00B80658">
        <w:t>(12)</w:t>
      </w:r>
      <w:r w:rsidRPr="00B80658">
        <w:tab/>
      </w:r>
      <w:r w:rsidR="0065658F" w:rsidRPr="00D70B2C">
        <w:rPr>
          <w:noProof/>
        </w:rPr>
        <w:t>Tā kā pārkāpumi, par kuriem jāziņo, jau varētu būt notikuši un Savienības interesēs ir novērst šādus pārkāpumus, šī regula būtu jāpiemēro pēc iespējas drīzāk. Tādēļ tai būtu jāstājas spēkā nākamajā dienā pēc tās publicēšanas Eiropas Savienības Oficiālajā Vēstnesī,</w:t>
      </w:r>
    </w:p>
    <w:p w14:paraId="682A045F" w14:textId="77777777" w:rsidR="0065658F" w:rsidRPr="00D70B2C" w:rsidRDefault="0065658F" w:rsidP="009343DF">
      <w:pPr>
        <w:pStyle w:val="Formuledadoption"/>
        <w:rPr>
          <w:noProof/>
        </w:rPr>
      </w:pPr>
      <w:r w:rsidRPr="00D70B2C">
        <w:rPr>
          <w:noProof/>
        </w:rPr>
        <w:t>IR PIEŅĒMUSI ŠO REGULU.</w:t>
      </w:r>
    </w:p>
    <w:p w14:paraId="2EF6985D" w14:textId="77777777" w:rsidR="0065658F" w:rsidRPr="00D70B2C" w:rsidRDefault="0065658F" w:rsidP="0065658F">
      <w:pPr>
        <w:pStyle w:val="Titrearticle"/>
        <w:rPr>
          <w:noProof/>
        </w:rPr>
      </w:pPr>
      <w:r w:rsidRPr="00D70B2C">
        <w:rPr>
          <w:noProof/>
        </w:rPr>
        <w:t>1. pants</w:t>
      </w:r>
    </w:p>
    <w:p w14:paraId="453FF82F" w14:textId="77777777" w:rsidR="0065658F" w:rsidRPr="00D70B2C" w:rsidRDefault="0065658F" w:rsidP="0065658F">
      <w:pPr>
        <w:jc w:val="center"/>
        <w:rPr>
          <w:b/>
          <w:bCs/>
          <w:noProof/>
        </w:rPr>
      </w:pPr>
      <w:r w:rsidRPr="00D70B2C">
        <w:rPr>
          <w:b/>
          <w:noProof/>
        </w:rPr>
        <w:t>Priekšmets</w:t>
      </w:r>
    </w:p>
    <w:p w14:paraId="4220F918" w14:textId="77777777" w:rsidR="0065658F" w:rsidRPr="00D70B2C" w:rsidRDefault="0065658F" w:rsidP="0065658F">
      <w:pPr>
        <w:rPr>
          <w:noProof/>
        </w:rPr>
      </w:pPr>
      <w:r w:rsidRPr="00D70B2C">
        <w:rPr>
          <w:noProof/>
        </w:rPr>
        <w:t>Šajā regulā ir izklāstīti kritēriji, pēc kuriem nosaka pārkāpumu gadījumus, par kuriem dalībvalstīm jāziņo, un dati, kas jāsniedz šajā sakarā.</w:t>
      </w:r>
    </w:p>
    <w:p w14:paraId="0600D547" w14:textId="77777777" w:rsidR="0065658F" w:rsidRPr="00D70B2C" w:rsidRDefault="0065658F" w:rsidP="0065658F">
      <w:pPr>
        <w:pStyle w:val="Titrearticle"/>
        <w:rPr>
          <w:noProof/>
        </w:rPr>
      </w:pPr>
      <w:r w:rsidRPr="00D70B2C">
        <w:rPr>
          <w:noProof/>
        </w:rPr>
        <w:t>2. pants</w:t>
      </w:r>
    </w:p>
    <w:p w14:paraId="6902CA2D" w14:textId="77777777" w:rsidR="0065658F" w:rsidRPr="00D70B2C" w:rsidRDefault="0065658F" w:rsidP="0065658F">
      <w:pPr>
        <w:jc w:val="center"/>
        <w:rPr>
          <w:b/>
          <w:noProof/>
        </w:rPr>
      </w:pPr>
      <w:r w:rsidRPr="00D70B2C">
        <w:rPr>
          <w:b/>
          <w:noProof/>
        </w:rPr>
        <w:t>Definīcijas</w:t>
      </w:r>
    </w:p>
    <w:p w14:paraId="2B1301D5" w14:textId="77777777" w:rsidR="0065658F" w:rsidRPr="00D70B2C" w:rsidRDefault="0065658F" w:rsidP="0065658F">
      <w:pPr>
        <w:rPr>
          <w:noProof/>
        </w:rPr>
      </w:pPr>
      <w:r w:rsidRPr="00D70B2C">
        <w:rPr>
          <w:noProof/>
        </w:rPr>
        <w:t>Piemēro definīcijas, kas noteiktas Regulā (ES) 2021/691. Turklāt šīs regulas vajadzībām piemēro šādas definīcijas:</w:t>
      </w:r>
    </w:p>
    <w:p w14:paraId="133A07EC" w14:textId="11BC98C9" w:rsidR="0065658F" w:rsidRPr="00D70B2C" w:rsidRDefault="00B80658" w:rsidP="00B80658">
      <w:pPr>
        <w:pStyle w:val="Point0"/>
        <w:rPr>
          <w:noProof/>
        </w:rPr>
      </w:pPr>
      <w:r w:rsidRPr="00B80658">
        <w:t>(a)</w:t>
      </w:r>
      <w:r w:rsidRPr="00B80658">
        <w:tab/>
      </w:r>
      <w:r w:rsidR="0065658F" w:rsidRPr="00D70B2C">
        <w:rPr>
          <w:noProof/>
        </w:rPr>
        <w:t>“aizdomas par krāpšanu” ir pārkāpums, par kuru valsts līmenī sāk administratīvu procesu vai tiesvedību nolūkā konstatēt tīšas rīcības esamību, jo īpaši krāpšanu vai citus noziedzīgus nodarījumus, kā minēts attiecīgi Direktīvas (ES) 2017/1371 3. panta 2. punkta a) un b) apakšpunktā un 4. panta 1., 2. un 3. punktā, un attiecībā uz dalībvalstīm, kurām minētā direktīva nav saistoša, – kā minēts 1. panta 1. punkta a) apakšpunktā Konvencijā, kas izstrādāta, pamatojoties uz Līguma par Eiropas Savienību K3. pantu, par Eiropas Kopienu finanšu interešu aizsardzību;</w:t>
      </w:r>
    </w:p>
    <w:p w14:paraId="344E9D69" w14:textId="5914E5B1" w:rsidR="0065658F" w:rsidRPr="00D70B2C" w:rsidRDefault="00B80658" w:rsidP="00B80658">
      <w:pPr>
        <w:pStyle w:val="Point0"/>
        <w:rPr>
          <w:noProof/>
        </w:rPr>
      </w:pPr>
      <w:r w:rsidRPr="00B80658">
        <w:t>(b)</w:t>
      </w:r>
      <w:r w:rsidRPr="00B80658">
        <w:tab/>
      </w:r>
      <w:r w:rsidR="0065658F" w:rsidRPr="00D70B2C">
        <w:rPr>
          <w:noProof/>
        </w:rPr>
        <w:t>“pirmā administratīvā vai tiesas konstatācija” ir kompetentas administratīvas vai tiesu iestādes veikts pirmais rakstiskais novērtējums, ar ko, pamatojoties uz konkrētiem faktiem, secina, ka ir izdarīts pārkāpums, neatkarīgi no tā, vai šo secinājumu vēlāk var grozīt vai atcelt, ņemot vērā attiecīgās administratīvās vai tiesvedības procedūras norisi.</w:t>
      </w:r>
    </w:p>
    <w:p w14:paraId="46F99338" w14:textId="77777777" w:rsidR="0065658F" w:rsidRPr="00D70B2C" w:rsidRDefault="0065658F" w:rsidP="0065658F">
      <w:pPr>
        <w:rPr>
          <w:noProof/>
        </w:rPr>
      </w:pPr>
    </w:p>
    <w:p w14:paraId="6F91AF85" w14:textId="77777777" w:rsidR="0065658F" w:rsidRPr="00D70B2C" w:rsidRDefault="0065658F" w:rsidP="0065658F">
      <w:pPr>
        <w:pStyle w:val="Titrearticle"/>
        <w:rPr>
          <w:noProof/>
        </w:rPr>
      </w:pPr>
      <w:r w:rsidRPr="00D70B2C">
        <w:rPr>
          <w:noProof/>
        </w:rPr>
        <w:t>3. pants</w:t>
      </w:r>
    </w:p>
    <w:p w14:paraId="43077BE6" w14:textId="77777777" w:rsidR="0065658F" w:rsidRPr="00D70B2C" w:rsidRDefault="0065658F" w:rsidP="0065658F">
      <w:pPr>
        <w:jc w:val="center"/>
        <w:rPr>
          <w:b/>
          <w:noProof/>
        </w:rPr>
      </w:pPr>
      <w:r w:rsidRPr="00D70B2C">
        <w:rPr>
          <w:b/>
          <w:noProof/>
        </w:rPr>
        <w:t>Ziņošana</w:t>
      </w:r>
    </w:p>
    <w:p w14:paraId="112906B1" w14:textId="77777777" w:rsidR="0065658F" w:rsidRPr="00D70B2C" w:rsidRDefault="0065658F" w:rsidP="0065658F">
      <w:pPr>
        <w:rPr>
          <w:noProof/>
        </w:rPr>
      </w:pPr>
      <w:r w:rsidRPr="00D70B2C">
        <w:rPr>
          <w:noProof/>
        </w:rPr>
        <w:t>1. Dalībvalstis ziņo Komisijai par pārkāpumiem, par kuriem ir veikta pirmā administratīvā vai tiesas konstatācija.</w:t>
      </w:r>
    </w:p>
    <w:p w14:paraId="6DF2697F" w14:textId="77777777" w:rsidR="0065658F" w:rsidRPr="00D70B2C" w:rsidRDefault="0065658F" w:rsidP="0065658F">
      <w:pPr>
        <w:rPr>
          <w:noProof/>
        </w:rPr>
      </w:pPr>
      <w:r w:rsidRPr="00D70B2C">
        <w:rPr>
          <w:noProof/>
        </w:rPr>
        <w:t>2. Atkāpjoties no 1. punkta, dalībvalstis neziņo Komisijai par:</w:t>
      </w:r>
    </w:p>
    <w:p w14:paraId="07C62BFE" w14:textId="641A1E9A" w:rsidR="0065658F" w:rsidRPr="00D70B2C" w:rsidRDefault="00B80658" w:rsidP="00B80658">
      <w:pPr>
        <w:pStyle w:val="Point0"/>
        <w:rPr>
          <w:noProof/>
        </w:rPr>
      </w:pPr>
      <w:r w:rsidRPr="00B80658">
        <w:t>(c)</w:t>
      </w:r>
      <w:r w:rsidRPr="00B80658">
        <w:tab/>
      </w:r>
      <w:r w:rsidR="0065658F" w:rsidRPr="00D70B2C">
        <w:rPr>
          <w:noProof/>
        </w:rPr>
        <w:t>pārkāpumiem saistībā ar Fonda ieguldījumu, kas nepārsniedz 10 000 EUR; šī atkāpe neattiecas uz pārkāpumiem, kas ir savstarpēji saistīti un ietver Fonda kopējo ieguldījumu vairāk nekā 10 000 EUR apmērā, pat ja neviens atsevišķs pārkāpums pats par sevi nepārsniedz minēto maksimālo apjomu;</w:t>
      </w:r>
    </w:p>
    <w:p w14:paraId="589276AE" w14:textId="5375AA7B" w:rsidR="0065658F" w:rsidRPr="00D70B2C" w:rsidRDefault="00B80658" w:rsidP="00B80658">
      <w:pPr>
        <w:pStyle w:val="Point0"/>
        <w:rPr>
          <w:noProof/>
        </w:rPr>
      </w:pPr>
      <w:r w:rsidRPr="00B80658">
        <w:t>(d)</w:t>
      </w:r>
      <w:r w:rsidRPr="00B80658">
        <w:tab/>
      </w:r>
      <w:r w:rsidR="0065658F" w:rsidRPr="00D70B2C">
        <w:rPr>
          <w:noProof/>
        </w:rPr>
        <w:t>gadījumiem, kad pārkāpums izpaužas tikai kā EGF atbalstītā pasākuma pilnīga vai daļēja neizpilde EGF īstenošanā iesaistītā ekonomikas dalībnieka nekrāpnieciska bankrota dēļ;</w:t>
      </w:r>
    </w:p>
    <w:p w14:paraId="05DFCF06" w14:textId="4D5510E3" w:rsidR="0065658F" w:rsidRPr="00D70B2C" w:rsidRDefault="00B80658" w:rsidP="00B80658">
      <w:pPr>
        <w:pStyle w:val="Point0"/>
        <w:rPr>
          <w:noProof/>
        </w:rPr>
      </w:pPr>
      <w:r w:rsidRPr="00B80658">
        <w:t>(e)</w:t>
      </w:r>
      <w:r w:rsidRPr="00B80658">
        <w:tab/>
      </w:r>
      <w:r w:rsidR="0065658F" w:rsidRPr="00D70B2C">
        <w:rPr>
          <w:noProof/>
        </w:rPr>
        <w:t>gadījumiem, uz kuriem EGF īstenošanā iesaistītais ekonomikas dalībnieks brīvprātīgi norādījis vadošajai iestādei vai citai kompetentajai iestādei, pirms kāda no iestādēm pati to konstatējusi – pirms vai pēc publiskā ieguldījuma maksājuma veikšanas;</w:t>
      </w:r>
    </w:p>
    <w:p w14:paraId="7615DC8A" w14:textId="33AEA0A1" w:rsidR="0065658F" w:rsidRPr="00D70B2C" w:rsidRDefault="00B80658" w:rsidP="00B80658">
      <w:pPr>
        <w:pStyle w:val="Point0"/>
        <w:rPr>
          <w:noProof/>
        </w:rPr>
      </w:pPr>
      <w:r w:rsidRPr="00B80658">
        <w:t>(f)</w:t>
      </w:r>
      <w:r w:rsidRPr="00B80658">
        <w:tab/>
      </w:r>
      <w:r w:rsidR="0065658F" w:rsidRPr="00D70B2C">
        <w:rPr>
          <w:noProof/>
        </w:rPr>
        <w:t>gadījumiem, kurus vadošā iestāde vai cita kompetentā iestāde ir konstatējusi un koriģējusi pirms iekļaušanas izdevumu pārskatā, ko Komisijai iesniedz kopā ar noslēguma ziņojumu par finansiālā ieguldījuma īstenošanu.</w:t>
      </w:r>
    </w:p>
    <w:p w14:paraId="3FBA7F49" w14:textId="77777777" w:rsidR="0065658F" w:rsidRPr="00D70B2C" w:rsidRDefault="0065658F" w:rsidP="0065658F">
      <w:pPr>
        <w:rPr>
          <w:noProof/>
          <w:szCs w:val="24"/>
        </w:rPr>
      </w:pPr>
      <w:r w:rsidRPr="00D70B2C">
        <w:rPr>
          <w:noProof/>
        </w:rPr>
        <w:t>Atkāpes, kas minētas iepriekšējās daļas c) un d) apakšpunktā, nepiemēro 2. panta a) punktā minētajos pārkāpumu gadījumos.</w:t>
      </w:r>
    </w:p>
    <w:p w14:paraId="70B1F5BF" w14:textId="77777777" w:rsidR="0065658F" w:rsidRPr="00D70B2C" w:rsidRDefault="0065658F" w:rsidP="0065658F">
      <w:pPr>
        <w:rPr>
          <w:noProof/>
        </w:rPr>
      </w:pPr>
      <w:r w:rsidRPr="00D70B2C">
        <w:rPr>
          <w:noProof/>
        </w:rPr>
        <w:t>3. Sākotnējā ziņojumā par pārkāpumiem dalībvalstis sniedz šādu informāciju:</w:t>
      </w:r>
    </w:p>
    <w:p w14:paraId="762DA59B" w14:textId="1B30A174" w:rsidR="0065658F" w:rsidRPr="00D70B2C" w:rsidRDefault="00B80658" w:rsidP="00B80658">
      <w:pPr>
        <w:pStyle w:val="Point0"/>
        <w:rPr>
          <w:noProof/>
        </w:rPr>
      </w:pPr>
      <w:r w:rsidRPr="00B80658">
        <w:t>(g)</w:t>
      </w:r>
      <w:r w:rsidRPr="00B80658">
        <w:tab/>
      </w:r>
      <w:r w:rsidR="0065658F" w:rsidRPr="00D70B2C">
        <w:rPr>
          <w:noProof/>
        </w:rPr>
        <w:t>EGF lietas identifikatori (kopīgā identifikācijas koda (KIK) numurs un lietas nosaukums), pasākums un attiecīgā darbība;</w:t>
      </w:r>
    </w:p>
    <w:p w14:paraId="50372A03" w14:textId="322A489E" w:rsidR="0065658F" w:rsidRPr="00D70B2C" w:rsidRDefault="00B80658" w:rsidP="00B80658">
      <w:pPr>
        <w:pStyle w:val="Point0"/>
        <w:rPr>
          <w:noProof/>
        </w:rPr>
      </w:pPr>
      <w:r w:rsidRPr="00B80658">
        <w:t>(h)</w:t>
      </w:r>
      <w:r w:rsidRPr="00B80658">
        <w:tab/>
      </w:r>
      <w:r w:rsidR="0065658F" w:rsidRPr="00D70B2C">
        <w:rPr>
          <w:noProof/>
        </w:rPr>
        <w:t>attiecīgās fiziskās un/vai juridiskās personas vai citas struktūras, kas piedalījās pārkāpuma izdarīšanā, identitāte un viņu loma pārkāpuma izdarīšanā, izņemot gadījumus, kad šai informācijai nav nozīmes pārkāpumu apkarošanā, ņemot vērā konkrētā pārkāpuma būtību;</w:t>
      </w:r>
    </w:p>
    <w:p w14:paraId="6F5394EC" w14:textId="1C6A3970" w:rsidR="0065658F" w:rsidRPr="00D70B2C" w:rsidRDefault="00B80658" w:rsidP="00B80658">
      <w:pPr>
        <w:pStyle w:val="Point0"/>
        <w:rPr>
          <w:noProof/>
        </w:rPr>
      </w:pPr>
      <w:r w:rsidRPr="00B80658">
        <w:t>(i)</w:t>
      </w:r>
      <w:r w:rsidRPr="00B80658">
        <w:tab/>
      </w:r>
      <w:r w:rsidR="0065658F" w:rsidRPr="00D70B2C">
        <w:rPr>
          <w:noProof/>
        </w:rPr>
        <w:t>attiecīgo personu valsts identifikācijas numurs;</w:t>
      </w:r>
    </w:p>
    <w:p w14:paraId="748507C9" w14:textId="2D9DDE69" w:rsidR="0065658F" w:rsidRPr="00D70B2C" w:rsidRDefault="00B80658" w:rsidP="00B80658">
      <w:pPr>
        <w:pStyle w:val="Point0"/>
        <w:rPr>
          <w:noProof/>
        </w:rPr>
      </w:pPr>
      <w:r w:rsidRPr="00B80658">
        <w:t>(j)</w:t>
      </w:r>
      <w:r w:rsidRPr="00B80658">
        <w:tab/>
      </w:r>
      <w:r w:rsidR="0065658F" w:rsidRPr="00D70B2C">
        <w:rPr>
          <w:noProof/>
        </w:rPr>
        <w:t>attiecīgo personu PVN maksātāja numurs;</w:t>
      </w:r>
    </w:p>
    <w:p w14:paraId="2E889325" w14:textId="1D56FFBE" w:rsidR="0065658F" w:rsidRPr="00D70B2C" w:rsidRDefault="00B80658" w:rsidP="00B80658">
      <w:pPr>
        <w:pStyle w:val="Point0"/>
        <w:rPr>
          <w:noProof/>
        </w:rPr>
      </w:pPr>
      <w:r w:rsidRPr="00B80658">
        <w:t>(k)</w:t>
      </w:r>
      <w:r w:rsidRPr="00B80658">
        <w:tab/>
      </w:r>
      <w:r w:rsidR="0065658F" w:rsidRPr="00D70B2C">
        <w:rPr>
          <w:noProof/>
        </w:rPr>
        <w:t xml:space="preserve">reģions vai teritorija, kurā darbība veikta un kurš identificēts, izmantojot atbilstošu informāciju, piemēram, </w:t>
      </w:r>
      <w:r w:rsidR="0065658F" w:rsidRPr="00D70B2C">
        <w:rPr>
          <w:i/>
          <w:noProof/>
        </w:rPr>
        <w:t>NUTS</w:t>
      </w:r>
      <w:r w:rsidR="0065658F" w:rsidRPr="00D70B2C">
        <w:rPr>
          <w:noProof/>
        </w:rPr>
        <w:t xml:space="preserve"> (Statistiski teritoriālo vienību nomenklatūra) līmeni;</w:t>
      </w:r>
    </w:p>
    <w:p w14:paraId="4881C649" w14:textId="6349B2A3" w:rsidR="0065658F" w:rsidRPr="00D70B2C" w:rsidRDefault="00B80658" w:rsidP="00B80658">
      <w:pPr>
        <w:pStyle w:val="Point0"/>
        <w:rPr>
          <w:noProof/>
        </w:rPr>
      </w:pPr>
      <w:r w:rsidRPr="00B80658">
        <w:t>(l)</w:t>
      </w:r>
      <w:r w:rsidRPr="00B80658">
        <w:tab/>
      </w:r>
      <w:r w:rsidR="0065658F" w:rsidRPr="00D70B2C">
        <w:rPr>
          <w:noProof/>
        </w:rPr>
        <w:t>pārkāptais noteikums vai noteikumi Savienības un valsts līmenī;</w:t>
      </w:r>
    </w:p>
    <w:p w14:paraId="35A0C22D" w14:textId="3DA7A3F5" w:rsidR="0065658F" w:rsidRPr="00D70B2C" w:rsidRDefault="00B80658" w:rsidP="00B80658">
      <w:pPr>
        <w:pStyle w:val="Point0"/>
        <w:rPr>
          <w:noProof/>
        </w:rPr>
      </w:pPr>
      <w:r w:rsidRPr="00B80658">
        <w:t>(m)</w:t>
      </w:r>
      <w:r w:rsidRPr="00B80658">
        <w:tab/>
      </w:r>
      <w:r w:rsidR="0065658F" w:rsidRPr="00D70B2C">
        <w:rPr>
          <w:noProof/>
        </w:rPr>
        <w:t>datums, kad pirmo reizi saņemta informācija, kas izraisījusi aizdomas par notikušu pārkāpumu, un šādas informācijas avots;</w:t>
      </w:r>
    </w:p>
    <w:p w14:paraId="73460226" w14:textId="367B9248" w:rsidR="0065658F" w:rsidRPr="00D70B2C" w:rsidRDefault="00B80658" w:rsidP="00B80658">
      <w:pPr>
        <w:pStyle w:val="Point0"/>
        <w:rPr>
          <w:noProof/>
        </w:rPr>
      </w:pPr>
      <w:r w:rsidRPr="00B80658">
        <w:t>(n)</w:t>
      </w:r>
      <w:r w:rsidRPr="00B80658">
        <w:tab/>
      </w:r>
      <w:r w:rsidR="0065658F" w:rsidRPr="00D70B2C">
        <w:rPr>
          <w:noProof/>
        </w:rPr>
        <w:t>pārkāpuma izdarīšanā izmantotie darbības veidi (</w:t>
      </w:r>
      <w:r w:rsidR="0065658F" w:rsidRPr="00D70B2C">
        <w:rPr>
          <w:i/>
          <w:noProof/>
        </w:rPr>
        <w:t>modi operandi</w:t>
      </w:r>
      <w:r w:rsidR="0065658F" w:rsidRPr="00D70B2C">
        <w:rPr>
          <w:noProof/>
        </w:rPr>
        <w:t>);</w:t>
      </w:r>
    </w:p>
    <w:p w14:paraId="5FCD68C9" w14:textId="256889CF" w:rsidR="0065658F" w:rsidRPr="00D70B2C" w:rsidRDefault="00B80658" w:rsidP="00B80658">
      <w:pPr>
        <w:pStyle w:val="Point0"/>
        <w:rPr>
          <w:noProof/>
        </w:rPr>
      </w:pPr>
      <w:r w:rsidRPr="00B80658">
        <w:t>(o)</w:t>
      </w:r>
      <w:r w:rsidRPr="00B80658">
        <w:tab/>
      </w:r>
      <w:r w:rsidR="0065658F" w:rsidRPr="00D70B2C">
        <w:rPr>
          <w:noProof/>
        </w:rPr>
        <w:t>attiecīgā gadījumā – vai darbība rada aizdomas par krāpšanu;</w:t>
      </w:r>
    </w:p>
    <w:p w14:paraId="6639BFF5" w14:textId="0CA808DC" w:rsidR="0065658F" w:rsidRPr="00D70B2C" w:rsidRDefault="00B80658" w:rsidP="00B80658">
      <w:pPr>
        <w:pStyle w:val="Point0"/>
        <w:rPr>
          <w:noProof/>
        </w:rPr>
      </w:pPr>
      <w:r w:rsidRPr="00B80658">
        <w:t>(p)</w:t>
      </w:r>
      <w:r w:rsidRPr="00B80658">
        <w:tab/>
      </w:r>
      <w:r w:rsidR="0065658F" w:rsidRPr="00D70B2C">
        <w:rPr>
          <w:noProof/>
        </w:rPr>
        <w:t>pārkāpuma atklāšanas veids;</w:t>
      </w:r>
    </w:p>
    <w:p w14:paraId="50860B25" w14:textId="33819118" w:rsidR="0065658F" w:rsidRPr="00D70B2C" w:rsidRDefault="00B80658" w:rsidP="00B80658">
      <w:pPr>
        <w:pStyle w:val="Point0"/>
        <w:rPr>
          <w:noProof/>
        </w:rPr>
      </w:pPr>
      <w:r w:rsidRPr="00B80658">
        <w:t>(q)</w:t>
      </w:r>
      <w:r w:rsidRPr="00B80658">
        <w:tab/>
      </w:r>
      <w:r w:rsidR="0065658F" w:rsidRPr="00D70B2C">
        <w:rPr>
          <w:noProof/>
        </w:rPr>
        <w:t xml:space="preserve">attiecīgā gadījumā – </w:t>
      </w:r>
      <w:r w:rsidR="0065658F" w:rsidRPr="00D70B2C">
        <w:rPr>
          <w:i/>
          <w:noProof/>
        </w:rPr>
        <w:t>OLAF</w:t>
      </w:r>
      <w:r w:rsidR="0065658F" w:rsidRPr="00D70B2C">
        <w:rPr>
          <w:noProof/>
        </w:rPr>
        <w:t xml:space="preserve"> (Eiropas Birojs krāpšanas apkarošanai) lietas numurs;</w:t>
      </w:r>
    </w:p>
    <w:p w14:paraId="41666EEC" w14:textId="273EE91C" w:rsidR="0065658F" w:rsidRPr="00D70B2C" w:rsidRDefault="00B80658" w:rsidP="00B80658">
      <w:pPr>
        <w:pStyle w:val="Point0"/>
        <w:rPr>
          <w:noProof/>
        </w:rPr>
      </w:pPr>
      <w:r w:rsidRPr="00B80658">
        <w:t>(r)</w:t>
      </w:r>
      <w:r w:rsidRPr="00B80658">
        <w:tab/>
      </w:r>
      <w:r w:rsidR="0065658F" w:rsidRPr="00D70B2C">
        <w:rPr>
          <w:noProof/>
        </w:rPr>
        <w:t>vajadzības gadījumā – iesaistītās dalībvalstis;</w:t>
      </w:r>
    </w:p>
    <w:p w14:paraId="11BA1D78" w14:textId="7FA2E52D" w:rsidR="0065658F" w:rsidRPr="00D70B2C" w:rsidRDefault="00B80658" w:rsidP="00B80658">
      <w:pPr>
        <w:pStyle w:val="Point0"/>
        <w:rPr>
          <w:noProof/>
        </w:rPr>
      </w:pPr>
      <w:r w:rsidRPr="00B80658">
        <w:t>(s)</w:t>
      </w:r>
      <w:r w:rsidRPr="00B80658">
        <w:tab/>
      </w:r>
      <w:r w:rsidR="0065658F" w:rsidRPr="00D70B2C">
        <w:rPr>
          <w:noProof/>
        </w:rPr>
        <w:t>laikposms vai datums, kurā izdarīts pārkāpums;</w:t>
      </w:r>
    </w:p>
    <w:p w14:paraId="2C092DE1" w14:textId="7D74A9CC" w:rsidR="0065658F" w:rsidRPr="00D70B2C" w:rsidRDefault="00B80658" w:rsidP="00B80658">
      <w:pPr>
        <w:pStyle w:val="Point0"/>
        <w:rPr>
          <w:noProof/>
        </w:rPr>
      </w:pPr>
      <w:r w:rsidRPr="00B80658">
        <w:t>(t)</w:t>
      </w:r>
      <w:r w:rsidRPr="00B80658">
        <w:tab/>
      </w:r>
      <w:r w:rsidR="0065658F" w:rsidRPr="00D70B2C">
        <w:rPr>
          <w:noProof/>
        </w:rPr>
        <w:t>diena, kad tika veikta pirmā administratīvā vai tiesas konstatācija par pārkāpumu;</w:t>
      </w:r>
    </w:p>
    <w:p w14:paraId="7731EDCC" w14:textId="6D234756" w:rsidR="0065658F" w:rsidRPr="00D70B2C" w:rsidRDefault="00B80658" w:rsidP="00B80658">
      <w:pPr>
        <w:pStyle w:val="Point0"/>
        <w:rPr>
          <w:noProof/>
        </w:rPr>
      </w:pPr>
      <w:r w:rsidRPr="00B80658">
        <w:t>(u)</w:t>
      </w:r>
      <w:r w:rsidRPr="00B80658">
        <w:tab/>
      </w:r>
      <w:r w:rsidR="0065658F" w:rsidRPr="00D70B2C">
        <w:rPr>
          <w:noProof/>
        </w:rPr>
        <w:t>izdevumu kopsumma, kas izteikta kā Savienības ieguldījums un valsts līdzfinansējums, tostarp privātie ieguldījumi, ja tādi ir;</w:t>
      </w:r>
    </w:p>
    <w:p w14:paraId="517C9BE0" w14:textId="1E318761" w:rsidR="0065658F" w:rsidRPr="00D70B2C" w:rsidRDefault="00B80658" w:rsidP="00B80658">
      <w:pPr>
        <w:pStyle w:val="Point0"/>
        <w:rPr>
          <w:noProof/>
        </w:rPr>
      </w:pPr>
      <w:r w:rsidRPr="00B80658">
        <w:t>(v)</w:t>
      </w:r>
      <w:r w:rsidRPr="00B80658">
        <w:tab/>
      </w:r>
      <w:r w:rsidR="0065658F" w:rsidRPr="00D70B2C">
        <w:rPr>
          <w:noProof/>
        </w:rPr>
        <w:t>pārkāpuma ietekmētā summa, kas izteikta kā Savienības un valsts ieguldījums, tostarp privātie ieguldījumi, ja tādi ir;</w:t>
      </w:r>
    </w:p>
    <w:p w14:paraId="3474C874" w14:textId="655C3A32" w:rsidR="0065658F" w:rsidRPr="00D70B2C" w:rsidRDefault="00B80658" w:rsidP="00B80658">
      <w:pPr>
        <w:pStyle w:val="Point0"/>
        <w:rPr>
          <w:noProof/>
        </w:rPr>
      </w:pPr>
      <w:r w:rsidRPr="00B80658">
        <w:t>(w)</w:t>
      </w:r>
      <w:r w:rsidRPr="00B80658">
        <w:tab/>
      </w:r>
      <w:r w:rsidR="0065658F" w:rsidRPr="00D70B2C">
        <w:rPr>
          <w:noProof/>
        </w:rPr>
        <w:t>gadījumos, kad rodas aizdomas par krāpšanu, un ja EGF īstenošanā iesaistītajam ekonomikas dalībniekam nav veikts publiskā ieguldījuma maksājums, summa, kas tiktu nepamatoti izmaksāta, ja pārkāpums netiktu konstatēts, izteikta kā Savienības ieguldījums un valsts līdzfinansējums, tostarp privātie ieguldījumi, ja tādi ir;</w:t>
      </w:r>
    </w:p>
    <w:p w14:paraId="7F3AC914" w14:textId="263549C8" w:rsidR="0065658F" w:rsidRPr="00D70B2C" w:rsidRDefault="00B80658" w:rsidP="00B80658">
      <w:pPr>
        <w:pStyle w:val="Point0"/>
        <w:rPr>
          <w:noProof/>
        </w:rPr>
      </w:pPr>
      <w:r w:rsidRPr="00B80658">
        <w:t>(x)</w:t>
      </w:r>
      <w:r w:rsidRPr="00B80658">
        <w:tab/>
      </w:r>
      <w:r w:rsidR="0065658F" w:rsidRPr="00D70B2C">
        <w:rPr>
          <w:noProof/>
        </w:rPr>
        <w:t>neatbilstoši veikto izdevumu veids.</w:t>
      </w:r>
    </w:p>
    <w:p w14:paraId="0D40F449" w14:textId="77777777" w:rsidR="0065658F" w:rsidRPr="00D70B2C" w:rsidRDefault="0065658F" w:rsidP="0065658F">
      <w:pPr>
        <w:rPr>
          <w:noProof/>
        </w:rPr>
      </w:pPr>
      <w:r w:rsidRPr="00D70B2C">
        <w:rPr>
          <w:noProof/>
        </w:rPr>
        <w:t>4. Ja valstu noteikumos paredzēta konfidenciāla izmeklēšana, informācijas paziņošanai vajadzīga kompetentās tiesas vai citas iestādes atļauja saskaņā ar valsts tiesību aktiem.</w:t>
      </w:r>
    </w:p>
    <w:p w14:paraId="0FE85D47" w14:textId="77777777" w:rsidR="0065658F" w:rsidRPr="00D70B2C" w:rsidRDefault="0065658F" w:rsidP="0065658F">
      <w:pPr>
        <w:rPr>
          <w:noProof/>
        </w:rPr>
      </w:pPr>
      <w:r w:rsidRPr="00D70B2C">
        <w:rPr>
          <w:noProof/>
        </w:rPr>
        <w:t>5. Ja nav pieejama vai ir jālabo vai jāpapildina daļa no 3. punktā minētās informācijas, jo īpaši informācija attiecībā uz pārkāpuma izdarīšanā izmantotajiem darbības veidiem un pārkāpuma atklāšanas veidu, dalībvalstis sniedz trūkstošo vai pareizo informāciju, iesniedzot Komisijai ziņojumus par turpmākiem pasākumiem attiecībā uz pārkāpumiem.</w:t>
      </w:r>
    </w:p>
    <w:p w14:paraId="604F2E94" w14:textId="77777777" w:rsidR="0065658F" w:rsidRPr="00D70B2C" w:rsidRDefault="0065658F" w:rsidP="0065658F">
      <w:pPr>
        <w:rPr>
          <w:noProof/>
        </w:rPr>
      </w:pPr>
      <w:r w:rsidRPr="00D70B2C">
        <w:rPr>
          <w:noProof/>
        </w:rPr>
        <w:t>6. Dalībvalstis informē Komisiju par to, kad sāktas, pabeigtas vai pārtrauktas procedūras vai tiesvedības, lai piemērotu administratīvu pasākumu, administratīvo sodu vai kriminālsodu saistībā ar paziņoto pārkāpumu, kā arī par šādas procedūras vai tiesvedības iznākumu. Attiecībā uz pārkāpumiem, par kuriem piemērots sods, dalībvalstis norāda arī šādu informāciju:</w:t>
      </w:r>
    </w:p>
    <w:p w14:paraId="58BAD009" w14:textId="5FF3C765" w:rsidR="0065658F" w:rsidRPr="00D70B2C" w:rsidRDefault="00B80658" w:rsidP="00B80658">
      <w:pPr>
        <w:pStyle w:val="Point0"/>
        <w:rPr>
          <w:noProof/>
        </w:rPr>
      </w:pPr>
      <w:r w:rsidRPr="00B80658">
        <w:t>(a)</w:t>
      </w:r>
      <w:r w:rsidRPr="00B80658">
        <w:tab/>
      </w:r>
      <w:r w:rsidR="0065658F" w:rsidRPr="00D70B2C">
        <w:rPr>
          <w:noProof/>
        </w:rPr>
        <w:t>vai sods ir administratīvs vai kriminālsods un sīkāku informāciju par sodu;</w:t>
      </w:r>
    </w:p>
    <w:p w14:paraId="11CBD52B" w14:textId="37A8C0A8" w:rsidR="0065658F" w:rsidRPr="00D70B2C" w:rsidRDefault="00B80658" w:rsidP="00B80658">
      <w:pPr>
        <w:pStyle w:val="Point0"/>
        <w:rPr>
          <w:noProof/>
        </w:rPr>
      </w:pPr>
      <w:r w:rsidRPr="00B80658">
        <w:t>(b)</w:t>
      </w:r>
      <w:r w:rsidRPr="00B80658">
        <w:tab/>
      </w:r>
      <w:r w:rsidR="0065658F" w:rsidRPr="00D70B2C">
        <w:rPr>
          <w:noProof/>
        </w:rPr>
        <w:t>vai sods tiek piemērots par Savienības vai valsts tiesību aktu pārkāpumu;</w:t>
      </w:r>
    </w:p>
    <w:p w14:paraId="53BD9BAD" w14:textId="07287F4F" w:rsidR="0065658F" w:rsidRPr="00D70B2C" w:rsidRDefault="00B80658" w:rsidP="00B80658">
      <w:pPr>
        <w:pStyle w:val="Point0"/>
        <w:rPr>
          <w:noProof/>
        </w:rPr>
      </w:pPr>
      <w:r w:rsidRPr="00B80658">
        <w:t>(c)</w:t>
      </w:r>
      <w:r w:rsidRPr="00B80658">
        <w:tab/>
      </w:r>
      <w:r w:rsidR="0065658F" w:rsidRPr="00D70B2C">
        <w:rPr>
          <w:noProof/>
        </w:rPr>
        <w:t>vai ir konstatēta krāpšana.</w:t>
      </w:r>
    </w:p>
    <w:p w14:paraId="2C0A1982" w14:textId="77777777" w:rsidR="0065658F" w:rsidRPr="00D70B2C" w:rsidRDefault="0065658F" w:rsidP="0065658F">
      <w:pPr>
        <w:rPr>
          <w:noProof/>
        </w:rPr>
      </w:pPr>
      <w:r w:rsidRPr="00D70B2C">
        <w:rPr>
          <w:noProof/>
        </w:rPr>
        <w:t>7. Pēc Komisijas rakstiska pieprasījuma dalībvalstis sniedz informāciju saistībā ar konkrētu pārkāpumu vai pārkāpumu grupu.</w:t>
      </w:r>
    </w:p>
    <w:p w14:paraId="1A816C04" w14:textId="77777777" w:rsidR="0065658F" w:rsidRPr="00D70B2C" w:rsidRDefault="0065658F" w:rsidP="0065658F">
      <w:pPr>
        <w:pStyle w:val="Titrearticle"/>
        <w:rPr>
          <w:noProof/>
        </w:rPr>
      </w:pPr>
      <w:r w:rsidRPr="00D70B2C">
        <w:rPr>
          <w:noProof/>
        </w:rPr>
        <w:t>4. pants</w:t>
      </w:r>
    </w:p>
    <w:p w14:paraId="72199C7B" w14:textId="77777777" w:rsidR="0065658F" w:rsidRPr="00D70B2C" w:rsidRDefault="0065658F" w:rsidP="0065658F">
      <w:pPr>
        <w:jc w:val="center"/>
        <w:rPr>
          <w:b/>
          <w:noProof/>
        </w:rPr>
      </w:pPr>
      <w:r w:rsidRPr="00D70B2C">
        <w:rPr>
          <w:b/>
          <w:noProof/>
        </w:rPr>
        <w:t>Paziņotās informācijas izmantošana un apstrāde</w:t>
      </w:r>
    </w:p>
    <w:p w14:paraId="5B952261" w14:textId="77777777" w:rsidR="0065658F" w:rsidRPr="00D70B2C" w:rsidRDefault="0065658F" w:rsidP="0065658F">
      <w:pPr>
        <w:rPr>
          <w:noProof/>
        </w:rPr>
      </w:pPr>
      <w:r w:rsidRPr="00D70B2C">
        <w:rPr>
          <w:noProof/>
        </w:rPr>
        <w:t>1. Komisija var izmantot jebkādu informāciju, ko dalībvalstis sniedz saskaņā ar šo regulu, lai veiktu riska analīzi, izmantojot informācijas tehnoloģiju atbalstu, un, balstoties uz iegūto informāciju, var sagatavot ziņojumus un izstrādāt sistēmas, kas ļauj efektīvāk identificēt riskus.</w:t>
      </w:r>
    </w:p>
    <w:p w14:paraId="0354BB48" w14:textId="77777777" w:rsidR="0065658F" w:rsidRPr="00D70B2C" w:rsidRDefault="0065658F" w:rsidP="0065658F">
      <w:pPr>
        <w:rPr>
          <w:noProof/>
        </w:rPr>
      </w:pPr>
      <w:r w:rsidRPr="00D70B2C">
        <w:rPr>
          <w:noProof/>
        </w:rPr>
        <w:t>2. Uz informāciju, kas sniegta saskaņā ar šo regulu, attiecas dienesta noslēpums, un to aizsargā tādā pašā veidā, kā tās dalībvalsts tiesību aktos, kura to sniedza, un attiecīgajos noteikumos, ko piemēro Savienības iestādēm. Dalībvalstis un Komisija veic visus nepieciešamos piesardzības pasākumus ar mērķi nodrošināt informācijas konfidencialitāti.</w:t>
      </w:r>
    </w:p>
    <w:p w14:paraId="64A17D0A" w14:textId="77777777" w:rsidR="0065658F" w:rsidRPr="00D70B2C" w:rsidRDefault="0065658F" w:rsidP="0065658F">
      <w:pPr>
        <w:rPr>
          <w:noProof/>
        </w:rPr>
      </w:pPr>
      <w:r w:rsidRPr="00D70B2C">
        <w:rPr>
          <w:noProof/>
        </w:rPr>
        <w:t>3. Bez informāciju sniegušās dalībvalsts skaidri izteiktas piekrišanas 2. punktā minēto informāciju neizpauž personām, kuras nav dalībvalstu vai Savienības iestāžu, aģentūru, biroju vai struktūru darbinieki un kuru pienākumu izpildei nav nepieciešama piekļuve šādai informācijai.</w:t>
      </w:r>
    </w:p>
    <w:p w14:paraId="2246D835" w14:textId="77777777" w:rsidR="0065658F" w:rsidRPr="00D70B2C" w:rsidRDefault="0065658F" w:rsidP="0065658F">
      <w:pPr>
        <w:rPr>
          <w:noProof/>
        </w:rPr>
      </w:pPr>
      <w:r w:rsidRPr="00D70B2C">
        <w:rPr>
          <w:noProof/>
        </w:rPr>
        <w:t>4. Bez informāciju sniegušās dalībvalsts skaidri izteiktas piekrišanas 2. punktā minēto informāciju neizmanto citiem mērķiem, kā vien Savienības finanšu interešu aizsardzībai.</w:t>
      </w:r>
    </w:p>
    <w:p w14:paraId="12E11F21" w14:textId="77777777" w:rsidR="0065658F" w:rsidRPr="00D70B2C" w:rsidRDefault="0065658F" w:rsidP="0065658F">
      <w:pPr>
        <w:pStyle w:val="Titrearticle"/>
        <w:rPr>
          <w:noProof/>
        </w:rPr>
      </w:pPr>
      <w:r w:rsidRPr="00D70B2C">
        <w:rPr>
          <w:noProof/>
        </w:rPr>
        <w:t>5. pants</w:t>
      </w:r>
    </w:p>
    <w:p w14:paraId="6173FF77" w14:textId="77777777" w:rsidR="0065658F" w:rsidRPr="00D70B2C" w:rsidRDefault="0065658F" w:rsidP="0065658F">
      <w:pPr>
        <w:jc w:val="center"/>
        <w:rPr>
          <w:b/>
          <w:noProof/>
          <w:szCs w:val="24"/>
        </w:rPr>
      </w:pPr>
      <w:r w:rsidRPr="00D70B2C">
        <w:rPr>
          <w:b/>
          <w:noProof/>
        </w:rPr>
        <w:t>Stāšanās spēkā</w:t>
      </w:r>
    </w:p>
    <w:p w14:paraId="3A1C6733" w14:textId="77777777" w:rsidR="0065658F" w:rsidRPr="00D70B2C" w:rsidRDefault="0065658F" w:rsidP="0065658F">
      <w:pPr>
        <w:rPr>
          <w:noProof/>
        </w:rPr>
      </w:pPr>
      <w:r w:rsidRPr="00D70B2C">
        <w:rPr>
          <w:noProof/>
        </w:rPr>
        <w:t xml:space="preserve">Šī regula stājas spēkā nākamajā dienā pēc tās publicēšanas </w:t>
      </w:r>
      <w:r w:rsidRPr="00D70B2C">
        <w:rPr>
          <w:i/>
          <w:noProof/>
        </w:rPr>
        <w:t>Eiropas Savienības Oficiālajā Vēstnesī</w:t>
      </w:r>
      <w:r w:rsidRPr="00D70B2C">
        <w:rPr>
          <w:noProof/>
        </w:rPr>
        <w:t>.</w:t>
      </w:r>
    </w:p>
    <w:p w14:paraId="6EAFE9BD" w14:textId="77777777" w:rsidR="0065658F" w:rsidRPr="00D70B2C" w:rsidRDefault="0065658F" w:rsidP="0065658F">
      <w:pPr>
        <w:pStyle w:val="Applicationdirecte"/>
        <w:rPr>
          <w:noProof/>
        </w:rPr>
      </w:pPr>
      <w:r w:rsidRPr="00D70B2C">
        <w:rPr>
          <w:noProof/>
        </w:rPr>
        <w:t>Šī regula uzliek saistības kopumā un ir tieši piemērojama visās dalībvalstīs.</w:t>
      </w:r>
    </w:p>
    <w:p w14:paraId="6DA6EC2C" w14:textId="699C6814" w:rsidR="0065658F" w:rsidRPr="00D70B2C" w:rsidRDefault="00D17140" w:rsidP="00C51D0B">
      <w:pPr>
        <w:pStyle w:val="Fait"/>
        <w:rPr>
          <w:noProof/>
        </w:rPr>
      </w:pPr>
      <w:r w:rsidRPr="00D17140">
        <w:t>Briselē, 18.12.2023</w:t>
      </w:r>
    </w:p>
    <w:p w14:paraId="220C1289" w14:textId="77777777" w:rsidR="004058F3" w:rsidRPr="00D70B2C" w:rsidRDefault="0065658F" w:rsidP="00C51D0B">
      <w:pPr>
        <w:pStyle w:val="Institutionquisigne"/>
        <w:rPr>
          <w:noProof/>
        </w:rPr>
      </w:pPr>
      <w:r w:rsidRPr="00D70B2C">
        <w:rPr>
          <w:noProof/>
        </w:rPr>
        <w:tab/>
        <w:t>Komisijas vārdā –</w:t>
      </w:r>
    </w:p>
    <w:p w14:paraId="442FDD99" w14:textId="5F68B044" w:rsidR="004058F3" w:rsidRPr="00D70B2C" w:rsidRDefault="00383D7C" w:rsidP="00C51D0B">
      <w:pPr>
        <w:pStyle w:val="Personnequisigne"/>
        <w:keepNext/>
        <w:rPr>
          <w:noProof/>
        </w:rPr>
      </w:pPr>
      <w:r>
        <w:tab/>
        <w:t>priekšsēdētāja</w:t>
      </w:r>
      <w:r>
        <w:br/>
      </w:r>
      <w:r>
        <w:tab/>
        <w:t>Ursula VON DER LEYEN</w:t>
      </w:r>
    </w:p>
    <w:p w14:paraId="3EE8AB65" w14:textId="2B10F3D9" w:rsidR="0065658F" w:rsidRPr="00D70B2C" w:rsidRDefault="0065658F" w:rsidP="004058F3">
      <w:pPr>
        <w:pStyle w:val="Institutionquisigne"/>
        <w:rPr>
          <w:noProof/>
        </w:rPr>
      </w:pPr>
    </w:p>
    <w:sectPr w:rsidR="0065658F" w:rsidRPr="00D70B2C" w:rsidSect="007B27D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CB324" w14:textId="77777777" w:rsidR="00582D47" w:rsidRDefault="00582D47" w:rsidP="0065658F">
      <w:pPr>
        <w:spacing w:before="0" w:after="0"/>
      </w:pPr>
      <w:r>
        <w:separator/>
      </w:r>
    </w:p>
  </w:endnote>
  <w:endnote w:type="continuationSeparator" w:id="0">
    <w:p w14:paraId="487F4281" w14:textId="77777777" w:rsidR="00582D47" w:rsidRDefault="00582D47" w:rsidP="006565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66AB" w14:textId="3C76C2C5" w:rsidR="00D70B2C" w:rsidRPr="007B27DF" w:rsidRDefault="007B27DF" w:rsidP="007B27DF">
    <w:pPr>
      <w:pStyle w:val="Footer"/>
      <w:rPr>
        <w:rFonts w:ascii="Arial" w:hAnsi="Arial" w:cs="Arial"/>
        <w:b/>
        <w:sz w:val="48"/>
      </w:rPr>
    </w:pPr>
    <w:r w:rsidRPr="007B27DF">
      <w:rPr>
        <w:rFonts w:ascii="Arial" w:hAnsi="Arial" w:cs="Arial"/>
        <w:b/>
        <w:sz w:val="48"/>
      </w:rPr>
      <w:t>LV</w:t>
    </w:r>
    <w:r w:rsidRPr="007B27DF">
      <w:rPr>
        <w:rFonts w:ascii="Arial" w:hAnsi="Arial" w:cs="Arial"/>
        <w:b/>
        <w:sz w:val="48"/>
      </w:rPr>
      <w:tab/>
    </w:r>
    <w:r w:rsidRPr="007B27DF">
      <w:rPr>
        <w:rFonts w:ascii="Arial" w:hAnsi="Arial" w:cs="Arial"/>
        <w:b/>
        <w:sz w:val="48"/>
      </w:rPr>
      <w:tab/>
    </w:r>
    <w:r w:rsidRPr="007B27DF">
      <w:tab/>
    </w:r>
    <w:r w:rsidRPr="007B27DF">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F134" w14:textId="6768217F" w:rsidR="007B27DF" w:rsidRPr="007B27DF" w:rsidRDefault="007B27DF" w:rsidP="007B27DF">
    <w:pPr>
      <w:pStyle w:val="Footer"/>
      <w:rPr>
        <w:rFonts w:ascii="Arial" w:hAnsi="Arial" w:cs="Arial"/>
        <w:b/>
        <w:sz w:val="48"/>
      </w:rPr>
    </w:pPr>
    <w:r w:rsidRPr="007B27DF">
      <w:rPr>
        <w:rFonts w:ascii="Arial" w:hAnsi="Arial" w:cs="Arial"/>
        <w:b/>
        <w:sz w:val="48"/>
      </w:rPr>
      <w:t>LV</w:t>
    </w:r>
    <w:r w:rsidRPr="007B27DF">
      <w:rPr>
        <w:rFonts w:ascii="Arial" w:hAnsi="Arial" w:cs="Arial"/>
        <w:b/>
        <w:sz w:val="48"/>
      </w:rPr>
      <w:tab/>
    </w:r>
    <w:r>
      <w:fldChar w:fldCharType="begin"/>
    </w:r>
    <w:r>
      <w:instrText xml:space="preserve"> PAGE  \* MERGEFORMAT </w:instrText>
    </w:r>
    <w:r>
      <w:fldChar w:fldCharType="separate"/>
    </w:r>
    <w:r w:rsidR="00E542AE">
      <w:rPr>
        <w:noProof/>
      </w:rPr>
      <w:t>1</w:t>
    </w:r>
    <w:r>
      <w:fldChar w:fldCharType="end"/>
    </w:r>
    <w:r>
      <w:tab/>
    </w:r>
    <w:r w:rsidRPr="007B27DF">
      <w:tab/>
    </w:r>
    <w:r w:rsidRPr="007B27DF">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09D1" w14:textId="77777777" w:rsidR="007B27DF" w:rsidRPr="007B27DF" w:rsidRDefault="007B27DF" w:rsidP="007B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DB54" w14:textId="77777777" w:rsidR="00582D47" w:rsidRDefault="00582D47" w:rsidP="0065658F">
      <w:pPr>
        <w:spacing w:before="0" w:after="0"/>
      </w:pPr>
      <w:r>
        <w:separator/>
      </w:r>
    </w:p>
  </w:footnote>
  <w:footnote w:type="continuationSeparator" w:id="0">
    <w:p w14:paraId="4A15FEC9" w14:textId="77777777" w:rsidR="00582D47" w:rsidRDefault="00582D47" w:rsidP="0065658F">
      <w:pPr>
        <w:spacing w:before="0" w:after="0"/>
      </w:pPr>
      <w:r>
        <w:continuationSeparator/>
      </w:r>
    </w:p>
  </w:footnote>
  <w:footnote w:id="1">
    <w:p w14:paraId="410C646D" w14:textId="77777777" w:rsidR="0065658F" w:rsidRPr="0039474D" w:rsidRDefault="0065658F" w:rsidP="0065658F">
      <w:pPr>
        <w:pStyle w:val="FootnoteText"/>
      </w:pPr>
      <w:r>
        <w:rPr>
          <w:rStyle w:val="FootnoteReference"/>
        </w:rPr>
        <w:footnoteRef/>
      </w:r>
      <w:r>
        <w:tab/>
        <w:t>Eiropas Parlamenta un Padomes Regula (ES) 2021/691 (2021. gada 28. aprīlis) par Eiropas Globalizācijas pielāgošanās fondu darbu zaudējušiem darba ņēmējiem (EGF) un ar ko atceļ Regulu (ES) Nr. 1309/2013 (OV L 153, 3.5.2021., 48. lpp.).</w:t>
      </w:r>
    </w:p>
  </w:footnote>
  <w:footnote w:id="2">
    <w:p w14:paraId="1375908D" w14:textId="77777777" w:rsidR="0065658F" w:rsidRPr="007D1DE9" w:rsidRDefault="0065658F" w:rsidP="0065658F">
      <w:pPr>
        <w:pStyle w:val="FootnoteText"/>
      </w:pPr>
      <w:r>
        <w:rPr>
          <w:rStyle w:val="FootnoteReference"/>
        </w:rPr>
        <w:footnoteRef/>
      </w:r>
      <w:r>
        <w:tab/>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(OV L 231, 30.6.2021., 159. lpp.).</w:t>
      </w:r>
    </w:p>
    <w:p w14:paraId="20373ABB" w14:textId="77777777" w:rsidR="0065658F" w:rsidRPr="0039474D" w:rsidRDefault="0065658F" w:rsidP="0065658F">
      <w:pPr>
        <w:pStyle w:val="FootnoteText"/>
      </w:pPr>
    </w:p>
  </w:footnote>
  <w:footnote w:id="3">
    <w:p w14:paraId="01D4D2AE" w14:textId="77777777" w:rsidR="0065658F" w:rsidRPr="007D1DE9" w:rsidRDefault="0065658F" w:rsidP="0065658F">
      <w:pPr>
        <w:pStyle w:val="FootnoteText"/>
      </w:pPr>
      <w:r>
        <w:rPr>
          <w:rStyle w:val="FootnoteReference"/>
        </w:rPr>
        <w:footnoteRef/>
      </w:r>
      <w:r>
        <w:tab/>
        <w:t>OV L 153, 3.5.2021., 48. lpp.</w:t>
      </w:r>
    </w:p>
  </w:footnote>
  <w:footnote w:id="4">
    <w:p w14:paraId="5CA32045" w14:textId="77777777" w:rsidR="0065658F" w:rsidRPr="007D1DE9" w:rsidRDefault="0065658F" w:rsidP="0065658F">
      <w:pPr>
        <w:pStyle w:val="FootnoteText"/>
      </w:pPr>
      <w:r>
        <w:rPr>
          <w:rStyle w:val="FootnoteReference"/>
        </w:rPr>
        <w:footnoteRef/>
      </w:r>
      <w:r>
        <w:tab/>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(OV L 231, 30.6.2021., 159. lpp.).</w:t>
      </w:r>
    </w:p>
  </w:footnote>
  <w:footnote w:id="5">
    <w:p w14:paraId="7919E6B5" w14:textId="3E82BEB8" w:rsidR="00C657F3" w:rsidRPr="006E3055" w:rsidRDefault="00C657F3" w:rsidP="00C657F3">
      <w:pPr>
        <w:pStyle w:val="FootnoteText"/>
        <w:rPr>
          <w:i/>
          <w:iCs/>
        </w:rPr>
      </w:pPr>
      <w:r>
        <w:rPr>
          <w:rStyle w:val="FootnoteReference"/>
        </w:rPr>
        <w:footnoteRef/>
      </w:r>
      <w:r>
        <w:tab/>
        <w:t>Komisijas Deleģētā regula (ES) …/…, ar ko papildina Eiropas Parlamenta un Padomes Regulu (ES) 2021/2116 ar īpašiem noteikumiem par ziņošanu par pārkāpumiem attiecībā uz Eiropas Lauksaimniecības garantiju fondu un Eiropas Lauksaimniecības fondu lauku attīstībai un ar ko atceļ Komisijas Regulu (ES) 2015/1971 [</w:t>
      </w:r>
      <w:r>
        <w:rPr>
          <w:i/>
        </w:rPr>
        <w:t>PB: lūgums ievietot atsauci uz Komisijas Deleģēto regulu C(2023) 8459</w:t>
      </w:r>
      <w:r>
        <w:t>].</w:t>
      </w:r>
    </w:p>
  </w:footnote>
  <w:footnote w:id="6">
    <w:p w14:paraId="71B4B752" w14:textId="77777777" w:rsidR="0065658F" w:rsidRPr="007D1DE9" w:rsidRDefault="0065658F" w:rsidP="0065658F">
      <w:pPr>
        <w:pStyle w:val="FootnoteText"/>
      </w:pPr>
      <w:r>
        <w:rPr>
          <w:rStyle w:val="FootnoteReference"/>
        </w:rPr>
        <w:footnoteRef/>
      </w:r>
      <w:r>
        <w:tab/>
        <w:t>Eiropas Parlamenta un Padomes Direktīva (ES) 2017/1371 (2017. gada 5. jūlijs) par cīņu pret krāpšanu, kas skar Savienības finanšu intereses, izmantojot krimināltiesības, OV L 198, 28.7.2017., 29. lpp.</w:t>
      </w:r>
    </w:p>
  </w:footnote>
  <w:footnote w:id="7">
    <w:p w14:paraId="3CE9B183" w14:textId="77777777" w:rsidR="0065658F" w:rsidRPr="007D1DE9" w:rsidRDefault="0065658F" w:rsidP="0065658F">
      <w:pPr>
        <w:pStyle w:val="FootnoteText"/>
      </w:pPr>
      <w:r>
        <w:rPr>
          <w:rStyle w:val="FootnoteReference"/>
        </w:rPr>
        <w:footnoteRef/>
      </w:r>
      <w:r>
        <w:tab/>
        <w:t>OV C 316, 27.11.1995., 49. lpp.</w:t>
      </w:r>
    </w:p>
  </w:footnote>
  <w:footnote w:id="8">
    <w:p w14:paraId="6C4BB7A4" w14:textId="77777777" w:rsidR="0065658F" w:rsidRPr="007D1DE9" w:rsidRDefault="0065658F" w:rsidP="0065658F">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9">
    <w:p w14:paraId="2FD1129A" w14:textId="77777777" w:rsidR="0065658F" w:rsidRPr="007D1DE9" w:rsidRDefault="0065658F" w:rsidP="0065658F">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10">
    <w:p w14:paraId="02C379E3" w14:textId="77777777" w:rsidR="0065658F" w:rsidRPr="00A22C2B" w:rsidRDefault="0065658F" w:rsidP="0065658F">
      <w:pPr>
        <w:pStyle w:val="FootnoteText"/>
      </w:pPr>
      <w:r>
        <w:rPr>
          <w:rStyle w:val="FootnoteReference"/>
        </w:rPr>
        <w:footnoteRef/>
      </w:r>
      <w:r>
        <w:tab/>
        <w:t>Eiropas Parlamenta un Padomes Regula (ES, Euratom) Nr. 883/2013 (2013. gada 11. septembris) par izmeklēšanu, ko veic Eiropas Birojs krāpšanas apkarošanai (</w:t>
      </w:r>
      <w:r>
        <w:rPr>
          <w:i/>
        </w:rPr>
        <w:t>OLAF</w:t>
      </w:r>
      <w:r>
        <w:t>), un ar ko atceļ Eiropas Parlamenta un Padomes Regulu (EK) Nr. 1073/1999 un Padomes Regulu (Euratom) Nr. 1074/1999 (OV L 248, 18.9.2013., 1. lpp.).</w:t>
      </w:r>
    </w:p>
  </w:footnote>
  <w:footnote w:id="11">
    <w:p w14:paraId="2027A813" w14:textId="77777777" w:rsidR="0065658F" w:rsidRPr="00A22C2B" w:rsidRDefault="0065658F" w:rsidP="0065658F">
      <w:pPr>
        <w:pStyle w:val="FootnoteText"/>
      </w:pPr>
      <w:r>
        <w:rPr>
          <w:rStyle w:val="FootnoteReference"/>
        </w:rPr>
        <w:footnoteRef/>
      </w:r>
      <w:r>
        <w:tab/>
        <w:t>Padomes Regula (ES) 2017/1939 (2017. gada 12. oktobris), ar ko īsteno ciešāku sadarbību Eiropas Prokuratūras (</w:t>
      </w:r>
      <w:r>
        <w:rPr>
          <w:i/>
        </w:rPr>
        <w:t>EPPO</w:t>
      </w:r>
      <w:r>
        <w:t>) izveidei (OV L 283, 31.10.2017., 1.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108D24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138A69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FBA1E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040B7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98A0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D670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341E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B884E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11 09:48: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C6BC801-3716-4122-8415-F56A35B9D7EA"/>
    <w:docVar w:name="LW_COVERPAGE_TYPE" w:val="1"/>
    <w:docVar w:name="LW_CROSSREFERENCE" w:val="&lt;UNUSED&gt;"/>
    <w:docVar w:name="LW_DATE.ADOPT.CP" w:val="(18.12.2023)"/>
    <w:docVar w:name="LW_DATE.ADOPT.CP_DATEFORMAT" w:val="(%DATE%),"/>
    <w:docVar w:name="LW_DATE.ADOPT.CP_ISODATE" w:val="2023-12-18"/>
    <w:docVar w:name="LW_DocType" w:val="COM"/>
    <w:docVar w:name="LW_EMISSION" w:val="18.12.2023"/>
    <w:docVar w:name="LW_EMISSION_ISODATE" w:val="2023-12-18"/>
    <w:docVar w:name="LW_EMISSION_LOCATION" w:val="BRX"/>
    <w:docVar w:name="LW_EMISSION_PREFIX" w:val="Brisel\u275?, "/>
    <w:docVar w:name="LW_EMISSION_SUFFIX" w:val="."/>
    <w:docVar w:name="LW_ID_DOCMODEL" w:val="SJ-003"/>
    <w:docVar w:name="LW_ID_DOCSIGNATURE" w:val="SJ-003"/>
    <w:docVar w:name="LW_ID_DOCSTRUCTURE" w:val="COM/AA"/>
    <w:docVar w:name="LW_ID_DOCTYPE" w:val="SJ-003"/>
    <w:docVar w:name="LW_INSERT_EXP.MOTIFS.NEW" w:val="1"/>
    <w:docVar w:name="LW_INTERETEEE.CP" w:val="&lt;UNUSED&gt;"/>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3) 84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Eiropas Parlamenta un Padomes Regulu (ES) 2021/691 papildina ar īpašiem noteikumiem par ziņošanu par pārkāpumiem attiecībā uz Eiropas Globalizācijas pielāgošanās fondu darbu zaudējušiem darba ņēmējiem (EGF)"/>
    <w:docVar w:name="LW_TYPE.DOC.CP" w:val="KOMISIJAS DELEĢĒTĀ REGULA (ES) …/.."/>
    <w:docVar w:name="LwApiVersions" w:val="LW4CoDe 1.23.2.0; LW 8.0, Build 20211117"/>
  </w:docVars>
  <w:rsids>
    <w:rsidRoot w:val="0065658F"/>
    <w:rsid w:val="000168D9"/>
    <w:rsid w:val="000B494A"/>
    <w:rsid w:val="000F4843"/>
    <w:rsid w:val="001065F5"/>
    <w:rsid w:val="001238EF"/>
    <w:rsid w:val="001556D7"/>
    <w:rsid w:val="00197613"/>
    <w:rsid w:val="00233DC7"/>
    <w:rsid w:val="00236BFB"/>
    <w:rsid w:val="00247779"/>
    <w:rsid w:val="00260564"/>
    <w:rsid w:val="00275CF9"/>
    <w:rsid w:val="00285BEE"/>
    <w:rsid w:val="0029533F"/>
    <w:rsid w:val="002B2471"/>
    <w:rsid w:val="002B30AF"/>
    <w:rsid w:val="0030405F"/>
    <w:rsid w:val="00325946"/>
    <w:rsid w:val="0033344A"/>
    <w:rsid w:val="00383D7C"/>
    <w:rsid w:val="00397554"/>
    <w:rsid w:val="004058F3"/>
    <w:rsid w:val="0042648E"/>
    <w:rsid w:val="004936D2"/>
    <w:rsid w:val="004A712C"/>
    <w:rsid w:val="004D0445"/>
    <w:rsid w:val="00505F5A"/>
    <w:rsid w:val="00582D47"/>
    <w:rsid w:val="00586D3D"/>
    <w:rsid w:val="005B1EB6"/>
    <w:rsid w:val="005E3DF4"/>
    <w:rsid w:val="006059E9"/>
    <w:rsid w:val="006318A4"/>
    <w:rsid w:val="0065658F"/>
    <w:rsid w:val="006579FE"/>
    <w:rsid w:val="006642DC"/>
    <w:rsid w:val="0067767E"/>
    <w:rsid w:val="006C732B"/>
    <w:rsid w:val="006E3055"/>
    <w:rsid w:val="00700510"/>
    <w:rsid w:val="00735AB9"/>
    <w:rsid w:val="00747713"/>
    <w:rsid w:val="00773331"/>
    <w:rsid w:val="007932EF"/>
    <w:rsid w:val="007A166A"/>
    <w:rsid w:val="007B27DF"/>
    <w:rsid w:val="007E05B0"/>
    <w:rsid w:val="007F41A0"/>
    <w:rsid w:val="00834D14"/>
    <w:rsid w:val="00846218"/>
    <w:rsid w:val="00874D22"/>
    <w:rsid w:val="008A2914"/>
    <w:rsid w:val="008D29A6"/>
    <w:rsid w:val="008E4D8E"/>
    <w:rsid w:val="00916F00"/>
    <w:rsid w:val="00922689"/>
    <w:rsid w:val="00932C57"/>
    <w:rsid w:val="00971BCC"/>
    <w:rsid w:val="00A34F7F"/>
    <w:rsid w:val="00AD0AC0"/>
    <w:rsid w:val="00B80658"/>
    <w:rsid w:val="00BD6E8F"/>
    <w:rsid w:val="00C12301"/>
    <w:rsid w:val="00C450C0"/>
    <w:rsid w:val="00C51D0B"/>
    <w:rsid w:val="00C657F3"/>
    <w:rsid w:val="00D127C1"/>
    <w:rsid w:val="00D17140"/>
    <w:rsid w:val="00D20381"/>
    <w:rsid w:val="00D25960"/>
    <w:rsid w:val="00D42E8F"/>
    <w:rsid w:val="00D70B2C"/>
    <w:rsid w:val="00DA4DA4"/>
    <w:rsid w:val="00E30A38"/>
    <w:rsid w:val="00E542AE"/>
    <w:rsid w:val="00E74149"/>
    <w:rsid w:val="00F30CAE"/>
    <w:rsid w:val="00F7232D"/>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C4FF6C"/>
  <w15:docId w15:val="{F425C406-BF13-4606-AE93-26809F18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F41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F41A0"/>
    <w:pPr>
      <w:spacing w:after="0"/>
    </w:pPr>
  </w:style>
  <w:style w:type="paragraph" w:styleId="ListBullet">
    <w:name w:val="List Bullet"/>
    <w:basedOn w:val="Normal"/>
    <w:uiPriority w:val="99"/>
    <w:semiHidden/>
    <w:unhideWhenUsed/>
    <w:rsid w:val="007F41A0"/>
    <w:pPr>
      <w:numPr>
        <w:numId w:val="2"/>
      </w:numPr>
      <w:contextualSpacing/>
    </w:pPr>
  </w:style>
  <w:style w:type="paragraph" w:styleId="ListBullet2">
    <w:name w:val="List Bullet 2"/>
    <w:basedOn w:val="Normal"/>
    <w:uiPriority w:val="99"/>
    <w:semiHidden/>
    <w:unhideWhenUsed/>
    <w:rsid w:val="007F41A0"/>
    <w:pPr>
      <w:numPr>
        <w:numId w:val="3"/>
      </w:numPr>
      <w:contextualSpacing/>
    </w:pPr>
  </w:style>
  <w:style w:type="paragraph" w:styleId="ListBullet3">
    <w:name w:val="List Bullet 3"/>
    <w:basedOn w:val="Normal"/>
    <w:uiPriority w:val="99"/>
    <w:semiHidden/>
    <w:unhideWhenUsed/>
    <w:rsid w:val="007F41A0"/>
    <w:pPr>
      <w:numPr>
        <w:numId w:val="4"/>
      </w:numPr>
      <w:contextualSpacing/>
    </w:pPr>
  </w:style>
  <w:style w:type="paragraph" w:styleId="ListBullet4">
    <w:name w:val="List Bullet 4"/>
    <w:basedOn w:val="Normal"/>
    <w:uiPriority w:val="99"/>
    <w:semiHidden/>
    <w:unhideWhenUsed/>
    <w:rsid w:val="007F41A0"/>
    <w:pPr>
      <w:numPr>
        <w:numId w:val="5"/>
      </w:numPr>
      <w:contextualSpacing/>
    </w:pPr>
  </w:style>
  <w:style w:type="paragraph" w:styleId="ListNumber">
    <w:name w:val="List Number"/>
    <w:basedOn w:val="Normal"/>
    <w:uiPriority w:val="99"/>
    <w:semiHidden/>
    <w:unhideWhenUsed/>
    <w:rsid w:val="007F41A0"/>
    <w:pPr>
      <w:numPr>
        <w:numId w:val="6"/>
      </w:numPr>
      <w:contextualSpacing/>
    </w:pPr>
  </w:style>
  <w:style w:type="paragraph" w:styleId="ListNumber2">
    <w:name w:val="List Number 2"/>
    <w:basedOn w:val="Normal"/>
    <w:uiPriority w:val="99"/>
    <w:semiHidden/>
    <w:unhideWhenUsed/>
    <w:rsid w:val="007F41A0"/>
    <w:pPr>
      <w:numPr>
        <w:numId w:val="7"/>
      </w:numPr>
      <w:contextualSpacing/>
    </w:pPr>
  </w:style>
  <w:style w:type="paragraph" w:styleId="ListNumber3">
    <w:name w:val="List Number 3"/>
    <w:basedOn w:val="Normal"/>
    <w:uiPriority w:val="99"/>
    <w:semiHidden/>
    <w:unhideWhenUsed/>
    <w:rsid w:val="007F41A0"/>
    <w:pPr>
      <w:numPr>
        <w:numId w:val="8"/>
      </w:numPr>
      <w:contextualSpacing/>
    </w:pPr>
  </w:style>
  <w:style w:type="paragraph" w:styleId="ListNumber4">
    <w:name w:val="List Number 4"/>
    <w:basedOn w:val="Normal"/>
    <w:uiPriority w:val="99"/>
    <w:semiHidden/>
    <w:unhideWhenUsed/>
    <w:rsid w:val="007F41A0"/>
    <w:pPr>
      <w:numPr>
        <w:numId w:val="9"/>
      </w:numPr>
      <w:contextualSpacing/>
    </w:pPr>
  </w:style>
  <w:style w:type="paragraph" w:styleId="Revision">
    <w:name w:val="Revision"/>
    <w:hidden/>
    <w:uiPriority w:val="99"/>
    <w:semiHidden/>
    <w:rsid w:val="004058F3"/>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6E30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55"/>
    <w:rPr>
      <w:rFonts w:ascii="Segoe UI" w:hAnsi="Segoe UI" w:cs="Segoe UI"/>
      <w:sz w:val="18"/>
      <w:szCs w:val="18"/>
      <w:lang w:val="lv-LV"/>
    </w:rPr>
  </w:style>
  <w:style w:type="paragraph" w:styleId="Header">
    <w:name w:val="header"/>
    <w:basedOn w:val="Normal"/>
    <w:link w:val="HeaderChar"/>
    <w:uiPriority w:val="99"/>
    <w:unhideWhenUsed/>
    <w:rsid w:val="007B27DF"/>
    <w:pPr>
      <w:tabs>
        <w:tab w:val="center" w:pos="4535"/>
        <w:tab w:val="right" w:pos="9071"/>
      </w:tabs>
      <w:spacing w:before="0"/>
    </w:pPr>
  </w:style>
  <w:style w:type="character" w:customStyle="1" w:styleId="HeaderChar">
    <w:name w:val="Header Char"/>
    <w:basedOn w:val="DefaultParagraphFont"/>
    <w:link w:val="Header"/>
    <w:uiPriority w:val="99"/>
    <w:rsid w:val="007B27DF"/>
    <w:rPr>
      <w:rFonts w:ascii="Times New Roman" w:hAnsi="Times New Roman" w:cs="Times New Roman"/>
      <w:sz w:val="24"/>
      <w:lang w:val="lv-LV"/>
    </w:rPr>
  </w:style>
  <w:style w:type="paragraph" w:styleId="Footer">
    <w:name w:val="footer"/>
    <w:basedOn w:val="Normal"/>
    <w:link w:val="FooterChar"/>
    <w:uiPriority w:val="99"/>
    <w:unhideWhenUsed/>
    <w:rsid w:val="007B27D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B27DF"/>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B27DF"/>
    <w:pPr>
      <w:tabs>
        <w:tab w:val="center" w:pos="7285"/>
        <w:tab w:val="right" w:pos="14003"/>
      </w:tabs>
      <w:spacing w:before="0"/>
    </w:pPr>
  </w:style>
  <w:style w:type="paragraph" w:customStyle="1" w:styleId="FooterLandscape">
    <w:name w:val="FooterLandscape"/>
    <w:basedOn w:val="Normal"/>
    <w:rsid w:val="007B27D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B27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B27DF"/>
    <w:pPr>
      <w:spacing w:before="0"/>
      <w:jc w:val="right"/>
    </w:pPr>
    <w:rPr>
      <w:sz w:val="28"/>
    </w:rPr>
  </w:style>
  <w:style w:type="paragraph" w:customStyle="1" w:styleId="FooterSensitivity">
    <w:name w:val="Footer Sensitivity"/>
    <w:basedOn w:val="Normal"/>
    <w:rsid w:val="007B27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4</TotalTime>
  <Pages>8</Pages>
  <Words>1952</Words>
  <Characters>12752</Characters>
  <Application>Microsoft Office Word</Application>
  <DocSecurity>0</DocSecurity>
  <Lines>223</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2023-12-06T14:37:00Z</dcterms:created>
  <dcterms:modified xsi:type="dcterms:W3CDTF">2023-12-11T08:48:00Z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2023-12-04T11:56:31Z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423fde6d-481f-4d16-8d59-2c771f297823</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