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B305A8D-EF9F-4EB7-A6D1-BD75E336A272" style="width:450.35pt;height:381.7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PASKAIDROJUMA RAKSTS</w:t>
      </w:r>
    </w:p>
    <w:p>
      <w:pPr>
        <w:pStyle w:val="ManualHeading1"/>
        <w:rPr>
          <w:noProof/>
        </w:rPr>
      </w:pPr>
      <w:r>
        <w:rPr>
          <w:noProof/>
        </w:rPr>
        <w:t>1.</w:t>
      </w:r>
      <w:r>
        <w:rPr>
          <w:noProof/>
        </w:rPr>
        <w:tab/>
        <w:t>DELEĢĒTĀ AKTA KONTEKSTS</w:t>
      </w:r>
    </w:p>
    <w:p>
      <w:pPr>
        <w:spacing w:before="0" w:after="0"/>
        <w:rPr>
          <w:noProof/>
        </w:rPr>
      </w:pPr>
      <w:r>
        <w:rPr>
          <w:noProof/>
        </w:rPr>
        <w:t>Šī regula ir daļa no plašākas Komisijas iniciatīvas par ilgtspējīgu attīstību. Tā veido pamatu ES satvaram, kurā ilgtspējas apsvērumi ir finanšu sistēmas pamatā, lai atbalstītu Eiropas ekonomikas pārveidošanu par zaļāku, noturīgāku un aprites sistēmu saskaņā ar Eiropas zaļā kursa</w:t>
      </w:r>
      <w:r>
        <w:rPr>
          <w:rStyle w:val="FootnoteReference"/>
          <w:noProof/>
        </w:rPr>
        <w:footnoteReference w:id="2"/>
      </w:r>
      <w:r>
        <w:rPr>
          <w:noProof/>
        </w:rPr>
        <w:t xml:space="preserve"> mērķiem.</w:t>
      </w:r>
    </w:p>
    <w:p>
      <w:pPr>
        <w:rPr>
          <w:noProof/>
        </w:rPr>
      </w:pPr>
      <w:r>
        <w:rPr>
          <w:noProof/>
        </w:rPr>
        <w:t xml:space="preserve">Pēc tam, kad 2016. gadā tika pieņemts Parīzes nolīgums par klimata pārmaiņām un Apvienoto Nāciju Organizācijas Ilgtspējīgas attīstības mērķu (IAM) programma 2030. gadam, Komisija Rīcības plānā “Ilgtspējīgas izaugsmes finansēšana” paziņoja nodomu precizēt ilgtspējas integrēšanu tā dēvētajos fiduciārajos pienākumos nozaru tiesību aktos. Paziņojumā </w:t>
      </w:r>
      <w:r>
        <w:rPr>
          <w:b/>
          <w:noProof/>
        </w:rPr>
        <w:t>“Eiropas zaļais kurss”</w:t>
      </w:r>
      <w:r>
        <w:rPr>
          <w:noProof/>
        </w:rPr>
        <w:t xml:space="preserve"> apliecināts, ka vajadzīgi ilgtermiņa signāli, lai finanšu un kapitāla plūsmas virzītu uz zaļajām investīcijām un novērstu aktīvu kļūšanu par balastu. Šī regula veicinās šā konkrētā mērķa sasniegšanu.</w:t>
      </w:r>
    </w:p>
    <w:p>
      <w:pPr>
        <w:rPr>
          <w:noProof/>
        </w:rPr>
      </w:pPr>
      <w:r>
        <w:rPr>
          <w:noProof/>
        </w:rPr>
        <w:t>Ar Komisijas Deleģēto regulu (ES) 2015/35</w:t>
      </w:r>
      <w:r>
        <w:rPr>
          <w:rStyle w:val="FootnoteReference"/>
          <w:noProof/>
        </w:rPr>
        <w:footnoteReference w:id="3"/>
      </w:r>
      <w:r>
        <w:rPr>
          <w:noProof/>
        </w:rPr>
        <w:t xml:space="preserve"> īsteno Direktīvu 2009/138/EK, cita starpā sīkāk precizējot prasības par apdrošināšanas un pārapdrošināšanas sabiedrību pārvaldību, interešu konfliktiem un riska pārvaldību. </w:t>
      </w:r>
    </w:p>
    <w:p>
      <w:pPr>
        <w:rPr>
          <w:noProof/>
        </w:rPr>
      </w:pPr>
      <w:r>
        <w:rPr>
          <w:noProof/>
        </w:rPr>
        <w:t>Šīs regulas pamatā ir Eiropas Apdrošināšanas un aroda pensiju iestādes (EAPPI) galīgais ziņojums par tehniskajiem ieteikumiem</w:t>
      </w:r>
      <w:r>
        <w:rPr>
          <w:rStyle w:val="FootnoteReference"/>
          <w:noProof/>
        </w:rPr>
        <w:footnoteReference w:id="4"/>
      </w:r>
      <w:r>
        <w:rPr>
          <w:noProof/>
        </w:rPr>
        <w:t xml:space="preserve">. Tehniskajos ieteikumos secināts, ka ir vajadzīgi papildu precizējumi attiecībā uz ilgtspējas risku un ilgtspējas faktoru integrēšanu Komisijas Deleģētajā regulā (ES) 2015/35, un šajā sakarā ir apzināti konkrēti noteikumi. </w:t>
      </w:r>
    </w:p>
    <w:p>
      <w:pPr>
        <w:rPr>
          <w:noProof/>
        </w:rPr>
      </w:pPr>
      <w:r>
        <w:rPr>
          <w:noProof/>
        </w:rPr>
        <w:t>Šī regula un citi nozaru deleģētie akti, ar kuriem pielāgo noteikumus par fiduciārajiem pienākumiem un piemērotības pārbaudēm, vēl vairāk pastiprina regulu par tādas informācijas atklāšanu finanšu pakalpojumu nozarē</w:t>
      </w:r>
      <w:r>
        <w:rPr>
          <w:rStyle w:val="FootnoteReference"/>
          <w:noProof/>
        </w:rPr>
        <w:footnoteReference w:id="5"/>
      </w:r>
      <w:r>
        <w:rPr>
          <w:noProof/>
        </w:rPr>
        <w:t>, kas saistīta ar ilgtspēju, regulu par ES klimata pārejas etaloniem, Parīzes nolīgumam pielāgotiem ES etaloniem</w:t>
      </w:r>
      <w:r>
        <w:rPr>
          <w:rStyle w:val="FootnoteReference"/>
          <w:noProof/>
        </w:rPr>
        <w:footnoteReference w:id="6"/>
      </w:r>
      <w:r>
        <w:rPr>
          <w:noProof/>
        </w:rPr>
        <w:t xml:space="preserve"> un tādas informācijas atklāšanu par etaloniem, kas saistīta ar ilgtspēju, un regulu par ES taksonomiju ilgtspējīgām darbībām</w:t>
      </w:r>
      <w:r>
        <w:rPr>
          <w:rStyle w:val="FootnoteReference"/>
          <w:noProof/>
        </w:rPr>
        <w:footnoteReference w:id="7"/>
      </w:r>
      <w:r>
        <w:rPr>
          <w:noProof/>
        </w:rPr>
        <w:t>. Ar šiem noteikumiem ilgtspējas apsvērumus konsekventi integrē ieguldījumu, konsultāciju un informācijas atklāšanas procesos dažādās nozarēs. Tie nostiprina vidiskos, sociālos un pārvaldības (ilgtspējas) apsvērumus finanšu sistēmas centrā, lai palīdzētu pārveidot Eiropas ekonomiku par videi nekaitīgāku, mazoglekļa, noturīgāku, resursu ziņā efektīvāku un aprites sistēmu.</w:t>
      </w:r>
    </w:p>
    <w:p>
      <w:pPr>
        <w:pStyle w:val="ManualHeading1"/>
        <w:rPr>
          <w:noProof/>
        </w:rPr>
      </w:pPr>
      <w:r>
        <w:rPr>
          <w:noProof/>
        </w:rPr>
        <w:lastRenderedPageBreak/>
        <w:t>2.</w:t>
      </w:r>
      <w:r>
        <w:rPr>
          <w:noProof/>
        </w:rPr>
        <w:tab/>
        <w:t>PIRMS AKTA PIEŅEMŠANAS NOTIKUSĪ APSPRIEŠANĀS</w:t>
      </w:r>
    </w:p>
    <w:p>
      <w:pPr>
        <w:rPr>
          <w:noProof/>
        </w:rPr>
      </w:pPr>
      <w:r>
        <w:rPr>
          <w:noProof/>
        </w:rPr>
        <w:t xml:space="preserve">Komisija 2018. gada 24. jūlijā lūdza EAPPI sniegt tehniskus ieteikumus par iespējamiem grozījumiem deleģētajos aktos, kas jāpieņem saskaņā ar Direktīvu 2009/138/ES, attiecībā uz ilgtspējas risku un ilgtspējas faktoru integrāciju. EAPPI 2019. gada 3. maijā publicēja savu galīgo ziņojumu par Komisijai sniegtajiem tehniskajiem ieteikumiem. Ieteikumos tika ņemti vērā viedokļi, ko ieinteresētās personas, tostarp EAAPI Apdrošināšanas un pārapdrošināšanas nozares ieinteresēto personu grupa, pauda sabiedriskajā apspriešanā laikposmā no 2018. gada 28. novembra līdz 2019. gada 28. februārim. Tajos ietverta izmaksu un ieguvumu analīze. </w:t>
      </w:r>
    </w:p>
    <w:p>
      <w:pPr>
        <w:rPr>
          <w:noProof/>
        </w:rPr>
      </w:pPr>
      <w:r>
        <w:rPr>
          <w:noProof/>
        </w:rPr>
        <w:t>Komisijas dienesti 2019. gada 22. novembrī sāka rakstisku apspriešanos ar ekspertu grupu banku, maksājumu un apdrošināšanas jautājumos (E02885). Ekspertu grupas piezīmes tika pienācīgi ņemtas vērā.</w:t>
      </w:r>
    </w:p>
    <w:p>
      <w:pPr>
        <w:rPr>
          <w:noProof/>
        </w:rPr>
      </w:pPr>
      <w:r>
        <w:rPr>
          <w:noProof/>
        </w:rPr>
        <w:t>Saskaņā ar labāka regulējuma principiem šīs regulas projekts tika publicēts Komisijas tīmekļa vietnē, lai apzinātu sabiedrības viedokli laikposmā no 2020. gada 8. jūnija līdz 2020. gada 6. jūlijam. Pēc atsauksmju pienācīgas izskatīšanas tekstā tika ieviesti papildu grozījumi.</w:t>
      </w:r>
    </w:p>
    <w:p>
      <w:pPr>
        <w:pStyle w:val="ManualHeading1"/>
        <w:rPr>
          <w:noProof/>
        </w:rPr>
      </w:pPr>
      <w:r>
        <w:rPr>
          <w:noProof/>
        </w:rPr>
        <w:t>3.</w:t>
      </w:r>
      <w:r>
        <w:rPr>
          <w:noProof/>
        </w:rPr>
        <w:tab/>
        <w:t>DELEĢĒTĀ AKTA JURIDISKIE ASPEKTI</w:t>
      </w:r>
    </w:p>
    <w:p>
      <w:pPr>
        <w:rPr>
          <w:noProof/>
        </w:rPr>
      </w:pPr>
      <w:r>
        <w:rPr>
          <w:noProof/>
        </w:rPr>
        <w:t xml:space="preserve">Šīs regulas juridiskais pamats ir izklāstīts Direktīvas 2009/138/EK 50. panta 1. punkta a) un b) apakšpunktā un 135. panta 1. punkta a) apakšpunktā. </w:t>
      </w:r>
    </w:p>
    <w:p>
      <w:pPr>
        <w:rPr>
          <w:noProof/>
        </w:rPr>
      </w:pPr>
      <w:r>
        <w:rPr>
          <w:noProof/>
        </w:rPr>
        <w:t>Šī regula ietver šādus grozījumus Regulā (ES) 2015/35:</w:t>
      </w:r>
    </w:p>
    <w:p>
      <w:pPr>
        <w:rPr>
          <w:i/>
          <w:noProof/>
        </w:rPr>
      </w:pPr>
      <w:r>
        <w:rPr>
          <w:noProof/>
        </w:rPr>
        <w:t>1. panta 1. punktā ir ieviestas trīs definīcijas. Pirmkārt, “ilgtspējas faktori” ir definēti ar atsauci uz Regulas (ES) 2019/2088 2. pantu. Otrkārt, “ilgtspējas riski” ir definēti atbilstoši minēto risku definīcijai Regulā (ES) 2019/2088. Treškārt, “vēlmes ilgtspējas jomā” ir definētas saskaņā ar minētā termina definīciju, kas vienlaikus ieviests Deleģētajā regulā (ES) 2017/2359</w:t>
      </w:r>
      <w:r>
        <w:rPr>
          <w:rStyle w:val="FootnoteReference"/>
          <w:noProof/>
        </w:rPr>
        <w:footnoteReference w:id="8"/>
      </w:r>
      <w:r>
        <w:rPr>
          <w:noProof/>
        </w:rPr>
        <w:t>, un atbilst minētā termina definīcijai, kas vienlaikus ieviests Deleģētajā regulā (ES) 2017/565</w:t>
      </w:r>
      <w:r>
        <w:rPr>
          <w:rStyle w:val="FootnoteReference"/>
          <w:noProof/>
        </w:rPr>
        <w:footnoteReference w:id="9"/>
      </w:r>
      <w:r>
        <w:rPr>
          <w:noProof/>
        </w:rPr>
        <w:t>.</w:t>
      </w:r>
    </w:p>
    <w:p>
      <w:pPr>
        <w:rPr>
          <w:noProof/>
        </w:rPr>
      </w:pPr>
      <w:r>
        <w:rPr>
          <w:noProof/>
        </w:rPr>
        <w:t>Regulas 1. panta 2. punktā noteikts, ka apdrošināšanas un pārapdrošināšanas sabiedrībām savā riska pārvaldībā jāatspoguļo ilgtspējas riski.</w:t>
      </w:r>
    </w:p>
    <w:p>
      <w:pPr>
        <w:rPr>
          <w:noProof/>
        </w:rPr>
      </w:pPr>
      <w:r>
        <w:rPr>
          <w:noProof/>
        </w:rPr>
        <w:t>Regulas 1. panta 3. punktā ilgtspējas risku identificēšana un novērtēšana ir iekļauta apdrošināšanas un pārapdrošināšanas sabiedrību riska pārvaldības funkcijā.</w:t>
      </w:r>
    </w:p>
    <w:p>
      <w:pPr>
        <w:rPr>
          <w:noProof/>
        </w:rPr>
      </w:pPr>
      <w:r>
        <w:rPr>
          <w:noProof/>
        </w:rPr>
        <w:t>Regulas 1. panta 4. punktā noteikts, ka apdrošināšanas un pārapdrošināšanas sabiedrību aktuārās funkcijas novērtējumā par nenoteiktību, kas saistīta ar tehnisko rezervju aprēķinā veiktajām aplēsēm, ņem vērā ilgtspējas riskus.</w:t>
      </w:r>
    </w:p>
    <w:p>
      <w:pPr>
        <w:rPr>
          <w:noProof/>
        </w:rPr>
      </w:pPr>
      <w:r>
        <w:rPr>
          <w:noProof/>
        </w:rPr>
        <w:t>Regulas 1. panta 5. punktā noteikts, ka atalgojuma politikā ir iekļauta informācija par tās atbilstību ilgtspējas risku integrācijai.</w:t>
      </w:r>
    </w:p>
    <w:p>
      <w:pPr>
        <w:rPr>
          <w:noProof/>
        </w:rPr>
      </w:pPr>
      <w:r>
        <w:rPr>
          <w:noProof/>
        </w:rPr>
        <w:t>Regulas 1. panta 6. punktā noteikts, ka, īstenojot piesardzības principu, tiek ņemti vērā ilgtspējas riski.</w:t>
      </w:r>
    </w:p>
    <w:p>
      <w:pPr>
        <w:rPr>
          <w:noProof/>
        </w:rPr>
      </w:pPr>
      <w:r>
        <w:rPr>
          <w:noProof/>
        </w:rPr>
        <w:lastRenderedPageBreak/>
        <w:t xml:space="preserve">Regulas 2. pantā noteikts, ka to piemēro 12 mēnešus pēc tās publicēšanas </w:t>
      </w:r>
      <w:r>
        <w:rPr>
          <w:i/>
          <w:noProof/>
        </w:rPr>
        <w:t>Eiropas Savienības Oficiālajā Vēstnesī</w:t>
      </w:r>
      <w:r>
        <w:rPr>
          <w:noProof/>
        </w:rPr>
        <w:t>.</w:t>
      </w:r>
    </w:p>
    <w:p>
      <w:pPr>
        <w:rPr>
          <w:noProof/>
          <w:color w:val="0000FF"/>
        </w:rPr>
        <w:sectPr>
          <w:footerReference w:type="default" r:id="rId11"/>
          <w:footerReference w:type="first" r:id="rId12"/>
          <w:pgSz w:w="11907" w:h="16839"/>
          <w:pgMar w:top="1134" w:right="1417" w:bottom="1134" w:left="1417" w:header="709" w:footer="709" w:gutter="0"/>
          <w:pgNumType w:start="1"/>
          <w:cols w:space="720"/>
          <w:docGrid w:linePitch="360"/>
        </w:sectPr>
      </w:pPr>
    </w:p>
    <w:p>
      <w:pPr>
        <w:pStyle w:val="Typedudocument"/>
        <w:rPr>
          <w:noProof/>
        </w:rPr>
      </w:pPr>
      <w:r>
        <w:rPr>
          <w:noProof/>
        </w:rPr>
        <w:lastRenderedPageBreak/>
        <w:t>KOMISIJAS DELEĢĒTĀ REGULA (ES) …/..</w:t>
      </w:r>
    </w:p>
    <w:p>
      <w:pPr>
        <w:pStyle w:val="Datedadoption"/>
        <w:rPr>
          <w:noProof/>
        </w:rPr>
      </w:pPr>
      <w:r>
        <w:t>(21.4.2021),</w:t>
      </w:r>
    </w:p>
    <w:p>
      <w:pPr>
        <w:pStyle w:val="Titreobjet"/>
        <w:rPr>
          <w:noProof/>
        </w:rPr>
      </w:pPr>
      <w:r>
        <w:rPr>
          <w:noProof/>
        </w:rPr>
        <w:t>ar ko Deleģēto regulu (ES) 2015/35 groza attiecībā uz ilgtspējas risku integrēšanu apdrošināšanas un pārapdrošināšanas sabiedrību pārvaldībā</w:t>
      </w:r>
    </w:p>
    <w:p>
      <w:pPr>
        <w:pStyle w:val="IntrtEEE"/>
        <w:rPr>
          <w:noProof/>
        </w:rPr>
      </w:pPr>
      <w:r>
        <w:rPr>
          <w:noProof/>
        </w:rPr>
        <w:t>(Dokuments attiecas uz EEZ)</w:t>
      </w:r>
    </w:p>
    <w:p>
      <w:pPr>
        <w:pStyle w:val="Institutionquiagit"/>
        <w:rPr>
          <w:noProof/>
        </w:rPr>
      </w:pPr>
      <w:r>
        <w:rPr>
          <w:noProof/>
        </w:rPr>
        <w:t>EIROPAS KOMISIJA,</w:t>
      </w:r>
    </w:p>
    <w:p>
      <w:pPr>
        <w:rPr>
          <w:noProof/>
        </w:rPr>
      </w:pPr>
      <w:r>
        <w:rPr>
          <w:noProof/>
          <w:color w:val="000000"/>
        </w:rPr>
        <w:t>ņemot vērā Līgumu par Eiropas Savienības darbību</w:t>
      </w:r>
      <w:r>
        <w:rPr>
          <w:noProof/>
        </w:rPr>
        <w:t>,</w:t>
      </w:r>
    </w:p>
    <w:p>
      <w:pPr>
        <w:rPr>
          <w:noProof/>
        </w:rPr>
      </w:pPr>
      <w:r>
        <w:rPr>
          <w:noProof/>
        </w:rPr>
        <w:t>ņemot vērā Eiropas Parlamenta un Padomes Direktīvu 2009/138/EK (2009. gada 25. novembris) par uzņēmējdarbības uzsākšanu un veikšanu apdrošināšanas un pārapdrošināšanas jomā (Maksātspēja II)</w:t>
      </w:r>
      <w:r>
        <w:rPr>
          <w:rStyle w:val="FootnoteReference"/>
          <w:noProof/>
        </w:rPr>
        <w:footnoteReference w:id="10"/>
      </w:r>
      <w:r>
        <w:rPr>
          <w:noProof/>
        </w:rPr>
        <w:t xml:space="preserve"> un jo īpaši tās 50. panta 1. punktu un 135. panta 1. punkta a) apakšpunktu,</w:t>
      </w:r>
    </w:p>
    <w:p>
      <w:pPr>
        <w:rPr>
          <w:noProof/>
        </w:rPr>
      </w:pPr>
      <w:r>
        <w:rPr>
          <w:noProof/>
        </w:rPr>
        <w:t>tā kā:</w:t>
      </w:r>
    </w:p>
    <w:p>
      <w:pPr>
        <w:pStyle w:val="ManualConsidrant"/>
        <w:rPr>
          <w:noProof/>
        </w:rPr>
      </w:pPr>
      <w:r>
        <w:t>(1)</w:t>
      </w:r>
      <w:r>
        <w:tab/>
      </w:r>
      <w:r>
        <w:rPr>
          <w:noProof/>
        </w:rPr>
        <w:t>Pārejai uz mazoglekļa, ilgtspējīgāku, resursu ziņā efektīvāku un aprites ekonomiku, kas atbilst ilgtspējīgas attīstības mērķiem, ir būtiska nozīme, lai nodrošinātu Savienības ekonomikas ilgtermiņa konkurētspēju. Savienība 2016. gadā noslēdza Parīzes nolīgumu</w:t>
      </w:r>
      <w:r>
        <w:rPr>
          <w:rStyle w:val="FootnoteReference"/>
          <w:noProof/>
        </w:rPr>
        <w:footnoteReference w:id="11"/>
      </w:r>
      <w:r>
        <w:rPr>
          <w:noProof/>
        </w:rPr>
        <w:t>. Parīzes nolīguma 2. panta 1. punkta c) apakšpunktā ir noteikts mērķis stiprināt reakciju uz klimata pārmaiņām, cita starpā pieskaņojot finanšu plūsmas izvirzītajam kursam uz mazām siltumnīcefekta gāzu emisijām un klimatnoturīgu attīstību.</w:t>
      </w:r>
    </w:p>
    <w:p>
      <w:pPr>
        <w:pStyle w:val="ManualConsidrant"/>
        <w:rPr>
          <w:noProof/>
        </w:rPr>
      </w:pPr>
      <w:r>
        <w:t>(2)</w:t>
      </w:r>
      <w:r>
        <w:tab/>
      </w:r>
      <w:r>
        <w:rPr>
          <w:noProof/>
        </w:rPr>
        <w:t>Atzīstot šo problēmu, Komisija 2019. gada decembrī nāca klajā ar Eiropas zaļo kursu</w:t>
      </w:r>
      <w:r>
        <w:rPr>
          <w:rStyle w:val="FootnoteReference"/>
          <w:noProof/>
        </w:rPr>
        <w:footnoteReference w:id="12"/>
      </w:r>
      <w:r>
        <w:rPr>
          <w:noProof/>
        </w:rPr>
        <w:t>. Minētais zaļais kurss ir jauna izaugsmes stratēģija, kuras mērķis ir pārveidot Savienību par taisnīgu un labklājīgu sabiedrību ar mūsdienīgu, resursefektīvu un konkurētspējīgu ekonomiku, kurā siltumnīcefekta gāzu neto emisijas 2050. gadā būtu nulle un ekonomiskā izaugsme būtu atsaistīta no resursu patēriņa. Tas arī nozīmē, ka ir jāsniedz skaidri ilgtermiņa signāli, lai sniegtu norādes ieguldītājiem, novērstu aktīvu kļūšanu par balastu un piesaistītu ilgtspējīgu finansējumu.</w:t>
      </w:r>
    </w:p>
    <w:p>
      <w:pPr>
        <w:pStyle w:val="ManualConsidrant"/>
        <w:rPr>
          <w:noProof/>
        </w:rPr>
      </w:pPr>
      <w:r>
        <w:t>(3)</w:t>
      </w:r>
      <w:r>
        <w:tab/>
      </w:r>
      <w:r>
        <w:rPr>
          <w:noProof/>
        </w:rPr>
        <w:t>Komisija 2018. gada martā publicēja savu rīcības plānu “Ilgtspējīgas izaugsmes finansēšana”</w:t>
      </w:r>
      <w:r>
        <w:rPr>
          <w:rStyle w:val="FootnoteReference"/>
          <w:noProof/>
        </w:rPr>
        <w:footnoteReference w:id="13"/>
      </w:r>
      <w:r>
        <w:rPr>
          <w:noProof/>
        </w:rPr>
        <w:t>, ar ko izveido vērienīgu un visaptverošu stratēģiju attiecībā uz ilgtspējīgu finansējumu. Viens no minētajā rīcības plānā izklāstītajiem mērķiem ir pārorientēt kapitāla plūsmas uz ilgtspējīgiem ieguldījumiem, lai panāktu ilgtspējīgu un iekļaujošu izaugsmi. Ietekmes novērtējums, kas bija pamatā turpmākajām likumdošanas iniciatīvām, kuras tika publicētas 2018. gada maijā</w:t>
      </w:r>
      <w:r>
        <w:rPr>
          <w:rStyle w:val="FootnoteReference"/>
          <w:noProof/>
        </w:rPr>
        <w:footnoteReference w:id="14"/>
      </w:r>
      <w:r>
        <w:rPr>
          <w:noProof/>
        </w:rPr>
        <w:t xml:space="preserve">, liecināja par </w:t>
      </w:r>
      <w:r>
        <w:rPr>
          <w:noProof/>
        </w:rPr>
        <w:lastRenderedPageBreak/>
        <w:t>nepieciešamību precizēt, ka apdrošināšanas un pārapdrošināšanas sabiedrībām, pildot savus pienākumus pret apdrošinājuma ņēmējiem, būtu jāņem vērā ilgtspējas faktori. Tāpēc apdrošināšanas un pārapdrošināšanas sabiedrībām būtu pastāvīgi jānovērtē ne tikai visi attiecīgie finanšu riski, bet arī visi attiecīgie ilgtspējas riski, kā minēts Eiropas Parlamenta un Padomes Regulā (ES) 2019/2088</w:t>
      </w:r>
      <w:r>
        <w:rPr>
          <w:rStyle w:val="FootnoteReference"/>
          <w:noProof/>
        </w:rPr>
        <w:footnoteReference w:id="15"/>
      </w:r>
      <w:r>
        <w:rPr>
          <w:noProof/>
        </w:rPr>
        <w:t>, kuri, ja tādi rodas, varētu radīt faktisku vai iespējamu būtisku negatīvu ietekmi uz ieguldījuma vai saistību vērtību. Komisijas Deleģētajā regulā (ES) 2015/35</w:t>
      </w:r>
      <w:r>
        <w:rPr>
          <w:rStyle w:val="FootnoteReference"/>
          <w:noProof/>
        </w:rPr>
        <w:footnoteReference w:id="16"/>
      </w:r>
      <w:r>
        <w:rPr>
          <w:noProof/>
        </w:rPr>
        <w:t xml:space="preserve"> nav skaidras atsauces uz ilgtspējas riskiem. Šā iemesla dēļ un lai nodrošinātu, ka pārvaldības sistēma tiek pienācīgi īstenota un ievērota, ir jāprecizē, ka apdrošināšanas un pārapdrošināšanas sabiedrību pārvaldības sistēmā un šo sabiedrību vispārējo maksātspējas vajadzību novērtējumā būtu jāatspoguļo ilgtspējas riski. </w:t>
      </w:r>
    </w:p>
    <w:p>
      <w:pPr>
        <w:pStyle w:val="ManualConsidrant"/>
        <w:rPr>
          <w:noProof/>
        </w:rPr>
      </w:pPr>
      <w:r>
        <w:t>(4)</w:t>
      </w:r>
      <w:r>
        <w:tab/>
      </w:r>
      <w:r>
        <w:rPr>
          <w:noProof/>
        </w:rPr>
        <w:t xml:space="preserve">Apdrošināšanas sabiedrībām, kas atklāj informāciju par svarīgāko negatīvo ietekmi uz ilgtspējas faktoriem saskaņā ar Regulu (ES) 2019/2088, būtu arī jāpielāgo savi procesi, sistēmas un iekšējā kontrole attiecībā uz minēto informācijas atklāšanu. </w:t>
      </w:r>
    </w:p>
    <w:p>
      <w:pPr>
        <w:pStyle w:val="ManualConsidrant"/>
        <w:rPr>
          <w:noProof/>
        </w:rPr>
      </w:pPr>
      <w:r>
        <w:t>(5)</w:t>
      </w:r>
      <w:r>
        <w:tab/>
      </w:r>
      <w:r>
        <w:rPr>
          <w:noProof/>
        </w:rPr>
        <w:t>Ņemot vērā Komisijas centienus parūpēties par to, ka klimata un vides riski tiek pārvaldīti un integrēti finanšu sistēmā, un par atlīdzības politikas nozīmi, lai nodrošinātu, ka apdrošināšanas un pārapdrošināšanas sabiedrību darbinieki efektīvi pārvalda riskus, kas identificēti riska pārvaldības sistēmā, apdrošināšanas un pārapdrošināšanas sabiedrību atalgojuma politikā būtu jāiekļauj informācija par to, kā šajās politikās ir ņemta vērā ilgtspējas risku integrācija riska pārvaldības sistēmā.</w:t>
      </w:r>
    </w:p>
    <w:p>
      <w:pPr>
        <w:pStyle w:val="ManualConsidrant"/>
        <w:rPr>
          <w:noProof/>
        </w:rPr>
      </w:pPr>
      <w:r>
        <w:t>(6)</w:t>
      </w:r>
      <w:r>
        <w:tab/>
      </w:r>
      <w:r>
        <w:rPr>
          <w:noProof/>
        </w:rPr>
        <w:t>Piesardzības princips, kas noteikts Direktīvas 2009/138/EK 132. pantā, paredz, ka apdrošināšanas un pārapdrošināšanas sabiedrības iegulda tikai tajos aktīvos, kuru riskus tās var pienācīgi identificēt, izmērīt, uzraudzīt, vadīt, kontrolēt un par tiem ziņot. Lai nodrošinātu, ka apdrošināšanas un pārapdrošināšanas sabiedrības efektīvi pārvalda klimata un vides riskus, piesardzības principa īstenošanā būtu jāņem vērā ilgtspējas riski un apdrošināšanas un pārapdrošināšanas sabiedrībām savā ieguldījumu procesā būtu jāatspoguļo klientu vēlmes ilgtspējas jomā, kas ņemtas vērā produkta apstiprināšanas procesā.</w:t>
      </w:r>
    </w:p>
    <w:p>
      <w:pPr>
        <w:pStyle w:val="ManualConsidrant"/>
        <w:rPr>
          <w:noProof/>
        </w:rPr>
      </w:pPr>
      <w:r>
        <w:t>(7)</w:t>
      </w:r>
      <w:r>
        <w:tab/>
      </w:r>
      <w:r>
        <w:rPr>
          <w:noProof/>
        </w:rPr>
        <w:t>Tāpēc būtu attiecīgi jāgroza Deleģētā regula (ES) 2015/35.</w:t>
      </w:r>
    </w:p>
    <w:p>
      <w:pPr>
        <w:pStyle w:val="ManualConsidrant"/>
        <w:rPr>
          <w:noProof/>
        </w:rPr>
      </w:pPr>
      <w:r>
        <w:t>(8)</w:t>
      </w:r>
      <w:r>
        <w:tab/>
      </w:r>
      <w:r>
        <w:rPr>
          <w:noProof/>
        </w:rPr>
        <w:t>Uzraudzības iestādēm un apdrošināšanas un pārapdrošināšanas sabiedrībām būtu jādod pietiekami daudz laika, lai pielāgotos jaunajām prasībām, kas ietvertas šajā regulā. Tāpēc tās piemērošana būtu jāatliek,</w:t>
      </w:r>
    </w:p>
    <w:p>
      <w:pPr>
        <w:pStyle w:val="Formuledadoption"/>
        <w:rPr>
          <w:noProof/>
        </w:rPr>
      </w:pPr>
      <w:r>
        <w:rPr>
          <w:noProof/>
        </w:rPr>
        <w:t>IR PIEŅĒMUSI ŠO REGULU.</w:t>
      </w:r>
    </w:p>
    <w:p>
      <w:pPr>
        <w:pStyle w:val="Titrearticle"/>
        <w:rPr>
          <w:noProof/>
        </w:rPr>
      </w:pPr>
      <w:r>
        <w:rPr>
          <w:noProof/>
        </w:rPr>
        <w:t>1. pants</w:t>
      </w:r>
    </w:p>
    <w:p>
      <w:pPr>
        <w:pStyle w:val="Titrearticle"/>
        <w:spacing w:before="120"/>
        <w:rPr>
          <w:b/>
          <w:i w:val="0"/>
          <w:noProof/>
        </w:rPr>
      </w:pPr>
      <w:r>
        <w:rPr>
          <w:b/>
          <w:i w:val="0"/>
          <w:noProof/>
        </w:rPr>
        <w:t>Grozījumi Deleģētajā regulā (ES) 2015/35</w:t>
      </w:r>
    </w:p>
    <w:p>
      <w:pPr>
        <w:rPr>
          <w:noProof/>
        </w:rPr>
      </w:pPr>
      <w:r>
        <w:rPr>
          <w:noProof/>
        </w:rPr>
        <w:t>Deleģēto regulu (ES) 2015/35 groza šādi:</w:t>
      </w:r>
    </w:p>
    <w:p>
      <w:pPr>
        <w:pStyle w:val="Point0"/>
        <w:rPr>
          <w:noProof/>
        </w:rPr>
      </w:pPr>
      <w:r>
        <w:t>(1)</w:t>
      </w:r>
      <w:r>
        <w:tab/>
      </w:r>
      <w:r>
        <w:rPr>
          <w:noProof/>
        </w:rPr>
        <w:t>regulas 1. pantā iekļauj šādu 55.c līdz 55.e punktu:</w:t>
      </w:r>
    </w:p>
    <w:p>
      <w:pPr>
        <w:pStyle w:val="Text1"/>
        <w:ind w:left="1134" w:right="568" w:hanging="567"/>
        <w:rPr>
          <w:noProof/>
        </w:rPr>
      </w:pPr>
      <w:r>
        <w:rPr>
          <w:noProof/>
        </w:rPr>
        <w:lastRenderedPageBreak/>
        <w:t>“55.c</w:t>
      </w:r>
      <w:r>
        <w:rPr>
          <w:noProof/>
        </w:rPr>
        <w:tab/>
        <w:t>“ilgtspējas risks” ir vides, sociālais vai pārvaldības notikums vai nosacījums, kurš, ja tas notiek, varētu radīt faktisku vai iespējamu negatīvu ietekmi uz ieguldījumu vērtību vai saistību vērtību;</w:t>
      </w:r>
    </w:p>
    <w:p>
      <w:pPr>
        <w:pStyle w:val="Text1"/>
        <w:ind w:left="1134" w:right="568" w:hanging="567"/>
        <w:rPr>
          <w:noProof/>
        </w:rPr>
      </w:pPr>
      <w:r>
        <w:rPr>
          <w:noProof/>
        </w:rPr>
        <w:t>55.d</w:t>
      </w:r>
      <w:r>
        <w:rPr>
          <w:noProof/>
        </w:rPr>
        <w:tab/>
        <w:t>“ilgtspējas faktori” ir ilgtspējas faktori, kā definēts Eiropas Parlamenta un Padomes Regulas (ES) 2019/2088* 2. panta 24. punktā;</w:t>
      </w:r>
    </w:p>
    <w:p>
      <w:pPr>
        <w:pStyle w:val="Text1"/>
        <w:ind w:left="1134" w:right="568" w:hanging="567"/>
        <w:rPr>
          <w:noProof/>
        </w:rPr>
      </w:pPr>
      <w:r>
        <w:rPr>
          <w:noProof/>
        </w:rPr>
        <w:t>55.e “vēlmes ilgtspējas jomā” ir klienta vai potenciālā klienta izvēle attiecībā uz to, vai viņa vai viņas ieguldījumā būtu jāiekļauj viens vai vairāki no turpmāk minētajiem finanšu instrumentiem, un, ja tā, tad cik lielā mērā:</w:t>
      </w:r>
    </w:p>
    <w:p>
      <w:pPr>
        <w:pStyle w:val="Text2"/>
        <w:ind w:left="1701" w:right="568" w:hanging="567"/>
        <w:rPr>
          <w:noProof/>
        </w:rPr>
      </w:pPr>
      <w:r>
        <w:rPr>
          <w:noProof/>
        </w:rPr>
        <w:t>a)</w:t>
      </w:r>
      <w:r>
        <w:rPr>
          <w:noProof/>
        </w:rPr>
        <w:tab/>
        <w:t>finanšu instruments, attiecībā uz kuru klients vai potenciālais klients nosaka, ka minimālo daļu iegulda vides ziņā ilgtspējīgos ieguldījumos, kā definēts Eiropas Parlamenta un Padomes Regulas (ES) 2020/852** 2. panta 1. punktā;</w:t>
      </w:r>
    </w:p>
    <w:p>
      <w:pPr>
        <w:pStyle w:val="Text2"/>
        <w:ind w:left="1701" w:right="568" w:hanging="567"/>
        <w:rPr>
          <w:noProof/>
        </w:rPr>
      </w:pPr>
      <w:r>
        <w:rPr>
          <w:noProof/>
        </w:rPr>
        <w:t>b)</w:t>
      </w:r>
      <w:r>
        <w:rPr>
          <w:noProof/>
        </w:rPr>
        <w:tab/>
        <w:t>finanšu instruments, attiecībā uz kuru klients vai potenciālais klients nosaka, ka minimālo daļu iegulda ilgtspējīgos ieguldījumos, kā definēts Regulas (ES) 2019/2088 2. panta 17. punktā;</w:t>
      </w:r>
    </w:p>
    <w:p>
      <w:pPr>
        <w:pStyle w:val="Text2"/>
        <w:ind w:left="1701" w:right="568" w:hanging="567"/>
        <w:rPr>
          <w:noProof/>
        </w:rPr>
      </w:pPr>
      <w:r>
        <w:rPr>
          <w:noProof/>
        </w:rPr>
        <w:t>c)</w:t>
      </w:r>
      <w:r>
        <w:rPr>
          <w:noProof/>
        </w:rPr>
        <w:tab/>
        <w:t>finanšu instruments, kurā ņem vērā svarīgāko negatīvo ietekmi uz ilgtspējas faktoriem, klientam vai potenciālajam klientam nosakot kvalitatīvus vai kvantitatīvus elementus, kuri apliecina, ka šī negatīvā ietekme ir ņemta vērā;</w:t>
      </w:r>
    </w:p>
    <w:p>
      <w:pPr>
        <w:pStyle w:val="Text1"/>
        <w:ind w:left="1134"/>
        <w:rPr>
          <w:noProof/>
        </w:rPr>
      </w:pPr>
      <w:r>
        <w:rPr>
          <w:noProof/>
        </w:rPr>
        <w:t>___________</w:t>
      </w:r>
    </w:p>
    <w:p>
      <w:pPr>
        <w:pStyle w:val="Text1"/>
        <w:ind w:left="1701" w:right="568" w:hanging="567"/>
        <w:rPr>
          <w:noProof/>
          <w:sz w:val="20"/>
        </w:rPr>
      </w:pPr>
      <w:r>
        <w:rPr>
          <w:noProof/>
          <w:sz w:val="20"/>
        </w:rPr>
        <w:t xml:space="preserve">* </w:t>
      </w:r>
      <w:r>
        <w:rPr>
          <w:noProof/>
        </w:rPr>
        <w:tab/>
      </w:r>
      <w:r>
        <w:rPr>
          <w:noProof/>
          <w:sz w:val="20"/>
        </w:rPr>
        <w:t>Eiropas Parlamenta un Padomes Regula (ES) 2019/2088 (2019. gada 27. novembris) par informācijas atklāšanu, kas saistīta ar ilgtspēju, finanšu pakalpojumu nozarē (OV L 317, 9.12.2019., 1. lpp.).</w:t>
      </w:r>
    </w:p>
    <w:p>
      <w:pPr>
        <w:pStyle w:val="Text1"/>
        <w:ind w:left="1701" w:right="568" w:hanging="567"/>
        <w:rPr>
          <w:noProof/>
        </w:rPr>
      </w:pPr>
      <w:r>
        <w:rPr>
          <w:noProof/>
          <w:sz w:val="20"/>
        </w:rPr>
        <w:t>**</w:t>
      </w:r>
      <w:r>
        <w:rPr>
          <w:noProof/>
        </w:rPr>
        <w:tab/>
      </w:r>
      <w:r>
        <w:rPr>
          <w:noProof/>
          <w:sz w:val="20"/>
        </w:rPr>
        <w:t>Eiropas Parlamenta un Padomes Regula (ES) 2020/852 (2020. gada 18. jūnijs) par regulējuma izveidi ilgtspējīgu ieguldījumu veicināšanai un ar kuru groza Regulu (ES) 2019/2088 (OV L 198, 22.6.2020., 13. lpp.).</w:t>
      </w:r>
      <w:r>
        <w:rPr>
          <w:noProof/>
        </w:rPr>
        <w:t>”;</w:t>
      </w:r>
    </w:p>
    <w:p>
      <w:pPr>
        <w:pStyle w:val="Point0"/>
        <w:rPr>
          <w:noProof/>
        </w:rPr>
      </w:pPr>
      <w:r>
        <w:t>(2)</w:t>
      </w:r>
      <w:r>
        <w:tab/>
      </w:r>
      <w:r>
        <w:rPr>
          <w:noProof/>
        </w:rPr>
        <w:t>regulas 260. pantu groza šādi:</w:t>
      </w:r>
    </w:p>
    <w:p>
      <w:pPr>
        <w:pStyle w:val="Point1"/>
        <w:rPr>
          <w:noProof/>
        </w:rPr>
      </w:pPr>
      <w:r>
        <w:t>(a)</w:t>
      </w:r>
      <w:r>
        <w:tab/>
      </w:r>
      <w:r>
        <w:rPr>
          <w:noProof/>
        </w:rPr>
        <w:t>panta 1. punkta a) apakšpunkta i) punktu aizstāj ar šādu:</w:t>
      </w:r>
    </w:p>
    <w:p>
      <w:pPr>
        <w:pStyle w:val="Text2"/>
        <w:ind w:left="1701" w:right="568" w:hanging="567"/>
        <w:rPr>
          <w:noProof/>
        </w:rPr>
      </w:pPr>
      <w:r>
        <w:rPr>
          <w:noProof/>
        </w:rPr>
        <w:t>“i)</w:t>
      </w:r>
      <w:r>
        <w:rPr>
          <w:noProof/>
        </w:rPr>
        <w:tab/>
        <w:t>darbības, kas jāveic apdrošināšanas vai pārapdrošināšanas sabiedrībai, lai novērtētu un vadītu zaudējumu risku vai apdrošināšanas un pārapdrošināšanas saistību vērtību negatīvu pārmaiņu risku, kas izriet no neatbilstīgiem cenu noteikšanas un rezervju veidošanas pieņēmumiem iekšēju vai ārēju faktoru, tostarp ilgtspējas risku, dēļ;”;</w:t>
      </w:r>
    </w:p>
    <w:p>
      <w:pPr>
        <w:pStyle w:val="Point1"/>
        <w:rPr>
          <w:noProof/>
        </w:rPr>
      </w:pPr>
      <w:r>
        <w:t>(b)</w:t>
      </w:r>
      <w:r>
        <w:tab/>
      </w:r>
      <w:r>
        <w:rPr>
          <w:noProof/>
        </w:rPr>
        <w:t>panta 1. punkta c) apakšpunktu papildina ar šādu vi) punktu:</w:t>
      </w:r>
    </w:p>
    <w:p>
      <w:pPr>
        <w:pStyle w:val="Text2"/>
        <w:ind w:left="1701" w:right="568" w:hanging="567"/>
        <w:rPr>
          <w:noProof/>
        </w:rPr>
      </w:pPr>
      <w:r>
        <w:rPr>
          <w:noProof/>
        </w:rPr>
        <w:t>“vi)</w:t>
      </w:r>
      <w:r>
        <w:rPr>
          <w:noProof/>
        </w:rPr>
        <w:tab/>
        <w:t>darbības, kas jāveic apdrošināšanas vai pārapdrošināšanas sabiedrībai, lai nodrošinātu, ka ar ieguldījumu portfeli saistītie ilgtspējas riski tiek pienācīgi identificēti, novērtēti un pārvaldīti.”;</w:t>
      </w:r>
    </w:p>
    <w:p>
      <w:pPr>
        <w:pStyle w:val="Point1"/>
        <w:rPr>
          <w:noProof/>
        </w:rPr>
      </w:pPr>
      <w:r>
        <w:t>(c)</w:t>
      </w:r>
      <w:r>
        <w:tab/>
      </w:r>
      <w:r>
        <w:rPr>
          <w:noProof/>
        </w:rPr>
        <w:t>pantā iekļauj šādu 1.a punktu:</w:t>
      </w:r>
    </w:p>
    <w:p>
      <w:pPr>
        <w:pStyle w:val="Text2"/>
        <w:tabs>
          <w:tab w:val="left" w:pos="1701"/>
        </w:tabs>
        <w:ind w:left="1134" w:right="568"/>
        <w:rPr>
          <w:noProof/>
        </w:rPr>
      </w:pPr>
      <w:r>
        <w:rPr>
          <w:noProof/>
        </w:rPr>
        <w:t>“1.a</w:t>
      </w:r>
      <w:r>
        <w:rPr>
          <w:noProof/>
        </w:rPr>
        <w:tab/>
        <w:t xml:space="preserve">Apdrošināšanas un pārapdrošināšanas sabiedrības integrē ilgtspējas riskus savās politikas nostādnēs, kas minētas 1. punkta a) un c) apakšpunktā, un attiecīgā gadījumā politikas nostādnēs citās jomās, kas minētas 1. punktā.”; </w:t>
      </w:r>
    </w:p>
    <w:p>
      <w:pPr>
        <w:pStyle w:val="Point0"/>
        <w:rPr>
          <w:noProof/>
        </w:rPr>
      </w:pPr>
      <w:r>
        <w:t>(3)</w:t>
      </w:r>
      <w:r>
        <w:tab/>
      </w:r>
      <w:r>
        <w:rPr>
          <w:noProof/>
        </w:rPr>
        <w:t>regulas 269. pantu groza šādi:</w:t>
      </w:r>
    </w:p>
    <w:p>
      <w:pPr>
        <w:pStyle w:val="Point1"/>
        <w:rPr>
          <w:noProof/>
        </w:rPr>
      </w:pPr>
      <w:r>
        <w:t>(a)</w:t>
      </w:r>
      <w:r>
        <w:tab/>
      </w:r>
      <w:r>
        <w:rPr>
          <w:noProof/>
        </w:rPr>
        <w:t>panta 1. punkta e) apakšpunktu aizstāj ar šādu:</w:t>
      </w:r>
    </w:p>
    <w:p>
      <w:pPr>
        <w:pStyle w:val="Text2"/>
        <w:ind w:left="1701" w:right="568" w:hanging="567"/>
        <w:rPr>
          <w:noProof/>
        </w:rPr>
      </w:pPr>
      <w:r>
        <w:rPr>
          <w:noProof/>
        </w:rPr>
        <w:lastRenderedPageBreak/>
        <w:t>“e)</w:t>
      </w:r>
      <w:r>
        <w:rPr>
          <w:noProof/>
        </w:rPr>
        <w:tab/>
        <w:t>jaunu risku un ilgtspējas risku apzināšana un novērtēšana.”;</w:t>
      </w:r>
    </w:p>
    <w:p>
      <w:pPr>
        <w:pStyle w:val="Point1"/>
        <w:rPr>
          <w:noProof/>
        </w:rPr>
      </w:pPr>
      <w:r>
        <w:t>(b)</w:t>
      </w:r>
      <w:r>
        <w:tab/>
      </w:r>
      <w:r>
        <w:rPr>
          <w:noProof/>
        </w:rPr>
        <w:t>pantā iekļauj šādu 1.a punktu:</w:t>
      </w:r>
    </w:p>
    <w:p>
      <w:pPr>
        <w:pStyle w:val="Text2"/>
        <w:tabs>
          <w:tab w:val="left" w:pos="1701"/>
        </w:tabs>
        <w:ind w:left="1134" w:right="568"/>
        <w:rPr>
          <w:noProof/>
        </w:rPr>
      </w:pPr>
      <w:r>
        <w:rPr>
          <w:noProof/>
        </w:rPr>
        <w:t>“1.a</w:t>
      </w:r>
      <w:r>
        <w:rPr>
          <w:noProof/>
        </w:rPr>
        <w:tab/>
        <w:t>Jaunie riski un ilgtspējas riski, kas minēti 1. punkta e) apakšpunktā un kurus identificējusi riska pārvaldības funkcija, ir daļa no riskiem, kas minēti 262. panta 1. punkta a) apakšpunktā.”;</w:t>
      </w:r>
    </w:p>
    <w:p>
      <w:pPr>
        <w:pStyle w:val="Point0"/>
        <w:rPr>
          <w:noProof/>
        </w:rPr>
      </w:pPr>
      <w:r>
        <w:t>(4)</w:t>
      </w:r>
      <w:r>
        <w:tab/>
      </w:r>
      <w:r>
        <w:rPr>
          <w:noProof/>
        </w:rPr>
        <w:t>regulas 272. panta 6. punkta b) apakšpunktu aizstāj ar šādu:</w:t>
      </w:r>
    </w:p>
    <w:p>
      <w:pPr>
        <w:pStyle w:val="Text1"/>
        <w:ind w:left="1134" w:right="568" w:hanging="567"/>
        <w:rPr>
          <w:noProof/>
        </w:rPr>
      </w:pPr>
      <w:r>
        <w:rPr>
          <w:noProof/>
        </w:rPr>
        <w:t>“b)</w:t>
      </w:r>
      <w:r>
        <w:rPr>
          <w:noProof/>
        </w:rPr>
        <w:tab/>
        <w:t>ietekme, ko rada inflācija, juridiskais risks, ilgtspējas riski, sabiedrības portfeļa sastāva izmaiņas un sistēmas, kas koriģē apdrošinājuma ņēmēju maksātās prēmijas uz augšu vai uz leju atkarībā no to atlīdzības prasību vēstures (</w:t>
      </w:r>
      <w:r>
        <w:rPr>
          <w:i/>
          <w:noProof/>
        </w:rPr>
        <w:t>bonus-malus</w:t>
      </w:r>
      <w:r>
        <w:rPr>
          <w:noProof/>
        </w:rPr>
        <w:t xml:space="preserve"> sistēmas) vai līdzīgas sistēmas, ko īsteno konkrētās viendabīga riska grupās;”;</w:t>
      </w:r>
    </w:p>
    <w:p>
      <w:pPr>
        <w:pStyle w:val="Point0"/>
        <w:rPr>
          <w:noProof/>
        </w:rPr>
      </w:pPr>
      <w:r>
        <w:t>(5)</w:t>
      </w:r>
      <w:r>
        <w:tab/>
      </w:r>
      <w:r>
        <w:rPr>
          <w:noProof/>
        </w:rPr>
        <w:t>regulas 275. pantam pievieno šādu 4. punktu:</w:t>
      </w:r>
    </w:p>
    <w:p>
      <w:pPr>
        <w:pStyle w:val="Text1"/>
        <w:tabs>
          <w:tab w:val="left" w:pos="1134"/>
        </w:tabs>
        <w:ind w:left="567" w:right="568"/>
        <w:rPr>
          <w:noProof/>
        </w:rPr>
      </w:pPr>
      <w:r>
        <w:rPr>
          <w:noProof/>
        </w:rPr>
        <w:t>“4.</w:t>
      </w:r>
      <w:r>
        <w:rPr>
          <w:noProof/>
        </w:rPr>
        <w:tab/>
        <w:t>Atalgojuma politikā iekļauj informāciju par to, kā tajā ņemta vērā ilgtspējas risku integrācija riska pārvaldības sistēmā.”;</w:t>
      </w:r>
    </w:p>
    <w:p>
      <w:pPr>
        <w:pStyle w:val="Point0"/>
        <w:rPr>
          <w:noProof/>
        </w:rPr>
      </w:pPr>
      <w:r>
        <w:t>(6)</w:t>
      </w:r>
      <w:r>
        <w:tab/>
      </w:r>
      <w:r>
        <w:rPr>
          <w:noProof/>
        </w:rPr>
        <w:t>I sadaļas IX nodaļā pievieno šādu 6. iedaļu:</w:t>
      </w:r>
    </w:p>
    <w:p>
      <w:pPr>
        <w:pStyle w:val="Text1"/>
        <w:ind w:left="567" w:right="568"/>
        <w:jc w:val="center"/>
        <w:rPr>
          <w:i/>
          <w:noProof/>
        </w:rPr>
      </w:pPr>
      <w:r>
        <w:rPr>
          <w:noProof/>
        </w:rPr>
        <w:t>“</w:t>
      </w:r>
      <w:r>
        <w:rPr>
          <w:i/>
          <w:noProof/>
        </w:rPr>
        <w:t xml:space="preserve">6. IEDAĻA </w:t>
      </w:r>
    </w:p>
    <w:p>
      <w:pPr>
        <w:pStyle w:val="Text1"/>
        <w:ind w:left="567" w:right="568"/>
        <w:jc w:val="center"/>
        <w:rPr>
          <w:b/>
          <w:i/>
          <w:noProof/>
        </w:rPr>
      </w:pPr>
      <w:r>
        <w:rPr>
          <w:b/>
          <w:i/>
          <w:noProof/>
        </w:rPr>
        <w:t>Ieguldījumi</w:t>
      </w:r>
    </w:p>
    <w:p>
      <w:pPr>
        <w:pStyle w:val="Text1"/>
        <w:ind w:left="567" w:right="568"/>
        <w:jc w:val="center"/>
        <w:rPr>
          <w:i/>
          <w:noProof/>
        </w:rPr>
      </w:pPr>
    </w:p>
    <w:p>
      <w:pPr>
        <w:pStyle w:val="Text1"/>
        <w:ind w:left="567" w:right="568"/>
        <w:jc w:val="center"/>
        <w:rPr>
          <w:i/>
          <w:noProof/>
        </w:rPr>
      </w:pPr>
      <w:r>
        <w:rPr>
          <w:i/>
          <w:noProof/>
        </w:rPr>
        <w:t>275.a pants</w:t>
      </w:r>
    </w:p>
    <w:p>
      <w:pPr>
        <w:pStyle w:val="Text1"/>
        <w:ind w:left="567" w:right="568"/>
        <w:jc w:val="center"/>
        <w:rPr>
          <w:b/>
          <w:noProof/>
        </w:rPr>
      </w:pPr>
      <w:r>
        <w:rPr>
          <w:b/>
          <w:noProof/>
        </w:rPr>
        <w:t>Ilgtspējas risku integrācija piesardzības principā</w:t>
      </w:r>
    </w:p>
    <w:p>
      <w:pPr>
        <w:pStyle w:val="Text1"/>
        <w:tabs>
          <w:tab w:val="left" w:pos="1134"/>
        </w:tabs>
        <w:ind w:left="567" w:right="568"/>
        <w:rPr>
          <w:noProof/>
        </w:rPr>
      </w:pPr>
      <w:r>
        <w:rPr>
          <w:noProof/>
        </w:rPr>
        <w:t>1.</w:t>
      </w:r>
      <w:r>
        <w:rPr>
          <w:noProof/>
        </w:rPr>
        <w:tab/>
        <w:t>Identificējot, izmērot, uzraugot, vadot, kontrolējot, ziņojot un novērtējot riskus, kas izriet no ieguldījumiem, kā minēts Direktīvas 2009/138/EK 132. panta 2. punkta pirmajā daļā, apdrošināšanas un pārapdrošināšanas sabiedrības ņem vērā ilgtspējas riskus.</w:t>
      </w:r>
    </w:p>
    <w:p>
      <w:pPr>
        <w:pStyle w:val="Text1"/>
        <w:tabs>
          <w:tab w:val="left" w:pos="1134"/>
        </w:tabs>
        <w:ind w:left="567" w:right="568"/>
        <w:rPr>
          <w:noProof/>
        </w:rPr>
      </w:pPr>
      <w:r>
        <w:rPr>
          <w:noProof/>
        </w:rPr>
        <w:t>2.</w:t>
      </w:r>
      <w:r>
        <w:rPr>
          <w:noProof/>
        </w:rPr>
        <w:tab/>
        <w:t>Šā panta 1. punkta nolūkā apdrošināšanas un pārapdrošināšanas sabiedrības ņem vērā savu ieguldījumu stratēģijas un lēmumu iespējamo ilgtermiņa ietekmi uz ilgtspējas faktoriem, un attiecīgā gadījumā minētā apdrošināšanas sabiedrības stratēģija un minētie lēmumi atspoguļo klientu vēlmes ilgtspējas jomā, kas ņemtas vērā produkta apstiprināšanas procesā, kā minēts Komisijas Deleģētās regulas (ES) 2017/2358*** 4. pantā.</w:t>
      </w:r>
    </w:p>
    <w:p>
      <w:pPr>
        <w:pStyle w:val="Text1"/>
        <w:ind w:left="567" w:right="568"/>
        <w:rPr>
          <w:noProof/>
        </w:rPr>
      </w:pPr>
      <w:r>
        <w:rPr>
          <w:noProof/>
        </w:rPr>
        <w:t>___________</w:t>
      </w:r>
    </w:p>
    <w:p>
      <w:pPr>
        <w:pStyle w:val="Text1"/>
        <w:ind w:left="1134" w:right="568" w:hanging="567"/>
        <w:rPr>
          <w:noProof/>
          <w:sz w:val="20"/>
        </w:rPr>
      </w:pPr>
      <w:r>
        <w:rPr>
          <w:noProof/>
          <w:sz w:val="20"/>
        </w:rPr>
        <w:t>***</w:t>
      </w:r>
      <w:r>
        <w:rPr>
          <w:noProof/>
        </w:rPr>
        <w:tab/>
      </w:r>
      <w:r>
        <w:rPr>
          <w:noProof/>
          <w:sz w:val="20"/>
        </w:rPr>
        <w:t>Komisijas Deleģētā regula (ES) 2017/2358 (2017. gada 21. septembris), ar ko Eiropas Parlamenta un Padomes Direktīvu (ES) 2016/97 papildina attiecībā uz produktu pārraudzības un pārvaldības prasībām apdrošināšanas sabiedrībām un apdrošināšanas izplatītājiem (</w:t>
      </w:r>
      <w:r>
        <w:rPr>
          <w:rStyle w:val="Emphasis"/>
          <w:i w:val="0"/>
          <w:noProof/>
          <w:sz w:val="20"/>
        </w:rPr>
        <w:t>OV L 341, 20.12.2017., 1. lpp.</w:t>
      </w:r>
      <w:r>
        <w:rPr>
          <w:noProof/>
          <w:sz w:val="20"/>
        </w:rPr>
        <w:t>).</w:t>
      </w:r>
    </w:p>
    <w:p>
      <w:pPr>
        <w:pStyle w:val="Titrearticle"/>
        <w:rPr>
          <w:noProof/>
        </w:rPr>
      </w:pPr>
      <w:r>
        <w:rPr>
          <w:noProof/>
        </w:rPr>
        <w:t>2. pants</w:t>
      </w:r>
    </w:p>
    <w:p>
      <w:pPr>
        <w:pStyle w:val="Titrearticle"/>
        <w:rPr>
          <w:b/>
          <w:i w:val="0"/>
          <w:noProof/>
        </w:rPr>
      </w:pPr>
      <w:r>
        <w:rPr>
          <w:b/>
          <w:i w:val="0"/>
          <w:noProof/>
        </w:rPr>
        <w:t>Stāšanās spēkā un piemērošana</w:t>
      </w:r>
    </w:p>
    <w:p>
      <w:pPr>
        <w:rPr>
          <w:noProof/>
        </w:rPr>
      </w:pPr>
      <w:r>
        <w:rPr>
          <w:noProof/>
        </w:rPr>
        <w:t xml:space="preserve">Šī regula stājas spēkā divdesmitajā dienā pēc tās publicēšanas </w:t>
      </w:r>
      <w:r>
        <w:rPr>
          <w:i/>
          <w:noProof/>
        </w:rPr>
        <w:t>Eiropas Savienības Oficiālajā Vēstnesī</w:t>
      </w:r>
      <w:r>
        <w:rPr>
          <w:noProof/>
        </w:rPr>
        <w:t>.</w:t>
      </w:r>
    </w:p>
    <w:p>
      <w:pPr>
        <w:rPr>
          <w:noProof/>
        </w:rPr>
      </w:pPr>
      <w:r>
        <w:rPr>
          <w:noProof/>
        </w:rPr>
        <w:t xml:space="preserve">To piemēro no </w:t>
      </w:r>
      <w:r>
        <w:rPr>
          <w:i/>
          <w:noProof/>
        </w:rPr>
        <w:t>[PB: lūgums ievietot datumu – 12 mēneši pēc tās publicēšanas]</w:t>
      </w:r>
      <w:r>
        <w:rPr>
          <w:noProof/>
        </w:rPr>
        <w:t>.</w:t>
      </w:r>
    </w:p>
    <w:p>
      <w:pPr>
        <w:pStyle w:val="Applicationdirecte"/>
        <w:rPr>
          <w:noProof/>
        </w:rPr>
      </w:pPr>
      <w:r>
        <w:rPr>
          <w:noProof/>
        </w:rPr>
        <w:lastRenderedPageBreak/>
        <w:t>Šī regula uzliek saistības kopumā un ir tieši piemērojama visās dalībvalstīs.</w:t>
      </w:r>
    </w:p>
    <w:p>
      <w:pPr>
        <w:pStyle w:val="Fait"/>
        <w:rPr>
          <w:noProof/>
        </w:rPr>
      </w:pPr>
      <w:r>
        <w:t>Briselē, 21.4.2021</w:t>
      </w:r>
    </w:p>
    <w:p>
      <w:pPr>
        <w:pStyle w:val="Institutionquisigne"/>
        <w:rPr>
          <w:noProof/>
        </w:rPr>
      </w:pPr>
      <w:r>
        <w:rPr>
          <w:noProof/>
        </w:rPr>
        <w:tab/>
        <w:t>Komisijas vārdā —</w:t>
      </w:r>
    </w:p>
    <w:p>
      <w:pPr>
        <w:pStyle w:val="Personnequisigne"/>
        <w:rPr>
          <w:noProof/>
        </w:rPr>
      </w:pPr>
      <w:r>
        <w:tab/>
        <w:t>priekšsēdētāja</w:t>
      </w:r>
      <w:r>
        <w:br/>
      </w:r>
      <w:r>
        <w:tab/>
        <w:t>Ursula VON DER LEYEN</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567" w:hanging="567"/>
      </w:pPr>
      <w:r>
        <w:rPr>
          <w:rStyle w:val="FootnoteReference"/>
        </w:rPr>
        <w:footnoteRef/>
      </w:r>
      <w:r>
        <w:tab/>
        <w:t>Komisijas paziņojums Eiropas Parlamentam, Eiropadomei, Padomei, Eiropas Ekonomikas un sociālo lietu komitejai un Reģionu komitejai. “Eiropas zaļais kurss” (COM(2019)640 final).</w:t>
      </w:r>
    </w:p>
  </w:footnote>
  <w:footnote w:id="3">
    <w:p>
      <w:pPr>
        <w:pStyle w:val="FootnoteText"/>
        <w:ind w:left="567" w:hanging="567"/>
      </w:pPr>
      <w:r>
        <w:rPr>
          <w:rStyle w:val="FootnoteReference"/>
        </w:rPr>
        <w:footnoteRef/>
      </w:r>
      <w:r>
        <w:tab/>
        <w:t>Komisijas Deleģētā regula (ES) 2015/35 (2014. gada 10. oktobris), ar ko papildina Eiropas Parlamenta un Padomes Direktīvu 2009/138/EK par uzņēmējdarbības uzsākšanu un veikšanu apdrošināšanas un pārapdrošināšanas jomā (Maksātspēja II) (OV L 12, 17.1.2015., 1. lpp.).</w:t>
      </w:r>
    </w:p>
  </w:footnote>
  <w:footnote w:id="4">
    <w:p>
      <w:pPr>
        <w:pStyle w:val="FootnoteText"/>
        <w:ind w:left="567" w:hanging="567"/>
      </w:pPr>
      <w:r>
        <w:rPr>
          <w:rStyle w:val="FootnoteReference"/>
        </w:rPr>
        <w:footnoteRef/>
      </w:r>
      <w:r>
        <w:tab/>
        <w:t>Galīgais ziņojums – EAAPI tehniskie ieteikumi par ilgtspējas risku un faktoru integrēšanu deleģētajos aktos saskaņā ar “Maksātspēja II” un AID (EIOPA-BoS-19/172).</w:t>
      </w:r>
    </w:p>
  </w:footnote>
  <w:footnote w:id="5">
    <w:p>
      <w:pPr>
        <w:pStyle w:val="FootnoteText"/>
        <w:ind w:left="567" w:hanging="567"/>
      </w:pPr>
      <w:r>
        <w:rPr>
          <w:rStyle w:val="FootnoteReference"/>
        </w:rPr>
        <w:footnoteRef/>
      </w:r>
      <w:r>
        <w:tab/>
        <w:t>Eiropas Parlamenta un Padomes Regula (ES) 2019/2088 (2019. gada 27. novembris) par informācijas atklāšanu, kas saistīta ar ilgtspēju, finanšu pakalpojumu nozarē (OV L 317, 9.12.2019., 1. lpp.).</w:t>
      </w:r>
    </w:p>
  </w:footnote>
  <w:footnote w:id="6">
    <w:p>
      <w:pPr>
        <w:pStyle w:val="FootnoteText"/>
        <w:ind w:left="567" w:hanging="567"/>
      </w:pPr>
      <w:r>
        <w:rPr>
          <w:rStyle w:val="FootnoteReference"/>
        </w:rPr>
        <w:footnoteRef/>
      </w:r>
      <w:r>
        <w:tab/>
        <w:t>Eiropas Parlamenta un Padomes Regula (ES) 2019/2089 (2019. gada 27. novembris), ar ko groza Regulu (ES) 2016/1011 attiecībā uz ES klimata pārejas etaloniem, Parīzes nolīgumam pielāgotiem ES etaloniem un ar ilgtspēju saistītu informācijas atklāšanu attiecībā uz etaloniem (OV L 317, 9.12.2019., 17. lpp.).</w:t>
      </w:r>
    </w:p>
  </w:footnote>
  <w:footnote w:id="7">
    <w:p>
      <w:pPr>
        <w:pStyle w:val="FootnoteText"/>
        <w:ind w:left="567" w:hanging="567"/>
      </w:pPr>
      <w:r>
        <w:rPr>
          <w:rStyle w:val="FootnoteReference"/>
        </w:rPr>
        <w:footnoteRef/>
      </w:r>
      <w:r>
        <w:tab/>
        <w:t>Eiropas Parlamenta un Padomes Regula (ES) 2020/852 (2020. gada 18. jūnijs) par regulējuma izveidi ilgtspējīgu ieguldījumu veicināšanai un ar kuru groza Regulu (ES) 2019/2088 (OV L 198, 22.6.2020., 13. lpp.).</w:t>
      </w:r>
    </w:p>
  </w:footnote>
  <w:footnote w:id="8">
    <w:p>
      <w:pPr>
        <w:pStyle w:val="FootnoteText"/>
        <w:ind w:left="567" w:hanging="567"/>
      </w:pPr>
      <w:r>
        <w:rPr>
          <w:rStyle w:val="FootnoteReference"/>
        </w:rPr>
        <w:footnoteRef/>
      </w:r>
      <w:r>
        <w:tab/>
        <w:t>Komisijas Deleģētā regula (ES) 2017/2359 (2017. gada 21. septembris), ar ko Eiropas Parlamenta un Padomes Direktīvu (ES) 2016/97 papildina attiecībā uz informācijas prasībām un darījumdarbības veikšanas noteikumiem, kas piemērojami apdrošināšanas ieguldījumu produktu izplatīšanai (OV L 341, 20.12.2017., 8. lpp.).</w:t>
      </w:r>
    </w:p>
  </w:footnote>
  <w:footnote w:id="9">
    <w:p>
      <w:pPr>
        <w:pStyle w:val="FootnoteText"/>
        <w:ind w:left="567" w:hanging="567"/>
      </w:pPr>
      <w:r>
        <w:rPr>
          <w:rStyle w:val="FootnoteReference"/>
        </w:rPr>
        <w:footnoteRef/>
      </w:r>
      <w:r>
        <w:tab/>
        <w:t>Komisijas Deleģētā regula (ES) 2017/565 (2016. gada 25. aprīlis), ar ko papildina Eiropas Parlamenta un Padomes Direktīvu 2014/65/ES attiecībā uz ieguldījumu brokeru sabiedrību organizatoriskām prasībām un darbības nosacījumiem un jēdzienu definīcijām minētās direktīvas mērķiem (OV L 87, 31.3.2017., 1. lpp.).</w:t>
      </w:r>
    </w:p>
  </w:footnote>
  <w:footnote w:id="10">
    <w:p>
      <w:pPr>
        <w:pStyle w:val="FootnoteText"/>
        <w:ind w:left="567" w:hanging="567"/>
      </w:pPr>
      <w:r>
        <w:rPr>
          <w:rStyle w:val="FootnoteReference"/>
        </w:rPr>
        <w:footnoteRef/>
      </w:r>
      <w:r>
        <w:tab/>
        <w:t>OV L 335, 17.12.2009., 1. lpp.</w:t>
      </w:r>
    </w:p>
  </w:footnote>
  <w:footnote w:id="11">
    <w:p>
      <w:pPr>
        <w:pStyle w:val="FootnoteText"/>
        <w:ind w:left="567" w:hanging="567"/>
      </w:pPr>
      <w:r>
        <w:rPr>
          <w:rStyle w:val="FootnoteReference"/>
        </w:rPr>
        <w:footnoteRef/>
      </w:r>
      <w:r>
        <w:tab/>
        <w:t>Padomes Lēmums (ES) 2016/1841 (2016. gada 5. oktobris) par to, lai Eiropas Savienības vārdā noslēgtu Apvienoto Nāciju Organizācijas Vispārējās konvencijas par klimata pārmaiņām ietvaros pieņemto Parīzes nolīgumu (OV L 282, 19.10.2016., 1. lpp.).</w:t>
      </w:r>
    </w:p>
  </w:footnote>
  <w:footnote w:id="12">
    <w:p>
      <w:pPr>
        <w:pStyle w:val="FootnoteText"/>
        <w:ind w:left="567" w:hanging="567"/>
      </w:pPr>
      <w:r>
        <w:rPr>
          <w:rStyle w:val="FootnoteReference"/>
        </w:rPr>
        <w:footnoteRef/>
      </w:r>
      <w:r>
        <w:tab/>
        <w:t>Komisijas paziņojums Eiropas Parlamentam, Eiropadomei, Padomei, Eiropas Ekonomikas un sociālo lietu komitejai un Reģionu komitejai. “Eiropas zaļais kurss” (COM(2019)640 final).</w:t>
      </w:r>
    </w:p>
  </w:footnote>
  <w:footnote w:id="13">
    <w:p>
      <w:pPr>
        <w:pStyle w:val="FootnoteText"/>
        <w:ind w:left="567" w:hanging="567"/>
      </w:pPr>
      <w:r>
        <w:rPr>
          <w:rStyle w:val="FootnoteReference"/>
        </w:rPr>
        <w:footnoteRef/>
      </w:r>
      <w:r>
        <w:tab/>
        <w:t>COM(2018) 97 final.</w:t>
      </w:r>
    </w:p>
  </w:footnote>
  <w:footnote w:id="14">
    <w:p>
      <w:pPr>
        <w:pStyle w:val="FootnoteText"/>
        <w:ind w:left="567" w:hanging="567"/>
      </w:pPr>
      <w:r>
        <w:rPr>
          <w:rStyle w:val="FootnoteReference"/>
        </w:rPr>
        <w:footnoteRef/>
      </w:r>
      <w:r>
        <w:tab/>
        <w:t>SWD(2018) 264 final.</w:t>
      </w:r>
    </w:p>
  </w:footnote>
  <w:footnote w:id="15">
    <w:p>
      <w:pPr>
        <w:pStyle w:val="FootnoteText"/>
        <w:ind w:left="567" w:hanging="567"/>
      </w:pPr>
      <w:r>
        <w:rPr>
          <w:rStyle w:val="FootnoteReference"/>
        </w:rPr>
        <w:footnoteRef/>
      </w:r>
      <w:r>
        <w:tab/>
        <w:t>Eiropas Parlamenta un Padomes Regula (ES) 2019/2088 (2019. gada 27. novembris) par informācijas atklāšanu, kas saistīta ar ilgtspēju, finanšu pakalpojumu nozarē (OV L 317, 9.12.2019., 1. lpp.).</w:t>
      </w:r>
    </w:p>
  </w:footnote>
  <w:footnote w:id="16">
    <w:p>
      <w:pPr>
        <w:pStyle w:val="FootnoteText"/>
        <w:ind w:left="567" w:hanging="567"/>
      </w:pPr>
      <w:r>
        <w:rPr>
          <w:rStyle w:val="FootnoteReference"/>
        </w:rPr>
        <w:footnoteRef/>
      </w:r>
      <w:r>
        <w:tab/>
        <w:t>Komisijas Deleģētā regula (ES) 2015/35 (2014. gada 10. oktobris), ar ko papildina Eiropas Parlamenta un Padomes Direktīvu 2009/138/EK par uzņēmējdarbības uzsākšanu un veikšanu apdrošināšanas un pārapdrošināšanas jomā (Maksātspēja II) (OV L 12, 17.1.2015., 1. lpp.).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D3ECC1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A7E742E"/>
    <w:lvl w:ilvl="0">
      <w:start w:val="1"/>
      <w:numFmt w:val="decimal"/>
      <w:pStyle w:val="ListNumber3"/>
      <w:lvlText w:val="%1."/>
      <w:lvlJc w:val="left"/>
      <w:pPr>
        <w:tabs>
          <w:tab w:val="num" w:pos="926"/>
        </w:tabs>
        <w:ind w:left="926" w:hanging="360"/>
      </w:pPr>
    </w:lvl>
  </w:abstractNum>
  <w:abstractNum w:abstractNumId="2">
    <w:nsid w:val="FFFFFF7F"/>
    <w:multiLevelType w:val="singleLevel"/>
    <w:tmpl w:val="C64C0DEA"/>
    <w:lvl w:ilvl="0">
      <w:start w:val="1"/>
      <w:numFmt w:val="decimal"/>
      <w:pStyle w:val="ListNumber2"/>
      <w:lvlText w:val="%1."/>
      <w:lvlJc w:val="left"/>
      <w:pPr>
        <w:tabs>
          <w:tab w:val="num" w:pos="643"/>
        </w:tabs>
        <w:ind w:left="643" w:hanging="360"/>
      </w:pPr>
    </w:lvl>
  </w:abstractNum>
  <w:abstractNum w:abstractNumId="3">
    <w:nsid w:val="FFFFFF81"/>
    <w:multiLevelType w:val="singleLevel"/>
    <w:tmpl w:val="182CD43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704E9B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AD4F09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F7A853C"/>
    <w:lvl w:ilvl="0">
      <w:start w:val="1"/>
      <w:numFmt w:val="decimal"/>
      <w:pStyle w:val="ListNumber"/>
      <w:lvlText w:val="%1."/>
      <w:lvlJc w:val="left"/>
      <w:pPr>
        <w:tabs>
          <w:tab w:val="num" w:pos="360"/>
        </w:tabs>
        <w:ind w:left="360" w:hanging="360"/>
      </w:pPr>
    </w:lvl>
  </w:abstractNum>
  <w:abstractNum w:abstractNumId="7">
    <w:nsid w:val="FFFFFF89"/>
    <w:multiLevelType w:val="singleLevel"/>
    <w:tmpl w:val="0FB00E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1"/>
    <w:lvlOverride w:ilvl="0">
      <w:startOverride w:val="1"/>
    </w:lvlOverride>
  </w:num>
  <w:num w:numId="11">
    <w:abstractNumId w:val="8"/>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hideSpellingErrors/>
  <w:hideGrammaticalErrors/>
  <w:attachedTemplate r:id="rId1"/>
  <w:revisionView w:markup="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1-04-14 11:38:30"/>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1"/>
    <w:docVar w:name="DQCResult_ModifiedMarkers" w:val="0;0"/>
    <w:docVar w:name="DQCResult_ModifiedNumbering" w:val="0;0"/>
    <w:docVar w:name="DQCResult_Objects" w:val="0;0"/>
    <w:docVar w:name="DQCResult_Sections" w:val="0;1"/>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VERPAGE_EXISTS" w:val="True"/>
    <w:docVar w:name="LW_COVERPAGE_GUID" w:val="FB305A8D-EF9F-4EB7-A6D1-BD75E336A272"/>
    <w:docVar w:name="LW_COVERPAGE_TYPE" w:val="1"/>
    <w:docVar w:name="LW_CROSSREFERENCE" w:val="&lt;UNUSED&gt;"/>
    <w:docVar w:name="LW_DATE.ADOPT.CP" w:val="(21.4.2021),"/>
    <w:docVar w:name="LW_DATE.ADOPT.CP_DATEFORMAT" w:val="(%DATE%),"/>
    <w:docVar w:name="LW_DATE.ADOPT.CP_ISODATE" w:val="2021-04-21"/>
    <w:docVar w:name="LW_DocType" w:val="COM"/>
    <w:docVar w:name="LW_EMISSION" w:val="21.4.2021"/>
    <w:docVar w:name="LW_EMISSION_ISODATE" w:val="2021-04-21"/>
    <w:docVar w:name="LW_EMISSION_LOCATION" w:val="BRX"/>
    <w:docVar w:name="LW_EMISSION_PREFIX" w:val="Briselē, "/>
    <w:docVar w:name="LW_EMISSION_SUFFIX" w:val="."/>
    <w:docVar w:name="LW_ID_DOCMODEL" w:val="SJ-003"/>
    <w:docVar w:name="LW_ID_DOCSIGNATURE" w:val="SJ-003"/>
    <w:docVar w:name="LW_ID_DOCSTRUCTURE" w:val="COM/AA"/>
    <w:docVar w:name="LW_ID_DOCTYPE" w:val="SJ-003"/>
    <w:docVar w:name="LW_ID_EXP.MOTIFS.NEW" w:val="EM_AA_"/>
    <w:docVar w:name="LW_INTERETEEE.CP" w:val="(Dokuments attiecas uz EEZ)"/>
    <w:docVar w:name="LW_LANGUE" w:val="LV"/>
    <w:docVar w:name="LW_LANGUESFAISANTFOI.CP" w:val="&lt;UNUSED&gt;"/>
    <w:docVar w:name="LW_LEVEL_OF_SENSITIVITY" w:val="Standard treatment"/>
    <w:docVar w:name="LW_NOM.INST" w:val="EIROPAS KOMISIJA"/>
    <w:docVar w:name="LW_NOM.INST_JOINTDOC" w:val="&lt;EMPTY&gt;"/>
    <w:docVar w:name="LW_PART_NBR" w:val="1"/>
    <w:docVar w:name="LW_PART_NBR_TOTAL" w:val="1"/>
    <w:docVar w:name="LW_REF.INST.NEW" w:val="C"/>
    <w:docVar w:name="LW_REF.INST.NEW_ADOPTED" w:val="final"/>
    <w:docVar w:name="LW_REF.INST.NEW_TEXT" w:val="(2021) 26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r ko Dele\u291?\u275?to regulu (ES) 2015/35 groza attiec\u299?b\u257? uz ilgtsp\u275?jas risku integr\u275?\u353?anu apdro\u353?in\u257?\u353?anas un p\u257?rapdro\u353?in\u257?\u353?anas sabiedr\u299?bu p\u257?rvald\u299?b\u257?"/>
    <w:docVar w:name="LW_TYPE.DOC.CP" w:val="KOMISIJAS DELE\u290?\u274?T\u256? REGULA (ES) \u823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Emphasis">
    <w:name w:val="Emphasis"/>
    <w:basedOn w:val="DefaultParagraphFont"/>
    <w:uiPriority w:val="20"/>
    <w:qFormat/>
    <w:rPr>
      <w:i/>
      <w:i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Ar">
    <w:name w:val="Ar"/>
    <w:basedOn w:val="Titrearticle"/>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customStyle="1" w:styleId="Default">
    <w:name w:val="Default"/>
    <w:pPr>
      <w:autoSpaceDE w:val="0"/>
      <w:autoSpaceDN w:val="0"/>
      <w:adjustRightInd w:val="0"/>
      <w:spacing w:after="0" w:line="240" w:lineRule="auto"/>
    </w:pPr>
    <w:rPr>
      <w:rFonts w:ascii="Verdana" w:hAnsi="Verdana" w:cs="Verdana"/>
      <w:color w:val="000000"/>
      <w:sz w:val="24"/>
      <w:szCs w:val="24"/>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Emphasis">
    <w:name w:val="Emphasis"/>
    <w:basedOn w:val="DefaultParagraphFont"/>
    <w:uiPriority w:val="20"/>
    <w:qFormat/>
    <w:rPr>
      <w:i/>
      <w:i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Ar">
    <w:name w:val="Ar"/>
    <w:basedOn w:val="Titrearticle"/>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86120">
      <w:bodyDiv w:val="1"/>
      <w:marLeft w:val="0"/>
      <w:marRight w:val="0"/>
      <w:marTop w:val="0"/>
      <w:marBottom w:val="0"/>
      <w:divBdr>
        <w:top w:val="none" w:sz="0" w:space="0" w:color="auto"/>
        <w:left w:val="none" w:sz="0" w:space="0" w:color="auto"/>
        <w:bottom w:val="none" w:sz="0" w:space="0" w:color="auto"/>
        <w:right w:val="none" w:sz="0" w:space="0" w:color="auto"/>
      </w:divBdr>
    </w:div>
    <w:div w:id="900095733">
      <w:bodyDiv w:val="1"/>
      <w:marLeft w:val="0"/>
      <w:marRight w:val="0"/>
      <w:marTop w:val="0"/>
      <w:marBottom w:val="0"/>
      <w:divBdr>
        <w:top w:val="none" w:sz="0" w:space="0" w:color="auto"/>
        <w:left w:val="none" w:sz="0" w:space="0" w:color="auto"/>
        <w:bottom w:val="none" w:sz="0" w:space="0" w:color="auto"/>
        <w:right w:val="none" w:sz="0" w:space="0" w:color="auto"/>
      </w:divBdr>
    </w:div>
    <w:div w:id="985279303">
      <w:bodyDiv w:val="1"/>
      <w:marLeft w:val="0"/>
      <w:marRight w:val="0"/>
      <w:marTop w:val="0"/>
      <w:marBottom w:val="0"/>
      <w:divBdr>
        <w:top w:val="none" w:sz="0" w:space="0" w:color="auto"/>
        <w:left w:val="none" w:sz="0" w:space="0" w:color="auto"/>
        <w:bottom w:val="none" w:sz="0" w:space="0" w:color="auto"/>
        <w:right w:val="none" w:sz="0" w:space="0" w:color="auto"/>
      </w:divBdr>
    </w:div>
    <w:div w:id="993609247">
      <w:bodyDiv w:val="1"/>
      <w:marLeft w:val="0"/>
      <w:marRight w:val="0"/>
      <w:marTop w:val="0"/>
      <w:marBottom w:val="0"/>
      <w:divBdr>
        <w:top w:val="none" w:sz="0" w:space="0" w:color="auto"/>
        <w:left w:val="none" w:sz="0" w:space="0" w:color="auto"/>
        <w:bottom w:val="none" w:sz="0" w:space="0" w:color="auto"/>
        <w:right w:val="none" w:sz="0" w:space="0" w:color="auto"/>
      </w:divBdr>
    </w:div>
    <w:div w:id="1477066596">
      <w:bodyDiv w:val="1"/>
      <w:marLeft w:val="0"/>
      <w:marRight w:val="0"/>
      <w:marTop w:val="0"/>
      <w:marBottom w:val="0"/>
      <w:divBdr>
        <w:top w:val="none" w:sz="0" w:space="0" w:color="auto"/>
        <w:left w:val="none" w:sz="0" w:space="0" w:color="auto"/>
        <w:bottom w:val="none" w:sz="0" w:space="0" w:color="auto"/>
        <w:right w:val="none" w:sz="0" w:space="0" w:color="auto"/>
      </w:divBdr>
    </w:div>
    <w:div w:id="1599677988">
      <w:bodyDiv w:val="1"/>
      <w:marLeft w:val="0"/>
      <w:marRight w:val="0"/>
      <w:marTop w:val="0"/>
      <w:marBottom w:val="0"/>
      <w:divBdr>
        <w:top w:val="none" w:sz="0" w:space="0" w:color="auto"/>
        <w:left w:val="none" w:sz="0" w:space="0" w:color="auto"/>
        <w:bottom w:val="none" w:sz="0" w:space="0" w:color="auto"/>
        <w:right w:val="none" w:sz="0" w:space="0" w:color="auto"/>
      </w:divBdr>
    </w:div>
    <w:div w:id="1604799567">
      <w:bodyDiv w:val="1"/>
      <w:marLeft w:val="0"/>
      <w:marRight w:val="0"/>
      <w:marTop w:val="0"/>
      <w:marBottom w:val="0"/>
      <w:divBdr>
        <w:top w:val="none" w:sz="0" w:space="0" w:color="auto"/>
        <w:left w:val="none" w:sz="0" w:space="0" w:color="auto"/>
        <w:bottom w:val="none" w:sz="0" w:space="0" w:color="auto"/>
        <w:right w:val="none" w:sz="0" w:space="0" w:color="auto"/>
      </w:divBdr>
    </w:div>
    <w:div w:id="1794398253">
      <w:bodyDiv w:val="1"/>
      <w:marLeft w:val="0"/>
      <w:marRight w:val="0"/>
      <w:marTop w:val="0"/>
      <w:marBottom w:val="0"/>
      <w:divBdr>
        <w:top w:val="none" w:sz="0" w:space="0" w:color="auto"/>
        <w:left w:val="none" w:sz="0" w:space="0" w:color="auto"/>
        <w:bottom w:val="none" w:sz="0" w:space="0" w:color="auto"/>
        <w:right w:val="none" w:sz="0" w:space="0" w:color="auto"/>
      </w:divBdr>
    </w:div>
    <w:div w:id="18303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09DDBCE-0D4B-48C2-BF10-0EF98293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Pages>
  <Words>1965</Words>
  <Characters>12975</Characters>
  <Application>Microsoft Office Word</Application>
  <DocSecurity>0</DocSecurity>
  <Lines>231</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cp:lastPrinted>2020-01-14T10:15:00Z</cp:lastPrinted>
  <dcterms:created xsi:type="dcterms:W3CDTF">2021-03-25T14:42:00Z</dcterms:created>
  <dcterms:modified xsi:type="dcterms:W3CDTF">2021-04-14T09:38:00Z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6.0.100.0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_DocHome">
    <vt:i4>133267606</vt:i4>
  </property>
  <property fmtid="{D5CDD505-2E9C-101B-9397-08002B2CF9AE}" pid="11" name="DQCStatus">
    <vt:lpwstr>Green (DQC version 03)</vt:lpwstr>
  </property>
  <property name="OP_sanitized" fmtid="{D5CDD505-2E9C-101B-9397-08002B2CF9AE}" pid="12">
    <vt:lpwstr>True</vt:lpwstr>
  </property>
</Properties>
</file>