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6BDC710-E63C-488B-936C-9F281B969B5B" style="width:450.75pt;height:430.2pt">
            <v:imagedata r:id="rId13" o:title=""/>
          </v:shape>
        </w:pict>
      </w:r>
    </w:p>
    <w:bookmarkEnd w:id="0"/>
    <w:p>
      <w:pPr>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KOMISIJAS PAZIŅOJUMS</w:t>
      </w:r>
    </w:p>
    <w:p>
      <w:pPr>
        <w:pStyle w:val="Titreobjet"/>
        <w:rPr>
          <w:noProof/>
        </w:rPr>
      </w:pPr>
      <w:r>
        <w:rPr>
          <w:noProof/>
        </w:rPr>
        <w:t>par darbības termiņa pagarināšanu un grozījumiem Reģionālā atbalsta pamatnostādnēs 2014.–2020. gadam, Pamatnostādnēs par valsts atbalstu, lai veicinātu riska finansējuma ieguldījumus, Pamatnostādnēs par valsts atbalstu vides aizsardzībai un enerģētikai 2014.–2020. gadam, Pamatnostādnēs par valsts atbalstu grūtībās nonākušu nefinanšu uzņēmumu glābšanai un pārstrukturēšanai un Paziņojumā par kritērijiem, pēc kuriem analizē saderīgumu ar iekšējo tirgu valsts atbalstam ar mērķi sekmēt svarīgu projektu īstenošanu visas Eiropas interesēs, Komisijas paziņojumā – Nostādnes par valsts atbalstu pētniecībai, izstrādei un inovācijai un Komisijas Paziņojumā dalībvalstīm par Līguma par Eiropas Savienības darbību 107. un 108. panta piemērošanu īstermiņa eksporta kredīta apdrošināšanai</w:t>
      </w:r>
      <w:r>
        <w:rPr>
          <w:noProof/>
        </w:rPr>
        <w:br/>
      </w:r>
    </w:p>
    <w:p>
      <w:pPr>
        <w:pStyle w:val="ListParagraph"/>
        <w:ind w:left="1080"/>
        <w:rPr>
          <w:noProof/>
        </w:rPr>
      </w:pPr>
    </w:p>
    <w:p>
      <w:pPr>
        <w:pStyle w:val="ListNumber"/>
        <w:rPr>
          <w:noProof/>
        </w:rPr>
      </w:pPr>
      <w:r>
        <w:rPr>
          <w:noProof/>
        </w:rPr>
        <w:t>Šādu turpmāk minēto valsts atbalsta noteikumu, kas pieņemti 2012. gada valsts atbalsta modernizācijas iniciatīvas ietvaros, termiņš beidzas 2020. gada beigās:</w:t>
      </w:r>
    </w:p>
    <w:p>
      <w:pPr>
        <w:pStyle w:val="ListParagraph"/>
        <w:numPr>
          <w:ilvl w:val="0"/>
          <w:numId w:val="2"/>
        </w:numPr>
        <w:ind w:firstLine="131"/>
        <w:rPr>
          <w:noProof/>
        </w:rPr>
      </w:pPr>
      <w:hyperlink r:id="rId20" w:history="1">
        <w:r>
          <w:rPr>
            <w:rStyle w:val="Hyperlink"/>
            <w:noProof/>
            <w:color w:val="auto"/>
            <w:u w:val="none"/>
          </w:rPr>
          <w:t>Reģionālā atbalsta pamatnostādnes</w:t>
        </w:r>
      </w:hyperlink>
      <w:r>
        <w:rPr>
          <w:rStyle w:val="Hyperlink"/>
          <w:noProof/>
          <w:color w:val="auto"/>
          <w:u w:val="none"/>
        </w:rPr>
        <w:t xml:space="preserve"> 2014.–2020. gadam</w:t>
      </w:r>
      <w:r>
        <w:rPr>
          <w:rStyle w:val="FootnoteReference"/>
          <w:noProof/>
        </w:rPr>
        <w:footnoteReference w:id="1"/>
      </w:r>
      <w:r>
        <w:rPr>
          <w:noProof/>
        </w:rPr>
        <w:t xml:space="preserve">; </w:t>
      </w:r>
    </w:p>
    <w:p>
      <w:pPr>
        <w:pStyle w:val="ListParagraph"/>
        <w:numPr>
          <w:ilvl w:val="0"/>
          <w:numId w:val="2"/>
        </w:numPr>
        <w:ind w:firstLine="131"/>
        <w:rPr>
          <w:noProof/>
        </w:rPr>
      </w:pPr>
      <w:hyperlink r:id="rId21" w:history="1">
        <w:r>
          <w:rPr>
            <w:rStyle w:val="Hyperlink"/>
            <w:noProof/>
            <w:color w:val="auto"/>
            <w:u w:val="none"/>
          </w:rPr>
          <w:t>Pamatnostādnes par valsts atbalstu, lai veicinātu riska finansējuma ieguldījumus</w:t>
        </w:r>
      </w:hyperlink>
      <w:r>
        <w:rPr>
          <w:rStyle w:val="FootnoteReference"/>
          <w:noProof/>
        </w:rPr>
        <w:footnoteReference w:id="2"/>
      </w:r>
      <w:r>
        <w:rPr>
          <w:noProof/>
        </w:rPr>
        <w:t>;</w:t>
      </w:r>
    </w:p>
    <w:p>
      <w:pPr>
        <w:pStyle w:val="ListParagraph"/>
        <w:numPr>
          <w:ilvl w:val="0"/>
          <w:numId w:val="2"/>
        </w:numPr>
        <w:ind w:left="1418" w:hanging="567"/>
        <w:rPr>
          <w:noProof/>
        </w:rPr>
      </w:pPr>
      <w:hyperlink r:id="rId22" w:history="1">
        <w:r>
          <w:rPr>
            <w:rStyle w:val="Hyperlink"/>
            <w:noProof/>
            <w:color w:val="auto"/>
            <w:u w:val="none"/>
          </w:rPr>
          <w:t>Pamatnostādnes par valsts atbalstu vides aizsardzībai un enerģētikai</w:t>
        </w:r>
      </w:hyperlink>
      <w:r>
        <w:rPr>
          <w:rStyle w:val="Hyperlink"/>
          <w:noProof/>
          <w:color w:val="auto"/>
          <w:u w:val="none"/>
        </w:rPr>
        <w:t xml:space="preserve"> 2014.–2020. gadam</w:t>
      </w:r>
      <w:r>
        <w:rPr>
          <w:rStyle w:val="FootnoteReference"/>
          <w:noProof/>
        </w:rPr>
        <w:footnoteReference w:id="3"/>
      </w:r>
      <w:r>
        <w:rPr>
          <w:noProof/>
        </w:rPr>
        <w:t>;</w:t>
      </w:r>
    </w:p>
    <w:p>
      <w:pPr>
        <w:pStyle w:val="ListParagraph"/>
        <w:numPr>
          <w:ilvl w:val="0"/>
          <w:numId w:val="2"/>
        </w:numPr>
        <w:ind w:left="1418" w:hanging="567"/>
        <w:rPr>
          <w:noProof/>
        </w:rPr>
      </w:pPr>
      <w:hyperlink r:id="rId23" w:history="1">
        <w:r>
          <w:rPr>
            <w:rStyle w:val="Hyperlink"/>
            <w:noProof/>
            <w:color w:val="auto"/>
            <w:u w:val="none"/>
          </w:rPr>
          <w:t>Pamatnostādnes par valsts atbalstu grūtībās nonākušu nefinanšu uzņēmumu glābšanai un pārstrukturēšanai</w:t>
        </w:r>
      </w:hyperlink>
      <w:r>
        <w:rPr>
          <w:rStyle w:val="FootnoteReference"/>
          <w:noProof/>
        </w:rPr>
        <w:footnoteReference w:id="4"/>
      </w:r>
      <w:r>
        <w:rPr>
          <w:noProof/>
        </w:rPr>
        <w:t>;</w:t>
      </w:r>
    </w:p>
    <w:p>
      <w:pPr>
        <w:pStyle w:val="ListParagraph"/>
        <w:numPr>
          <w:ilvl w:val="0"/>
          <w:numId w:val="2"/>
        </w:numPr>
        <w:ind w:left="1418" w:hanging="567"/>
        <w:rPr>
          <w:noProof/>
          <w:u w:val="single"/>
        </w:rPr>
      </w:pPr>
      <w:r>
        <w:rPr>
          <w:noProof/>
        </w:rPr>
        <w:t>Paziņojums – Kritēriji, pēc kuriem analizē saderīgumu ar iekšējo tirgu valsts atbalstam ar mērķi sekmēt svarīgu projektu īstenošanu visas Eiropas interesēs</w:t>
      </w:r>
      <w:r>
        <w:rPr>
          <w:rStyle w:val="FootnoteReference"/>
          <w:noProof/>
        </w:rPr>
        <w:footnoteReference w:id="5"/>
      </w:r>
      <w:r>
        <w:rPr>
          <w:noProof/>
        </w:rPr>
        <w:t xml:space="preserve"> (</w:t>
      </w:r>
      <w:r>
        <w:rPr>
          <w:i/>
          <w:noProof/>
        </w:rPr>
        <w:t>IPCEI</w:t>
      </w:r>
      <w:r>
        <w:rPr>
          <w:noProof/>
        </w:rPr>
        <w:t xml:space="preserve">); </w:t>
      </w:r>
    </w:p>
    <w:p>
      <w:pPr>
        <w:pStyle w:val="ListParagraph"/>
        <w:numPr>
          <w:ilvl w:val="0"/>
          <w:numId w:val="2"/>
        </w:numPr>
        <w:ind w:left="1418" w:hanging="567"/>
        <w:rPr>
          <w:rStyle w:val="Hyperlink"/>
          <w:noProof/>
          <w:color w:val="auto"/>
        </w:rPr>
      </w:pPr>
      <w:r>
        <w:rPr>
          <w:noProof/>
        </w:rPr>
        <w:t>Paziņojums par Līguma par Eiropas Savienības darbību 107. un 108. panta piemērošanu īstermiņa eksporta kredīta apdrošināšanai</w:t>
      </w:r>
      <w:r>
        <w:rPr>
          <w:rStyle w:val="FootnoteReference"/>
          <w:noProof/>
        </w:rPr>
        <w:footnoteReference w:id="6"/>
      </w:r>
      <w:r>
        <w:rPr>
          <w:noProof/>
        </w:rPr>
        <w:t xml:space="preserve"> (</w:t>
      </w:r>
      <w:r>
        <w:rPr>
          <w:i/>
          <w:noProof/>
        </w:rPr>
        <w:t>STEC</w:t>
      </w:r>
      <w:r>
        <w:rPr>
          <w:noProof/>
        </w:rPr>
        <w:t xml:space="preserve">). </w:t>
      </w:r>
    </w:p>
    <w:p>
      <w:pPr>
        <w:pStyle w:val="ListNumber"/>
        <w:rPr>
          <w:noProof/>
          <w:u w:val="single"/>
        </w:rPr>
      </w:pPr>
      <w:r>
        <w:rPr>
          <w:noProof/>
        </w:rPr>
        <w:t xml:space="preserve">Zaļā kursa un digitalizācijas programmas kontekstā Komisija jau ir paziņojusi par savu nodomu līdz 2021. gada beigām pārskatīt vairākas pamatnostādnes. </w:t>
      </w:r>
    </w:p>
    <w:p>
      <w:pPr>
        <w:pStyle w:val="ListNumber"/>
        <w:rPr>
          <w:rStyle w:val="Hyperlink"/>
          <w:noProof/>
          <w:color w:val="auto"/>
        </w:rPr>
      </w:pPr>
      <w:r>
        <w:rPr>
          <w:noProof/>
        </w:rPr>
        <w:lastRenderedPageBreak/>
        <w:t>Lai, gatavojoties turpmākai valsts atbalsta noteikumu pārskatīšanai, nodrošinātu paredzamību un juridisko noteiktību, ir lietderīgi pagarināt 1. punktā minēto pamatnostādņu piemērošanu līdz 2021. gada beigām. Par trim gadiem būtu jāpagarina Pamatnostādņu par valsts atbalstu grūtībās nonākušu nefinanšu uzņēmumu glābšanai un pārstrukturēšanai piemērošanas termiņš.</w:t>
      </w:r>
    </w:p>
    <w:p>
      <w:pPr>
        <w:pStyle w:val="ListNumber"/>
        <w:rPr>
          <w:noProof/>
        </w:rPr>
      </w:pPr>
      <w:r>
        <w:rPr>
          <w:noProof/>
        </w:rPr>
        <w:t>Minēto noteikumu termiņa pagarināšana ļaus Komisijai pabeigt minēto noteikumu izvērtēšanu kopā ar citiem valsts atbalsta noteikumiem, kas tika pieņemti kā daļa no valsts atbalsta modernizācijas iniciatīvas. Komisija 2019. gada 7. janvārī uzsāka minēto noteikumu izvērtēšanu kā “</w:t>
      </w:r>
      <w:hyperlink r:id="rId24" w:history="1">
        <w:r>
          <w:rPr>
            <w:noProof/>
          </w:rPr>
          <w:t>atbilstības pārbaudi</w:t>
        </w:r>
      </w:hyperlink>
      <w:r>
        <w:rPr>
          <w:noProof/>
        </w:rPr>
        <w:t xml:space="preserve">”. Pamatojoties uz minētā izvērtējuma rezultātiem, Komisija varēs izlemt, vai turpināt pagarināt vai atjaunināt minētos noteikumus. </w:t>
      </w:r>
    </w:p>
    <w:p>
      <w:pPr>
        <w:pStyle w:val="ListNumber"/>
        <w:rPr>
          <w:noProof/>
        </w:rPr>
      </w:pPr>
      <w:r>
        <w:rPr>
          <w:noProof/>
        </w:rPr>
        <w:t xml:space="preserve">Attiecībā uz reģionālā atbalsta plāniem Komisija aicina dalībvalstis līdz 2020. gada 1. septembrim paziņot Komisijai par savu nodomu pagarināt valsts reģionālā atbalsta plānu derīguma termiņu. Pēc valstu reģionālā atbalsta plānu pagarinājuma līdz 2021. gada 31. decembrim apstiprināšanas dalībvalstis var nolemt pagarināt spēkā esošās shēmas, kas apstiprinātas, pamatojoties uz </w:t>
      </w:r>
      <w:hyperlink r:id="rId25" w:history="1">
        <w:r>
          <w:rPr>
            <w:noProof/>
          </w:rPr>
          <w:t>Reģionālā atbalsta pamatnostādnēm</w:t>
        </w:r>
      </w:hyperlink>
      <w:r>
        <w:rPr>
          <w:noProof/>
        </w:rPr>
        <w:t xml:space="preserve"> 2014.–2020. gadam.</w:t>
      </w:r>
    </w:p>
    <w:p>
      <w:pPr>
        <w:pStyle w:val="ListNumber"/>
        <w:rPr>
          <w:noProof/>
        </w:rPr>
      </w:pPr>
      <w:r>
        <w:rPr>
          <w:noProof/>
        </w:rPr>
        <w:t>Ņemot vērā ekonomiskās un finansiālās sekas, ko Covid-19 uzliesmojums var radīt uzņēmumiem, ir vajadzīgi arī dažu valsts atbalsta pamatnostādņu pagaidu pielāgojumi. Proti, saistībā ar Reģionālā atbalsta pamatnostādnēm 2014.–2020. gadam, Pamatnostādnēm par valsts atbalstu vides aizsardzībai un enerģētikai 2014.–2020. gadam, Paziņojumu – Kritēriji, pēc kuriem analizē saderīgumu ar iekšējo tirgu valsts atbalstam ar mērķi sekmēt svarīgu projektu īstenošanu visas Eiropas interesēs (</w:t>
      </w:r>
      <w:r>
        <w:rPr>
          <w:i/>
          <w:noProof/>
        </w:rPr>
        <w:t>IPCEI</w:t>
      </w:r>
      <w:r>
        <w:rPr>
          <w:noProof/>
        </w:rPr>
        <w:t xml:space="preserve">), un Nostādnēm par valsts atbalstu pētniecībai, izstrādei un inovācijai uzņēmumiem, kas 2019. gada 31. decembrī nebija nonākuši grūtībās, bet pēc 2019. gada 31. decembra kļuva par grūtībās nonākušiem uzņēmumiem, līdz 2021. gada 30. jūnijam vajadzētu būt tiesīgiem saņemt atbalstu saskaņā ar minētajām pamatnostādnēm. </w:t>
      </w:r>
    </w:p>
    <w:p>
      <w:pPr>
        <w:pStyle w:val="ListNumber"/>
        <w:rPr>
          <w:noProof/>
        </w:rPr>
      </w:pPr>
      <w:r>
        <w:rPr>
          <w:noProof/>
        </w:rPr>
        <w:t xml:space="preserve">Attiecībā uz </w:t>
      </w:r>
      <w:hyperlink r:id="rId26" w:history="1">
        <w:r>
          <w:rPr>
            <w:noProof/>
          </w:rPr>
          <w:t>Pamatnostādnēm par valsts atbalstu vides aizsardzībai un enerģētikai</w:t>
        </w:r>
      </w:hyperlink>
      <w:r>
        <w:rPr>
          <w:noProof/>
        </w:rPr>
        <w:t xml:space="preserve"> 2014.–2020. gadam elektroenerģijas cenu straujais kritums Covid-19 uzliesmojuma dēļ varētu radīt situācijas, kurās var samazināties uzņēmumu elektrointensitāte. Šādā gadījumā uzņēmums, piemērojot 4. pielikumu BPV (bruto pievienotās vērtības) un elektrointensitātes aprēķināšanai uzņēmuma līmenī, var zaudēt atbilstību saskaņā ar 3.7.2. iedaļu (mērķtiecīgs finansējuma samazinājums atjaunojamo energoresursu enerģijas atbalstam konkurētspējas apsvērumu dēļ). Tādēļ, lai to pienācīgi risinātu, būtu jāpielāgo izmantojamās aprēķina metodes. </w:t>
      </w:r>
    </w:p>
    <w:p>
      <w:pPr>
        <w:pStyle w:val="ListNumber"/>
        <w:rPr>
          <w:noProof/>
        </w:rPr>
      </w:pPr>
      <w:r>
        <w:rPr>
          <w:noProof/>
        </w:rPr>
        <w:t xml:space="preserve">Ņemot vērā iepriekš minēto, minētās pamatnostādnes būtu jāpielāgo, kā izklāstīts 9. līdz 15. punktā. </w:t>
      </w:r>
    </w:p>
    <w:p>
      <w:pPr>
        <w:pStyle w:val="ListNumber"/>
        <w:rPr>
          <w:noProof/>
        </w:rPr>
      </w:pPr>
      <w:r>
        <w:rPr>
          <w:noProof/>
        </w:rPr>
        <w:t>Reģionālā atbalsta pamatnostādnes 2014.–2020. gadam groza šādi:</w:t>
      </w:r>
    </w:p>
    <w:p>
      <w:pPr>
        <w:pStyle w:val="Point0letter"/>
        <w:spacing w:after="240"/>
        <w:rPr>
          <w:noProof/>
        </w:rPr>
      </w:pPr>
      <w:r>
        <w:rPr>
          <w:noProof/>
        </w:rPr>
        <w:t>pamatnostādņu 18. punktam pievieno šādu teikumu:</w:t>
      </w:r>
    </w:p>
    <w:p>
      <w:pPr>
        <w:pStyle w:val="Considrant"/>
        <w:numPr>
          <w:ilvl w:val="0"/>
          <w:numId w:val="0"/>
        </w:numPr>
        <w:tabs>
          <w:tab w:val="clear" w:pos="2127"/>
        </w:tabs>
        <w:suppressAutoHyphens w:val="0"/>
        <w:ind w:left="709"/>
        <w:rPr>
          <w:i/>
          <w:noProof/>
        </w:rPr>
      </w:pPr>
      <w:r>
        <w:rPr>
          <w:noProof/>
        </w:rPr>
        <w:t>“</w:t>
      </w:r>
      <w:r>
        <w:rPr>
          <w:i/>
          <w:noProof/>
        </w:rPr>
        <w:t>Tomēr šīs pamatnostādnes attiecas uz uzņēmumiem, kas nebija nonākuši grūtībās 2019. gada 31. decembrī, bet kļuva par grūtībās nonākušiem uzņēmumiem laikposmā no 2020. gada 1. janvāra līdz 2021. gada 30. jūnijam.”</w:t>
      </w:r>
      <w:r>
        <w:rPr>
          <w:noProof/>
        </w:rPr>
        <w:t>;</w:t>
      </w:r>
    </w:p>
    <w:p>
      <w:pPr>
        <w:pStyle w:val="Point0letter"/>
        <w:spacing w:after="240"/>
        <w:rPr>
          <w:noProof/>
        </w:rPr>
      </w:pPr>
      <w:r>
        <w:rPr>
          <w:noProof/>
        </w:rPr>
        <w:t xml:space="preserve">pēc 178. punkta iekļauj šādus punktus: </w:t>
      </w:r>
    </w:p>
    <w:p>
      <w:pPr>
        <w:pStyle w:val="ListParagraph"/>
        <w:rPr>
          <w:i/>
          <w:noProof/>
        </w:rPr>
      </w:pPr>
      <w:r>
        <w:rPr>
          <w:i/>
          <w:noProof/>
        </w:rPr>
        <w:t xml:space="preserve">“178.a </w:t>
      </w:r>
      <w:r>
        <w:rPr>
          <w:i/>
          <w:noProof/>
          <w:vertAlign w:val="superscript"/>
        </w:rPr>
        <w:t xml:space="preserve"> </w:t>
      </w:r>
      <w:r>
        <w:rPr>
          <w:i/>
          <w:noProof/>
        </w:rPr>
        <w:t xml:space="preserve">Ņemot vērā to, ka 2020. gada 31. decembrī beidzas valstu reģionālā atbalsta plānu derīguma termiņš, Komisija aicina dalībvalstis līdz 2020. gada 1. septembrim paziņot Komisijai par savu nodomu pagarināt valstu reģionālā atbalsta plānu derīguma termiņu. </w:t>
      </w:r>
    </w:p>
    <w:p>
      <w:pPr>
        <w:pStyle w:val="ListParagraph"/>
        <w:rPr>
          <w:i/>
          <w:noProof/>
        </w:rPr>
      </w:pPr>
    </w:p>
    <w:p>
      <w:pPr>
        <w:pStyle w:val="ListParagraph"/>
        <w:rPr>
          <w:i/>
          <w:noProof/>
        </w:rPr>
      </w:pPr>
      <w:r>
        <w:rPr>
          <w:i/>
          <w:noProof/>
        </w:rPr>
        <w:t>178.b Pēc valstu reģionālā atbalsta plānu pagarinājuma līdz 2021. gada 31. decembrim apstiprināšanas dalībvalstis var nolemt pagarināt spēkā esošās shēmas, kas apstiprinātas, pamatojoties uz šīm pamatnostādnēm. Par visiem šādu shēmu darbības termiņa pagarinājumiem ir savlaicīgi jāpaziņo Komisijai pirms to termiņa beigām.”</w:t>
      </w:r>
    </w:p>
    <w:p>
      <w:pPr>
        <w:pStyle w:val="ListParagraph"/>
        <w:rPr>
          <w:i/>
          <w:noProof/>
        </w:rPr>
      </w:pPr>
    </w:p>
    <w:p>
      <w:pPr>
        <w:pStyle w:val="ListNumber"/>
        <w:rPr>
          <w:noProof/>
        </w:rPr>
      </w:pPr>
      <w:r>
        <w:rPr>
          <w:noProof/>
        </w:rPr>
        <w:t>Pamatnostādņu par valsts atbalstu, lai veicinātu riska finansējuma ieguldījumus, 174. punktu aizstāj ar šādu:</w:t>
      </w:r>
    </w:p>
    <w:p>
      <w:pPr>
        <w:pStyle w:val="Considrant"/>
        <w:numPr>
          <w:ilvl w:val="0"/>
          <w:numId w:val="0"/>
        </w:numPr>
        <w:tabs>
          <w:tab w:val="clear" w:pos="2127"/>
        </w:tabs>
        <w:suppressAutoHyphens w:val="0"/>
        <w:spacing w:before="0" w:after="240"/>
        <w:ind w:left="709"/>
        <w:rPr>
          <w:i/>
          <w:noProof/>
        </w:rPr>
      </w:pPr>
      <w:r>
        <w:rPr>
          <w:noProof/>
        </w:rPr>
        <w:t xml:space="preserve"> </w:t>
      </w:r>
      <w:r>
        <w:rPr>
          <w:i/>
          <w:noProof/>
        </w:rPr>
        <w:t xml:space="preserve">“174. Komisija piemēro šajās pamatnostādnēs noteiktos principus, veicot atbilstības novērtējumu par visu riska finansējuma atbalstu, ko plānots piešķirt no 2014. gada 1. jūlija līdz 2021. gada 31. decembrim.” </w:t>
      </w:r>
    </w:p>
    <w:p>
      <w:pPr>
        <w:pStyle w:val="ListNumber"/>
        <w:rPr>
          <w:i/>
          <w:noProof/>
        </w:rPr>
      </w:pPr>
      <w:hyperlink r:id="rId27" w:history="1">
        <w:r>
          <w:rPr>
            <w:noProof/>
          </w:rPr>
          <w:t>Pamatnostādnes par valsts atbalstu vides aizsardzībai un enerģētikai</w:t>
        </w:r>
      </w:hyperlink>
      <w:r>
        <w:rPr>
          <w:noProof/>
        </w:rPr>
        <w:t xml:space="preserve"> 2014.–2020. gadam groza šādi:</w:t>
      </w:r>
    </w:p>
    <w:p>
      <w:pPr>
        <w:pStyle w:val="Point0letter"/>
        <w:numPr>
          <w:ilvl w:val="1"/>
          <w:numId w:val="23"/>
        </w:numPr>
        <w:spacing w:before="0" w:after="240"/>
        <w:ind w:left="851" w:hanging="851"/>
        <w:rPr>
          <w:noProof/>
        </w:rPr>
      </w:pPr>
      <w:r>
        <w:rPr>
          <w:noProof/>
        </w:rPr>
        <w:t>pamatnostādņu 16. punktam pievieno šādu teikumu:</w:t>
      </w:r>
    </w:p>
    <w:p>
      <w:pPr>
        <w:pStyle w:val="Considrant"/>
        <w:numPr>
          <w:ilvl w:val="0"/>
          <w:numId w:val="0"/>
        </w:numPr>
        <w:tabs>
          <w:tab w:val="clear" w:pos="2127"/>
        </w:tabs>
        <w:suppressAutoHyphens w:val="0"/>
        <w:ind w:left="709"/>
        <w:rPr>
          <w:i/>
          <w:noProof/>
        </w:rPr>
      </w:pPr>
      <w:r>
        <w:rPr>
          <w:i/>
          <w:noProof/>
        </w:rPr>
        <w:t>“Tomēr šīs pamatnostādnes attiecas uz uzņēmumiem, kas nebija nonākuši grūtībās 2019. gada 31. decembrī, bet kļuva par grūtībās nonākušiem uzņēmumiem laikposmā no 2020. gada 1. janvāra līdz 2021. gada 30. jūnijam.”;</w:t>
      </w:r>
    </w:p>
    <w:p>
      <w:pPr>
        <w:pStyle w:val="Point0letter"/>
        <w:numPr>
          <w:ilvl w:val="1"/>
          <w:numId w:val="23"/>
        </w:numPr>
        <w:spacing w:after="240"/>
        <w:rPr>
          <w:i/>
          <w:noProof/>
        </w:rPr>
      </w:pPr>
      <w:r>
        <w:rPr>
          <w:noProof/>
        </w:rPr>
        <w:t xml:space="preserve">pamatnostādņu 108. punktu aizstāj ar šādu: </w:t>
      </w:r>
      <w:r>
        <w:rPr>
          <w:noProof/>
        </w:rPr>
        <w:tab/>
      </w:r>
    </w:p>
    <w:p>
      <w:pPr>
        <w:pStyle w:val="ListParagraph"/>
        <w:ind w:left="851"/>
        <w:rPr>
          <w:i/>
          <w:noProof/>
        </w:rPr>
      </w:pPr>
      <w:r>
        <w:rPr>
          <w:i/>
          <w:noProof/>
        </w:rPr>
        <w:t>“108. Šīs pamatnostādnes attiecas uz laikposmu līdz 2021. gada 31. decembrim. Tomēr tām būtu jāsagatavo pamats to mērķu sasniegšanai, kas paredzēti 2030. gada satvarā</w:t>
      </w:r>
      <w:r>
        <w:rPr>
          <w:rStyle w:val="FootnoteReference"/>
          <w:i/>
          <w:noProof/>
        </w:rPr>
        <w:footnoteReference w:id="7"/>
      </w:r>
      <w:r>
        <w:rPr>
          <w:i/>
          <w:noProof/>
        </w:rPr>
        <w:t>. Jo īpaši tiek sagaidīts, ka laikposmā no 2020. gada līdz 2030. gadam tradicionālie atjaunojamie energoresursi kļūs konkurētspējīgi energotīklā, un tādējādi subsīdijas un atbrīvojumi no balansēšanas pienākumiem būtu pakāpeniski jāsamazina un jāpārtrauc. Šīs pamatnostādnes atbilst minētajam mērķim un, izmantojot tirgus mehānismus, nodrošinās pāreju uz izmaksu ziņā efektīvu energoapgādi.”;</w:t>
      </w:r>
    </w:p>
    <w:p>
      <w:pPr>
        <w:pStyle w:val="Point0letter"/>
        <w:numPr>
          <w:ilvl w:val="1"/>
          <w:numId w:val="23"/>
        </w:numPr>
        <w:spacing w:after="240"/>
        <w:rPr>
          <w:noProof/>
        </w:rPr>
      </w:pPr>
      <w:r>
        <w:rPr>
          <w:noProof/>
        </w:rPr>
        <w:t xml:space="preserve">pamatnostādņu 246. punktu aizstāj ar šādu: </w:t>
      </w:r>
    </w:p>
    <w:p>
      <w:pPr>
        <w:pStyle w:val="Considrant"/>
        <w:numPr>
          <w:ilvl w:val="0"/>
          <w:numId w:val="0"/>
        </w:numPr>
        <w:tabs>
          <w:tab w:val="clear" w:pos="2127"/>
        </w:tabs>
        <w:suppressAutoHyphens w:val="0"/>
        <w:ind w:left="709"/>
        <w:rPr>
          <w:i/>
          <w:noProof/>
        </w:rPr>
      </w:pPr>
      <w:r>
        <w:rPr>
          <w:i/>
          <w:noProof/>
        </w:rPr>
        <w:t>“246. Šīs pamatnostādnes piemēros no 2014. gada 1. jūlija, un tās aizstās 2008. gada 1. aprīlī publicētās pamatnostādnes par valsts atbalstu vides aizsardzībai. Tās piemēros līdz 2021. gada 31. decembrim.”;</w:t>
      </w:r>
    </w:p>
    <w:p>
      <w:pPr>
        <w:pStyle w:val="Point0letter"/>
        <w:numPr>
          <w:ilvl w:val="1"/>
          <w:numId w:val="23"/>
        </w:numPr>
        <w:spacing w:before="0" w:after="240"/>
        <w:ind w:left="851" w:hanging="851"/>
        <w:rPr>
          <w:noProof/>
        </w:rPr>
      </w:pPr>
      <w:r>
        <w:rPr>
          <w:noProof/>
        </w:rPr>
        <w:t>pamatnostādņu 4. pielikumu groza šādi:</w:t>
      </w:r>
    </w:p>
    <w:p>
      <w:pPr>
        <w:pStyle w:val="Point0letter"/>
        <w:numPr>
          <w:ilvl w:val="0"/>
          <w:numId w:val="0"/>
        </w:numPr>
        <w:spacing w:before="0" w:after="240"/>
        <w:ind w:left="851"/>
        <w:rPr>
          <w:noProof/>
        </w:rPr>
      </w:pPr>
      <w:r>
        <w:rPr>
          <w:noProof/>
        </w:rPr>
        <w:t>i) pielikuma 2. punktu aizstāj ar šādu:</w:t>
      </w:r>
    </w:p>
    <w:p>
      <w:pPr>
        <w:spacing w:after="0"/>
        <w:ind w:left="360" w:firstLine="482"/>
        <w:rPr>
          <w:i/>
          <w:noProof/>
          <w:color w:val="000000"/>
        </w:rPr>
      </w:pPr>
      <w:r>
        <w:rPr>
          <w:i/>
          <w:noProof/>
        </w:rPr>
        <w:t xml:space="preserve">“2. Piemērojot 3.7.2. iedaļu, dalībvalstis var izmantot: </w:t>
      </w:r>
    </w:p>
    <w:p>
      <w:pPr>
        <w:spacing w:after="0"/>
        <w:ind w:left="842"/>
        <w:rPr>
          <w:i/>
          <w:noProof/>
          <w:color w:val="000000"/>
        </w:rPr>
      </w:pPr>
      <w:r>
        <w:rPr>
          <w:i/>
          <w:noProof/>
        </w:rPr>
        <w:t>a) to pēdējo 3 gadu vidējo aritmētisko, par kuriem ir pieejami BPV dati;</w:t>
      </w:r>
    </w:p>
    <w:p>
      <w:pPr>
        <w:spacing w:after="0"/>
        <w:ind w:left="842"/>
        <w:rPr>
          <w:i/>
          <w:noProof/>
          <w:color w:val="000000"/>
        </w:rPr>
      </w:pPr>
      <w:r>
        <w:rPr>
          <w:i/>
          <w:noProof/>
        </w:rPr>
        <w:t xml:space="preserve">b) 2 gadu vidējo aritmētisko, kas izvēlēts no pēdējiem 3 gadiem, par kuriem ir pieejami BPV dati, ar nosacījumu, ka šo metodi vienādi piemēro visiem atbalsta saņēmējiem. </w:t>
      </w:r>
    </w:p>
    <w:p>
      <w:pPr>
        <w:spacing w:after="0"/>
        <w:ind w:left="842"/>
        <w:rPr>
          <w:i/>
          <w:noProof/>
          <w:color w:val="000000"/>
        </w:rPr>
      </w:pPr>
      <w:r>
        <w:rPr>
          <w:i/>
          <w:noProof/>
        </w:rPr>
        <w:t>Komisija uzskata, ka pāreja no aprēķiniem saskaņā ar a) metodi uz b) metodi nav uzskatāma par izmaiņām, par kurām jāziņo.”;</w:t>
      </w:r>
    </w:p>
    <w:p>
      <w:pPr>
        <w:pStyle w:val="Point0letter"/>
        <w:numPr>
          <w:ilvl w:val="0"/>
          <w:numId w:val="0"/>
        </w:numPr>
        <w:spacing w:before="240" w:after="240"/>
        <w:ind w:left="850"/>
        <w:rPr>
          <w:noProof/>
        </w:rPr>
      </w:pPr>
      <w:r>
        <w:rPr>
          <w:noProof/>
        </w:rPr>
        <w:t xml:space="preserve">ii) pielikuma 5. punktu aizstāj ar šādu: </w:t>
      </w:r>
    </w:p>
    <w:p>
      <w:pPr>
        <w:pStyle w:val="ListParagraph"/>
        <w:spacing w:before="0" w:after="240"/>
        <w:ind w:left="851"/>
        <w:jc w:val="left"/>
        <w:rPr>
          <w:i/>
          <w:noProof/>
        </w:rPr>
      </w:pPr>
      <w:r>
        <w:rPr>
          <w:i/>
          <w:noProof/>
        </w:rPr>
        <w:t xml:space="preserve">“5. Aprēķinot uzņēmuma elektroenerģijas patēriņu, jāizmanto nozares elektroenerģijas patēriņa efektivitātes rādītāji, ja tādi ir pieejami. Ja šāda informācija nav pieejama, dalībvalstis var izmantot: </w:t>
      </w:r>
    </w:p>
    <w:p>
      <w:pPr>
        <w:ind w:left="360" w:firstLine="482"/>
        <w:rPr>
          <w:i/>
          <w:noProof/>
          <w:color w:val="000000"/>
        </w:rPr>
      </w:pPr>
      <w:r>
        <w:rPr>
          <w:i/>
          <w:noProof/>
        </w:rPr>
        <w:t>a) to pēdējo 3 gadu vidējo aritmētisko, par kuriem ir pieejami dati;</w:t>
      </w:r>
    </w:p>
    <w:p>
      <w:pPr>
        <w:ind w:left="720" w:firstLine="122"/>
        <w:rPr>
          <w:i/>
          <w:noProof/>
          <w:color w:val="000000"/>
        </w:rPr>
      </w:pPr>
      <w:r>
        <w:rPr>
          <w:i/>
          <w:noProof/>
        </w:rPr>
        <w:t xml:space="preserve">b) 2 gadu vidējo aritmētisko, kas izvēlēts no pēdējiem 3 gadiem, par kuriem ir pieejami dati, ar nosacījumu, ka šo metodi vienādi piemēro visiem atbalsta saņēmējiem. </w:t>
      </w:r>
    </w:p>
    <w:p>
      <w:pPr>
        <w:pStyle w:val="ListParagraph"/>
        <w:spacing w:before="0" w:after="240"/>
        <w:rPr>
          <w:i/>
          <w:noProof/>
          <w:color w:val="000000"/>
        </w:rPr>
      </w:pPr>
      <w:r>
        <w:rPr>
          <w:i/>
          <w:noProof/>
        </w:rPr>
        <w:t>Komisija uzskata, ka pāreja no aprēķiniem saskaņā ar a) metodi uz b) metodi nav uzskatāma par izmaiņām, par kurām jāziņo.”</w:t>
      </w:r>
    </w:p>
    <w:p>
      <w:pPr>
        <w:pStyle w:val="ListNumber"/>
        <w:rPr>
          <w:noProof/>
        </w:rPr>
      </w:pPr>
      <w:hyperlink r:id="rId28" w:history="1">
        <w:r>
          <w:rPr>
            <w:noProof/>
          </w:rPr>
          <w:t>Pamatnostādņu par valsts atbalstu</w:t>
        </w:r>
      </w:hyperlink>
      <w:r>
        <w:rPr>
          <w:noProof/>
        </w:rPr>
        <w:t xml:space="preserve"> </w:t>
      </w:r>
      <w:r>
        <w:rPr>
          <w:rStyle w:val="Hyperlink"/>
          <w:noProof/>
          <w:color w:val="auto"/>
          <w:u w:val="none"/>
        </w:rPr>
        <w:t>grūtībās nonākušu nefinanšu uzņēmumu glābšanai un pārstrukturēšanai 135. punktu aizstāj ar šādu:</w:t>
      </w:r>
    </w:p>
    <w:p>
      <w:pPr>
        <w:pStyle w:val="ListParagraph"/>
        <w:spacing w:before="0" w:after="240"/>
        <w:rPr>
          <w:i/>
          <w:noProof/>
        </w:rPr>
      </w:pPr>
      <w:r>
        <w:rPr>
          <w:noProof/>
        </w:rPr>
        <w:t xml:space="preserve"> </w:t>
      </w:r>
      <w:r>
        <w:rPr>
          <w:i/>
          <w:noProof/>
        </w:rPr>
        <w:t>“135. “Komisija šīs pamatnostādnes piemēro no 2014. gada 1. augusta līdz 2023. gada 31. decembrim.”</w:t>
      </w:r>
    </w:p>
    <w:p>
      <w:pPr>
        <w:pStyle w:val="ListNumber"/>
        <w:rPr>
          <w:noProof/>
        </w:rPr>
      </w:pPr>
      <w:r>
        <w:rPr>
          <w:noProof/>
        </w:rPr>
        <w:t>Paziņojumu – Kritēriji, pēc kuriem analizē saderīgumu ar iekšējo tirgu valsts atbalstam ar mērķi sekmēt svarīgu projektu īstenošanu visas Eiropas interesēs, – groza šādi:</w:t>
      </w:r>
    </w:p>
    <w:p>
      <w:pPr>
        <w:pStyle w:val="Point0letter"/>
        <w:numPr>
          <w:ilvl w:val="1"/>
          <w:numId w:val="25"/>
        </w:numPr>
        <w:spacing w:before="0" w:after="240"/>
        <w:ind w:left="851" w:hanging="851"/>
        <w:rPr>
          <w:i/>
          <w:noProof/>
        </w:rPr>
      </w:pPr>
      <w:r>
        <w:rPr>
          <w:noProof/>
        </w:rPr>
        <w:t>paziņojuma 10. punkta a) apakšpunktam pievieno šādu teikumu:</w:t>
      </w:r>
    </w:p>
    <w:p>
      <w:pPr>
        <w:pStyle w:val="Considrant"/>
        <w:numPr>
          <w:ilvl w:val="0"/>
          <w:numId w:val="0"/>
        </w:numPr>
        <w:tabs>
          <w:tab w:val="clear" w:pos="2127"/>
        </w:tabs>
        <w:suppressAutoHyphens w:val="0"/>
        <w:spacing w:before="0" w:after="240"/>
        <w:ind w:left="709"/>
        <w:rPr>
          <w:i/>
          <w:noProof/>
        </w:rPr>
      </w:pPr>
      <w:r>
        <w:rPr>
          <w:i/>
          <w:noProof/>
        </w:rPr>
        <w:t>“Tomēr šīs pamatnostādnes attiecas uz uzņēmumiem, kas nebija nonākuši grūtībās 2019. gada 31. decembrī, bet kļuva par grūtībās nonākušiem uzņēmumiem laikposmā no 2020. gada 1. janvāra līdz 2021. gada 30. jūnijam.”;</w:t>
      </w:r>
    </w:p>
    <w:p>
      <w:pPr>
        <w:pStyle w:val="Point0letter"/>
        <w:numPr>
          <w:ilvl w:val="1"/>
          <w:numId w:val="25"/>
        </w:numPr>
        <w:spacing w:before="0" w:after="240"/>
        <w:rPr>
          <w:noProof/>
        </w:rPr>
      </w:pPr>
      <w:r>
        <w:rPr>
          <w:noProof/>
        </w:rPr>
        <w:t>paziņojuma 50. punktu aizstāj ar šādu:</w:t>
      </w:r>
    </w:p>
    <w:p>
      <w:pPr>
        <w:pStyle w:val="ListParagraph"/>
        <w:spacing w:before="0" w:after="240"/>
        <w:rPr>
          <w:i/>
          <w:noProof/>
        </w:rPr>
      </w:pPr>
      <w:r>
        <w:rPr>
          <w:i/>
          <w:noProof/>
        </w:rPr>
        <w:t>“50. “Šo paziņojumu piemēros no 2014. gada 1. jūlija līdz 2021. gada 31. decembrim.”</w:t>
      </w:r>
    </w:p>
    <w:p>
      <w:pPr>
        <w:pStyle w:val="ListNumber"/>
        <w:rPr>
          <w:noProof/>
        </w:rPr>
      </w:pPr>
      <w:r>
        <w:rPr>
          <w:noProof/>
        </w:rPr>
        <w:t>Komisijas paziņojumu par darbības termiņa pagarinājumu attiecībā uz Komisijas paziņojumu dalībvalstīm par Līguma par Eiropas Savienības darbību 107. un 108. panta piemērošanu īstermiņa eksporta kredīta apdrošināšanai</w:t>
      </w:r>
      <w:r>
        <w:rPr>
          <w:rStyle w:val="FootnoteReference"/>
          <w:noProof/>
        </w:rPr>
        <w:footnoteReference w:id="8"/>
      </w:r>
      <w:r>
        <w:rPr>
          <w:noProof/>
        </w:rPr>
        <w:t>, groza šādi:</w:t>
      </w:r>
    </w:p>
    <w:p>
      <w:pPr>
        <w:pStyle w:val="Point0letter"/>
        <w:numPr>
          <w:ilvl w:val="1"/>
          <w:numId w:val="39"/>
        </w:numPr>
        <w:spacing w:before="0" w:after="240"/>
        <w:ind w:left="851" w:hanging="851"/>
        <w:rPr>
          <w:noProof/>
        </w:rPr>
      </w:pPr>
      <w:r>
        <w:rPr>
          <w:noProof/>
        </w:rPr>
        <w:t>paziņojuma 6. punktu aizstāj ar šādu:</w:t>
      </w:r>
    </w:p>
    <w:p>
      <w:pPr>
        <w:pStyle w:val="ListParagraph"/>
        <w:spacing w:before="0" w:after="240"/>
        <w:rPr>
          <w:i/>
          <w:noProof/>
        </w:rPr>
      </w:pPr>
      <w:r>
        <w:rPr>
          <w:i/>
          <w:noProof/>
        </w:rPr>
        <w:t>“6. Ņemot vērā nepieciešamību nodrošināt nepārtrauktību un juridisko noteiktību valsts atbalsta piemērošanai īstermiņa eksporta kredīta apdrošināšanas jomā, tiek uzskatīts, ka ir lietderīgi spēkā esošo paziņojumu piemērot līdz 2021. gada 31. decembrim. Tādējādi tā darbības termiņš tiks saskaņots ar vairākuma to valsts atbalsta pamatnostādņu darbības termiņiem, kuras ir pieņemtas saskaņā ar valsts atbalsta modernizācijas programmu.”;</w:t>
      </w:r>
    </w:p>
    <w:p>
      <w:pPr>
        <w:pStyle w:val="Point0letter"/>
        <w:numPr>
          <w:ilvl w:val="1"/>
          <w:numId w:val="25"/>
        </w:numPr>
        <w:spacing w:after="240"/>
        <w:rPr>
          <w:noProof/>
        </w:rPr>
      </w:pPr>
      <w:r>
        <w:rPr>
          <w:noProof/>
        </w:rPr>
        <w:t>paziņojuma 15. punktu aizstāj ar šādu:</w:t>
      </w:r>
    </w:p>
    <w:p>
      <w:pPr>
        <w:pStyle w:val="ListParagraph"/>
        <w:spacing w:after="240"/>
        <w:rPr>
          <w:i/>
          <w:noProof/>
        </w:rPr>
      </w:pPr>
      <w:r>
        <w:rPr>
          <w:i/>
          <w:noProof/>
        </w:rPr>
        <w:t>“15. Komisija ir nolēmusi turpināt piemērot spēkā esošo paziņojumu līdz 2021. gada 31. decembrim.”</w:t>
      </w:r>
    </w:p>
    <w:p>
      <w:pPr>
        <w:pStyle w:val="ListNumber"/>
        <w:rPr>
          <w:noProof/>
        </w:rPr>
      </w:pPr>
      <w:hyperlink r:id="rId29" w:history="1">
        <w:r>
          <w:rPr>
            <w:noProof/>
          </w:rPr>
          <w:t>Nostādņu par valsts atbalstu pētniecībai, izstrādei un inovācijai</w:t>
        </w:r>
      </w:hyperlink>
      <w:r>
        <w:rPr>
          <w:noProof/>
        </w:rPr>
        <w:t xml:space="preserve"> 10. punktam pievieno šādu teikumu:</w:t>
      </w:r>
    </w:p>
    <w:p>
      <w:pPr>
        <w:pStyle w:val="Considrant"/>
        <w:numPr>
          <w:ilvl w:val="0"/>
          <w:numId w:val="0"/>
        </w:numPr>
        <w:tabs>
          <w:tab w:val="clear" w:pos="2127"/>
        </w:tabs>
        <w:suppressAutoHyphens w:val="0"/>
        <w:spacing w:before="0" w:after="240"/>
        <w:ind w:left="709"/>
        <w:rPr>
          <w:i/>
          <w:noProof/>
        </w:rPr>
      </w:pPr>
      <w:r>
        <w:rPr>
          <w:noProof/>
        </w:rPr>
        <w:t xml:space="preserve"> </w:t>
      </w:r>
      <w:r>
        <w:rPr>
          <w:i/>
          <w:noProof/>
        </w:rPr>
        <w:t>“Tomēr šīs nostādnes attiecas uz uzņēmumiem, kas nebija nonākuši grūtībās 2019. gada 31. decembrī, bet kļuva par grūtībās nonākušiem uzņēmumiem laikposmā no 2020. gada 1. janvāra līdz 2021. gada 30. jūnijam.”</w:t>
      </w:r>
    </w:p>
    <w:sectPr>
      <w:headerReference w:type="even" r:id="rId30"/>
      <w:headerReference w:type="default" r:id="rId31"/>
      <w:footerReference w:type="even" r:id="rId32"/>
      <w:footerReference w:type="default" r:id="rId33"/>
      <w:headerReference w:type="first" r:id="rId34"/>
      <w:footerReference w:type="first" r:id="rId35"/>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Reģionālā atbalsta pamatnostādnes 2014.–2020. gadam (OV C 209, 23.7.2013., 1. lpp.).</w:t>
      </w:r>
    </w:p>
  </w:footnote>
  <w:footnote w:id="2">
    <w:p>
      <w:pPr>
        <w:pStyle w:val="FootnoteText"/>
      </w:pPr>
      <w:r>
        <w:rPr>
          <w:rStyle w:val="FootnoteReference"/>
        </w:rPr>
        <w:footnoteRef/>
      </w:r>
      <w:r>
        <w:t xml:space="preserve"> </w:t>
      </w:r>
      <w:r>
        <w:tab/>
        <w:t>Komisijas paziņojums – Pamatnostādnes par valsts atbalstu, lai veicinātu riska finansējuma ieguldījumus (OV C 19, 22.1.2014., 4. lpp.).</w:t>
      </w:r>
    </w:p>
  </w:footnote>
  <w:footnote w:id="3">
    <w:p>
      <w:pPr>
        <w:pStyle w:val="FootnoteText"/>
      </w:pPr>
      <w:r>
        <w:rPr>
          <w:rStyle w:val="FootnoteReference"/>
        </w:rPr>
        <w:footnoteRef/>
      </w:r>
      <w:r>
        <w:t xml:space="preserve"> </w:t>
      </w:r>
      <w:r>
        <w:tab/>
        <w:t>Komisijas paziņojums – Pamatnostādnes par valsts atbalstu vides aizsardzībai un enerģētikai 2014.–2020. gadam (OV C 200, 28.6.2014., 1. lpp.).</w:t>
      </w:r>
    </w:p>
  </w:footnote>
  <w:footnote w:id="4">
    <w:p>
      <w:pPr>
        <w:pStyle w:val="FootnoteText"/>
      </w:pPr>
      <w:r>
        <w:rPr>
          <w:rStyle w:val="FootnoteReference"/>
        </w:rPr>
        <w:footnoteRef/>
      </w:r>
      <w:r>
        <w:t xml:space="preserve"> </w:t>
      </w:r>
      <w:r>
        <w:tab/>
        <w:t>Komisijas paziņojums – Pamatnostādnes par valsts atbalstu grūtībās nonākušu nefinanšu uzņēmumu glābšanai un pārstrukturēšanai (OV C 249, 31.7.2014., 1. lpp.).</w:t>
      </w:r>
    </w:p>
  </w:footnote>
  <w:footnote w:id="5">
    <w:p>
      <w:pPr>
        <w:pStyle w:val="FootnoteText"/>
      </w:pPr>
      <w:r>
        <w:rPr>
          <w:rStyle w:val="FootnoteReference"/>
        </w:rPr>
        <w:footnoteRef/>
      </w:r>
      <w:r>
        <w:t xml:space="preserve"> </w:t>
      </w:r>
      <w:r>
        <w:tab/>
        <w:t>Komisijas paziņojums – Kritēriji, pēc kuriem analizē saderīgumu ar iekšējo tirgu valsts atbalstam ar mērķi sekmēt svarīgu projektu īstenošanu visas Eiropas interesēs (OV C 188, 20.6.2014., 4. lpp.).</w:t>
      </w:r>
    </w:p>
  </w:footnote>
  <w:footnote w:id="6">
    <w:p>
      <w:pPr>
        <w:pStyle w:val="FootnoteText"/>
      </w:pPr>
      <w:r>
        <w:rPr>
          <w:rStyle w:val="FootnoteReference"/>
        </w:rPr>
        <w:footnoteRef/>
      </w:r>
      <w:r>
        <w:t xml:space="preserve"> </w:t>
      </w:r>
      <w:r>
        <w:tab/>
        <w:t>OV C 392, 19.12.2012., 1. lpp.</w:t>
      </w:r>
    </w:p>
  </w:footnote>
  <w:footnote w:id="7">
    <w:p>
      <w:pPr>
        <w:pStyle w:val="FootnoteText"/>
      </w:pPr>
      <w:r>
        <w:rPr>
          <w:rStyle w:val="FootnoteReference"/>
        </w:rPr>
        <w:footnoteRef/>
      </w:r>
      <w:r>
        <w:t xml:space="preserve"> </w:t>
      </w:r>
      <w:r>
        <w:tab/>
        <w:t>Paziņojums Eiropas Parlamentam, Padomei, Eiropas Ekonomikas un sociālo lietu komitejai un Reģionu komitejai – Klimata un enerģētikas politikas satvars laikposmam no 2020. gada līdz 2030. gadam (COM(2014) 15 final, 22.1.2014.).</w:t>
      </w:r>
    </w:p>
  </w:footnote>
  <w:footnote w:id="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pStyle w:val="Considrant"/>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1">
    <w:nsid w:val="0A2900F7"/>
    <w:multiLevelType w:val="multilevel"/>
    <w:tmpl w:val="075EFDDC"/>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DAE7139"/>
    <w:multiLevelType w:val="hybridMultilevel"/>
    <w:tmpl w:val="068EB9FA"/>
    <w:lvl w:ilvl="0" w:tplc="534AD15A">
      <w:start w:val="1"/>
      <w:numFmt w:val="lowerLetter"/>
      <w:lvlText w:val="(%1)"/>
      <w:lvlJc w:val="left"/>
      <w:pPr>
        <w:ind w:left="720" w:hanging="360"/>
      </w:pPr>
      <w:rPr>
        <w:rFonts w:ascii="Times New Roman" w:eastAsia="Times New Roman"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FB7115"/>
    <w:multiLevelType w:val="multilevel"/>
    <w:tmpl w:val="2624AC86"/>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B7201"/>
    <w:multiLevelType w:val="multilevel"/>
    <w:tmpl w:val="7F36D232"/>
    <w:name w:val="ListNumberNumbering"/>
    <w:lvl w:ilvl="0">
      <w:start w:val="1"/>
      <w:numFmt w:val="decimal"/>
      <w:pStyle w:val="ListNumber"/>
      <w:lvlText w:val="(%1)"/>
      <w:lvlJc w:val="left"/>
      <w:pPr>
        <w:tabs>
          <w:tab w:val="num" w:pos="709"/>
        </w:tabs>
        <w:ind w:left="709" w:hanging="709"/>
      </w:pPr>
      <w:rPr>
        <w:i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62685D"/>
    <w:multiLevelType w:val="multilevel"/>
    <w:tmpl w:val="D69CC056"/>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43D0A16"/>
    <w:multiLevelType w:val="multilevel"/>
    <w:tmpl w:val="48463A9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72F0AC5"/>
    <w:multiLevelType w:val="multilevel"/>
    <w:tmpl w:val="0DB6606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B3C78B8"/>
    <w:multiLevelType w:val="multilevel"/>
    <w:tmpl w:val="1C6EFF10"/>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i w:val="0"/>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nsid w:val="1C7B624F"/>
    <w:multiLevelType w:val="multilevel"/>
    <w:tmpl w:val="D5EC49E4"/>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295134F6"/>
    <w:multiLevelType w:val="hybridMultilevel"/>
    <w:tmpl w:val="2E109704"/>
    <w:lvl w:ilvl="0" w:tplc="D0922C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8DFDF8"/>
    <w:multiLevelType w:val="multilevel"/>
    <w:tmpl w:val="20F24D88"/>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D293CE3"/>
    <w:multiLevelType w:val="multilevel"/>
    <w:tmpl w:val="0B2602A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36324F1E"/>
    <w:multiLevelType w:val="multilevel"/>
    <w:tmpl w:val="8A5EE32E"/>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37CB1E1C"/>
    <w:multiLevelType w:val="multilevel"/>
    <w:tmpl w:val="3A285E3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3A7730C4"/>
    <w:multiLevelType w:val="multilevel"/>
    <w:tmpl w:val="B290E82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429E662A"/>
    <w:multiLevelType w:val="multilevel"/>
    <w:tmpl w:val="CBDC715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4E1A982C"/>
    <w:multiLevelType w:val="multilevel"/>
    <w:tmpl w:val="4E44EF7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5072619B"/>
    <w:multiLevelType w:val="multilevel"/>
    <w:tmpl w:val="CA2A426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6977472E"/>
    <w:multiLevelType w:val="multilevel"/>
    <w:tmpl w:val="FF5E608A"/>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7C65145E"/>
    <w:multiLevelType w:val="multilevel"/>
    <w:tmpl w:val="9C0CDEBC"/>
    <w:name w:val="EurolookHeading"/>
    <w:lvl w:ilvl="0">
      <w:start w:val="1"/>
      <w:numFmt w:val="decimal"/>
      <w:pStyle w:val="Heading1"/>
      <w:lvlText w:val="%1."/>
      <w:lvlJc w:val="left"/>
      <w:pPr>
        <w:tabs>
          <w:tab w:val="num" w:pos="482"/>
        </w:tabs>
        <w:ind w:left="482" w:hanging="482"/>
      </w:pPr>
      <w:rPr>
        <w:i w:val="0"/>
      </w:r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2">
    <w:nsid w:val="7CBE4812"/>
    <w:multiLevelType w:val="singleLevel"/>
    <w:tmpl w:val="C4360586"/>
    <w:name w:val="Considérant"/>
    <w:lvl w:ilvl="0">
      <w:start w:val="1"/>
      <w:numFmt w:val="decimal"/>
      <w:lvlRestart w:val="0"/>
      <w:lvlText w:val="(%1)"/>
      <w:lvlJc w:val="left"/>
      <w:pPr>
        <w:tabs>
          <w:tab w:val="num" w:pos="709"/>
        </w:tabs>
        <w:ind w:left="709" w:hanging="709"/>
      </w:pPr>
    </w:lvl>
  </w:abstractNum>
  <w:num w:numId="1">
    <w:abstractNumId w:val="0"/>
  </w:num>
  <w:num w:numId="2">
    <w:abstractNumId w:val="2"/>
  </w:num>
  <w:num w:numId="3">
    <w:abstractNumId w:val="8"/>
  </w:num>
  <w:num w:numId="4">
    <w:abstractNumId w:val="1"/>
  </w:num>
  <w:num w:numId="5">
    <w:abstractNumId w:val="13"/>
  </w:num>
  <w:num w:numId="6">
    <w:abstractNumId w:val="9"/>
  </w:num>
  <w:num w:numId="7">
    <w:abstractNumId w:val="14"/>
  </w:num>
  <w:num w:numId="8">
    <w:abstractNumId w:val="18"/>
  </w:num>
  <w:num w:numId="9">
    <w:abstractNumId w:val="19"/>
  </w:num>
  <w:num w:numId="10">
    <w:abstractNumId w:val="3"/>
  </w:num>
  <w:num w:numId="11">
    <w:abstractNumId w:val="7"/>
  </w:num>
  <w:num w:numId="12">
    <w:abstractNumId w:val="16"/>
  </w:num>
  <w:num w:numId="13">
    <w:abstractNumId w:val="4"/>
  </w:num>
  <w:num w:numId="14">
    <w:abstractNumId w:val="5"/>
  </w:num>
  <w:num w:numId="15">
    <w:abstractNumId w:val="6"/>
  </w:num>
  <w:num w:numId="16">
    <w:abstractNumId w:val="11"/>
  </w:num>
  <w:num w:numId="17">
    <w:abstractNumId w:val="15"/>
  </w:num>
  <w:num w:numId="18">
    <w:abstractNumId w:val="17"/>
  </w:num>
  <w:num w:numId="19">
    <w:abstractNumId w:val="20"/>
  </w:num>
  <w:num w:numId="20">
    <w:abstractNumId w:val="12"/>
  </w:num>
  <w:num w:numId="21">
    <w:abstractNumId w:val="2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
  </w:num>
  <w:num w:numId="30">
    <w:abstractNumId w:val="10"/>
  </w:num>
  <w:num w:numId="31">
    <w:abstractNumId w:val="20"/>
  </w:num>
  <w:num w:numId="32">
    <w:abstractNumId w:val="20"/>
  </w:num>
  <w:num w:numId="33">
    <w:abstractNumId w:val="20"/>
  </w:num>
  <w:num w:numId="34">
    <w:abstractNumId w:val="20"/>
  </w:num>
  <w:num w:numId="35">
    <w:abstractNumId w:val="8"/>
  </w:num>
  <w:num w:numId="36">
    <w:abstractNumId w:val="8"/>
  </w:num>
  <w:num w:numId="37">
    <w:abstractNumId w:val="20"/>
  </w:num>
  <w:num w:numId="38">
    <w:abstractNumId w:val="4"/>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NotTrackMoves/>
  <w:defaultTabStop w:val="720"/>
  <w:hyphenationZone w:val="425"/>
  <w:characterSpacingControl w:val="doNotCompress"/>
  <w:hdrShapeDefaults>
    <o:shapedefaults v:ext="edit" spidmax="25601"/>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B6BDC710-E63C-488B-936C-9F281B969B5B"/>
    <w:docVar w:name="LW_COVERPAGE_TYPE" w:val="1"/>
    <w:docVar w:name="LW_CROSSREFERENCE" w:val="&lt;UNUSED&gt;"/>
    <w:docVar w:name="LW_DocType" w:val="A5B9311528B142FFB1C61F917E75A481"/>
    <w:docVar w:name="LW_EMISSION" w:val="2.7.2020"/>
    <w:docVar w:name="LW_EMISSION_ISODATE" w:val="2020-07-02"/>
    <w:docVar w:name="LW_EMISSION_LOCATION" w:val="BRX"/>
    <w:docVar w:name="LW_EMISSION_PREFIX" w:val="Briselē, "/>
    <w:docVar w:name="LW_EMISSION_SUFFIX" w:val="."/>
    <w:docVar w:name="LW_ID_DOCTYPE_NONLW" w:val="CP-001"/>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0) 43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r darb\u299?bas termi\u326?a pagarin\u257?\u353?anu un groz\u299?jumiem Re\u291?ion\u257?l\u257? atbalsta pamatnost\u257?dn\u275?s 2014.\u8211?2020. gadam, Pamatnost\u257?dn\u275?s par valsts atbalstu, lai veicin\u257?tu riska finans\u275?juma ieguld\u299?jumus, Pamatnost\u257?dn\u275?s par valsts atbalstu vides aizsardz\u299?bai un ener\u291?\u275?tikai 2014.\u8211?2020. gadam, Pamatnost\u257?dn\u275?s par valsts atbalstu gr\u363?t\u299?b\u257?s non\u257?ku\u353?u nefinan\u353?u uz\u326?\u275?mumu gl\u257?b\u353?anai un p\u257?rstruktur\u275?\u353?anai un Pazi\u326?ojum\u257? par krit\u275?rijiem, p\u275?c kuriem analiz\u275? sader\u299?gumu ar iek\u353?\u275?jo tirgu valsts atbalstam ar m\u275?r\u311?i sekm\u275?t svar\u299?gu projektu \u299?steno\u353?anu visas Eiropas interes\u275?s, Komisijas pazi\u326?ojum\u257? \u8211? Nost\u257?dnes par valsts atbalstu p\u275?tniec\u299?bai, izstr\u257?dei un inov\u257?cijai un Komisijas Pazi\u326?ojum\u257? dal\u299?bvalst\u299?m par L\u299?guma par Eiropas Savien\u299?bas darb\u299?bu 107. un 108. panta piem\u275?ro\u353?anu \u299?stermi\u326?a eksporta kred\u299?ta apdro\u353?in\u257?\u353?anai_x000b_"/>
    <w:docVar w:name="LW_TYPE.DOC.CP" w:val="KOMISIJAS PAZI\u325?OJUM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fr-BE"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header" w:semiHidden="0"/>
    <w:lsdException w:name="footer" w:semiHidden="0"/>
    <w:lsdException w:name="caption" w:semiHidden="0"/>
    <w:lsdException w:name="footnote reference" w:uiPriority="99" w:qFormat="1"/>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Closing" w:semiHidden="0"/>
    <w:lsdException w:name="Signature" w:semiHidden="0" w:uiPriority="99"/>
    <w:lsdException w:name="Default Paragraph Font" w:uiPriority="1"/>
    <w:lsdException w:name="Date" w:semiHidden="0"/>
    <w:lsdException w:name="Note Heading" w:semiHidden="0"/>
    <w:lsdException w:name="Emphasis" w:uiPriority="20" w:qFormat="1"/>
    <w:lsdException w:name="Normal (Web)" w:uiPriority="99"/>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rPr>
      <w:sz w:val="24"/>
    </w:rPr>
  </w:style>
  <w:style w:type="paragraph" w:styleId="Heading1">
    <w:name w:val="heading 1"/>
    <w:basedOn w:val="Normal"/>
    <w:next w:val="Text1"/>
    <w:uiPriority w:val="90"/>
    <w:qFormat/>
    <w:pPr>
      <w:keepNext/>
      <w:numPr>
        <w:numId w:val="19"/>
      </w:numPr>
      <w:spacing w:before="240"/>
      <w:outlineLvl w:val="0"/>
    </w:pPr>
    <w:rPr>
      <w:b/>
      <w:smallCaps/>
    </w:rPr>
  </w:style>
  <w:style w:type="paragraph" w:styleId="Heading2">
    <w:name w:val="heading 2"/>
    <w:basedOn w:val="Normal"/>
    <w:next w:val="Text2"/>
    <w:uiPriority w:val="90"/>
    <w:qFormat/>
    <w:pPr>
      <w:keepNext/>
      <w:numPr>
        <w:ilvl w:val="1"/>
        <w:numId w:val="19"/>
      </w:numPr>
      <w:outlineLvl w:val="1"/>
    </w:pPr>
    <w:rPr>
      <w:b/>
    </w:rPr>
  </w:style>
  <w:style w:type="paragraph" w:styleId="Heading3">
    <w:name w:val="heading 3"/>
    <w:basedOn w:val="Normal"/>
    <w:next w:val="Text3"/>
    <w:uiPriority w:val="90"/>
    <w:qFormat/>
    <w:pPr>
      <w:keepNext/>
      <w:numPr>
        <w:ilvl w:val="2"/>
        <w:numId w:val="19"/>
      </w:numPr>
      <w:outlineLvl w:val="2"/>
    </w:pPr>
    <w:rPr>
      <w:i/>
    </w:rPr>
  </w:style>
  <w:style w:type="paragraph" w:styleId="Heading4">
    <w:name w:val="heading 4"/>
    <w:basedOn w:val="Normal"/>
    <w:next w:val="Text4"/>
    <w:uiPriority w:val="90"/>
    <w:qFormat/>
    <w:pPr>
      <w:keepNext/>
      <w:numPr>
        <w:ilvl w:val="3"/>
        <w:numId w:val="19"/>
      </w:numPr>
      <w:outlineLvl w:val="3"/>
    </w:pPr>
  </w:style>
  <w:style w:type="paragraph" w:styleId="Heading5">
    <w:name w:val="heading 5"/>
    <w:basedOn w:val="Normal"/>
    <w:next w:val="Normal"/>
    <w:semiHidden/>
    <w:pPr>
      <w:keepNext/>
      <w:numPr>
        <w:ilvl w:val="4"/>
        <w:numId w:val="19"/>
      </w:numPr>
      <w:outlineLvl w:val="4"/>
    </w:pPr>
  </w:style>
  <w:style w:type="paragraph" w:styleId="Heading6">
    <w:name w:val="heading 6"/>
    <w:basedOn w:val="Normal"/>
    <w:next w:val="Normal"/>
    <w:semiHidden/>
    <w:pPr>
      <w:keepNext/>
      <w:numPr>
        <w:ilvl w:val="5"/>
        <w:numId w:val="19"/>
      </w:numPr>
      <w:outlineLvl w:val="5"/>
    </w:pPr>
  </w:style>
  <w:style w:type="paragraph" w:styleId="Heading7">
    <w:name w:val="heading 7"/>
    <w:basedOn w:val="Normal"/>
    <w:next w:val="Normal"/>
    <w:semiHidden/>
    <w:pPr>
      <w:keepNext/>
      <w:numPr>
        <w:ilvl w:val="6"/>
        <w:numId w:val="19"/>
      </w:numPr>
      <w:outlineLvl w:val="6"/>
    </w:pPr>
  </w:style>
  <w:style w:type="paragraph" w:styleId="Heading8">
    <w:name w:val="heading 8"/>
    <w:basedOn w:val="Normal"/>
    <w:next w:val="Normal"/>
    <w:semiHidden/>
    <w:pPr>
      <w:keepNext/>
      <w:numPr>
        <w:ilvl w:val="7"/>
        <w:numId w:val="19"/>
      </w:numPr>
      <w:outlineLvl w:val="7"/>
    </w:pPr>
  </w:style>
  <w:style w:type="paragraph" w:styleId="Heading9">
    <w:name w:val="heading 9"/>
    <w:basedOn w:val="Normal"/>
    <w:next w:val="Normal"/>
    <w:semiHidden/>
    <w:pPr>
      <w:keepNext/>
      <w:numPr>
        <w:ilvl w:val="8"/>
        <w:numId w:val="19"/>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80"/>
      <w:u w:val="singl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CarCarCarCarCarCarCarCar"/>
    <w:uiPriority w:val="99"/>
    <w:qFormat/>
    <w:locked/>
    <w:rPr>
      <w:vertAlign w:val="superscript"/>
    </w:rPr>
  </w:style>
  <w:style w:type="character" w:customStyle="1" w:styleId="FooterChar">
    <w:name w:val="Footer Char"/>
    <w:rPr>
      <w:sz w:val="16"/>
    </w:rPr>
  </w:style>
  <w:style w:type="character" w:customStyle="1" w:styleId="FootnoteTextChar">
    <w:name w:val="Footnote Text Char"/>
    <w:aliases w:val="fn Char,Schriftart: 9 pt Char,Schriftart: 10 pt Char,Schriftart: 8 pt Char,WB-Fußnotentext Char1,Schriftart Char,9 pt Char,10 pt Char,8 pt Char,ft Char,Footnote Text Char2 Char Char,Footnote Text Char Char Char1 Char,Schrifta Char"/>
    <w:uiPriority w:val="99"/>
    <w:rPr>
      <w:sz w:val="20"/>
    </w:rPr>
  </w:style>
  <w:style w:type="paragraph" w:customStyle="1" w:styleId="Considrant">
    <w:name w:val="Considérant"/>
    <w:basedOn w:val="Normal"/>
    <w:pPr>
      <w:numPr>
        <w:numId w:val="1"/>
      </w:numPr>
      <w:tabs>
        <w:tab w:val="left" w:pos="2127"/>
      </w:tabs>
      <w:suppressAutoHyphens/>
      <w:spacing w:before="120" w:after="120"/>
    </w:pPr>
    <w:rPr>
      <w:szCs w:val="24"/>
      <w:lang w:eastAsia="en-GB"/>
    </w:rPr>
  </w:style>
  <w:style w:type="paragraph" w:customStyle="1" w:styleId="Typedudocument">
    <w:name w:val="Type du document"/>
    <w:basedOn w:val="Normal"/>
    <w:next w:val="Normal"/>
    <w:link w:val="TypedudocumentChar"/>
    <w:pPr>
      <w:suppressAutoHyphens/>
      <w:spacing w:before="360" w:after="0"/>
      <w:jc w:val="center"/>
    </w:pPr>
    <w:rPr>
      <w:b/>
      <w:szCs w:val="24"/>
      <w:lang w:eastAsia="en-GB"/>
    </w:rPr>
  </w:style>
  <w:style w:type="paragraph" w:customStyle="1" w:styleId="Pagedecouverture">
    <w:name w:val="Page de couverture"/>
    <w:basedOn w:val="Normal"/>
    <w:next w:val="Normal"/>
    <w:pPr>
      <w:suppressAutoHyphens/>
      <w:spacing w:before="120" w:after="120"/>
    </w:pPr>
    <w:rPr>
      <w:szCs w:val="24"/>
      <w:lang w:eastAsia="en-GB"/>
    </w:rPr>
  </w:style>
  <w:style w:type="paragraph" w:styleId="ListParagraph">
    <w:name w:val="List Paragraph"/>
    <w:basedOn w:val="Normal"/>
    <w:uiPriority w:val="34"/>
    <w:qFormat/>
    <w:locked/>
    <w:pPr>
      <w:suppressAutoHyphens/>
      <w:spacing w:before="120" w:after="120"/>
      <w:ind w:left="720"/>
      <w:contextualSpacing/>
    </w:pPr>
    <w:rPr>
      <w:szCs w:val="24"/>
      <w:lang w:eastAsia="en-GB"/>
    </w:rPr>
  </w:style>
  <w:style w:type="paragraph" w:customStyle="1" w:styleId="Titreobjet">
    <w:name w:val="Titre objet"/>
    <w:basedOn w:val="Normal"/>
    <w:next w:val="Normal"/>
    <w:pPr>
      <w:spacing w:before="360" w:after="360"/>
      <w:jc w:val="center"/>
    </w:pPr>
    <w:rPr>
      <w:rFonts w:eastAsia="Calibri"/>
      <w:b/>
      <w:szCs w:val="22"/>
      <w:lang w:eastAsia="en-GB"/>
    </w:rPr>
  </w:style>
  <w:style w:type="paragraph" w:customStyle="1" w:styleId="FooterCoverPage">
    <w:name w:val="Footer Cover Page"/>
    <w:basedOn w:val="Normal"/>
    <w:link w:val="FooterCoverPageChar"/>
    <w:pPr>
      <w:tabs>
        <w:tab w:val="center" w:pos="4535"/>
        <w:tab w:val="right" w:pos="9071"/>
        <w:tab w:val="right" w:pos="9921"/>
      </w:tabs>
      <w:suppressAutoHyphens/>
      <w:spacing w:before="360" w:after="0"/>
      <w:ind w:left="-850" w:right="-850"/>
      <w:jc w:val="left"/>
    </w:pPr>
  </w:style>
  <w:style w:type="character" w:customStyle="1" w:styleId="FooterCoverPageChar">
    <w:name w:val="Footer Cover Page Char"/>
    <w:link w:val="FooterCoverPage"/>
    <w:rPr>
      <w:sz w:val="24"/>
    </w:rPr>
  </w:style>
  <w:style w:type="paragraph" w:customStyle="1" w:styleId="HeaderCoverPage">
    <w:name w:val="Header Cover Page"/>
    <w:basedOn w:val="Normal"/>
    <w:link w:val="HeaderCoverPageChar"/>
    <w:pPr>
      <w:tabs>
        <w:tab w:val="center" w:pos="4535"/>
        <w:tab w:val="right" w:pos="9071"/>
      </w:tabs>
      <w:suppressAutoHyphens/>
      <w:spacing w:after="120"/>
    </w:pPr>
  </w:style>
  <w:style w:type="character" w:customStyle="1" w:styleId="HeaderCoverPageChar">
    <w:name w:val="Header Cover Page Char"/>
    <w:link w:val="HeaderCoverPage"/>
    <w:rPr>
      <w:sz w:val="24"/>
    </w:rPr>
  </w:style>
  <w:style w:type="paragraph" w:customStyle="1" w:styleId="Point0number">
    <w:name w:val="Point 0 (number)"/>
    <w:basedOn w:val="Normal"/>
    <w:pPr>
      <w:numPr>
        <w:numId w:val="3"/>
      </w:numPr>
      <w:spacing w:before="120" w:after="120"/>
    </w:pPr>
    <w:rPr>
      <w:rFonts w:eastAsia="Calibri"/>
      <w:szCs w:val="22"/>
      <w:lang w:eastAsia="en-GB"/>
    </w:rPr>
  </w:style>
  <w:style w:type="paragraph" w:customStyle="1" w:styleId="Point1number">
    <w:name w:val="Point 1 (number)"/>
    <w:basedOn w:val="Normal"/>
    <w:pPr>
      <w:numPr>
        <w:ilvl w:val="2"/>
        <w:numId w:val="3"/>
      </w:numPr>
      <w:spacing w:before="120" w:after="120"/>
    </w:pPr>
    <w:rPr>
      <w:rFonts w:eastAsia="Calibri"/>
      <w:szCs w:val="22"/>
      <w:lang w:eastAsia="en-GB"/>
    </w:rPr>
  </w:style>
  <w:style w:type="paragraph" w:customStyle="1" w:styleId="Point2number">
    <w:name w:val="Point 2 (number)"/>
    <w:basedOn w:val="Normal"/>
    <w:pPr>
      <w:numPr>
        <w:ilvl w:val="4"/>
        <w:numId w:val="3"/>
      </w:numPr>
      <w:spacing w:before="120" w:after="120"/>
    </w:pPr>
    <w:rPr>
      <w:rFonts w:eastAsia="Calibri"/>
      <w:szCs w:val="22"/>
      <w:lang w:eastAsia="en-GB"/>
    </w:rPr>
  </w:style>
  <w:style w:type="paragraph" w:customStyle="1" w:styleId="Point3number">
    <w:name w:val="Point 3 (number)"/>
    <w:basedOn w:val="Normal"/>
    <w:pPr>
      <w:numPr>
        <w:ilvl w:val="6"/>
        <w:numId w:val="3"/>
      </w:numPr>
      <w:spacing w:before="120" w:after="120"/>
    </w:pPr>
    <w:rPr>
      <w:rFonts w:eastAsia="Calibri"/>
      <w:szCs w:val="22"/>
      <w:lang w:eastAsia="en-GB"/>
    </w:rPr>
  </w:style>
  <w:style w:type="paragraph" w:customStyle="1" w:styleId="Point0letter">
    <w:name w:val="Point 0 (letter)"/>
    <w:basedOn w:val="Normal"/>
    <w:pPr>
      <w:numPr>
        <w:ilvl w:val="1"/>
        <w:numId w:val="3"/>
      </w:numPr>
      <w:spacing w:before="120" w:after="120"/>
    </w:pPr>
    <w:rPr>
      <w:rFonts w:eastAsia="Calibri"/>
      <w:szCs w:val="22"/>
      <w:lang w:eastAsia="en-GB"/>
    </w:rPr>
  </w:style>
  <w:style w:type="paragraph" w:customStyle="1" w:styleId="Point1letter">
    <w:name w:val="Point 1 (letter)"/>
    <w:basedOn w:val="Normal"/>
    <w:pPr>
      <w:numPr>
        <w:ilvl w:val="3"/>
        <w:numId w:val="3"/>
      </w:numPr>
      <w:spacing w:before="120" w:after="120"/>
    </w:pPr>
    <w:rPr>
      <w:rFonts w:eastAsia="Calibri"/>
      <w:szCs w:val="22"/>
      <w:lang w:eastAsia="en-GB"/>
    </w:rPr>
  </w:style>
  <w:style w:type="paragraph" w:customStyle="1" w:styleId="Point2letter">
    <w:name w:val="Point 2 (letter)"/>
    <w:basedOn w:val="Normal"/>
    <w:pPr>
      <w:numPr>
        <w:ilvl w:val="5"/>
        <w:numId w:val="3"/>
      </w:numPr>
      <w:spacing w:before="120" w:after="120"/>
    </w:pPr>
    <w:rPr>
      <w:rFonts w:eastAsia="Calibri"/>
      <w:szCs w:val="22"/>
      <w:lang w:eastAsia="en-GB"/>
    </w:rPr>
  </w:style>
  <w:style w:type="paragraph" w:customStyle="1" w:styleId="Point3letter">
    <w:name w:val="Point 3 (letter)"/>
    <w:basedOn w:val="Normal"/>
    <w:pPr>
      <w:numPr>
        <w:ilvl w:val="7"/>
        <w:numId w:val="3"/>
      </w:numPr>
      <w:spacing w:before="120" w:after="120"/>
    </w:pPr>
    <w:rPr>
      <w:rFonts w:eastAsia="Calibri"/>
      <w:szCs w:val="22"/>
      <w:lang w:eastAsia="en-GB"/>
    </w:rPr>
  </w:style>
  <w:style w:type="paragraph" w:customStyle="1" w:styleId="Point4letter">
    <w:name w:val="Point 4 (letter)"/>
    <w:basedOn w:val="Normal"/>
    <w:pPr>
      <w:numPr>
        <w:ilvl w:val="8"/>
        <w:numId w:val="3"/>
      </w:numPr>
      <w:spacing w:before="120" w:after="120"/>
    </w:pPr>
    <w:rPr>
      <w:rFonts w:eastAsia="Calibri"/>
      <w:szCs w:val="22"/>
      <w:lang w:eastAsia="en-GB"/>
    </w:rPr>
  </w:style>
  <w:style w:type="paragraph" w:customStyle="1" w:styleId="CarCarCarCarCarCarCarCar">
    <w:name w:val="Car Car Car Car Car Car Car Car"/>
    <w:aliases w:val=" Car Car Car Car1 Car, Car Car Car Car1 Car Car Car Car, Car Car Car Car Car Car Car Car,Car Car Car Car1 Car,Car Car Car Car1 Car Car Car Car"/>
    <w:basedOn w:val="Normal"/>
    <w:link w:val="FootnoteReference"/>
    <w:uiPriority w:val="99"/>
    <w:pPr>
      <w:spacing w:after="160" w:line="240" w:lineRule="exact"/>
      <w:jc w:val="left"/>
    </w:pPr>
    <w:rPr>
      <w:vertAlign w:val="superscript"/>
    </w:rPr>
  </w:style>
  <w:style w:type="paragraph" w:styleId="NormalWeb">
    <w:name w:val="Normal (Web)"/>
    <w:basedOn w:val="Normal"/>
    <w:uiPriority w:val="99"/>
    <w:locked/>
    <w:pPr>
      <w:spacing w:before="100" w:beforeAutospacing="1" w:after="100" w:afterAutospacing="1"/>
      <w:jc w:val="left"/>
    </w:pPr>
    <w:rPr>
      <w:szCs w:val="24"/>
      <w:lang w:eastAsia="en-GB"/>
    </w:rPr>
  </w:style>
  <w:style w:type="character" w:styleId="Emphasis">
    <w:name w:val="Emphasis"/>
    <w:uiPriority w:val="20"/>
    <w:qFormat/>
    <w:locked/>
    <w:rPr>
      <w:i/>
      <w:iCs/>
    </w:rPr>
  </w:style>
  <w:style w:type="character" w:styleId="PlaceholderText">
    <w:name w:val="Placeholder Text"/>
    <w:uiPriority w:val="99"/>
    <w:semiHidden/>
    <w:rPr>
      <w:color w:val="288061"/>
    </w:rPr>
  </w:style>
  <w:style w:type="character" w:customStyle="1" w:styleId="BodyPlaceholderText">
    <w:name w:val="Body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uiPriority w:val="99"/>
    <w:rPr>
      <w:i/>
    </w:rPr>
  </w:style>
  <w:style w:type="paragraph" w:customStyle="1" w:styleId="Subject">
    <w:name w:val="Subject"/>
    <w:basedOn w:val="Normal"/>
    <w:uiPriority w:val="99"/>
    <w:pPr>
      <w:spacing w:before="720" w:after="480"/>
      <w:ind w:left="1531" w:hanging="1531"/>
      <w:contextualSpacing/>
      <w:jc w:val="left"/>
    </w:pPr>
    <w:rPr>
      <w:b/>
    </w:rPr>
  </w:style>
  <w:style w:type="paragraph" w:customStyle="1" w:styleId="Opening">
    <w:name w:val="Opening"/>
    <w:basedOn w:val="Normal"/>
    <w:pPr>
      <w:spacing w:before="480" w:after="720"/>
      <w:jc w:val="left"/>
    </w:pPr>
  </w:style>
  <w:style w:type="paragraph" w:customStyle="1" w:styleId="AddressTR">
    <w:name w:val="AddressTR"/>
    <w:basedOn w:val="Normal"/>
    <w:next w:val="Normal"/>
    <w:pPr>
      <w:spacing w:after="720"/>
      <w:ind w:left="5102"/>
      <w:contextualSpacing/>
      <w:jc w:val="left"/>
    </w:pPr>
  </w:style>
  <w:style w:type="paragraph" w:customStyle="1" w:styleId="AddressTL">
    <w:name w:val="AddressTL"/>
    <w:basedOn w:val="Normal"/>
    <w:next w:val="Normal"/>
    <w:pPr>
      <w:spacing w:after="720"/>
      <w:contextualSpacing/>
      <w:jc w:val="left"/>
    </w:pPr>
  </w:style>
  <w:style w:type="paragraph" w:customStyle="1" w:styleId="Address">
    <w:name w:val="Address"/>
    <w:basedOn w:val="Normal"/>
    <w:pPr>
      <w:spacing w:after="0"/>
      <w:contextualSpacing/>
      <w:jc w:val="left"/>
    </w:p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customStyle="1" w:styleId="AnnexTitle">
    <w:name w:val="AnnexTitle"/>
    <w:basedOn w:val="Normal"/>
    <w:next w:val="Normal"/>
    <w:uiPriority w:val="90"/>
    <w:qFormat/>
    <w:pPr>
      <w:pageBreakBefore/>
      <w:numPr>
        <w:numId w:val="21"/>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8"/>
      </w:numPr>
    </w:pPr>
  </w:style>
  <w:style w:type="paragraph" w:customStyle="1" w:styleId="ListBulletLevel2">
    <w:name w:val="List Bullet (Level 2)"/>
    <w:basedOn w:val="Text1"/>
    <w:pPr>
      <w:numPr>
        <w:ilvl w:val="1"/>
        <w:numId w:val="18"/>
      </w:numPr>
    </w:pPr>
  </w:style>
  <w:style w:type="paragraph" w:customStyle="1" w:styleId="ListBulletLevel3">
    <w:name w:val="List Bullet (Level 3)"/>
    <w:basedOn w:val="Text1"/>
    <w:semiHidden/>
    <w:unhideWhenUsed/>
    <w:pPr>
      <w:numPr>
        <w:ilvl w:val="2"/>
        <w:numId w:val="18"/>
      </w:numPr>
    </w:pPr>
  </w:style>
  <w:style w:type="paragraph" w:customStyle="1" w:styleId="ListBulletLevel4">
    <w:name w:val="List Bullet (Level 4)"/>
    <w:basedOn w:val="Text1"/>
    <w:semiHidden/>
    <w:unhideWhenUsed/>
    <w:pPr>
      <w:numPr>
        <w:ilvl w:val="3"/>
        <w:numId w:val="18"/>
      </w:numPr>
    </w:pPr>
  </w:style>
  <w:style w:type="paragraph" w:customStyle="1" w:styleId="ListBullet1">
    <w:name w:val="List Bullet 1"/>
    <w:basedOn w:val="Text1"/>
    <w:pPr>
      <w:numPr>
        <w:numId w:val="17"/>
      </w:numPr>
    </w:pPr>
  </w:style>
  <w:style w:type="paragraph" w:customStyle="1" w:styleId="ListBullet1Level2">
    <w:name w:val="List Bullet 1 (Level 2)"/>
    <w:basedOn w:val="Text1"/>
    <w:pPr>
      <w:numPr>
        <w:ilvl w:val="1"/>
        <w:numId w:val="17"/>
      </w:numPr>
    </w:pPr>
  </w:style>
  <w:style w:type="paragraph" w:customStyle="1" w:styleId="ListBullet1Level3">
    <w:name w:val="List Bullet 1 (Level 3)"/>
    <w:basedOn w:val="Text1"/>
    <w:semiHidden/>
    <w:unhideWhenUsed/>
    <w:pPr>
      <w:numPr>
        <w:ilvl w:val="2"/>
        <w:numId w:val="17"/>
      </w:numPr>
    </w:pPr>
  </w:style>
  <w:style w:type="paragraph" w:customStyle="1" w:styleId="ListBullet1Level4">
    <w:name w:val="List Bullet 1 (Level 4)"/>
    <w:basedOn w:val="Text1"/>
    <w:semiHidden/>
    <w:unhideWhenUsed/>
    <w:pPr>
      <w:numPr>
        <w:ilvl w:val="3"/>
        <w:numId w:val="17"/>
      </w:numPr>
    </w:pPr>
  </w:style>
  <w:style w:type="paragraph" w:styleId="ListBullet2">
    <w:name w:val="List Bullet 2"/>
    <w:basedOn w:val="Text2"/>
    <w:pPr>
      <w:numPr>
        <w:numId w:val="16"/>
      </w:numPr>
    </w:pPr>
  </w:style>
  <w:style w:type="paragraph" w:customStyle="1" w:styleId="ListBullet2Level2">
    <w:name w:val="List Bullet 2 (Level 2)"/>
    <w:basedOn w:val="Text2"/>
    <w:pPr>
      <w:numPr>
        <w:ilvl w:val="1"/>
        <w:numId w:val="16"/>
      </w:numPr>
    </w:pPr>
  </w:style>
  <w:style w:type="paragraph" w:customStyle="1" w:styleId="ListBullet2Level3">
    <w:name w:val="List Bullet 2 (Level 3)"/>
    <w:basedOn w:val="Text2"/>
    <w:semiHidden/>
    <w:unhideWhenUsed/>
    <w:pPr>
      <w:numPr>
        <w:ilvl w:val="2"/>
        <w:numId w:val="16"/>
      </w:numPr>
    </w:pPr>
  </w:style>
  <w:style w:type="paragraph" w:customStyle="1" w:styleId="ListBullet2Level4">
    <w:name w:val="List Bullet 2 (Level 4)"/>
    <w:basedOn w:val="Text2"/>
    <w:semiHidden/>
    <w:unhideWhenUsed/>
    <w:pPr>
      <w:numPr>
        <w:ilvl w:val="3"/>
        <w:numId w:val="16"/>
      </w:numPr>
    </w:pPr>
  </w:style>
  <w:style w:type="paragraph" w:styleId="ListBullet3">
    <w:name w:val="List Bullet 3"/>
    <w:basedOn w:val="Text3"/>
    <w:pPr>
      <w:numPr>
        <w:numId w:val="15"/>
      </w:numPr>
    </w:pPr>
  </w:style>
  <w:style w:type="paragraph" w:customStyle="1" w:styleId="ListBullet3Level2">
    <w:name w:val="List Bullet 3 (Level 2)"/>
    <w:basedOn w:val="Text3"/>
    <w:pPr>
      <w:numPr>
        <w:ilvl w:val="1"/>
        <w:numId w:val="15"/>
      </w:numPr>
    </w:pPr>
  </w:style>
  <w:style w:type="paragraph" w:customStyle="1" w:styleId="ListBullet3Level3">
    <w:name w:val="List Bullet 3 (Level 3)"/>
    <w:basedOn w:val="Text3"/>
    <w:semiHidden/>
    <w:unhideWhenUsed/>
    <w:pPr>
      <w:numPr>
        <w:ilvl w:val="2"/>
        <w:numId w:val="15"/>
      </w:numPr>
    </w:pPr>
  </w:style>
  <w:style w:type="paragraph" w:customStyle="1" w:styleId="ListBullet3Level4">
    <w:name w:val="List Bullet 3 (Level 4)"/>
    <w:basedOn w:val="Text3"/>
    <w:semiHidden/>
    <w:unhideWhenUsed/>
    <w:pPr>
      <w:numPr>
        <w:ilvl w:val="3"/>
        <w:numId w:val="15"/>
      </w:numPr>
    </w:pPr>
  </w:style>
  <w:style w:type="paragraph" w:styleId="ListBullet4">
    <w:name w:val="List Bullet 4"/>
    <w:basedOn w:val="Text4"/>
    <w:pPr>
      <w:numPr>
        <w:numId w:val="14"/>
      </w:numPr>
    </w:pPr>
  </w:style>
  <w:style w:type="paragraph" w:customStyle="1" w:styleId="ListBullet4Level2">
    <w:name w:val="List Bullet 4 (Level 2)"/>
    <w:basedOn w:val="Text4"/>
    <w:pPr>
      <w:numPr>
        <w:ilvl w:val="1"/>
        <w:numId w:val="14"/>
      </w:numPr>
    </w:pPr>
  </w:style>
  <w:style w:type="paragraph" w:customStyle="1" w:styleId="ListBullet4Level3">
    <w:name w:val="List Bullet 4 (Level 3)"/>
    <w:basedOn w:val="Text4"/>
    <w:semiHidden/>
    <w:unhideWhenUsed/>
    <w:pPr>
      <w:numPr>
        <w:ilvl w:val="2"/>
        <w:numId w:val="14"/>
      </w:numPr>
    </w:pPr>
  </w:style>
  <w:style w:type="paragraph" w:customStyle="1" w:styleId="ListBullet4Level4">
    <w:name w:val="List Bullet 4 (Level 4)"/>
    <w:basedOn w:val="Text4"/>
    <w:semiHidden/>
    <w:unhideWhenUsed/>
    <w:pPr>
      <w:numPr>
        <w:ilvl w:val="3"/>
        <w:numId w:val="14"/>
      </w:numPr>
    </w:pPr>
  </w:style>
  <w:style w:type="paragraph" w:customStyle="1" w:styleId="ListDash">
    <w:name w:val="List Dash"/>
    <w:basedOn w:val="Normal"/>
    <w:pPr>
      <w:numPr>
        <w:numId w:val="8"/>
      </w:numPr>
    </w:pPr>
  </w:style>
  <w:style w:type="paragraph" w:customStyle="1" w:styleId="ListDashLevel2">
    <w:name w:val="List Dash (Level 2)"/>
    <w:basedOn w:val="Normal"/>
    <w:pPr>
      <w:numPr>
        <w:ilvl w:val="1"/>
        <w:numId w:val="8"/>
      </w:numPr>
    </w:pPr>
  </w:style>
  <w:style w:type="paragraph" w:customStyle="1" w:styleId="ListDashLevel3">
    <w:name w:val="List Dash (Level 3)"/>
    <w:basedOn w:val="Normal"/>
    <w:semiHidden/>
    <w:unhideWhenUsed/>
    <w:pPr>
      <w:numPr>
        <w:ilvl w:val="2"/>
        <w:numId w:val="8"/>
      </w:numPr>
    </w:pPr>
  </w:style>
  <w:style w:type="paragraph" w:customStyle="1" w:styleId="ListDashLevel4">
    <w:name w:val="List Dash (Level 4)"/>
    <w:basedOn w:val="Normal"/>
    <w:semiHidden/>
    <w:unhideWhenUsed/>
    <w:pPr>
      <w:numPr>
        <w:ilvl w:val="3"/>
        <w:numId w:val="8"/>
      </w:numPr>
    </w:pPr>
  </w:style>
  <w:style w:type="paragraph" w:customStyle="1" w:styleId="ListDash1">
    <w:name w:val="List Dash 1"/>
    <w:basedOn w:val="Text1"/>
    <w:pPr>
      <w:numPr>
        <w:numId w:val="7"/>
      </w:numPr>
    </w:pPr>
  </w:style>
  <w:style w:type="paragraph" w:customStyle="1" w:styleId="ListDash1Level2">
    <w:name w:val="List Dash 1 (Level 2)"/>
    <w:basedOn w:val="Text1"/>
    <w:pPr>
      <w:numPr>
        <w:ilvl w:val="1"/>
        <w:numId w:val="7"/>
      </w:numPr>
    </w:pPr>
  </w:style>
  <w:style w:type="paragraph" w:customStyle="1" w:styleId="ListDash1Level3">
    <w:name w:val="List Dash 1 (Level 3)"/>
    <w:basedOn w:val="Text1"/>
    <w:semiHidden/>
    <w:unhideWhenUsed/>
    <w:pPr>
      <w:numPr>
        <w:ilvl w:val="2"/>
        <w:numId w:val="7"/>
      </w:numPr>
    </w:pPr>
  </w:style>
  <w:style w:type="paragraph" w:customStyle="1" w:styleId="ListDash1Level4">
    <w:name w:val="List Dash 1 (Level 4)"/>
    <w:basedOn w:val="Text1"/>
    <w:semiHidden/>
    <w:unhideWhenUsed/>
    <w:pPr>
      <w:numPr>
        <w:ilvl w:val="3"/>
        <w:numId w:val="7"/>
      </w:numPr>
    </w:pPr>
  </w:style>
  <w:style w:type="paragraph" w:customStyle="1" w:styleId="ListDash2">
    <w:name w:val="List Dash 2"/>
    <w:basedOn w:val="Text2"/>
    <w:pPr>
      <w:numPr>
        <w:numId w:val="6"/>
      </w:numPr>
    </w:pPr>
  </w:style>
  <w:style w:type="paragraph" w:customStyle="1" w:styleId="ListDash2Level2">
    <w:name w:val="List Dash 2 (Level 2)"/>
    <w:basedOn w:val="Text2"/>
    <w:pPr>
      <w:numPr>
        <w:ilvl w:val="1"/>
        <w:numId w:val="6"/>
      </w:numPr>
    </w:pPr>
  </w:style>
  <w:style w:type="paragraph" w:customStyle="1" w:styleId="ListDash2Level3">
    <w:name w:val="List Dash 2 (Level 3)"/>
    <w:basedOn w:val="Text2"/>
    <w:semiHidden/>
    <w:unhideWhenUsed/>
    <w:pPr>
      <w:numPr>
        <w:ilvl w:val="2"/>
        <w:numId w:val="6"/>
      </w:numPr>
    </w:pPr>
  </w:style>
  <w:style w:type="paragraph" w:customStyle="1" w:styleId="ListDash2Level4">
    <w:name w:val="List Dash 2 (Level 4)"/>
    <w:basedOn w:val="Text2"/>
    <w:semiHidden/>
    <w:unhideWhenUsed/>
    <w:pPr>
      <w:numPr>
        <w:ilvl w:val="3"/>
        <w:numId w:val="6"/>
      </w:numPr>
    </w:pPr>
  </w:style>
  <w:style w:type="paragraph" w:customStyle="1" w:styleId="ListDash3">
    <w:name w:val="List Dash 3"/>
    <w:basedOn w:val="Text3"/>
    <w:pPr>
      <w:numPr>
        <w:numId w:val="5"/>
      </w:numPr>
    </w:pPr>
  </w:style>
  <w:style w:type="paragraph" w:customStyle="1" w:styleId="ListDash3Level2">
    <w:name w:val="List Dash 3 (Level 2)"/>
    <w:basedOn w:val="Text3"/>
    <w:pPr>
      <w:numPr>
        <w:ilvl w:val="1"/>
        <w:numId w:val="5"/>
      </w:numPr>
    </w:pPr>
  </w:style>
  <w:style w:type="paragraph" w:customStyle="1" w:styleId="ListDash3Level3">
    <w:name w:val="List Dash 3 (Level 3)"/>
    <w:basedOn w:val="Text3"/>
    <w:semiHidden/>
    <w:unhideWhenUsed/>
    <w:pPr>
      <w:numPr>
        <w:ilvl w:val="2"/>
        <w:numId w:val="5"/>
      </w:numPr>
    </w:pPr>
  </w:style>
  <w:style w:type="paragraph" w:customStyle="1" w:styleId="ListDash3Level4">
    <w:name w:val="List Dash 3 (Level 4)"/>
    <w:basedOn w:val="Text3"/>
    <w:semiHidden/>
    <w:unhideWhenUsed/>
    <w:pPr>
      <w:numPr>
        <w:ilvl w:val="3"/>
        <w:numId w:val="5"/>
      </w:numPr>
    </w:pPr>
  </w:style>
  <w:style w:type="paragraph" w:customStyle="1" w:styleId="ListDash4">
    <w:name w:val="List Dash 4"/>
    <w:basedOn w:val="Text4"/>
    <w:pPr>
      <w:numPr>
        <w:numId w:val="4"/>
      </w:numPr>
    </w:pPr>
  </w:style>
  <w:style w:type="paragraph" w:customStyle="1" w:styleId="ListDash4Level2">
    <w:name w:val="List Dash 4 (Level 2)"/>
    <w:basedOn w:val="Text4"/>
    <w:pPr>
      <w:numPr>
        <w:ilvl w:val="1"/>
        <w:numId w:val="4"/>
      </w:numPr>
    </w:pPr>
  </w:style>
  <w:style w:type="paragraph" w:customStyle="1" w:styleId="ListDash4Level3">
    <w:name w:val="List Dash 4 (Level 3)"/>
    <w:basedOn w:val="Text4"/>
    <w:semiHidden/>
    <w:unhideWhenUsed/>
    <w:pPr>
      <w:numPr>
        <w:ilvl w:val="2"/>
        <w:numId w:val="4"/>
      </w:numPr>
    </w:pPr>
  </w:style>
  <w:style w:type="paragraph" w:customStyle="1" w:styleId="ListDash4Level4">
    <w:name w:val="List Dash 4 (Level 4)"/>
    <w:basedOn w:val="Text4"/>
    <w:semiHidden/>
    <w:unhideWhenUsed/>
    <w:pPr>
      <w:numPr>
        <w:ilvl w:val="3"/>
        <w:numId w:val="4"/>
      </w:numPr>
    </w:pPr>
  </w:style>
  <w:style w:type="paragraph" w:styleId="ListNumber">
    <w:name w:val="List Number"/>
    <w:basedOn w:val="Normal"/>
    <w:pPr>
      <w:numPr>
        <w:numId w:val="13"/>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semiHidden/>
    <w:unhideWhenUsed/>
    <w:pPr>
      <w:numPr>
        <w:ilvl w:val="2"/>
        <w:numId w:val="13"/>
      </w:numPr>
    </w:pPr>
  </w:style>
  <w:style w:type="paragraph" w:customStyle="1" w:styleId="ListNumberLevel4">
    <w:name w:val="List Number (Level 4)"/>
    <w:basedOn w:val="Normal"/>
    <w:semiHidden/>
    <w:unhideWhenUsed/>
    <w:pPr>
      <w:numPr>
        <w:ilvl w:val="3"/>
        <w:numId w:val="13"/>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semiHidden/>
    <w:unhideWhenUsed/>
    <w:pPr>
      <w:numPr>
        <w:ilvl w:val="2"/>
        <w:numId w:val="12"/>
      </w:numPr>
    </w:pPr>
  </w:style>
  <w:style w:type="paragraph" w:customStyle="1" w:styleId="ListNumber1Level4">
    <w:name w:val="List Number 1 (Level 4)"/>
    <w:basedOn w:val="Text1"/>
    <w:semiHidden/>
    <w:unhideWhenUsed/>
    <w:pPr>
      <w:numPr>
        <w:ilvl w:val="3"/>
        <w:numId w:val="12"/>
      </w:numPr>
    </w:pPr>
  </w:style>
  <w:style w:type="paragraph" w:styleId="ListNumber2">
    <w:name w:val="List Number 2"/>
    <w:basedOn w:val="Text2"/>
    <w:pPr>
      <w:numPr>
        <w:numId w:val="11"/>
      </w:numPr>
    </w:pPr>
  </w:style>
  <w:style w:type="paragraph" w:customStyle="1" w:styleId="ListNumber2Level2">
    <w:name w:val="List Number 2 (Level 2)"/>
    <w:basedOn w:val="Text2"/>
    <w:pPr>
      <w:numPr>
        <w:ilvl w:val="1"/>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4">
    <w:name w:val="List Number 2 (Level 4)"/>
    <w:basedOn w:val="Text2"/>
    <w:semiHidden/>
    <w:unhideWhenUsed/>
    <w:pPr>
      <w:numPr>
        <w:ilvl w:val="3"/>
        <w:numId w:val="11"/>
      </w:numPr>
    </w:pPr>
  </w:style>
  <w:style w:type="paragraph" w:styleId="ListNumber3">
    <w:name w:val="List Number 3"/>
    <w:basedOn w:val="Text3"/>
    <w:pPr>
      <w:numPr>
        <w:numId w:val="10"/>
      </w:numPr>
    </w:pPr>
  </w:style>
  <w:style w:type="paragraph" w:customStyle="1" w:styleId="ListNumber3Level2">
    <w:name w:val="List Number 3 (Level 2)"/>
    <w:basedOn w:val="Text3"/>
    <w:pPr>
      <w:numPr>
        <w:ilvl w:val="1"/>
        <w:numId w:val="10"/>
      </w:numPr>
    </w:pPr>
  </w:style>
  <w:style w:type="paragraph" w:customStyle="1" w:styleId="ListNumber3Level3">
    <w:name w:val="List Number 3 (Level 3)"/>
    <w:basedOn w:val="Text3"/>
    <w:semiHidden/>
    <w:unhideWhenUsed/>
    <w:pPr>
      <w:numPr>
        <w:ilvl w:val="2"/>
        <w:numId w:val="10"/>
      </w:numPr>
    </w:pPr>
  </w:style>
  <w:style w:type="paragraph" w:customStyle="1" w:styleId="ListNumber3Level4">
    <w:name w:val="List Number 3 (Level 4)"/>
    <w:basedOn w:val="Text3"/>
    <w:semiHidden/>
    <w:unhideWhenUsed/>
    <w:pPr>
      <w:numPr>
        <w:ilvl w:val="3"/>
        <w:numId w:val="10"/>
      </w:numPr>
    </w:pPr>
  </w:style>
  <w:style w:type="paragraph" w:styleId="ListNumber4">
    <w:name w:val="List Number 4"/>
    <w:basedOn w:val="Text4"/>
    <w:pPr>
      <w:numPr>
        <w:numId w:val="9"/>
      </w:numPr>
    </w:pPr>
  </w:style>
  <w:style w:type="paragraph" w:customStyle="1" w:styleId="ListNumber4Level2">
    <w:name w:val="List Number 4 (Level 2)"/>
    <w:basedOn w:val="Text4"/>
    <w:pPr>
      <w:numPr>
        <w:ilvl w:val="1"/>
        <w:numId w:val="9"/>
      </w:numPr>
    </w:pPr>
  </w:style>
  <w:style w:type="paragraph" w:customStyle="1" w:styleId="ListNumber4Level3">
    <w:name w:val="List Number 4 (Level 3)"/>
    <w:basedOn w:val="Text4"/>
    <w:semiHidden/>
    <w:unhideWhenUsed/>
    <w:pPr>
      <w:numPr>
        <w:ilvl w:val="2"/>
        <w:numId w:val="9"/>
      </w:numPr>
    </w:pPr>
  </w:style>
  <w:style w:type="paragraph" w:customStyle="1" w:styleId="ListNumber4Level4">
    <w:name w:val="List Number 4 (Level 4)"/>
    <w:basedOn w:val="Text4"/>
    <w:semiHidden/>
    <w:unhideWhenUsed/>
    <w:pPr>
      <w:numPr>
        <w:ilvl w:val="3"/>
        <w:numId w:val="9"/>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20"/>
      </w:numPr>
      <w:spacing w:line="360" w:lineRule="auto"/>
    </w:pPr>
  </w:style>
  <w:style w:type="paragraph" w:customStyle="1" w:styleId="LegalNumPar2">
    <w:name w:val="LegalNumPar2"/>
    <w:basedOn w:val="Normal"/>
    <w:pPr>
      <w:numPr>
        <w:ilvl w:val="1"/>
        <w:numId w:val="20"/>
      </w:numPr>
      <w:spacing w:line="360" w:lineRule="auto"/>
    </w:pPr>
  </w:style>
  <w:style w:type="paragraph" w:customStyle="1" w:styleId="LegalNumPar3">
    <w:name w:val="LegalNumPar3"/>
    <w:basedOn w:val="Normal"/>
    <w:pPr>
      <w:numPr>
        <w:ilvl w:val="2"/>
        <w:numId w:val="20"/>
      </w:numPr>
      <w:spacing w:line="360" w:lineRule="auto"/>
    </w:pPr>
  </w:style>
  <w:style w:type="paragraph" w:styleId="NoteHeading">
    <w:name w:val="Note Heading"/>
    <w:basedOn w:val="Normal"/>
    <w:next w:val="Normal"/>
  </w:style>
  <w:style w:type="paragraph" w:customStyle="1" w:styleId="NoteHead">
    <w:name w:val="NoteHead"/>
    <w:basedOn w:val="Normal"/>
    <w:uiPriority w:val="99"/>
    <w:pPr>
      <w:spacing w:before="720" w:after="720"/>
      <w:contextualSpacing/>
      <w:jc w:val="center"/>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Column">
    <w:name w:val="NoteColumn"/>
    <w:basedOn w:val="Normal"/>
    <w:pPr>
      <w:tabs>
        <w:tab w:val="left" w:pos="850"/>
        <w:tab w:val="left" w:pos="1570"/>
        <w:tab w:val="left" w:pos="5102"/>
        <w:tab w:val="left" w:pos="5822"/>
      </w:tabs>
      <w:spacing w:after="720"/>
      <w:ind w:left="850"/>
      <w:contextualSpacing/>
      <w:jc w:val="left"/>
    </w:pPr>
    <w:rPr>
      <w:b/>
      <w:smallCaps/>
    </w:rPr>
  </w:style>
  <w:style w:type="paragraph" w:customStyle="1" w:styleId="YReferences">
    <w:name w:val="YReferences"/>
    <w:basedOn w:val="Normal"/>
    <w:uiPriority w:val="99"/>
    <w:pPr>
      <w:spacing w:after="480"/>
      <w:ind w:left="1531" w:hanging="1531"/>
      <w:contextualSpacing/>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TypedudocumentChar">
    <w:name w:val="Type du document Char"/>
    <w:link w:val="Typedudocument"/>
    <w:rPr>
      <w:b/>
      <w:szCs w:val="24"/>
      <w:lang w:eastAsia="en-GB"/>
    </w:rPr>
  </w:style>
  <w:style w:type="character" w:customStyle="1" w:styleId="FooterSensitivityChar">
    <w:name w:val="Footer Sensitivity 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link w:val="HeaderSensitivityRight"/>
    <w:rPr>
      <w:sz w:val="28"/>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r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link w:val="CommentSubject"/>
    <w:semiHidden/>
    <w:rPr>
      <w:b/>
      <w:bCs/>
      <w:sz w:val="20"/>
    </w:rPr>
  </w:style>
  <w:style w:type="paragraph" w:styleId="Revision">
    <w:name w:val="Revision"/>
    <w:hidden/>
    <w:semiHidden/>
    <w:lock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11867">
      <w:bodyDiv w:val="1"/>
      <w:marLeft w:val="0"/>
      <w:marRight w:val="0"/>
      <w:marTop w:val="0"/>
      <w:marBottom w:val="0"/>
      <w:divBdr>
        <w:top w:val="none" w:sz="0" w:space="0" w:color="auto"/>
        <w:left w:val="none" w:sz="0" w:space="0" w:color="auto"/>
        <w:bottom w:val="none" w:sz="0" w:space="0" w:color="auto"/>
        <w:right w:val="none" w:sz="0" w:space="0" w:color="auto"/>
      </w:divBdr>
    </w:div>
    <w:div w:id="188894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yperlink" Target="https://eur-lex.europa.eu/legal-content/LV/TXT/?uri=CELEX:52014XC0628(01)" TargetMode="External"/><Relationship Id="rId3" Type="http://schemas.openxmlformats.org/officeDocument/2006/relationships/customXml" Target="../customXml/item3.xml"/><Relationship Id="rId21" Type="http://schemas.openxmlformats.org/officeDocument/2006/relationships/hyperlink" Target="https://eur-lex.europa.eu/legal-content/LV/TXT/?uri=CELEX:52014XC0122(04)"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eur-lex.europa.eu/legal-content/LV/TXT/?uri=CELEX:52013XC0723(03)"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lex.europa.eu/legal-content/LV/TXT/?uri=CELEX:52013XC0723(03)" TargetMode="External"/><Relationship Id="rId29" Type="http://schemas.openxmlformats.org/officeDocument/2006/relationships/hyperlink" Target="http://eur-lex.europa.eu/legal-content/LV/TXT/?uri=OJ:C:2014:198:T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c.europa.eu/info/sites/info/files/better-regulation-guidelines-evaluation-fitness-checks.pdf"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ur-lex.europa.eu/legal-content/EN/TXT/?uri=uriserv:OJ.C_.2014.249.01.0001.01.ENG" TargetMode="External"/><Relationship Id="rId28" Type="http://schemas.openxmlformats.org/officeDocument/2006/relationships/hyperlink" Target="https://eur-lex.europa.eu/legal-content/EN/TXT/?uri=uriserv:OJ.C_.2014.249.01.0001.01.ENG"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eur-lex.europa.eu/legal-content/LV/TXT/?uri=CELEX:52014XC0628(01)" TargetMode="External"/><Relationship Id="rId27" Type="http://schemas.openxmlformats.org/officeDocument/2006/relationships/hyperlink" Target="https://eur-lex.europa.eu/legal-content/LV/TXT/?uri=CELEX:52014XC0628(01)" TargetMode="Externa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uthor Role="Creator" AuthorRoleName="Signatory" AuthorRoleId="dd422d74-d41f-4095-8cb8-8304a90a6b0c">
  <Id>b90277d7-09df-425c-85f7-acf1c02f825d</Id>
  <Names>
    <Latin>
      <FirstName>Margrethe</FirstName>
      <LastName>Vestager</LastName>
    </Latin>
    <Greek>
      <FirstName/>
      <LastName/>
    </Greek>
    <Cyrillic>
      <FirstName/>
      <LastName/>
    </Cyrillic>
    <DocumentScript>
      <FirstName>Margrethe</FirstName>
      <LastName>Vestager</LastName>
      <FullName>Margrethe Vestager</FullName>
    </DocumentScript>
  </Names>
  <Initials>MV</Initials>
  <Gender>f</Gender>
  <Email>Margrethe.VESTAGER@ec.europa.eu</Email>
  <Service>CA.3</Service>
  <Function ADCode="36" ShowInSignature="false" ShowInHeader="true" HeaderText="Vice-President">Vice-President of the Commission</Function>
  <WebAddress/>
  <InheritedWebAddress>WebAddress</InheritedWebAddress>
  <OrgaEntity1>
    <Id>98d7ceac-d627-48f2-a7dd-5956e94b0969</Id>
    <LogicalLevel>1</LogicalLevel>
    <Name>COLLÈGE</Name>
    <HeadLine1>COLLÈGE</HeadLine1>
    <HeadLine2/>
    <PrimaryAddressId>f03b5801-04c9-4931-aa17-c6d6c70bc579</PrimaryAddressId>
    <SecondaryAddressId/>
    <WebAddress>WebAddress</WebAddress>
    <InheritedWebAddress>WebAddress</InheritedWebAddress>
    <ShowInHeader>false</ShowInHeader>
  </OrgaEntity1>
  <OrgaEntity2>
    <Id>4d209a82-6f4c-4c38-9be2-45c502eddf29</Id>
    <LogicalLevel>2</LogicalLevel>
    <Name>CA.3</Name>
    <HeadLine1>Margrethe Vestager</HeadLine1>
    <HeadLine2/>
    <PrimaryAddressId>f03b5801-04c9-4931-aa17-c6d6c70bc579</PrimaryAddressId>
    <SecondaryAddressId/>
    <WebAddress/>
    <InheritedWebAddress>WebAddress</InheritedWebAddress>
    <ShowInHeader>true</ShowInHeader>
  </OrgaEntity2>
  <OrgaEntity3>
    <Id>c75cc2ae-7a5b-4ca7-9251-abd05c4e5071</Id>
    <LogicalLevel>3</LogicalLevel>
    <Name>CA.3</Name>
    <HeadLine1>Executive Vice-President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+32 229-55136</Phone>
    <Office>BERL 12/078</Office>
  </MainWorkplace>
  <Workplaces>
    <Workplace IsMain="false">
      <AddressId>1264fb81-f6bb-475e-9f9d-a937d3be6ee2</AddressId>
      <Fax/>
      <Phone/>
      <Office/>
    </Workplace>
    <Workplace IsMain="true">
      <AddressId>f03b5801-04c9-4931-aa17-c6d6c70bc579</AddressId>
      <Fax/>
      <Phone>+32 229-55136</Phone>
      <Office>BERL 12/078</Office>
    </Workplace>
  </Workplaces>
</Author>
</file>

<file path=customXml/item2.xml><?xml version="1.0" encoding="utf-8"?>
<Texts>
  <OpeningMembersOfParliament2>Dear Mr/Mrs [name and surname],</OpeningMembersOfParliament2>
  <OpeningAmbassadors2>Excellency,</OpeningAmbassadors2>
  <SecurityPharma>Pharma Investigations</SecurityPharma>
  <MarkingUntilText>UNTIL</MarkingUntilText>
  <OpeningMinisters3>Excellency,</OpeningMinisters3>
  <SecurityMediationServiceMatter>Mediation Service</SecurityMediationServiceMatter>
  <OpeningIndividualsPlural>Dear Sir, </OpeningIndividualsPlural>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OpeningAmbassadors>Dear Ambassador,</OpeningAmbassador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ClosingSecretariesGeneral>I have the honour to be, Sir/Madam, Yours faithfully,</ClosingSecretariesGeneral>
  <NoteCopy>c.c.:</NoteCopy>
  <OpeningMinisters>Sir/Madam, </OpeningMinisters>
  <OpeningIndividualsLessFormal>Dear Mr/Ms/Dr [surname],</OpeningIndividualsLessFormal>
  <FooterOffice>Office:</FooterOffice>
  <SecurityOlafInvestigations>OLAF Investigations</SecurityOlafInvestigations>
  <ClosingHeadsOfGovernment2>I remain, Sir/Madam, yours faithfully, </ClosingHeadsOfGovernment2>
  <NoteReference>Ref.:</NoteReference>
  <Closing>Yours faithfully, </Closing>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ClosingMinisters2>I remain, Sir/Madam/your Excellency, yours faithfully,</ClosingMinisters2>
  <OpeningAmbassadors3>Excellency,</OpeningAmbassadors3>
  <SensitiveFootnoteHyperlink>{field:HYPERLINK "https://europa.eu/!db43PX" |https://europa.eu/!db43PX}</SensitiveFootnoteHyperlink>
  <ClosingAmbassadors2>Yours faithfully,</ClosingAmbassadors2>
  <SecurityOlafSpecialHandling>OLAF Investigations</SecurityOlafSpecialHandling>
  <NoteParticipants>Participants:</NoteParticipants>
  <ClosingMembersOfParliament2>Yours faithfully,</ClosingMembersOfParliament2>
  <ClimaSensitive>CLIMA</ClimaSensitive>
  <CourtProceduralDocuments>Court Procedural Documents</CourtProceduralDocuments>
  <ClosingPresidentsEUInst>Yours sincerely, </ClosingPresidentsEUInst>
  <OpeningPresidentsEUInst2>Dear President,</OpeningPresidentsEUInst2>
  <NoteParticipant>Participant:</NoteParticipant>
  <ClosingMinisters3>Yours faithfully, </ClosingMinisters3>
  <OpeningMinisters2>Dear Minister,</OpeningMinisters2>
  <OpeningMinisters4>Dear Mr/Ms [surname],</OpeningMinisters4>
  <EconomyFinanceHandling>{field:HYPERLINK "https://myintracomm.ec.europa.eu/corp/security/EN/newDS3/SensitiveInformation/Pages/SPECIAL-HANDLING-INFORMATION-DG-ECFIN.aspx?ln=en" |https://www.europa.eu/handling_instructions}</EconomyFinanceHandling>
  <OrgaRoot>EUROPEAN COMMISSION</OrgaRoot>
  <NoteCopies>c.c.:</NoteCopies>
  <ClosingAmbassadors>Yours sincerely,</ClosingAmbassadors>
  <ClosingMembersOfParliament>Yours sincerely,</ClosingMembersOfParliament>
  <NoteSubject>Subject:</NoteSubject>
  <Contact>Contact:</Contact>
  <SensitiveLabel>Sensitive</SensitiveLabel>
  <ClosingPresidentsEUInst3>Yours faithfully, </ClosingPresidentsEUInst3>
  <OLAFHandlingInstructions>{field:HYPERLINK "https://myintracomm.ec.europa.eu/corp/security/EN/newDS3/SensitiveInformation/Pages/SPECIAL-HANDLING-INFORMATION-OLAF-Investigations.aspx?ln=en" |https://www.europa.eu/handling_instructions}.</OLAFHandlingInstructions>
  <ClosingHeadsOfGovernment>Yours faithfully,</ClosingHeadsOfGovernment>
  <OpeningHeadsOfGovernment2>Excellency,</OpeningHeadsOfGovernment2>
  <SpecialHandlingLabel>Special Handling</SpecialHandlingLabel>
  <Closing2>Yours sincerely, </Closing2>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ClosingMinisters>Yours faithfully, </ClosingMinisters>
  <ClosingHeadsOfState>I have the honour to be, Sir/Madam, respectfully yours,</ClosingHeadsOfState>
  <SecurityStaffMatter>Staff Matter</SecurityStaffMatter>
  <SecurityOpinionLegalService>Opinion of the Legal Service</SecurityOpinionLegalService>
  <SpecialHandlingFootnote>Special handling instructions are given at </SpecialHandlingFootnote>
  <OpeningSecretariesGeneral>Sir/Madam,</OpeningSecretariesGeneral>
  <PharmaHandlingInstructions>{field:HYPERLINK "https://myintracomm.ec.europa.eu/corp/security/EN/newDS3/SensitiveInformation/Pages/SPECIAL-HANDLING-INFORMATION-Pharma-investigations.aspx?ln=en" |https://www.europa.eu/handling_instructions}</PharmaHandlingInstructions>
  <SecurityEtsSensitive>ETS</SecurityEtsSensitive>
  <OpeningHeadsOfState3>Excellency,</OpeningHeadsOfState3>
  <OpeningIndividualsFormal>Dear Sir / Dear Madam,</OpeningIndividualsFormal>
  <OpeningMembersOfParliament>Sir/Madam,</OpeningMembersOfParliament>
  <SecurityEtsCritical>ETS Critical</SecurityEtsCritical>
  <SecurityCompSpecial>COMP</SecurityCompSpecial>
  <OpeningPresidentsEUInst>Dear President,</OpeningPresidentsEUInst>
  <EmbargoUnlimited>Embargo (Unlimited)</EmbargoUnlimited>
  <SensitiveFootnoteHyperlinkIASOperations>Handling instructions for SENSITIVE information are given at {field: HYPERLINK "https://europa.eu/!db43PX" |https://europa.eu/!db43PX}.</SensitiveFootnoteHyperlinkIASOperations>
  <SecurityPharmaSpecial>Pharma Investigations</SecurityPharmaSpecial>
  <AddressFooterBrussels>Commission européenne/Europese Commissie, 1049 Bruxelles/Brussel, BELGIQUE/BELGIË - Tel. +32 22991111</AddressFooterBrussels>
  <ETSLimited>ETS Joint Procurement</ETSLimited>
  <SecurityIasOperations>IAS Operations</SecurityIasOperations>
  <OpeningHeadsOfState2>Mister/Madame President,</OpeningHeadsOfState2>
  <FooterPhone>Tel. direct line</FooterPhone>
  <OpeningHeadsOfGovernment>Dear Prime Minister/Chancellor,</OpeningHeadsOfGovernment>
  <SecuritySecurityMatter>Security Matter</SecuritySecurityMatter>
  <NoteEnclosures>Enclosures:</NoteEnclosures>
  <SecurityMedicalSecret>Medical Secret</SecurityMedicalSecret>
  <ClosingHeadsOfState2>I have the honour to be, Sir/Madam, most respectfully, </ClosingHeadsOfState2>
  <Contacts>Contacts:</Contacts>
  <ClosingPresidentsEUInst2>Yours faithfully, </ClosingPresidentsEUInst2>
  <OpeningHeadsOfState>President,</OpeningHeadsOfState>
  <SecurityEmbargo>EMBARGO UNTIL</SecurityEmbargo>
  <ClosingSecretariesGeneral2>Yours faithfully, </ClosingSecretariesGeneral2>
  <DateFormatShort>dd/MM/yyyy</DateFormatShort>
  <DateFormatLong>d MMMM yyyy</DateFormatLong>
</Texts>
</file>

<file path=customXml/item3.xml><?xml version="1.0" encoding="utf-8"?>
<Author AuthorRoleName="Writer" AuthorRoleId="a4fbaff4-b07c-48b4-a21e-e7b9eedf3796">
  <Id>2c2aebfc-6062-4a01-a3c9-219c6b0fb810</Id>
  <Names>
    <Latin>
      <FirstName>Ramona</FirstName>
      <LastName>IANUS</LastName>
    </Latin>
    <Greek>
      <FirstName/>
      <LastName/>
    </Greek>
    <Cyrillic>
      <FirstName/>
      <LastName/>
    </Cyrillic>
    <DocumentScript>
      <FirstName>Ramona</FirstName>
      <LastName>IANUS</LastName>
      <FullName>Ramona IANUS</FullName>
    </DocumentScript>
  </Names>
  <Initials>NR</Initials>
  <Gender>f</Gender>
  <Email>Natalia.REGULSKA@ec.europa.eu</Email>
  <Service>COMP.DDG3.03</Service>
  <Function ADCode="" ShowInSignature="true" ShowInHeader="false" HeaderText=""/>
  <WebAddress/>
  <InheritedWebAddress>WebAddress</InheritedWebAddress>
  <OrgaEntity1>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1>
  <OrgaEntity2>
    <Id>d1aed8c0-a797-4929-92b7-57b341116eee</Id>
    <LogicalLevel>2</LogicalLevel>
    <Name>COMP.DDG3</Name>
    <HeadLine1>Deputy Director General State aids</HeadLine1>
    <HeadLine2/>
    <PrimaryAddressId>f03b5801-04c9-4931-aa17-c6d6c70bc579</PrimaryAddressId>
    <SecondaryAddressId/>
    <WebAddress/>
    <InheritedWebAddress>WebAddress</InheritedWebAddress>
    <ShowInHeader>true</ShowInHeader>
  </OrgaEntity2>
  <OrgaEntity3>
    <Id>fd35acaa-84ad-4996-ab00-46f5e5874ae5</Id>
    <LogicalLevel>3</LogicalLevel>
    <Name>COMP.DDG3.03</Name>
    <HeadLine1>State aid Policy and Case Support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+32 229-52800</Phone>
    <Office>MADO 21/056</Office>
  </MainWorkplace>
  <Workplaces>
    <Workplace IsMain="false">
      <AddressId>1264fb81-f6bb-475e-9f9d-a937d3be6ee2</AddressId>
      <Fax/>
      <Phone/>
      <Office/>
    </Workplace>
    <Workplace IsMain="true">
      <AddressId>f03b5801-04c9-4931-aa17-c6d6c70bc579</AddressId>
      <Fax/>
      <Phone>+32 229-52800</Phone>
      <Office>MADO 21/056</Office>
    </Workplace>
  </Workplaces>
</Author>
</file>

<file path=customXml/item4.xml><?xml version="1.0" encoding="utf-8"?>
<EurolookProperties>
  <ProductCustomizationId>EC</ProductCustomizationId>
  <Created>
    <Version>10.0.40769.0</Version>
    <Date>2020-05-06T13:11:37</Date>
    <Language>EN</Language>
  </Created>
  <Edited>
    <Version>10.0.40769.0</Version>
    <Date>2020-07-01T17:03:49</Date>
  </Edited>
  <DocumentModel>
    <Id>a68dca3e-24ca-4dba-8741-3c79d129d370</Id>
    <Name>Letter</Name>
  </DocumentModel>
  <DocumentDate>2020-05-06T13:11:37</DocumentDate>
  <DocumentVersion>0.1</DocumentVersion>
  <CompatibilityMode>Eurolook10</CompatibilityMode>
  <Address/>
</EurolookProperti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3D8822-4893-4F1F-B976-689426499F21}">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C7F1FA5-DF13-43C0-B441-C155471F44DB}">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CC7FFA62-82DC-4A71-902B-F57FF38A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1462</Words>
  <Characters>9563</Characters>
  <Application>Microsoft Office Word</Application>
  <DocSecurity>0</DocSecurity>
  <PresentationFormat>Microsoft Word 14.0</PresentationFormat>
  <Lines>177</Lines>
  <Paragraphs>69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10956</CharactersWithSpaces>
  <SharedDoc>false</SharedDoc>
  <HLinks>
    <vt:vector size="60" baseType="variant">
      <vt:variant>
        <vt:i4>1769498</vt:i4>
      </vt:variant>
      <vt:variant>
        <vt:i4>27</vt:i4>
      </vt:variant>
      <vt:variant>
        <vt:i4>0</vt:i4>
      </vt:variant>
      <vt:variant>
        <vt:i4>5</vt:i4>
      </vt:variant>
      <vt:variant>
        <vt:lpwstr>http://eur-lex.europa.eu/legal-content/EN/TXT/?uri=OJ:C:2014:198:TOC</vt:lpwstr>
      </vt:variant>
      <vt:variant>
        <vt:lpwstr/>
      </vt:variant>
      <vt:variant>
        <vt:i4>5242984</vt:i4>
      </vt:variant>
      <vt:variant>
        <vt:i4>24</vt:i4>
      </vt:variant>
      <vt:variant>
        <vt:i4>0</vt:i4>
      </vt:variant>
      <vt:variant>
        <vt:i4>5</vt:i4>
      </vt:variant>
      <vt:variant>
        <vt:lpwstr>https://eur-lex.europa.eu/legal-content/EN/TXT/?uri=uriserv:OJ.C_.2014.249.01.0001.01.ENG</vt:lpwstr>
      </vt:variant>
      <vt:variant>
        <vt:lpwstr/>
      </vt:variant>
      <vt:variant>
        <vt:i4>7340078</vt:i4>
      </vt:variant>
      <vt:variant>
        <vt:i4>21</vt:i4>
      </vt:variant>
      <vt:variant>
        <vt:i4>0</vt:i4>
      </vt:variant>
      <vt:variant>
        <vt:i4>5</vt:i4>
      </vt:variant>
      <vt:variant>
        <vt:lpwstr>https://eur-lex.europa.eu/legal-content/EN/ALL/?uri=CELEX%3A52014XC0628%2801%29</vt:lpwstr>
      </vt:variant>
      <vt:variant>
        <vt:lpwstr/>
      </vt:variant>
      <vt:variant>
        <vt:i4>7340078</vt:i4>
      </vt:variant>
      <vt:variant>
        <vt:i4>18</vt:i4>
      </vt:variant>
      <vt:variant>
        <vt:i4>0</vt:i4>
      </vt:variant>
      <vt:variant>
        <vt:i4>5</vt:i4>
      </vt:variant>
      <vt:variant>
        <vt:lpwstr>https://eur-lex.europa.eu/legal-content/EN/ALL/?uri=CELEX%3A52014XC0628%2801%29</vt:lpwstr>
      </vt:variant>
      <vt:variant>
        <vt:lpwstr/>
      </vt:variant>
      <vt:variant>
        <vt:i4>8323127</vt:i4>
      </vt:variant>
      <vt:variant>
        <vt:i4>15</vt:i4>
      </vt:variant>
      <vt:variant>
        <vt:i4>0</vt:i4>
      </vt:variant>
      <vt:variant>
        <vt:i4>5</vt:i4>
      </vt:variant>
      <vt:variant>
        <vt:lpwstr>https://eur-lex.europa.eu/legal-content/EN/TXT/?uri=CELEX%3A52013XC0723%2803%29</vt:lpwstr>
      </vt:variant>
      <vt:variant>
        <vt:lpwstr/>
      </vt:variant>
      <vt:variant>
        <vt:i4>524310</vt:i4>
      </vt:variant>
      <vt:variant>
        <vt:i4>12</vt:i4>
      </vt:variant>
      <vt:variant>
        <vt:i4>0</vt:i4>
      </vt:variant>
      <vt:variant>
        <vt:i4>5</vt:i4>
      </vt:variant>
      <vt:variant>
        <vt:lpwstr>https://ec.europa.eu/info/sites/info/files/better-regulation-guidelines-evaluation-fitness-checks.pdf</vt:lpwstr>
      </vt:variant>
      <vt:variant>
        <vt:lpwstr/>
      </vt:variant>
      <vt:variant>
        <vt:i4>5242984</vt:i4>
      </vt:variant>
      <vt:variant>
        <vt:i4>9</vt:i4>
      </vt:variant>
      <vt:variant>
        <vt:i4>0</vt:i4>
      </vt:variant>
      <vt:variant>
        <vt:i4>5</vt:i4>
      </vt:variant>
      <vt:variant>
        <vt:lpwstr>https://eur-lex.europa.eu/legal-content/EN/TXT/?uri=uriserv:OJ.C_.2014.249.01.0001.01.ENG</vt:lpwstr>
      </vt:variant>
      <vt:variant>
        <vt:lpwstr/>
      </vt:variant>
      <vt:variant>
        <vt:i4>7340078</vt:i4>
      </vt:variant>
      <vt:variant>
        <vt:i4>6</vt:i4>
      </vt:variant>
      <vt:variant>
        <vt:i4>0</vt:i4>
      </vt:variant>
      <vt:variant>
        <vt:i4>5</vt:i4>
      </vt:variant>
      <vt:variant>
        <vt:lpwstr>https://eur-lex.europa.eu/legal-content/EN/ALL/?uri=CELEX%3A52014XC0628%2801%29</vt:lpwstr>
      </vt:variant>
      <vt:variant>
        <vt:lpwstr/>
      </vt:variant>
      <vt:variant>
        <vt:i4>786439</vt:i4>
      </vt:variant>
      <vt:variant>
        <vt:i4>3</vt:i4>
      </vt:variant>
      <vt:variant>
        <vt:i4>0</vt:i4>
      </vt:variant>
      <vt:variant>
        <vt:i4>5</vt:i4>
      </vt:variant>
      <vt:variant>
        <vt:lpwstr>https://eur-lex.europa.eu/legal-content/EN/ALL/?uri=CELEX:52014XC0122(04)</vt:lpwstr>
      </vt:variant>
      <vt:variant>
        <vt:lpwstr/>
      </vt:variant>
      <vt:variant>
        <vt:i4>8323127</vt:i4>
      </vt:variant>
      <vt:variant>
        <vt:i4>0</vt:i4>
      </vt:variant>
      <vt:variant>
        <vt:i4>0</vt:i4>
      </vt:variant>
      <vt:variant>
        <vt:i4>5</vt:i4>
      </vt:variant>
      <vt:variant>
        <vt:lpwstr>https://eur-lex.europa.eu/legal-content/EN/TXT/?uri=CELEX%3A52013XC0723%2803%29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2020-06-30T12:55:00Z</dcterms:created>
  <dcterms:modified xsi:type="dcterms:W3CDTF">2020-07-02T06:41:00Z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CP-001</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ELDocType">
    <vt:lpwstr>not.dot</vt:lpwstr>
  </property>
  <property name="OP_sanitized" fmtid="{D5CDD505-2E9C-101B-9397-08002B2CF9AE}" pid="11">
    <vt:lpwstr>True</vt:lpwstr>
  </property>
</Properties>
</file>