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19B34" w14:textId="0F7EF825" w:rsidR="00DE1888" w:rsidRPr="00951305" w:rsidRDefault="00CA0AA8" w:rsidP="00CA0AA8">
      <w:pPr>
        <w:pStyle w:val="Pagedecouverture"/>
        <w:rPr>
          <w:noProof/>
        </w:rPr>
      </w:pPr>
      <w:bookmarkStart w:id="0" w:name="LW_BM_COVERPAGE"/>
      <w:r>
        <w:rPr>
          <w:noProof/>
        </w:rPr>
        <w:pict w14:anchorId="2D6129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DC7AF91A-819A-4CE3-B1BE-309DD7C516DB" style="width:455.25pt;height:327.75pt">
            <v:imagedata r:id="rId11" o:title=""/>
          </v:shape>
        </w:pict>
      </w:r>
    </w:p>
    <w:bookmarkEnd w:id="0"/>
    <w:p w14:paraId="7BF713AD" w14:textId="77777777" w:rsidR="00DE1888" w:rsidRPr="00951305" w:rsidRDefault="00DE1888" w:rsidP="00DE1888">
      <w:pPr>
        <w:rPr>
          <w:noProof/>
        </w:rPr>
        <w:sectPr w:rsidR="00DE1888" w:rsidRPr="00951305" w:rsidSect="00CA0AA8">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35CC6D4B" w14:textId="77777777" w:rsidR="00A24F29" w:rsidRPr="00951305" w:rsidRDefault="00A24F29" w:rsidP="00AF79FB">
      <w:pPr>
        <w:pStyle w:val="ListParagraph"/>
        <w:widowControl w:val="0"/>
        <w:numPr>
          <w:ilvl w:val="0"/>
          <w:numId w:val="2"/>
        </w:numPr>
        <w:tabs>
          <w:tab w:val="left" w:pos="1983"/>
          <w:tab w:val="left" w:pos="4007"/>
          <w:tab w:val="left" w:pos="5429"/>
          <w:tab w:val="left" w:pos="6146"/>
          <w:tab w:val="left" w:pos="7983"/>
          <w:tab w:val="left" w:pos="8711"/>
        </w:tabs>
        <w:autoSpaceDE w:val="0"/>
        <w:autoSpaceDN w:val="0"/>
        <w:spacing w:before="120" w:after="120" w:line="240" w:lineRule="auto"/>
        <w:ind w:hanging="295"/>
        <w:contextualSpacing w:val="0"/>
        <w:jc w:val="both"/>
        <w:outlineLvl w:val="0"/>
        <w:rPr>
          <w:rFonts w:ascii="Times New Roman" w:eastAsia="Times New Roman" w:hAnsi="Times New Roman" w:cs="Times New Roman"/>
          <w:b/>
          <w:bCs/>
          <w:noProof/>
          <w:spacing w:val="-2"/>
          <w:kern w:val="0"/>
          <w14:ligatures w14:val="none"/>
        </w:rPr>
      </w:pPr>
      <w:bookmarkStart w:id="1" w:name="_GoBack"/>
      <w:bookmarkEnd w:id="1"/>
      <w:r>
        <w:rPr>
          <w:rFonts w:ascii="Times New Roman" w:hAnsi="Times New Roman"/>
          <w:b/>
          <w:noProof/>
        </w:rPr>
        <w:lastRenderedPageBreak/>
        <w:t>IEVADS</w:t>
      </w:r>
    </w:p>
    <w:p w14:paraId="7EFBC940" w14:textId="11891434" w:rsidR="003E3956" w:rsidRPr="00951305" w:rsidRDefault="00933597" w:rsidP="00AF79FB">
      <w:pPr>
        <w:pStyle w:val="ListParagraph"/>
        <w:widowControl w:val="0"/>
        <w:numPr>
          <w:ilvl w:val="0"/>
          <w:numId w:val="1"/>
        </w:numPr>
        <w:autoSpaceDE w:val="0"/>
        <w:autoSpaceDN w:val="0"/>
        <w:spacing w:before="120" w:after="120" w:line="240" w:lineRule="auto"/>
        <w:ind w:left="992" w:hanging="499"/>
        <w:contextualSpacing w:val="0"/>
        <w:jc w:val="both"/>
        <w:rPr>
          <w:rFonts w:ascii="Times New Roman" w:eastAsia="Times New Roman" w:hAnsi="Times New Roman" w:cs="Times New Roman"/>
          <w:noProof/>
          <w:kern w:val="0"/>
          <w14:ligatures w14:val="none"/>
        </w:rPr>
      </w:pPr>
      <w:r>
        <w:rPr>
          <w:rFonts w:ascii="Times New Roman" w:hAnsi="Times New Roman"/>
          <w:noProof/>
        </w:rPr>
        <w:t>Pēdējos desmit gados digitālajos tirgos ietekmes koncentrācija ir arvien izteiktāka. Internetā, kas daudziem šķita esam brīva telpa, šobrīd dominē atsevišķi dalībnieki – pavisam neliela digitālo vārtziņu grupa kontrolē lielas ekosistēmas. Ir parādījušās vārtziņa pozīcijas, kas palielina risku, ka attieksme pret komerciālajiem lietotājiem un galalietotājiem nebūs taisnīga un ka būs nopietni apdraudēts tirgus sāncensīgums daudzu digitālo pakalpojumu sniegšanā.</w:t>
      </w:r>
    </w:p>
    <w:p w14:paraId="6FEFE781" w14:textId="049B2A2A" w:rsidR="0085507A" w:rsidRPr="00951305" w:rsidRDefault="00933597" w:rsidP="00AF79FB">
      <w:pPr>
        <w:pStyle w:val="ListParagraph"/>
        <w:widowControl w:val="0"/>
        <w:numPr>
          <w:ilvl w:val="0"/>
          <w:numId w:val="1"/>
        </w:numPr>
        <w:autoSpaceDE w:val="0"/>
        <w:autoSpaceDN w:val="0"/>
        <w:spacing w:before="120" w:after="120" w:line="240" w:lineRule="auto"/>
        <w:ind w:left="992" w:hanging="499"/>
        <w:contextualSpacing w:val="0"/>
        <w:jc w:val="both"/>
        <w:rPr>
          <w:rFonts w:ascii="Times New Roman" w:eastAsia="Times New Roman" w:hAnsi="Times New Roman" w:cs="Times New Roman"/>
          <w:noProof/>
          <w:kern w:val="0"/>
          <w14:ligatures w14:val="none"/>
        </w:rPr>
      </w:pPr>
      <w:r>
        <w:rPr>
          <w:rFonts w:ascii="Times New Roman" w:hAnsi="Times New Roman"/>
          <w:noProof/>
        </w:rPr>
        <w:t>Digitālo tirgu akta (“DTA”)</w:t>
      </w:r>
      <w:r>
        <w:rPr>
          <w:rStyle w:val="FootnoteReference"/>
          <w:rFonts w:ascii="Times New Roman" w:eastAsia="Times New Roman" w:hAnsi="Times New Roman" w:cs="Times New Roman"/>
          <w:noProof/>
          <w:kern w:val="0"/>
        </w:rPr>
        <w:footnoteReference w:id="1"/>
      </w:r>
      <w:r>
        <w:rPr>
          <w:rFonts w:ascii="Times New Roman" w:hAnsi="Times New Roman"/>
          <w:noProof/>
        </w:rPr>
        <w:t xml:space="preserve"> mērķis ir novērst šādu negodīgu rīcību un palielināt tirgus sāncensīgumu digitālajos tirgos. Tas rada lielākas inovāciju iespējas uzņēmumiem, kas piedāvā pakalpojumus ES, un lielākas izvēles iespējas patērētājiem.</w:t>
      </w:r>
    </w:p>
    <w:p w14:paraId="38F86538" w14:textId="7066316C" w:rsidR="00990A6F" w:rsidRPr="00951305" w:rsidRDefault="000D4DDE" w:rsidP="00AF79FB">
      <w:pPr>
        <w:pStyle w:val="ListParagraph"/>
        <w:widowControl w:val="0"/>
        <w:numPr>
          <w:ilvl w:val="0"/>
          <w:numId w:val="1"/>
        </w:numPr>
        <w:autoSpaceDE w:val="0"/>
        <w:autoSpaceDN w:val="0"/>
        <w:spacing w:before="120" w:after="120" w:line="240" w:lineRule="auto"/>
        <w:ind w:left="992" w:hanging="499"/>
        <w:contextualSpacing w:val="0"/>
        <w:jc w:val="both"/>
        <w:rPr>
          <w:rFonts w:ascii="Times New Roman" w:eastAsia="Times New Roman" w:hAnsi="Times New Roman" w:cs="Times New Roman"/>
          <w:noProof/>
          <w:kern w:val="0"/>
          <w14:ligatures w14:val="none"/>
        </w:rPr>
      </w:pPr>
      <w:r>
        <w:rPr>
          <w:rFonts w:ascii="Times New Roman" w:hAnsi="Times New Roman"/>
          <w:noProof/>
        </w:rPr>
        <w:t>Komisijas DTA darbības 2025. gadā bija vērstas uz tā stingru izpildi, kā tas ir bijis kopš regulas stāšanās spēkā 2023. gadā. Lai gan 2023. un 2024. gadā veiktās darbības bija vērstas uz Digitālo tirgu akta īstenošanas sākšanu, pirmo vārtziņu noteikšanu un regulatīvo dialogu sākšanu ar tiem un lai gan dažus rezultātus jau varēja redzēt, tikai 2025. gadā sāka īstenoties daudzi praktiski ieguvumi komerciālajiem lietotājiem un galalietotājiem. Piemēram, lai uzlabotu sadarbspēju visiem lietotājiem, Komisija 2025. gadā izdeva divus specifikācijas lēmumus attiecībā uz “</w:t>
      </w:r>
      <w:r>
        <w:rPr>
          <w:rFonts w:ascii="Times New Roman" w:hAnsi="Times New Roman"/>
          <w:i/>
          <w:iCs/>
          <w:noProof/>
        </w:rPr>
        <w:t>Apple</w:t>
      </w:r>
      <w:r>
        <w:rPr>
          <w:rFonts w:ascii="Times New Roman" w:hAnsi="Times New Roman"/>
          <w:noProof/>
        </w:rPr>
        <w:t xml:space="preserve">”. Minētajos lēmumos ir izklāstīti nosacījumi savienotu ierīču, piemēram, viedpulksteņu vai citu valkājamu ierīču, sadarbspējai ar </w:t>
      </w:r>
      <w:r>
        <w:rPr>
          <w:rFonts w:ascii="Times New Roman" w:hAnsi="Times New Roman"/>
          <w:i/>
          <w:iCs/>
          <w:noProof/>
        </w:rPr>
        <w:t>iOS</w:t>
      </w:r>
      <w:r>
        <w:rPr>
          <w:rFonts w:ascii="Times New Roman" w:hAnsi="Times New Roman"/>
          <w:noProof/>
        </w:rPr>
        <w:t xml:space="preserve"> un process, kā trešās personas var pieprasīt šādu sadarbspēju. Regulatīvais dialogs ar vārtziņiem arī palīdzēja atvērt mobilās ekosistēmas, piemēram, nodrošinot labākus izvēles ekrānus tīmekļa pārlūkprogrammām un tiešsaistes meklētājprogrammām.</w:t>
      </w:r>
    </w:p>
    <w:p w14:paraId="362917F4" w14:textId="575106EF" w:rsidR="002D095C" w:rsidRPr="00951305" w:rsidRDefault="004B6BCA" w:rsidP="00AF79FB">
      <w:pPr>
        <w:pStyle w:val="ListParagraph"/>
        <w:widowControl w:val="0"/>
        <w:numPr>
          <w:ilvl w:val="0"/>
          <w:numId w:val="1"/>
        </w:numPr>
        <w:autoSpaceDE w:val="0"/>
        <w:autoSpaceDN w:val="0"/>
        <w:spacing w:before="120" w:after="120" w:line="240" w:lineRule="auto"/>
        <w:ind w:left="992" w:hanging="499"/>
        <w:contextualSpacing w:val="0"/>
        <w:jc w:val="both"/>
        <w:rPr>
          <w:rFonts w:ascii="Times New Roman" w:eastAsia="Times New Roman" w:hAnsi="Times New Roman" w:cs="Times New Roman"/>
          <w:noProof/>
          <w:kern w:val="0"/>
          <w14:ligatures w14:val="none"/>
        </w:rPr>
      </w:pPr>
      <w:r>
        <w:rPr>
          <w:rFonts w:ascii="Times New Roman" w:hAnsi="Times New Roman"/>
          <w:noProof/>
        </w:rPr>
        <w:t>Šajā ziņojumā ir uzsvērtas Komisijas darbības 2025. gadā, jo īpaši rezultāti, kas gūti regulatīvajos dialogos un citās izpildes darbībās</w:t>
      </w:r>
      <w:r>
        <w:rPr>
          <w:rFonts w:ascii="Times New Roman" w:hAnsi="Times New Roman" w:cs="Times New Roman"/>
          <w:noProof/>
          <w:vertAlign w:val="superscript"/>
        </w:rPr>
        <w:footnoteReference w:id="2"/>
      </w:r>
      <w:r>
        <w:rPr>
          <w:rFonts w:ascii="Times New Roman" w:hAnsi="Times New Roman"/>
          <w:noProof/>
        </w:rPr>
        <w:t>. Visas šīs darbības atbilst priekšsēdētājas Urzulas fon der Leienas politikas pamatnostādnēm 2024.–2029. gadam</w:t>
      </w:r>
      <w:r>
        <w:rPr>
          <w:rStyle w:val="FootnoteReference"/>
          <w:rFonts w:ascii="Times New Roman" w:eastAsia="Times New Roman" w:hAnsi="Times New Roman" w:cs="Times New Roman"/>
          <w:noProof/>
          <w:kern w:val="0"/>
        </w:rPr>
        <w:footnoteReference w:id="3"/>
      </w:r>
      <w:r>
        <w:rPr>
          <w:rFonts w:ascii="Times New Roman" w:hAnsi="Times New Roman"/>
          <w:noProof/>
        </w:rPr>
        <w:t xml:space="preserve"> un viņas pilnvarojuma vēstulēm priekšsēdētājas izpildvietniecei H. Virkunenai un priekšsēdētājas izpildvietniecei T. Riberai</w:t>
      </w:r>
      <w:r>
        <w:rPr>
          <w:rStyle w:val="FootnoteReference"/>
          <w:rFonts w:ascii="Times New Roman" w:eastAsia="Times New Roman" w:hAnsi="Times New Roman" w:cs="Times New Roman"/>
          <w:noProof/>
          <w:kern w:val="0"/>
        </w:rPr>
        <w:footnoteReference w:id="4"/>
      </w:r>
      <w:r>
        <w:rPr>
          <w:rFonts w:ascii="Times New Roman" w:hAnsi="Times New Roman"/>
          <w:noProof/>
        </w:rPr>
        <w:t>, kurām kopīgi uzticēts uzdevums nodrošināt DTA efektīvu īstenošanu.</w:t>
      </w:r>
    </w:p>
    <w:p w14:paraId="40799454" w14:textId="794DCDEF" w:rsidR="00584070" w:rsidRPr="00951305" w:rsidRDefault="007F34CC" w:rsidP="00DC1DEB">
      <w:pPr>
        <w:pStyle w:val="ListParagraph"/>
        <w:widowControl w:val="0"/>
        <w:numPr>
          <w:ilvl w:val="0"/>
          <w:numId w:val="1"/>
        </w:numPr>
        <w:autoSpaceDE w:val="0"/>
        <w:autoSpaceDN w:val="0"/>
        <w:spacing w:before="120" w:after="120" w:line="240" w:lineRule="auto"/>
        <w:ind w:left="992" w:hanging="499"/>
        <w:contextualSpacing w:val="0"/>
        <w:jc w:val="both"/>
        <w:rPr>
          <w:rFonts w:ascii="Times New Roman" w:eastAsia="Times New Roman" w:hAnsi="Times New Roman" w:cs="Times New Roman"/>
          <w:noProof/>
          <w:kern w:val="0"/>
          <w14:ligatures w14:val="none"/>
        </w:rPr>
      </w:pPr>
      <w:r>
        <w:rPr>
          <w:rFonts w:ascii="Times New Roman" w:hAnsi="Times New Roman"/>
          <w:noProof/>
        </w:rPr>
        <w:t>Ziņojuma struktūra ir šāda: II iedaļā ir izklāstītas darbības saistībā ar vārtziņa statusa noteikšanu; III iedaļā ir izskaidrotas Komisijas darbības DTA īstenošanai un izpildei, kas tiek veikta, izmantojot regulatīvo dialogu un oficiālas procedūras; IV iedaļā ir aprakstīta Komisijas izmeklēšana par jaunu praksi, kas ir negodīga vai ierobežo tirgus sāncensību; V iedaļā ir aplūkotas ziņošanas prasības vārtziņiem attiecībā uz patērētāju profilēšanas praksi; VI iedaļā ir izskaidrota mijiedarbība starp Komisiju un valstu iestādēm; VII iedaļā ir sīki izklāstītas darbības, kas saistītas ar pārrobežu regulatīvo sadarbību, piemēram, saistībā ar DTA augsta līmeņa grupu (“ALG”); visbeidzot, VIII iedaļā ir ziņots par citām darbībām, kuras Komisija veikusi pārskata gadā un kuras bija saistītas ar DTA pārskatīšanu un starptautisko sadarbību.</w:t>
      </w:r>
    </w:p>
    <w:p w14:paraId="4DF77E11" w14:textId="2F712998" w:rsidR="00777116" w:rsidRPr="00951305" w:rsidRDefault="00A14CEE" w:rsidP="00AF79FB">
      <w:pPr>
        <w:pStyle w:val="ListParagraph"/>
        <w:widowControl w:val="0"/>
        <w:numPr>
          <w:ilvl w:val="0"/>
          <w:numId w:val="2"/>
        </w:numPr>
        <w:tabs>
          <w:tab w:val="left" w:pos="1983"/>
          <w:tab w:val="left" w:pos="4007"/>
          <w:tab w:val="left" w:pos="5429"/>
          <w:tab w:val="left" w:pos="6146"/>
          <w:tab w:val="left" w:pos="7983"/>
          <w:tab w:val="left" w:pos="8711"/>
        </w:tabs>
        <w:autoSpaceDE w:val="0"/>
        <w:autoSpaceDN w:val="0"/>
        <w:spacing w:before="120" w:after="120" w:line="240" w:lineRule="auto"/>
        <w:ind w:hanging="295"/>
        <w:contextualSpacing w:val="0"/>
        <w:jc w:val="both"/>
        <w:outlineLvl w:val="0"/>
        <w:rPr>
          <w:rFonts w:ascii="Times New Roman" w:eastAsia="Times New Roman" w:hAnsi="Times New Roman" w:cs="Times New Roman"/>
          <w:b/>
          <w:bCs/>
          <w:noProof/>
          <w:spacing w:val="-2"/>
          <w:kern w:val="0"/>
          <w14:ligatures w14:val="none"/>
        </w:rPr>
      </w:pPr>
      <w:r>
        <w:rPr>
          <w:rFonts w:ascii="Times New Roman" w:hAnsi="Times New Roman"/>
          <w:b/>
          <w:noProof/>
        </w:rPr>
        <w:t>UZRAUDZĪTIE VĀRTZIŅI UN PLATFORMAS PAMATPAKALPOJUMI</w:t>
      </w:r>
    </w:p>
    <w:p w14:paraId="15D356AB" w14:textId="382B1D99" w:rsidR="00F12373" w:rsidRPr="00951305" w:rsidRDefault="005656A2"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eastAsia="Times New Roman" w:hAnsi="Times New Roman" w:cs="Times New Roman"/>
          <w:noProof/>
          <w:kern w:val="0"/>
          <w14:ligatures w14:val="none"/>
        </w:rPr>
      </w:pPr>
      <w:r>
        <w:rPr>
          <w:rFonts w:ascii="Times New Roman" w:hAnsi="Times New Roman"/>
          <w:noProof/>
        </w:rPr>
        <w:t>Digitālie pakalpojumi, kurus Komisija uzrauga saskaņā ar DTA, 2025. gadā turpināja attīstīties. Pārskata perioda beigās DTA attiecās uz septiņiem vārtziņiem (“</w:t>
      </w:r>
      <w:r>
        <w:rPr>
          <w:rFonts w:ascii="Times New Roman" w:hAnsi="Times New Roman"/>
          <w:i/>
          <w:iCs/>
          <w:noProof/>
        </w:rPr>
        <w:t>Alphabet</w:t>
      </w:r>
      <w:r>
        <w:rPr>
          <w:rFonts w:ascii="Times New Roman" w:hAnsi="Times New Roman"/>
          <w:noProof/>
        </w:rPr>
        <w:t>”, “</w:t>
      </w:r>
      <w:r>
        <w:rPr>
          <w:rFonts w:ascii="Times New Roman" w:hAnsi="Times New Roman"/>
          <w:i/>
          <w:iCs/>
          <w:noProof/>
        </w:rPr>
        <w:t>Amazon</w:t>
      </w:r>
      <w:r>
        <w:rPr>
          <w:rFonts w:ascii="Times New Roman" w:hAnsi="Times New Roman"/>
          <w:noProof/>
        </w:rPr>
        <w:t>”, “</w:t>
      </w:r>
      <w:r>
        <w:rPr>
          <w:rFonts w:ascii="Times New Roman" w:hAnsi="Times New Roman"/>
          <w:i/>
          <w:iCs/>
          <w:noProof/>
        </w:rPr>
        <w:t>Apple</w:t>
      </w:r>
      <w:r>
        <w:rPr>
          <w:rFonts w:ascii="Times New Roman" w:hAnsi="Times New Roman"/>
          <w:noProof/>
        </w:rPr>
        <w:t>”, “</w:t>
      </w:r>
      <w:r>
        <w:rPr>
          <w:rFonts w:ascii="Times New Roman" w:hAnsi="Times New Roman"/>
          <w:i/>
          <w:iCs/>
          <w:noProof/>
        </w:rPr>
        <w:t>Booking</w:t>
      </w:r>
      <w:r>
        <w:rPr>
          <w:rFonts w:ascii="Times New Roman" w:hAnsi="Times New Roman"/>
          <w:noProof/>
        </w:rPr>
        <w:t>”, “</w:t>
      </w:r>
      <w:r>
        <w:rPr>
          <w:rFonts w:ascii="Times New Roman" w:hAnsi="Times New Roman"/>
          <w:i/>
          <w:iCs/>
          <w:noProof/>
        </w:rPr>
        <w:t>ByteDance</w:t>
      </w:r>
      <w:r>
        <w:rPr>
          <w:rFonts w:ascii="Times New Roman" w:hAnsi="Times New Roman"/>
          <w:noProof/>
        </w:rPr>
        <w:t>”, “</w:t>
      </w:r>
      <w:r>
        <w:rPr>
          <w:rFonts w:ascii="Times New Roman" w:hAnsi="Times New Roman"/>
          <w:i/>
          <w:iCs/>
          <w:noProof/>
        </w:rPr>
        <w:t>Meta</w:t>
      </w:r>
      <w:r>
        <w:rPr>
          <w:rFonts w:ascii="Times New Roman" w:hAnsi="Times New Roman"/>
          <w:noProof/>
        </w:rPr>
        <w:t>” un “</w:t>
      </w:r>
      <w:r>
        <w:rPr>
          <w:rFonts w:ascii="Times New Roman" w:hAnsi="Times New Roman"/>
          <w:i/>
          <w:iCs/>
          <w:noProof/>
        </w:rPr>
        <w:t>Microsoft</w:t>
      </w:r>
      <w:r>
        <w:rPr>
          <w:rFonts w:ascii="Times New Roman" w:hAnsi="Times New Roman"/>
          <w:noProof/>
        </w:rPr>
        <w:t>”) saistībā ar kopumā 23 to sniegtajiem platformas pamatpakalpojumiem (“PPP”)</w:t>
      </w:r>
      <w:r>
        <w:rPr>
          <w:rStyle w:val="FootnoteReference"/>
          <w:rFonts w:ascii="Times New Roman" w:eastAsia="Times New Roman" w:hAnsi="Times New Roman" w:cs="Times New Roman"/>
          <w:noProof/>
          <w:kern w:val="0"/>
        </w:rPr>
        <w:footnoteReference w:id="5"/>
      </w:r>
      <w:r>
        <w:rPr>
          <w:rFonts w:ascii="Times New Roman" w:hAnsi="Times New Roman"/>
          <w:noProof/>
        </w:rPr>
        <w:t>.</w:t>
      </w:r>
    </w:p>
    <w:p w14:paraId="17CAFDC4" w14:textId="5A83DA29" w:rsidR="005656A2" w:rsidRPr="00951305" w:rsidRDefault="00911B4A"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eastAsia="Times New Roman" w:hAnsi="Times New Roman" w:cs="Times New Roman"/>
          <w:noProof/>
          <w:kern w:val="0"/>
          <w14:ligatures w14:val="none"/>
        </w:rPr>
      </w:pPr>
      <w:r>
        <w:rPr>
          <w:rFonts w:ascii="Times New Roman" w:hAnsi="Times New Roman"/>
          <w:noProof/>
        </w:rPr>
        <w:t>Konkrētāk, 2025. gadā pirmo reizi no vārtziņa statusa noteikšanas lēmuma tika svītrots kāds PPP, jo uzņēmums vairs neatbilda DTA 3. panta 2. punktā noteiktajām kvantitatīvajām robežvērtībām. Tika paziņots, ka vairāki papildu pakalpojumi atbilst robežvērtībām, taču tie netika uzskatīti par svarīgām vārtejām. Turklāt, ņemot vērā mākoņdatošanas pakalpojumu nozīmi uzņēmumiem, kas darbojas ES, un Eiropas ekonomikai kopumā, Komisija sāka arī divas tirgus izpētes par “</w:t>
      </w:r>
      <w:r>
        <w:rPr>
          <w:rFonts w:ascii="Times New Roman" w:hAnsi="Times New Roman"/>
          <w:i/>
          <w:iCs/>
          <w:noProof/>
        </w:rPr>
        <w:t>Amazon</w:t>
      </w:r>
      <w:r>
        <w:rPr>
          <w:rFonts w:ascii="Times New Roman" w:hAnsi="Times New Roman"/>
          <w:noProof/>
        </w:rPr>
        <w:t>” un “</w:t>
      </w:r>
      <w:r>
        <w:rPr>
          <w:rFonts w:ascii="Times New Roman" w:hAnsi="Times New Roman"/>
          <w:i/>
          <w:iCs/>
          <w:noProof/>
        </w:rPr>
        <w:t>Microsoft</w:t>
      </w:r>
      <w:r>
        <w:rPr>
          <w:rFonts w:ascii="Times New Roman" w:hAnsi="Times New Roman"/>
          <w:noProof/>
        </w:rPr>
        <w:t>” mākoņdatošanas pakalpojumu iespējamiem kvalitatīvajiem apzīmējumiem – attiecīgi “</w:t>
      </w:r>
      <w:r>
        <w:rPr>
          <w:rFonts w:ascii="Times New Roman" w:hAnsi="Times New Roman"/>
          <w:i/>
          <w:iCs/>
          <w:noProof/>
        </w:rPr>
        <w:t>Amazon Web Services</w:t>
      </w:r>
      <w:r>
        <w:rPr>
          <w:rFonts w:ascii="Times New Roman" w:hAnsi="Times New Roman"/>
          <w:noProof/>
        </w:rPr>
        <w:t>” (“</w:t>
      </w:r>
      <w:r>
        <w:rPr>
          <w:rFonts w:ascii="Times New Roman" w:hAnsi="Times New Roman"/>
          <w:i/>
          <w:iCs/>
          <w:noProof/>
        </w:rPr>
        <w:t>AWS</w:t>
      </w:r>
      <w:r>
        <w:rPr>
          <w:rFonts w:ascii="Times New Roman" w:hAnsi="Times New Roman"/>
          <w:noProof/>
        </w:rPr>
        <w:t>”) un “</w:t>
      </w:r>
      <w:r>
        <w:rPr>
          <w:rFonts w:ascii="Times New Roman" w:hAnsi="Times New Roman"/>
          <w:i/>
          <w:iCs/>
          <w:noProof/>
        </w:rPr>
        <w:t>Azure</w:t>
      </w:r>
      <w:r>
        <w:rPr>
          <w:rFonts w:ascii="Times New Roman" w:hAnsi="Times New Roman"/>
          <w:noProof/>
        </w:rPr>
        <w:t>”.</w:t>
      </w:r>
    </w:p>
    <w:p w14:paraId="17E2A990" w14:textId="0F5540D9" w:rsidR="00B62171" w:rsidRPr="00951305" w:rsidRDefault="006476AD" w:rsidP="00AF79FB">
      <w:pPr>
        <w:pStyle w:val="ListParagraph"/>
        <w:widowControl w:val="0"/>
        <w:numPr>
          <w:ilvl w:val="0"/>
          <w:numId w:val="4"/>
        </w:numPr>
        <w:autoSpaceDE w:val="0"/>
        <w:autoSpaceDN w:val="0"/>
        <w:spacing w:before="120" w:after="120" w:line="240" w:lineRule="auto"/>
        <w:contextualSpacing w:val="0"/>
        <w:jc w:val="both"/>
        <w:rPr>
          <w:rFonts w:ascii="Times New Roman" w:eastAsia="Times New Roman" w:hAnsi="Times New Roman" w:cs="Times New Roman"/>
          <w:b/>
          <w:bCs/>
          <w:noProof/>
          <w:kern w:val="0"/>
          <w14:ligatures w14:val="none"/>
        </w:rPr>
      </w:pPr>
      <w:r>
        <w:rPr>
          <w:rFonts w:ascii="Times New Roman" w:hAnsi="Times New Roman"/>
          <w:b/>
          <w:noProof/>
        </w:rPr>
        <w:t>Lēmuma par statusa piešķiršanu pārskatīšana</w:t>
      </w:r>
    </w:p>
    <w:p w14:paraId="3C578DE2" w14:textId="21FBBB81" w:rsidR="00B62171" w:rsidRPr="00951305" w:rsidRDefault="006476AD"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eastAsia="Times New Roman" w:hAnsi="Times New Roman" w:cs="Times New Roman"/>
          <w:noProof/>
          <w:kern w:val="0"/>
          <w14:ligatures w14:val="none"/>
        </w:rPr>
      </w:pPr>
      <w:bookmarkStart w:id="2" w:name="_Hlk222931307"/>
      <w:r>
        <w:rPr>
          <w:rFonts w:ascii="Times New Roman" w:hAnsi="Times New Roman"/>
          <w:noProof/>
        </w:rPr>
        <w:t>“</w:t>
      </w:r>
      <w:r>
        <w:rPr>
          <w:rFonts w:ascii="Times New Roman" w:hAnsi="Times New Roman"/>
          <w:i/>
          <w:iCs/>
          <w:noProof/>
        </w:rPr>
        <w:t>Meta</w:t>
      </w:r>
      <w:r>
        <w:rPr>
          <w:rFonts w:ascii="Times New Roman" w:hAnsi="Times New Roman"/>
          <w:noProof/>
        </w:rPr>
        <w:t xml:space="preserve">” 2024. gada 5. martā pieprasīja, lai tā tiešsaistes starpniecības pakalpojumam </w:t>
      </w:r>
      <w:r>
        <w:rPr>
          <w:rFonts w:ascii="Times New Roman" w:hAnsi="Times New Roman"/>
          <w:i/>
          <w:iCs/>
          <w:noProof/>
        </w:rPr>
        <w:t>Marketplace</w:t>
      </w:r>
      <w:r>
        <w:rPr>
          <w:rFonts w:ascii="Times New Roman" w:hAnsi="Times New Roman"/>
          <w:noProof/>
        </w:rPr>
        <w:t xml:space="preserve"> tiktu atcelts vārtziņa statuss, apgalvojot, ka tas ir veicis pasākumus, lai izņemtu komerciālos lietotājus no </w:t>
      </w:r>
      <w:r>
        <w:rPr>
          <w:rFonts w:ascii="Times New Roman" w:hAnsi="Times New Roman"/>
          <w:i/>
          <w:iCs/>
          <w:noProof/>
        </w:rPr>
        <w:t>Marketplace</w:t>
      </w:r>
      <w:r>
        <w:rPr>
          <w:rFonts w:ascii="Times New Roman" w:hAnsi="Times New Roman"/>
          <w:noProof/>
        </w:rPr>
        <w:t xml:space="preserve"> un nodrošinātu, ka pakalpojums ir paredzēts lietošanai tikai darījumos starp patērētājiem</w:t>
      </w:r>
      <w:r>
        <w:rPr>
          <w:rStyle w:val="FootnoteReference"/>
          <w:rFonts w:ascii="Times New Roman" w:eastAsia="Times New Roman" w:hAnsi="Times New Roman" w:cs="Times New Roman"/>
          <w:noProof/>
          <w:kern w:val="0"/>
        </w:rPr>
        <w:footnoteReference w:id="6"/>
      </w:r>
      <w:r>
        <w:rPr>
          <w:rFonts w:ascii="Times New Roman" w:hAnsi="Times New Roman"/>
          <w:noProof/>
        </w:rPr>
        <w:t>. Pēc šiem pasākumiem, kas ietvēra to lietotāju izņemšanu, kuri 2023. gada lēmumā par statusa noteikšanu “</w:t>
      </w:r>
      <w:r>
        <w:rPr>
          <w:rFonts w:ascii="Times New Roman" w:hAnsi="Times New Roman"/>
          <w:i/>
          <w:iCs/>
          <w:noProof/>
        </w:rPr>
        <w:t>Meta</w:t>
      </w:r>
      <w:r>
        <w:rPr>
          <w:rFonts w:ascii="Times New Roman" w:hAnsi="Times New Roman"/>
          <w:noProof/>
        </w:rPr>
        <w:t>” tika atzīti par komerciālajiem lietotājiem</w:t>
      </w:r>
      <w:r>
        <w:rPr>
          <w:rStyle w:val="FootnoteReference"/>
          <w:rFonts w:ascii="Times New Roman" w:eastAsia="Times New Roman" w:hAnsi="Times New Roman" w:cs="Times New Roman"/>
          <w:noProof/>
          <w:kern w:val="0"/>
        </w:rPr>
        <w:footnoteReference w:id="7"/>
      </w:r>
      <w:r>
        <w:rPr>
          <w:rFonts w:ascii="Times New Roman" w:hAnsi="Times New Roman"/>
          <w:noProof/>
        </w:rPr>
        <w:t xml:space="preserve">, Komisija 2025. gada 23. aprīļa lēmumā par statusa noteikšanu secināja, ka 2024. gadā </w:t>
      </w:r>
      <w:r>
        <w:rPr>
          <w:rFonts w:ascii="Times New Roman" w:hAnsi="Times New Roman"/>
          <w:i/>
          <w:iCs/>
          <w:noProof/>
        </w:rPr>
        <w:t>Marketplace</w:t>
      </w:r>
      <w:r>
        <w:rPr>
          <w:rFonts w:ascii="Times New Roman" w:hAnsi="Times New Roman"/>
          <w:noProof/>
        </w:rPr>
        <w:t xml:space="preserve"> bija mazāk nekā 10 000 aktīvu komerciālo lietotāju</w:t>
      </w:r>
      <w:r>
        <w:rPr>
          <w:rStyle w:val="FootnoteReference"/>
          <w:rFonts w:ascii="Times New Roman" w:eastAsia="Times New Roman" w:hAnsi="Times New Roman" w:cs="Times New Roman"/>
          <w:noProof/>
          <w:kern w:val="0"/>
        </w:rPr>
        <w:footnoteReference w:id="8"/>
      </w:r>
      <w:r>
        <w:rPr>
          <w:rFonts w:ascii="Times New Roman" w:hAnsi="Times New Roman"/>
          <w:noProof/>
        </w:rPr>
        <w:t xml:space="preserve">. Rezultātā lēmums par statusa noteikšanu tika grozīts saskaņā ar DTA 4. panta 1. punktu, svītrojot </w:t>
      </w:r>
      <w:r>
        <w:rPr>
          <w:rFonts w:ascii="Times New Roman" w:hAnsi="Times New Roman"/>
          <w:i/>
          <w:iCs/>
          <w:noProof/>
        </w:rPr>
        <w:t>Marketplace</w:t>
      </w:r>
      <w:r>
        <w:rPr>
          <w:rFonts w:ascii="Times New Roman" w:hAnsi="Times New Roman"/>
          <w:noProof/>
        </w:rPr>
        <w:t xml:space="preserve"> no uzraudzīto PPP saraksta.</w:t>
      </w:r>
      <w:bookmarkEnd w:id="2"/>
    </w:p>
    <w:p w14:paraId="716C913D" w14:textId="23FDBDCB" w:rsidR="00186B64" w:rsidRPr="00951305" w:rsidRDefault="006476AD" w:rsidP="00AF79FB">
      <w:pPr>
        <w:pStyle w:val="ListParagraph"/>
        <w:widowControl w:val="0"/>
        <w:numPr>
          <w:ilvl w:val="0"/>
          <w:numId w:val="4"/>
        </w:numPr>
        <w:autoSpaceDE w:val="0"/>
        <w:autoSpaceDN w:val="0"/>
        <w:spacing w:before="120" w:after="120" w:line="240" w:lineRule="auto"/>
        <w:contextualSpacing w:val="0"/>
        <w:jc w:val="both"/>
        <w:rPr>
          <w:rFonts w:ascii="Times New Roman" w:eastAsia="Times New Roman" w:hAnsi="Times New Roman" w:cs="Times New Roman"/>
          <w:b/>
          <w:bCs/>
          <w:noProof/>
          <w:kern w:val="0"/>
          <w14:ligatures w14:val="none"/>
        </w:rPr>
      </w:pPr>
      <w:r>
        <w:rPr>
          <w:rFonts w:ascii="Times New Roman" w:hAnsi="Times New Roman"/>
          <w:b/>
          <w:noProof/>
        </w:rPr>
        <w:t>Paziņojumi par jauniem pakalpojumiem</w:t>
      </w:r>
    </w:p>
    <w:p w14:paraId="1FCDF022" w14:textId="64957943" w:rsidR="00300915" w:rsidRPr="00951305" w:rsidRDefault="006476AD"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eastAsia="Times New Roman" w:hAnsi="Times New Roman" w:cs="Times New Roman"/>
          <w:noProof/>
          <w:kern w:val="0"/>
          <w14:ligatures w14:val="none"/>
        </w:rPr>
      </w:pPr>
      <w:r>
        <w:rPr>
          <w:rFonts w:ascii="Times New Roman" w:hAnsi="Times New Roman"/>
          <w:noProof/>
        </w:rPr>
        <w:t>“</w:t>
      </w:r>
      <w:r>
        <w:rPr>
          <w:rFonts w:ascii="Times New Roman" w:hAnsi="Times New Roman"/>
          <w:i/>
          <w:iCs/>
          <w:noProof/>
        </w:rPr>
        <w:t>Apple</w:t>
      </w:r>
      <w:r>
        <w:rPr>
          <w:rFonts w:ascii="Times New Roman" w:hAnsi="Times New Roman"/>
          <w:noProof/>
        </w:rPr>
        <w:t xml:space="preserve">” 2025. gada 27. novembrī paziņoja Komisijai, ka tas ir sasniedzis DTA 3. panta 2. punktā noteiktās kvantitatīvās robežvērtības attiecībā uz savu tiešsaistes reklāmas pakalpojumu </w:t>
      </w:r>
      <w:r>
        <w:rPr>
          <w:rFonts w:ascii="Times New Roman" w:hAnsi="Times New Roman"/>
          <w:i/>
          <w:iCs/>
          <w:noProof/>
        </w:rPr>
        <w:t>Apple Ads</w:t>
      </w:r>
      <w:r>
        <w:rPr>
          <w:rFonts w:ascii="Times New Roman" w:hAnsi="Times New Roman"/>
          <w:noProof/>
        </w:rPr>
        <w:t xml:space="preserve"> un tiešsaistes starpniecības pakalpojumu </w:t>
      </w:r>
      <w:r>
        <w:rPr>
          <w:rFonts w:ascii="Times New Roman" w:hAnsi="Times New Roman"/>
          <w:i/>
          <w:iCs/>
          <w:noProof/>
        </w:rPr>
        <w:t>Apple Maps</w:t>
      </w:r>
      <w:r>
        <w:rPr>
          <w:rFonts w:ascii="Times New Roman" w:hAnsi="Times New Roman"/>
          <w:noProof/>
        </w:rPr>
        <w:t>. Kopā ar paziņojumu “</w:t>
      </w:r>
      <w:r>
        <w:rPr>
          <w:rFonts w:ascii="Times New Roman" w:hAnsi="Times New Roman"/>
          <w:i/>
          <w:iCs/>
          <w:noProof/>
        </w:rPr>
        <w:t>Apple</w:t>
      </w:r>
      <w:r>
        <w:rPr>
          <w:rFonts w:ascii="Times New Roman" w:hAnsi="Times New Roman"/>
          <w:noProof/>
        </w:rPr>
        <w:t>” iesniedza arī atspēkojumu saskaņā ar DTA 3. panta 5. punktu, apgalvojot, ka šie divi pakalpojumi nav kvalificējami par svarīgām vārtejām komerciālajiem lietotājiem galalietotāju sasniegšanai</w:t>
      </w:r>
      <w:r>
        <w:rPr>
          <w:rStyle w:val="FootnoteReference"/>
          <w:rFonts w:ascii="Times New Roman" w:eastAsia="Times New Roman" w:hAnsi="Times New Roman" w:cs="Times New Roman"/>
          <w:noProof/>
          <w:kern w:val="0"/>
        </w:rPr>
        <w:footnoteReference w:id="9"/>
      </w:r>
      <w:r>
        <w:rPr>
          <w:rFonts w:ascii="Times New Roman" w:hAnsi="Times New Roman"/>
          <w:noProof/>
        </w:rPr>
        <w:t>. “</w:t>
      </w:r>
      <w:r>
        <w:rPr>
          <w:rFonts w:ascii="Times New Roman" w:hAnsi="Times New Roman"/>
          <w:i/>
          <w:iCs/>
          <w:noProof/>
        </w:rPr>
        <w:t>Apple</w:t>
      </w:r>
      <w:r>
        <w:rPr>
          <w:rFonts w:ascii="Times New Roman" w:hAnsi="Times New Roman"/>
          <w:noProof/>
        </w:rPr>
        <w:t>” iesniegtā informācija izraisīja procedūru, saskaņā ar kuru Komisijai 45 darbdienās bija jānovērtē, vai apgalvojumi ir pietiekami pamatoti, un attiecīgā gadījumā jāsāk tirgus izpēte saskaņā ar DTA 17. panta 3. punktu</w:t>
      </w:r>
      <w:r>
        <w:rPr>
          <w:rStyle w:val="FootnoteReference"/>
          <w:rFonts w:ascii="Times New Roman" w:eastAsia="Times New Roman" w:hAnsi="Times New Roman" w:cs="Times New Roman"/>
          <w:noProof/>
          <w:kern w:val="0"/>
        </w:rPr>
        <w:footnoteReference w:id="10"/>
      </w:r>
      <w:r>
        <w:rPr>
          <w:rFonts w:ascii="Times New Roman" w:hAnsi="Times New Roman"/>
          <w:noProof/>
        </w:rPr>
        <w:t>.</w:t>
      </w:r>
    </w:p>
    <w:p w14:paraId="7A127413" w14:textId="25279E30" w:rsidR="00C845E5" w:rsidRPr="00951305" w:rsidRDefault="00C845E5" w:rsidP="00AF79FB">
      <w:pPr>
        <w:pStyle w:val="ListParagraph"/>
        <w:widowControl w:val="0"/>
        <w:numPr>
          <w:ilvl w:val="0"/>
          <w:numId w:val="4"/>
        </w:numPr>
        <w:autoSpaceDE w:val="0"/>
        <w:autoSpaceDN w:val="0"/>
        <w:spacing w:before="120" w:after="120" w:line="240" w:lineRule="auto"/>
        <w:contextualSpacing w:val="0"/>
        <w:jc w:val="both"/>
        <w:rPr>
          <w:rFonts w:ascii="Times New Roman" w:eastAsia="Times New Roman" w:hAnsi="Times New Roman" w:cs="Times New Roman"/>
          <w:b/>
          <w:bCs/>
          <w:noProof/>
          <w:kern w:val="0"/>
          <w14:ligatures w14:val="none"/>
        </w:rPr>
      </w:pPr>
      <w:r>
        <w:rPr>
          <w:rFonts w:ascii="Times New Roman" w:hAnsi="Times New Roman"/>
          <w:b/>
          <w:noProof/>
        </w:rPr>
        <w:t>Kvalitatīva statusa noteikšanas izpēte</w:t>
      </w:r>
    </w:p>
    <w:p w14:paraId="2D764FAA" w14:textId="655CEECF" w:rsidR="001F5F7C" w:rsidRPr="00951305" w:rsidRDefault="00172D43"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Komisija 2025. gada 18. novembrī</w:t>
      </w:r>
      <w:r>
        <w:rPr>
          <w:rStyle w:val="FootnoteReference"/>
          <w:rFonts w:ascii="Times New Roman" w:eastAsia="Times New Roman" w:hAnsi="Times New Roman" w:cs="Times New Roman"/>
          <w:noProof/>
          <w:kern w:val="0"/>
        </w:rPr>
        <w:footnoteReference w:id="11"/>
      </w:r>
      <w:r>
        <w:rPr>
          <w:rFonts w:ascii="Times New Roman" w:hAnsi="Times New Roman"/>
          <w:noProof/>
        </w:rPr>
        <w:t xml:space="preserve"> sāka divas tirgus izpētes, lai novērtētu, vai “</w:t>
      </w:r>
      <w:r>
        <w:rPr>
          <w:rFonts w:ascii="Times New Roman" w:hAnsi="Times New Roman"/>
          <w:i/>
          <w:iCs/>
          <w:noProof/>
        </w:rPr>
        <w:t>Amazon</w:t>
      </w:r>
      <w:r>
        <w:rPr>
          <w:rFonts w:ascii="Times New Roman" w:hAnsi="Times New Roman"/>
          <w:noProof/>
        </w:rPr>
        <w:t>” un “</w:t>
      </w:r>
      <w:r>
        <w:rPr>
          <w:rFonts w:ascii="Times New Roman" w:hAnsi="Times New Roman"/>
          <w:i/>
          <w:iCs/>
          <w:noProof/>
        </w:rPr>
        <w:t>Microsoft</w:t>
      </w:r>
      <w:r>
        <w:rPr>
          <w:rFonts w:ascii="Times New Roman" w:hAnsi="Times New Roman"/>
          <w:noProof/>
        </w:rPr>
        <w:t xml:space="preserve">” būtu jānosaka par vārtziņiem attiecībā uz to attiecīgajiem mākoņdatošanas pakalpojumiem </w:t>
      </w:r>
      <w:r>
        <w:rPr>
          <w:rFonts w:ascii="Times New Roman" w:hAnsi="Times New Roman"/>
          <w:i/>
          <w:iCs/>
          <w:noProof/>
        </w:rPr>
        <w:t>AWS</w:t>
      </w:r>
      <w:r>
        <w:rPr>
          <w:rFonts w:ascii="Times New Roman" w:hAnsi="Times New Roman"/>
          <w:noProof/>
        </w:rPr>
        <w:t xml:space="preserve"> un </w:t>
      </w:r>
      <w:r>
        <w:rPr>
          <w:rFonts w:ascii="Times New Roman" w:hAnsi="Times New Roman"/>
          <w:i/>
          <w:iCs/>
          <w:noProof/>
        </w:rPr>
        <w:t>Azure</w:t>
      </w:r>
      <w:r>
        <w:rPr>
          <w:rStyle w:val="FootnoteReference"/>
          <w:rFonts w:ascii="Times New Roman" w:eastAsia="Times New Roman" w:hAnsi="Times New Roman" w:cs="Times New Roman"/>
          <w:noProof/>
          <w:kern w:val="0"/>
        </w:rPr>
        <w:footnoteReference w:id="12"/>
      </w:r>
      <w:r>
        <w:rPr>
          <w:rFonts w:ascii="Times New Roman" w:hAnsi="Times New Roman"/>
          <w:noProof/>
        </w:rPr>
        <w:t>. Lai gan šie divi pakalpojumi neatbilda DTA 3. panta 2. punktā noteiktajām robežvērtībām attiecībā uz kvantitatīvā statusa noteikšanu PPP, Komisijas ieskatā bija pamats uzskatīt, ka “</w:t>
      </w:r>
      <w:r>
        <w:rPr>
          <w:rFonts w:ascii="Times New Roman" w:hAnsi="Times New Roman"/>
          <w:i/>
          <w:iCs/>
          <w:noProof/>
        </w:rPr>
        <w:t>Amazon</w:t>
      </w:r>
      <w:r>
        <w:rPr>
          <w:rFonts w:ascii="Times New Roman" w:hAnsi="Times New Roman"/>
          <w:noProof/>
        </w:rPr>
        <w:t>” un “</w:t>
      </w:r>
      <w:r>
        <w:rPr>
          <w:rFonts w:ascii="Times New Roman" w:hAnsi="Times New Roman"/>
          <w:i/>
          <w:iCs/>
          <w:noProof/>
        </w:rPr>
        <w:t>Microsoft</w:t>
      </w:r>
      <w:r>
        <w:rPr>
          <w:rFonts w:ascii="Times New Roman" w:hAnsi="Times New Roman"/>
          <w:noProof/>
        </w:rPr>
        <w:t xml:space="preserve">”, izmantojot attiecīgi </w:t>
      </w:r>
      <w:r>
        <w:rPr>
          <w:rFonts w:ascii="Times New Roman" w:hAnsi="Times New Roman"/>
          <w:i/>
          <w:iCs/>
          <w:noProof/>
        </w:rPr>
        <w:t>AWS</w:t>
      </w:r>
      <w:r>
        <w:rPr>
          <w:rFonts w:ascii="Times New Roman" w:hAnsi="Times New Roman"/>
          <w:noProof/>
        </w:rPr>
        <w:t xml:space="preserve"> un </w:t>
      </w:r>
      <w:r>
        <w:rPr>
          <w:rFonts w:ascii="Times New Roman" w:hAnsi="Times New Roman"/>
          <w:i/>
          <w:iCs/>
          <w:noProof/>
        </w:rPr>
        <w:t>Azure</w:t>
      </w:r>
      <w:r>
        <w:rPr>
          <w:rFonts w:ascii="Times New Roman" w:hAnsi="Times New Roman"/>
          <w:noProof/>
        </w:rPr>
        <w:t xml:space="preserve">, varētu būt svarīgas vārtejas komerciālajiem lietotājiem galalietotāju sasniegšanai DTA 3. panta 1. punkta nozīmē. Mākoņdatošanas pakalpojumi ir kļuvuši par daudzu digitālo pakalpojumu pamatu un ir izšķirīgi svarīgi uzņēmumiem, kas darbojas ES, kā arī MI tehnoloģiju izstrādei. Tādējādi tirgus izpētes par </w:t>
      </w:r>
      <w:r>
        <w:rPr>
          <w:rFonts w:ascii="Times New Roman" w:hAnsi="Times New Roman"/>
          <w:i/>
          <w:iCs/>
          <w:noProof/>
        </w:rPr>
        <w:t>AWS</w:t>
      </w:r>
      <w:r>
        <w:rPr>
          <w:rFonts w:ascii="Times New Roman" w:hAnsi="Times New Roman"/>
          <w:noProof/>
        </w:rPr>
        <w:t xml:space="preserve"> un </w:t>
      </w:r>
      <w:r>
        <w:rPr>
          <w:rFonts w:ascii="Times New Roman" w:hAnsi="Times New Roman"/>
          <w:i/>
          <w:iCs/>
          <w:noProof/>
        </w:rPr>
        <w:t>Azure</w:t>
      </w:r>
      <w:r>
        <w:rPr>
          <w:rFonts w:ascii="Times New Roman" w:hAnsi="Times New Roman"/>
          <w:noProof/>
        </w:rPr>
        <w:t>, kas notiek pašlaik, ir iespēja noteikt, vai tie ir kvalificējami par svarīgām vārtejām, un, ja tā ir, piešķirt tiem svarīgu vārteju statusu saskaņā ar DTA.</w:t>
      </w:r>
    </w:p>
    <w:p w14:paraId="7E78578D" w14:textId="656E5552" w:rsidR="001F5F7C" w:rsidRPr="00951305" w:rsidRDefault="001F5F7C" w:rsidP="00AF79FB">
      <w:pPr>
        <w:pStyle w:val="ListParagraph"/>
        <w:widowControl w:val="0"/>
        <w:numPr>
          <w:ilvl w:val="0"/>
          <w:numId w:val="4"/>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Tiesvedība ES tiesās par statusa noteikšanu</w:t>
      </w:r>
    </w:p>
    <w:p w14:paraId="440F7C57" w14:textId="1FE3E89A" w:rsidR="001F5F7C" w:rsidRPr="00951305" w:rsidRDefault="00F12373" w:rsidP="001D36F5">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eastAsia="Times New Roman" w:hAnsi="Times New Roman" w:cs="Times New Roman"/>
          <w:noProof/>
          <w:kern w:val="0"/>
          <w14:ligatures w14:val="none"/>
        </w:rPr>
      </w:pPr>
      <w:r>
        <w:rPr>
          <w:rFonts w:ascii="Times New Roman" w:hAnsi="Times New Roman"/>
          <w:noProof/>
        </w:rPr>
        <w:t>Komisija 2025. gadā turpināja aizstāvēt savus lēmumus par vārtziņa statusa noteikšanu ES tiesās saistībā ar “</w:t>
      </w:r>
      <w:r>
        <w:rPr>
          <w:rFonts w:ascii="Times New Roman" w:hAnsi="Times New Roman"/>
          <w:i/>
          <w:iCs/>
          <w:noProof/>
        </w:rPr>
        <w:t>Apple</w:t>
      </w:r>
      <w:r>
        <w:rPr>
          <w:rFonts w:ascii="Times New Roman" w:hAnsi="Times New Roman"/>
          <w:noProof/>
        </w:rPr>
        <w:t>”</w:t>
      </w:r>
      <w:r>
        <w:rPr>
          <w:rStyle w:val="FootnoteReference"/>
          <w:rFonts w:ascii="Times New Roman" w:eastAsia="Times New Roman" w:hAnsi="Times New Roman" w:cs="Times New Roman"/>
          <w:noProof/>
          <w:kern w:val="0"/>
        </w:rPr>
        <w:footnoteReference w:id="13"/>
      </w:r>
      <w:r>
        <w:rPr>
          <w:rFonts w:ascii="Times New Roman" w:hAnsi="Times New Roman"/>
          <w:noProof/>
        </w:rPr>
        <w:t>, “</w:t>
      </w:r>
      <w:r>
        <w:rPr>
          <w:rFonts w:ascii="Times New Roman" w:hAnsi="Times New Roman"/>
          <w:i/>
          <w:iCs/>
          <w:noProof/>
        </w:rPr>
        <w:t>Meta</w:t>
      </w:r>
      <w:r>
        <w:rPr>
          <w:rFonts w:ascii="Times New Roman" w:hAnsi="Times New Roman"/>
          <w:noProof/>
        </w:rPr>
        <w:t>”</w:t>
      </w:r>
      <w:r>
        <w:rPr>
          <w:rStyle w:val="FootnoteReference"/>
          <w:rFonts w:ascii="Times New Roman" w:eastAsia="Times New Roman" w:hAnsi="Times New Roman" w:cs="Times New Roman"/>
          <w:noProof/>
          <w:kern w:val="0"/>
        </w:rPr>
        <w:footnoteReference w:id="14"/>
      </w:r>
      <w:r>
        <w:rPr>
          <w:rFonts w:ascii="Times New Roman" w:hAnsi="Times New Roman"/>
          <w:noProof/>
        </w:rPr>
        <w:t xml:space="preserve"> un “</w:t>
      </w:r>
      <w:r>
        <w:rPr>
          <w:rFonts w:ascii="Times New Roman" w:hAnsi="Times New Roman"/>
          <w:i/>
          <w:iCs/>
          <w:noProof/>
        </w:rPr>
        <w:t>Opera</w:t>
      </w:r>
      <w:r>
        <w:rPr>
          <w:rFonts w:ascii="Times New Roman" w:hAnsi="Times New Roman"/>
          <w:noProof/>
        </w:rPr>
        <w:t>”</w:t>
      </w:r>
      <w:r>
        <w:rPr>
          <w:rStyle w:val="FootnoteReference"/>
          <w:rFonts w:ascii="Times New Roman" w:eastAsia="Times New Roman" w:hAnsi="Times New Roman" w:cs="Times New Roman"/>
          <w:noProof/>
          <w:kern w:val="0"/>
        </w:rPr>
        <w:footnoteReference w:id="15"/>
      </w:r>
      <w:r>
        <w:rPr>
          <w:rFonts w:ascii="Times New Roman" w:hAnsi="Times New Roman"/>
          <w:noProof/>
        </w:rPr>
        <w:t xml:space="preserve"> uzsāktajām tiesvedībām. Vispārējās tiesas spriedumi šajās trijās lietās vēl nav pieņemti.</w:t>
      </w:r>
    </w:p>
    <w:p w14:paraId="1CF8F2B5" w14:textId="143A0EEE" w:rsidR="006935FD" w:rsidRPr="00951305" w:rsidRDefault="00994B25"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Turklāt Komisija turpināja būt aktīva atbildētāja divās notiekošajās procedūrās saistībā ar “</w:t>
      </w:r>
      <w:r>
        <w:rPr>
          <w:rFonts w:ascii="Times New Roman" w:hAnsi="Times New Roman"/>
          <w:i/>
          <w:iCs/>
          <w:noProof/>
        </w:rPr>
        <w:t>ByteDance</w:t>
      </w:r>
      <w:r>
        <w:rPr>
          <w:rFonts w:ascii="Times New Roman" w:hAnsi="Times New Roman"/>
          <w:noProof/>
        </w:rPr>
        <w:t>”. Šis vārtzinis iesniedza apelācijas sūdzību par Vispārējās tiesas spriedumu, ar ko tika paturēts spēkā Komisijas lēmums, ar kuru “</w:t>
      </w:r>
      <w:r>
        <w:rPr>
          <w:rFonts w:ascii="Times New Roman" w:hAnsi="Times New Roman"/>
          <w:i/>
          <w:iCs/>
          <w:noProof/>
        </w:rPr>
        <w:t>ByteDance</w:t>
      </w:r>
      <w:r>
        <w:rPr>
          <w:rFonts w:ascii="Times New Roman" w:hAnsi="Times New Roman"/>
          <w:noProof/>
        </w:rPr>
        <w:t>” tika noteikts vārtziņa statuss</w:t>
      </w:r>
      <w:r>
        <w:rPr>
          <w:rStyle w:val="FootnoteReference"/>
          <w:rFonts w:ascii="Times New Roman" w:eastAsia="Times New Roman" w:hAnsi="Times New Roman" w:cs="Times New Roman"/>
          <w:noProof/>
          <w:kern w:val="0"/>
        </w:rPr>
        <w:footnoteReference w:id="16"/>
      </w:r>
      <w:r>
        <w:rPr>
          <w:rFonts w:ascii="Times New Roman" w:hAnsi="Times New Roman"/>
          <w:noProof/>
        </w:rPr>
        <w:t>. Turklāt “</w:t>
      </w:r>
      <w:r>
        <w:rPr>
          <w:rFonts w:ascii="Times New Roman" w:hAnsi="Times New Roman"/>
          <w:i/>
          <w:iCs/>
          <w:noProof/>
        </w:rPr>
        <w:t>ByteDance</w:t>
      </w:r>
      <w:r>
        <w:rPr>
          <w:rFonts w:ascii="Times New Roman" w:hAnsi="Times New Roman"/>
          <w:noProof/>
        </w:rPr>
        <w:t>” ārējais juridiskais konsultants savā vārdā bija apstrīdējis Komisijas lēmumu noraidīt pieteikumu par piekļuvi dokumentiem, kas saistīti ar vārtziņa statusa noteikšanu “</w:t>
      </w:r>
      <w:r>
        <w:rPr>
          <w:rFonts w:ascii="Times New Roman" w:hAnsi="Times New Roman"/>
          <w:i/>
          <w:iCs/>
          <w:noProof/>
        </w:rPr>
        <w:t>ByteDance</w:t>
      </w:r>
      <w:r>
        <w:rPr>
          <w:rFonts w:ascii="Times New Roman" w:hAnsi="Times New Roman"/>
          <w:noProof/>
        </w:rPr>
        <w:t>”</w:t>
      </w:r>
      <w:r>
        <w:rPr>
          <w:rStyle w:val="FootnoteReference"/>
          <w:rFonts w:ascii="Times New Roman" w:eastAsia="Times New Roman" w:hAnsi="Times New Roman" w:cs="Times New Roman"/>
          <w:noProof/>
          <w:kern w:val="0"/>
        </w:rPr>
        <w:footnoteReference w:id="17"/>
      </w:r>
      <w:r>
        <w:rPr>
          <w:rFonts w:ascii="Times New Roman" w:hAnsi="Times New Roman"/>
          <w:noProof/>
        </w:rPr>
        <w:t>.</w:t>
      </w:r>
    </w:p>
    <w:p w14:paraId="444C7D0D" w14:textId="54A5722A" w:rsidR="008500AD" w:rsidRPr="00951305" w:rsidRDefault="008500AD" w:rsidP="00AF79FB">
      <w:pPr>
        <w:pStyle w:val="ListParagraph"/>
        <w:widowControl w:val="0"/>
        <w:numPr>
          <w:ilvl w:val="0"/>
          <w:numId w:val="2"/>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KĀ VĀRTZIŅI IZPILDA DTA NOTEIKTOS PIENĀKUMUS</w:t>
      </w:r>
    </w:p>
    <w:p w14:paraId="2AD2F1B0" w14:textId="768C4258" w:rsidR="008500AD" w:rsidRPr="00951305" w:rsidRDefault="008500AD" w:rsidP="00AF79FB">
      <w:pPr>
        <w:pStyle w:val="ListParagraph"/>
        <w:widowControl w:val="0"/>
        <w:numPr>
          <w:ilvl w:val="0"/>
          <w:numId w:val="6"/>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Uzraudzības darbība</w:t>
      </w:r>
    </w:p>
    <w:p w14:paraId="4DF1BC46" w14:textId="06D11B47" w:rsidR="00A064EC" w:rsidRPr="00951305" w:rsidRDefault="00D5254A"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Vārtziņiem savi pakalpojumi ir jāpielāgo tā, lai tie vienmēr atbilstu DTA noteiktajiem pienākumiem, pierādot integrētu atbilstību. Lai Komisija varētu veikt savus uzraudzības uzdevumus un lai nodrošinātu vārtziņu pārskatatbildību attiecībā pret tirgu, vārtziņi 2025. gada martā iesniedza savus atbilstības ziņojumus</w:t>
      </w:r>
      <w:r>
        <w:rPr>
          <w:rStyle w:val="FootnoteReference"/>
          <w:rFonts w:ascii="Times New Roman" w:hAnsi="Times New Roman" w:cs="Times New Roman"/>
          <w:noProof/>
        </w:rPr>
        <w:footnoteReference w:id="18"/>
      </w:r>
      <w:r>
        <w:rPr>
          <w:rFonts w:ascii="Times New Roman" w:hAnsi="Times New Roman"/>
          <w:noProof/>
        </w:rPr>
        <w:t xml:space="preserve"> kopā ar neatkarīgi revidētiem aprakstiem par patērētāju profilēšanas metodēm, kuras piemēro to PPP vai starp tiem</w:t>
      </w:r>
      <w:r>
        <w:rPr>
          <w:rStyle w:val="FootnoteReference"/>
          <w:rFonts w:ascii="Times New Roman" w:hAnsi="Times New Roman" w:cs="Times New Roman"/>
          <w:noProof/>
        </w:rPr>
        <w:footnoteReference w:id="19"/>
      </w:r>
      <w:r>
        <w:rPr>
          <w:rFonts w:ascii="Times New Roman" w:hAnsi="Times New Roman"/>
          <w:noProof/>
        </w:rPr>
        <w:t>.</w:t>
      </w:r>
    </w:p>
    <w:p w14:paraId="753A6870" w14:textId="2CF276BE" w:rsidR="00A064EC" w:rsidRPr="00951305" w:rsidRDefault="00D5254A" w:rsidP="00A064EC">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Saskaņā ar DTA būtiska nozīme vārtziņu atbilstības uzraudzībā ir regulatīvajam dialogam: tas ļauj Komisijai intensīvi sadarboties ar vārtziņiem, lai apspriestu katru niansi to atbilstības priekšlikumos un risinājumos, arī attiecībā uz izmaiņām to PPP, kad tie attīstās, lai apmierinātu lietotāju prasības un iekļautu jaunas tehnoloģijas, piemēram, uz MI balstītas funkcijas, kā arī lai lūgtu un uzklausītu atsauksmes no attiecīgajām trešām personām.</w:t>
      </w:r>
    </w:p>
    <w:p w14:paraId="6579884B" w14:textId="22956F69" w:rsidR="00A6650F" w:rsidRPr="00951305" w:rsidRDefault="00AF05BB" w:rsidP="00D5254A">
      <w:pPr>
        <w:pStyle w:val="ListParagraph"/>
        <w:widowControl w:val="0"/>
        <w:numPr>
          <w:ilvl w:val="0"/>
          <w:numId w:val="1"/>
        </w:numPr>
        <w:autoSpaceDE w:val="0"/>
        <w:autoSpaceDN w:val="0"/>
        <w:spacing w:before="120" w:after="120" w:line="240" w:lineRule="auto"/>
        <w:ind w:left="993" w:hanging="502"/>
        <w:contextualSpacing w:val="0"/>
        <w:jc w:val="both"/>
        <w:rPr>
          <w:noProof/>
        </w:rPr>
      </w:pPr>
      <w:r>
        <w:rPr>
          <w:rFonts w:ascii="Times New Roman" w:hAnsi="Times New Roman"/>
          <w:noProof/>
        </w:rPr>
        <w:t>Regulatīvā dialoga atklātā rakstura ietvaros Komisija 2025. gada jūnijā un jūlijā rīkoja arī vairākus darbseminārus, kuros dalībnieki varēja paust viedokli par “</w:t>
      </w:r>
      <w:r>
        <w:rPr>
          <w:rFonts w:ascii="Times New Roman" w:hAnsi="Times New Roman"/>
          <w:i/>
          <w:iCs/>
          <w:noProof/>
        </w:rPr>
        <w:t>Amazon</w:t>
      </w:r>
      <w:r>
        <w:rPr>
          <w:rFonts w:ascii="Times New Roman" w:hAnsi="Times New Roman"/>
          <w:noProof/>
        </w:rPr>
        <w:t>”, “</w:t>
      </w:r>
      <w:r>
        <w:rPr>
          <w:rFonts w:ascii="Times New Roman" w:hAnsi="Times New Roman"/>
          <w:i/>
          <w:iCs/>
          <w:noProof/>
        </w:rPr>
        <w:t>Alphabet</w:t>
      </w:r>
      <w:r>
        <w:rPr>
          <w:rFonts w:ascii="Times New Roman" w:hAnsi="Times New Roman"/>
          <w:noProof/>
        </w:rPr>
        <w:t>”, “</w:t>
      </w:r>
      <w:r>
        <w:rPr>
          <w:rFonts w:ascii="Times New Roman" w:hAnsi="Times New Roman"/>
          <w:i/>
          <w:iCs/>
          <w:noProof/>
        </w:rPr>
        <w:t>Apple</w:t>
      </w:r>
      <w:r>
        <w:rPr>
          <w:rFonts w:ascii="Times New Roman" w:hAnsi="Times New Roman"/>
          <w:noProof/>
        </w:rPr>
        <w:t>”, “</w:t>
      </w:r>
      <w:r>
        <w:rPr>
          <w:rFonts w:ascii="Times New Roman" w:hAnsi="Times New Roman"/>
          <w:i/>
          <w:iCs/>
          <w:noProof/>
        </w:rPr>
        <w:t>ByteDance</w:t>
      </w:r>
      <w:r>
        <w:rPr>
          <w:rFonts w:ascii="Times New Roman" w:hAnsi="Times New Roman"/>
          <w:noProof/>
        </w:rPr>
        <w:t>”, “</w:t>
      </w:r>
      <w:r>
        <w:rPr>
          <w:rFonts w:ascii="Times New Roman" w:hAnsi="Times New Roman"/>
          <w:i/>
          <w:iCs/>
          <w:noProof/>
        </w:rPr>
        <w:t>Meta</w:t>
      </w:r>
      <w:r>
        <w:rPr>
          <w:rFonts w:ascii="Times New Roman" w:hAnsi="Times New Roman"/>
          <w:noProof/>
        </w:rPr>
        <w:t>” un “</w:t>
      </w:r>
      <w:r>
        <w:rPr>
          <w:rFonts w:ascii="Times New Roman" w:hAnsi="Times New Roman"/>
          <w:i/>
          <w:iCs/>
          <w:noProof/>
        </w:rPr>
        <w:t>Microsoft</w:t>
      </w:r>
      <w:r>
        <w:rPr>
          <w:rFonts w:ascii="Times New Roman" w:hAnsi="Times New Roman"/>
          <w:noProof/>
        </w:rPr>
        <w:t>” īstenotajiem atbilstības pasākumiem. Tajos īpaša uzmanība tika pievērsta izmaiņām, kas ieviestas šajos atbilstības pasākumos</w:t>
      </w:r>
      <w:r>
        <w:rPr>
          <w:rStyle w:val="FootnoteReference"/>
          <w:rFonts w:ascii="Times New Roman" w:eastAsia="Times New Roman" w:hAnsi="Times New Roman" w:cs="Times New Roman"/>
          <w:noProof/>
          <w:kern w:val="0"/>
        </w:rPr>
        <w:footnoteReference w:id="20"/>
      </w:r>
      <w:r>
        <w:rPr>
          <w:rFonts w:ascii="Times New Roman" w:hAnsi="Times New Roman"/>
          <w:noProof/>
        </w:rPr>
        <w:t>. Minētajos darbsemināros varēja piedalīties plaša sabiedrība, jo īpaši komerciālie lietotāji, pilsoniskā sabiedrība un patērētāju un uzņēmumu apvienības. Visu 2025. gadā notikušo darbsemināru ieraksti ir pieejami Komisijas DTA tīmekļvietnē</w:t>
      </w:r>
      <w:r>
        <w:rPr>
          <w:rStyle w:val="FootnoteReference"/>
          <w:rFonts w:ascii="Times New Roman" w:hAnsi="Times New Roman" w:cs="Times New Roman"/>
          <w:noProof/>
        </w:rPr>
        <w:footnoteReference w:id="21"/>
      </w:r>
      <w:r>
        <w:rPr>
          <w:rFonts w:ascii="Times New Roman" w:hAnsi="Times New Roman"/>
          <w:noProof/>
        </w:rPr>
        <w:t>. Pēc diskusijām ar pilsoniskās sabiedrības pārstāvjiem Komisija ieviesa papildu pārredzamības pasākumus attiecībā uz dalībnieku saikni ar vārtziņiem.</w:t>
      </w:r>
    </w:p>
    <w:p w14:paraId="09405E0E" w14:textId="70F56ADD" w:rsidR="008500AD" w:rsidRPr="00951305" w:rsidRDefault="00C33F0A" w:rsidP="00AF79FB">
      <w:pPr>
        <w:pStyle w:val="ListParagraph"/>
        <w:widowControl w:val="0"/>
        <w:numPr>
          <w:ilvl w:val="0"/>
          <w:numId w:val="6"/>
        </w:numPr>
        <w:autoSpaceDE w:val="0"/>
        <w:autoSpaceDN w:val="0"/>
        <w:spacing w:before="120" w:after="120" w:line="240" w:lineRule="auto"/>
        <w:contextualSpacing w:val="0"/>
        <w:jc w:val="both"/>
        <w:rPr>
          <w:rFonts w:ascii="Times New Roman" w:hAnsi="Times New Roman" w:cs="Times New Roman"/>
          <w:b/>
          <w:noProof/>
        </w:rPr>
      </w:pPr>
      <w:r>
        <w:rPr>
          <w:rFonts w:ascii="Times New Roman" w:hAnsi="Times New Roman"/>
          <w:b/>
          <w:noProof/>
        </w:rPr>
        <w:t>Rezultāti un ieguvumi saistībā ar vārtziņu atbilstību DTA 5., 6. un 7. pantam</w:t>
      </w:r>
    </w:p>
    <w:p w14:paraId="76DF5592" w14:textId="1A600C5D" w:rsidR="00C4057E" w:rsidRPr="00DF2E5C" w:rsidRDefault="00D40EDC" w:rsidP="00DF2E5C">
      <w:pPr>
        <w:pStyle w:val="ListParagraph"/>
        <w:widowControl w:val="0"/>
        <w:numPr>
          <w:ilvl w:val="0"/>
          <w:numId w:val="1"/>
        </w:numPr>
        <w:autoSpaceDE w:val="0"/>
        <w:autoSpaceDN w:val="0"/>
        <w:spacing w:before="120" w:after="120" w:line="240" w:lineRule="auto"/>
        <w:ind w:left="1003" w:hanging="578"/>
        <w:contextualSpacing w:val="0"/>
        <w:jc w:val="both"/>
        <w:rPr>
          <w:rFonts w:ascii="Times New Roman" w:hAnsi="Times New Roman" w:cs="Times New Roman"/>
          <w:noProof/>
        </w:rPr>
      </w:pPr>
      <w:r>
        <w:rPr>
          <w:rFonts w:ascii="Times New Roman" w:hAnsi="Times New Roman"/>
          <w:noProof/>
        </w:rPr>
        <w:t>DTA darbības joma ir plaša. Tas aptver PPP, kas ir būtiski lietotāju ikdienas dzīvē, piemēram, operētājsistēmas, tiešsaistes sociālos tīklus vai tiešsaistes meklētājprogrammas, un uzliek vārtziņiem daudzus pienākumus. Attiecīgi minētā regula jau ir veicinājusi digitālo pakalpojumu kvalitāti ES lietotājiem, nodrošinot viņiem lielāku kontroli pār saviem datiem, atverot mobilās ekosistēmas, novēršot tīkla ietekmi ziņapmaiņas pakalpojumos un padarot tiešsaistes pakalpojumus taisnīgākus.</w:t>
      </w:r>
    </w:p>
    <w:p w14:paraId="0E7D745E" w14:textId="4EE3C549" w:rsidR="00FE5BE4" w:rsidRPr="00951305" w:rsidRDefault="003C428A" w:rsidP="00AF79FB">
      <w:pPr>
        <w:pStyle w:val="ListParagraph"/>
        <w:widowControl w:val="0"/>
        <w:numPr>
          <w:ilvl w:val="0"/>
          <w:numId w:val="9"/>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Lietotājiem ir piešķirta kontrole pār saviem datiem</w:t>
      </w:r>
    </w:p>
    <w:p w14:paraId="0DBEA761" w14:textId="7A02A1D0" w:rsidR="00A025E8" w:rsidRPr="00951305" w:rsidRDefault="00A025E8" w:rsidP="003D152E">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Viena no vārtziņu galvenajām iezīmēm ir to spēja uzkrāt lielu datu apjomu, kas rada šķēršļus ienākšanai tajos tirgos, kuros darbojas vārtziņi. Turklāt bieži vien konkurenti nevar piekļūt šiem datiem un tas apdraud tirgus sāncensību, kā arī galu galā samazina galalietotāju izvēli un kavē inovāciju. Tādēļ daudzi DTA noteikumi – 5. panta 2., 9. un 10. punkts, 6. panta 2., 8., 9. un 10. punkts – ir vērsti uz to, kā vārtziņi izmanto uzkrātos datus, un nodrošina galalietotājiem un komerciālajiem lietotājiem lielāku kontroli pār datiem, ko tie ģenerē, izmantojot vārtziņu pakalpojumus.</w:t>
      </w:r>
    </w:p>
    <w:p w14:paraId="1B8DFF82" w14:textId="11DFC112" w:rsidR="00A025E8" w:rsidRPr="00951305" w:rsidRDefault="00A025E8" w:rsidP="003D152E">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Komisija joprojām ļoti aktīvi darbojas šajā jomā. Proti, tā pieņēma lēmumu par neatbilstību pret “</w:t>
      </w:r>
      <w:r>
        <w:rPr>
          <w:rFonts w:ascii="Times New Roman" w:hAnsi="Times New Roman"/>
          <w:i/>
          <w:iCs/>
          <w:noProof/>
        </w:rPr>
        <w:t>Meta</w:t>
      </w:r>
      <w:r>
        <w:rPr>
          <w:rFonts w:ascii="Times New Roman" w:hAnsi="Times New Roman"/>
          <w:noProof/>
        </w:rPr>
        <w:t>” par DTA 5. panta 2. punkta pārkāpumu</w:t>
      </w:r>
      <w:r>
        <w:rPr>
          <w:rStyle w:val="FootnoteReference"/>
          <w:rFonts w:ascii="Times New Roman" w:hAnsi="Times New Roman" w:cs="Times New Roman"/>
          <w:noProof/>
        </w:rPr>
        <w:footnoteReference w:id="22"/>
      </w:r>
      <w:r>
        <w:rPr>
          <w:rFonts w:ascii="Times New Roman" w:hAnsi="Times New Roman"/>
          <w:noProof/>
        </w:rPr>
        <w:t>. Šis pienākums paredz, ka vārtziņiem ir jāprasa lietotāju piekrišana to personas datu apvienošanai starp pakalpojumiem. Lietotājiem, kuri nepiekrīt, ir jābūt pieejamai mazāk personalizētai, bet līdzvērtīgai alternatīvai. Tādi vārtziņi kā “</w:t>
      </w:r>
      <w:r>
        <w:rPr>
          <w:rFonts w:ascii="Times New Roman" w:hAnsi="Times New Roman"/>
          <w:i/>
          <w:iCs/>
          <w:noProof/>
        </w:rPr>
        <w:t>Microsoft</w:t>
      </w:r>
      <w:r>
        <w:rPr>
          <w:rFonts w:ascii="Times New Roman" w:hAnsi="Times New Roman"/>
          <w:noProof/>
        </w:rPr>
        <w:t>” un “</w:t>
      </w:r>
      <w:r>
        <w:rPr>
          <w:rFonts w:ascii="Times New Roman" w:hAnsi="Times New Roman"/>
          <w:i/>
          <w:iCs/>
          <w:noProof/>
        </w:rPr>
        <w:t>Alphabet</w:t>
      </w:r>
      <w:r>
        <w:rPr>
          <w:rFonts w:ascii="Times New Roman" w:hAnsi="Times New Roman"/>
          <w:noProof/>
        </w:rPr>
        <w:t>” ir izvērsuši piekrišanas ekrānus, kas ļauj galalietotājiem paust piekrišanu savu datu apvienošanai katra vārtziņa pakalpojumos. Ievērojama daļa galalietotāju ir nolēmuši nedot savu piekrišanu.</w:t>
      </w:r>
    </w:p>
    <w:p w14:paraId="48D0A769" w14:textId="5ECEE1EA" w:rsidR="00A025E8" w:rsidRPr="00951305" w:rsidRDefault="00A025E8" w:rsidP="003D152E">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Komisija sāka procedūru pret “</w:t>
      </w:r>
      <w:r>
        <w:rPr>
          <w:rFonts w:ascii="Times New Roman" w:hAnsi="Times New Roman"/>
          <w:i/>
          <w:iCs/>
          <w:noProof/>
        </w:rPr>
        <w:t>Meta</w:t>
      </w:r>
      <w:r>
        <w:rPr>
          <w:rFonts w:ascii="Times New Roman" w:hAnsi="Times New Roman"/>
          <w:noProof/>
        </w:rPr>
        <w:t xml:space="preserve">” pēc tam, kad 2023. gada 30. oktobrī tika paziņots par tā bināro reklāmas modeli “piekrīti vai maksā”. Tas nozīmēja, ka </w:t>
      </w:r>
      <w:r>
        <w:rPr>
          <w:rFonts w:ascii="Times New Roman" w:hAnsi="Times New Roman"/>
          <w:i/>
          <w:iCs/>
          <w:noProof/>
        </w:rPr>
        <w:t>Facebook</w:t>
      </w:r>
      <w:r>
        <w:rPr>
          <w:rFonts w:ascii="Times New Roman" w:hAnsi="Times New Roman"/>
          <w:noProof/>
        </w:rPr>
        <w:t xml:space="preserve"> un </w:t>
      </w:r>
      <w:r>
        <w:rPr>
          <w:rFonts w:ascii="Times New Roman" w:hAnsi="Times New Roman"/>
          <w:i/>
          <w:iCs/>
          <w:noProof/>
        </w:rPr>
        <w:t>Instagram</w:t>
      </w:r>
      <w:r>
        <w:rPr>
          <w:rFonts w:ascii="Times New Roman" w:hAnsi="Times New Roman"/>
          <w:noProof/>
        </w:rPr>
        <w:t xml:space="preserve"> lietotājiem ES bija izvēle vai nu piekrist, ka viņu personas dati tiek apvienoti personalizētai reklāmai, vai maksāt ikmēneša abonementu par pakalpojumu bez reklāmām. Komisija konstatēja, ka šis modelis ir pretrunā DTA, jo tas nesniedza lietotājiem konkrētu izvēli, kas paredzēta DTA 5. panta 2. punktā, proti, izvēlēties pakalpojumu, kurā tiek izmantots mazāk viņu personas datu, bet kurš citādi ir līdzvērtīgs pakalpojumam, kas ietver personalizētu reklāmu. Turklāt “</w:t>
      </w:r>
      <w:r>
        <w:rPr>
          <w:rFonts w:ascii="Times New Roman" w:hAnsi="Times New Roman"/>
          <w:i/>
          <w:iCs/>
          <w:noProof/>
        </w:rPr>
        <w:t>Meta</w:t>
      </w:r>
      <w:r>
        <w:rPr>
          <w:rFonts w:ascii="Times New Roman" w:hAnsi="Times New Roman"/>
          <w:noProof/>
        </w:rPr>
        <w:t>” modelis neļāva lietotājiem izmantot savas tiesības brīvi piekrist savu personas datu apvienošanai. “</w:t>
      </w:r>
      <w:r>
        <w:rPr>
          <w:rFonts w:ascii="Times New Roman" w:hAnsi="Times New Roman"/>
          <w:i/>
          <w:iCs/>
          <w:noProof/>
        </w:rPr>
        <w:t>Meta</w:t>
      </w:r>
      <w:r>
        <w:rPr>
          <w:rFonts w:ascii="Times New Roman" w:hAnsi="Times New Roman"/>
          <w:noProof/>
        </w:rPr>
        <w:t>” tika uzlikts naudas sods 200 miljonu EUR apmērā</w:t>
      </w:r>
      <w:r>
        <w:rPr>
          <w:rStyle w:val="FootnoteReference"/>
          <w:rFonts w:ascii="Times New Roman" w:hAnsi="Times New Roman" w:cs="Times New Roman"/>
          <w:noProof/>
        </w:rPr>
        <w:footnoteReference w:id="23"/>
      </w:r>
      <w:r>
        <w:rPr>
          <w:rFonts w:ascii="Times New Roman" w:hAnsi="Times New Roman"/>
          <w:noProof/>
        </w:rPr>
        <w:t>.</w:t>
      </w:r>
    </w:p>
    <w:p w14:paraId="522C31AA" w14:textId="4E6A6921" w:rsidR="00D21910" w:rsidRPr="00951305" w:rsidRDefault="00A025E8" w:rsidP="00A10BD2">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w:t>
      </w:r>
      <w:r>
        <w:rPr>
          <w:rFonts w:ascii="Times New Roman" w:hAnsi="Times New Roman"/>
          <w:i/>
          <w:iCs/>
          <w:noProof/>
        </w:rPr>
        <w:t>Meta</w:t>
      </w:r>
      <w:r>
        <w:rPr>
          <w:rFonts w:ascii="Times New Roman" w:hAnsi="Times New Roman"/>
          <w:noProof/>
        </w:rPr>
        <w:t xml:space="preserve">” 2025. gada 8. decembrī paziņoja, ka no 2026. gada ES piedāvās lietotājiem alternatīvu </w:t>
      </w:r>
      <w:r>
        <w:rPr>
          <w:rFonts w:ascii="Times New Roman" w:hAnsi="Times New Roman"/>
          <w:i/>
          <w:iCs/>
          <w:noProof/>
        </w:rPr>
        <w:t>Facebook</w:t>
      </w:r>
      <w:r>
        <w:rPr>
          <w:rFonts w:ascii="Times New Roman" w:hAnsi="Times New Roman"/>
          <w:noProof/>
        </w:rPr>
        <w:t xml:space="preserve"> un </w:t>
      </w:r>
      <w:r>
        <w:rPr>
          <w:rFonts w:ascii="Times New Roman" w:hAnsi="Times New Roman"/>
          <w:i/>
          <w:iCs/>
          <w:noProof/>
        </w:rPr>
        <w:t>Instagram</w:t>
      </w:r>
      <w:r>
        <w:rPr>
          <w:rFonts w:ascii="Times New Roman" w:hAnsi="Times New Roman"/>
          <w:noProof/>
        </w:rPr>
        <w:t xml:space="preserve"> pakalpojumu izvēli, kas rādītu viņiem mazāk personalizētu reklāmu, lai nodrošinātu atbilstību DTA</w:t>
      </w:r>
      <w:r>
        <w:rPr>
          <w:rStyle w:val="FootnoteReference"/>
          <w:rFonts w:ascii="Times New Roman" w:hAnsi="Times New Roman" w:cs="Times New Roman"/>
          <w:noProof/>
        </w:rPr>
        <w:footnoteReference w:id="24"/>
      </w:r>
      <w:r>
        <w:rPr>
          <w:rFonts w:ascii="Times New Roman" w:hAnsi="Times New Roman"/>
          <w:noProof/>
        </w:rPr>
        <w:t>. “</w:t>
      </w:r>
      <w:r>
        <w:rPr>
          <w:rFonts w:ascii="Times New Roman" w:hAnsi="Times New Roman"/>
          <w:i/>
          <w:iCs/>
          <w:noProof/>
        </w:rPr>
        <w:t>Meta</w:t>
      </w:r>
      <w:r>
        <w:rPr>
          <w:rFonts w:ascii="Times New Roman" w:hAnsi="Times New Roman"/>
          <w:noProof/>
        </w:rPr>
        <w:t>” uzskata, ka galalietotājiem ES būtu izvēle vai nu piekrist kopīgot visus savus datus un redzēt pilnībā personalizētu reklāmu, vai arī izvēlēties kopīgot mazāk personas datu, lai gūtu pieredzi ar ierobežotāku personalizētu reklāmu. Kad šis jaunais reklāmas modelis būs ieviests, Komisija lūgs “</w:t>
      </w:r>
      <w:r>
        <w:rPr>
          <w:rFonts w:ascii="Times New Roman" w:hAnsi="Times New Roman"/>
          <w:i/>
          <w:iCs/>
          <w:noProof/>
        </w:rPr>
        <w:t>Meta</w:t>
      </w:r>
      <w:r>
        <w:rPr>
          <w:rFonts w:ascii="Times New Roman" w:hAnsi="Times New Roman"/>
          <w:noProof/>
        </w:rPr>
        <w:t>” un citām attiecīgajām ieinteresētajām personām sniegt atsauksmes un pierādījumus par tā ietekmi un ieviešanu</w:t>
      </w:r>
      <w:r>
        <w:rPr>
          <w:rStyle w:val="FootnoteReference"/>
          <w:rFonts w:ascii="Times New Roman" w:hAnsi="Times New Roman" w:cs="Times New Roman"/>
          <w:noProof/>
        </w:rPr>
        <w:footnoteReference w:id="25"/>
      </w:r>
      <w:r>
        <w:rPr>
          <w:rFonts w:ascii="Times New Roman" w:hAnsi="Times New Roman"/>
          <w:noProof/>
        </w:rPr>
        <w:t>.</w:t>
      </w:r>
    </w:p>
    <w:p w14:paraId="6BBD8DE3" w14:textId="05336DA6" w:rsidR="00A025E8" w:rsidRPr="00951305" w:rsidRDefault="00712D53" w:rsidP="003D152E">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Pārskata gads bija noslogots arī saistībā ar datu pārnesamību saskaņā ar DTA 6. panta 9. punktu. Regulatīvā dialoga rezultātā vārtziņi uzlaboja savus atbilstības risinājumus, kas ļauj galalietotājiem pārnest savus datus. Viens piemērs ir “</w:t>
      </w:r>
      <w:r>
        <w:rPr>
          <w:rFonts w:ascii="Times New Roman" w:hAnsi="Times New Roman"/>
          <w:i/>
          <w:iCs/>
          <w:noProof/>
        </w:rPr>
        <w:t>Alphabet</w:t>
      </w:r>
      <w:r>
        <w:rPr>
          <w:rFonts w:ascii="Times New Roman" w:hAnsi="Times New Roman"/>
          <w:noProof/>
        </w:rPr>
        <w:t>” piedāvātā iespēja pieprasīt uz nākotni vērstu piekļuvi datiem. Tas ļauj galalietotājiem iesniegt vienotu pieprasījumu par datu saņemšanu nākotnē katru dienu, nedēļu vai mēnesi. Vēl viens “</w:t>
      </w:r>
      <w:r>
        <w:rPr>
          <w:rFonts w:ascii="Times New Roman" w:hAnsi="Times New Roman"/>
          <w:i/>
          <w:iCs/>
          <w:noProof/>
        </w:rPr>
        <w:t>Alphabet</w:t>
      </w:r>
      <w:r>
        <w:rPr>
          <w:rFonts w:ascii="Times New Roman" w:hAnsi="Times New Roman"/>
          <w:noProof/>
        </w:rPr>
        <w:t>” datu pārnesamības lietotnes saskarnes atjauninājums ir iespēja noteikt periodu, par kuru tiek pieprasīti vēsturiskie dati. Tāpat 2025. gada augustā “</w:t>
      </w:r>
      <w:r>
        <w:rPr>
          <w:rFonts w:ascii="Times New Roman" w:hAnsi="Times New Roman"/>
          <w:i/>
          <w:iCs/>
          <w:noProof/>
        </w:rPr>
        <w:t>Meta</w:t>
      </w:r>
      <w:r>
        <w:rPr>
          <w:rFonts w:ascii="Times New Roman" w:hAnsi="Times New Roman"/>
          <w:noProof/>
        </w:rPr>
        <w:t xml:space="preserve">” konsolidēja savus </w:t>
      </w:r>
      <w:r>
        <w:rPr>
          <w:rFonts w:ascii="Times New Roman" w:hAnsi="Times New Roman"/>
          <w:i/>
          <w:iCs/>
          <w:noProof/>
        </w:rPr>
        <w:t>DYI</w:t>
      </w:r>
      <w:r>
        <w:rPr>
          <w:rFonts w:ascii="Times New Roman" w:hAnsi="Times New Roman"/>
          <w:noProof/>
        </w:rPr>
        <w:t xml:space="preserve"> (t. i., “lejupielādē savu informāciju”) un </w:t>
      </w:r>
      <w:r>
        <w:rPr>
          <w:rFonts w:ascii="Times New Roman" w:hAnsi="Times New Roman"/>
          <w:i/>
          <w:iCs/>
          <w:noProof/>
        </w:rPr>
        <w:t>TYI</w:t>
      </w:r>
      <w:r>
        <w:rPr>
          <w:rFonts w:ascii="Times New Roman" w:hAnsi="Times New Roman"/>
          <w:noProof/>
        </w:rPr>
        <w:t xml:space="preserve"> (t. i., “pārsūti savu informāciju”) rīkus vienā </w:t>
      </w:r>
      <w:r>
        <w:rPr>
          <w:rFonts w:ascii="Times New Roman" w:hAnsi="Times New Roman"/>
          <w:i/>
          <w:iCs/>
          <w:noProof/>
        </w:rPr>
        <w:t>EYI</w:t>
      </w:r>
      <w:r>
        <w:rPr>
          <w:rFonts w:ascii="Times New Roman" w:hAnsi="Times New Roman"/>
          <w:noProof/>
        </w:rPr>
        <w:t xml:space="preserve"> (t. i., eksportē savu informāciju) rīkā, uzlabojot galalietotāju pieredzi saistībā ar datu nosūtīšanu.</w:t>
      </w:r>
    </w:p>
    <w:p w14:paraId="01371169" w14:textId="7359BF65" w:rsidR="00A025E8" w:rsidRPr="00951305" w:rsidRDefault="00E023C6" w:rsidP="003D152E">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Regulatīvā dialoga starp Komisiju, “</w:t>
      </w:r>
      <w:r>
        <w:rPr>
          <w:rFonts w:ascii="Times New Roman" w:hAnsi="Times New Roman"/>
          <w:i/>
          <w:iCs/>
          <w:noProof/>
        </w:rPr>
        <w:t>Alphabet</w:t>
      </w:r>
      <w:r>
        <w:rPr>
          <w:rFonts w:ascii="Times New Roman" w:hAnsi="Times New Roman"/>
          <w:noProof/>
        </w:rPr>
        <w:t>” un “</w:t>
      </w:r>
      <w:r>
        <w:rPr>
          <w:rFonts w:ascii="Times New Roman" w:hAnsi="Times New Roman"/>
          <w:i/>
          <w:iCs/>
          <w:noProof/>
        </w:rPr>
        <w:t>Apple</w:t>
      </w:r>
      <w:r>
        <w:rPr>
          <w:rFonts w:ascii="Times New Roman" w:hAnsi="Times New Roman"/>
          <w:noProof/>
        </w:rPr>
        <w:t xml:space="preserve">” rezultātā tika izstrādāts arī ierīču pārnesamības risinājums, kas ļauj galalietotājiem viegli pārvietot savus datus no </w:t>
      </w:r>
      <w:r>
        <w:rPr>
          <w:rFonts w:ascii="Times New Roman" w:hAnsi="Times New Roman"/>
          <w:i/>
          <w:iCs/>
          <w:noProof/>
        </w:rPr>
        <w:t>Android</w:t>
      </w:r>
      <w:r>
        <w:rPr>
          <w:rFonts w:ascii="Times New Roman" w:hAnsi="Times New Roman"/>
          <w:noProof/>
        </w:rPr>
        <w:t xml:space="preserve"> ierīces uz </w:t>
      </w:r>
      <w:r>
        <w:rPr>
          <w:rFonts w:ascii="Times New Roman" w:hAnsi="Times New Roman"/>
          <w:i/>
          <w:iCs/>
          <w:noProof/>
        </w:rPr>
        <w:t>iPhone</w:t>
      </w:r>
      <w:r>
        <w:rPr>
          <w:rFonts w:ascii="Times New Roman" w:hAnsi="Times New Roman"/>
          <w:noProof/>
        </w:rPr>
        <w:t xml:space="preserve"> ierīci un otrādi. Arī izstrādātāji un ierīču ražotāji gūs labumu no šā atbilstības risinājuma. Izstrādātāji varēs paturēt savus lietotājus, ja tie pāries uz dažādām ierīcēm, savukārt ierīču ražotāji varēs piesaistīt vairāk lietotāju, kuri bija piesaistīti citām ierīču ekosistēmām.</w:t>
      </w:r>
    </w:p>
    <w:p w14:paraId="625551C5" w14:textId="3D151B55" w:rsidR="003C428A" w:rsidRPr="00951305" w:rsidRDefault="003C428A" w:rsidP="00AF79FB">
      <w:pPr>
        <w:pStyle w:val="ListParagraph"/>
        <w:widowControl w:val="0"/>
        <w:numPr>
          <w:ilvl w:val="0"/>
          <w:numId w:val="9"/>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Mobilo ekosistēmu atvēršana</w:t>
      </w:r>
    </w:p>
    <w:p w14:paraId="3C854E92" w14:textId="57C54AA4" w:rsidR="003A02EA" w:rsidRPr="00951305" w:rsidRDefault="003A02EA" w:rsidP="005E25E7">
      <w:pPr>
        <w:pStyle w:val="ListParagraph"/>
        <w:widowControl w:val="0"/>
        <w:numPr>
          <w:ilvl w:val="0"/>
          <w:numId w:val="1"/>
        </w:numPr>
        <w:autoSpaceDE w:val="0"/>
        <w:autoSpaceDN w:val="0"/>
        <w:spacing w:before="120" w:after="120" w:line="240" w:lineRule="auto"/>
        <w:ind w:hanging="578"/>
        <w:jc w:val="both"/>
        <w:rPr>
          <w:rFonts w:ascii="Times New Roman" w:hAnsi="Times New Roman" w:cs="Times New Roman"/>
          <w:noProof/>
        </w:rPr>
      </w:pPr>
      <w:r>
        <w:rPr>
          <w:rFonts w:ascii="Times New Roman" w:hAnsi="Times New Roman"/>
          <w:noProof/>
        </w:rPr>
        <w:t>Regulatīvais dialogs sniedza rezultātus ne tikai attiecībā uz lietotāju kontroli pār saviem datiem, bet arī uz mobilo ekosistēmu atvēršanu. Šajā jomā DTA ir paredzēti vairāki pienākumi, piemēram, 5. panta 4., 7. un 8. punktā, 6. panta 3., 4. un 7. punktā. To kopīgais mērķis ir radīt vairāk iespēju izstrādātājiem, veicinot inovāciju, un sniegt lielāku izvēli galalietotājiem ES. Piemēram, šajās tiesību normās ir paredzēts, ka vārtziņiem ir jāļauj izstrādātājiem virzīt savus galalietotājus uz labākiem piedāvājumiem ārpus vārtziņu pakalpojumiem, jānodrošina izvēles ekrāni, jāļauj izmantot alternatīvus izplatīšanas kanālus un bez maksas jānodrošina efektīva sadarbspēja ar to aparatūru un programmatūru.</w:t>
      </w:r>
    </w:p>
    <w:p w14:paraId="6809F9A0" w14:textId="1EC82701" w:rsidR="00221CE1" w:rsidRPr="00951305" w:rsidRDefault="00221CE1" w:rsidP="00B46471">
      <w:pPr>
        <w:widowControl w:val="0"/>
        <w:autoSpaceDE w:val="0"/>
        <w:autoSpaceDN w:val="0"/>
        <w:spacing w:before="120" w:after="120" w:line="240" w:lineRule="auto"/>
        <w:ind w:left="993"/>
        <w:jc w:val="both"/>
        <w:rPr>
          <w:rFonts w:ascii="Times New Roman" w:hAnsi="Times New Roman" w:cs="Times New Roman"/>
          <w:i/>
          <w:noProof/>
        </w:rPr>
      </w:pPr>
      <w:r>
        <w:rPr>
          <w:rFonts w:ascii="Times New Roman" w:hAnsi="Times New Roman"/>
          <w:i/>
          <w:noProof/>
        </w:rPr>
        <w:t>Noklusējuma iestatījumi, izvēles ekrāni un atinstalēšana</w:t>
      </w:r>
    </w:p>
    <w:p w14:paraId="29C999AE" w14:textId="10FD6987" w:rsidR="004E40EF" w:rsidRPr="00951305" w:rsidRDefault="00EB46CF" w:rsidP="003D152E">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Šajā jomā Komisija iesaistījās regulatīvajā dialogā ar “</w:t>
      </w:r>
      <w:r>
        <w:rPr>
          <w:rFonts w:ascii="Times New Roman" w:hAnsi="Times New Roman"/>
          <w:i/>
          <w:iCs/>
          <w:noProof/>
        </w:rPr>
        <w:t>Microsoft</w:t>
      </w:r>
      <w:r>
        <w:rPr>
          <w:rFonts w:ascii="Times New Roman" w:hAnsi="Times New Roman"/>
          <w:noProof/>
        </w:rPr>
        <w:t>”, kas 2025. gadā veica vairākas izmaiņas, kuras citastarp atviegloja galalietotājiem noklusējuma tīmekļa pārlūkprogrammas iestatīšanu un efektīvu izmantošanu. Komisija arī iesaistījās regulatīvajā dialogā ar “</w:t>
      </w:r>
      <w:r>
        <w:rPr>
          <w:rFonts w:ascii="Times New Roman" w:hAnsi="Times New Roman"/>
          <w:i/>
          <w:iCs/>
          <w:noProof/>
        </w:rPr>
        <w:t>Alphabet</w:t>
      </w:r>
      <w:r>
        <w:rPr>
          <w:rFonts w:ascii="Times New Roman" w:hAnsi="Times New Roman"/>
          <w:noProof/>
        </w:rPr>
        <w:t>”, kas turpināja ieviest (tiešsaistes meklētājprogrammu un tīmekļa pārlūkprogrammu) izvēles ekrānus</w:t>
      </w:r>
      <w:r>
        <w:rPr>
          <w:rStyle w:val="FootnoteReference"/>
          <w:rFonts w:ascii="Times New Roman" w:hAnsi="Times New Roman" w:cs="Times New Roman"/>
          <w:noProof/>
        </w:rPr>
        <w:footnoteReference w:id="26"/>
      </w:r>
      <w:r>
        <w:rPr>
          <w:rFonts w:ascii="Times New Roman" w:hAnsi="Times New Roman"/>
          <w:noProof/>
        </w:rPr>
        <w:t>.</w:t>
      </w:r>
    </w:p>
    <w:p w14:paraId="2017B0BF" w14:textId="3814D71D" w:rsidR="00EB46CF" w:rsidRPr="00951305" w:rsidRDefault="00FB58E0" w:rsidP="009D0485">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Vēl viens piemērs ir procedūras pabeigšana attiecībā uz “</w:t>
      </w:r>
      <w:r>
        <w:rPr>
          <w:rFonts w:ascii="Times New Roman" w:hAnsi="Times New Roman"/>
          <w:i/>
          <w:iCs/>
          <w:noProof/>
        </w:rPr>
        <w:t>Apple</w:t>
      </w:r>
      <w:r>
        <w:rPr>
          <w:rFonts w:ascii="Times New Roman" w:hAnsi="Times New Roman"/>
          <w:noProof/>
        </w:rPr>
        <w:t>” un DTA 6. panta 3. punktu. Komisija 2024. gadā sāka neatbilstības izmeklēšanu par to, vai “</w:t>
      </w:r>
      <w:r>
        <w:rPr>
          <w:rFonts w:ascii="Times New Roman" w:hAnsi="Times New Roman"/>
          <w:i/>
          <w:iCs/>
          <w:noProof/>
        </w:rPr>
        <w:t>Apple</w:t>
      </w:r>
      <w:r>
        <w:rPr>
          <w:rFonts w:ascii="Times New Roman" w:hAnsi="Times New Roman"/>
          <w:noProof/>
        </w:rPr>
        <w:t xml:space="preserve">” pilda savu pienākumu ļaut lietotājiem viegli atinstalēt lietotnes no </w:t>
      </w:r>
      <w:r>
        <w:rPr>
          <w:rFonts w:ascii="Times New Roman" w:hAnsi="Times New Roman"/>
          <w:i/>
          <w:iCs/>
          <w:noProof/>
        </w:rPr>
        <w:t>iOS</w:t>
      </w:r>
      <w:r>
        <w:rPr>
          <w:rFonts w:ascii="Times New Roman" w:hAnsi="Times New Roman"/>
          <w:noProof/>
        </w:rPr>
        <w:t>, mainīt noklusējuma iestatījumus un izvēles ekrānā izvēlēties noklusējuma tīmekļa pārlūkprogrammu. Uzsākot procedūru, “</w:t>
      </w:r>
      <w:r>
        <w:rPr>
          <w:rFonts w:ascii="Times New Roman" w:hAnsi="Times New Roman"/>
          <w:i/>
          <w:iCs/>
          <w:noProof/>
        </w:rPr>
        <w:t>Apple</w:t>
      </w:r>
      <w:r>
        <w:rPr>
          <w:rFonts w:ascii="Times New Roman" w:hAnsi="Times New Roman"/>
          <w:noProof/>
        </w:rPr>
        <w:t>” izmantoja konstruktīvu pieeju un uzlaboja tīmekļa pārlūkprogrammu izvēles ekrānu, padarot lietotāja pieredzi raitāku, nekā tas bija sākotnēji. “</w:t>
      </w:r>
      <w:r>
        <w:rPr>
          <w:rFonts w:ascii="Times New Roman" w:hAnsi="Times New Roman"/>
          <w:i/>
          <w:iCs/>
          <w:noProof/>
        </w:rPr>
        <w:t>Apple</w:t>
      </w:r>
      <w:r>
        <w:rPr>
          <w:rFonts w:ascii="Times New Roman" w:hAnsi="Times New Roman"/>
          <w:noProof/>
        </w:rPr>
        <w:t xml:space="preserve">” arī atviegloja citu noklusējuma iestatījumu maiņu </w:t>
      </w:r>
      <w:r>
        <w:rPr>
          <w:rFonts w:ascii="Times New Roman" w:hAnsi="Times New Roman"/>
          <w:i/>
          <w:iCs/>
          <w:noProof/>
        </w:rPr>
        <w:t>iOS</w:t>
      </w:r>
      <w:r>
        <w:rPr>
          <w:rFonts w:ascii="Times New Roman" w:hAnsi="Times New Roman"/>
          <w:noProof/>
        </w:rPr>
        <w:t>, piemēram, to, kas saistīti ar zvaniem, ziņojumiem, paroļu pārvaldītājiem vai tulkošanas pakalpojumiem, un ļāva atinstalēt “</w:t>
      </w:r>
      <w:r>
        <w:rPr>
          <w:rFonts w:ascii="Times New Roman" w:hAnsi="Times New Roman"/>
          <w:i/>
          <w:iCs/>
          <w:noProof/>
        </w:rPr>
        <w:t>Apple</w:t>
      </w:r>
      <w:r>
        <w:rPr>
          <w:rFonts w:ascii="Times New Roman" w:hAnsi="Times New Roman"/>
          <w:noProof/>
        </w:rPr>
        <w:t xml:space="preserve">” iepriekš instalētās lietotnes, piemēram, tīmekļa pārlūkprogrammu </w:t>
      </w:r>
      <w:r>
        <w:rPr>
          <w:rFonts w:ascii="Times New Roman" w:hAnsi="Times New Roman"/>
          <w:i/>
          <w:iCs/>
          <w:noProof/>
        </w:rPr>
        <w:t>Safari</w:t>
      </w:r>
      <w:r>
        <w:rPr>
          <w:rFonts w:ascii="Times New Roman" w:hAnsi="Times New Roman"/>
          <w:noProof/>
        </w:rPr>
        <w:t xml:space="preserve"> vai </w:t>
      </w:r>
      <w:r>
        <w:rPr>
          <w:rFonts w:ascii="Times New Roman" w:hAnsi="Times New Roman"/>
          <w:i/>
          <w:iCs/>
          <w:noProof/>
        </w:rPr>
        <w:t>App Store</w:t>
      </w:r>
      <w:r>
        <w:rPr>
          <w:rFonts w:ascii="Times New Roman" w:hAnsi="Times New Roman"/>
          <w:noProof/>
        </w:rPr>
        <w:t>.</w:t>
      </w:r>
    </w:p>
    <w:p w14:paraId="512BF4E6" w14:textId="1654CA5B" w:rsidR="00EB46CF" w:rsidRPr="00951305" w:rsidRDefault="00AD1E7C" w:rsidP="003D152E">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Šī lieta ir piemērs tam, cik efektīvi un lietderīgi var būt gadījumi, kad vārtziņi un trešās personas pozitīvi sadarbojas ar Komisiju. Komisija slēdza izmeklēšanu 2025. gada 23. aprīlī, nepieņemot lēmumu par neatbilstību</w:t>
      </w:r>
      <w:r>
        <w:rPr>
          <w:rStyle w:val="FootnoteReference"/>
          <w:rFonts w:ascii="Times New Roman" w:hAnsi="Times New Roman" w:cs="Times New Roman"/>
          <w:noProof/>
        </w:rPr>
        <w:footnoteReference w:id="27"/>
      </w:r>
      <w:r>
        <w:rPr>
          <w:rFonts w:ascii="Times New Roman" w:hAnsi="Times New Roman"/>
          <w:noProof/>
        </w:rPr>
        <w:t>. Tā turpinās uzraudzīt “</w:t>
      </w:r>
      <w:r>
        <w:rPr>
          <w:rFonts w:ascii="Times New Roman" w:hAnsi="Times New Roman"/>
          <w:i/>
          <w:iCs/>
          <w:noProof/>
        </w:rPr>
        <w:t>Apple</w:t>
      </w:r>
      <w:r>
        <w:rPr>
          <w:rFonts w:ascii="Times New Roman" w:hAnsi="Times New Roman"/>
          <w:noProof/>
        </w:rPr>
        <w:t>” pasākumus un turpinās regulatīvo dialogu, lai nodrošinātu pilnīgu un efektīvu atbilstību DTA, sniedzot galalietotājiem jēgpilnu izvēli.</w:t>
      </w:r>
    </w:p>
    <w:p w14:paraId="35E0490D" w14:textId="3B91A1F4" w:rsidR="00221CE1" w:rsidRPr="00951305" w:rsidRDefault="00221CE1" w:rsidP="00B14FFB">
      <w:pPr>
        <w:pStyle w:val="ListParagraph"/>
        <w:widowControl w:val="0"/>
        <w:autoSpaceDE w:val="0"/>
        <w:autoSpaceDN w:val="0"/>
        <w:spacing w:before="120" w:after="120" w:line="240" w:lineRule="auto"/>
        <w:ind w:left="1004"/>
        <w:contextualSpacing w:val="0"/>
        <w:jc w:val="both"/>
        <w:rPr>
          <w:rFonts w:ascii="Times New Roman" w:hAnsi="Times New Roman" w:cs="Times New Roman"/>
          <w:i/>
          <w:noProof/>
        </w:rPr>
      </w:pPr>
      <w:r>
        <w:rPr>
          <w:rFonts w:ascii="Times New Roman" w:hAnsi="Times New Roman"/>
          <w:i/>
          <w:noProof/>
        </w:rPr>
        <w:t>Vertikālā sadarbspēja ar operētājsistēmām</w:t>
      </w:r>
    </w:p>
    <w:p w14:paraId="11E185AD" w14:textId="5C66E223" w:rsidR="003304DC" w:rsidRPr="00951305" w:rsidRDefault="003304DC" w:rsidP="003D152E">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Ar DTA 8. panta 2. punktu Komisija tiek pilnvarota pieņemt īstenošanas aktus, kuros nosaka, kādi pasākumi vārtziņiem ir jāīsteno, lai izpildītu DTA 6. un 7. pantā noteiktos pienākumus. Specifikācijas procedūras ļauj Komisijai sniegt vārtziņiem konkrētus norādījumus par to, kā izpildīt DTA noteiktos pienākumus. Šīs procedūras mērķis nav naudas sodu uzlikšana; ar to tiek izveidots oficiāls satvars, kurā Komisija un vārtziņi iesaistās tehniskā dialogā par atbilstības risinājumiem, vienlaikus ņemot vērā trešo personu sniegto ieguldījumu.</w:t>
      </w:r>
    </w:p>
    <w:p w14:paraId="18C5C91B" w14:textId="27E430E3" w:rsidR="00174EB4" w:rsidRPr="00951305" w:rsidRDefault="00417678"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Komisija 2025. gada 19. martā pieņēma pirmos divus specifikācijas lēmumus, lai palīdzētu “</w:t>
      </w:r>
      <w:r>
        <w:rPr>
          <w:rFonts w:ascii="Times New Roman" w:hAnsi="Times New Roman"/>
          <w:i/>
          <w:iCs/>
          <w:noProof/>
        </w:rPr>
        <w:t>Apple</w:t>
      </w:r>
      <w:r>
        <w:rPr>
          <w:rFonts w:ascii="Times New Roman" w:hAnsi="Times New Roman"/>
          <w:noProof/>
        </w:rPr>
        <w:t>” izpildīt DTA 6. panta 7. punktā noteikto sadarbspējas pienākumu</w:t>
      </w:r>
      <w:r>
        <w:rPr>
          <w:rStyle w:val="FootnoteReference"/>
          <w:rFonts w:ascii="Times New Roman" w:hAnsi="Times New Roman" w:cs="Times New Roman"/>
          <w:noProof/>
        </w:rPr>
        <w:footnoteReference w:id="28"/>
      </w:r>
      <w:r>
        <w:rPr>
          <w:rFonts w:ascii="Times New Roman" w:hAnsi="Times New Roman"/>
          <w:noProof/>
        </w:rPr>
        <w:t>. Šajā pienākumā ir paredzēts, ka vārtziņiem ir jānodrošina trešām personām efektīva sadarbspēja ar tām pašām aparatūras un programmatūras funkcijām, kurām piekļūst vai kuras kontrolē, izmantojot operētājsistēmu vai virtuālo asistentu, kas izraudzīts saskaņā ar DTA. Tas ir būtiski, lai dotu iespēju alternatīviem pakalpojumu sniedzējiem ieviest jauninājumus un piedāvāt alternatīvas vārtziņu pakalpojumiem. Tāpēc faktiska atbilstība DTA 6. panta 7. punktam nodrošina plašāku to produktu izvēli, kas pieejami Eiropas patērētājiem.</w:t>
      </w:r>
    </w:p>
    <w:p w14:paraId="76C0DA29" w14:textId="156AAE73" w:rsidR="00174EB4" w:rsidRPr="00951305" w:rsidRDefault="00174EB4"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 xml:space="preserve">Ar šiem diviem specifikācijas lēmumiem tika pabeigtas divas procedūras, kuras Komisija bija sākusi 2024. gada 19. septembrī. Viena no tām attiecās uz savienojamības funkcijām, ko nodrošina </w:t>
      </w:r>
      <w:r>
        <w:rPr>
          <w:rFonts w:ascii="Times New Roman" w:hAnsi="Times New Roman"/>
          <w:i/>
          <w:iCs/>
          <w:noProof/>
        </w:rPr>
        <w:t>iOS</w:t>
      </w:r>
      <w:r>
        <w:rPr>
          <w:rFonts w:ascii="Times New Roman" w:hAnsi="Times New Roman"/>
          <w:noProof/>
        </w:rPr>
        <w:t>, un saistītajām funkcijām, ko galvenokārt izmanto savienotas ierīces, piemēram, viedpulksteņi, austiņas un citas valkājamas ierīces, un to vajadzībām. Otra attiecās uz procesu, ko “</w:t>
      </w:r>
      <w:r>
        <w:rPr>
          <w:rFonts w:ascii="Times New Roman" w:hAnsi="Times New Roman"/>
          <w:i/>
          <w:iCs/>
          <w:noProof/>
        </w:rPr>
        <w:t>Apple</w:t>
      </w:r>
      <w:r>
        <w:rPr>
          <w:rFonts w:ascii="Times New Roman" w:hAnsi="Times New Roman"/>
          <w:noProof/>
        </w:rPr>
        <w:t xml:space="preserve">” bija ieviesis, lai trešās personas varētu iesniegt sadarbspējas pieprasījumus attiecībā uz </w:t>
      </w:r>
      <w:r>
        <w:rPr>
          <w:rFonts w:ascii="Times New Roman" w:hAnsi="Times New Roman"/>
          <w:i/>
          <w:iCs/>
          <w:noProof/>
        </w:rPr>
        <w:t>iOS</w:t>
      </w:r>
      <w:r>
        <w:rPr>
          <w:rFonts w:ascii="Times New Roman" w:hAnsi="Times New Roman"/>
          <w:noProof/>
        </w:rPr>
        <w:t xml:space="preserve"> un </w:t>
      </w:r>
      <w:r>
        <w:rPr>
          <w:rFonts w:ascii="Times New Roman" w:hAnsi="Times New Roman"/>
          <w:i/>
          <w:iCs/>
          <w:noProof/>
        </w:rPr>
        <w:t>iPadOS</w:t>
      </w:r>
      <w:r>
        <w:rPr>
          <w:rFonts w:ascii="Times New Roman" w:hAnsi="Times New Roman"/>
          <w:noProof/>
        </w:rPr>
        <w:t>.</w:t>
      </w:r>
    </w:p>
    <w:p w14:paraId="5F7E506D" w14:textId="13ACD18B" w:rsidR="00174EB4" w:rsidRPr="00951305" w:rsidRDefault="00B17471"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 xml:space="preserve">Specifikācijas lēmums par savienojamības funkcijām attiecās uz pasākumiem, ar kuriem ierīču ražotājiem un lietotņu izstrādātājiem tika piešķirta uzlabota piekļuve </w:t>
      </w:r>
      <w:r>
        <w:rPr>
          <w:rFonts w:ascii="Times New Roman" w:hAnsi="Times New Roman"/>
          <w:i/>
          <w:iCs/>
          <w:noProof/>
        </w:rPr>
        <w:t>iPhone</w:t>
      </w:r>
      <w:r>
        <w:rPr>
          <w:rFonts w:ascii="Times New Roman" w:hAnsi="Times New Roman"/>
          <w:noProof/>
        </w:rPr>
        <w:t xml:space="preserve"> funkcijām, kas mijiedarbojas ar šādām ierīcēm (piem., paziņojumu parādīšana viedpulksteņos), nodrošināta ātrāka datu nosūtīšana (piem., vienādranga Wi-Fi savienojumi un tuvā lauka sakari) un vieglāka ierīču uzstādīšana (piem., sapārošana).</w:t>
      </w:r>
    </w:p>
    <w:p w14:paraId="0BE0576B" w14:textId="0EECC2C3" w:rsidR="00174EB4" w:rsidRPr="00951305" w:rsidRDefault="00B17471"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Ar specifikācijas lēmumu par “</w:t>
      </w:r>
      <w:r>
        <w:rPr>
          <w:rFonts w:ascii="Times New Roman" w:hAnsi="Times New Roman"/>
          <w:i/>
          <w:iCs/>
          <w:noProof/>
        </w:rPr>
        <w:t>Apple</w:t>
      </w:r>
      <w:r>
        <w:rPr>
          <w:rFonts w:ascii="Times New Roman" w:hAnsi="Times New Roman"/>
          <w:noProof/>
        </w:rPr>
        <w:t>” sadarbspējas pieprasījumu apstrādes procesu tika ieviests pasākumu kopums, lai uzlabotu tā pārredzamību un efektivitāti. Tas ļāva uzlabot piekļuvi tehniskajai dokumentācijai par attiecīgajām funkcijām, kuras pašlaik neatkarīgajiem uzņēmumiem vēl nav pieejamas, nodrošināt savlaicīgu saziņu un atjauninājumus, kā arī paredzamākus sadarbspējas nodrošināšanas pieprasījumu izskatīšanas termiņus.</w:t>
      </w:r>
    </w:p>
    <w:p w14:paraId="74E82C01" w14:textId="26F37253" w:rsidR="00174EB4" w:rsidRPr="00951305" w:rsidRDefault="00174EB4" w:rsidP="003D152E">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Šie divi specifikācijas lēmumi, kas ir juridiski saistoši</w:t>
      </w:r>
      <w:r>
        <w:rPr>
          <w:rStyle w:val="FootnoteReference"/>
          <w:rFonts w:ascii="Times New Roman" w:hAnsi="Times New Roman" w:cs="Times New Roman"/>
          <w:noProof/>
        </w:rPr>
        <w:footnoteReference w:id="29"/>
      </w:r>
      <w:r>
        <w:rPr>
          <w:rFonts w:ascii="Times New Roman" w:hAnsi="Times New Roman"/>
          <w:noProof/>
        </w:rPr>
        <w:t>, sniedz jaunas iespējas ierīču ražotājiem ieviest jauninājumus un uzlabot Eiropas lietotāju pieredzi. Tie arī nodrošina, ka lietotņu izstrādātāji taisnīgāk un ātrāk apstrādā sadarbspējas pieprasījumus, un tas galu galā nodrošina lielāku izvēli Eiropas lietotājiem. “</w:t>
      </w:r>
      <w:r>
        <w:rPr>
          <w:rFonts w:ascii="Times New Roman" w:hAnsi="Times New Roman"/>
          <w:i/>
          <w:iCs/>
          <w:noProof/>
        </w:rPr>
        <w:t>Apple</w:t>
      </w:r>
      <w:r>
        <w:rPr>
          <w:rFonts w:ascii="Times New Roman" w:hAnsi="Times New Roman"/>
          <w:noProof/>
        </w:rPr>
        <w:t xml:space="preserve">” pastāvīgi īsteno visus šos pasākumus, ieviešot jaunus </w:t>
      </w:r>
      <w:r>
        <w:rPr>
          <w:rFonts w:ascii="Times New Roman" w:hAnsi="Times New Roman"/>
          <w:i/>
          <w:iCs/>
          <w:noProof/>
        </w:rPr>
        <w:t>iOS</w:t>
      </w:r>
      <w:r>
        <w:rPr>
          <w:rFonts w:ascii="Times New Roman" w:hAnsi="Times New Roman"/>
          <w:noProof/>
        </w:rPr>
        <w:t xml:space="preserve"> atjauninājumus. Piemēram, no 2025. gada 15. decembra ar </w:t>
      </w:r>
      <w:r>
        <w:rPr>
          <w:rFonts w:ascii="Times New Roman" w:hAnsi="Times New Roman"/>
          <w:i/>
          <w:iCs/>
          <w:noProof/>
        </w:rPr>
        <w:t>iOS 26.3</w:t>
      </w:r>
      <w:r>
        <w:rPr>
          <w:rFonts w:ascii="Times New Roman" w:hAnsi="Times New Roman"/>
          <w:noProof/>
        </w:rPr>
        <w:t xml:space="preserve"> beta versiju lietotņu izstrādātāji jau varēja testēt sadarbspēju ar funkcijām, kuras saistītas ar tuvuma sapārošanu, kas ļauj savienotās fiziskās ierīces viegli savienot ar </w:t>
      </w:r>
      <w:r>
        <w:rPr>
          <w:rFonts w:ascii="Times New Roman" w:hAnsi="Times New Roman"/>
          <w:i/>
          <w:iCs/>
          <w:noProof/>
        </w:rPr>
        <w:t>iOS</w:t>
      </w:r>
      <w:r>
        <w:rPr>
          <w:rFonts w:ascii="Times New Roman" w:hAnsi="Times New Roman"/>
          <w:noProof/>
        </w:rPr>
        <w:t xml:space="preserve"> ierīcēm, un uzlabotiem paziņojumiem, kas ir būtiski, lai lietotāji būtu informēti par notikumiem un atjauninājumiem, saņemtu atgādinājumus vai uznirstošos logus no lietotnēm vai reaģētu un atbildētu uz ziņojumiem.</w:t>
      </w:r>
    </w:p>
    <w:p w14:paraId="32E68E2D" w14:textId="4F65C9FF" w:rsidR="00F43CF4" w:rsidRPr="00951305" w:rsidRDefault="00F43CF4" w:rsidP="00AF79FB">
      <w:pPr>
        <w:pStyle w:val="ListParagraph"/>
        <w:widowControl w:val="0"/>
        <w:autoSpaceDE w:val="0"/>
        <w:autoSpaceDN w:val="0"/>
        <w:spacing w:before="120" w:after="120" w:line="240" w:lineRule="auto"/>
        <w:ind w:left="1004"/>
        <w:contextualSpacing w:val="0"/>
        <w:jc w:val="both"/>
        <w:rPr>
          <w:rFonts w:ascii="Times New Roman" w:hAnsi="Times New Roman" w:cs="Times New Roman"/>
          <w:noProof/>
        </w:rPr>
      </w:pPr>
      <w:r>
        <w:rPr>
          <w:rFonts w:ascii="Times New Roman" w:hAnsi="Times New Roman"/>
          <w:i/>
          <w:noProof/>
        </w:rPr>
        <w:t>Pāreja uz alternatīviem piedāvājumiem</w:t>
      </w:r>
    </w:p>
    <w:p w14:paraId="2EAB8CD3" w14:textId="0F032D4E" w:rsidR="00F43CF4" w:rsidRPr="00951305" w:rsidRDefault="00F43CF4" w:rsidP="00B46471">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Komisija 2025. gadā arī panāca progresu DTA 5. panta 4. punkta īstenošanā. Minētā tiesību norma sniedz izstrādātājiem lielāku brīvību sasniegt galalietotājus, neizmantojot vārtziņa PPP. Vārtziņiem ir bez maksas jānodrošina šāda saziņa starp izstrādātājiem un galalietotājiem, citastarp piedāvājumu popularizēšana. Viens no šīs tiesību normas rezultātiem ir tāds, ka “</w:t>
      </w:r>
      <w:r>
        <w:rPr>
          <w:rFonts w:ascii="Times New Roman" w:hAnsi="Times New Roman"/>
          <w:i/>
          <w:iCs/>
          <w:noProof/>
        </w:rPr>
        <w:t>Alphabet</w:t>
      </w:r>
      <w:r>
        <w:rPr>
          <w:rFonts w:ascii="Times New Roman" w:hAnsi="Times New Roman"/>
          <w:noProof/>
        </w:rPr>
        <w:t>” un “</w:t>
      </w:r>
      <w:r>
        <w:rPr>
          <w:rFonts w:ascii="Times New Roman" w:hAnsi="Times New Roman"/>
          <w:i/>
          <w:iCs/>
          <w:noProof/>
        </w:rPr>
        <w:t>Apple</w:t>
      </w:r>
      <w:r>
        <w:rPr>
          <w:rFonts w:ascii="Times New Roman" w:hAnsi="Times New Roman"/>
          <w:noProof/>
        </w:rPr>
        <w:t>” būtu jāļauj izstrādātājiem, kas izplata lietotnes “</w:t>
      </w:r>
      <w:r>
        <w:rPr>
          <w:rFonts w:ascii="Times New Roman" w:hAnsi="Times New Roman"/>
          <w:i/>
          <w:iCs/>
          <w:noProof/>
        </w:rPr>
        <w:t>Alphabet</w:t>
      </w:r>
      <w:r>
        <w:rPr>
          <w:rFonts w:ascii="Times New Roman" w:hAnsi="Times New Roman"/>
          <w:noProof/>
        </w:rPr>
        <w:t>” un “</w:t>
      </w:r>
      <w:r>
        <w:rPr>
          <w:rFonts w:ascii="Times New Roman" w:hAnsi="Times New Roman"/>
          <w:i/>
          <w:iCs/>
          <w:noProof/>
        </w:rPr>
        <w:t>Apple</w:t>
      </w:r>
      <w:r>
        <w:rPr>
          <w:rFonts w:ascii="Times New Roman" w:hAnsi="Times New Roman"/>
          <w:noProof/>
        </w:rPr>
        <w:t>” lietotņu veikalos, novirzīt galalietotājus uz piedāvājumiem un noslēgt ar tiem līgumus ārpus šiem lietotņu veikaliem. Agrāk tas nebija iespējams, bet kopš 2024. gada 7. marta vārtziņiem bija jāpanāk atbilstība DTA.</w:t>
      </w:r>
    </w:p>
    <w:p w14:paraId="690DAAA4" w14:textId="27254C7B" w:rsidR="00B65742" w:rsidRPr="00951305" w:rsidRDefault="001251F9" w:rsidP="005E25E7">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Komisija 2025. gada 23. aprīlī konstatēja, ka “</w:t>
      </w:r>
      <w:r>
        <w:rPr>
          <w:rFonts w:ascii="Times New Roman" w:hAnsi="Times New Roman"/>
          <w:i/>
          <w:iCs/>
          <w:noProof/>
        </w:rPr>
        <w:t>Apple</w:t>
      </w:r>
      <w:r>
        <w:rPr>
          <w:rFonts w:ascii="Times New Roman" w:hAnsi="Times New Roman"/>
          <w:noProof/>
        </w:rPr>
        <w:t>” nav izpildījis DTA 5. panta 4. punktā noteikto</w:t>
      </w:r>
      <w:r>
        <w:rPr>
          <w:rStyle w:val="FootnoteReference"/>
          <w:rFonts w:ascii="Times New Roman" w:hAnsi="Times New Roman" w:cs="Times New Roman"/>
          <w:noProof/>
        </w:rPr>
        <w:footnoteReference w:id="30"/>
      </w:r>
      <w:r>
        <w:rPr>
          <w:rFonts w:ascii="Times New Roman" w:hAnsi="Times New Roman"/>
          <w:noProof/>
        </w:rPr>
        <w:t>. Komisija pārbaudīja, vai “</w:t>
      </w:r>
      <w:r>
        <w:rPr>
          <w:rFonts w:ascii="Times New Roman" w:hAnsi="Times New Roman"/>
          <w:i/>
          <w:iCs/>
          <w:noProof/>
        </w:rPr>
        <w:t>Apple</w:t>
      </w:r>
      <w:r>
        <w:rPr>
          <w:rFonts w:ascii="Times New Roman" w:hAnsi="Times New Roman"/>
          <w:noProof/>
        </w:rPr>
        <w:t>” sākotnējie darījumdarbības noteikumi, jaunie darījumdarbības noteikumi un jaunie mūzikas straumēšanas darījumdarbības noteikumi atbilst šai tiesību normai. Tā konstatēja “</w:t>
      </w:r>
      <w:r>
        <w:rPr>
          <w:rFonts w:ascii="Times New Roman" w:hAnsi="Times New Roman"/>
          <w:i/>
          <w:iCs/>
          <w:noProof/>
        </w:rPr>
        <w:t>Apple</w:t>
      </w:r>
      <w:r>
        <w:rPr>
          <w:rFonts w:ascii="Times New Roman" w:hAnsi="Times New Roman"/>
          <w:noProof/>
        </w:rPr>
        <w:t>” neatbilstību vairāku tādu ierobežojumu dēļ, kas noteikti lietotņu izstrādātājiem, kuri nevarēja pilnībā izmantot priekšrocības, ko sniedz alternatīvi izplatīšanas kanāli ārpus “</w:t>
      </w:r>
      <w:r>
        <w:rPr>
          <w:rFonts w:ascii="Times New Roman" w:hAnsi="Times New Roman"/>
          <w:i/>
          <w:iCs/>
          <w:noProof/>
        </w:rPr>
        <w:t>Apple</w:t>
      </w:r>
      <w:r>
        <w:rPr>
          <w:rFonts w:ascii="Times New Roman" w:hAnsi="Times New Roman"/>
          <w:noProof/>
        </w:rPr>
        <w:t xml:space="preserve">” </w:t>
      </w:r>
      <w:r>
        <w:rPr>
          <w:rFonts w:ascii="Times New Roman" w:hAnsi="Times New Roman"/>
          <w:i/>
          <w:iCs/>
          <w:noProof/>
        </w:rPr>
        <w:t>App Store</w:t>
      </w:r>
      <w:r>
        <w:rPr>
          <w:rFonts w:ascii="Times New Roman" w:hAnsi="Times New Roman"/>
          <w:noProof/>
        </w:rPr>
        <w:t>. Tāpat patērētāji nevarēja pilnībā gūt labumu no alternatīviem un lētākiem piedāvājumiem, jo “</w:t>
      </w:r>
      <w:r>
        <w:rPr>
          <w:rFonts w:ascii="Times New Roman" w:hAnsi="Times New Roman"/>
          <w:i/>
          <w:iCs/>
          <w:noProof/>
        </w:rPr>
        <w:t>Apple</w:t>
      </w:r>
      <w:r>
        <w:rPr>
          <w:rFonts w:ascii="Times New Roman" w:hAnsi="Times New Roman"/>
          <w:noProof/>
        </w:rPr>
        <w:t>” neļāva lietotņu izstrādātājiem viņus tieši informēt par šādiem piedāvājumiem. Komisija arī secināja, ka “</w:t>
      </w:r>
      <w:r>
        <w:rPr>
          <w:rFonts w:ascii="Times New Roman" w:hAnsi="Times New Roman"/>
          <w:i/>
          <w:iCs/>
          <w:noProof/>
        </w:rPr>
        <w:t>Apple</w:t>
      </w:r>
      <w:r>
        <w:rPr>
          <w:rFonts w:ascii="Times New Roman" w:hAnsi="Times New Roman"/>
          <w:noProof/>
        </w:rPr>
        <w:t>” nav pierādījis, ka noteiktie ierobežojumi ir objektīvi nepieciešami un samērīgi. Komisija uzlika “</w:t>
      </w:r>
      <w:r>
        <w:rPr>
          <w:rFonts w:ascii="Times New Roman" w:hAnsi="Times New Roman"/>
          <w:i/>
          <w:iCs/>
          <w:noProof/>
        </w:rPr>
        <w:t>Apple</w:t>
      </w:r>
      <w:r>
        <w:rPr>
          <w:rFonts w:ascii="Times New Roman" w:hAnsi="Times New Roman"/>
          <w:noProof/>
        </w:rPr>
        <w:t>” naudas sodu 500 miljonu EUR apmērā un lika tam atcelt tehniskos un komerciālos ierobežojumus attiecībā uz novirzīšanu, pārtraukt neatbilstīgo rīcību un nerīkoties veidā, kam ir līdzvērtīgs mērķis vai sekas</w:t>
      </w:r>
      <w:r>
        <w:rPr>
          <w:rStyle w:val="FootnoteReference"/>
          <w:rFonts w:ascii="Times New Roman" w:hAnsi="Times New Roman" w:cs="Times New Roman"/>
          <w:noProof/>
        </w:rPr>
        <w:footnoteReference w:id="31"/>
      </w:r>
      <w:r>
        <w:rPr>
          <w:rFonts w:ascii="Times New Roman" w:hAnsi="Times New Roman"/>
          <w:noProof/>
        </w:rPr>
        <w:t>.</w:t>
      </w:r>
    </w:p>
    <w:p w14:paraId="62FD7234" w14:textId="3E597B0A" w:rsidR="008C55D9" w:rsidRPr="00951305" w:rsidRDefault="008F67D3" w:rsidP="00B46471">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Komisija 2025. gada 19. martā nāca klajā ar sākotnējiem konstatējumiem, ka “</w:t>
      </w:r>
      <w:r>
        <w:rPr>
          <w:rFonts w:ascii="Times New Roman" w:hAnsi="Times New Roman"/>
          <w:i/>
          <w:iCs/>
          <w:noProof/>
        </w:rPr>
        <w:t>Alphabet</w:t>
      </w:r>
      <w:r>
        <w:rPr>
          <w:rFonts w:ascii="Times New Roman" w:hAnsi="Times New Roman"/>
          <w:noProof/>
        </w:rPr>
        <w:t>” ir tehniski novērsis konkrētus novirzīšanas aspektus</w:t>
      </w:r>
      <w:r>
        <w:rPr>
          <w:rStyle w:val="FootnoteReference"/>
          <w:rFonts w:ascii="Times New Roman" w:hAnsi="Times New Roman" w:cs="Times New Roman"/>
          <w:noProof/>
        </w:rPr>
        <w:footnoteReference w:id="32"/>
      </w:r>
      <w:r>
        <w:rPr>
          <w:rFonts w:ascii="Times New Roman" w:hAnsi="Times New Roman"/>
          <w:noProof/>
        </w:rPr>
        <w:t>, piemēram, liedzot lietotņu izstrādātājiem novirzīt klientus uz pašu izvēlētiem piedāvājumiem un izplatīšanas kanāliem. Turklāt, lai gan “</w:t>
      </w:r>
      <w:r>
        <w:rPr>
          <w:rFonts w:ascii="Times New Roman" w:hAnsi="Times New Roman"/>
          <w:i/>
          <w:iCs/>
          <w:noProof/>
        </w:rPr>
        <w:t>Alphabet</w:t>
      </w:r>
      <w:r>
        <w:rPr>
          <w:rFonts w:ascii="Times New Roman" w:hAnsi="Times New Roman"/>
          <w:noProof/>
        </w:rPr>
        <w:t xml:space="preserve">” saskaņā ar DTA 5. panta 4. punktu var saņemt maksu par to, ka tas ar </w:t>
      </w:r>
      <w:r>
        <w:rPr>
          <w:rFonts w:ascii="Times New Roman" w:hAnsi="Times New Roman"/>
          <w:i/>
          <w:iCs/>
          <w:noProof/>
        </w:rPr>
        <w:t>Google Play</w:t>
      </w:r>
      <w:r>
        <w:rPr>
          <w:rFonts w:ascii="Times New Roman" w:hAnsi="Times New Roman"/>
          <w:noProof/>
        </w:rPr>
        <w:t xml:space="preserve"> starpniecību atvieglo lietotņu izstrādātājam jauna klienta sākotnējo piesaisti</w:t>
      </w:r>
      <w:r>
        <w:rPr>
          <w:rStyle w:val="FootnoteReference"/>
          <w:rFonts w:ascii="Times New Roman" w:hAnsi="Times New Roman" w:cs="Times New Roman"/>
          <w:noProof/>
        </w:rPr>
        <w:footnoteReference w:id="33"/>
      </w:r>
      <w:r>
        <w:rPr>
          <w:rFonts w:ascii="Times New Roman" w:hAnsi="Times New Roman"/>
          <w:noProof/>
        </w:rPr>
        <w:t>, Komisijas sākotnējais konstatējums bija tāds, ka “</w:t>
      </w:r>
      <w:r>
        <w:rPr>
          <w:rFonts w:ascii="Times New Roman" w:hAnsi="Times New Roman"/>
          <w:i/>
          <w:iCs/>
          <w:noProof/>
        </w:rPr>
        <w:t>Alphabet</w:t>
      </w:r>
      <w:r>
        <w:rPr>
          <w:rFonts w:ascii="Times New Roman" w:hAnsi="Times New Roman"/>
          <w:noProof/>
        </w:rPr>
        <w:t>” iekasētās maksas, šķiet, pārsniedz to, kas ir pamatoti. Piemēram, “</w:t>
      </w:r>
      <w:r>
        <w:rPr>
          <w:rFonts w:ascii="Times New Roman" w:hAnsi="Times New Roman"/>
          <w:i/>
          <w:iCs/>
          <w:noProof/>
        </w:rPr>
        <w:t>Alphabet</w:t>
      </w:r>
      <w:r>
        <w:rPr>
          <w:rFonts w:ascii="Times New Roman" w:hAnsi="Times New Roman"/>
          <w:noProof/>
        </w:rPr>
        <w:t>” iekasēja no izstrādātājiem augstu maksu nepamatoti ilgā laikposmā par katru digitālo preču un pakalpojumu pirkumu</w:t>
      </w:r>
      <w:r>
        <w:rPr>
          <w:rStyle w:val="FootnoteReference"/>
          <w:rFonts w:ascii="Times New Roman" w:hAnsi="Times New Roman" w:cs="Times New Roman"/>
          <w:noProof/>
        </w:rPr>
        <w:footnoteReference w:id="34"/>
      </w:r>
      <w:r>
        <w:rPr>
          <w:rFonts w:ascii="Times New Roman" w:hAnsi="Times New Roman"/>
          <w:noProof/>
        </w:rPr>
        <w:t>.</w:t>
      </w:r>
    </w:p>
    <w:p w14:paraId="2E69FD30" w14:textId="7EECEE17" w:rsidR="00140A33" w:rsidRPr="00951305" w:rsidRDefault="00140A33" w:rsidP="00B46471">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Abi vārtziņi – “</w:t>
      </w:r>
      <w:r>
        <w:rPr>
          <w:rFonts w:ascii="Times New Roman" w:hAnsi="Times New Roman"/>
          <w:i/>
          <w:iCs/>
          <w:noProof/>
        </w:rPr>
        <w:t>Alphabet</w:t>
      </w:r>
      <w:r>
        <w:rPr>
          <w:rFonts w:ascii="Times New Roman" w:hAnsi="Times New Roman"/>
          <w:noProof/>
        </w:rPr>
        <w:t>” un “</w:t>
      </w:r>
      <w:r>
        <w:rPr>
          <w:rFonts w:ascii="Times New Roman" w:hAnsi="Times New Roman"/>
          <w:i/>
          <w:iCs/>
          <w:noProof/>
        </w:rPr>
        <w:t>Apple</w:t>
      </w:r>
      <w:r>
        <w:rPr>
          <w:rFonts w:ascii="Times New Roman" w:hAnsi="Times New Roman"/>
          <w:noProof/>
        </w:rPr>
        <w:t>” – veic izmaiņas savu attiecīgo lietotņu veikalu noteikumos, lai izpildītu DTA 5. panta 4. punktā noteikto. Komisija izvērtē, vai šie pasākumi ir pietiekami, lai efektīvi izpildītu šo pienākumu, un šajā sakarā turpina sadarboties gan ar vārtziņiem, gan attiecīgajām trešām personām.</w:t>
      </w:r>
    </w:p>
    <w:p w14:paraId="7965DE99" w14:textId="55D7D1C5" w:rsidR="00DC324A" w:rsidRPr="00951305" w:rsidRDefault="00DC324A" w:rsidP="00AF79FB">
      <w:pPr>
        <w:pStyle w:val="ListParagraph"/>
        <w:widowControl w:val="0"/>
        <w:autoSpaceDE w:val="0"/>
        <w:autoSpaceDN w:val="0"/>
        <w:spacing w:before="120" w:after="120" w:line="240" w:lineRule="auto"/>
        <w:ind w:left="1004"/>
        <w:contextualSpacing w:val="0"/>
        <w:jc w:val="both"/>
        <w:rPr>
          <w:rFonts w:ascii="Times New Roman" w:hAnsi="Times New Roman" w:cs="Times New Roman"/>
          <w:i/>
          <w:noProof/>
        </w:rPr>
      </w:pPr>
      <w:r>
        <w:rPr>
          <w:rFonts w:ascii="Times New Roman" w:hAnsi="Times New Roman"/>
          <w:i/>
          <w:noProof/>
        </w:rPr>
        <w:t>Alternatīvi izplatīšanas kanāli</w:t>
      </w:r>
    </w:p>
    <w:p w14:paraId="2A9D8F33" w14:textId="3602EA76" w:rsidR="00EE698A" w:rsidRPr="00951305" w:rsidRDefault="00D77E4E" w:rsidP="00B46471">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Kontrole pār lietotņu izplatīšanas kanāliem mobilajās ekosistēmās ir būtisks faktors, kas ļauj vārtziņiem saglabāt tos slēgtus, apdraudot tirgus sāncensību. Lai nodrošinātu, ka lietotņu izstrādātājiem ir citi to lietotņu izplatīšanas līdzekļi, DTA 6. panta 4. punktā ir noteikts, ka vārtziņiem savās operētājsistēmās ir jānodrošina alternatīvi izplatīšanas kanāli. Tas samazina gan komerciālo lietotāju, gan galalietotāju atkarību, nodrošinot pirmajiem lielākas inovācijas iespējas, bet otrajiem – lielākas izvēles iespējas.</w:t>
      </w:r>
    </w:p>
    <w:p w14:paraId="7BA53F98" w14:textId="701009BE" w:rsidR="00DC324A" w:rsidRPr="00951305" w:rsidRDefault="00EE698A" w:rsidP="005E25E7">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Komisija 2025. gada 23. aprīlī nāca klajā ar sākotnēju konstatējumu, ka “</w:t>
      </w:r>
      <w:r>
        <w:rPr>
          <w:rFonts w:ascii="Times New Roman" w:hAnsi="Times New Roman"/>
          <w:i/>
          <w:iCs/>
          <w:noProof/>
        </w:rPr>
        <w:t>Apple</w:t>
      </w:r>
      <w:r>
        <w:rPr>
          <w:rFonts w:ascii="Times New Roman" w:hAnsi="Times New Roman"/>
          <w:noProof/>
        </w:rPr>
        <w:t>” nav ievērojis DTA 6. panta 4. punktā noteikto attiecībā uz līguma noteikumiem, ko “</w:t>
      </w:r>
      <w:r>
        <w:rPr>
          <w:rFonts w:ascii="Times New Roman" w:hAnsi="Times New Roman"/>
          <w:i/>
          <w:iCs/>
          <w:noProof/>
        </w:rPr>
        <w:t>Apple</w:t>
      </w:r>
      <w:r>
        <w:rPr>
          <w:rFonts w:ascii="Times New Roman" w:hAnsi="Times New Roman"/>
          <w:noProof/>
        </w:rPr>
        <w:t>” uzlika izstrādātājiem, kuri vēlas nodrošināt trešo personu lietotņu veikalus vai piedāvāt savas lietotnes, izmantojot šādus lietotņu veikalus</w:t>
      </w:r>
      <w:r>
        <w:rPr>
          <w:rStyle w:val="FootnoteReference"/>
          <w:rFonts w:ascii="Times New Roman" w:hAnsi="Times New Roman" w:cs="Times New Roman"/>
          <w:noProof/>
        </w:rPr>
        <w:footnoteReference w:id="35"/>
      </w:r>
      <w:r>
        <w:rPr>
          <w:rFonts w:ascii="Times New Roman" w:hAnsi="Times New Roman"/>
          <w:noProof/>
        </w:rPr>
        <w:t>. Komisijas sākotnējie konstatējumi, ņemot vērā “</w:t>
      </w:r>
      <w:r>
        <w:rPr>
          <w:rFonts w:ascii="Times New Roman" w:hAnsi="Times New Roman"/>
          <w:i/>
          <w:iCs/>
          <w:noProof/>
        </w:rPr>
        <w:t>Apple</w:t>
      </w:r>
      <w:r>
        <w:rPr>
          <w:rFonts w:ascii="Times New Roman" w:hAnsi="Times New Roman"/>
          <w:noProof/>
        </w:rPr>
        <w:t xml:space="preserve">” noteiktos nosacījumus, bija šādi: i) izstrādātāji tiek atturēti no alternatīvu lietotņu izplatīšanas kanālu izmantošanas </w:t>
      </w:r>
      <w:r>
        <w:rPr>
          <w:rFonts w:ascii="Times New Roman" w:hAnsi="Times New Roman"/>
          <w:i/>
          <w:iCs/>
          <w:noProof/>
        </w:rPr>
        <w:t>iOS</w:t>
      </w:r>
      <w:r>
        <w:rPr>
          <w:rFonts w:ascii="Times New Roman" w:hAnsi="Times New Roman"/>
          <w:noProof/>
        </w:rPr>
        <w:t>, jo viņiem ir jāpiekrīt uzņēmējdarbības noteikumiem, kas ietver jaunu maksu (“</w:t>
      </w:r>
      <w:r>
        <w:rPr>
          <w:rFonts w:ascii="Times New Roman" w:hAnsi="Times New Roman"/>
          <w:i/>
          <w:iCs/>
          <w:noProof/>
        </w:rPr>
        <w:t>Apple</w:t>
      </w:r>
      <w:r>
        <w:rPr>
          <w:rFonts w:ascii="Times New Roman" w:hAnsi="Times New Roman"/>
          <w:noProof/>
        </w:rPr>
        <w:t>” pamatmaksa par tehnoloģijām); ii) “</w:t>
      </w:r>
      <w:r>
        <w:rPr>
          <w:rFonts w:ascii="Times New Roman" w:hAnsi="Times New Roman"/>
          <w:i/>
          <w:iCs/>
          <w:noProof/>
        </w:rPr>
        <w:t>Apple</w:t>
      </w:r>
      <w:r>
        <w:rPr>
          <w:rFonts w:ascii="Times New Roman" w:hAnsi="Times New Roman"/>
          <w:noProof/>
        </w:rPr>
        <w:t>” bija ieviesis pārāk stingras atbilstības prasības, kas kavē izstrādātāju spēju izplatīt savas lietotnes, izmantojot alternatīvus kanālus; un iii) “</w:t>
      </w:r>
      <w:r>
        <w:rPr>
          <w:rFonts w:ascii="Times New Roman" w:hAnsi="Times New Roman"/>
          <w:i/>
          <w:iCs/>
          <w:noProof/>
        </w:rPr>
        <w:t>Apple</w:t>
      </w:r>
      <w:r>
        <w:rPr>
          <w:rFonts w:ascii="Times New Roman" w:hAnsi="Times New Roman"/>
          <w:noProof/>
        </w:rPr>
        <w:t>” bija padarījis galalietotājiem lietotņu instalēšanu, izmantojot alternatīvus lietotņu izplatīšanas kanālus, pārāk apgrūtinošu un mulsinošu</w:t>
      </w:r>
      <w:r>
        <w:rPr>
          <w:rStyle w:val="FootnoteReference"/>
          <w:rFonts w:ascii="Times New Roman" w:hAnsi="Times New Roman" w:cs="Times New Roman"/>
          <w:noProof/>
        </w:rPr>
        <w:footnoteReference w:id="36"/>
      </w:r>
      <w:r>
        <w:rPr>
          <w:rFonts w:ascii="Times New Roman" w:hAnsi="Times New Roman"/>
          <w:noProof/>
        </w:rPr>
        <w:t>.</w:t>
      </w:r>
    </w:p>
    <w:p w14:paraId="6034215A" w14:textId="26298BC1" w:rsidR="00DB7028" w:rsidRPr="00951305" w:rsidRDefault="00DB7028" w:rsidP="00DB7028">
      <w:pPr>
        <w:pStyle w:val="ListParagraph"/>
        <w:widowControl w:val="0"/>
        <w:autoSpaceDE w:val="0"/>
        <w:autoSpaceDN w:val="0"/>
        <w:spacing w:before="120" w:after="120" w:line="240" w:lineRule="auto"/>
        <w:ind w:left="1004"/>
        <w:contextualSpacing w:val="0"/>
        <w:jc w:val="both"/>
        <w:rPr>
          <w:rFonts w:ascii="Times New Roman" w:hAnsi="Times New Roman" w:cs="Times New Roman"/>
          <w:i/>
          <w:noProof/>
        </w:rPr>
      </w:pPr>
      <w:r>
        <w:rPr>
          <w:rFonts w:ascii="Times New Roman" w:hAnsi="Times New Roman"/>
          <w:i/>
          <w:noProof/>
        </w:rPr>
        <w:t>Lietotāju izvēles iespēju palielināšana, piesakoties vārtziņu pakalpojumiem</w:t>
      </w:r>
    </w:p>
    <w:p w14:paraId="7D00BA87" w14:textId="1CE61489" w:rsidR="00DB7028" w:rsidRPr="00951305" w:rsidRDefault="00DB7028" w:rsidP="00DB7028">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Pēc plaša dialoga “</w:t>
      </w:r>
      <w:r>
        <w:rPr>
          <w:rFonts w:ascii="Times New Roman" w:hAnsi="Times New Roman"/>
          <w:i/>
          <w:iCs/>
          <w:noProof/>
        </w:rPr>
        <w:t>Alphabet</w:t>
      </w:r>
      <w:r>
        <w:rPr>
          <w:rFonts w:ascii="Times New Roman" w:hAnsi="Times New Roman"/>
          <w:noProof/>
        </w:rPr>
        <w:t xml:space="preserve">” atteicās no prasības izmantot </w:t>
      </w:r>
      <w:r>
        <w:rPr>
          <w:rFonts w:ascii="Times New Roman" w:hAnsi="Times New Roman"/>
          <w:i/>
          <w:iCs/>
          <w:noProof/>
        </w:rPr>
        <w:t>Gmail</w:t>
      </w:r>
      <w:r>
        <w:rPr>
          <w:rFonts w:ascii="Times New Roman" w:hAnsi="Times New Roman"/>
          <w:noProof/>
        </w:rPr>
        <w:t xml:space="preserve"> kontu, lai izveidotu </w:t>
      </w:r>
      <w:r>
        <w:rPr>
          <w:rFonts w:ascii="Times New Roman" w:hAnsi="Times New Roman"/>
          <w:i/>
          <w:iCs/>
          <w:noProof/>
        </w:rPr>
        <w:t>Google</w:t>
      </w:r>
      <w:r>
        <w:rPr>
          <w:rFonts w:ascii="Times New Roman" w:hAnsi="Times New Roman"/>
          <w:noProof/>
        </w:rPr>
        <w:t xml:space="preserve"> kontu un piekļūtu “</w:t>
      </w:r>
      <w:r>
        <w:rPr>
          <w:rFonts w:ascii="Times New Roman" w:hAnsi="Times New Roman"/>
          <w:i/>
          <w:iCs/>
          <w:noProof/>
        </w:rPr>
        <w:t>Alphabet</w:t>
      </w:r>
      <w:r>
        <w:rPr>
          <w:rFonts w:ascii="Times New Roman" w:hAnsi="Times New Roman"/>
          <w:noProof/>
        </w:rPr>
        <w:t xml:space="preserve">” pakalpojumiem, piemēram, </w:t>
      </w:r>
      <w:r>
        <w:rPr>
          <w:rFonts w:ascii="Times New Roman" w:hAnsi="Times New Roman"/>
          <w:i/>
          <w:iCs/>
          <w:noProof/>
        </w:rPr>
        <w:t>Android</w:t>
      </w:r>
      <w:r>
        <w:rPr>
          <w:rFonts w:ascii="Times New Roman" w:hAnsi="Times New Roman"/>
          <w:noProof/>
        </w:rPr>
        <w:t xml:space="preserve">, </w:t>
      </w:r>
      <w:r>
        <w:rPr>
          <w:rFonts w:ascii="Times New Roman" w:hAnsi="Times New Roman"/>
          <w:i/>
          <w:iCs/>
          <w:noProof/>
        </w:rPr>
        <w:t>YouTube</w:t>
      </w:r>
      <w:r>
        <w:rPr>
          <w:rFonts w:ascii="Times New Roman" w:hAnsi="Times New Roman"/>
          <w:noProof/>
        </w:rPr>
        <w:t xml:space="preserve"> vai </w:t>
      </w:r>
      <w:r>
        <w:rPr>
          <w:rFonts w:ascii="Times New Roman" w:hAnsi="Times New Roman"/>
          <w:i/>
          <w:iCs/>
          <w:noProof/>
        </w:rPr>
        <w:t>Google Play</w:t>
      </w:r>
      <w:r>
        <w:rPr>
          <w:rFonts w:ascii="Times New Roman" w:hAnsi="Times New Roman"/>
          <w:noProof/>
        </w:rPr>
        <w:t>. Tagad lietotāji var abonēt šos pakalpojumus, izvēloties citus risinājumus, kas vairāk atbilst viņu vēlmēm. Iemesli tam var būt privātuma apsvērumi, piemēram, tie var izvēlēties citu risinājumu ar atšķirīgu privātuma aizsardzības standartu, vai ģeogrāfiski apsvērumi, piemēram, tie var izvēlēties alternatīvu, ja dati tiek glabāti ES</w:t>
      </w:r>
      <w:r>
        <w:rPr>
          <w:rStyle w:val="FootnoteReference"/>
          <w:rFonts w:ascii="Times New Roman" w:hAnsi="Times New Roman" w:cs="Times New Roman"/>
          <w:noProof/>
        </w:rPr>
        <w:footnoteReference w:id="37"/>
      </w:r>
      <w:r>
        <w:rPr>
          <w:rFonts w:ascii="Times New Roman" w:hAnsi="Times New Roman"/>
          <w:noProof/>
        </w:rPr>
        <w:t>.</w:t>
      </w:r>
    </w:p>
    <w:p w14:paraId="4707B26D" w14:textId="4E45864F" w:rsidR="003C428A" w:rsidRPr="00951305" w:rsidRDefault="003C428A" w:rsidP="00236625">
      <w:pPr>
        <w:pStyle w:val="ListParagraph"/>
        <w:widowControl w:val="0"/>
        <w:numPr>
          <w:ilvl w:val="0"/>
          <w:numId w:val="9"/>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Ziņojumapmaiņas pakalpojumu sadarbspēja</w:t>
      </w:r>
    </w:p>
    <w:p w14:paraId="5B78CBAA" w14:textId="07EDD1DF" w:rsidR="00CB3227" w:rsidRPr="00951305" w:rsidRDefault="00C16D89" w:rsidP="00B46471">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2025. gads bija pagrieziena punkts attiecībā uz DTA 7. pantu. Šī tiesību norma attiecas uz spēcīgu tīkla ietekmi ziņapmaiņas pakalpojumu sniegšanā, nosakot horizontālu sadarbspējas pienākumu attiecībā uz tiem ziņapmaiņas pakalpojumiem, ko sniedz vārtziņi, kuriem piešķirts statuss saskaņā ar DTA, – pašlaik “</w:t>
      </w:r>
      <w:r>
        <w:rPr>
          <w:rFonts w:ascii="Times New Roman" w:hAnsi="Times New Roman"/>
          <w:i/>
          <w:iCs/>
          <w:noProof/>
        </w:rPr>
        <w:t>Meta</w:t>
      </w:r>
      <w:r>
        <w:rPr>
          <w:rFonts w:ascii="Times New Roman" w:hAnsi="Times New Roman"/>
          <w:noProof/>
        </w:rPr>
        <w:t xml:space="preserve">” </w:t>
      </w:r>
      <w:r>
        <w:rPr>
          <w:rFonts w:ascii="Times New Roman" w:hAnsi="Times New Roman"/>
          <w:i/>
          <w:iCs/>
          <w:noProof/>
        </w:rPr>
        <w:t>WhatsApp</w:t>
      </w:r>
      <w:r>
        <w:rPr>
          <w:rFonts w:ascii="Times New Roman" w:hAnsi="Times New Roman"/>
          <w:noProof/>
        </w:rPr>
        <w:t xml:space="preserve"> un </w:t>
      </w:r>
      <w:r>
        <w:rPr>
          <w:rFonts w:ascii="Times New Roman" w:hAnsi="Times New Roman"/>
          <w:i/>
          <w:iCs/>
          <w:noProof/>
        </w:rPr>
        <w:t>Messenger</w:t>
      </w:r>
      <w:r>
        <w:rPr>
          <w:rFonts w:ascii="Times New Roman" w:hAnsi="Times New Roman"/>
          <w:noProof/>
        </w:rPr>
        <w:t>.</w:t>
      </w:r>
    </w:p>
    <w:p w14:paraId="11148737" w14:textId="6CCD463E" w:rsidR="00CB3227" w:rsidRPr="00951305" w:rsidRDefault="00CB3227" w:rsidP="00B46471">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Viena no DTA 7. panta īpatnībām ir šajā noteikumā prasītā pakāpeniskā īstenošana. Lai gan vārtziņiem bija jāpadara savi ziņapmaiņas pakalpojumi sadarbspējīgi “viens pret vienu” tērzēšanai sešos mēnešos pēc vārtziņa statusa noteikšanas, tiem bija divi gadi, lai nodrošinātu sadarbspēju tērzēšanai grupā</w:t>
      </w:r>
      <w:r>
        <w:rPr>
          <w:rStyle w:val="FootnoteReference"/>
          <w:rFonts w:ascii="Times New Roman" w:hAnsi="Times New Roman" w:cs="Times New Roman"/>
          <w:noProof/>
        </w:rPr>
        <w:footnoteReference w:id="38"/>
      </w:r>
      <w:r>
        <w:rPr>
          <w:rFonts w:ascii="Times New Roman" w:hAnsi="Times New Roman"/>
          <w:noProof/>
        </w:rPr>
        <w:t>. Tādējādi 2025. gada 6. septembrī “</w:t>
      </w:r>
      <w:r>
        <w:rPr>
          <w:rFonts w:ascii="Times New Roman" w:hAnsi="Times New Roman"/>
          <w:i/>
          <w:iCs/>
          <w:noProof/>
        </w:rPr>
        <w:t>Meta</w:t>
      </w:r>
      <w:r>
        <w:rPr>
          <w:rFonts w:ascii="Times New Roman" w:hAnsi="Times New Roman"/>
          <w:noProof/>
        </w:rPr>
        <w:t xml:space="preserve">” atjaunināja standartpiedāvājumu un izstrādātāja dokumentāciju par </w:t>
      </w:r>
      <w:r>
        <w:rPr>
          <w:rFonts w:ascii="Times New Roman" w:hAnsi="Times New Roman"/>
          <w:i/>
          <w:iCs/>
          <w:noProof/>
        </w:rPr>
        <w:t>WhatsApp</w:t>
      </w:r>
      <w:r>
        <w:rPr>
          <w:rFonts w:ascii="Times New Roman" w:hAnsi="Times New Roman"/>
          <w:noProof/>
        </w:rPr>
        <w:t xml:space="preserve"> un </w:t>
      </w:r>
      <w:r>
        <w:rPr>
          <w:rFonts w:ascii="Times New Roman" w:hAnsi="Times New Roman"/>
          <w:i/>
          <w:iCs/>
          <w:noProof/>
        </w:rPr>
        <w:t>Messenger</w:t>
      </w:r>
      <w:r>
        <w:rPr>
          <w:rFonts w:ascii="Times New Roman" w:hAnsi="Times New Roman"/>
          <w:noProof/>
        </w:rPr>
        <w:t xml:space="preserve"> sadarbspēju</w:t>
      </w:r>
      <w:r>
        <w:rPr>
          <w:rStyle w:val="FootnoteReference"/>
          <w:rFonts w:ascii="Times New Roman" w:eastAsia="Times New Roman" w:hAnsi="Times New Roman" w:cs="Times New Roman"/>
          <w:noProof/>
          <w:kern w:val="0"/>
        </w:rPr>
        <w:footnoteReference w:id="39"/>
      </w:r>
      <w:r>
        <w:rPr>
          <w:rFonts w:ascii="Times New Roman" w:hAnsi="Times New Roman"/>
          <w:noProof/>
        </w:rPr>
        <w:t>. Komisija uzrauga “</w:t>
      </w:r>
      <w:r>
        <w:rPr>
          <w:rFonts w:ascii="Times New Roman" w:hAnsi="Times New Roman"/>
          <w:i/>
          <w:iCs/>
          <w:noProof/>
        </w:rPr>
        <w:t>Meta</w:t>
      </w:r>
      <w:r>
        <w:rPr>
          <w:rFonts w:ascii="Times New Roman" w:hAnsi="Times New Roman"/>
          <w:noProof/>
        </w:rPr>
        <w:t>” atbilstības risinājuma īstenošanu attiecībā uz sadarbspējīgu tērzēšanu grupā.</w:t>
      </w:r>
    </w:p>
    <w:p w14:paraId="4DDABD49" w14:textId="713AB5CD" w:rsidR="00CB3227" w:rsidRPr="00951305" w:rsidRDefault="00093FD0" w:rsidP="00B46471">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Tā rezultātā 2025. gada novembrī divi ziņojumapmaiņas pakalpojumu sniedzēji – “</w:t>
      </w:r>
      <w:r>
        <w:rPr>
          <w:rFonts w:ascii="Times New Roman" w:hAnsi="Times New Roman"/>
          <w:i/>
          <w:iCs/>
          <w:noProof/>
        </w:rPr>
        <w:t>BirdyChat</w:t>
      </w:r>
      <w:r>
        <w:rPr>
          <w:rFonts w:ascii="Times New Roman" w:hAnsi="Times New Roman"/>
          <w:noProof/>
        </w:rPr>
        <w:t>” un “</w:t>
      </w:r>
      <w:r>
        <w:rPr>
          <w:rFonts w:ascii="Times New Roman" w:hAnsi="Times New Roman"/>
          <w:i/>
          <w:iCs/>
          <w:noProof/>
        </w:rPr>
        <w:t>Haiket</w:t>
      </w:r>
      <w:r>
        <w:rPr>
          <w:rFonts w:ascii="Times New Roman" w:hAnsi="Times New Roman"/>
          <w:noProof/>
        </w:rPr>
        <w:t xml:space="preserve">” – paziņoja, ka tie kļūs sadarbspējīgi ar </w:t>
      </w:r>
      <w:r>
        <w:rPr>
          <w:rFonts w:ascii="Times New Roman" w:hAnsi="Times New Roman"/>
          <w:i/>
          <w:iCs/>
          <w:noProof/>
        </w:rPr>
        <w:t>WhatsApp</w:t>
      </w:r>
      <w:r>
        <w:rPr>
          <w:rStyle w:val="FootnoteReference"/>
          <w:rFonts w:ascii="Times New Roman" w:hAnsi="Times New Roman" w:cs="Times New Roman"/>
          <w:noProof/>
        </w:rPr>
        <w:footnoteReference w:id="40"/>
      </w:r>
      <w:r>
        <w:rPr>
          <w:rFonts w:ascii="Times New Roman" w:hAnsi="Times New Roman"/>
          <w:noProof/>
        </w:rPr>
        <w:t>. Komisija cieši sadarbojas ar iesaistītajām pusēm, lai nodrošinātu optimālu sadarbspējas pieredzi galalietotājiem ES.</w:t>
      </w:r>
    </w:p>
    <w:p w14:paraId="5062211A" w14:textId="0F621E72" w:rsidR="003C428A" w:rsidRPr="000B0E30" w:rsidRDefault="003C428A" w:rsidP="00236625">
      <w:pPr>
        <w:pStyle w:val="ListParagraph"/>
        <w:widowControl w:val="0"/>
        <w:numPr>
          <w:ilvl w:val="0"/>
          <w:numId w:val="9"/>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Godīga meklēšana tiešsaistē un tiešsaistes tirdzniecības vietas</w:t>
      </w:r>
    </w:p>
    <w:p w14:paraId="218D71E8" w14:textId="3715A1FD" w:rsidR="00C4057E" w:rsidRPr="00951305" w:rsidRDefault="00C4057E" w:rsidP="005E25E7">
      <w:pPr>
        <w:pStyle w:val="ListParagraph"/>
        <w:widowControl w:val="0"/>
        <w:autoSpaceDE w:val="0"/>
        <w:autoSpaceDN w:val="0"/>
        <w:spacing w:before="120" w:after="120" w:line="240" w:lineRule="auto"/>
        <w:ind w:left="998"/>
        <w:contextualSpacing w:val="0"/>
        <w:jc w:val="both"/>
        <w:rPr>
          <w:rFonts w:ascii="Times New Roman" w:hAnsi="Times New Roman" w:cs="Times New Roman"/>
          <w:i/>
          <w:iCs/>
          <w:noProof/>
        </w:rPr>
      </w:pPr>
      <w:r>
        <w:rPr>
          <w:rFonts w:ascii="Times New Roman" w:hAnsi="Times New Roman"/>
          <w:i/>
          <w:noProof/>
        </w:rPr>
        <w:t>Taisnīgums, izmantojot tiešsaistes meklētājprogrammas</w:t>
      </w:r>
    </w:p>
    <w:p w14:paraId="5B39E17E" w14:textId="26A533AF" w:rsidR="003D7FE2" w:rsidRPr="00951305" w:rsidRDefault="003D7FE2" w:rsidP="00B46471">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DTA aizsargā komerciālos lietotājus no negodīgas rīcības vārtziņu kontrolētajās tiešsaistes meklētājprogrammās. Ņemot vērā to, ka komerciālo lietotāju sniegto pakalpojumu panākumi un dzīvotspēja ir atkarīga no viņu klātbūtnes tiešsaistes meklētājprogrammās, ir ļoti svarīgi, lai tiešsaistes meklēšanas ranžējumos pret viņiem izturētos taisnīgi un lai vārtziņu piemērotie nosacījumi būtu taisnīgi. Šajā ziņā būtiska nozīme ir DTA 6. panta 5. un 12. punktam, kas attiecas uz aizliegumu piešķirt prioritāti saviem produktiem un pakalpojumiem un veikt negodīgu ranžēšanu un nosaka taisnīgus, saprātīgus un nediskriminējošus noteikumus attiecībā uz piekļuvi tiešsaistes meklētājprogrammām.</w:t>
      </w:r>
    </w:p>
    <w:p w14:paraId="5388ACBA" w14:textId="16799769" w:rsidR="003D7FE2" w:rsidRPr="00951305" w:rsidRDefault="003D7FE2" w:rsidP="00B46471">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 xml:space="preserve">Komisija 2025. gadā ļoti aktīvi darbojās šajā jomā. Pirmkārt, tā turpināja darbu pie 2024. gadā sāktās neatbilstības izmeklēšanas attiecībā uz </w:t>
      </w:r>
      <w:r>
        <w:rPr>
          <w:rFonts w:ascii="Times New Roman" w:hAnsi="Times New Roman"/>
          <w:i/>
          <w:iCs/>
          <w:noProof/>
        </w:rPr>
        <w:t>Google Search</w:t>
      </w:r>
      <w:r>
        <w:rPr>
          <w:rFonts w:ascii="Times New Roman" w:hAnsi="Times New Roman"/>
          <w:noProof/>
        </w:rPr>
        <w:t xml:space="preserve"> saistībā ar DTA 6. panta 5. punktu. Tā 2025. gada 19. martā</w:t>
      </w:r>
      <w:r>
        <w:rPr>
          <w:rStyle w:val="FootnoteReference"/>
          <w:rFonts w:ascii="Times New Roman" w:hAnsi="Times New Roman" w:cs="Times New Roman"/>
          <w:noProof/>
        </w:rPr>
        <w:footnoteReference w:id="41"/>
      </w:r>
      <w:r>
        <w:rPr>
          <w:rFonts w:ascii="Times New Roman" w:hAnsi="Times New Roman"/>
          <w:noProof/>
        </w:rPr>
        <w:t xml:space="preserve"> sniedza sākotnējos konstatējumus, uzskatot, ka “</w:t>
      </w:r>
      <w:r>
        <w:rPr>
          <w:rFonts w:ascii="Times New Roman" w:hAnsi="Times New Roman"/>
          <w:i/>
          <w:iCs/>
          <w:noProof/>
        </w:rPr>
        <w:t>Alphabet</w:t>
      </w:r>
      <w:r>
        <w:rPr>
          <w:rFonts w:ascii="Times New Roman" w:hAnsi="Times New Roman"/>
          <w:noProof/>
        </w:rPr>
        <w:t xml:space="preserve">” ir pārkāpis šo tiesību normu, jo </w:t>
      </w:r>
      <w:r>
        <w:rPr>
          <w:rFonts w:ascii="Times New Roman" w:hAnsi="Times New Roman"/>
          <w:i/>
          <w:iCs/>
          <w:noProof/>
        </w:rPr>
        <w:t>Google Search</w:t>
      </w:r>
      <w:r>
        <w:rPr>
          <w:rFonts w:ascii="Times New Roman" w:hAnsi="Times New Roman"/>
          <w:noProof/>
        </w:rPr>
        <w:t xml:space="preserve"> rezultātos saviem pakalpojumiem ir piešķīris prioritāti pār līdzīgiem trešo personu piedāvātiem pakalpojumiem. “</w:t>
      </w:r>
      <w:r>
        <w:rPr>
          <w:rFonts w:ascii="Times New Roman" w:hAnsi="Times New Roman"/>
          <w:i/>
          <w:iCs/>
          <w:noProof/>
        </w:rPr>
        <w:t>Alphabet</w:t>
      </w:r>
      <w:r>
        <w:rPr>
          <w:rFonts w:ascii="Times New Roman" w:hAnsi="Times New Roman"/>
          <w:noProof/>
        </w:rPr>
        <w:t xml:space="preserve">” to darīja, parādot savus pakalpojumus vai nu </w:t>
      </w:r>
      <w:r>
        <w:rPr>
          <w:rFonts w:ascii="Times New Roman" w:hAnsi="Times New Roman"/>
          <w:i/>
          <w:iCs/>
          <w:noProof/>
        </w:rPr>
        <w:t>Google Search</w:t>
      </w:r>
      <w:r>
        <w:rPr>
          <w:rFonts w:ascii="Times New Roman" w:hAnsi="Times New Roman"/>
          <w:noProof/>
        </w:rPr>
        <w:t xml:space="preserve"> rezultātu augšgalā, vai īpašās vietās ar uzlabotiem vizuālajiem formātiem un filtrēšanas mehānismiem. Izmeklēšanas tvērums ir plašs, jo tā attiecas uz “</w:t>
      </w:r>
      <w:r>
        <w:rPr>
          <w:rFonts w:ascii="Times New Roman" w:hAnsi="Times New Roman"/>
          <w:i/>
          <w:iCs/>
          <w:noProof/>
        </w:rPr>
        <w:t>Alphabet</w:t>
      </w:r>
      <w:r>
        <w:rPr>
          <w:rFonts w:ascii="Times New Roman" w:hAnsi="Times New Roman"/>
          <w:noProof/>
        </w:rPr>
        <w:t>” vertikālās meklēšanas un satura pakalpojumiem dažādās jomās, piemēram, ceļošanas, e-komercijas un viesmīlības jomā. Lai izmeklēšanas laikā uzklausītu visas ieinteresētās personas, Komisija organizēja vairākus darbseminārus, kuros attiecīgie tirgus dalībnieki varēja sniegt atsauksmes par “</w:t>
      </w:r>
      <w:r>
        <w:rPr>
          <w:rFonts w:ascii="Times New Roman" w:hAnsi="Times New Roman"/>
          <w:i/>
          <w:iCs/>
          <w:noProof/>
        </w:rPr>
        <w:t>Alphabet</w:t>
      </w:r>
      <w:r>
        <w:rPr>
          <w:rFonts w:ascii="Times New Roman" w:hAnsi="Times New Roman"/>
          <w:noProof/>
        </w:rPr>
        <w:t>” iesniegtajiem atbilstības priekšlikumiem.</w:t>
      </w:r>
    </w:p>
    <w:p w14:paraId="4E267044" w14:textId="0B02C9E8" w:rsidR="00F528DE" w:rsidRPr="00951305" w:rsidRDefault="00355428" w:rsidP="00B46471">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 xml:space="preserve">Otrkārt, Komisija arī uzraudzīja vispārējos piekļuves nosacījumus, ko piemēro tiešsaistes meklētājprogrammu komerciālajiem lietotājiem DTA 6. panta 12. punkta kontekstā. Komisija 2025. gada 13. novembrī sāka neatbilstības procedūru attiecībā uz </w:t>
      </w:r>
      <w:r>
        <w:rPr>
          <w:rFonts w:ascii="Times New Roman" w:hAnsi="Times New Roman"/>
          <w:i/>
          <w:iCs/>
          <w:noProof/>
        </w:rPr>
        <w:t>Google Search</w:t>
      </w:r>
      <w:r>
        <w:rPr>
          <w:rFonts w:ascii="Times New Roman" w:hAnsi="Times New Roman"/>
          <w:noProof/>
        </w:rPr>
        <w:t xml:space="preserve"> vietnes reputācijas ļaunprātīgas izmantošanas politiku, uz kuras pamata “</w:t>
      </w:r>
      <w:r>
        <w:rPr>
          <w:rFonts w:ascii="Times New Roman" w:hAnsi="Times New Roman"/>
          <w:i/>
          <w:iCs/>
          <w:noProof/>
        </w:rPr>
        <w:t>Alphabet</w:t>
      </w:r>
      <w:r>
        <w:rPr>
          <w:rFonts w:ascii="Times New Roman" w:hAnsi="Times New Roman"/>
          <w:noProof/>
        </w:rPr>
        <w:t>” pazemina izdevēju tīmekļa vietņu daļu pozīciju ranžējumā, ja tās satur komerciālo partneru saturu</w:t>
      </w:r>
      <w:r>
        <w:rPr>
          <w:rStyle w:val="FootnoteReference"/>
          <w:rFonts w:ascii="Times New Roman" w:hAnsi="Times New Roman" w:cs="Times New Roman"/>
          <w:noProof/>
        </w:rPr>
        <w:footnoteReference w:id="42"/>
      </w:r>
      <w:r>
        <w:rPr>
          <w:rFonts w:ascii="Times New Roman" w:hAnsi="Times New Roman"/>
          <w:noProof/>
        </w:rPr>
        <w:t>. Šī politika var tieši ietekmēt vienotu un leģitīmu veidu, kā izdevēji var monetizēt savas tīmekļa vietnes un saturu. Komisija turpina sadarboties ar “</w:t>
      </w:r>
      <w:r>
        <w:rPr>
          <w:rFonts w:ascii="Times New Roman" w:hAnsi="Times New Roman"/>
          <w:i/>
          <w:iCs/>
          <w:noProof/>
        </w:rPr>
        <w:t>Alphabet</w:t>
      </w:r>
      <w:r>
        <w:rPr>
          <w:rFonts w:ascii="Times New Roman" w:hAnsi="Times New Roman"/>
          <w:noProof/>
        </w:rPr>
        <w:t>” un ieinteresētajām personām, lai novērtētu atbilstību minētajai tiesību normai.</w:t>
      </w:r>
    </w:p>
    <w:p w14:paraId="5CD375FF" w14:textId="66ABC7B1" w:rsidR="00C4057E" w:rsidRPr="00951305" w:rsidRDefault="00C4057E" w:rsidP="005E25E7">
      <w:pPr>
        <w:pStyle w:val="ListParagraph"/>
        <w:widowControl w:val="0"/>
        <w:autoSpaceDE w:val="0"/>
        <w:autoSpaceDN w:val="0"/>
        <w:spacing w:before="120" w:after="120" w:line="240" w:lineRule="auto"/>
        <w:ind w:left="998"/>
        <w:contextualSpacing w:val="0"/>
        <w:jc w:val="both"/>
        <w:rPr>
          <w:rFonts w:ascii="Times New Roman" w:hAnsi="Times New Roman" w:cs="Times New Roman"/>
          <w:i/>
          <w:iCs/>
          <w:noProof/>
        </w:rPr>
      </w:pPr>
      <w:r>
        <w:rPr>
          <w:rFonts w:ascii="Times New Roman" w:hAnsi="Times New Roman"/>
          <w:i/>
          <w:noProof/>
        </w:rPr>
        <w:t>Taisnīgums tiešsaistes tirdzniecības vietās</w:t>
      </w:r>
    </w:p>
    <w:p w14:paraId="5F0BA396" w14:textId="0DF04828" w:rsidR="00590E3B" w:rsidRPr="00951305" w:rsidRDefault="00590E3B" w:rsidP="00F756CF">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b/>
          <w:noProof/>
        </w:rPr>
      </w:pPr>
      <w:r>
        <w:rPr>
          <w:rFonts w:ascii="Times New Roman" w:hAnsi="Times New Roman"/>
          <w:noProof/>
        </w:rPr>
        <w:t>DTA 6. panta 5. punkts attiecas ne tikai uz taisnīgumu tiešsaistes meklētājprogrammu ranžēšanā, bet arī uz vizuālo pamanāmību citos PPP, piemēram, tiešsaistes tirdzniecības vietās. Tāpat kā tiešsaistes meklētājprogrammu gadījumā, vārtziņi, kas uztur tiešsaistes tirdzniecības vietas un ar to starpniecību izplata savas preces un pakalpojumus, varētu arī iesaistīties negodīgā rīcībā. Šāda rīcība varētu ietvert, piemēram, vārtziņa preču un pakalpojumu lielāku pamanāmību meklēšanas rezultātos vai to izvietošanu atbilstīgākās tīmekļa lapas vietās, lai mudinātu lietotājus izvēlēties vārtziņa produktus, nevis trešo personu produktus.</w:t>
      </w:r>
    </w:p>
    <w:p w14:paraId="2C38A52F" w14:textId="499904E5" w:rsidR="00590E3B" w:rsidRPr="00951305" w:rsidRDefault="00862565" w:rsidP="00A433D4">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b/>
          <w:noProof/>
        </w:rPr>
      </w:pPr>
      <w:r>
        <w:rPr>
          <w:rFonts w:ascii="Times New Roman" w:hAnsi="Times New Roman"/>
          <w:noProof/>
        </w:rPr>
        <w:t>Komisija iesaistījās regulatīvajā dialogā ar “</w:t>
      </w:r>
      <w:r>
        <w:rPr>
          <w:rFonts w:ascii="Times New Roman" w:hAnsi="Times New Roman"/>
          <w:i/>
          <w:iCs/>
          <w:noProof/>
        </w:rPr>
        <w:t>Amazon</w:t>
      </w:r>
      <w:r>
        <w:rPr>
          <w:rFonts w:ascii="Times New Roman" w:hAnsi="Times New Roman"/>
          <w:noProof/>
        </w:rPr>
        <w:t xml:space="preserve">”, lai nodrošinātu, ka tas pret saviem zīmola produktiem vai citiem </w:t>
      </w:r>
      <w:r>
        <w:rPr>
          <w:rFonts w:ascii="Times New Roman" w:hAnsi="Times New Roman"/>
          <w:i/>
          <w:iCs/>
          <w:noProof/>
        </w:rPr>
        <w:t>Amazon Retail</w:t>
      </w:r>
      <w:r>
        <w:rPr>
          <w:rFonts w:ascii="Times New Roman" w:hAnsi="Times New Roman"/>
          <w:noProof/>
        </w:rPr>
        <w:t xml:space="preserve"> pārdotajiem produktiem neizturas labvēlīgāk, kaitējot pārdevējiem–trešām personām, kas piedāvā līdzīgus produktus.</w:t>
      </w:r>
    </w:p>
    <w:p w14:paraId="6FFBE537" w14:textId="4900365F" w:rsidR="008D0D95" w:rsidRPr="00951305" w:rsidRDefault="008D0D95" w:rsidP="00891325">
      <w:pPr>
        <w:pStyle w:val="ListParagraph"/>
        <w:widowControl w:val="0"/>
        <w:numPr>
          <w:ilvl w:val="0"/>
          <w:numId w:val="6"/>
        </w:numPr>
        <w:autoSpaceDE w:val="0"/>
        <w:autoSpaceDN w:val="0"/>
        <w:spacing w:before="120" w:after="120" w:line="240" w:lineRule="auto"/>
        <w:contextualSpacing w:val="0"/>
        <w:jc w:val="both"/>
        <w:rPr>
          <w:rFonts w:ascii="Times New Roman" w:hAnsi="Times New Roman" w:cs="Times New Roman"/>
          <w:noProof/>
        </w:rPr>
      </w:pPr>
      <w:r>
        <w:rPr>
          <w:rFonts w:ascii="Times New Roman" w:hAnsi="Times New Roman"/>
          <w:b/>
          <w:noProof/>
        </w:rPr>
        <w:t>Tiesvedība ES tiesās par atbilstību DTA</w:t>
      </w:r>
    </w:p>
    <w:p w14:paraId="2D955542" w14:textId="46D23CC5" w:rsidR="008D0D95" w:rsidRPr="00951305" w:rsidRDefault="008D0D95" w:rsidP="00A433D4">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Papildus tiesvedībai saistībā ar vārtziņu statusa noteikšanu un to PPP, kas norisinās ES tiesās un tika minēta iepriekš, Komisija ir arī puse “</w:t>
      </w:r>
      <w:r>
        <w:rPr>
          <w:rFonts w:ascii="Times New Roman" w:hAnsi="Times New Roman"/>
          <w:i/>
          <w:iCs/>
          <w:noProof/>
        </w:rPr>
        <w:t>Meta</w:t>
      </w:r>
      <w:r>
        <w:rPr>
          <w:rFonts w:ascii="Times New Roman" w:hAnsi="Times New Roman"/>
          <w:noProof/>
        </w:rPr>
        <w:t>” un “</w:t>
      </w:r>
      <w:r>
        <w:rPr>
          <w:rFonts w:ascii="Times New Roman" w:hAnsi="Times New Roman"/>
          <w:i/>
          <w:iCs/>
          <w:noProof/>
        </w:rPr>
        <w:t>Apple</w:t>
      </w:r>
      <w:r>
        <w:rPr>
          <w:rFonts w:ascii="Times New Roman" w:hAnsi="Times New Roman"/>
          <w:noProof/>
        </w:rPr>
        <w:t>” prasībās par atcelšanu, kuras tika celtas 2025. gada 4. jūlijā</w:t>
      </w:r>
      <w:r>
        <w:rPr>
          <w:rStyle w:val="FootnoteReference"/>
          <w:rFonts w:ascii="Times New Roman" w:eastAsia="Times New Roman" w:hAnsi="Times New Roman" w:cs="Times New Roman"/>
          <w:noProof/>
          <w:kern w:val="0"/>
        </w:rPr>
        <w:footnoteReference w:id="43"/>
      </w:r>
      <w:r>
        <w:rPr>
          <w:rFonts w:ascii="Times New Roman" w:hAnsi="Times New Roman"/>
          <w:noProof/>
        </w:rPr>
        <w:t xml:space="preserve"> un 2025. gada 7. jūlijā</w:t>
      </w:r>
      <w:r>
        <w:rPr>
          <w:rStyle w:val="FootnoteReference"/>
          <w:rFonts w:ascii="Times New Roman" w:eastAsia="Times New Roman" w:hAnsi="Times New Roman" w:cs="Times New Roman"/>
          <w:noProof/>
          <w:kern w:val="0"/>
        </w:rPr>
        <w:footnoteReference w:id="44"/>
      </w:r>
      <w:r>
        <w:rPr>
          <w:rFonts w:ascii="Times New Roman" w:hAnsi="Times New Roman"/>
          <w:noProof/>
        </w:rPr>
        <w:t xml:space="preserve"> pret Komisijas lēmumiem par neatbilstību, kuros tā konstatēja, ka “</w:t>
      </w:r>
      <w:r>
        <w:rPr>
          <w:rFonts w:ascii="Times New Roman" w:hAnsi="Times New Roman"/>
          <w:i/>
          <w:iCs/>
          <w:noProof/>
        </w:rPr>
        <w:t>Meta</w:t>
      </w:r>
      <w:r>
        <w:rPr>
          <w:rFonts w:ascii="Times New Roman" w:hAnsi="Times New Roman"/>
          <w:noProof/>
        </w:rPr>
        <w:t>” un “</w:t>
      </w:r>
      <w:r>
        <w:rPr>
          <w:rFonts w:ascii="Times New Roman" w:hAnsi="Times New Roman"/>
          <w:i/>
          <w:iCs/>
          <w:noProof/>
        </w:rPr>
        <w:t>Apple</w:t>
      </w:r>
      <w:r>
        <w:rPr>
          <w:rFonts w:ascii="Times New Roman" w:hAnsi="Times New Roman"/>
          <w:noProof/>
        </w:rPr>
        <w:t>” ir pārkāpuši attiecīgi DTA 5. panta 2. un 4. punktu. Turklāt Komisija ir arī puse “</w:t>
      </w:r>
      <w:r>
        <w:rPr>
          <w:rFonts w:ascii="Times New Roman" w:hAnsi="Times New Roman"/>
          <w:i/>
          <w:iCs/>
          <w:noProof/>
        </w:rPr>
        <w:t>Apple</w:t>
      </w:r>
      <w:r>
        <w:rPr>
          <w:rFonts w:ascii="Times New Roman" w:hAnsi="Times New Roman"/>
          <w:noProof/>
        </w:rPr>
        <w:t>” prasībās atcelt abus Komisijas lēmumus par specifikāciju attiecībā uz DTA 6. panta 7. punktu</w:t>
      </w:r>
      <w:r>
        <w:rPr>
          <w:rStyle w:val="FootnoteReference"/>
          <w:rFonts w:ascii="Times New Roman" w:eastAsia="Times New Roman" w:hAnsi="Times New Roman" w:cs="Times New Roman"/>
          <w:noProof/>
          <w:kern w:val="0"/>
        </w:rPr>
        <w:footnoteReference w:id="45"/>
      </w:r>
      <w:r>
        <w:rPr>
          <w:rFonts w:ascii="Times New Roman" w:hAnsi="Times New Roman"/>
          <w:noProof/>
        </w:rPr>
        <w:t>.</w:t>
      </w:r>
    </w:p>
    <w:p w14:paraId="2DF66472" w14:textId="120BD119" w:rsidR="008500AD" w:rsidRPr="00951305" w:rsidRDefault="008500AD" w:rsidP="005E25E7">
      <w:pPr>
        <w:pStyle w:val="ListParagraph"/>
        <w:widowControl w:val="0"/>
        <w:numPr>
          <w:ilvl w:val="0"/>
          <w:numId w:val="6"/>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Informācija par koncentrācijām</w:t>
      </w:r>
    </w:p>
    <w:p w14:paraId="30AEB175" w14:textId="0FC9D9BB" w:rsidR="00094E01" w:rsidRPr="00951305" w:rsidRDefault="002F306C" w:rsidP="00627B70">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bookmarkStart w:id="3" w:name="_Hlk223382360"/>
      <w:r>
        <w:rPr>
          <w:rFonts w:ascii="Times New Roman" w:hAnsi="Times New Roman"/>
          <w:noProof/>
        </w:rPr>
        <w:t>Saskaņā ar DTA 14. pantu vārtziņiem ir jāinformē Komisija par jebkādu plānotu koncentrāciju, ja vienības, kas apvienojas, vai koncentrācijas mērķuzņēmums sniedz PPP vai jebkurus citus pakalpojumus digitālajā nozarē vai dara iespējamu datu vākšanu</w:t>
      </w:r>
      <w:bookmarkEnd w:id="3"/>
      <w:r>
        <w:rPr>
          <w:rFonts w:ascii="Times New Roman" w:hAnsi="Times New Roman"/>
          <w:noProof/>
        </w:rPr>
        <w:t>. Šis pienākums palielina vārtziņu veikto iegādes darījumu pārredzamību un ļauj Komisijai apzināt plašākas iegādes tendences digitālajā nozarē. Tas arī palielina informācijas pieejamību sabiedrībai par konkrētu vārtziņu praksi un norisēm digitālajā tirgū.</w:t>
      </w:r>
    </w:p>
    <w:p w14:paraId="3169219F" w14:textId="24063D6F" w:rsidR="00094E01" w:rsidRPr="00951305" w:rsidRDefault="002F306C" w:rsidP="00627B70">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Komisija 2025. gadā no vārtziņiem saņēma 36 paziņojumus par plānotu koncentrāciju, tādējādi kopējais kopš 2023. gada saņemto paziņojumu skaits sasniedza 55</w:t>
      </w:r>
      <w:r>
        <w:rPr>
          <w:rStyle w:val="FootnoteReference"/>
          <w:rFonts w:ascii="Times New Roman" w:eastAsia="Times New Roman" w:hAnsi="Times New Roman" w:cs="Times New Roman"/>
          <w:noProof/>
        </w:rPr>
        <w:footnoteReference w:id="46"/>
      </w:r>
      <w:r>
        <w:rPr>
          <w:rFonts w:ascii="Times New Roman" w:hAnsi="Times New Roman"/>
          <w:noProof/>
        </w:rPr>
        <w:t>. Komisijas tīmekļvietnē</w:t>
      </w:r>
      <w:r>
        <w:rPr>
          <w:rStyle w:val="FootnoteReference"/>
          <w:rFonts w:ascii="Times New Roman" w:eastAsia="Times New Roman" w:hAnsi="Times New Roman" w:cs="Times New Roman"/>
          <w:noProof/>
          <w:color w:val="000000" w:themeColor="text1"/>
        </w:rPr>
        <w:footnoteReference w:id="47"/>
      </w:r>
      <w:r>
        <w:rPr>
          <w:rFonts w:ascii="Times New Roman" w:hAnsi="Times New Roman"/>
          <w:noProof/>
        </w:rPr>
        <w:t xml:space="preserve"> tiek publicēti vārtziņu iesniegtās informācijas nekonfidenciāli kopsavilkumi, paziņošanas datums un uzņēmumu identitāte.</w:t>
      </w:r>
    </w:p>
    <w:p w14:paraId="56C2192A" w14:textId="3A7E5FC2" w:rsidR="002F306C" w:rsidRPr="00951305" w:rsidRDefault="002F306C" w:rsidP="00AF79FB">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2025. gadā saņemtie paziņojumi liecināja, ka dominē darījumi, kas vērsti uz MI. Līdzīgi kā 2024. gadā, arī 2025. gadā vairāki paziņojumi attiecās uz nolīgumiem, kas saistīti ar talantu piesaistīšanu, dēvētu arī par “</w:t>
      </w:r>
      <w:r>
        <w:rPr>
          <w:rFonts w:ascii="Times New Roman" w:hAnsi="Times New Roman"/>
          <w:i/>
          <w:iCs/>
          <w:noProof/>
        </w:rPr>
        <w:t>acqui-hiring</w:t>
      </w:r>
      <w:r>
        <w:rPr>
          <w:rFonts w:ascii="Times New Roman" w:hAnsi="Times New Roman"/>
          <w:noProof/>
        </w:rPr>
        <w:t>”, t. i., uzņēmuma iegādi tā darbinieku un talantu dēļ</w:t>
      </w:r>
      <w:r>
        <w:rPr>
          <w:rStyle w:val="FootnoteReference"/>
          <w:rFonts w:ascii="Times New Roman" w:eastAsia="Times New Roman" w:hAnsi="Times New Roman" w:cs="Times New Roman"/>
          <w:noProof/>
        </w:rPr>
        <w:footnoteReference w:id="48"/>
      </w:r>
      <w:r>
        <w:rPr>
          <w:rFonts w:ascii="Times New Roman" w:hAnsi="Times New Roman"/>
          <w:noProof/>
        </w:rPr>
        <w:t>. Šie darījumi var izpausties dažādos veidos, bet parasti tie ietver mērķsabiedrības galveno darbinieku darbā pieņemšanas līgumus. Tomēr tie ne vienmēr ir saistīti ar mērķsabiedrības akciju vai aktīvu iegādi. Tas, vai šādi darījumi ir koncentrācija ES Apvienošanās regulas</w:t>
      </w:r>
      <w:r>
        <w:rPr>
          <w:rStyle w:val="FootnoteReference"/>
          <w:rFonts w:ascii="Times New Roman" w:eastAsia="Times New Roman" w:hAnsi="Times New Roman" w:cs="Times New Roman"/>
          <w:noProof/>
        </w:rPr>
        <w:footnoteReference w:id="49"/>
      </w:r>
      <w:r>
        <w:rPr>
          <w:rFonts w:ascii="Times New Roman" w:hAnsi="Times New Roman"/>
          <w:noProof/>
        </w:rPr>
        <w:t xml:space="preserve"> 3. panta nozīmē, ir jāanalizē katrā gadījumā atsevišķi.</w:t>
      </w:r>
    </w:p>
    <w:p w14:paraId="3E6EE9BD" w14:textId="436D387F" w:rsidR="00B10FB0" w:rsidRPr="00951305" w:rsidRDefault="00C4715F" w:rsidP="00AF79FB">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Komisija kopīgo šo informāciju par iegādēm ar dalībvalstīm, kuras to var izmantot apvienošanās kontroles nolūkos valsts līmenī. Ja dalībvalstīm ir valsts jurisdikcija, valsts konkurences iestādes var nodot koncentrācijas lietas izskatīšanai Komisijā</w:t>
      </w:r>
      <w:r>
        <w:rPr>
          <w:rStyle w:val="FootnoteReference"/>
          <w:rFonts w:ascii="Times New Roman" w:eastAsia="Times New Roman" w:hAnsi="Times New Roman" w:cs="Times New Roman"/>
          <w:noProof/>
        </w:rPr>
        <w:footnoteReference w:id="50"/>
      </w:r>
      <w:r>
        <w:rPr>
          <w:rFonts w:ascii="Times New Roman" w:hAnsi="Times New Roman"/>
          <w:noProof/>
        </w:rPr>
        <w:t>.</w:t>
      </w:r>
    </w:p>
    <w:p w14:paraId="65A9B959" w14:textId="1A8935C4" w:rsidR="001841ED" w:rsidRPr="006A34D8" w:rsidRDefault="001841ED" w:rsidP="00AF79FB">
      <w:pPr>
        <w:pStyle w:val="ListParagraph"/>
        <w:widowControl w:val="0"/>
        <w:numPr>
          <w:ilvl w:val="0"/>
          <w:numId w:val="2"/>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TIRGUS IZPĒTE PAR JAUNU PRAKSI</w:t>
      </w:r>
    </w:p>
    <w:p w14:paraId="0C1510C2" w14:textId="4C7BFF7F" w:rsidR="00315531" w:rsidRPr="00951305" w:rsidRDefault="00903855" w:rsidP="001841ED">
      <w:pPr>
        <w:pStyle w:val="ListParagraph"/>
        <w:widowControl w:val="0"/>
        <w:numPr>
          <w:ilvl w:val="0"/>
          <w:numId w:val="1"/>
        </w:numPr>
        <w:autoSpaceDE w:val="0"/>
        <w:autoSpaceDN w:val="0"/>
        <w:spacing w:before="120" w:after="120" w:line="240" w:lineRule="auto"/>
        <w:ind w:hanging="578"/>
        <w:contextualSpacing w:val="0"/>
        <w:jc w:val="both"/>
        <w:rPr>
          <w:noProof/>
        </w:rPr>
      </w:pPr>
      <w:r>
        <w:rPr>
          <w:rFonts w:ascii="Times New Roman" w:hAnsi="Times New Roman"/>
          <w:noProof/>
        </w:rPr>
        <w:t>Pirmo reizi kopš DTA stāšanās spēkā Komisija 2025. gadā izmantoja citu instrumentu no savas regulatīvās rīkkopas – iespēju veikt tirgus izpēti par jauniem pakalpojumiem un praksi saistībā ar DTA 19. pantu. Tas ir būtisks DTA elements, jo tas ļauj Komisijai sekot līdzi digitālo tirgu dinamikai un attīstībai.</w:t>
      </w:r>
    </w:p>
    <w:p w14:paraId="4356C22F" w14:textId="388AE41D" w:rsidR="001841ED" w:rsidRPr="00951305" w:rsidRDefault="00315531" w:rsidP="005E25E7">
      <w:pPr>
        <w:pStyle w:val="ListParagraph"/>
        <w:widowControl w:val="0"/>
        <w:numPr>
          <w:ilvl w:val="0"/>
          <w:numId w:val="1"/>
        </w:numPr>
        <w:autoSpaceDE w:val="0"/>
        <w:autoSpaceDN w:val="0"/>
        <w:spacing w:before="120" w:after="120" w:line="240" w:lineRule="auto"/>
        <w:ind w:hanging="578"/>
        <w:contextualSpacing w:val="0"/>
        <w:jc w:val="both"/>
        <w:rPr>
          <w:noProof/>
        </w:rPr>
      </w:pPr>
      <w:r>
        <w:rPr>
          <w:rFonts w:ascii="Times New Roman" w:hAnsi="Times New Roman"/>
          <w:noProof/>
        </w:rPr>
        <w:t>Koncentrējoties uz iespējamo praksi, kas var apdraudēt tirgus sāncensību vai būt negodīga, Komisija 2025. gada 18. novembrī sāka tirgus izpēti mākoņdatošanas nozarē</w:t>
      </w:r>
      <w:r>
        <w:rPr>
          <w:rStyle w:val="FootnoteReference"/>
          <w:rFonts w:ascii="Times New Roman" w:eastAsia="Times New Roman" w:hAnsi="Times New Roman" w:cs="Times New Roman"/>
          <w:noProof/>
          <w:kern w:val="0"/>
        </w:rPr>
        <w:footnoteReference w:id="51"/>
      </w:r>
      <w:r>
        <w:rPr>
          <w:rFonts w:ascii="Times New Roman" w:hAnsi="Times New Roman"/>
          <w:noProof/>
        </w:rPr>
        <w:t>, kas notiek paralēli tirgus izpētei par “</w:t>
      </w:r>
      <w:r>
        <w:rPr>
          <w:rFonts w:ascii="Times New Roman" w:hAnsi="Times New Roman"/>
          <w:i/>
          <w:iCs/>
          <w:noProof/>
        </w:rPr>
        <w:t>AWS</w:t>
      </w:r>
      <w:r>
        <w:rPr>
          <w:rFonts w:ascii="Times New Roman" w:hAnsi="Times New Roman"/>
          <w:noProof/>
        </w:rPr>
        <w:t>” un “</w:t>
      </w:r>
      <w:r>
        <w:rPr>
          <w:rFonts w:ascii="Times New Roman" w:hAnsi="Times New Roman"/>
          <w:i/>
          <w:iCs/>
          <w:noProof/>
        </w:rPr>
        <w:t>Azure</w:t>
      </w:r>
      <w:r>
        <w:rPr>
          <w:rFonts w:ascii="Times New Roman" w:hAnsi="Times New Roman"/>
          <w:noProof/>
        </w:rPr>
        <w:t>” iespējamo kvalitatīvo statusa noteikšanu</w:t>
      </w:r>
      <w:r>
        <w:rPr>
          <w:rStyle w:val="FootnoteReference"/>
          <w:rFonts w:ascii="Times New Roman" w:eastAsia="Times New Roman" w:hAnsi="Times New Roman" w:cs="Times New Roman"/>
          <w:noProof/>
          <w:kern w:val="0"/>
        </w:rPr>
        <w:footnoteReference w:id="52"/>
      </w:r>
      <w:r>
        <w:rPr>
          <w:rFonts w:ascii="Times New Roman" w:hAnsi="Times New Roman"/>
          <w:noProof/>
        </w:rPr>
        <w:t>.</w:t>
      </w:r>
    </w:p>
    <w:p w14:paraId="72644F2D" w14:textId="6EF8113C" w:rsidR="001841ED" w:rsidRPr="00951305" w:rsidRDefault="001841ED" w:rsidP="005E25E7">
      <w:pPr>
        <w:pStyle w:val="ListParagraph"/>
        <w:widowControl w:val="0"/>
        <w:numPr>
          <w:ilvl w:val="0"/>
          <w:numId w:val="1"/>
        </w:numPr>
        <w:autoSpaceDE w:val="0"/>
        <w:autoSpaceDN w:val="0"/>
        <w:spacing w:before="120" w:after="120" w:line="240" w:lineRule="auto"/>
        <w:ind w:hanging="578"/>
        <w:contextualSpacing w:val="0"/>
        <w:jc w:val="both"/>
        <w:rPr>
          <w:noProof/>
        </w:rPr>
      </w:pPr>
      <w:r>
        <w:rPr>
          <w:rFonts w:ascii="Times New Roman" w:hAnsi="Times New Roman"/>
          <w:noProof/>
        </w:rPr>
        <w:t>Šīs tirgus izpētes galvenais mērķis ir apkopot informāciju no visiem mākoņdatošanas nozares dalībniekiem, piemēram, mākoņdatošanas pakalpojumu sniedzējiem, integrētājiem, neatkarīgiem programmatūras pārdevējiem un klientiem. Ņemot vērā mākoņdatošanas nozares pieaugošo nozīmi uzņēmumiem ES un tās izšķirošo lomu MI un citu saistīto progresīvo tehnoloģiju izstrādē, ir ārkārtīgi svarīgi, lai pašreizējie DTA 5. un 6. pantā noteiktie pienākumi efektīvi novērstu praksi, kas ir negodīga vai apdraud tirgus sāncensību šajā nozarē.</w:t>
      </w:r>
    </w:p>
    <w:p w14:paraId="253F1470" w14:textId="3B5EFB7C" w:rsidR="001841ED" w:rsidRPr="003E47C1" w:rsidRDefault="001841ED" w:rsidP="005E25E7">
      <w:pPr>
        <w:pStyle w:val="ListParagraph"/>
        <w:widowControl w:val="0"/>
        <w:numPr>
          <w:ilvl w:val="0"/>
          <w:numId w:val="1"/>
        </w:numPr>
        <w:autoSpaceDE w:val="0"/>
        <w:autoSpaceDN w:val="0"/>
        <w:spacing w:before="120" w:after="120" w:line="240" w:lineRule="auto"/>
        <w:ind w:hanging="578"/>
        <w:contextualSpacing w:val="0"/>
        <w:jc w:val="both"/>
        <w:rPr>
          <w:rFonts w:ascii="Times New Roman" w:hAnsi="Times New Roman" w:cs="Times New Roman"/>
          <w:b/>
          <w:bCs/>
          <w:noProof/>
        </w:rPr>
      </w:pPr>
      <w:r>
        <w:rPr>
          <w:rFonts w:ascii="Times New Roman" w:hAnsi="Times New Roman"/>
          <w:noProof/>
        </w:rPr>
        <w:t>Šī izpēte aptver tādus aspektus kā šķēršļi sadarbspējai, ierobežota vai nosacīta komerciālo lietotāju piekļuve datiem, pakalpojumu sasaistīšana un grupēšana un potenciāli nelīdzsvaroti līguma noteikumi. Tā noslēgsies ar ziņojumu, kas tiks publicēt s 18 mēnešos pēc izpētes sākšanas. Attiecīgā gadījumā ziņojumā var ierosināt dažu DTA noteikto pienākumu atjauninājumus attiecībā uz mākoņdatošanas pakalpojumiem, pieņemot deleģēto aktu vai tiesību akta priekšlikumu.</w:t>
      </w:r>
    </w:p>
    <w:p w14:paraId="1E2212DF" w14:textId="45E288FB" w:rsidR="008500AD" w:rsidRPr="00951305" w:rsidRDefault="008500AD" w:rsidP="00AF79FB">
      <w:pPr>
        <w:pStyle w:val="ListParagraph"/>
        <w:widowControl w:val="0"/>
        <w:numPr>
          <w:ilvl w:val="0"/>
          <w:numId w:val="2"/>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DTA 15. PANTS: PATĒRĒTĀJU PROFILĒŠANAS PAŅĒMIENU REVIDĒTĀ APRAKSTA NOVĒRTĒJUMS</w:t>
      </w:r>
    </w:p>
    <w:p w14:paraId="38CFBB67" w14:textId="0333FE92" w:rsidR="004C48D7" w:rsidRPr="00951305" w:rsidRDefault="000B4370" w:rsidP="00627B70">
      <w:pPr>
        <w:pStyle w:val="ListParagraph"/>
        <w:widowControl w:val="0"/>
        <w:numPr>
          <w:ilvl w:val="0"/>
          <w:numId w:val="1"/>
        </w:numPr>
        <w:autoSpaceDE w:val="0"/>
        <w:autoSpaceDN w:val="0"/>
        <w:spacing w:before="120" w:after="120" w:line="240" w:lineRule="auto"/>
        <w:ind w:left="998" w:hanging="505"/>
        <w:contextualSpacing w:val="0"/>
        <w:jc w:val="both"/>
        <w:rPr>
          <w:rFonts w:ascii="Times New Roman" w:hAnsi="Times New Roman" w:cs="Times New Roman"/>
          <w:noProof/>
        </w:rPr>
      </w:pPr>
      <w:r>
        <w:rPr>
          <w:rFonts w:ascii="Times New Roman" w:hAnsi="Times New Roman"/>
          <w:noProof/>
        </w:rPr>
        <w:t>Saskaņā ar DTA 15. pantu vārtziņiem ir jāiesniedz Komisijai neatkarīgi revidēts apraksts par visiem patērētāju profilēšanas paņēmieniem, ko tie izmanto jebkuram no PPP vai starp PPP, kuri uzskaitīti lēmumos par vārtziņu statusa noteikšanu (“patērētāju profilēšanas ziņojums”)</w:t>
      </w:r>
      <w:r>
        <w:rPr>
          <w:rFonts w:ascii="Times New Roman" w:eastAsia="Times New Roman" w:hAnsi="Times New Roman" w:cs="Times New Roman"/>
          <w:noProof/>
          <w:kern w:val="0"/>
          <w:vertAlign w:val="superscript"/>
        </w:rPr>
        <w:footnoteReference w:id="53"/>
      </w:r>
      <w:r>
        <w:rPr>
          <w:rFonts w:ascii="Times New Roman" w:hAnsi="Times New Roman"/>
          <w:noProof/>
        </w:rPr>
        <w:t>. Šie ziņojumi, kas tiek kopīgoti ar Eiropas Datu aizsardzības kolēģiju (“EDAK”), ir īpaši vērtīgi, jo tie uzlabo vārtziņu profilēšanas prakses pārredzamību un tos var izmantot Vispārīgās datu aizsardzības regulas (“VDAR”) izpildes panākšanai, kā atzinusi EDAK</w:t>
      </w:r>
      <w:r>
        <w:rPr>
          <w:rFonts w:ascii="Times New Roman" w:eastAsia="Times New Roman" w:hAnsi="Times New Roman" w:cs="Times New Roman"/>
          <w:noProof/>
          <w:kern w:val="0"/>
          <w:vertAlign w:val="superscript"/>
        </w:rPr>
        <w:footnoteReference w:id="54"/>
      </w:r>
      <w:r>
        <w:rPr>
          <w:rFonts w:ascii="Times New Roman" w:hAnsi="Times New Roman"/>
          <w:noProof/>
        </w:rPr>
        <w:t>. Vārtziņiem ir arī jāpublicē publiski pārskati par saviem ziņojumiem, lai informētu trešās personas, piemēram, komerciālos lietotājus.</w:t>
      </w:r>
    </w:p>
    <w:p w14:paraId="4B9ABFFA" w14:textId="44B1DBE7" w:rsidR="008222ED" w:rsidRPr="00951305" w:rsidRDefault="003D1B89" w:rsidP="00627B70">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Šajā tiesību normā arī ir paredzēts, ka vārtziņiem vismaz reizi gadā ir jāatjaunina savi patērētāju profilēšanas ziņojumi un publiskie pārskati. 2025. gads iezīmēja šā ziņošanas pasākuma otro ciklu un pirmo atjauninājumu attiecībā uz visiem septiņiem vārtziņiem. Tie visi līdz attiecīgajiem termiņiem pienācīgi iesniedza atjauninātus patērētāju profilēšanas ziņojumus un publiskos pārskatus. Tie tika iesniegti 2025. gada martā (“</w:t>
      </w:r>
      <w:r>
        <w:rPr>
          <w:rFonts w:ascii="Times New Roman" w:hAnsi="Times New Roman"/>
          <w:i/>
          <w:iCs/>
          <w:noProof/>
        </w:rPr>
        <w:t>Alphabet</w:t>
      </w:r>
      <w:r>
        <w:rPr>
          <w:rFonts w:ascii="Times New Roman" w:hAnsi="Times New Roman"/>
          <w:noProof/>
        </w:rPr>
        <w:t>”, “</w:t>
      </w:r>
      <w:r>
        <w:rPr>
          <w:rFonts w:ascii="Times New Roman" w:hAnsi="Times New Roman"/>
          <w:i/>
          <w:iCs/>
          <w:noProof/>
        </w:rPr>
        <w:t>Amazon</w:t>
      </w:r>
      <w:r>
        <w:rPr>
          <w:rFonts w:ascii="Times New Roman" w:hAnsi="Times New Roman"/>
          <w:noProof/>
        </w:rPr>
        <w:t>”, “</w:t>
      </w:r>
      <w:r>
        <w:rPr>
          <w:rFonts w:ascii="Times New Roman" w:hAnsi="Times New Roman"/>
          <w:i/>
          <w:iCs/>
          <w:noProof/>
        </w:rPr>
        <w:t>Apple</w:t>
      </w:r>
      <w:r>
        <w:rPr>
          <w:rFonts w:ascii="Times New Roman" w:hAnsi="Times New Roman"/>
          <w:noProof/>
        </w:rPr>
        <w:t>”, “</w:t>
      </w:r>
      <w:r>
        <w:rPr>
          <w:rFonts w:ascii="Times New Roman" w:hAnsi="Times New Roman"/>
          <w:i/>
          <w:iCs/>
          <w:noProof/>
        </w:rPr>
        <w:t>ByteDance</w:t>
      </w:r>
      <w:r>
        <w:rPr>
          <w:rFonts w:ascii="Times New Roman" w:hAnsi="Times New Roman"/>
          <w:noProof/>
        </w:rPr>
        <w:t>”, “</w:t>
      </w:r>
      <w:r>
        <w:rPr>
          <w:rFonts w:ascii="Times New Roman" w:hAnsi="Times New Roman"/>
          <w:i/>
          <w:iCs/>
          <w:noProof/>
        </w:rPr>
        <w:t>Meta</w:t>
      </w:r>
      <w:r>
        <w:rPr>
          <w:rFonts w:ascii="Times New Roman" w:hAnsi="Times New Roman"/>
          <w:noProof/>
        </w:rPr>
        <w:t>” un “</w:t>
      </w:r>
      <w:r>
        <w:rPr>
          <w:rFonts w:ascii="Times New Roman" w:hAnsi="Times New Roman"/>
          <w:i/>
          <w:iCs/>
          <w:noProof/>
        </w:rPr>
        <w:t>Microsoft</w:t>
      </w:r>
      <w:r>
        <w:rPr>
          <w:rFonts w:ascii="Times New Roman" w:hAnsi="Times New Roman"/>
          <w:noProof/>
        </w:rPr>
        <w:t>”) un 2025. gada novembrī (“</w:t>
      </w:r>
      <w:r>
        <w:rPr>
          <w:rFonts w:ascii="Times New Roman" w:hAnsi="Times New Roman"/>
          <w:i/>
          <w:iCs/>
          <w:noProof/>
        </w:rPr>
        <w:t>Booking</w:t>
      </w:r>
      <w:r>
        <w:rPr>
          <w:rFonts w:ascii="Times New Roman" w:hAnsi="Times New Roman"/>
          <w:noProof/>
        </w:rPr>
        <w:t>”). Publiski pārskati ir pieejami attiecīgajās vārtziņu tīmekļvietnēs</w:t>
      </w:r>
      <w:r>
        <w:rPr>
          <w:rFonts w:ascii="Times New Roman" w:eastAsia="Times New Roman" w:hAnsi="Times New Roman" w:cs="Times New Roman"/>
          <w:noProof/>
          <w:kern w:val="0"/>
          <w:vertAlign w:val="superscript"/>
        </w:rPr>
        <w:footnoteReference w:id="55"/>
      </w:r>
      <w:r>
        <w:rPr>
          <w:rFonts w:ascii="Times New Roman" w:hAnsi="Times New Roman"/>
          <w:noProof/>
        </w:rPr>
        <w:t>.</w:t>
      </w:r>
    </w:p>
    <w:p w14:paraId="0B2A95A3" w14:textId="0B0BFB1F" w:rsidR="00700B80" w:rsidRPr="00951305" w:rsidRDefault="00864CAB" w:rsidP="005E25E7">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eastAsia="Times New Roman" w:hAnsi="Times New Roman" w:cs="Times New Roman"/>
          <w:noProof/>
          <w:kern w:val="0"/>
          <w14:ligatures w14:val="none"/>
        </w:rPr>
      </w:pPr>
      <w:r>
        <w:rPr>
          <w:rFonts w:ascii="Times New Roman" w:hAnsi="Times New Roman"/>
          <w:noProof/>
        </w:rPr>
        <w:t>Komisija turpinās pārskatīt rezultātus, kas gūti trešajā ziņošanas ciklā saskaņā ar DTA 15. pantu. Attiecīgā gadījumā tā var arī apsvērt iespēju sniegt papildu skaidrojumus, citastarp, iespējams, uzlabojot ziņošanas veidni, ņemot vērā līdz šim gūto pieredzi. Tā arī turpinās sazināties ar EDAK un ALG jautājumos, kas saistīti ar DTA 15. pantu un kas var interesēt Eiropas un valstu iestādes, arī datu aizsardzības un patērētāju aizsardzības jomā.</w:t>
      </w:r>
    </w:p>
    <w:p w14:paraId="2460A970" w14:textId="7F6BA8C4" w:rsidR="004C48D7" w:rsidRPr="00951305" w:rsidRDefault="004C48D7" w:rsidP="00AF79FB">
      <w:pPr>
        <w:pStyle w:val="ListParagraph"/>
        <w:widowControl w:val="0"/>
        <w:numPr>
          <w:ilvl w:val="0"/>
          <w:numId w:val="2"/>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SADARBĪBA STARP KOMISIJU UN VALSTU IESTĀDĒM</w:t>
      </w:r>
    </w:p>
    <w:p w14:paraId="41142B22" w14:textId="530D408C" w:rsidR="00D6053A" w:rsidRPr="00951305" w:rsidRDefault="00D6053A"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DTA ir atzīts, cik svarīga ir regulatīvā sadarbība starp Komisiju un valstu iestādēm, jo īpaši tām, kurām ir izpildes pilnvaras digitālajā nozarē. Tas ir būtiski juridiskās noteiktības nodrošināšanai, lai izvairītos no iekšējā tirgus sadrumstalotības, un digitālās jomas dalībnieku plašāku regulatīvo pienākumu vispārējai saskaņotībai un vienkāršošanai.</w:t>
      </w:r>
    </w:p>
    <w:p w14:paraId="27FB133C" w14:textId="318F0A1F" w:rsidR="00E31927" w:rsidRPr="00951305" w:rsidRDefault="0043565A"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Komisija un valstu konkurences iestādes (“VKI”) 2025. gadā turpināja sadarboties Eiropas Konkurences tīkla ietvaros. Šajā saistībā Komisija saņēma deviņus paziņojumus par valstu lietām saskaņā ar DTA 38. pantu. Turklāt gan Komisija, gan VKI regulāri apmainījās ar attiecīgo informāciju.</w:t>
      </w:r>
    </w:p>
    <w:p w14:paraId="78310244" w14:textId="665E1683" w:rsidR="000857B5" w:rsidRPr="00951305" w:rsidRDefault="00C21FB1"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Lietas, kurās Komisija 2025. gadā sadarbojās ar VKI no DTA viedokļa, ietvēra vienu izmeklēšanu, ko Vācijas VKI veica pret “</w:t>
      </w:r>
      <w:r>
        <w:rPr>
          <w:rFonts w:ascii="Times New Roman" w:hAnsi="Times New Roman"/>
          <w:i/>
          <w:iCs/>
          <w:noProof/>
        </w:rPr>
        <w:t>Alphabet</w:t>
      </w:r>
      <w:r>
        <w:rPr>
          <w:rFonts w:ascii="Times New Roman" w:hAnsi="Times New Roman"/>
          <w:noProof/>
        </w:rPr>
        <w:t>” un kas noslēdzās ar 2025. gada 9. aprīlī pieņemtajām saistībām. Lieta bija par “</w:t>
      </w:r>
      <w:r>
        <w:rPr>
          <w:rFonts w:ascii="Times New Roman" w:hAnsi="Times New Roman"/>
          <w:i/>
          <w:iCs/>
          <w:noProof/>
        </w:rPr>
        <w:t>Alphabet</w:t>
      </w:r>
      <w:r>
        <w:rPr>
          <w:rFonts w:ascii="Times New Roman" w:hAnsi="Times New Roman"/>
          <w:noProof/>
        </w:rPr>
        <w:t xml:space="preserve">” licencēšanas praksi attiecībā uz </w:t>
      </w:r>
      <w:r>
        <w:rPr>
          <w:rFonts w:ascii="Times New Roman" w:hAnsi="Times New Roman"/>
          <w:i/>
          <w:iCs/>
          <w:noProof/>
        </w:rPr>
        <w:t>Google Automotive Services</w:t>
      </w:r>
      <w:r>
        <w:rPr>
          <w:rFonts w:ascii="Times New Roman" w:hAnsi="Times New Roman"/>
          <w:noProof/>
        </w:rPr>
        <w:t xml:space="preserve"> (kas ietver </w:t>
      </w:r>
      <w:r>
        <w:rPr>
          <w:rFonts w:ascii="Times New Roman" w:hAnsi="Times New Roman"/>
          <w:i/>
          <w:iCs/>
          <w:noProof/>
        </w:rPr>
        <w:t>Google Maps</w:t>
      </w:r>
      <w:r>
        <w:rPr>
          <w:rFonts w:ascii="Times New Roman" w:hAnsi="Times New Roman"/>
          <w:noProof/>
        </w:rPr>
        <w:t xml:space="preserve">, </w:t>
      </w:r>
      <w:r>
        <w:rPr>
          <w:rFonts w:ascii="Times New Roman" w:hAnsi="Times New Roman"/>
          <w:i/>
          <w:iCs/>
          <w:noProof/>
        </w:rPr>
        <w:t>Google Play</w:t>
      </w:r>
      <w:r>
        <w:rPr>
          <w:rFonts w:ascii="Times New Roman" w:hAnsi="Times New Roman"/>
          <w:noProof/>
        </w:rPr>
        <w:t xml:space="preserve"> un </w:t>
      </w:r>
      <w:r>
        <w:rPr>
          <w:rFonts w:ascii="Times New Roman" w:hAnsi="Times New Roman"/>
          <w:i/>
          <w:iCs/>
          <w:noProof/>
        </w:rPr>
        <w:t>Google Assistant</w:t>
      </w:r>
      <w:r>
        <w:rPr>
          <w:rFonts w:ascii="Times New Roman" w:hAnsi="Times New Roman"/>
          <w:noProof/>
        </w:rPr>
        <w:t xml:space="preserve">) un līguma nosacījumiem attiecībā uz </w:t>
      </w:r>
      <w:r>
        <w:rPr>
          <w:rFonts w:ascii="Times New Roman" w:hAnsi="Times New Roman"/>
          <w:i/>
          <w:iCs/>
          <w:noProof/>
        </w:rPr>
        <w:t>Google Maps</w:t>
      </w:r>
      <w:r>
        <w:rPr>
          <w:rFonts w:ascii="Times New Roman" w:hAnsi="Times New Roman"/>
          <w:noProof/>
        </w:rPr>
        <w:t xml:space="preserve"> platformu, kas ierobežoja “</w:t>
      </w:r>
      <w:r>
        <w:rPr>
          <w:rFonts w:ascii="Times New Roman" w:hAnsi="Times New Roman"/>
          <w:i/>
          <w:iCs/>
          <w:noProof/>
        </w:rPr>
        <w:t>Alphabet</w:t>
      </w:r>
      <w:r>
        <w:rPr>
          <w:rFonts w:ascii="Times New Roman" w:hAnsi="Times New Roman"/>
          <w:noProof/>
        </w:rPr>
        <w:t>” karšu pakalpojumu kombinētu izmantošanu ar citu pakalpojumu sniedzēju pakalpojumiem</w:t>
      </w:r>
      <w:r>
        <w:rPr>
          <w:rStyle w:val="FootnoteReference"/>
          <w:rFonts w:ascii="Times New Roman" w:eastAsia="Times New Roman" w:hAnsi="Times New Roman" w:cs="Times New Roman"/>
          <w:noProof/>
        </w:rPr>
        <w:footnoteReference w:id="56"/>
      </w:r>
      <w:r>
        <w:rPr>
          <w:rFonts w:ascii="Times New Roman" w:hAnsi="Times New Roman"/>
          <w:noProof/>
        </w:rPr>
        <w:t>.</w:t>
      </w:r>
    </w:p>
    <w:p w14:paraId="66E33A8D" w14:textId="37966D7B" w:rsidR="00DA50DF" w:rsidRPr="00951305" w:rsidRDefault="00624956"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Patērētāju tiesību aizsardzības kontekstā Komisija cieši sadarbojās ar Itālijas VKI, lai izpētītu “</w:t>
      </w:r>
      <w:r>
        <w:rPr>
          <w:rFonts w:ascii="Times New Roman" w:hAnsi="Times New Roman"/>
          <w:i/>
          <w:iCs/>
          <w:noProof/>
        </w:rPr>
        <w:t>Alphabet</w:t>
      </w:r>
      <w:r>
        <w:rPr>
          <w:rFonts w:ascii="Times New Roman" w:hAnsi="Times New Roman"/>
          <w:noProof/>
        </w:rPr>
        <w:t>” piekrišanas pieprasījumu izstrādi. Mērķis bija nodrošināt, lai jebkāda lietotāju piekrišana tam, ka viņu datus kombinē “</w:t>
      </w:r>
      <w:r>
        <w:rPr>
          <w:rFonts w:ascii="Times New Roman" w:hAnsi="Times New Roman"/>
          <w:i/>
          <w:iCs/>
          <w:noProof/>
        </w:rPr>
        <w:t>Alphabet</w:t>
      </w:r>
      <w:r>
        <w:rPr>
          <w:rFonts w:ascii="Times New Roman" w:hAnsi="Times New Roman"/>
          <w:noProof/>
        </w:rPr>
        <w:t>”, tiktu sniegta brīvi un apzināti, kā prasīts piemērojamajā tiesiskajā regulējumā. Šajā gadījumā “</w:t>
      </w:r>
      <w:r>
        <w:rPr>
          <w:rFonts w:ascii="Times New Roman" w:hAnsi="Times New Roman"/>
          <w:i/>
          <w:iCs/>
          <w:noProof/>
        </w:rPr>
        <w:t>Alphabet</w:t>
      </w:r>
      <w:r>
        <w:rPr>
          <w:rFonts w:ascii="Times New Roman" w:hAnsi="Times New Roman"/>
          <w:noProof/>
        </w:rPr>
        <w:t>” piedāvāja saistības Itālijas VKI</w:t>
      </w:r>
      <w:r>
        <w:rPr>
          <w:rStyle w:val="FootnoteReference"/>
          <w:rFonts w:ascii="Times New Roman" w:eastAsia="Times New Roman" w:hAnsi="Times New Roman" w:cs="Times New Roman"/>
          <w:noProof/>
        </w:rPr>
        <w:footnoteReference w:id="57"/>
      </w:r>
      <w:r>
        <w:rPr>
          <w:rFonts w:ascii="Times New Roman" w:hAnsi="Times New Roman"/>
          <w:noProof/>
        </w:rPr>
        <w:t xml:space="preserve"> un, pamatojoties uz sadarbību starp Itālijas VKI un Komisiju, tās attiecināja uz visu ES.</w:t>
      </w:r>
    </w:p>
    <w:p w14:paraId="661DA918" w14:textId="6CE14076" w:rsidR="00E31927" w:rsidRPr="00951305" w:rsidRDefault="00DA50DF" w:rsidP="00AF79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Dialogs un sadarbība ar kompetentajām valsts iestādēm bija būtiska arī saistībā ar neatbilstības lietu par “</w:t>
      </w:r>
      <w:r>
        <w:rPr>
          <w:rFonts w:ascii="Times New Roman" w:hAnsi="Times New Roman"/>
          <w:i/>
          <w:iCs/>
          <w:noProof/>
        </w:rPr>
        <w:t>Meta</w:t>
      </w:r>
      <w:r>
        <w:rPr>
          <w:rFonts w:ascii="Times New Roman" w:hAnsi="Times New Roman"/>
          <w:noProof/>
        </w:rPr>
        <w:t>” modeli “piekrīti vai maksāt” atbilstīgi DTA. No vienas puses, Komisija un Īrijas Datu aizsardzības komisija regulāri informēja viena otru par norisēm savā attiecīgajā izmeklēšanā, kurā novērtē modeļa atbilstību DTA un VDAR. No otras puses, Komisija arī cieši sadarbojās ar Patērētāju tiesību aizsardzības sadarbības tīklu, kas īstenoja koordinētu rīcību, novērtējot “</w:t>
      </w:r>
      <w:r>
        <w:rPr>
          <w:rFonts w:ascii="Times New Roman" w:hAnsi="Times New Roman"/>
          <w:i/>
          <w:iCs/>
          <w:noProof/>
        </w:rPr>
        <w:t>Meta</w:t>
      </w:r>
      <w:r>
        <w:rPr>
          <w:rFonts w:ascii="Times New Roman" w:hAnsi="Times New Roman"/>
          <w:noProof/>
        </w:rPr>
        <w:t>” modeli “piekrīti vai maksā” saskaņā ar patērētāju tiesību aizsardzības tiesību aktiem.</w:t>
      </w:r>
    </w:p>
    <w:p w14:paraId="1E65F119" w14:textId="5669FE32" w:rsidR="00D6053A" w:rsidRPr="00951305" w:rsidRDefault="00986A11" w:rsidP="005E25E7">
      <w:pPr>
        <w:pStyle w:val="ListParagraph"/>
        <w:widowControl w:val="0"/>
        <w:numPr>
          <w:ilvl w:val="0"/>
          <w:numId w:val="1"/>
        </w:numPr>
        <w:autoSpaceDE w:val="0"/>
        <w:autoSpaceDN w:val="0"/>
        <w:spacing w:before="120" w:after="120" w:line="240" w:lineRule="auto"/>
        <w:ind w:hanging="578"/>
        <w:contextualSpacing w:val="0"/>
        <w:jc w:val="both"/>
        <w:rPr>
          <w:rFonts w:ascii="Times New Roman" w:hAnsi="Times New Roman" w:cs="Times New Roman"/>
          <w:noProof/>
        </w:rPr>
      </w:pPr>
      <w:r>
        <w:rPr>
          <w:rFonts w:ascii="Times New Roman" w:hAnsi="Times New Roman"/>
          <w:noProof/>
        </w:rPr>
        <w:t>VKI arī atbalstīja Komisiju tās DTA īstenošanas darbībās 2025. gadā. Konkrētāk, Beļģijas, Itālijas un Nīderlandes VKI palīdzēja Komisijai DTA izmeklēšanā, nodrošinot specializētu personālu. Šī sadarbība atbilst 38. panta garam, kas ļauj VKI iesaistīties DTA īstenošanā, piemēram, izmeklējot gadījumus, kad to teritorijā, iespējams, netiek pildīti DTA pienākumi.</w:t>
      </w:r>
    </w:p>
    <w:p w14:paraId="00B3D907" w14:textId="1872D213" w:rsidR="004C48D7" w:rsidRPr="00951305" w:rsidRDefault="003C1463" w:rsidP="00AF79FB">
      <w:pPr>
        <w:pStyle w:val="ListParagraph"/>
        <w:widowControl w:val="0"/>
        <w:numPr>
          <w:ilvl w:val="0"/>
          <w:numId w:val="2"/>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REGULATĪVĀ SADARBĪBA</w:t>
      </w:r>
    </w:p>
    <w:p w14:paraId="08E52C7E" w14:textId="02AAB87C" w:rsidR="00043889" w:rsidRPr="00951305" w:rsidRDefault="00043889" w:rsidP="005E25E7">
      <w:pPr>
        <w:pStyle w:val="ListParagraph"/>
        <w:widowControl w:val="0"/>
        <w:numPr>
          <w:ilvl w:val="0"/>
          <w:numId w:val="12"/>
        </w:numPr>
        <w:autoSpaceDE w:val="0"/>
        <w:autoSpaceDN w:val="0"/>
        <w:spacing w:before="120" w:after="120" w:line="240" w:lineRule="auto"/>
        <w:contextualSpacing w:val="0"/>
        <w:jc w:val="both"/>
        <w:rPr>
          <w:rFonts w:ascii="Times" w:hAnsi="Times" w:cs="Times New Roman"/>
          <w:b/>
          <w:bCs/>
          <w:noProof/>
        </w:rPr>
      </w:pPr>
      <w:r>
        <w:rPr>
          <w:rFonts w:ascii="Times" w:hAnsi="Times"/>
          <w:b/>
          <w:noProof/>
        </w:rPr>
        <w:t>ALG darbības</w:t>
      </w:r>
    </w:p>
    <w:p w14:paraId="6FA646AA" w14:textId="78318F23" w:rsidR="001E5D7E" w:rsidRPr="00951305" w:rsidRDefault="00D6053A" w:rsidP="00897D73">
      <w:pPr>
        <w:pStyle w:val="ListParagraph"/>
        <w:widowControl w:val="0"/>
        <w:numPr>
          <w:ilvl w:val="0"/>
          <w:numId w:val="1"/>
        </w:numPr>
        <w:autoSpaceDE w:val="0"/>
        <w:autoSpaceDN w:val="0"/>
        <w:spacing w:before="120" w:after="120" w:line="240" w:lineRule="auto"/>
        <w:ind w:left="993" w:hanging="502"/>
        <w:contextualSpacing w:val="0"/>
        <w:jc w:val="both"/>
        <w:rPr>
          <w:rFonts w:ascii="Times" w:hAnsi="Times" w:cs="Times New Roman"/>
          <w:noProof/>
        </w:rPr>
      </w:pPr>
      <w:r>
        <w:rPr>
          <w:rFonts w:ascii="Times New Roman" w:hAnsi="Times New Roman"/>
          <w:noProof/>
        </w:rPr>
        <w:t>ALG 2025. gadā nostiprināja un paplašināja savu lomu kā svarīgs forums regulatīvajai sadarbībai, lai nodrošinātu DTA un citu vārtziņiem piemērojamu nozaru noteikumu saskaņotu un efektīvu īstenošanu. ALG veicināja sadarbības dialogu Eiropas digitālo regulatoru kopienā un atviegloja gan daudzpusēju, gan divpusēju sadarbību starp tās locekļiem.</w:t>
      </w:r>
    </w:p>
    <w:p w14:paraId="5FE4BD9D" w14:textId="39B85BE0" w:rsidR="00A02E52" w:rsidRPr="00951305" w:rsidRDefault="001255D9" w:rsidP="00A02E52">
      <w:pPr>
        <w:pStyle w:val="ListParagraph"/>
        <w:widowControl w:val="0"/>
        <w:numPr>
          <w:ilvl w:val="0"/>
          <w:numId w:val="1"/>
        </w:numPr>
        <w:autoSpaceDE w:val="0"/>
        <w:autoSpaceDN w:val="0"/>
        <w:spacing w:before="120" w:after="120" w:line="240" w:lineRule="auto"/>
        <w:ind w:left="993" w:hanging="502"/>
        <w:contextualSpacing w:val="0"/>
        <w:jc w:val="both"/>
        <w:rPr>
          <w:rFonts w:ascii="Times" w:hAnsi="Times" w:cs="Times New Roman"/>
          <w:noProof/>
        </w:rPr>
      </w:pPr>
      <w:r>
        <w:rPr>
          <w:rFonts w:ascii="Times New Roman" w:hAnsi="Times New Roman"/>
          <w:noProof/>
        </w:rPr>
        <w:t>Ņemot vērā Komisijas vispārējo vienkāršošanas programmu un jo īpaši tās gaidāmo digitālās atbilstības pārbaudi</w:t>
      </w:r>
      <w:r>
        <w:rPr>
          <w:rStyle w:val="FootnoteReference"/>
          <w:rFonts w:ascii="Times New Roman" w:hAnsi="Times New Roman" w:cs="Times New Roman"/>
          <w:noProof/>
        </w:rPr>
        <w:footnoteReference w:id="58"/>
      </w:r>
      <w:r>
        <w:rPr>
          <w:rFonts w:ascii="Times New Roman" w:hAnsi="Times New Roman"/>
          <w:noProof/>
        </w:rPr>
        <w:t>, ALG izvērtēja savu līdzšinējo darbu un apsvēra iespējamos veidus, kā tai uzņemties nozīmīgāku lomu efektīvas koordinācijas nodrošināšanā starp dažādām regulējuma jomām un palīdzēt izstrādāt holistiskāku skatījumu un pieeju. Tas ne tikai samazinās vispārējo sarežģītību un atvieglos slogu gan saņēmējiem, gan vārtziņiem, bet arī neļaus vārtziņiem izmantot vienu politiku, lai izvairītos no citas politikas.</w:t>
      </w:r>
    </w:p>
    <w:p w14:paraId="7214B6EF" w14:textId="408586BA" w:rsidR="0067082B" w:rsidRPr="00951305" w:rsidRDefault="0067082B" w:rsidP="00897D73">
      <w:pPr>
        <w:pStyle w:val="ListParagraph"/>
        <w:widowControl w:val="0"/>
        <w:numPr>
          <w:ilvl w:val="0"/>
          <w:numId w:val="1"/>
        </w:numPr>
        <w:autoSpaceDE w:val="0"/>
        <w:autoSpaceDN w:val="0"/>
        <w:spacing w:before="120" w:after="120" w:line="240" w:lineRule="auto"/>
        <w:ind w:left="993" w:hanging="502"/>
        <w:contextualSpacing w:val="0"/>
        <w:jc w:val="both"/>
        <w:rPr>
          <w:rFonts w:ascii="Times" w:hAnsi="Times" w:cs="Times New Roman"/>
          <w:noProof/>
        </w:rPr>
      </w:pPr>
      <w:r>
        <w:rPr>
          <w:rFonts w:ascii="Times New Roman" w:hAnsi="Times New Roman"/>
          <w:noProof/>
        </w:rPr>
        <w:t>Šajā nolūkā ALG 2025. gadā apstiprināja kopīgu dokumentu, kurā izklāstīta regulatīvā mijiedarbība saistībā ar MI jautājumiem</w:t>
      </w:r>
      <w:r>
        <w:rPr>
          <w:noProof/>
          <w:vertAlign w:val="superscript"/>
        </w:rPr>
        <w:footnoteReference w:id="59"/>
      </w:r>
      <w:r>
        <w:rPr>
          <w:rFonts w:ascii="Times New Roman" w:hAnsi="Times New Roman"/>
          <w:noProof/>
        </w:rPr>
        <w:t xml:space="preserve"> un uzdots tās apakšgrupai MI jautājumos izpētīt ciešāku regulatīvo sadarbību starp kompetentajām iestādēm MI sistēmu izstrādē un ieviešanā, ko veic vārtziņi</w:t>
      </w:r>
      <w:r>
        <w:rPr>
          <w:rStyle w:val="FootnoteReference"/>
          <w:rFonts w:ascii="Times New Roman" w:hAnsi="Times New Roman" w:cs="Times New Roman"/>
          <w:noProof/>
        </w:rPr>
        <w:footnoteReference w:id="60"/>
      </w:r>
      <w:r>
        <w:rPr>
          <w:rFonts w:ascii="Times New Roman" w:hAnsi="Times New Roman"/>
          <w:noProof/>
        </w:rPr>
        <w:t>.</w:t>
      </w:r>
    </w:p>
    <w:p w14:paraId="43B0C98C" w14:textId="0E843B74" w:rsidR="00A561CD" w:rsidRPr="00951305" w:rsidRDefault="005761AA" w:rsidP="005E1992">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ALG arī pielāgoja savas darba metodes. Piemēram, plenārsesijas formāts ir daļēji atvērts, lai ārējie viesreferenti, piemēram, pilsoniskās sabiedrības pārstāvji, varētu paust dažādus viedokļus, kas locekļiem ir jāņem vērā.</w:t>
      </w:r>
    </w:p>
    <w:p w14:paraId="5EFA8755" w14:textId="7EF19ED5" w:rsidR="00043889" w:rsidRPr="00951305" w:rsidRDefault="00043889" w:rsidP="00891325">
      <w:pPr>
        <w:pStyle w:val="ListParagraph"/>
        <w:widowControl w:val="0"/>
        <w:numPr>
          <w:ilvl w:val="0"/>
          <w:numId w:val="12"/>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Kopīgas pamatnostādnes par DTA un VDAR mijiedarbību</w:t>
      </w:r>
    </w:p>
    <w:p w14:paraId="0610483A" w14:textId="191150FD" w:rsidR="00043889" w:rsidRPr="00951305" w:rsidRDefault="00043889" w:rsidP="005E1992">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Pēc diskusijām ALG Komisija un EDAK vienojās kopīgi pieņemt pamatnostādnes par DTA un VDAR mijiedarbību</w:t>
      </w:r>
      <w:r>
        <w:rPr>
          <w:rStyle w:val="FootnoteReference"/>
          <w:rFonts w:ascii="Times New Roman" w:eastAsia="Times New Roman" w:hAnsi="Times New Roman" w:cs="Times New Roman"/>
          <w:noProof/>
          <w:kern w:val="0"/>
        </w:rPr>
        <w:footnoteReference w:id="61"/>
      </w:r>
      <w:r>
        <w:rPr>
          <w:rFonts w:ascii="Times New Roman" w:hAnsi="Times New Roman"/>
          <w:noProof/>
        </w:rPr>
        <w:t>. Lai apkopotu atsauksmes par kopīgo pamatnostādņu pirmo projektu, no 2025. gada 9. oktobra līdz 4. decembrim notika sabiedriskā apspriešana. Komisija un EDAK plāno pieņemt kopīgās pamatnostādnes 2026. gadā.</w:t>
      </w:r>
    </w:p>
    <w:p w14:paraId="39AF9BE8" w14:textId="04F95BE2" w:rsidR="00043889" w:rsidRPr="00951305" w:rsidRDefault="00043889" w:rsidP="00043889">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DTA un VDAR mērķi ir atšķirīgi, bet lielā mērā savstarpēji papildinoši. DTA vēršas pret vārtziņu negodīgu praksi attiecībā pret komerciālajiem lietotājiem un galalietotājiem un nodrošina sāncensību tirgū digitālo pakalpojumu jomā</w:t>
      </w:r>
      <w:r>
        <w:rPr>
          <w:rStyle w:val="FootnoteReference"/>
          <w:rFonts w:ascii="Times New Roman" w:eastAsia="Times New Roman" w:hAnsi="Times New Roman" w:cs="Times New Roman"/>
          <w:noProof/>
          <w:kern w:val="0"/>
        </w:rPr>
        <w:footnoteReference w:id="62"/>
      </w:r>
      <w:r>
        <w:rPr>
          <w:rFonts w:ascii="Times New Roman" w:hAnsi="Times New Roman"/>
          <w:noProof/>
        </w:rPr>
        <w:t>, savukārt VDAR aizsargā fiziskas personas attiecībā uz personas datu apstrādi un nodrošina personas datu brīvu apriti ES, aptverot visus datu pārziņus un apstrādātājus</w:t>
      </w:r>
      <w:r>
        <w:rPr>
          <w:rStyle w:val="FootnoteReference"/>
          <w:rFonts w:ascii="Times New Roman" w:eastAsia="Times New Roman" w:hAnsi="Times New Roman" w:cs="Times New Roman"/>
          <w:noProof/>
          <w:kern w:val="0"/>
        </w:rPr>
        <w:footnoteReference w:id="63"/>
      </w:r>
      <w:r>
        <w:rPr>
          <w:rFonts w:ascii="Times New Roman" w:hAnsi="Times New Roman"/>
          <w:noProof/>
        </w:rPr>
        <w:t>. Tādējādi DTA īstenošana rada lielākas iespējas izstrādātājiem un pakalpojumu sniedzējiem ieviest jauninājumus, izstrādāt un īstenot datu aizsardzības un privātuma elementus saskaņā ar integrētas datu aizsardzības un datu aizsardzības pēc noklusējuma principiem</w:t>
      </w:r>
      <w:r>
        <w:rPr>
          <w:rStyle w:val="FootnoteReference"/>
          <w:rFonts w:ascii="Times New Roman" w:eastAsia="Times New Roman" w:hAnsi="Times New Roman" w:cs="Times New Roman"/>
          <w:noProof/>
          <w:kern w:val="0"/>
        </w:rPr>
        <w:footnoteReference w:id="64"/>
      </w:r>
      <w:r>
        <w:rPr>
          <w:rFonts w:ascii="Times New Roman" w:hAnsi="Times New Roman"/>
          <w:noProof/>
        </w:rPr>
        <w:t>. Tajā pašā laikā atbilstība VDAR papildina DTA mērķi novērst vārtziņu uz datiem balstītās priekšrocības.</w:t>
      </w:r>
    </w:p>
    <w:p w14:paraId="1378C094" w14:textId="430A049C" w:rsidR="00043889" w:rsidRPr="00951305" w:rsidRDefault="00043889" w:rsidP="00043889">
      <w:pPr>
        <w:pStyle w:val="ListParagraph"/>
        <w:widowControl w:val="0"/>
        <w:numPr>
          <w:ilvl w:val="0"/>
          <w:numId w:val="1"/>
        </w:numPr>
        <w:autoSpaceDE w:val="0"/>
        <w:autoSpaceDN w:val="0"/>
        <w:spacing w:before="120" w:after="120" w:line="240" w:lineRule="auto"/>
        <w:ind w:left="993" w:hanging="502"/>
        <w:contextualSpacing w:val="0"/>
        <w:jc w:val="both"/>
        <w:rPr>
          <w:noProof/>
        </w:rPr>
      </w:pPr>
      <w:r>
        <w:rPr>
          <w:rFonts w:ascii="Times New Roman" w:hAnsi="Times New Roman"/>
          <w:noProof/>
        </w:rPr>
        <w:t>Kopīgās pamatnostādnes ir piemērs pozitīvajam iznākumam, ko iestāžu sadarbība rada ALG kontekstā. Tās palīdzēs vārtziņiem un komerciālajiem lietotājiem interpretēt noteikumus, kuriem DAT un VDAR ir vienādi mērķi</w:t>
      </w:r>
      <w:r>
        <w:rPr>
          <w:rStyle w:val="FootnoteReference"/>
          <w:rFonts w:ascii="Times New Roman" w:hAnsi="Times New Roman" w:cs="Times New Roman"/>
          <w:noProof/>
        </w:rPr>
        <w:footnoteReference w:id="65"/>
      </w:r>
      <w:r>
        <w:rPr>
          <w:rFonts w:ascii="Times New Roman" w:hAnsi="Times New Roman"/>
          <w:noProof/>
        </w:rPr>
        <w:t>, uzlabojot juridisko noteiktību uzņēmumiem ES kopumā.</w:t>
      </w:r>
    </w:p>
    <w:p w14:paraId="3A903F6E" w14:textId="6BDE0A7E" w:rsidR="004C48D7" w:rsidRPr="00951305" w:rsidRDefault="004C48D7" w:rsidP="00627B70">
      <w:pPr>
        <w:pStyle w:val="ListParagraph"/>
        <w:widowControl w:val="0"/>
        <w:numPr>
          <w:ilvl w:val="0"/>
          <w:numId w:val="2"/>
        </w:numPr>
        <w:autoSpaceDE w:val="0"/>
        <w:autoSpaceDN w:val="0"/>
        <w:spacing w:before="120" w:after="120" w:line="240" w:lineRule="auto"/>
        <w:contextualSpacing w:val="0"/>
        <w:jc w:val="both"/>
        <w:rPr>
          <w:b/>
          <w:bCs/>
          <w:noProof/>
        </w:rPr>
      </w:pPr>
      <w:r>
        <w:rPr>
          <w:rFonts w:ascii="Times New Roman" w:hAnsi="Times New Roman"/>
          <w:b/>
          <w:noProof/>
        </w:rPr>
        <w:t>CITAS DARBĪBAS SASKAŅĀ AR DTA</w:t>
      </w:r>
    </w:p>
    <w:p w14:paraId="728CDFA6" w14:textId="16CD6837" w:rsidR="00965C8F" w:rsidRPr="00951305" w:rsidRDefault="00F60307" w:rsidP="00AC4AC9">
      <w:pPr>
        <w:pStyle w:val="ListParagraph"/>
        <w:numPr>
          <w:ilvl w:val="0"/>
          <w:numId w:val="1"/>
        </w:numPr>
        <w:spacing w:before="120" w:after="120" w:line="240" w:lineRule="auto"/>
        <w:ind w:left="1003" w:hanging="578"/>
        <w:contextualSpacing w:val="0"/>
        <w:jc w:val="both"/>
        <w:rPr>
          <w:noProof/>
        </w:rPr>
      </w:pPr>
      <w:r>
        <w:rPr>
          <w:rFonts w:ascii="Times New Roman" w:hAnsi="Times New Roman"/>
          <w:noProof/>
        </w:rPr>
        <w:t>Papildus visām DTA darbībām, kas izklāstītas iepriekšējās iedaļās, Komisija gatavojās DTA pārskatīšanai un izskatīja ar to saistītus starptautiskus jautājumus.</w:t>
      </w:r>
    </w:p>
    <w:p w14:paraId="58063829" w14:textId="6123D6D4" w:rsidR="004C48D7" w:rsidRPr="00951305" w:rsidRDefault="00346265" w:rsidP="005E25E7">
      <w:pPr>
        <w:pStyle w:val="ListParagraph"/>
        <w:widowControl w:val="0"/>
        <w:numPr>
          <w:ilvl w:val="0"/>
          <w:numId w:val="13"/>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DTA pārskatīšana</w:t>
      </w:r>
    </w:p>
    <w:p w14:paraId="31872CB3" w14:textId="52F9F96A" w:rsidR="000D2000" w:rsidRPr="00951305" w:rsidRDefault="000D2000" w:rsidP="00B14FFB">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DTA 53. panta 1. punktā ir noteikts, ka Komisijai šī regula ir jāizvērtē līdz 2026. gada 3. maijam. Izvērtējumā Komisijai ir jānovērtē, vai ir sasniegti DTA mērķi, proti, nodrošināt tirgus sāncensību un to, ka vārtziņi neiesaistās negodīgā praksē, kā arī ir jānovērtē DTA ietekme uz komerciālajiem lietotājiem, jo īpaši MVU, un galalietotājiem.</w:t>
      </w:r>
    </w:p>
    <w:p w14:paraId="00178062" w14:textId="3EB3CBBE" w:rsidR="007D77B7" w:rsidRPr="00951305" w:rsidRDefault="000D2000" w:rsidP="00627B70">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Šajā nolūkā Komisija 2025. gada 3. jūlijā sāka sabiedrisko apspriešanu, kuras termiņš atsauksmju sniegšanai bija 2025. gada 24. septembris. Komisija 2025. gada 26. augustā publicēja arī uzaicinājumu iesniegt atsauksmes un īpašu anketu par MI, un termiņš atsauksmju sniegšanai bija 2025. gada 23. septembris. Rezultāti – iesniegtās atsauksmes un Komisijas sniegtās informācijas kopsavilkums – tika publicēti DTA tīmekļvietnē 2026. gada 8. janvārī</w:t>
      </w:r>
      <w:r>
        <w:rPr>
          <w:rStyle w:val="FootnoteReference"/>
          <w:rFonts w:ascii="Times New Roman" w:eastAsia="Times New Roman" w:hAnsi="Times New Roman" w:cs="Times New Roman"/>
          <w:noProof/>
          <w:kern w:val="0"/>
        </w:rPr>
        <w:footnoteReference w:id="66"/>
      </w:r>
      <w:r>
        <w:rPr>
          <w:rFonts w:ascii="Times New Roman" w:hAnsi="Times New Roman"/>
          <w:noProof/>
        </w:rPr>
        <w:t>. Apspriešanā Komisija kopumā saņēma 319 atbildes, 63 atbildes uz uzaicinājumu iesniegt atsauksmes un 96 atbildes uz anketu par MI, un tās visas pārstāvēja plašu ieinteresēto personu loku, citastarp pilsoniskās sabiedrības organizācijas un nozares pārstāvjus.</w:t>
      </w:r>
    </w:p>
    <w:p w14:paraId="2260D6DF" w14:textId="48E466F0" w:rsidR="00B32C6B" w:rsidRPr="000F4E1E" w:rsidRDefault="009E2872" w:rsidP="00627B70">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Saskaņā ar DTA 53. panta 2. punktu Komisija izvērtēja, vai var paplašināt DTA 7. panta, kas attiecas uz ziņapmaiņas pakalpojumu horizontālo sadarbspēju, darbības jomu, attiecinot to arī uz tiešsaistes sociālajiem tīkliem. Tāpēc DTA pārskatīšanas ietvaros tehnisko ekspertu grupa veica rūpīgu sadarbspējas tehnisko analīzi. Analīze aptvēra ne tikai horizontālo sadarbspēju (t. i., ļaujot savienot viena tiešsaistes sociālā tīkla lietotājus ar cita tiešsaistes sociālā tīkla lietotājiem), bet arī vertikālo sadarbspēju (t. i., pakalpojumu sniedzēji–trešās personas, kas piedāvā pakalpojumus papildus tiešsaistes sociālajam tīklam).</w:t>
      </w:r>
    </w:p>
    <w:p w14:paraId="6616262D" w14:textId="7DA82845" w:rsidR="000D2000" w:rsidRPr="000F4E1E" w:rsidRDefault="007D77B7" w:rsidP="00627B70">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DTA pārskatīšanas process tika pabeigts 2026. gada aprīlī</w:t>
      </w:r>
      <w:r>
        <w:rPr>
          <w:rStyle w:val="FootnoteReference"/>
          <w:rFonts w:ascii="Times New Roman" w:eastAsia="Times New Roman" w:hAnsi="Times New Roman" w:cs="Times New Roman"/>
          <w:noProof/>
          <w:kern w:val="0"/>
        </w:rPr>
        <w:footnoteReference w:id="67"/>
      </w:r>
      <w:r>
        <w:rPr>
          <w:rFonts w:ascii="Times New Roman" w:hAnsi="Times New Roman"/>
          <w:noProof/>
        </w:rPr>
        <w:t xml:space="preserve"> ar ziņojumu, kas adresēts Eiropas Parlamentam, Padomei un Eiropas Ekonomikas un sociālo lietu komitejai.</w:t>
      </w:r>
    </w:p>
    <w:p w14:paraId="14C6A6CD" w14:textId="6C86F431" w:rsidR="00093831" w:rsidRPr="00951305" w:rsidRDefault="00093831" w:rsidP="005E25E7">
      <w:pPr>
        <w:pStyle w:val="ListParagraph"/>
        <w:widowControl w:val="0"/>
        <w:numPr>
          <w:ilvl w:val="0"/>
          <w:numId w:val="13"/>
        </w:numPr>
        <w:autoSpaceDE w:val="0"/>
        <w:autoSpaceDN w:val="0"/>
        <w:spacing w:before="120" w:after="120" w:line="240" w:lineRule="auto"/>
        <w:contextualSpacing w:val="0"/>
        <w:jc w:val="both"/>
        <w:rPr>
          <w:rFonts w:ascii="Times New Roman" w:hAnsi="Times New Roman" w:cs="Times New Roman"/>
          <w:b/>
          <w:bCs/>
          <w:noProof/>
        </w:rPr>
      </w:pPr>
      <w:r>
        <w:rPr>
          <w:rFonts w:ascii="Times New Roman" w:hAnsi="Times New Roman"/>
          <w:b/>
          <w:noProof/>
        </w:rPr>
        <w:t>Starptautiskā sadarbība</w:t>
      </w:r>
    </w:p>
    <w:p w14:paraId="7821A885" w14:textId="56C3F2A3" w:rsidR="00A001CE" w:rsidRPr="00C52E11" w:rsidRDefault="00A001CE" w:rsidP="00A001CE">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Eiropas Komisija un Augstā pārstāve ārlietās un drošības politikas jautājumos 2025. gada jūnijā pieņēma Starptautisko digitālo stratēģiju Eiropas Savienībai</w:t>
      </w:r>
      <w:r>
        <w:rPr>
          <w:rStyle w:val="FootnoteReference"/>
          <w:rFonts w:ascii="Times New Roman" w:hAnsi="Times New Roman" w:cs="Times New Roman"/>
          <w:noProof/>
        </w:rPr>
        <w:footnoteReference w:id="68"/>
      </w:r>
      <w:r>
        <w:rPr>
          <w:rFonts w:ascii="Times New Roman" w:hAnsi="Times New Roman"/>
          <w:noProof/>
        </w:rPr>
        <w:t>. Minētā stratēģija ir vērsta uz Eiropas konkurētspējas palielināšanu, Eiropas un tās partneru digitālās drošības programmas veicināšanu un globālās digitālās pārvaldības un standartu veidošanu. Stratēģijā DTA ir minēts kā instruments sadarbībai ar partnervalstīm svarīgā sadarbības jomā, piemēram, tiešsaistes platformu jomā, veicinot digitālo tirgu sāncensību, vienlīdzīgus konkurences apstākļus un godīgu konkurenci starp digitālās jomas dalībniekiem.</w:t>
      </w:r>
    </w:p>
    <w:p w14:paraId="5DDD84AD" w14:textId="18E6E558" w:rsidR="00A001CE" w:rsidRDefault="00A001CE" w:rsidP="00E01900">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Patiesi, DTA piesaista interesi starptautiskā mērogā kā paraugprakse, un ES aktīvi dalījās pieredzē par DTA izpildi, izmantojot starptautisko sadarbību.</w:t>
      </w:r>
    </w:p>
    <w:p w14:paraId="0EAF827F" w14:textId="2C60C417" w:rsidR="00093831" w:rsidRPr="00951305" w:rsidRDefault="00E01900" w:rsidP="00E01900">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Starp ES un Japānu izveidotās digitālās partnerības ietvaros 2025. gada 23. jūlijā tika parakstīts sadarbības nolīgums starp Komisiju un Japānas Godīgas tirdzniecības komisiju (“</w:t>
      </w:r>
      <w:r>
        <w:rPr>
          <w:rFonts w:ascii="Times New Roman" w:hAnsi="Times New Roman"/>
          <w:i/>
          <w:iCs/>
          <w:noProof/>
        </w:rPr>
        <w:t>JFTC</w:t>
      </w:r>
      <w:r>
        <w:rPr>
          <w:rFonts w:ascii="Times New Roman" w:hAnsi="Times New Roman"/>
          <w:noProof/>
        </w:rPr>
        <w:t>”), kas ir atbildīga par Japānas Mobilās programmatūras konkurences likuma (“</w:t>
      </w:r>
      <w:r>
        <w:rPr>
          <w:rFonts w:ascii="Times New Roman" w:hAnsi="Times New Roman"/>
          <w:i/>
          <w:iCs/>
          <w:noProof/>
        </w:rPr>
        <w:t>MSCA</w:t>
      </w:r>
      <w:r>
        <w:rPr>
          <w:rFonts w:ascii="Times New Roman" w:hAnsi="Times New Roman"/>
          <w:noProof/>
        </w:rPr>
        <w:t>”)</w:t>
      </w:r>
      <w:r>
        <w:rPr>
          <w:rStyle w:val="FootnoteReference"/>
          <w:rFonts w:ascii="Times New Roman" w:hAnsi="Times New Roman" w:cs="Times New Roman"/>
          <w:noProof/>
        </w:rPr>
        <w:footnoteReference w:id="69"/>
      </w:r>
      <w:r>
        <w:rPr>
          <w:rFonts w:ascii="Times New Roman" w:hAnsi="Times New Roman"/>
          <w:noProof/>
        </w:rPr>
        <w:t xml:space="preserve"> īstenošanu. Nolīguma mērķis ir ļaut pusēm apmainīties ar nekonfidenciālu informāciju par DTA un </w:t>
      </w:r>
      <w:r>
        <w:rPr>
          <w:rFonts w:ascii="Times New Roman" w:hAnsi="Times New Roman"/>
          <w:i/>
          <w:iCs/>
          <w:noProof/>
        </w:rPr>
        <w:t>MSCA</w:t>
      </w:r>
      <w:r>
        <w:rPr>
          <w:rFonts w:ascii="Times New Roman" w:hAnsi="Times New Roman"/>
          <w:noProof/>
        </w:rPr>
        <w:t xml:space="preserve"> īstenošanu, citastarp ar paraugpraksi un pieredzi. Ar nolīgumu būtu arī jāizveido satvars ekspertu dialogiem un darbinieku apmācībai. </w:t>
      </w:r>
    </w:p>
    <w:p w14:paraId="46798710" w14:textId="174F6FB7" w:rsidR="002C08A9" w:rsidRPr="00951305" w:rsidRDefault="00254D8F" w:rsidP="00627B70">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 xml:space="preserve">Turklāt Komisija kopā ar citām iestādēm piedalījās 2025. gada Pasaules forumā par digitālo konkurenci, ko organizēja </w:t>
      </w:r>
      <w:r>
        <w:rPr>
          <w:rFonts w:ascii="Times New Roman" w:hAnsi="Times New Roman"/>
          <w:i/>
          <w:iCs/>
          <w:noProof/>
        </w:rPr>
        <w:t>JFTC</w:t>
      </w:r>
      <w:r>
        <w:rPr>
          <w:rFonts w:ascii="Times New Roman" w:hAnsi="Times New Roman"/>
          <w:noProof/>
        </w:rPr>
        <w:t>. Šajā pasākumā Komisijai bija iespēja apmainīties ar idejām ar citiem regulatoriem un izpildstruktūrām par to, kā sadarboties digitālajos tirgos un kā nodrošināt efektīvu atbilstību digitālajiem noteikumiem</w:t>
      </w:r>
      <w:r>
        <w:rPr>
          <w:rStyle w:val="FootnoteReference"/>
          <w:rFonts w:ascii="Times New Roman" w:hAnsi="Times New Roman" w:cs="Times New Roman"/>
          <w:noProof/>
        </w:rPr>
        <w:footnoteReference w:id="70"/>
      </w:r>
      <w:r>
        <w:rPr>
          <w:rFonts w:ascii="Times New Roman" w:hAnsi="Times New Roman"/>
          <w:noProof/>
        </w:rPr>
        <w:t>.</w:t>
      </w:r>
    </w:p>
    <w:p w14:paraId="36D49B4D" w14:textId="31843892" w:rsidR="00254D8F" w:rsidRPr="00951305" w:rsidRDefault="002C08A9" w:rsidP="00627B70">
      <w:pPr>
        <w:pStyle w:val="ListParagraph"/>
        <w:widowControl w:val="0"/>
        <w:numPr>
          <w:ilvl w:val="0"/>
          <w:numId w:val="1"/>
        </w:numPr>
        <w:autoSpaceDE w:val="0"/>
        <w:autoSpaceDN w:val="0"/>
        <w:spacing w:before="120" w:after="120" w:line="240" w:lineRule="auto"/>
        <w:ind w:left="993" w:hanging="502"/>
        <w:contextualSpacing w:val="0"/>
        <w:jc w:val="both"/>
        <w:rPr>
          <w:rFonts w:ascii="Times New Roman" w:hAnsi="Times New Roman" w:cs="Times New Roman"/>
          <w:noProof/>
        </w:rPr>
      </w:pPr>
      <w:r>
        <w:rPr>
          <w:rFonts w:ascii="Times New Roman" w:hAnsi="Times New Roman"/>
          <w:noProof/>
        </w:rPr>
        <w:t>Visbeidzot, 2025. gada februāra sākumā Komisija rīkoja tehniskās palīdzības un informācijas apmaiņas darbsemināru par DTA. Pasākums pulcēja ekspertus no ES un partnervalstīm un nodrošināja platformu, kurā dalīties ar ES pieredzi DTA īstenošanā un godīgas digitālās konkurences atbalstīšanā</w:t>
      </w:r>
      <w:r>
        <w:rPr>
          <w:rStyle w:val="FootnoteReference"/>
          <w:rFonts w:ascii="Times New Roman" w:hAnsi="Times New Roman" w:cs="Times New Roman"/>
          <w:noProof/>
        </w:rPr>
        <w:footnoteReference w:id="71"/>
      </w:r>
      <w:r>
        <w:rPr>
          <w:rFonts w:ascii="Times New Roman" w:hAnsi="Times New Roman"/>
          <w:noProof/>
        </w:rPr>
        <w:t>. Iesaistītās partnervalstis bija Albānija, Bosnija un Hercegovina, Kosova</w:t>
      </w:r>
      <w:r>
        <w:rPr>
          <w:rStyle w:val="FootnoteReference"/>
          <w:rFonts w:ascii="Times New Roman" w:hAnsi="Times New Roman" w:cs="Times New Roman"/>
          <w:noProof/>
        </w:rPr>
        <w:footnoteReference w:id="72"/>
      </w:r>
      <w:r>
        <w:rPr>
          <w:rFonts w:ascii="Times New Roman" w:hAnsi="Times New Roman"/>
          <w:noProof/>
        </w:rPr>
        <w:t>, Melnkalne, Moldova, Serbija, Turcija, Ukraina un Ziemeļmaķedonija.</w:t>
      </w:r>
    </w:p>
    <w:sectPr w:rsidR="00254D8F" w:rsidRPr="00951305" w:rsidSect="00DE46AF">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41C7C" w14:textId="77777777" w:rsidR="00B9743C" w:rsidRPr="00951305" w:rsidRDefault="00B9743C" w:rsidP="00DE1888">
      <w:pPr>
        <w:spacing w:after="0" w:line="240" w:lineRule="auto"/>
      </w:pPr>
      <w:r>
        <w:separator/>
      </w:r>
    </w:p>
  </w:endnote>
  <w:endnote w:type="continuationSeparator" w:id="0">
    <w:p w14:paraId="61921D16" w14:textId="77777777" w:rsidR="00B9743C" w:rsidRPr="00951305" w:rsidRDefault="00B9743C" w:rsidP="00DE1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80021" w14:textId="0E445875" w:rsidR="00CA0AA8" w:rsidRPr="00CA0AA8" w:rsidRDefault="00CA0AA8" w:rsidP="00CA0AA8">
    <w:pPr>
      <w:pStyle w:val="FooterCoverPage"/>
      <w:rPr>
        <w:rFonts w:ascii="Arial" w:hAnsi="Arial" w:cs="Arial"/>
        <w:b/>
        <w:sz w:val="48"/>
      </w:rPr>
    </w:pPr>
    <w:r w:rsidRPr="00CA0AA8">
      <w:rPr>
        <w:rFonts w:ascii="Arial" w:hAnsi="Arial" w:cs="Arial"/>
        <w:b/>
        <w:sz w:val="48"/>
      </w:rPr>
      <w:t>LV</w:t>
    </w:r>
    <w:r w:rsidRPr="00CA0AA8">
      <w:rPr>
        <w:rFonts w:ascii="Arial" w:hAnsi="Arial" w:cs="Arial"/>
        <w:b/>
        <w:sz w:val="48"/>
      </w:rPr>
      <w:tab/>
    </w:r>
    <w:r w:rsidRPr="00CA0AA8">
      <w:rPr>
        <w:rFonts w:ascii="Arial" w:hAnsi="Arial" w:cs="Arial"/>
        <w:b/>
        <w:sz w:val="48"/>
      </w:rPr>
      <w:tab/>
    </w:r>
    <w:r w:rsidRPr="00CA0AA8">
      <w:tab/>
    </w:r>
    <w:r w:rsidRPr="00CA0AA8">
      <w:rPr>
        <w:rFonts w:ascii="Arial" w:hAnsi="Arial" w:cs="Arial"/>
        <w:b/>
        <w:sz w:val="48"/>
      </w:rPr>
      <w:t>LV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70917" w14:textId="6810AE38" w:rsidR="00CA0AA8" w:rsidRPr="00CA0AA8" w:rsidRDefault="00CA0AA8" w:rsidP="00CA0AA8">
    <w:pPr>
      <w:pStyle w:val="FooterCoverPage"/>
      <w:rPr>
        <w:rFonts w:ascii="Arial" w:hAnsi="Arial" w:cs="Arial"/>
        <w:b/>
        <w:sz w:val="48"/>
      </w:rPr>
    </w:pPr>
    <w:r w:rsidRPr="00CA0AA8">
      <w:rPr>
        <w:rFonts w:ascii="Arial" w:hAnsi="Arial" w:cs="Arial"/>
        <w:b/>
        <w:sz w:val="48"/>
      </w:rPr>
      <w:t>LV</w:t>
    </w:r>
    <w:r w:rsidRPr="00CA0AA8">
      <w:rPr>
        <w:rFonts w:ascii="Arial" w:hAnsi="Arial" w:cs="Arial"/>
        <w:b/>
        <w:sz w:val="48"/>
      </w:rPr>
      <w:tab/>
    </w:r>
    <w:r w:rsidRPr="00CA0AA8">
      <w:rPr>
        <w:rFonts w:ascii="Arial" w:hAnsi="Arial" w:cs="Arial"/>
        <w:b/>
        <w:sz w:val="48"/>
      </w:rPr>
      <w:tab/>
    </w:r>
    <w:r w:rsidRPr="00CA0AA8">
      <w:tab/>
    </w:r>
    <w:r w:rsidRPr="00CA0AA8">
      <w:rPr>
        <w:rFonts w:ascii="Arial" w:hAnsi="Arial" w:cs="Arial"/>
        <w:b/>
        <w:sz w:val="48"/>
      </w:rPr>
      <w:t>LV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BCC79" w14:textId="77777777" w:rsidR="00CA0AA8" w:rsidRPr="00CA0AA8" w:rsidRDefault="00CA0AA8" w:rsidP="00CA0AA8">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AD769" w14:textId="77777777" w:rsidR="00DE1888" w:rsidRPr="00951305" w:rsidRDefault="00DE188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18935"/>
      <w:docPartObj>
        <w:docPartGallery w:val="Page Numbers (Bottom of Page)"/>
        <w:docPartUnique/>
      </w:docPartObj>
    </w:sdtPr>
    <w:sdtEndPr/>
    <w:sdtContent>
      <w:p w14:paraId="5D9DBB0B" w14:textId="41D9446A" w:rsidR="00140206" w:rsidRPr="00951305" w:rsidRDefault="00140206">
        <w:pPr>
          <w:pStyle w:val="Footer"/>
          <w:jc w:val="center"/>
        </w:pPr>
        <w:r>
          <w:rPr>
            <w:rFonts w:ascii="Times New Roman" w:hAnsi="Times New Roman" w:cs="Times New Roman"/>
            <w:sz w:val="22"/>
          </w:rPr>
          <w:fldChar w:fldCharType="begin"/>
        </w:r>
        <w:r>
          <w:rPr>
            <w:rFonts w:ascii="Times New Roman" w:hAnsi="Times New Roman" w:cs="Times New Roman"/>
            <w:sz w:val="22"/>
          </w:rPr>
          <w:instrText xml:space="preserve"> PAGE   \* MERGEFORMAT </w:instrText>
        </w:r>
        <w:r>
          <w:rPr>
            <w:rFonts w:ascii="Times New Roman" w:hAnsi="Times New Roman" w:cs="Times New Roman"/>
            <w:sz w:val="22"/>
          </w:rPr>
          <w:fldChar w:fldCharType="separate"/>
        </w:r>
        <w:r w:rsidR="00CA0AA8">
          <w:rPr>
            <w:rFonts w:ascii="Times New Roman" w:hAnsi="Times New Roman" w:cs="Times New Roman"/>
            <w:noProof/>
            <w:sz w:val="22"/>
          </w:rPr>
          <w:t>1</w:t>
        </w:r>
        <w:r>
          <w:rPr>
            <w:rFonts w:ascii="Times New Roman" w:hAnsi="Times New Roman" w:cs="Times New Roman"/>
            <w:sz w:val="22"/>
          </w:rPr>
          <w:fldChar w:fldCharType="end"/>
        </w:r>
      </w:p>
    </w:sdtContent>
  </w:sdt>
  <w:p w14:paraId="58A6A1D2" w14:textId="77777777" w:rsidR="00DE1888" w:rsidRPr="00951305" w:rsidRDefault="00DE188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7697C" w14:textId="77777777" w:rsidR="00DE1888" w:rsidRPr="00951305" w:rsidRDefault="00DE1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9A2A0" w14:textId="77777777" w:rsidR="00B9743C" w:rsidRPr="00951305" w:rsidRDefault="00B9743C" w:rsidP="00DE1888">
      <w:pPr>
        <w:spacing w:after="0" w:line="240" w:lineRule="auto"/>
      </w:pPr>
      <w:r>
        <w:separator/>
      </w:r>
    </w:p>
  </w:footnote>
  <w:footnote w:type="continuationSeparator" w:id="0">
    <w:p w14:paraId="068DD281" w14:textId="77777777" w:rsidR="00B9743C" w:rsidRPr="00951305" w:rsidRDefault="00B9743C" w:rsidP="00DE1888">
      <w:pPr>
        <w:spacing w:after="0" w:line="240" w:lineRule="auto"/>
      </w:pPr>
      <w:r>
        <w:continuationSeparator/>
      </w:r>
    </w:p>
  </w:footnote>
  <w:footnote w:id="1">
    <w:p w14:paraId="239FD339" w14:textId="0FDA6070" w:rsidR="00AF00D4" w:rsidRPr="00951305" w:rsidRDefault="00AF00D4" w:rsidP="005039F4">
      <w:pPr>
        <w:pStyle w:val="FootnoteText"/>
        <w:jc w:val="both"/>
      </w:pPr>
      <w:r>
        <w:rPr>
          <w:rStyle w:val="FootnoteReference"/>
        </w:rPr>
        <w:footnoteRef/>
      </w:r>
      <w:r>
        <w:t xml:space="preserve"> OV L 265, 12.10.2022., 1. lpp.</w:t>
      </w:r>
    </w:p>
  </w:footnote>
  <w:footnote w:id="2">
    <w:p w14:paraId="015AEA5D" w14:textId="2343E960" w:rsidR="00AF00D4" w:rsidRPr="00951305" w:rsidRDefault="00AF00D4" w:rsidP="005039F4">
      <w:pPr>
        <w:pStyle w:val="FootnoteText"/>
        <w:jc w:val="both"/>
      </w:pPr>
      <w:r>
        <w:rPr>
          <w:rStyle w:val="FootnoteReference"/>
        </w:rPr>
        <w:footnoteRef/>
      </w:r>
      <w:r>
        <w:t xml:space="preserve"> Šis ir trešais gada ziņojums, kurā Komisija iepazīstina ar pasākumiem, ko tā veikusi, lai īstenotu un izpildītu DTA, kas stājās spēkā 2023. gada 2. maijā. Iepriekšējie ziņojumi ir pieejami šeit: </w:t>
      </w:r>
      <w:hyperlink r:id="rId1" w:history="1">
        <w:r>
          <w:rPr>
            <w:rStyle w:val="Hyperlink"/>
          </w:rPr>
          <w:t>https://digital-markets-act.ec.europa.eu/about-dma/dma-annual-reports_en</w:t>
        </w:r>
      </w:hyperlink>
      <w:r>
        <w:t>.</w:t>
      </w:r>
    </w:p>
  </w:footnote>
  <w:footnote w:id="3">
    <w:p w14:paraId="39CE0849" w14:textId="7F5CD92B" w:rsidR="00355BFF" w:rsidRPr="00951305" w:rsidRDefault="00355BFF" w:rsidP="005039F4">
      <w:pPr>
        <w:pStyle w:val="FootnoteText"/>
        <w:jc w:val="both"/>
      </w:pPr>
      <w:r>
        <w:rPr>
          <w:rStyle w:val="FootnoteReference"/>
        </w:rPr>
        <w:footnoteRef/>
      </w:r>
      <w:r>
        <w:t xml:space="preserve"> </w:t>
      </w:r>
      <w:hyperlink r:id="rId2" w:history="1">
        <w:r>
          <w:rPr>
            <w:rStyle w:val="Hyperlink"/>
          </w:rPr>
          <w:t>https://commission.europa.eu/about/commission-2024-2029_lv</w:t>
        </w:r>
      </w:hyperlink>
      <w:r>
        <w:t>.</w:t>
      </w:r>
    </w:p>
  </w:footnote>
  <w:footnote w:id="4">
    <w:p w14:paraId="30209FDA" w14:textId="280449E6" w:rsidR="00355BFF" w:rsidRPr="00951305" w:rsidRDefault="00355BFF" w:rsidP="00DF2E5C">
      <w:pPr>
        <w:pStyle w:val="FootnoteText"/>
      </w:pPr>
      <w:r>
        <w:rPr>
          <w:rStyle w:val="FootnoteReference"/>
        </w:rPr>
        <w:footnoteRef/>
      </w:r>
      <w:r>
        <w:t xml:space="preserve"> </w:t>
      </w:r>
      <w:hyperlink r:id="rId3" w:history="1">
        <w:r>
          <w:rPr>
            <w:rStyle w:val="Hyperlink"/>
          </w:rPr>
          <w:t>https://commission.europa.eu/about/organisation/college-commissioners/henna-virkkunen_en</w:t>
        </w:r>
      </w:hyperlink>
      <w:r>
        <w:t xml:space="preserve"> un </w:t>
      </w:r>
      <w:hyperlink r:id="rId4" w:history="1">
        <w:r>
          <w:rPr>
            <w:rStyle w:val="Hyperlink"/>
          </w:rPr>
          <w:t>https://commission.europa.eu/about/organisation/college-commissioners/teresa-ribera_en</w:t>
        </w:r>
      </w:hyperlink>
      <w:r>
        <w:t>.</w:t>
      </w:r>
    </w:p>
  </w:footnote>
  <w:footnote w:id="5">
    <w:p w14:paraId="00217501" w14:textId="592E3212" w:rsidR="00F12373" w:rsidRPr="00951305" w:rsidRDefault="00F12373" w:rsidP="005039F4">
      <w:pPr>
        <w:pStyle w:val="FootnoteText"/>
        <w:jc w:val="both"/>
      </w:pPr>
      <w:r>
        <w:rPr>
          <w:rStyle w:val="FootnoteReference"/>
        </w:rPr>
        <w:footnoteRef/>
      </w:r>
      <w:r>
        <w:t xml:space="preserve"> Atjaunināts vārtziņu un PPP saraksts ir pieejams vietnē </w:t>
      </w:r>
      <w:hyperlink r:id="rId5" w:history="1">
        <w:r>
          <w:rPr>
            <w:rStyle w:val="Hyperlink"/>
          </w:rPr>
          <w:t>https://digital-markets-act.ec.europa.eu/gatekeepers_en</w:t>
        </w:r>
      </w:hyperlink>
      <w:r>
        <w:t>.</w:t>
      </w:r>
    </w:p>
  </w:footnote>
  <w:footnote w:id="6">
    <w:p w14:paraId="2D2A5516" w14:textId="1A190BA8" w:rsidR="006476AD" w:rsidRPr="00951305" w:rsidRDefault="006476AD" w:rsidP="005039F4">
      <w:pPr>
        <w:pStyle w:val="FootnoteText"/>
        <w:jc w:val="both"/>
      </w:pPr>
      <w:r>
        <w:rPr>
          <w:rStyle w:val="FootnoteReference"/>
        </w:rPr>
        <w:footnoteRef/>
      </w:r>
      <w:r>
        <w:t xml:space="preserve"> Pakārtoti “</w:t>
      </w:r>
      <w:r>
        <w:rPr>
          <w:i/>
          <w:iCs/>
        </w:rPr>
        <w:t>Meta</w:t>
      </w:r>
      <w:r>
        <w:t xml:space="preserve">” arī apgalvoja, ka </w:t>
      </w:r>
      <w:r>
        <w:rPr>
          <w:i/>
          <w:iCs/>
        </w:rPr>
        <w:t>Marketplace</w:t>
      </w:r>
      <w:r>
        <w:t xml:space="preserve"> darbību vispārējo mērogu nevar uzskatīt par svarīgu vārteju DTA 3. panta 1. punkta nozīmē. Tomēr šis jautājums Komisijas lēmumā netika izskatīts, jo tika pieņemts “</w:t>
      </w:r>
      <w:r>
        <w:rPr>
          <w:i/>
          <w:iCs/>
        </w:rPr>
        <w:t>Meta</w:t>
      </w:r>
      <w:r>
        <w:t>” pirmais arguments.</w:t>
      </w:r>
    </w:p>
  </w:footnote>
  <w:footnote w:id="7">
    <w:p w14:paraId="4C0F0841" w14:textId="48AE9B98" w:rsidR="006476AD" w:rsidRPr="00951305" w:rsidRDefault="006476AD" w:rsidP="005039F4">
      <w:pPr>
        <w:pStyle w:val="FootnoteText"/>
        <w:jc w:val="both"/>
      </w:pPr>
      <w:r>
        <w:rPr>
          <w:rStyle w:val="FootnoteReference"/>
        </w:rPr>
        <w:footnoteRef/>
      </w:r>
      <w:r>
        <w:t xml:space="preserve"> Komisijas 2023. gada 9. septembra Lēmums C(2023) 6105 final.</w:t>
      </w:r>
    </w:p>
  </w:footnote>
  <w:footnote w:id="8">
    <w:p w14:paraId="77BC8897" w14:textId="602258F9" w:rsidR="006476AD" w:rsidRPr="00951305" w:rsidRDefault="006476AD" w:rsidP="005039F4">
      <w:pPr>
        <w:pStyle w:val="FootnoteText"/>
        <w:jc w:val="both"/>
      </w:pPr>
      <w:r>
        <w:rPr>
          <w:rStyle w:val="FootnoteReference"/>
        </w:rPr>
        <w:footnoteRef/>
      </w:r>
      <w:r>
        <w:t xml:space="preserve"> Komisijas 2025. gada 23. aprīļa Lēmums C(2025) 2547 final.</w:t>
      </w:r>
    </w:p>
  </w:footnote>
  <w:footnote w:id="9">
    <w:p w14:paraId="23197B87" w14:textId="6DC44089" w:rsidR="006476AD" w:rsidRPr="00951305" w:rsidRDefault="006476AD" w:rsidP="002E71B8">
      <w:pPr>
        <w:pStyle w:val="FootnoteText"/>
      </w:pPr>
      <w:r>
        <w:rPr>
          <w:rStyle w:val="FootnoteReference"/>
        </w:rPr>
        <w:footnoteRef/>
      </w:r>
      <w:r>
        <w:t xml:space="preserve"> Sk. Komisijas 2025. gada 27. novembra paziņojumu presei: </w:t>
      </w:r>
      <w:hyperlink r:id="rId6" w:history="1">
        <w:r>
          <w:rPr>
            <w:rStyle w:val="Hyperlink"/>
          </w:rPr>
          <w:t>https://digital-markets-act.ec.europa.eu/commission-receives-notifications-apple-under-digital-markets-act-2025-11-27_en</w:t>
        </w:r>
      </w:hyperlink>
      <w:r>
        <w:t>.</w:t>
      </w:r>
    </w:p>
  </w:footnote>
  <w:footnote w:id="10">
    <w:p w14:paraId="531A6181" w14:textId="5EE61A12" w:rsidR="00AE7C09" w:rsidRPr="00951305" w:rsidRDefault="00AE7C09" w:rsidP="00564840">
      <w:pPr>
        <w:pStyle w:val="FootnoteText"/>
        <w:jc w:val="both"/>
      </w:pPr>
      <w:r>
        <w:rPr>
          <w:rStyle w:val="FootnoteReference"/>
        </w:rPr>
        <w:footnoteRef/>
      </w:r>
      <w:r>
        <w:t xml:space="preserve"> Komisija 2026. gada 5. februārī secināja, ka ne </w:t>
      </w:r>
      <w:r>
        <w:rPr>
          <w:i/>
          <w:iCs/>
        </w:rPr>
        <w:t>Apple Ads</w:t>
      </w:r>
      <w:r>
        <w:t xml:space="preserve">, ne </w:t>
      </w:r>
      <w:r>
        <w:rPr>
          <w:i/>
          <w:iCs/>
        </w:rPr>
        <w:t>Apple Maps</w:t>
      </w:r>
      <w:r>
        <w:t xml:space="preserve"> nav svarīgas vārtejas komerciālajiem lietotājiem galalietotāju sasniegšanai: </w:t>
      </w:r>
      <w:hyperlink r:id="rId7" w:history="1">
        <w:r>
          <w:rPr>
            <w:rStyle w:val="Hyperlink"/>
          </w:rPr>
          <w:t>https://digital-markets-act.ec.europa.eu/commission-finds-apple-ads-and-apple-maps-should-not-be-designated-under-digital-markets-act-2026-02-05_en</w:t>
        </w:r>
      </w:hyperlink>
      <w:r>
        <w:t>.</w:t>
      </w:r>
    </w:p>
  </w:footnote>
  <w:footnote w:id="11">
    <w:p w14:paraId="643DB195" w14:textId="40ACEA4D" w:rsidR="00D37DEE" w:rsidRPr="00951305" w:rsidRDefault="00D37DEE" w:rsidP="005039F4">
      <w:pPr>
        <w:pStyle w:val="FootnoteText"/>
        <w:jc w:val="both"/>
      </w:pPr>
      <w:r>
        <w:rPr>
          <w:rStyle w:val="FootnoteReference"/>
        </w:rPr>
        <w:footnoteRef/>
      </w:r>
      <w:r>
        <w:t xml:space="preserve"> Sk. Komisijas 2025. gada 18. novembra paziņojumu presei: </w:t>
      </w:r>
      <w:hyperlink r:id="rId8" w:history="1">
        <w:r>
          <w:rPr>
            <w:rStyle w:val="Hyperlink"/>
          </w:rPr>
          <w:t xml:space="preserve">https://digital-markets-act.ec.europa.eu/ </w:t>
        </w:r>
        <w:r>
          <w:rPr>
            <w:rStyle w:val="Hyperlink"/>
          </w:rPr>
          <w:cr/>
        </w:r>
        <w:r>
          <w:rPr>
            <w:rStyle w:val="Hyperlink"/>
          </w:rPr>
          <w:br/>
        </w:r>
      </w:hyperlink>
      <w:hyperlink r:id="rId9" w:history="1">
        <w:r>
          <w:rPr>
            <w:rStyle w:val="Hyperlink"/>
          </w:rPr>
          <w:t>commission-launches-market-investigations-cloud-computing-services-under-digital-markets-act-2025-11-18_en</w:t>
        </w:r>
      </w:hyperlink>
      <w:r>
        <w:t>.</w:t>
      </w:r>
    </w:p>
  </w:footnote>
  <w:footnote w:id="12">
    <w:p w14:paraId="2E3CAA93" w14:textId="5CFE924B" w:rsidR="00D37DEE" w:rsidRPr="00951305" w:rsidRDefault="00D37DEE" w:rsidP="005039F4">
      <w:pPr>
        <w:pStyle w:val="FootnoteText"/>
        <w:jc w:val="both"/>
      </w:pPr>
      <w:r>
        <w:rPr>
          <w:rStyle w:val="FootnoteReference"/>
        </w:rPr>
        <w:footnoteRef/>
      </w:r>
      <w:r>
        <w:t xml:space="preserve"> Sk. Komisijas Lēmumu C(2025) 7946 final (2025. gada 18. novembris) attiecībā uz “</w:t>
      </w:r>
      <w:r>
        <w:rPr>
          <w:i/>
          <w:iCs/>
        </w:rPr>
        <w:t>Amazon</w:t>
      </w:r>
      <w:r>
        <w:t>” un Komisijas Lēmumu C(2025) 7947 final (2025. gada 18. novembris) attiecībā uz “</w:t>
      </w:r>
      <w:r>
        <w:rPr>
          <w:i/>
          <w:iCs/>
        </w:rPr>
        <w:t>Microsoft</w:t>
      </w:r>
      <w:r>
        <w:t>”.</w:t>
      </w:r>
    </w:p>
  </w:footnote>
  <w:footnote w:id="13">
    <w:p w14:paraId="61E38C0C" w14:textId="36E40B26" w:rsidR="00E92C83" w:rsidRPr="00951305" w:rsidRDefault="00E92C83" w:rsidP="00564840">
      <w:pPr>
        <w:pStyle w:val="FootnoteText"/>
        <w:jc w:val="both"/>
      </w:pPr>
      <w:r>
        <w:rPr>
          <w:rStyle w:val="FootnoteReference"/>
        </w:rPr>
        <w:footnoteRef/>
      </w:r>
      <w:r>
        <w:t xml:space="preserve"> “</w:t>
      </w:r>
      <w:r>
        <w:rPr>
          <w:i/>
          <w:iCs/>
        </w:rPr>
        <w:t>Apple</w:t>
      </w:r>
      <w:r>
        <w:t xml:space="preserve">” apstrīdēja </w:t>
      </w:r>
      <w:r>
        <w:rPr>
          <w:i/>
          <w:iCs/>
        </w:rPr>
        <w:t>App Store</w:t>
      </w:r>
      <w:r>
        <w:t xml:space="preserve"> izcelšanu kā vienu PPP, DTA 6. panta 7. punkta likumību un </w:t>
      </w:r>
      <w:r>
        <w:rPr>
          <w:i/>
          <w:iCs/>
        </w:rPr>
        <w:t>iMessage</w:t>
      </w:r>
      <w:r>
        <w:t xml:space="preserve"> kvalificēšanu par numurneatkarīgo starppersonu sakaru pakalpojumu. Sk. lietu T-1080/23, “</w:t>
      </w:r>
      <w:r>
        <w:rPr>
          <w:i/>
        </w:rPr>
        <w:t>Apple</w:t>
      </w:r>
      <w:r>
        <w:t xml:space="preserve">”/Komisija, OV C, C/2024/563, 8.1.2024., ELI: </w:t>
      </w:r>
      <w:hyperlink r:id="rId10" w:tooltip="Nodrošina piekļuvi dokumentam, izmantojot tā ELI URI." w:history="1">
        <w:r>
          <w:rPr>
            <w:rStyle w:val="Hyperlink"/>
          </w:rPr>
          <w:t>http://data.europa.eu/eli/C/2024/563/oj</w:t>
        </w:r>
      </w:hyperlink>
      <w:r>
        <w:t>; lietu T-1079/23, “</w:t>
      </w:r>
      <w:r>
        <w:rPr>
          <w:i/>
        </w:rPr>
        <w:t>Apple</w:t>
      </w:r>
      <w:r>
        <w:t xml:space="preserve">”/Komisija, OV C, C/2024/562, 8.1.2024., ELI: </w:t>
      </w:r>
      <w:hyperlink r:id="rId11" w:tooltip="Nodrošina piekļuvi dokumentam, izmantojot tā ELI URI." w:history="1">
        <w:r>
          <w:rPr>
            <w:rStyle w:val="Hyperlink"/>
          </w:rPr>
          <w:t>http://data.europa.eu/eli/C/2024/562/oj</w:t>
        </w:r>
      </w:hyperlink>
      <w:r>
        <w:t>; lietu T-214/24, “</w:t>
      </w:r>
      <w:r>
        <w:rPr>
          <w:i/>
        </w:rPr>
        <w:t>Apple</w:t>
      </w:r>
      <w:r>
        <w:t>” un “</w:t>
      </w:r>
      <w:r>
        <w:rPr>
          <w:i/>
        </w:rPr>
        <w:t>Apple Distribution International</w:t>
      </w:r>
      <w:r>
        <w:t xml:space="preserve">” / Komisija, OV C, C/20024/3623, 17.6.2024., ELI: </w:t>
      </w:r>
      <w:hyperlink r:id="rId12" w:tooltip="Nodrošina piekļuvi dokumentam, izmantojot tā ELI URI." w:history="1">
        <w:r>
          <w:rPr>
            <w:rStyle w:val="Hyperlink"/>
          </w:rPr>
          <w:t>http://data.europa.eu/eli/C/2024/3623/oj</w:t>
        </w:r>
      </w:hyperlink>
      <w:r>
        <w:t>.</w:t>
      </w:r>
    </w:p>
  </w:footnote>
  <w:footnote w:id="14">
    <w:p w14:paraId="79881A76" w14:textId="622A7515" w:rsidR="000866F2" w:rsidRPr="00951305" w:rsidRDefault="000866F2" w:rsidP="00564840">
      <w:pPr>
        <w:pStyle w:val="FootnoteText"/>
        <w:jc w:val="both"/>
      </w:pPr>
      <w:r>
        <w:rPr>
          <w:rStyle w:val="FootnoteReference"/>
        </w:rPr>
        <w:footnoteRef/>
      </w:r>
      <w:r>
        <w:t xml:space="preserve"> “</w:t>
      </w:r>
      <w:r>
        <w:rPr>
          <w:i/>
          <w:iCs/>
        </w:rPr>
        <w:t>Meta</w:t>
      </w:r>
      <w:r>
        <w:t xml:space="preserve">” pārsūdzēja PPP statusa piešķiršanu </w:t>
      </w:r>
      <w:r>
        <w:rPr>
          <w:i/>
          <w:iCs/>
        </w:rPr>
        <w:t>Marketplace</w:t>
      </w:r>
      <w:r>
        <w:t xml:space="preserve"> un </w:t>
      </w:r>
      <w:r>
        <w:rPr>
          <w:i/>
          <w:iCs/>
        </w:rPr>
        <w:t>Messenger</w:t>
      </w:r>
      <w:r>
        <w:t>. Sk. lietu T-1078/23, “</w:t>
      </w:r>
      <w:r>
        <w:rPr>
          <w:i/>
        </w:rPr>
        <w:t xml:space="preserve">Meta Platforms” / </w:t>
      </w:r>
      <w:r>
        <w:t xml:space="preserve">Komisija, OV C, C/2024/561, 8.1.2024., ELI: </w:t>
      </w:r>
      <w:hyperlink r:id="rId13" w:tooltip="Nodrošina piekļuvi dokumentam, izmantojot tā ELI URI." w:history="1">
        <w:r>
          <w:rPr>
            <w:rStyle w:val="Hyperlink"/>
          </w:rPr>
          <w:t>http://data.europa.eu/eli/C/2024/561/oj</w:t>
        </w:r>
      </w:hyperlink>
      <w:r>
        <w:t>.</w:t>
      </w:r>
    </w:p>
  </w:footnote>
  <w:footnote w:id="15">
    <w:p w14:paraId="480C2A1E" w14:textId="46592691" w:rsidR="00E92C83" w:rsidRPr="00951305" w:rsidRDefault="00E92C83" w:rsidP="00564840">
      <w:pPr>
        <w:pStyle w:val="FootnoteText"/>
        <w:jc w:val="both"/>
      </w:pPr>
      <w:r>
        <w:rPr>
          <w:rStyle w:val="FootnoteReference"/>
        </w:rPr>
        <w:footnoteRef/>
      </w:r>
      <w:r>
        <w:t xml:space="preserve"> “</w:t>
      </w:r>
      <w:r>
        <w:rPr>
          <w:i/>
          <w:iCs/>
        </w:rPr>
        <w:t>Opera</w:t>
      </w:r>
      <w:r>
        <w:t>” apstrīdēja Komisijas lēmumu nepiešķirt “</w:t>
      </w:r>
      <w:r>
        <w:rPr>
          <w:i/>
          <w:iCs/>
        </w:rPr>
        <w:t>Microsoft</w:t>
      </w:r>
      <w:r>
        <w:t xml:space="preserve">” vārtziņa statusu attiecībā uz </w:t>
      </w:r>
      <w:r>
        <w:rPr>
          <w:i/>
          <w:iCs/>
        </w:rPr>
        <w:t>Microsoft Edge</w:t>
      </w:r>
      <w:r>
        <w:t>. Sk. lietu T-357/24, “</w:t>
      </w:r>
      <w:r>
        <w:rPr>
          <w:i/>
        </w:rPr>
        <w:t>Opera Norway</w:t>
      </w:r>
      <w:r>
        <w:t xml:space="preserve">” / Komisija, OV C, C/2024/5640, 30.9.2024., ELI: </w:t>
      </w:r>
      <w:hyperlink r:id="rId14" w:history="1">
        <w:r>
          <w:rPr>
            <w:rStyle w:val="Hyperlink"/>
          </w:rPr>
          <w:t>http://data.europa.eu/eli/C/2024/5640/oj</w:t>
        </w:r>
      </w:hyperlink>
      <w:r>
        <w:t>.</w:t>
      </w:r>
    </w:p>
  </w:footnote>
  <w:footnote w:id="16">
    <w:p w14:paraId="7C461928" w14:textId="08B2B3EC" w:rsidR="00D472F3" w:rsidRPr="00951305" w:rsidRDefault="00D472F3" w:rsidP="005039F4">
      <w:pPr>
        <w:pStyle w:val="FootnoteText"/>
        <w:jc w:val="both"/>
      </w:pPr>
      <w:r>
        <w:rPr>
          <w:rStyle w:val="FootnoteReference"/>
        </w:rPr>
        <w:footnoteRef/>
      </w:r>
      <w:r>
        <w:t xml:space="preserve"> Lieta C-627/24 P, “</w:t>
      </w:r>
      <w:r>
        <w:rPr>
          <w:i/>
        </w:rPr>
        <w:t>ByteDance</w:t>
      </w:r>
      <w:r>
        <w:t xml:space="preserve">” / Komisija, OV C, C/2024/6639, 11.11.2024., ELI: </w:t>
      </w:r>
      <w:hyperlink r:id="rId15" w:history="1">
        <w:r>
          <w:rPr>
            <w:rStyle w:val="Hyperlink"/>
          </w:rPr>
          <w:t>http://data.europa.eu/eli/C/2024/6639/oj</w:t>
        </w:r>
      </w:hyperlink>
      <w:r>
        <w:t>.</w:t>
      </w:r>
    </w:p>
  </w:footnote>
  <w:footnote w:id="17">
    <w:p w14:paraId="54A0E03D" w14:textId="41BB143F" w:rsidR="005D62CC" w:rsidRPr="00951305" w:rsidRDefault="005D62CC" w:rsidP="005039F4">
      <w:pPr>
        <w:pStyle w:val="FootnoteText"/>
        <w:jc w:val="both"/>
      </w:pPr>
      <w:r>
        <w:rPr>
          <w:rStyle w:val="FootnoteReference"/>
        </w:rPr>
        <w:footnoteRef/>
      </w:r>
      <w:r>
        <w:t xml:space="preserve"> Lieta T-433/24, </w:t>
      </w:r>
      <w:r>
        <w:rPr>
          <w:i/>
        </w:rPr>
        <w:t>Batchelor</w:t>
      </w:r>
      <w:r>
        <w:t xml:space="preserve">/Komisija, OV C, C/2024/6103, 21.10.2024., ELI: </w:t>
      </w:r>
      <w:hyperlink r:id="rId16" w:history="1">
        <w:r>
          <w:rPr>
            <w:rStyle w:val="Hyperlink"/>
          </w:rPr>
          <w:t>http://data.europa.eu/eli/C/2024/6103/oj</w:t>
        </w:r>
      </w:hyperlink>
      <w:r>
        <w:t xml:space="preserve">. Jānorāda, ka Vispārējā tiesa galu galā noraidīja prasību ar 2026. gada 25. februāra spriedumu </w:t>
      </w:r>
      <w:r>
        <w:rPr>
          <w:i/>
          <w:iCs/>
        </w:rPr>
        <w:t>Batchelor</w:t>
      </w:r>
      <w:r>
        <w:t> / Eiropas Komisija, T-433/24, EU:T:2026:143.</w:t>
      </w:r>
    </w:p>
  </w:footnote>
  <w:footnote w:id="18">
    <w:p w14:paraId="474A61D9" w14:textId="56B22A2C" w:rsidR="00D5254A" w:rsidRPr="00951305" w:rsidRDefault="00D5254A" w:rsidP="005039F4">
      <w:pPr>
        <w:pStyle w:val="FootnoteText"/>
        <w:jc w:val="both"/>
      </w:pPr>
      <w:r>
        <w:rPr>
          <w:rStyle w:val="FootnoteReference"/>
        </w:rPr>
        <w:footnoteRef/>
      </w:r>
      <w:r>
        <w:t xml:space="preserve"> Šo dokumentu nekonfidenciālās versijas ir pieejamas Komisijas DTA tīmekļvietnē: </w:t>
      </w:r>
      <w:hyperlink r:id="rId17" w:history="1">
        <w:r>
          <w:rPr>
            <w:rStyle w:val="Hyperlink"/>
          </w:rPr>
          <w:t>https://digital-markets-act-cases.ec.europa.eu/reports/compliance-reports</w:t>
        </w:r>
      </w:hyperlink>
      <w:r>
        <w:t>.</w:t>
      </w:r>
    </w:p>
  </w:footnote>
  <w:footnote w:id="19">
    <w:p w14:paraId="0B98941B" w14:textId="6B541315" w:rsidR="00D5254A" w:rsidRPr="00951305" w:rsidRDefault="00D5254A" w:rsidP="005039F4">
      <w:pPr>
        <w:pStyle w:val="FootnoteText"/>
        <w:jc w:val="both"/>
      </w:pPr>
      <w:r>
        <w:rPr>
          <w:rStyle w:val="FootnoteReference"/>
        </w:rPr>
        <w:footnoteRef/>
      </w:r>
      <w:r>
        <w:t xml:space="preserve"> Sk. šā ziņojuma V iedaļu.</w:t>
      </w:r>
    </w:p>
  </w:footnote>
  <w:footnote w:id="20">
    <w:p w14:paraId="184AF097" w14:textId="54DACF71" w:rsidR="00AF05BB" w:rsidRPr="00951305" w:rsidRDefault="00AF05BB" w:rsidP="005039F4">
      <w:pPr>
        <w:pStyle w:val="FootnoteText"/>
        <w:jc w:val="both"/>
      </w:pPr>
      <w:r>
        <w:rPr>
          <w:rStyle w:val="FootnoteReference"/>
        </w:rPr>
        <w:footnoteRef/>
      </w:r>
      <w:r>
        <w:t xml:space="preserve"> Darbseminārs par atbilstības nodrošināšanu attiecībā uz </w:t>
      </w:r>
      <w:r>
        <w:rPr>
          <w:i/>
          <w:iCs/>
        </w:rPr>
        <w:t>Booking.com</w:t>
      </w:r>
      <w:r>
        <w:t xml:space="preserve"> jau bija noticis 2024. gada 25. oktobrī.</w:t>
      </w:r>
    </w:p>
  </w:footnote>
  <w:footnote w:id="21">
    <w:p w14:paraId="0DFCA082" w14:textId="5549100C" w:rsidR="00AF05BB" w:rsidRPr="00951305" w:rsidRDefault="00AF05BB" w:rsidP="005039F4">
      <w:pPr>
        <w:pStyle w:val="FootnoteText"/>
        <w:jc w:val="both"/>
      </w:pPr>
      <w:r>
        <w:rPr>
          <w:rStyle w:val="FootnoteReference"/>
        </w:rPr>
        <w:footnoteRef/>
      </w:r>
      <w:r>
        <w:t xml:space="preserve"> </w:t>
      </w:r>
      <w:hyperlink r:id="rId18" w:history="1">
        <w:r>
          <w:rPr>
            <w:rStyle w:val="Hyperlink"/>
          </w:rPr>
          <w:t>https://digital-markets-act.ec.europa.eu/events/workshops</w:t>
        </w:r>
      </w:hyperlink>
      <w:r>
        <w:t>.</w:t>
      </w:r>
    </w:p>
  </w:footnote>
  <w:footnote w:id="22">
    <w:p w14:paraId="77C45087" w14:textId="677F8042" w:rsidR="00A025E8" w:rsidRPr="00951305" w:rsidRDefault="00A025E8" w:rsidP="005039F4">
      <w:pPr>
        <w:pStyle w:val="FootnoteText"/>
        <w:jc w:val="both"/>
      </w:pPr>
      <w:r>
        <w:rPr>
          <w:rStyle w:val="FootnoteReference"/>
        </w:rPr>
        <w:footnoteRef/>
      </w:r>
      <w:r>
        <w:t xml:space="preserve"> Komisijas 2025. gada 23. aprīļa Lēmums C(2025) 2091 final.</w:t>
      </w:r>
    </w:p>
  </w:footnote>
  <w:footnote w:id="23">
    <w:p w14:paraId="029F4730" w14:textId="20CFE35C" w:rsidR="00A025E8" w:rsidRPr="00951305" w:rsidRDefault="00A025E8" w:rsidP="005039F4">
      <w:pPr>
        <w:pStyle w:val="FootnoteText"/>
        <w:jc w:val="both"/>
      </w:pPr>
      <w:r>
        <w:rPr>
          <w:rStyle w:val="FootnoteReference"/>
        </w:rPr>
        <w:footnoteRef/>
      </w:r>
      <w:r>
        <w:t> “</w:t>
      </w:r>
      <w:r>
        <w:rPr>
          <w:i/>
          <w:iCs/>
        </w:rPr>
        <w:t>Meta</w:t>
      </w:r>
      <w:r>
        <w:t>” ir pārsūdzējis Komisijas lēmumu par neatbilstību. Sk. šā ziņojuma II.4. iedaļu.</w:t>
      </w:r>
    </w:p>
  </w:footnote>
  <w:footnote w:id="24">
    <w:p w14:paraId="2D78C0ED" w14:textId="5935CEBD" w:rsidR="00A025E8" w:rsidRPr="00951305" w:rsidRDefault="00A025E8" w:rsidP="005039F4">
      <w:pPr>
        <w:pStyle w:val="FootnoteText"/>
        <w:jc w:val="both"/>
      </w:pPr>
      <w:r>
        <w:rPr>
          <w:rStyle w:val="FootnoteReference"/>
        </w:rPr>
        <w:footnoteRef/>
      </w:r>
      <w:r>
        <w:t xml:space="preserve"> Sk. Komisijas 2025. gada 8. decembra paziņojumu presei: </w:t>
      </w:r>
      <w:hyperlink r:id="rId19" w:history="1">
        <w:r>
          <w:rPr>
            <w:rStyle w:val="Hyperlink"/>
          </w:rPr>
          <w:t>https://digital-markets-act.ec.europa.eu/meta-commits-give-eu-users-choice-personalised-ads-under-digital-markets-act-2025-12-08_en</w:t>
        </w:r>
      </w:hyperlink>
      <w:r>
        <w:t>.</w:t>
      </w:r>
    </w:p>
  </w:footnote>
  <w:footnote w:id="25">
    <w:p w14:paraId="4235F429" w14:textId="6195E165" w:rsidR="00A10BD2" w:rsidRPr="00C52E11" w:rsidRDefault="00A10BD2" w:rsidP="00C52E11">
      <w:pPr>
        <w:pStyle w:val="FootnoteText"/>
        <w:jc w:val="both"/>
      </w:pPr>
      <w:r>
        <w:rPr>
          <w:rStyle w:val="FootnoteReference"/>
        </w:rPr>
        <w:footnoteRef/>
      </w:r>
      <w:r>
        <w:t xml:space="preserve"> Komisijas procedūras pret “</w:t>
      </w:r>
      <w:r>
        <w:rPr>
          <w:i/>
          <w:iCs/>
        </w:rPr>
        <w:t>Meta</w:t>
      </w:r>
      <w:r>
        <w:t>” saskaņā ar DTA atšķiras no Komisijas koordinētajām Patērētāju tiesību aizsardzības sadarbības tīkla veiktajām izmeklēšanām valstu patērētāju tiesību aizsardzības iestādēs par iespējamas negodīgas komercprakses un negodīgu līguma noteikumu izmantošanu saistībā ar “</w:t>
      </w:r>
      <w:r>
        <w:rPr>
          <w:i/>
          <w:iCs/>
        </w:rPr>
        <w:t>Meta</w:t>
      </w:r>
      <w:r>
        <w:t>” reklāmas modeļa “piekrīti vai maksā” uzrādīšanu patērētājiem ES/EEZ un neskar tās.</w:t>
      </w:r>
    </w:p>
  </w:footnote>
  <w:footnote w:id="26">
    <w:p w14:paraId="775F2D12" w14:textId="6753CB97" w:rsidR="004E40EF" w:rsidRPr="00951305" w:rsidRDefault="004E40EF" w:rsidP="00564840">
      <w:pPr>
        <w:pStyle w:val="FootnoteText"/>
        <w:jc w:val="both"/>
      </w:pPr>
      <w:r>
        <w:rPr>
          <w:rStyle w:val="FootnoteReference"/>
        </w:rPr>
        <w:footnoteRef/>
      </w:r>
      <w:r>
        <w:t xml:space="preserve"> “</w:t>
      </w:r>
      <w:r>
        <w:rPr>
          <w:i/>
          <w:iCs/>
        </w:rPr>
        <w:t>Alphabet</w:t>
      </w:r>
      <w:r>
        <w:t xml:space="preserve">” šā regulatīvā dialoga rezultātā paziņoja par citiem uzlabojumiem 2026. gadā, piemēram, lietotājam piedāvātu iespēju izvēlētās tīmekļa pārlūkprogrammas ikonu ievietot jaunu </w:t>
      </w:r>
      <w:r>
        <w:rPr>
          <w:i/>
          <w:iCs/>
        </w:rPr>
        <w:t>Pixel</w:t>
      </w:r>
      <w:r>
        <w:t xml:space="preserve"> ierīču “</w:t>
      </w:r>
      <w:r>
        <w:rPr>
          <w:i/>
          <w:iCs/>
        </w:rPr>
        <w:t>hotseat</w:t>
      </w:r>
      <w:r>
        <w:t>” jeb vispamanāmākajā vietā izvēles ekrānā un jaunas funkcijas pievienošanu, kas ļauj lietotājiem iestatījumos “noklusējuma lietotņu izvēlnē” nomainīt savu noklusējuma tiešsaistes meklētājprogrammu.</w:t>
      </w:r>
    </w:p>
  </w:footnote>
  <w:footnote w:id="27">
    <w:p w14:paraId="11386EB0" w14:textId="3C2061A7" w:rsidR="00400E33" w:rsidRPr="00951305" w:rsidRDefault="00400E33" w:rsidP="00564840">
      <w:pPr>
        <w:pStyle w:val="FootnoteText"/>
        <w:jc w:val="both"/>
      </w:pPr>
      <w:r>
        <w:rPr>
          <w:rStyle w:val="FootnoteReference"/>
        </w:rPr>
        <w:footnoteRef/>
      </w:r>
      <w:r>
        <w:t xml:space="preserve"> Sk. Komisijas 2025. gada 23. aprīļa paziņojumu presei: </w:t>
      </w:r>
      <w:hyperlink r:id="rId20" w:history="1">
        <w:r>
          <w:rPr>
            <w:rStyle w:val="Hyperlink"/>
          </w:rPr>
          <w:t xml:space="preserve">https://ec.europa.eu/commission/presscorner/detail/ </w:t>
        </w:r>
        <w:r>
          <w:rPr>
            <w:rStyle w:val="Hyperlink"/>
          </w:rPr>
          <w:cr/>
        </w:r>
        <w:r>
          <w:rPr>
            <w:rStyle w:val="Hyperlink"/>
          </w:rPr>
          <w:br/>
        </w:r>
      </w:hyperlink>
      <w:hyperlink r:id="rId21" w:history="1">
        <w:r>
          <w:rPr>
            <w:rStyle w:val="Hyperlink"/>
          </w:rPr>
          <w:t>lv/ip_25_1086</w:t>
        </w:r>
      </w:hyperlink>
      <w:r>
        <w:t>.</w:t>
      </w:r>
    </w:p>
  </w:footnote>
  <w:footnote w:id="28">
    <w:p w14:paraId="6BD239AC" w14:textId="49F1972B" w:rsidR="00174EB4" w:rsidRPr="00951305" w:rsidRDefault="00174EB4" w:rsidP="005039F4">
      <w:pPr>
        <w:pStyle w:val="FootnoteText"/>
        <w:jc w:val="both"/>
      </w:pPr>
      <w:r>
        <w:rPr>
          <w:rStyle w:val="FootnoteReference"/>
        </w:rPr>
        <w:footnoteRef/>
      </w:r>
      <w:r>
        <w:t xml:space="preserve"> Komisijas Īstenošanas lēmums C(2025) 3000 final (2025. gada 19. marts) un Komisijas Īstenošanas lēmums C(2025) 3001 final (2025. gada 19. marts).</w:t>
      </w:r>
    </w:p>
  </w:footnote>
  <w:footnote w:id="29">
    <w:p w14:paraId="3EDFE23D" w14:textId="2FC03FC2" w:rsidR="00EB124E" w:rsidRPr="00951305" w:rsidRDefault="00EB124E" w:rsidP="005039F4">
      <w:pPr>
        <w:pStyle w:val="FootnoteText"/>
        <w:jc w:val="both"/>
      </w:pPr>
      <w:r>
        <w:rPr>
          <w:rStyle w:val="FootnoteReference"/>
        </w:rPr>
        <w:footnoteRef/>
      </w:r>
      <w:r>
        <w:t xml:space="preserve"> “</w:t>
      </w:r>
      <w:r>
        <w:rPr>
          <w:i/>
          <w:iCs/>
        </w:rPr>
        <w:t>Apple</w:t>
      </w:r>
      <w:r>
        <w:t>” ir apstrīdējis abus specifikācijas lēmumus Vispārējā tiesā. Sk. šā ziņojuma III.3. iedaļu.</w:t>
      </w:r>
    </w:p>
  </w:footnote>
  <w:footnote w:id="30">
    <w:p w14:paraId="673B51FA" w14:textId="0E53741C" w:rsidR="00B65742" w:rsidRPr="00951305" w:rsidRDefault="00B65742" w:rsidP="00AC4AC9">
      <w:pPr>
        <w:pStyle w:val="FootnoteText"/>
      </w:pPr>
      <w:r>
        <w:rPr>
          <w:rStyle w:val="FootnoteReference"/>
        </w:rPr>
        <w:footnoteRef/>
      </w:r>
      <w:r>
        <w:t xml:space="preserve"> Komisijas 2025. gada 23. aprīļa Lēmums C(2025) 2090 final; </w:t>
      </w:r>
      <w:hyperlink r:id="rId22" w:history="1">
        <w:r>
          <w:rPr>
            <w:rStyle w:val="Hyperlink"/>
          </w:rPr>
          <w:t>https://competition-cases.ec.europa.eu/cases/DMA.100109</w:t>
        </w:r>
      </w:hyperlink>
      <w:r>
        <w:t>.</w:t>
      </w:r>
    </w:p>
  </w:footnote>
  <w:footnote w:id="31">
    <w:p w14:paraId="69C4C0E1" w14:textId="5B0EE101" w:rsidR="00B65742" w:rsidRPr="00951305" w:rsidRDefault="00B65742" w:rsidP="005039F4">
      <w:pPr>
        <w:pStyle w:val="FootnoteText"/>
        <w:jc w:val="both"/>
      </w:pPr>
      <w:r>
        <w:rPr>
          <w:rStyle w:val="FootnoteReference"/>
        </w:rPr>
        <w:footnoteRef/>
      </w:r>
      <w:r>
        <w:t xml:space="preserve"> “</w:t>
      </w:r>
      <w:r>
        <w:rPr>
          <w:i/>
          <w:iCs/>
        </w:rPr>
        <w:t>Apple</w:t>
      </w:r>
      <w:r>
        <w:t>” ir pārsūdzējis Komisijas lēmumu par neatbilstību. Sk. šā ziņojuma III.3. iedaļu.</w:t>
      </w:r>
    </w:p>
  </w:footnote>
  <w:footnote w:id="32">
    <w:p w14:paraId="20E7269B" w14:textId="3F749AD8" w:rsidR="008F67D3" w:rsidRPr="00951305" w:rsidRDefault="008F67D3" w:rsidP="002E71B8">
      <w:pPr>
        <w:pStyle w:val="FootnoteText"/>
      </w:pPr>
      <w:r>
        <w:rPr>
          <w:rStyle w:val="FootnoteReference"/>
        </w:rPr>
        <w:footnoteRef/>
      </w:r>
      <w:r>
        <w:t xml:space="preserve"> Sk. Komisijas 2025. gada 19. marta paziņojumu presei: </w:t>
      </w:r>
      <w:hyperlink r:id="rId23" w:history="1">
        <w:r>
          <w:rPr>
            <w:rStyle w:val="Hyperlink"/>
          </w:rPr>
          <w:t xml:space="preserve">https://ec.europa.eu/commission/presscorner/detail/lv/ </w:t>
        </w:r>
        <w:r>
          <w:rPr>
            <w:rStyle w:val="Hyperlink"/>
          </w:rPr>
          <w:cr/>
        </w:r>
        <w:r>
          <w:rPr>
            <w:rStyle w:val="Hyperlink"/>
          </w:rPr>
          <w:br/>
        </w:r>
      </w:hyperlink>
      <w:hyperlink r:id="rId24" w:history="1">
        <w:r>
          <w:rPr>
            <w:rStyle w:val="Hyperlink"/>
          </w:rPr>
          <w:t>ip_25_811</w:t>
        </w:r>
      </w:hyperlink>
      <w:r>
        <w:t>.</w:t>
      </w:r>
    </w:p>
  </w:footnote>
  <w:footnote w:id="33">
    <w:p w14:paraId="6D00F58B" w14:textId="77777777" w:rsidR="008F67D3" w:rsidRPr="00951305" w:rsidRDefault="008F67D3" w:rsidP="005039F4">
      <w:pPr>
        <w:pStyle w:val="FootnoteText"/>
        <w:jc w:val="both"/>
      </w:pPr>
      <w:r>
        <w:rPr>
          <w:rStyle w:val="FootnoteReference"/>
        </w:rPr>
        <w:footnoteRef/>
      </w:r>
      <w:r>
        <w:t xml:space="preserve"> DTA 40. apsvērums.</w:t>
      </w:r>
    </w:p>
  </w:footnote>
  <w:footnote w:id="34">
    <w:p w14:paraId="4DE443C1" w14:textId="7DC69017" w:rsidR="004F1401" w:rsidRPr="00951305" w:rsidRDefault="004F1401" w:rsidP="00564840">
      <w:pPr>
        <w:pStyle w:val="FootnoteText"/>
        <w:jc w:val="both"/>
      </w:pPr>
      <w:r>
        <w:rPr>
          <w:rStyle w:val="FootnoteReference"/>
        </w:rPr>
        <w:footnoteRef/>
      </w:r>
      <w:r>
        <w:t xml:space="preserve"> Lietas izskatīšana 2026. gada martā vēl nav pabeigta.</w:t>
      </w:r>
    </w:p>
  </w:footnote>
  <w:footnote w:id="35">
    <w:p w14:paraId="299EDB49" w14:textId="5568EC43" w:rsidR="00EE698A" w:rsidRPr="00951305" w:rsidRDefault="00EE698A" w:rsidP="002E71B8">
      <w:pPr>
        <w:pStyle w:val="FootnoteText"/>
      </w:pPr>
      <w:r>
        <w:rPr>
          <w:rStyle w:val="FootnoteReference"/>
        </w:rPr>
        <w:footnoteRef/>
      </w:r>
      <w:r>
        <w:t xml:space="preserve"> Sk. Komisijas 2025. gada 23. aprīļa paziņojumu presei: </w:t>
      </w:r>
      <w:hyperlink r:id="rId25" w:history="1">
        <w:r>
          <w:rPr>
            <w:rStyle w:val="Hyperlink"/>
          </w:rPr>
          <w:t xml:space="preserve">https://ec.europa.eu/commission/presscorner/detail/lv/ </w:t>
        </w:r>
        <w:r>
          <w:rPr>
            <w:rStyle w:val="Hyperlink"/>
          </w:rPr>
          <w:cr/>
        </w:r>
        <w:r>
          <w:rPr>
            <w:rStyle w:val="Hyperlink"/>
          </w:rPr>
          <w:br/>
        </w:r>
      </w:hyperlink>
      <w:hyperlink r:id="rId26" w:history="1">
        <w:r>
          <w:rPr>
            <w:rStyle w:val="Hyperlink"/>
          </w:rPr>
          <w:t>ip_25_1086</w:t>
        </w:r>
      </w:hyperlink>
      <w:r>
        <w:t>.</w:t>
      </w:r>
    </w:p>
  </w:footnote>
  <w:footnote w:id="36">
    <w:p w14:paraId="2FB8070B" w14:textId="1415145B" w:rsidR="004F1401" w:rsidRPr="00951305" w:rsidRDefault="004F1401" w:rsidP="00564840">
      <w:pPr>
        <w:pStyle w:val="FootnoteText"/>
        <w:jc w:val="both"/>
      </w:pPr>
      <w:r>
        <w:rPr>
          <w:rStyle w:val="FootnoteReference"/>
        </w:rPr>
        <w:footnoteRef/>
      </w:r>
      <w:r>
        <w:t xml:space="preserve"> 2026. gada martā lietas izskatīšana joprojām turpinās.</w:t>
      </w:r>
    </w:p>
  </w:footnote>
  <w:footnote w:id="37">
    <w:p w14:paraId="1CC73399" w14:textId="54FFF36F" w:rsidR="00BC44E6" w:rsidRPr="00951305" w:rsidRDefault="00BC44E6" w:rsidP="005039F4">
      <w:pPr>
        <w:pStyle w:val="FootnoteText"/>
        <w:jc w:val="both"/>
      </w:pPr>
      <w:r>
        <w:rPr>
          <w:rStyle w:val="FootnoteReference"/>
        </w:rPr>
        <w:footnoteRef/>
      </w:r>
      <w:r>
        <w:t xml:space="preserve"> Sk. Eiropas Patērētāju organizācijas ziņojumu “</w:t>
      </w:r>
      <w:r>
        <w:rPr>
          <w:i/>
          <w:iCs/>
        </w:rPr>
        <w:t>First Bloom: increased consumer choice after eighteen months of the DMA</w:t>
      </w:r>
      <w:r>
        <w:t xml:space="preserve">”, kas publicēts 2025. gada novembrī: </w:t>
      </w:r>
      <w:hyperlink r:id="rId27" w:history="1">
        <w:r>
          <w:rPr>
            <w:rStyle w:val="Hyperlink"/>
          </w:rPr>
          <w:t>https://www.beuc.eu/sites/default/files/publications/BEUC-X-2025-101_Increased_consumer_choice_after_eighteen_months_of_the_DMA.pdf</w:t>
        </w:r>
      </w:hyperlink>
      <w:r>
        <w:t>.</w:t>
      </w:r>
    </w:p>
  </w:footnote>
  <w:footnote w:id="38">
    <w:p w14:paraId="263CDD42" w14:textId="7A2AC076" w:rsidR="00CB3227" w:rsidRPr="00C52E11" w:rsidRDefault="00CB3227" w:rsidP="005039F4">
      <w:pPr>
        <w:pStyle w:val="FootnoteText"/>
        <w:jc w:val="both"/>
      </w:pPr>
      <w:r>
        <w:rPr>
          <w:rStyle w:val="FootnoteReference"/>
        </w:rPr>
        <w:footnoteRef/>
      </w:r>
      <w:r>
        <w:t xml:space="preserve"> DTA 7. panta 2. punkta b) apakšpunkts.</w:t>
      </w:r>
    </w:p>
  </w:footnote>
  <w:footnote w:id="39">
    <w:p w14:paraId="6001C01E" w14:textId="55267896" w:rsidR="006A6436" w:rsidRPr="00C52E11" w:rsidRDefault="006A6436" w:rsidP="00564840">
      <w:pPr>
        <w:pStyle w:val="FootnoteText"/>
        <w:jc w:val="both"/>
      </w:pPr>
      <w:r>
        <w:rPr>
          <w:rStyle w:val="FootnoteReference"/>
        </w:rPr>
        <w:footnoteRef/>
      </w:r>
      <w:r>
        <w:t xml:space="preserve"> </w:t>
      </w:r>
      <w:hyperlink r:id="rId28" w:history="1">
        <w:r>
          <w:rPr>
            <w:rStyle w:val="Hyperlink"/>
          </w:rPr>
          <w:t>https://developers.facebook.com/m/messaging-interoperability/</w:t>
        </w:r>
      </w:hyperlink>
      <w:r>
        <w:t>.</w:t>
      </w:r>
    </w:p>
  </w:footnote>
  <w:footnote w:id="40">
    <w:p w14:paraId="47B46D86" w14:textId="3C5F0903" w:rsidR="00CB3227" w:rsidRPr="00C52E11" w:rsidRDefault="00CB3227" w:rsidP="002E71B8">
      <w:pPr>
        <w:pStyle w:val="FootnoteText"/>
      </w:pPr>
      <w:r>
        <w:rPr>
          <w:rStyle w:val="FootnoteReference"/>
        </w:rPr>
        <w:footnoteRef/>
      </w:r>
      <w:r>
        <w:t xml:space="preserve"> </w:t>
      </w:r>
      <w:hyperlink r:id="rId29" w:history="1">
        <w:r>
          <w:rPr>
            <w:rStyle w:val="Hyperlink"/>
          </w:rPr>
          <w:t>https://about.fb.com/news/2025/11/messaging-interoperability-whatsapp-enables-third-party-chats-for-users-in-europe/</w:t>
        </w:r>
      </w:hyperlink>
      <w:r>
        <w:t>.</w:t>
      </w:r>
    </w:p>
  </w:footnote>
  <w:footnote w:id="41">
    <w:p w14:paraId="0E6AB719" w14:textId="0400CE6D" w:rsidR="00F528DE" w:rsidRPr="00951305" w:rsidRDefault="00F528DE" w:rsidP="002E71B8">
      <w:pPr>
        <w:pStyle w:val="FootnoteText"/>
      </w:pPr>
      <w:r>
        <w:rPr>
          <w:rStyle w:val="FootnoteReference"/>
        </w:rPr>
        <w:footnoteRef/>
      </w:r>
      <w:r>
        <w:t xml:space="preserve"> Sk. Komisijas 2025. gada 19. marta paziņojumu presei: </w:t>
      </w:r>
      <w:hyperlink r:id="rId30" w:history="1">
        <w:r>
          <w:rPr>
            <w:rStyle w:val="Hyperlink"/>
          </w:rPr>
          <w:t xml:space="preserve">https://ec.europa.eu/commission/presscorner/detail/lv/ </w:t>
        </w:r>
        <w:r>
          <w:rPr>
            <w:rStyle w:val="Hyperlink"/>
          </w:rPr>
          <w:cr/>
        </w:r>
        <w:r>
          <w:rPr>
            <w:rStyle w:val="Hyperlink"/>
          </w:rPr>
          <w:br/>
        </w:r>
      </w:hyperlink>
      <w:hyperlink r:id="rId31" w:history="1">
        <w:r>
          <w:rPr>
            <w:rStyle w:val="Hyperlink"/>
          </w:rPr>
          <w:t>ip_25_811</w:t>
        </w:r>
      </w:hyperlink>
      <w:r>
        <w:t>.</w:t>
      </w:r>
    </w:p>
  </w:footnote>
  <w:footnote w:id="42">
    <w:p w14:paraId="2929DA1D" w14:textId="20ADB405" w:rsidR="00D33657" w:rsidRPr="00951305" w:rsidRDefault="00D33657" w:rsidP="002E71B8">
      <w:pPr>
        <w:pStyle w:val="FootnoteText"/>
      </w:pPr>
      <w:r>
        <w:rPr>
          <w:rStyle w:val="FootnoteReference"/>
        </w:rPr>
        <w:footnoteRef/>
      </w:r>
      <w:r>
        <w:t xml:space="preserve"> Sk. Komisijas 2025. gada 13. novembra paziņojumu presei: </w:t>
      </w:r>
      <w:hyperlink r:id="rId32" w:history="1">
        <w:r>
          <w:rPr>
            <w:rStyle w:val="Hyperlink"/>
          </w:rPr>
          <w:t xml:space="preserve">https://ec.europa.eu/commission/presscorner/ </w:t>
        </w:r>
        <w:r>
          <w:rPr>
            <w:rStyle w:val="Hyperlink"/>
          </w:rPr>
          <w:cr/>
        </w:r>
        <w:r>
          <w:rPr>
            <w:rStyle w:val="Hyperlink"/>
          </w:rPr>
          <w:br/>
        </w:r>
      </w:hyperlink>
      <w:hyperlink r:id="rId33" w:history="1">
        <w:r>
          <w:rPr>
            <w:rStyle w:val="Hyperlink"/>
          </w:rPr>
          <w:t>detail/lv/ip_25_2675</w:t>
        </w:r>
      </w:hyperlink>
      <w:r>
        <w:t>. Sk. arī Komisijas 2025. gada 12. novembra Lēmumu C(2026) 7806 final.</w:t>
      </w:r>
    </w:p>
  </w:footnote>
  <w:footnote w:id="43">
    <w:p w14:paraId="49D42340" w14:textId="627C1F8A" w:rsidR="008D0D95" w:rsidRPr="00951305" w:rsidRDefault="008D0D95" w:rsidP="002E71B8">
      <w:pPr>
        <w:pStyle w:val="FootnoteText"/>
      </w:pPr>
      <w:r>
        <w:rPr>
          <w:rStyle w:val="FootnoteReference"/>
        </w:rPr>
        <w:footnoteRef/>
      </w:r>
      <w:r>
        <w:t xml:space="preserve"> Lieta T-432/25, “</w:t>
      </w:r>
      <w:r>
        <w:rPr>
          <w:i/>
        </w:rPr>
        <w:t>Meta Platforms</w:t>
      </w:r>
      <w:r>
        <w:t xml:space="preserve">” / Komisija, OV C, C/2025/5214, 6.10.2025., ELI: </w:t>
      </w:r>
      <w:hyperlink r:id="rId34" w:history="1">
        <w:r>
          <w:rPr>
            <w:rStyle w:val="Hyperlink"/>
          </w:rPr>
          <w:t>http://data.europa.eu/eli/C/2025/5214/oj</w:t>
        </w:r>
      </w:hyperlink>
      <w:r>
        <w:t>.</w:t>
      </w:r>
    </w:p>
  </w:footnote>
  <w:footnote w:id="44">
    <w:p w14:paraId="6A593799" w14:textId="3B8C5CFE" w:rsidR="008D0D95" w:rsidRPr="00951305" w:rsidRDefault="008D0D95" w:rsidP="002E71B8">
      <w:pPr>
        <w:pStyle w:val="FootnoteText"/>
      </w:pPr>
      <w:r>
        <w:rPr>
          <w:rStyle w:val="FootnoteReference"/>
        </w:rPr>
        <w:footnoteRef/>
      </w:r>
      <w:r>
        <w:t xml:space="preserve"> Lieta T-438/25, “</w:t>
      </w:r>
      <w:r>
        <w:rPr>
          <w:i/>
        </w:rPr>
        <w:t>Apple</w:t>
      </w:r>
      <w:r>
        <w:t xml:space="preserve">”/Komisija, OV C, C/2025/5215, 6.10.2025., ELI: </w:t>
      </w:r>
      <w:hyperlink r:id="rId35" w:history="1">
        <w:r>
          <w:rPr>
            <w:rStyle w:val="Hyperlink"/>
          </w:rPr>
          <w:t>http://data.europa.eu/eli/C/2025/5215/oj</w:t>
        </w:r>
      </w:hyperlink>
      <w:r>
        <w:t>.</w:t>
      </w:r>
    </w:p>
  </w:footnote>
  <w:footnote w:id="45">
    <w:p w14:paraId="7BB6D141" w14:textId="44D3617C" w:rsidR="008D0D95" w:rsidRPr="00951305" w:rsidRDefault="008D0D95" w:rsidP="005039F4">
      <w:pPr>
        <w:pStyle w:val="FootnoteText"/>
        <w:jc w:val="both"/>
      </w:pPr>
      <w:r>
        <w:rPr>
          <w:rStyle w:val="FootnoteReference"/>
        </w:rPr>
        <w:footnoteRef/>
      </w:r>
      <w:r>
        <w:t xml:space="preserve"> Lieta T-354/25, “</w:t>
      </w:r>
      <w:r>
        <w:rPr>
          <w:i/>
        </w:rPr>
        <w:t>Apple</w:t>
      </w:r>
      <w:r>
        <w:t>” un “</w:t>
      </w:r>
      <w:r>
        <w:rPr>
          <w:i/>
        </w:rPr>
        <w:t>Apple Distribution International</w:t>
      </w:r>
      <w:r>
        <w:t xml:space="preserve">” / Komisija, OV C, C/2025/5212, 6.10.2025., ELI: </w:t>
      </w:r>
      <w:hyperlink r:id="rId36" w:history="1">
        <w:r>
          <w:rPr>
            <w:rStyle w:val="Hyperlink"/>
          </w:rPr>
          <w:t>http://data.europa.eu/eli/C/2025/5212/oj</w:t>
        </w:r>
      </w:hyperlink>
      <w:r>
        <w:t>, un lieta T-359/25, “</w:t>
      </w:r>
      <w:r>
        <w:rPr>
          <w:i/>
        </w:rPr>
        <w:t xml:space="preserve">Apple” </w:t>
      </w:r>
      <w:r>
        <w:t>un</w:t>
      </w:r>
      <w:r>
        <w:rPr>
          <w:i/>
        </w:rPr>
        <w:t xml:space="preserve"> “Apple Distribution International</w:t>
      </w:r>
      <w:r>
        <w:t xml:space="preserve">” / Komisija, OV C, C/2025/5213, 6.10.2025., ELI: </w:t>
      </w:r>
      <w:hyperlink r:id="rId37" w:tooltip="Nodrošina piekļuvi dokumentam, izmantojot tā ELI URI." w:history="1">
        <w:r>
          <w:rPr>
            <w:rStyle w:val="Hyperlink"/>
          </w:rPr>
          <w:t>http://data.europa.eu/eli/C/2025/5213/oj</w:t>
        </w:r>
      </w:hyperlink>
      <w:r>
        <w:t>.</w:t>
      </w:r>
    </w:p>
  </w:footnote>
  <w:footnote w:id="46">
    <w:p w14:paraId="77A7B3C6" w14:textId="7A5F75FE" w:rsidR="002F306C" w:rsidRPr="00951305" w:rsidRDefault="002F306C" w:rsidP="005039F4">
      <w:pPr>
        <w:pStyle w:val="FootnoteText"/>
        <w:jc w:val="both"/>
      </w:pPr>
      <w:r>
        <w:rPr>
          <w:rStyle w:val="FootnoteReference"/>
        </w:rPr>
        <w:footnoteRef/>
      </w:r>
      <w:r>
        <w:t xml:space="preserve"> Komisija 2023. gadā saņēma trīs paziņojumus. Komisija 2024. gadā saņēma 16 paziņojumus, kuros pārskatīts 2024. gada DTA ziņojumā norādītais skaitlis. Komisija 2025. gadā saņēma 36 paziņojumus.</w:t>
      </w:r>
    </w:p>
  </w:footnote>
  <w:footnote w:id="47">
    <w:p w14:paraId="77A8B2FB" w14:textId="2512ACD3" w:rsidR="002F306C" w:rsidRPr="00951305" w:rsidRDefault="002F306C" w:rsidP="005039F4">
      <w:pPr>
        <w:pStyle w:val="FootnoteText"/>
        <w:jc w:val="both"/>
      </w:pPr>
      <w:r>
        <w:rPr>
          <w:rStyle w:val="FootnoteReference"/>
        </w:rPr>
        <w:footnoteRef/>
      </w:r>
      <w:r>
        <w:t xml:space="preserve"> </w:t>
      </w:r>
      <w:hyperlink r:id="rId38" w:history="1">
        <w:r>
          <w:rPr>
            <w:rStyle w:val="Hyperlink"/>
          </w:rPr>
          <w:t>https://digital-markets-act-cases.ec.europa.eu/acquisitions</w:t>
        </w:r>
      </w:hyperlink>
      <w:r>
        <w:t>.</w:t>
      </w:r>
    </w:p>
  </w:footnote>
  <w:footnote w:id="48">
    <w:p w14:paraId="7B775C14" w14:textId="3B3E81F7" w:rsidR="00ED3B99" w:rsidRPr="00951305" w:rsidRDefault="00ED3B99" w:rsidP="00564840">
      <w:pPr>
        <w:pStyle w:val="FootnoteText"/>
        <w:jc w:val="both"/>
      </w:pPr>
      <w:r>
        <w:rPr>
          <w:rStyle w:val="FootnoteReference"/>
        </w:rPr>
        <w:footnoteRef/>
      </w:r>
      <w:r>
        <w:t xml:space="preserve"> Sk., piem., “</w:t>
      </w:r>
      <w:r>
        <w:rPr>
          <w:i/>
          <w:iCs/>
        </w:rPr>
        <w:t>Google</w:t>
      </w:r>
      <w:r>
        <w:t>” veiktās “</w:t>
      </w:r>
      <w:r>
        <w:rPr>
          <w:i/>
          <w:iCs/>
        </w:rPr>
        <w:t>Upollo</w:t>
      </w:r>
      <w:r>
        <w:t>”, “</w:t>
      </w:r>
      <w:r>
        <w:rPr>
          <w:i/>
          <w:iCs/>
        </w:rPr>
        <w:t>Logic</w:t>
      </w:r>
      <w:r>
        <w:t>” un “</w:t>
      </w:r>
      <w:r>
        <w:rPr>
          <w:i/>
          <w:iCs/>
        </w:rPr>
        <w:t>Rhythm</w:t>
      </w:r>
      <w:r>
        <w:t>” vai “</w:t>
      </w:r>
      <w:r>
        <w:rPr>
          <w:i/>
          <w:iCs/>
        </w:rPr>
        <w:t>HTC Corporation</w:t>
      </w:r>
      <w:r>
        <w:t>” iegādes vai “</w:t>
      </w:r>
      <w:r>
        <w:rPr>
          <w:i/>
          <w:iCs/>
        </w:rPr>
        <w:t>Amazon</w:t>
      </w:r>
      <w:r>
        <w:t>” veikto “</w:t>
      </w:r>
      <w:r>
        <w:rPr>
          <w:i/>
          <w:iCs/>
        </w:rPr>
        <w:t>Pixwise</w:t>
      </w:r>
      <w:r>
        <w:t>” iegādi. Lai iepazītos ar šo darījumu nekonfidenciāliem kopsavilkumiem, sk. iepriekšējā zemsvītras piezīmē norādīto Komisijas DTA tīmekļa vietni.</w:t>
      </w:r>
    </w:p>
  </w:footnote>
  <w:footnote w:id="49">
    <w:p w14:paraId="06EE9273" w14:textId="3999C403" w:rsidR="008472AF" w:rsidRPr="00951305" w:rsidRDefault="008472AF" w:rsidP="005039F4">
      <w:pPr>
        <w:pStyle w:val="FootnoteText"/>
        <w:jc w:val="both"/>
      </w:pPr>
      <w:r>
        <w:rPr>
          <w:rStyle w:val="FootnoteReference"/>
        </w:rPr>
        <w:footnoteRef/>
      </w:r>
      <w:r>
        <w:t xml:space="preserve"> Padomes Regula (EK) Nr. 139/2004 (2004. gada 20. janvāris) par kontroli pār uzņēmumu koncentrāciju (EK Apvienošanās regula) (OV L 24, 29.1.2004., 1. lpp.).</w:t>
      </w:r>
    </w:p>
  </w:footnote>
  <w:footnote w:id="50">
    <w:p w14:paraId="4B82E5E3" w14:textId="795A2150" w:rsidR="00094E01" w:rsidRPr="00951305" w:rsidRDefault="00094E01" w:rsidP="005039F4">
      <w:pPr>
        <w:pStyle w:val="FootnoteText"/>
        <w:jc w:val="both"/>
      </w:pPr>
      <w:r>
        <w:rPr>
          <w:rStyle w:val="FootnoteReference"/>
        </w:rPr>
        <w:footnoteRef/>
      </w:r>
      <w:r>
        <w:t xml:space="preserve"> EK Apvienošanās regulas 22. pants.</w:t>
      </w:r>
    </w:p>
  </w:footnote>
  <w:footnote w:id="51">
    <w:p w14:paraId="2D88F790" w14:textId="5ED666A3" w:rsidR="001841ED" w:rsidRPr="00951305" w:rsidRDefault="001841ED" w:rsidP="005039F4">
      <w:pPr>
        <w:pStyle w:val="FootnoteText"/>
        <w:jc w:val="both"/>
      </w:pPr>
      <w:r>
        <w:rPr>
          <w:rStyle w:val="FootnoteReference"/>
        </w:rPr>
        <w:footnoteRef/>
      </w:r>
      <w:r>
        <w:t xml:space="preserve"> Sk. Komisijas 2025. gada 18. novembra Lēmumu C(2025) 7948 final.</w:t>
      </w:r>
    </w:p>
  </w:footnote>
  <w:footnote w:id="52">
    <w:p w14:paraId="004CEDA2" w14:textId="5E3F1829" w:rsidR="00C374F8" w:rsidRPr="00951305" w:rsidRDefault="00C374F8" w:rsidP="00564840">
      <w:pPr>
        <w:pStyle w:val="FootnoteText"/>
        <w:jc w:val="both"/>
      </w:pPr>
      <w:r>
        <w:rPr>
          <w:rStyle w:val="FootnoteReference"/>
        </w:rPr>
        <w:footnoteRef/>
      </w:r>
      <w:r>
        <w:t xml:space="preserve"> Attiecībā uz tirgus izpēti par iespējamo statusa piešķiršanu “</w:t>
      </w:r>
      <w:r>
        <w:rPr>
          <w:i/>
          <w:iCs/>
        </w:rPr>
        <w:t>Amazon AWS</w:t>
      </w:r>
      <w:r>
        <w:t>” un “</w:t>
      </w:r>
      <w:r>
        <w:rPr>
          <w:i/>
          <w:iCs/>
        </w:rPr>
        <w:t>Microsoft Azure</w:t>
      </w:r>
      <w:r>
        <w:t>” sk. šā ziņojuma II.3. iedaļu.</w:t>
      </w:r>
    </w:p>
  </w:footnote>
  <w:footnote w:id="53">
    <w:p w14:paraId="4D2545C3" w14:textId="7E944641" w:rsidR="000B4370" w:rsidRPr="00951305" w:rsidRDefault="000B4370" w:rsidP="005039F4">
      <w:pPr>
        <w:pStyle w:val="FootnoteText"/>
        <w:jc w:val="both"/>
      </w:pPr>
      <w:r>
        <w:rPr>
          <w:rStyle w:val="FootnoteReference"/>
        </w:rPr>
        <w:footnoteRef/>
      </w:r>
      <w:r>
        <w:t xml:space="preserve"> Lai palīdzētu vārtziņiem ievērot DTA 15. pantu, Komisija 2023. gada 12. decembrī publicēja veidni, kas ir pieejama DTA tīmekļvietnē: </w:t>
      </w:r>
      <w:hyperlink r:id="rId39" w:anchor="templates" w:history="1">
        <w:r>
          <w:rPr>
            <w:rStyle w:val="Hyperlink"/>
          </w:rPr>
          <w:t xml:space="preserve">https://digital-markets-act.ec.europa.eu/ </w:t>
        </w:r>
        <w:r>
          <w:rPr>
            <w:rStyle w:val="Hyperlink"/>
          </w:rPr>
          <w:cr/>
        </w:r>
        <w:r>
          <w:rPr>
            <w:rStyle w:val="Hyperlink"/>
          </w:rPr>
          <w:br/>
        </w:r>
      </w:hyperlink>
      <w:hyperlink r:id="rId40" w:anchor="templates" w:history="1">
        <w:r>
          <w:rPr>
            <w:rStyle w:val="Hyperlink"/>
          </w:rPr>
          <w:t>legislation_en#templates</w:t>
        </w:r>
      </w:hyperlink>
      <w:r>
        <w:t>.</w:t>
      </w:r>
    </w:p>
  </w:footnote>
  <w:footnote w:id="54">
    <w:p w14:paraId="29F234C4" w14:textId="1A6A38CA" w:rsidR="000B4370" w:rsidRPr="00951305" w:rsidRDefault="000B4370" w:rsidP="005039F4">
      <w:pPr>
        <w:pStyle w:val="FootnoteText"/>
        <w:jc w:val="both"/>
      </w:pPr>
      <w:r>
        <w:rPr>
          <w:rStyle w:val="FootnoteReference"/>
        </w:rPr>
        <w:footnoteRef/>
      </w:r>
      <w:r>
        <w:t xml:space="preserve"> Sk. ALG ar datiem saistīto pienākumu apakšgrupas ceturtās sanāksmes, kas notika 2024. gada 18. novembrī, protokolu: </w:t>
      </w:r>
      <w:hyperlink r:id="rId41" w:history="1">
        <w:r>
          <w:rPr>
            <w:rStyle w:val="Hyperlink"/>
          </w:rPr>
          <w:t xml:space="preserve">https://ec.europa.eu/transparency/expert-groups-register/screen/meetings/consult?lang= </w:t>
        </w:r>
        <w:r>
          <w:rPr>
            <w:rStyle w:val="Hyperlink"/>
          </w:rPr>
          <w:cr/>
        </w:r>
        <w:r>
          <w:rPr>
            <w:rStyle w:val="Hyperlink"/>
          </w:rPr>
          <w:br/>
          <w:t>en&amp;meetingId=58746&amp;fromExpertGroups=3904</w:t>
        </w:r>
      </w:hyperlink>
      <w:r>
        <w:t>.</w:t>
      </w:r>
    </w:p>
  </w:footnote>
  <w:footnote w:id="55">
    <w:p w14:paraId="67AF649E" w14:textId="028484D2" w:rsidR="000B4370" w:rsidRPr="00951305" w:rsidRDefault="000B4370" w:rsidP="005039F4">
      <w:pPr>
        <w:pStyle w:val="FootnoteText"/>
        <w:jc w:val="both"/>
      </w:pPr>
      <w:r>
        <w:rPr>
          <w:rStyle w:val="FootnoteReference"/>
        </w:rPr>
        <w:footnoteRef/>
      </w:r>
      <w:r>
        <w:t xml:space="preserve"> Saites ir atrodamas DTA tīmekļvietnē: </w:t>
      </w:r>
      <w:hyperlink r:id="rId42" w:history="1">
        <w:r>
          <w:rPr>
            <w:rStyle w:val="Hyperlink"/>
          </w:rPr>
          <w:t>https://digital-markets-act-cases.ec.europa.eu/reports/consumer-profiling-reports</w:t>
        </w:r>
      </w:hyperlink>
      <w:r>
        <w:t>.</w:t>
      </w:r>
    </w:p>
  </w:footnote>
  <w:footnote w:id="56">
    <w:p w14:paraId="277D2A69" w14:textId="548680E4" w:rsidR="00E31927" w:rsidRPr="00951305" w:rsidRDefault="00E31927" w:rsidP="005039F4">
      <w:pPr>
        <w:pStyle w:val="FootnoteText"/>
        <w:jc w:val="both"/>
      </w:pPr>
      <w:r>
        <w:rPr>
          <w:rStyle w:val="FootnoteReference"/>
        </w:rPr>
        <w:footnoteRef/>
      </w:r>
      <w:r>
        <w:t xml:space="preserve"> Sk. Vācijas VKI paziņojumu presei: </w:t>
      </w:r>
      <w:hyperlink r:id="rId43" w:history="1">
        <w:r>
          <w:rPr>
            <w:rStyle w:val="Hyperlink"/>
          </w:rPr>
          <w:t xml:space="preserve">https://www.bundeskartellamt.de/SharedDocs/Meldung/ </w:t>
        </w:r>
        <w:r>
          <w:rPr>
            <w:rStyle w:val="Hyperlink"/>
          </w:rPr>
          <w:cr/>
        </w:r>
        <w:r>
          <w:rPr>
            <w:rStyle w:val="Hyperlink"/>
          </w:rPr>
          <w:br/>
        </w:r>
      </w:hyperlink>
      <w:hyperlink r:id="rId44" w:history="1">
        <w:r>
          <w:rPr>
            <w:rStyle w:val="Hyperlink"/>
          </w:rPr>
          <w:t>EN/Pressemitteilungen/2025/04_09_2025_GAS_GMP.html</w:t>
        </w:r>
      </w:hyperlink>
      <w:r>
        <w:t>. Vēl viena izmeklēšana, ko tā pati iestāde veica pret “</w:t>
      </w:r>
      <w:r>
        <w:rPr>
          <w:i/>
          <w:iCs/>
        </w:rPr>
        <w:t>Amazon</w:t>
      </w:r>
      <w:r>
        <w:t xml:space="preserve">”, tika pabeigta 2026. gada 5. februārī ar aizlieguma lēmumu. Sk. paziņojumu presei: </w:t>
      </w:r>
      <w:hyperlink r:id="rId45" w:history="1">
        <w:r>
          <w:rPr>
            <w:rStyle w:val="Hyperlink"/>
          </w:rPr>
          <w:t>https://www.bundeskartellamt.de/SharedDocs/Meldung/EN/Pressemitteilungen/2026/26_02_05_Amazon.html</w:t>
        </w:r>
      </w:hyperlink>
      <w:r>
        <w:t>.</w:t>
      </w:r>
    </w:p>
  </w:footnote>
  <w:footnote w:id="57">
    <w:p w14:paraId="239470D7" w14:textId="42AD6BAB" w:rsidR="00DA50DF" w:rsidRPr="00951305" w:rsidRDefault="00DA50DF" w:rsidP="00564840">
      <w:pPr>
        <w:pStyle w:val="FootnoteText"/>
        <w:jc w:val="both"/>
      </w:pPr>
      <w:r>
        <w:rPr>
          <w:rStyle w:val="FootnoteReference"/>
        </w:rPr>
        <w:footnoteRef/>
      </w:r>
      <w:r>
        <w:t xml:space="preserve"> Sk. Itālijas VKI paziņojumu presei: </w:t>
      </w:r>
      <w:hyperlink r:id="rId46" w:history="1">
        <w:r>
          <w:rPr>
            <w:rStyle w:val="Hyperlink"/>
          </w:rPr>
          <w:t>https://agcm.it/media/comunicati-stampa/2025/11/PS12714-</w:t>
        </w:r>
      </w:hyperlink>
      <w:r>
        <w:t>.</w:t>
      </w:r>
    </w:p>
  </w:footnote>
  <w:footnote w:id="58">
    <w:p w14:paraId="455BF5CE" w14:textId="75523C93" w:rsidR="008E692A" w:rsidRPr="00951305" w:rsidRDefault="008E692A" w:rsidP="00564840">
      <w:pPr>
        <w:pStyle w:val="FootnoteText"/>
        <w:jc w:val="both"/>
      </w:pPr>
      <w:r>
        <w:rPr>
          <w:rStyle w:val="FootnoteReference"/>
        </w:rPr>
        <w:footnoteRef/>
      </w:r>
      <w:r>
        <w:t xml:space="preserve"> Sabiedriskā apspriešana un uzaicinājums iesniegt atsauksmes par digitālās atbilstības pārbaudi notika no 2025. gada 19. novembra līdz 2026. gada 11. martam. Vairāk informācijas ir pieejams šeit: </w:t>
      </w:r>
      <w:hyperlink r:id="rId47" w:history="1">
        <w:r>
          <w:rPr>
            <w:rStyle w:val="Hyperlink"/>
          </w:rPr>
          <w:t>https://ec.europa.eu/info/law/better-regulation/have-your-say/initiatives/15554-Digital-fitness-check-testing-the-cumulative-impact-of-the-EUs-digital-rules_lv</w:t>
        </w:r>
      </w:hyperlink>
      <w:r>
        <w:t>.</w:t>
      </w:r>
    </w:p>
  </w:footnote>
  <w:footnote w:id="59">
    <w:p w14:paraId="0A2F093E" w14:textId="7A98B566" w:rsidR="00A561CD" w:rsidRPr="00951305" w:rsidRDefault="00A561CD" w:rsidP="00AC4AC9">
      <w:pPr>
        <w:pStyle w:val="FootnoteText"/>
      </w:pPr>
      <w:r>
        <w:rPr>
          <w:rStyle w:val="FootnoteReference"/>
        </w:rPr>
        <w:footnoteRef/>
      </w:r>
      <w:r>
        <w:t xml:space="preserve"> Sk. kopīgo dokumentu, ko pieņēma ALG locekļi mākslīgā intelekta jautājumos: </w:t>
      </w:r>
      <w:hyperlink r:id="rId48" w:history="1">
        <w:r>
          <w:rPr>
            <w:rStyle w:val="Hyperlink"/>
          </w:rPr>
          <w:t>https://ec.europa.eu/transparency/expert-groups-register/screen/meetings/consult?lang=en&amp;meetingId=67755&amp;fromExpertGroups=3904</w:t>
        </w:r>
      </w:hyperlink>
      <w:r>
        <w:t xml:space="preserve">. </w:t>
      </w:r>
    </w:p>
  </w:footnote>
  <w:footnote w:id="60">
    <w:p w14:paraId="2838F5D1" w14:textId="7421473E" w:rsidR="00503D15" w:rsidRPr="00951305" w:rsidRDefault="00503D15" w:rsidP="00564840">
      <w:pPr>
        <w:pStyle w:val="FootnoteText"/>
        <w:jc w:val="both"/>
      </w:pPr>
      <w:r>
        <w:rPr>
          <w:rStyle w:val="FootnoteReference"/>
        </w:rPr>
        <w:footnoteRef/>
      </w:r>
      <w:r>
        <w:t xml:space="preserve"> Sk. 2025. gada 12. decembra plenārsēdes protokolu: </w:t>
      </w:r>
      <w:hyperlink r:id="rId49" w:history="1">
        <w:r>
          <w:rPr>
            <w:rStyle w:val="Hyperlink"/>
          </w:rPr>
          <w:t>https://ec.europa.eu/transparency/expert-groups-register/screen/meetings/consult?lang=en&amp;meetingId=67755&amp;fromExpertGroups=3904</w:t>
        </w:r>
      </w:hyperlink>
      <w:r>
        <w:t>.</w:t>
      </w:r>
    </w:p>
  </w:footnote>
  <w:footnote w:id="61">
    <w:p w14:paraId="17FF5017" w14:textId="3D2CB4DF" w:rsidR="00043889" w:rsidRPr="00951305" w:rsidRDefault="00043889" w:rsidP="00564840">
      <w:pPr>
        <w:pStyle w:val="FootnoteText"/>
        <w:jc w:val="both"/>
      </w:pPr>
      <w:r>
        <w:rPr>
          <w:rStyle w:val="FootnoteReference"/>
        </w:rPr>
        <w:footnoteRef/>
      </w:r>
      <w:r>
        <w:t xml:space="preserve"> DTA 47. pantā Komisija tiek pilnvarota pieņemt pamatnostādnes par jebkuru regulas aspektu, lai veicinātu tās efektīvu īstenošanu un izpildi.</w:t>
      </w:r>
    </w:p>
  </w:footnote>
  <w:footnote w:id="62">
    <w:p w14:paraId="27184D07" w14:textId="77239CDC" w:rsidR="00043889" w:rsidRPr="00C52E11" w:rsidRDefault="00043889" w:rsidP="005039F4">
      <w:pPr>
        <w:pStyle w:val="FootnoteText"/>
        <w:jc w:val="both"/>
      </w:pPr>
      <w:r>
        <w:rPr>
          <w:rStyle w:val="FootnoteReference"/>
        </w:rPr>
        <w:footnoteRef/>
      </w:r>
      <w:r>
        <w:t xml:space="preserve"> DTA 1. panta 1. punkts.</w:t>
      </w:r>
    </w:p>
  </w:footnote>
  <w:footnote w:id="63">
    <w:p w14:paraId="6A4FD27E" w14:textId="2C459990" w:rsidR="00043889" w:rsidRPr="00C52E11" w:rsidRDefault="00043889" w:rsidP="005039F4">
      <w:pPr>
        <w:pStyle w:val="FootnoteText"/>
        <w:jc w:val="both"/>
      </w:pPr>
      <w:r>
        <w:rPr>
          <w:rStyle w:val="FootnoteReference"/>
        </w:rPr>
        <w:footnoteRef/>
      </w:r>
      <w:r>
        <w:t xml:space="preserve"> VDAR 1. panta 1. punkts.</w:t>
      </w:r>
    </w:p>
  </w:footnote>
  <w:footnote w:id="64">
    <w:p w14:paraId="134B1A85" w14:textId="0520E3B0" w:rsidR="00043889" w:rsidRPr="00C52E11" w:rsidRDefault="00043889" w:rsidP="005039F4">
      <w:pPr>
        <w:pStyle w:val="FootnoteText"/>
        <w:jc w:val="both"/>
      </w:pPr>
      <w:r>
        <w:rPr>
          <w:rStyle w:val="FootnoteReference"/>
        </w:rPr>
        <w:footnoteRef/>
      </w:r>
      <w:r>
        <w:t xml:space="preserve"> VDAR 25. pants.</w:t>
      </w:r>
    </w:p>
  </w:footnote>
  <w:footnote w:id="65">
    <w:p w14:paraId="434525A0" w14:textId="590B3B8F" w:rsidR="00043889" w:rsidRPr="00951305" w:rsidRDefault="00043889" w:rsidP="005039F4">
      <w:pPr>
        <w:pStyle w:val="FootnoteText"/>
        <w:jc w:val="both"/>
      </w:pPr>
      <w:r>
        <w:rPr>
          <w:rStyle w:val="FootnoteReference"/>
        </w:rPr>
        <w:footnoteRef/>
      </w:r>
      <w:r>
        <w:t xml:space="preserve"> Jāņem vērā, ka DTA 8. panta 1. punktā ir noteikts, ka vārtzinim ir jānodrošina atbilstība DTA un ka tā īstenotajiem pasākumiem ir jāatbilst arī piemērojamiem tiesību aktiem, jo īpaši VDAR, tiesību aktiem par kiberdrošību, patērētāju tiesību aizsardzību un produktu drošumu, kā arī piekļūstamības prasībām.</w:t>
      </w:r>
    </w:p>
  </w:footnote>
  <w:footnote w:id="66">
    <w:p w14:paraId="6F934C30" w14:textId="1EF8BF68" w:rsidR="001A7736" w:rsidRPr="00951305" w:rsidRDefault="001A7736" w:rsidP="005039F4">
      <w:pPr>
        <w:pStyle w:val="FootnoteText"/>
        <w:jc w:val="both"/>
      </w:pPr>
      <w:r>
        <w:rPr>
          <w:rStyle w:val="FootnoteReference"/>
        </w:rPr>
        <w:footnoteRef/>
      </w:r>
      <w:r>
        <w:t xml:space="preserve"> </w:t>
      </w:r>
      <w:hyperlink r:id="rId50" w:history="1">
        <w:r>
          <w:rPr>
            <w:rStyle w:val="Hyperlink"/>
          </w:rPr>
          <w:t>https://digital-markets-act.ec.europa.eu/consultation-first-review-digital-markets-act_en</w:t>
        </w:r>
      </w:hyperlink>
      <w:r>
        <w:t>.</w:t>
      </w:r>
    </w:p>
  </w:footnote>
  <w:footnote w:id="67">
    <w:p w14:paraId="08683DF2" w14:textId="6523D201" w:rsidR="00635F17" w:rsidRPr="00EC434A" w:rsidRDefault="00635F17">
      <w:pPr>
        <w:pStyle w:val="FootnoteText"/>
      </w:pPr>
      <w:r>
        <w:rPr>
          <w:rStyle w:val="FootnoteReference"/>
        </w:rPr>
        <w:footnoteRef/>
      </w:r>
      <w:r>
        <w:t xml:space="preserve"> </w:t>
      </w:r>
      <w:hyperlink r:id="rId51" w:history="1">
        <w:r>
          <w:rPr>
            <w:rStyle w:val="Hyperlink"/>
          </w:rPr>
          <w:t>https://digital-markets-act.ec.europa.eu/about-dma/dma-review-qa_en</w:t>
        </w:r>
      </w:hyperlink>
      <w:r>
        <w:t xml:space="preserve">. </w:t>
      </w:r>
    </w:p>
  </w:footnote>
  <w:footnote w:id="68">
    <w:p w14:paraId="30839795" w14:textId="77777777" w:rsidR="00A001CE" w:rsidRPr="00661E18" w:rsidRDefault="00A001CE" w:rsidP="00A001CE">
      <w:pPr>
        <w:pStyle w:val="FootnoteText"/>
      </w:pPr>
      <w:r>
        <w:rPr>
          <w:rStyle w:val="FootnoteReference"/>
        </w:rPr>
        <w:footnoteRef/>
      </w:r>
      <w:r>
        <w:t xml:space="preserve"> </w:t>
      </w:r>
      <w:hyperlink r:id="rId52" w:history="1">
        <w:r>
          <w:rPr>
            <w:rStyle w:val="Hyperlink"/>
          </w:rPr>
          <w:t>https://digital-strategy.ec.europa.eu/lv/policies/international-digital-strategy</w:t>
        </w:r>
      </w:hyperlink>
      <w:r>
        <w:t xml:space="preserve">. </w:t>
      </w:r>
    </w:p>
  </w:footnote>
  <w:footnote w:id="69">
    <w:p w14:paraId="2A0C7B82" w14:textId="4AD127A6" w:rsidR="00093831" w:rsidRPr="00951305" w:rsidRDefault="00093831" w:rsidP="00AC4AC9">
      <w:pPr>
        <w:pStyle w:val="FootnoteText"/>
      </w:pPr>
      <w:r>
        <w:rPr>
          <w:rStyle w:val="FootnoteReference"/>
        </w:rPr>
        <w:footnoteRef/>
      </w:r>
      <w:r>
        <w:t xml:space="preserve"> </w:t>
      </w:r>
      <w:hyperlink r:id="rId53" w:history="1">
        <w:r>
          <w:rPr>
            <w:rStyle w:val="Hyperlink"/>
          </w:rPr>
          <w:t>https://digital-markets-act.ec.europa.eu/document/download/19a69296-8b25-4b02-817c-7737f76ce61a_en?</w:t>
        </w:r>
      </w:hyperlink>
      <w:hyperlink r:id="rId54" w:history="1">
        <w:r>
          <w:rPr>
            <w:rStyle w:val="Hyperlink"/>
          </w:rPr>
          <w:t xml:space="preserve"> </w:t>
        </w:r>
        <w:r>
          <w:rPr>
            <w:rStyle w:val="Hyperlink"/>
          </w:rPr>
          <w:cr/>
        </w:r>
        <w:r>
          <w:rPr>
            <w:rStyle w:val="Hyperlink"/>
          </w:rPr>
          <w:br/>
          <w:t>filename=Commission_JFTC_Cooperation%20Arrangement.pdf</w:t>
        </w:r>
      </w:hyperlink>
      <w:r>
        <w:t>.</w:t>
      </w:r>
    </w:p>
  </w:footnote>
  <w:footnote w:id="70">
    <w:p w14:paraId="7D8AB95F" w14:textId="57D58B63" w:rsidR="009B1FCA" w:rsidRPr="00951305" w:rsidRDefault="009B1FCA" w:rsidP="00564840">
      <w:pPr>
        <w:pStyle w:val="FootnoteText"/>
        <w:jc w:val="both"/>
      </w:pPr>
      <w:r>
        <w:rPr>
          <w:rStyle w:val="FootnoteReference"/>
        </w:rPr>
        <w:footnoteRef/>
      </w:r>
      <w:r>
        <w:t xml:space="preserve"> </w:t>
      </w:r>
      <w:hyperlink r:id="rId55" w:history="1">
        <w:r>
          <w:rPr>
            <w:rStyle w:val="Hyperlink"/>
          </w:rPr>
          <w:t>https://www.jftc.go.jp/en/policy_enforcement/digital/index.html</w:t>
        </w:r>
      </w:hyperlink>
      <w:r>
        <w:t>.</w:t>
      </w:r>
    </w:p>
  </w:footnote>
  <w:footnote w:id="71">
    <w:p w14:paraId="11EA6A14" w14:textId="3651456F" w:rsidR="00AB076D" w:rsidRPr="00951305" w:rsidRDefault="00AB076D" w:rsidP="005039F4">
      <w:pPr>
        <w:pStyle w:val="FootnoteText"/>
        <w:jc w:val="both"/>
      </w:pPr>
      <w:r>
        <w:rPr>
          <w:rStyle w:val="FootnoteReference"/>
        </w:rPr>
        <w:footnoteRef/>
      </w:r>
      <w:r>
        <w:t xml:space="preserve"> </w:t>
      </w:r>
      <w:hyperlink r:id="rId56" w:anchor="/library/detail/90004" w:history="1">
        <w:r>
          <w:rPr>
            <w:rStyle w:val="Hyperlink"/>
          </w:rPr>
          <w:t>https://webgate.ec.europa.eu/TMSWebRestrict/resources/js/app/#/library/detail/90004</w:t>
        </w:r>
      </w:hyperlink>
      <w:r>
        <w:t>.</w:t>
      </w:r>
    </w:p>
  </w:footnote>
  <w:footnote w:id="72">
    <w:p w14:paraId="387B1042" w14:textId="3E09CD8D" w:rsidR="007D0DE6" w:rsidRPr="007D0DE6" w:rsidRDefault="007D0DE6">
      <w:pPr>
        <w:pStyle w:val="FootnoteText"/>
      </w:pPr>
      <w:r>
        <w:rPr>
          <w:rStyle w:val="FootnoteReference"/>
        </w:rPr>
        <w:footnoteRef/>
      </w:r>
      <w:r>
        <w:t xml:space="preserve"> *</w:t>
      </w:r>
      <w:r>
        <w:rPr>
          <w:i/>
          <w:iCs/>
        </w:rPr>
        <w:t>Šis nosaukums neskar nostājas par statusu un atbilst ANO DP Rezolūcijai 1244/1999 un Starptautiskās Tiesas atzinumam par Kosovas neatkarības deklarāciju.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AFE83" w14:textId="77777777" w:rsidR="00CA0AA8" w:rsidRPr="00CA0AA8" w:rsidRDefault="00CA0AA8" w:rsidP="00CA0AA8">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E3393" w14:textId="77777777" w:rsidR="00CA0AA8" w:rsidRPr="00CA0AA8" w:rsidRDefault="00CA0AA8" w:rsidP="00CA0AA8">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4F480" w14:textId="77777777" w:rsidR="00CA0AA8" w:rsidRPr="00CA0AA8" w:rsidRDefault="00CA0AA8" w:rsidP="00CA0AA8">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185E7" w14:textId="77777777" w:rsidR="00DE1888" w:rsidRPr="00951305" w:rsidRDefault="00DE18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9C600" w14:textId="77777777" w:rsidR="00DE1888" w:rsidRPr="00951305" w:rsidRDefault="00DE18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59179" w14:textId="77777777" w:rsidR="00DE1888" w:rsidRPr="00951305" w:rsidRDefault="00DE18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75DF"/>
    <w:multiLevelType w:val="hybridMultilevel"/>
    <w:tmpl w:val="402C5CB0"/>
    <w:lvl w:ilvl="0" w:tplc="40F8E9B4">
      <w:start w:val="1"/>
      <w:numFmt w:val="decimal"/>
      <w:lvlText w:val="(%1)"/>
      <w:lvlJc w:val="left"/>
      <w:pPr>
        <w:ind w:left="1004" w:hanging="360"/>
      </w:pPr>
      <w:rPr>
        <w:rFonts w:ascii="Times New Roman" w:hAnsi="Times New Roman" w:cs="Times New Roman" w:hint="default"/>
        <w:b w:val="0"/>
        <w:bCs w:val="0"/>
        <w:i w:val="0"/>
        <w:iCs w:val="0"/>
      </w:rPr>
    </w:lvl>
    <w:lvl w:ilvl="1" w:tplc="18090019" w:tentative="1">
      <w:start w:val="1"/>
      <w:numFmt w:val="lowerLetter"/>
      <w:lvlText w:val="%2."/>
      <w:lvlJc w:val="left"/>
      <w:pPr>
        <w:ind w:left="1724" w:hanging="360"/>
      </w:pPr>
    </w:lvl>
    <w:lvl w:ilvl="2" w:tplc="1809001B" w:tentative="1">
      <w:start w:val="1"/>
      <w:numFmt w:val="lowerRoman"/>
      <w:lvlText w:val="%3."/>
      <w:lvlJc w:val="right"/>
      <w:pPr>
        <w:ind w:left="2444" w:hanging="180"/>
      </w:pPr>
    </w:lvl>
    <w:lvl w:ilvl="3" w:tplc="1809000F" w:tentative="1">
      <w:start w:val="1"/>
      <w:numFmt w:val="decimal"/>
      <w:lvlText w:val="%4."/>
      <w:lvlJc w:val="left"/>
      <w:pPr>
        <w:ind w:left="3164" w:hanging="360"/>
      </w:pPr>
    </w:lvl>
    <w:lvl w:ilvl="4" w:tplc="18090019" w:tentative="1">
      <w:start w:val="1"/>
      <w:numFmt w:val="lowerLetter"/>
      <w:lvlText w:val="%5."/>
      <w:lvlJc w:val="left"/>
      <w:pPr>
        <w:ind w:left="3884" w:hanging="360"/>
      </w:pPr>
    </w:lvl>
    <w:lvl w:ilvl="5" w:tplc="1809001B" w:tentative="1">
      <w:start w:val="1"/>
      <w:numFmt w:val="lowerRoman"/>
      <w:lvlText w:val="%6."/>
      <w:lvlJc w:val="right"/>
      <w:pPr>
        <w:ind w:left="4604" w:hanging="180"/>
      </w:pPr>
    </w:lvl>
    <w:lvl w:ilvl="6" w:tplc="1809000F" w:tentative="1">
      <w:start w:val="1"/>
      <w:numFmt w:val="decimal"/>
      <w:lvlText w:val="%7."/>
      <w:lvlJc w:val="left"/>
      <w:pPr>
        <w:ind w:left="5324" w:hanging="360"/>
      </w:pPr>
    </w:lvl>
    <w:lvl w:ilvl="7" w:tplc="18090019" w:tentative="1">
      <w:start w:val="1"/>
      <w:numFmt w:val="lowerLetter"/>
      <w:lvlText w:val="%8."/>
      <w:lvlJc w:val="left"/>
      <w:pPr>
        <w:ind w:left="6044" w:hanging="360"/>
      </w:pPr>
    </w:lvl>
    <w:lvl w:ilvl="8" w:tplc="1809001B" w:tentative="1">
      <w:start w:val="1"/>
      <w:numFmt w:val="lowerRoman"/>
      <w:lvlText w:val="%9."/>
      <w:lvlJc w:val="right"/>
      <w:pPr>
        <w:ind w:left="6764" w:hanging="180"/>
      </w:pPr>
    </w:lvl>
  </w:abstractNum>
  <w:abstractNum w:abstractNumId="1" w15:restartNumberingAfterBreak="0">
    <w:nsid w:val="36A16EF8"/>
    <w:multiLevelType w:val="hybridMultilevel"/>
    <w:tmpl w:val="7ECCE5AA"/>
    <w:lvl w:ilvl="0" w:tplc="FFFFFFFF">
      <w:start w:val="1"/>
      <w:numFmt w:val="decimal"/>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 w15:restartNumberingAfterBreak="0">
    <w:nsid w:val="3A6028A0"/>
    <w:multiLevelType w:val="hybridMultilevel"/>
    <w:tmpl w:val="04B4BDA6"/>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 w15:restartNumberingAfterBreak="0">
    <w:nsid w:val="3AA91B8D"/>
    <w:multiLevelType w:val="hybridMultilevel"/>
    <w:tmpl w:val="4FC81326"/>
    <w:lvl w:ilvl="0" w:tplc="F41C9518">
      <w:start w:val="1"/>
      <w:numFmt w:val="decimal"/>
      <w:lvlText w:val="%1."/>
      <w:lvlJc w:val="left"/>
      <w:pPr>
        <w:ind w:left="1020" w:hanging="360"/>
      </w:pPr>
    </w:lvl>
    <w:lvl w:ilvl="1" w:tplc="271487CE">
      <w:start w:val="1"/>
      <w:numFmt w:val="decimal"/>
      <w:lvlText w:val="%2."/>
      <w:lvlJc w:val="left"/>
      <w:pPr>
        <w:ind w:left="1020" w:hanging="360"/>
      </w:pPr>
    </w:lvl>
    <w:lvl w:ilvl="2" w:tplc="5A4CA024">
      <w:start w:val="1"/>
      <w:numFmt w:val="decimal"/>
      <w:lvlText w:val="%3."/>
      <w:lvlJc w:val="left"/>
      <w:pPr>
        <w:ind w:left="1020" w:hanging="360"/>
      </w:pPr>
    </w:lvl>
    <w:lvl w:ilvl="3" w:tplc="1D42EBF6">
      <w:start w:val="1"/>
      <w:numFmt w:val="decimal"/>
      <w:lvlText w:val="%4."/>
      <w:lvlJc w:val="left"/>
      <w:pPr>
        <w:ind w:left="1020" w:hanging="360"/>
      </w:pPr>
    </w:lvl>
    <w:lvl w:ilvl="4" w:tplc="D8585B8E">
      <w:start w:val="1"/>
      <w:numFmt w:val="decimal"/>
      <w:lvlText w:val="%5."/>
      <w:lvlJc w:val="left"/>
      <w:pPr>
        <w:ind w:left="1020" w:hanging="360"/>
      </w:pPr>
    </w:lvl>
    <w:lvl w:ilvl="5" w:tplc="DE1A3BE6">
      <w:start w:val="1"/>
      <w:numFmt w:val="decimal"/>
      <w:lvlText w:val="%6."/>
      <w:lvlJc w:val="left"/>
      <w:pPr>
        <w:ind w:left="1020" w:hanging="360"/>
      </w:pPr>
    </w:lvl>
    <w:lvl w:ilvl="6" w:tplc="44085990">
      <w:start w:val="1"/>
      <w:numFmt w:val="decimal"/>
      <w:lvlText w:val="%7."/>
      <w:lvlJc w:val="left"/>
      <w:pPr>
        <w:ind w:left="1020" w:hanging="360"/>
      </w:pPr>
    </w:lvl>
    <w:lvl w:ilvl="7" w:tplc="7E18DB42">
      <w:start w:val="1"/>
      <w:numFmt w:val="decimal"/>
      <w:lvlText w:val="%8."/>
      <w:lvlJc w:val="left"/>
      <w:pPr>
        <w:ind w:left="1020" w:hanging="360"/>
      </w:pPr>
    </w:lvl>
    <w:lvl w:ilvl="8" w:tplc="17A0D25A">
      <w:start w:val="1"/>
      <w:numFmt w:val="decimal"/>
      <w:lvlText w:val="%9."/>
      <w:lvlJc w:val="left"/>
      <w:pPr>
        <w:ind w:left="1020" w:hanging="360"/>
      </w:pPr>
    </w:lvl>
  </w:abstractNum>
  <w:abstractNum w:abstractNumId="4" w15:restartNumberingAfterBreak="0">
    <w:nsid w:val="3FB83C9A"/>
    <w:multiLevelType w:val="hybridMultilevel"/>
    <w:tmpl w:val="10EED330"/>
    <w:lvl w:ilvl="0" w:tplc="18090013">
      <w:start w:val="1"/>
      <w:numFmt w:val="upperRoman"/>
      <w:lvlText w:val="%1."/>
      <w:lvlJc w:val="righ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 w15:restartNumberingAfterBreak="0">
    <w:nsid w:val="478C1C3C"/>
    <w:multiLevelType w:val="hybridMultilevel"/>
    <w:tmpl w:val="C51C726A"/>
    <w:lvl w:ilvl="0" w:tplc="E12E4734">
      <w:start w:val="1"/>
      <w:numFmt w:val="decimal"/>
      <w:lvlText w:val="%1."/>
      <w:lvlJc w:val="left"/>
      <w:pPr>
        <w:ind w:left="1353" w:hanging="360"/>
      </w:pPr>
      <w:rPr>
        <w:rFonts w:ascii="Times New Roman" w:hAnsi="Times New Roman" w:cs="Times New Roman" w:hint="default"/>
      </w:rPr>
    </w:lvl>
    <w:lvl w:ilvl="1" w:tplc="18090019" w:tentative="1">
      <w:start w:val="1"/>
      <w:numFmt w:val="lowerLetter"/>
      <w:lvlText w:val="%2."/>
      <w:lvlJc w:val="left"/>
      <w:pPr>
        <w:ind w:left="2073" w:hanging="360"/>
      </w:pPr>
    </w:lvl>
    <w:lvl w:ilvl="2" w:tplc="1809001B" w:tentative="1">
      <w:start w:val="1"/>
      <w:numFmt w:val="lowerRoman"/>
      <w:lvlText w:val="%3."/>
      <w:lvlJc w:val="right"/>
      <w:pPr>
        <w:ind w:left="2793" w:hanging="180"/>
      </w:pPr>
    </w:lvl>
    <w:lvl w:ilvl="3" w:tplc="1809000F" w:tentative="1">
      <w:start w:val="1"/>
      <w:numFmt w:val="decimal"/>
      <w:lvlText w:val="%4."/>
      <w:lvlJc w:val="left"/>
      <w:pPr>
        <w:ind w:left="3513" w:hanging="360"/>
      </w:pPr>
    </w:lvl>
    <w:lvl w:ilvl="4" w:tplc="18090019" w:tentative="1">
      <w:start w:val="1"/>
      <w:numFmt w:val="lowerLetter"/>
      <w:lvlText w:val="%5."/>
      <w:lvlJc w:val="left"/>
      <w:pPr>
        <w:ind w:left="4233" w:hanging="360"/>
      </w:pPr>
    </w:lvl>
    <w:lvl w:ilvl="5" w:tplc="1809001B" w:tentative="1">
      <w:start w:val="1"/>
      <w:numFmt w:val="lowerRoman"/>
      <w:lvlText w:val="%6."/>
      <w:lvlJc w:val="right"/>
      <w:pPr>
        <w:ind w:left="4953" w:hanging="180"/>
      </w:pPr>
    </w:lvl>
    <w:lvl w:ilvl="6" w:tplc="1809000F" w:tentative="1">
      <w:start w:val="1"/>
      <w:numFmt w:val="decimal"/>
      <w:lvlText w:val="%7."/>
      <w:lvlJc w:val="left"/>
      <w:pPr>
        <w:ind w:left="5673" w:hanging="360"/>
      </w:pPr>
    </w:lvl>
    <w:lvl w:ilvl="7" w:tplc="18090019" w:tentative="1">
      <w:start w:val="1"/>
      <w:numFmt w:val="lowerLetter"/>
      <w:lvlText w:val="%8."/>
      <w:lvlJc w:val="left"/>
      <w:pPr>
        <w:ind w:left="6393" w:hanging="360"/>
      </w:pPr>
    </w:lvl>
    <w:lvl w:ilvl="8" w:tplc="1809001B" w:tentative="1">
      <w:start w:val="1"/>
      <w:numFmt w:val="lowerRoman"/>
      <w:lvlText w:val="%9."/>
      <w:lvlJc w:val="right"/>
      <w:pPr>
        <w:ind w:left="7113" w:hanging="180"/>
      </w:pPr>
    </w:lvl>
  </w:abstractNum>
  <w:abstractNum w:abstractNumId="6" w15:restartNumberingAfterBreak="0">
    <w:nsid w:val="52C3500C"/>
    <w:multiLevelType w:val="hybridMultilevel"/>
    <w:tmpl w:val="5A0AA494"/>
    <w:lvl w:ilvl="0" w:tplc="BCF0B766">
      <w:start w:val="1"/>
      <w:numFmt w:val="decimal"/>
      <w:lvlText w:val="%1."/>
      <w:lvlJc w:val="left"/>
      <w:pPr>
        <w:ind w:left="1353" w:hanging="360"/>
      </w:pPr>
      <w:rPr>
        <w:rFonts w:hint="default"/>
      </w:rPr>
    </w:lvl>
    <w:lvl w:ilvl="1" w:tplc="18090019" w:tentative="1">
      <w:start w:val="1"/>
      <w:numFmt w:val="lowerLetter"/>
      <w:lvlText w:val="%2."/>
      <w:lvlJc w:val="left"/>
      <w:pPr>
        <w:ind w:left="2073" w:hanging="360"/>
      </w:pPr>
    </w:lvl>
    <w:lvl w:ilvl="2" w:tplc="1809001B" w:tentative="1">
      <w:start w:val="1"/>
      <w:numFmt w:val="lowerRoman"/>
      <w:lvlText w:val="%3."/>
      <w:lvlJc w:val="right"/>
      <w:pPr>
        <w:ind w:left="2793" w:hanging="180"/>
      </w:pPr>
    </w:lvl>
    <w:lvl w:ilvl="3" w:tplc="1809000F" w:tentative="1">
      <w:start w:val="1"/>
      <w:numFmt w:val="decimal"/>
      <w:lvlText w:val="%4."/>
      <w:lvlJc w:val="left"/>
      <w:pPr>
        <w:ind w:left="3513" w:hanging="360"/>
      </w:pPr>
    </w:lvl>
    <w:lvl w:ilvl="4" w:tplc="18090019" w:tentative="1">
      <w:start w:val="1"/>
      <w:numFmt w:val="lowerLetter"/>
      <w:lvlText w:val="%5."/>
      <w:lvlJc w:val="left"/>
      <w:pPr>
        <w:ind w:left="4233" w:hanging="360"/>
      </w:pPr>
    </w:lvl>
    <w:lvl w:ilvl="5" w:tplc="1809001B" w:tentative="1">
      <w:start w:val="1"/>
      <w:numFmt w:val="lowerRoman"/>
      <w:lvlText w:val="%6."/>
      <w:lvlJc w:val="right"/>
      <w:pPr>
        <w:ind w:left="4953" w:hanging="180"/>
      </w:pPr>
    </w:lvl>
    <w:lvl w:ilvl="6" w:tplc="1809000F" w:tentative="1">
      <w:start w:val="1"/>
      <w:numFmt w:val="decimal"/>
      <w:lvlText w:val="%7."/>
      <w:lvlJc w:val="left"/>
      <w:pPr>
        <w:ind w:left="5673" w:hanging="360"/>
      </w:pPr>
    </w:lvl>
    <w:lvl w:ilvl="7" w:tplc="18090019" w:tentative="1">
      <w:start w:val="1"/>
      <w:numFmt w:val="lowerLetter"/>
      <w:lvlText w:val="%8."/>
      <w:lvlJc w:val="left"/>
      <w:pPr>
        <w:ind w:left="6393" w:hanging="360"/>
      </w:pPr>
    </w:lvl>
    <w:lvl w:ilvl="8" w:tplc="1809001B" w:tentative="1">
      <w:start w:val="1"/>
      <w:numFmt w:val="lowerRoman"/>
      <w:lvlText w:val="%9."/>
      <w:lvlJc w:val="right"/>
      <w:pPr>
        <w:ind w:left="7113" w:hanging="180"/>
      </w:pPr>
    </w:lvl>
  </w:abstractNum>
  <w:abstractNum w:abstractNumId="7" w15:restartNumberingAfterBreak="0">
    <w:nsid w:val="61641270"/>
    <w:multiLevelType w:val="hybridMultilevel"/>
    <w:tmpl w:val="0150BE6C"/>
    <w:lvl w:ilvl="0" w:tplc="CBB6A0FA">
      <w:start w:val="1"/>
      <w:numFmt w:val="decimal"/>
      <w:lvlText w:val="%1."/>
      <w:lvlJc w:val="left"/>
      <w:pPr>
        <w:ind w:left="1353" w:hanging="360"/>
      </w:pPr>
      <w:rPr>
        <w:rFonts w:ascii="Times New Roman" w:eastAsia="Times New Roman" w:hAnsi="Times New Roman" w:cs="Times New Roman" w:hint="default"/>
        <w:b/>
        <w:bCs/>
      </w:rPr>
    </w:lvl>
    <w:lvl w:ilvl="1" w:tplc="18090019" w:tentative="1">
      <w:start w:val="1"/>
      <w:numFmt w:val="lowerLetter"/>
      <w:lvlText w:val="%2."/>
      <w:lvlJc w:val="left"/>
      <w:pPr>
        <w:ind w:left="2073" w:hanging="360"/>
      </w:pPr>
    </w:lvl>
    <w:lvl w:ilvl="2" w:tplc="1809001B" w:tentative="1">
      <w:start w:val="1"/>
      <w:numFmt w:val="lowerRoman"/>
      <w:lvlText w:val="%3."/>
      <w:lvlJc w:val="right"/>
      <w:pPr>
        <w:ind w:left="2793" w:hanging="180"/>
      </w:pPr>
    </w:lvl>
    <w:lvl w:ilvl="3" w:tplc="1809000F" w:tentative="1">
      <w:start w:val="1"/>
      <w:numFmt w:val="decimal"/>
      <w:lvlText w:val="%4."/>
      <w:lvlJc w:val="left"/>
      <w:pPr>
        <w:ind w:left="3513" w:hanging="360"/>
      </w:pPr>
    </w:lvl>
    <w:lvl w:ilvl="4" w:tplc="18090019" w:tentative="1">
      <w:start w:val="1"/>
      <w:numFmt w:val="lowerLetter"/>
      <w:lvlText w:val="%5."/>
      <w:lvlJc w:val="left"/>
      <w:pPr>
        <w:ind w:left="4233" w:hanging="360"/>
      </w:pPr>
    </w:lvl>
    <w:lvl w:ilvl="5" w:tplc="1809001B" w:tentative="1">
      <w:start w:val="1"/>
      <w:numFmt w:val="lowerRoman"/>
      <w:lvlText w:val="%6."/>
      <w:lvlJc w:val="right"/>
      <w:pPr>
        <w:ind w:left="4953" w:hanging="180"/>
      </w:pPr>
    </w:lvl>
    <w:lvl w:ilvl="6" w:tplc="1809000F" w:tentative="1">
      <w:start w:val="1"/>
      <w:numFmt w:val="decimal"/>
      <w:lvlText w:val="%7."/>
      <w:lvlJc w:val="left"/>
      <w:pPr>
        <w:ind w:left="5673" w:hanging="360"/>
      </w:pPr>
    </w:lvl>
    <w:lvl w:ilvl="7" w:tplc="18090019" w:tentative="1">
      <w:start w:val="1"/>
      <w:numFmt w:val="lowerLetter"/>
      <w:lvlText w:val="%8."/>
      <w:lvlJc w:val="left"/>
      <w:pPr>
        <w:ind w:left="6393" w:hanging="360"/>
      </w:pPr>
    </w:lvl>
    <w:lvl w:ilvl="8" w:tplc="1809001B" w:tentative="1">
      <w:start w:val="1"/>
      <w:numFmt w:val="lowerRoman"/>
      <w:lvlText w:val="%9."/>
      <w:lvlJc w:val="right"/>
      <w:pPr>
        <w:ind w:left="7113" w:hanging="180"/>
      </w:pPr>
    </w:lvl>
  </w:abstractNum>
  <w:abstractNum w:abstractNumId="8" w15:restartNumberingAfterBreak="0">
    <w:nsid w:val="622D3304"/>
    <w:multiLevelType w:val="hybridMultilevel"/>
    <w:tmpl w:val="A9965ADE"/>
    <w:lvl w:ilvl="0" w:tplc="966EA194">
      <w:start w:val="1"/>
      <w:numFmt w:val="decimal"/>
      <w:lvlText w:val="%1."/>
      <w:lvlJc w:val="left"/>
      <w:pPr>
        <w:ind w:left="1353" w:hanging="360"/>
      </w:pPr>
      <w:rPr>
        <w:rFonts w:ascii="Times New Roman" w:eastAsia="Times New Roman" w:hAnsi="Times New Roman" w:cs="Times New Roman" w:hint="default"/>
      </w:rPr>
    </w:lvl>
    <w:lvl w:ilvl="1" w:tplc="18090019" w:tentative="1">
      <w:start w:val="1"/>
      <w:numFmt w:val="lowerLetter"/>
      <w:lvlText w:val="%2."/>
      <w:lvlJc w:val="left"/>
      <w:pPr>
        <w:ind w:left="2073" w:hanging="360"/>
      </w:pPr>
    </w:lvl>
    <w:lvl w:ilvl="2" w:tplc="1809001B" w:tentative="1">
      <w:start w:val="1"/>
      <w:numFmt w:val="lowerRoman"/>
      <w:lvlText w:val="%3."/>
      <w:lvlJc w:val="right"/>
      <w:pPr>
        <w:ind w:left="2793" w:hanging="180"/>
      </w:pPr>
    </w:lvl>
    <w:lvl w:ilvl="3" w:tplc="1809000F" w:tentative="1">
      <w:start w:val="1"/>
      <w:numFmt w:val="decimal"/>
      <w:lvlText w:val="%4."/>
      <w:lvlJc w:val="left"/>
      <w:pPr>
        <w:ind w:left="3513" w:hanging="360"/>
      </w:pPr>
    </w:lvl>
    <w:lvl w:ilvl="4" w:tplc="18090019" w:tentative="1">
      <w:start w:val="1"/>
      <w:numFmt w:val="lowerLetter"/>
      <w:lvlText w:val="%5."/>
      <w:lvlJc w:val="left"/>
      <w:pPr>
        <w:ind w:left="4233" w:hanging="360"/>
      </w:pPr>
    </w:lvl>
    <w:lvl w:ilvl="5" w:tplc="1809001B" w:tentative="1">
      <w:start w:val="1"/>
      <w:numFmt w:val="lowerRoman"/>
      <w:lvlText w:val="%6."/>
      <w:lvlJc w:val="right"/>
      <w:pPr>
        <w:ind w:left="4953" w:hanging="180"/>
      </w:pPr>
    </w:lvl>
    <w:lvl w:ilvl="6" w:tplc="1809000F" w:tentative="1">
      <w:start w:val="1"/>
      <w:numFmt w:val="decimal"/>
      <w:lvlText w:val="%7."/>
      <w:lvlJc w:val="left"/>
      <w:pPr>
        <w:ind w:left="5673" w:hanging="360"/>
      </w:pPr>
    </w:lvl>
    <w:lvl w:ilvl="7" w:tplc="18090019" w:tentative="1">
      <w:start w:val="1"/>
      <w:numFmt w:val="lowerLetter"/>
      <w:lvlText w:val="%8."/>
      <w:lvlJc w:val="left"/>
      <w:pPr>
        <w:ind w:left="6393" w:hanging="360"/>
      </w:pPr>
    </w:lvl>
    <w:lvl w:ilvl="8" w:tplc="1809001B" w:tentative="1">
      <w:start w:val="1"/>
      <w:numFmt w:val="lowerRoman"/>
      <w:lvlText w:val="%9."/>
      <w:lvlJc w:val="right"/>
      <w:pPr>
        <w:ind w:left="7113" w:hanging="180"/>
      </w:pPr>
    </w:lvl>
  </w:abstractNum>
  <w:abstractNum w:abstractNumId="9" w15:restartNumberingAfterBreak="0">
    <w:nsid w:val="645F57BA"/>
    <w:multiLevelType w:val="hybridMultilevel"/>
    <w:tmpl w:val="0150BE6C"/>
    <w:lvl w:ilvl="0" w:tplc="FFFFFFFF">
      <w:start w:val="1"/>
      <w:numFmt w:val="decimal"/>
      <w:lvlText w:val="%1."/>
      <w:lvlJc w:val="left"/>
      <w:pPr>
        <w:ind w:left="1353" w:hanging="360"/>
      </w:pPr>
      <w:rPr>
        <w:rFonts w:ascii="Times New Roman" w:eastAsia="Times New Roman" w:hAnsi="Times New Roman" w:cs="Times New Roman" w:hint="default"/>
        <w:b/>
        <w:bCs/>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0" w15:restartNumberingAfterBreak="0">
    <w:nsid w:val="67306755"/>
    <w:multiLevelType w:val="hybridMultilevel"/>
    <w:tmpl w:val="9ADC701A"/>
    <w:lvl w:ilvl="0" w:tplc="D186844A">
      <w:start w:val="1"/>
      <w:numFmt w:val="lowerLetter"/>
      <w:lvlText w:val="%1)"/>
      <w:lvlJc w:val="left"/>
      <w:pPr>
        <w:ind w:left="1353" w:hanging="360"/>
      </w:pPr>
      <w:rPr>
        <w:rFonts w:hint="default"/>
      </w:rPr>
    </w:lvl>
    <w:lvl w:ilvl="1" w:tplc="18090019" w:tentative="1">
      <w:start w:val="1"/>
      <w:numFmt w:val="lowerLetter"/>
      <w:lvlText w:val="%2."/>
      <w:lvlJc w:val="left"/>
      <w:pPr>
        <w:ind w:left="2073" w:hanging="360"/>
      </w:pPr>
    </w:lvl>
    <w:lvl w:ilvl="2" w:tplc="1809001B" w:tentative="1">
      <w:start w:val="1"/>
      <w:numFmt w:val="lowerRoman"/>
      <w:lvlText w:val="%3."/>
      <w:lvlJc w:val="right"/>
      <w:pPr>
        <w:ind w:left="2793" w:hanging="180"/>
      </w:pPr>
    </w:lvl>
    <w:lvl w:ilvl="3" w:tplc="1809000F" w:tentative="1">
      <w:start w:val="1"/>
      <w:numFmt w:val="decimal"/>
      <w:lvlText w:val="%4."/>
      <w:lvlJc w:val="left"/>
      <w:pPr>
        <w:ind w:left="3513" w:hanging="360"/>
      </w:pPr>
    </w:lvl>
    <w:lvl w:ilvl="4" w:tplc="18090019" w:tentative="1">
      <w:start w:val="1"/>
      <w:numFmt w:val="lowerLetter"/>
      <w:lvlText w:val="%5."/>
      <w:lvlJc w:val="left"/>
      <w:pPr>
        <w:ind w:left="4233" w:hanging="360"/>
      </w:pPr>
    </w:lvl>
    <w:lvl w:ilvl="5" w:tplc="1809001B" w:tentative="1">
      <w:start w:val="1"/>
      <w:numFmt w:val="lowerRoman"/>
      <w:lvlText w:val="%6."/>
      <w:lvlJc w:val="right"/>
      <w:pPr>
        <w:ind w:left="4953" w:hanging="180"/>
      </w:pPr>
    </w:lvl>
    <w:lvl w:ilvl="6" w:tplc="1809000F" w:tentative="1">
      <w:start w:val="1"/>
      <w:numFmt w:val="decimal"/>
      <w:lvlText w:val="%7."/>
      <w:lvlJc w:val="left"/>
      <w:pPr>
        <w:ind w:left="5673" w:hanging="360"/>
      </w:pPr>
    </w:lvl>
    <w:lvl w:ilvl="7" w:tplc="18090019" w:tentative="1">
      <w:start w:val="1"/>
      <w:numFmt w:val="lowerLetter"/>
      <w:lvlText w:val="%8."/>
      <w:lvlJc w:val="left"/>
      <w:pPr>
        <w:ind w:left="6393" w:hanging="360"/>
      </w:pPr>
    </w:lvl>
    <w:lvl w:ilvl="8" w:tplc="1809001B" w:tentative="1">
      <w:start w:val="1"/>
      <w:numFmt w:val="lowerRoman"/>
      <w:lvlText w:val="%9."/>
      <w:lvlJc w:val="right"/>
      <w:pPr>
        <w:ind w:left="7113" w:hanging="180"/>
      </w:pPr>
    </w:lvl>
  </w:abstractNum>
  <w:abstractNum w:abstractNumId="11" w15:restartNumberingAfterBreak="0">
    <w:nsid w:val="6A115256"/>
    <w:multiLevelType w:val="hybridMultilevel"/>
    <w:tmpl w:val="5A0AA494"/>
    <w:lvl w:ilvl="0" w:tplc="FFFFFFFF">
      <w:start w:val="1"/>
      <w:numFmt w:val="decimal"/>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2" w15:restartNumberingAfterBreak="0">
    <w:nsid w:val="6DB92A25"/>
    <w:multiLevelType w:val="hybridMultilevel"/>
    <w:tmpl w:val="FC18B550"/>
    <w:lvl w:ilvl="0" w:tplc="43905AD6">
      <w:start w:val="1"/>
      <w:numFmt w:val="decimal"/>
      <w:lvlText w:val="%1."/>
      <w:lvlJc w:val="left"/>
      <w:pPr>
        <w:ind w:left="1020" w:hanging="360"/>
      </w:pPr>
    </w:lvl>
    <w:lvl w:ilvl="1" w:tplc="48EA8D4C">
      <w:start w:val="1"/>
      <w:numFmt w:val="decimal"/>
      <w:lvlText w:val="%2."/>
      <w:lvlJc w:val="left"/>
      <w:pPr>
        <w:ind w:left="1020" w:hanging="360"/>
      </w:pPr>
    </w:lvl>
    <w:lvl w:ilvl="2" w:tplc="169EF1F0">
      <w:start w:val="1"/>
      <w:numFmt w:val="decimal"/>
      <w:lvlText w:val="%3."/>
      <w:lvlJc w:val="left"/>
      <w:pPr>
        <w:ind w:left="1020" w:hanging="360"/>
      </w:pPr>
    </w:lvl>
    <w:lvl w:ilvl="3" w:tplc="250E00C6">
      <w:start w:val="1"/>
      <w:numFmt w:val="decimal"/>
      <w:lvlText w:val="%4."/>
      <w:lvlJc w:val="left"/>
      <w:pPr>
        <w:ind w:left="1020" w:hanging="360"/>
      </w:pPr>
    </w:lvl>
    <w:lvl w:ilvl="4" w:tplc="2B8AC8BA">
      <w:start w:val="1"/>
      <w:numFmt w:val="decimal"/>
      <w:lvlText w:val="%5."/>
      <w:lvlJc w:val="left"/>
      <w:pPr>
        <w:ind w:left="1020" w:hanging="360"/>
      </w:pPr>
    </w:lvl>
    <w:lvl w:ilvl="5" w:tplc="336642F0">
      <w:start w:val="1"/>
      <w:numFmt w:val="decimal"/>
      <w:lvlText w:val="%6."/>
      <w:lvlJc w:val="left"/>
      <w:pPr>
        <w:ind w:left="1020" w:hanging="360"/>
      </w:pPr>
    </w:lvl>
    <w:lvl w:ilvl="6" w:tplc="57801F08">
      <w:start w:val="1"/>
      <w:numFmt w:val="decimal"/>
      <w:lvlText w:val="%7."/>
      <w:lvlJc w:val="left"/>
      <w:pPr>
        <w:ind w:left="1020" w:hanging="360"/>
      </w:pPr>
    </w:lvl>
    <w:lvl w:ilvl="7" w:tplc="FBB01300">
      <w:start w:val="1"/>
      <w:numFmt w:val="decimal"/>
      <w:lvlText w:val="%8."/>
      <w:lvlJc w:val="left"/>
      <w:pPr>
        <w:ind w:left="1020" w:hanging="360"/>
      </w:pPr>
    </w:lvl>
    <w:lvl w:ilvl="8" w:tplc="3E4EA898">
      <w:start w:val="1"/>
      <w:numFmt w:val="decimal"/>
      <w:lvlText w:val="%9."/>
      <w:lvlJc w:val="left"/>
      <w:pPr>
        <w:ind w:left="1020" w:hanging="360"/>
      </w:pPr>
    </w:lvl>
  </w:abstractNum>
  <w:abstractNum w:abstractNumId="13" w15:restartNumberingAfterBreak="0">
    <w:nsid w:val="77F24035"/>
    <w:multiLevelType w:val="hybridMultilevel"/>
    <w:tmpl w:val="15F83602"/>
    <w:lvl w:ilvl="0" w:tplc="768C4EBA">
      <w:start w:val="1"/>
      <w:numFmt w:val="upperRoman"/>
      <w:lvlText w:val="%1."/>
      <w:lvlJc w:val="right"/>
      <w:pPr>
        <w:ind w:left="1004" w:hanging="360"/>
      </w:pPr>
      <w:rPr>
        <w:rFonts w:ascii="Times New Roman" w:hAnsi="Times New Roman" w:cs="Times New Roman" w:hint="default"/>
      </w:rPr>
    </w:lvl>
    <w:lvl w:ilvl="1" w:tplc="18090019" w:tentative="1">
      <w:start w:val="1"/>
      <w:numFmt w:val="lowerLetter"/>
      <w:lvlText w:val="%2."/>
      <w:lvlJc w:val="left"/>
      <w:pPr>
        <w:ind w:left="1724" w:hanging="360"/>
      </w:pPr>
    </w:lvl>
    <w:lvl w:ilvl="2" w:tplc="1809001B" w:tentative="1">
      <w:start w:val="1"/>
      <w:numFmt w:val="lowerRoman"/>
      <w:lvlText w:val="%3."/>
      <w:lvlJc w:val="right"/>
      <w:pPr>
        <w:ind w:left="2444" w:hanging="180"/>
      </w:pPr>
    </w:lvl>
    <w:lvl w:ilvl="3" w:tplc="1809000F" w:tentative="1">
      <w:start w:val="1"/>
      <w:numFmt w:val="decimal"/>
      <w:lvlText w:val="%4."/>
      <w:lvlJc w:val="left"/>
      <w:pPr>
        <w:ind w:left="3164" w:hanging="360"/>
      </w:pPr>
    </w:lvl>
    <w:lvl w:ilvl="4" w:tplc="18090019" w:tentative="1">
      <w:start w:val="1"/>
      <w:numFmt w:val="lowerLetter"/>
      <w:lvlText w:val="%5."/>
      <w:lvlJc w:val="left"/>
      <w:pPr>
        <w:ind w:left="3884" w:hanging="360"/>
      </w:pPr>
    </w:lvl>
    <w:lvl w:ilvl="5" w:tplc="1809001B" w:tentative="1">
      <w:start w:val="1"/>
      <w:numFmt w:val="lowerRoman"/>
      <w:lvlText w:val="%6."/>
      <w:lvlJc w:val="right"/>
      <w:pPr>
        <w:ind w:left="4604" w:hanging="180"/>
      </w:pPr>
    </w:lvl>
    <w:lvl w:ilvl="6" w:tplc="1809000F" w:tentative="1">
      <w:start w:val="1"/>
      <w:numFmt w:val="decimal"/>
      <w:lvlText w:val="%7."/>
      <w:lvlJc w:val="left"/>
      <w:pPr>
        <w:ind w:left="5324" w:hanging="360"/>
      </w:pPr>
    </w:lvl>
    <w:lvl w:ilvl="7" w:tplc="18090019" w:tentative="1">
      <w:start w:val="1"/>
      <w:numFmt w:val="lowerLetter"/>
      <w:lvlText w:val="%8."/>
      <w:lvlJc w:val="left"/>
      <w:pPr>
        <w:ind w:left="6044" w:hanging="360"/>
      </w:pPr>
    </w:lvl>
    <w:lvl w:ilvl="8" w:tplc="1809001B" w:tentative="1">
      <w:start w:val="1"/>
      <w:numFmt w:val="lowerRoman"/>
      <w:lvlText w:val="%9."/>
      <w:lvlJc w:val="right"/>
      <w:pPr>
        <w:ind w:left="6764" w:hanging="180"/>
      </w:pPr>
    </w:lvl>
  </w:abstractNum>
  <w:abstractNum w:abstractNumId="14" w15:restartNumberingAfterBreak="0">
    <w:nsid w:val="78801238"/>
    <w:multiLevelType w:val="hybridMultilevel"/>
    <w:tmpl w:val="CABC1744"/>
    <w:lvl w:ilvl="0" w:tplc="8BB63B1A">
      <w:start w:val="5"/>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4"/>
  </w:num>
  <w:num w:numId="4">
    <w:abstractNumId w:val="5"/>
  </w:num>
  <w:num w:numId="5">
    <w:abstractNumId w:val="1"/>
  </w:num>
  <w:num w:numId="6">
    <w:abstractNumId w:val="7"/>
  </w:num>
  <w:num w:numId="7">
    <w:abstractNumId w:val="8"/>
  </w:num>
  <w:num w:numId="8">
    <w:abstractNumId w:val="2"/>
  </w:num>
  <w:num w:numId="9">
    <w:abstractNumId w:val="10"/>
  </w:num>
  <w:num w:numId="10">
    <w:abstractNumId w:val="1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 w:numId="14">
    <w:abstractNumId w:val="9"/>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DC7AF91A-819A-4CE3-B1BE-309DD7C516DB"/>
    <w:docVar w:name="LW_COVERPAGE_TYPE" w:val="1"/>
    <w:docVar w:name="LW_CROSSREFERENCE" w:val="&lt;UNUSED&gt;"/>
    <w:docVar w:name="LW_DocType" w:val="NORMAL"/>
    <w:docVar w:name="LW_EMISSION" w:val="21.5.2026"/>
    <w:docVar w:name="LW_EMISSION_ISODATE" w:val="2026-05-21"/>
    <w:docVar w:name="LW_EMISSION_LOCATION" w:val="BRX"/>
    <w:docVar w:name="LW_EMISSION_PREFIX" w:val="Brisel\u275?, "/>
    <w:docVar w:name="LW_EMISSION_SUFFIX" w:val="."/>
    <w:docVar w:name="LW_ID_DOCTYPE_NONLW" w:val="CP-005"/>
    <w:docVar w:name="LW_LANGUE" w:val="LV"/>
    <w:docVar w:name="LW_LEVEL_OF_SENSITIVITY" w:val="Standard treatment"/>
    <w:docVar w:name="LW_NOM.INST" w:val="EIROPAS KOMISIJA"/>
    <w:docVar w:name="LW_NOM.INST_JOINTDOC" w:val="&lt;EMPTY&gt;"/>
    <w:docVar w:name="LW_PART_NBR" w:val="1"/>
    <w:docVar w:name="LW_PART_NBR_TOTAL" w:val="1"/>
    <w:docVar w:name="LW_REF.INST.NEW" w:val="COM"/>
    <w:docVar w:name="LW_REF.INST.NEW_ADOPTED" w:val="final"/>
    <w:docVar w:name="LW_REF.INST.NEW_TEXT" w:val="(2026) 24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Gada zi\u326?ojums par to, k\u257? tiek \u299?stenota Eiropas Parlamenta un Padomes Regula (ES) 2022/1925 par s\u257?ncens\u299?giem un god\u299?giem tirgiem digit\u257?laj\u257? nozar\u275? un ar ko groza Direkt\u299?vas (ES) 2019/1937 un (ES) 2020/1828 (Digit\u257?lo tirgu akts)_x000b__x000d__x000d__x000d__x000d__x000d__x000b_"/>
    <w:docVar w:name="LW_TYPE.DOC.CP" w:val="KOMISIJAS ZI\u325?OJUMS PADOMEI UN EIROPAS PARLAMENTAM"/>
    <w:docVar w:name="LwApiVersions" w:val="LW4CoDe 1.24.5.0; LW 9.2, Build 20251112"/>
  </w:docVars>
  <w:rsids>
    <w:rsidRoot w:val="00DE1888"/>
    <w:rsid w:val="0000282E"/>
    <w:rsid w:val="00002E79"/>
    <w:rsid w:val="00005057"/>
    <w:rsid w:val="00006256"/>
    <w:rsid w:val="00007BD6"/>
    <w:rsid w:val="000129FC"/>
    <w:rsid w:val="00014334"/>
    <w:rsid w:val="0001433F"/>
    <w:rsid w:val="0001525C"/>
    <w:rsid w:val="00017D7F"/>
    <w:rsid w:val="00020F19"/>
    <w:rsid w:val="0002128A"/>
    <w:rsid w:val="00022239"/>
    <w:rsid w:val="00022343"/>
    <w:rsid w:val="00022E37"/>
    <w:rsid w:val="00023939"/>
    <w:rsid w:val="00027209"/>
    <w:rsid w:val="00030633"/>
    <w:rsid w:val="0003283E"/>
    <w:rsid w:val="00033079"/>
    <w:rsid w:val="00034768"/>
    <w:rsid w:val="00034A92"/>
    <w:rsid w:val="000367FE"/>
    <w:rsid w:val="00036B92"/>
    <w:rsid w:val="00037FDE"/>
    <w:rsid w:val="000411F5"/>
    <w:rsid w:val="000412AA"/>
    <w:rsid w:val="00043889"/>
    <w:rsid w:val="0004489E"/>
    <w:rsid w:val="000458C9"/>
    <w:rsid w:val="00045B85"/>
    <w:rsid w:val="00047ADB"/>
    <w:rsid w:val="00050A5D"/>
    <w:rsid w:val="00052D7C"/>
    <w:rsid w:val="00055819"/>
    <w:rsid w:val="0006088B"/>
    <w:rsid w:val="00060BDA"/>
    <w:rsid w:val="00060C8A"/>
    <w:rsid w:val="00060F3B"/>
    <w:rsid w:val="00061488"/>
    <w:rsid w:val="00061958"/>
    <w:rsid w:val="00061B1E"/>
    <w:rsid w:val="0006213E"/>
    <w:rsid w:val="0006476A"/>
    <w:rsid w:val="0007122A"/>
    <w:rsid w:val="000717D4"/>
    <w:rsid w:val="00071A86"/>
    <w:rsid w:val="000723B9"/>
    <w:rsid w:val="0007285E"/>
    <w:rsid w:val="00073E92"/>
    <w:rsid w:val="0007420E"/>
    <w:rsid w:val="000800A1"/>
    <w:rsid w:val="00080C41"/>
    <w:rsid w:val="00081029"/>
    <w:rsid w:val="000821EA"/>
    <w:rsid w:val="0008365F"/>
    <w:rsid w:val="00085212"/>
    <w:rsid w:val="000857B5"/>
    <w:rsid w:val="000866F2"/>
    <w:rsid w:val="00086F77"/>
    <w:rsid w:val="00086FFF"/>
    <w:rsid w:val="00090FC2"/>
    <w:rsid w:val="00092272"/>
    <w:rsid w:val="00092598"/>
    <w:rsid w:val="00093831"/>
    <w:rsid w:val="00093FD0"/>
    <w:rsid w:val="00094BE1"/>
    <w:rsid w:val="00094E01"/>
    <w:rsid w:val="00095C59"/>
    <w:rsid w:val="000961BA"/>
    <w:rsid w:val="000A1E76"/>
    <w:rsid w:val="000A3E9E"/>
    <w:rsid w:val="000A7DA0"/>
    <w:rsid w:val="000B0E30"/>
    <w:rsid w:val="000B1759"/>
    <w:rsid w:val="000B3389"/>
    <w:rsid w:val="000B3876"/>
    <w:rsid w:val="000B3CF8"/>
    <w:rsid w:val="000B4370"/>
    <w:rsid w:val="000B60A0"/>
    <w:rsid w:val="000B75B5"/>
    <w:rsid w:val="000C0281"/>
    <w:rsid w:val="000C04E4"/>
    <w:rsid w:val="000C33C1"/>
    <w:rsid w:val="000C754A"/>
    <w:rsid w:val="000D1C3A"/>
    <w:rsid w:val="000D2000"/>
    <w:rsid w:val="000D4DDE"/>
    <w:rsid w:val="000D52B4"/>
    <w:rsid w:val="000D5753"/>
    <w:rsid w:val="000D6582"/>
    <w:rsid w:val="000D73C0"/>
    <w:rsid w:val="000E274A"/>
    <w:rsid w:val="000E45C9"/>
    <w:rsid w:val="000E6475"/>
    <w:rsid w:val="000E6733"/>
    <w:rsid w:val="000E7020"/>
    <w:rsid w:val="000F364A"/>
    <w:rsid w:val="000F4DD9"/>
    <w:rsid w:val="000F4E1E"/>
    <w:rsid w:val="000F6744"/>
    <w:rsid w:val="00100A95"/>
    <w:rsid w:val="001026F1"/>
    <w:rsid w:val="00102E28"/>
    <w:rsid w:val="0010304C"/>
    <w:rsid w:val="00105318"/>
    <w:rsid w:val="00105369"/>
    <w:rsid w:val="00114F18"/>
    <w:rsid w:val="00116943"/>
    <w:rsid w:val="00117B83"/>
    <w:rsid w:val="0012129D"/>
    <w:rsid w:val="00121907"/>
    <w:rsid w:val="00122CBB"/>
    <w:rsid w:val="00124BE7"/>
    <w:rsid w:val="001251F9"/>
    <w:rsid w:val="001255D9"/>
    <w:rsid w:val="00126556"/>
    <w:rsid w:val="00134170"/>
    <w:rsid w:val="001344F5"/>
    <w:rsid w:val="0013498D"/>
    <w:rsid w:val="00134A4E"/>
    <w:rsid w:val="001350F3"/>
    <w:rsid w:val="00140206"/>
    <w:rsid w:val="00140A33"/>
    <w:rsid w:val="001425EE"/>
    <w:rsid w:val="001454BF"/>
    <w:rsid w:val="00147939"/>
    <w:rsid w:val="00147ECE"/>
    <w:rsid w:val="00150D2D"/>
    <w:rsid w:val="00151CCA"/>
    <w:rsid w:val="001549C6"/>
    <w:rsid w:val="00155242"/>
    <w:rsid w:val="00156308"/>
    <w:rsid w:val="00157762"/>
    <w:rsid w:val="001708A1"/>
    <w:rsid w:val="00171A30"/>
    <w:rsid w:val="00172505"/>
    <w:rsid w:val="00172D43"/>
    <w:rsid w:val="001733FA"/>
    <w:rsid w:val="00174EB4"/>
    <w:rsid w:val="00175F16"/>
    <w:rsid w:val="001777F0"/>
    <w:rsid w:val="001810A9"/>
    <w:rsid w:val="00182052"/>
    <w:rsid w:val="00183A5B"/>
    <w:rsid w:val="001841A3"/>
    <w:rsid w:val="001841ED"/>
    <w:rsid w:val="00184455"/>
    <w:rsid w:val="001857CF"/>
    <w:rsid w:val="00185C63"/>
    <w:rsid w:val="00186B64"/>
    <w:rsid w:val="00187A9C"/>
    <w:rsid w:val="00192BCD"/>
    <w:rsid w:val="00196D99"/>
    <w:rsid w:val="001977C7"/>
    <w:rsid w:val="001978C1"/>
    <w:rsid w:val="001A364D"/>
    <w:rsid w:val="001A4364"/>
    <w:rsid w:val="001A5280"/>
    <w:rsid w:val="001A6500"/>
    <w:rsid w:val="001A7736"/>
    <w:rsid w:val="001A7DE9"/>
    <w:rsid w:val="001B5042"/>
    <w:rsid w:val="001C46CF"/>
    <w:rsid w:val="001C5EF5"/>
    <w:rsid w:val="001C65F6"/>
    <w:rsid w:val="001C6940"/>
    <w:rsid w:val="001C7BFC"/>
    <w:rsid w:val="001D1262"/>
    <w:rsid w:val="001D14F2"/>
    <w:rsid w:val="001D29EB"/>
    <w:rsid w:val="001D36F5"/>
    <w:rsid w:val="001D5F3B"/>
    <w:rsid w:val="001E0BB4"/>
    <w:rsid w:val="001E2BAF"/>
    <w:rsid w:val="001E3AFA"/>
    <w:rsid w:val="001E3C5E"/>
    <w:rsid w:val="001E5D7E"/>
    <w:rsid w:val="001E6839"/>
    <w:rsid w:val="001E7E7F"/>
    <w:rsid w:val="001F1B6C"/>
    <w:rsid w:val="001F1BED"/>
    <w:rsid w:val="001F2A94"/>
    <w:rsid w:val="001F39B1"/>
    <w:rsid w:val="001F5F7C"/>
    <w:rsid w:val="002011B3"/>
    <w:rsid w:val="002015F1"/>
    <w:rsid w:val="00202994"/>
    <w:rsid w:val="00203611"/>
    <w:rsid w:val="002039C7"/>
    <w:rsid w:val="0020403E"/>
    <w:rsid w:val="0020572B"/>
    <w:rsid w:val="00205735"/>
    <w:rsid w:val="00206F77"/>
    <w:rsid w:val="00211C93"/>
    <w:rsid w:val="00213E6E"/>
    <w:rsid w:val="00214D93"/>
    <w:rsid w:val="0021530B"/>
    <w:rsid w:val="002157CE"/>
    <w:rsid w:val="00221CE1"/>
    <w:rsid w:val="002225B3"/>
    <w:rsid w:val="002238DA"/>
    <w:rsid w:val="002240E4"/>
    <w:rsid w:val="00224411"/>
    <w:rsid w:val="00224CC4"/>
    <w:rsid w:val="002256DF"/>
    <w:rsid w:val="002265C6"/>
    <w:rsid w:val="00226A79"/>
    <w:rsid w:val="0023025B"/>
    <w:rsid w:val="00232D00"/>
    <w:rsid w:val="00233EAD"/>
    <w:rsid w:val="00233F98"/>
    <w:rsid w:val="00234229"/>
    <w:rsid w:val="00236625"/>
    <w:rsid w:val="00237490"/>
    <w:rsid w:val="00237F81"/>
    <w:rsid w:val="0024023B"/>
    <w:rsid w:val="0024281C"/>
    <w:rsid w:val="002431E8"/>
    <w:rsid w:val="00243C69"/>
    <w:rsid w:val="00243F6D"/>
    <w:rsid w:val="00243FE7"/>
    <w:rsid w:val="00244A78"/>
    <w:rsid w:val="002463F1"/>
    <w:rsid w:val="00251061"/>
    <w:rsid w:val="00253B0C"/>
    <w:rsid w:val="00254766"/>
    <w:rsid w:val="00254D8F"/>
    <w:rsid w:val="00257B6C"/>
    <w:rsid w:val="0026174D"/>
    <w:rsid w:val="002638DA"/>
    <w:rsid w:val="00265DBB"/>
    <w:rsid w:val="002675C7"/>
    <w:rsid w:val="002720F2"/>
    <w:rsid w:val="0027244D"/>
    <w:rsid w:val="00276FA0"/>
    <w:rsid w:val="00280F2C"/>
    <w:rsid w:val="0028137F"/>
    <w:rsid w:val="00281FB7"/>
    <w:rsid w:val="00282B83"/>
    <w:rsid w:val="00283302"/>
    <w:rsid w:val="00283320"/>
    <w:rsid w:val="002835E9"/>
    <w:rsid w:val="00283F9D"/>
    <w:rsid w:val="002856B4"/>
    <w:rsid w:val="002862C8"/>
    <w:rsid w:val="00287FF9"/>
    <w:rsid w:val="00290C69"/>
    <w:rsid w:val="0029333D"/>
    <w:rsid w:val="002945B4"/>
    <w:rsid w:val="00295968"/>
    <w:rsid w:val="002A15E2"/>
    <w:rsid w:val="002A4821"/>
    <w:rsid w:val="002A7EA5"/>
    <w:rsid w:val="002B6AA5"/>
    <w:rsid w:val="002B6C3F"/>
    <w:rsid w:val="002B6F3A"/>
    <w:rsid w:val="002B7978"/>
    <w:rsid w:val="002B79B2"/>
    <w:rsid w:val="002C08A9"/>
    <w:rsid w:val="002C145E"/>
    <w:rsid w:val="002C1F96"/>
    <w:rsid w:val="002C22E0"/>
    <w:rsid w:val="002C2D77"/>
    <w:rsid w:val="002C37CF"/>
    <w:rsid w:val="002C6E76"/>
    <w:rsid w:val="002D0910"/>
    <w:rsid w:val="002D095C"/>
    <w:rsid w:val="002D5125"/>
    <w:rsid w:val="002D6F41"/>
    <w:rsid w:val="002D73BF"/>
    <w:rsid w:val="002D7681"/>
    <w:rsid w:val="002D7DD3"/>
    <w:rsid w:val="002E20CB"/>
    <w:rsid w:val="002E2C5C"/>
    <w:rsid w:val="002E2DCE"/>
    <w:rsid w:val="002E44CC"/>
    <w:rsid w:val="002E48EE"/>
    <w:rsid w:val="002E54BF"/>
    <w:rsid w:val="002E5EE3"/>
    <w:rsid w:val="002E6436"/>
    <w:rsid w:val="002E66E4"/>
    <w:rsid w:val="002E71B8"/>
    <w:rsid w:val="002F278D"/>
    <w:rsid w:val="002F306C"/>
    <w:rsid w:val="002F46D8"/>
    <w:rsid w:val="002F50AC"/>
    <w:rsid w:val="00300915"/>
    <w:rsid w:val="0030177C"/>
    <w:rsid w:val="00303E58"/>
    <w:rsid w:val="00304CF7"/>
    <w:rsid w:val="00307150"/>
    <w:rsid w:val="003106A4"/>
    <w:rsid w:val="00315531"/>
    <w:rsid w:val="003163E6"/>
    <w:rsid w:val="0031754E"/>
    <w:rsid w:val="00317C0F"/>
    <w:rsid w:val="00320C94"/>
    <w:rsid w:val="003214A6"/>
    <w:rsid w:val="0032252B"/>
    <w:rsid w:val="00323B5B"/>
    <w:rsid w:val="0032405F"/>
    <w:rsid w:val="00324D7A"/>
    <w:rsid w:val="003272A0"/>
    <w:rsid w:val="003304DC"/>
    <w:rsid w:val="00330CB3"/>
    <w:rsid w:val="003320CF"/>
    <w:rsid w:val="00333446"/>
    <w:rsid w:val="00333BFE"/>
    <w:rsid w:val="00333D7D"/>
    <w:rsid w:val="003416AF"/>
    <w:rsid w:val="00341E08"/>
    <w:rsid w:val="00341FFB"/>
    <w:rsid w:val="0034215F"/>
    <w:rsid w:val="00346265"/>
    <w:rsid w:val="00347FF9"/>
    <w:rsid w:val="003533D8"/>
    <w:rsid w:val="00355428"/>
    <w:rsid w:val="00355BFF"/>
    <w:rsid w:val="00356D5D"/>
    <w:rsid w:val="003616E2"/>
    <w:rsid w:val="00362D6A"/>
    <w:rsid w:val="00363F5C"/>
    <w:rsid w:val="00364485"/>
    <w:rsid w:val="00372AA0"/>
    <w:rsid w:val="00374380"/>
    <w:rsid w:val="0037527A"/>
    <w:rsid w:val="00375992"/>
    <w:rsid w:val="00375FE3"/>
    <w:rsid w:val="00380570"/>
    <w:rsid w:val="00380ED7"/>
    <w:rsid w:val="00383F00"/>
    <w:rsid w:val="00384CE5"/>
    <w:rsid w:val="00385EC1"/>
    <w:rsid w:val="00387285"/>
    <w:rsid w:val="0039665B"/>
    <w:rsid w:val="00397C5B"/>
    <w:rsid w:val="003A02EA"/>
    <w:rsid w:val="003A3431"/>
    <w:rsid w:val="003A4967"/>
    <w:rsid w:val="003A5DDC"/>
    <w:rsid w:val="003A7276"/>
    <w:rsid w:val="003A7418"/>
    <w:rsid w:val="003B056E"/>
    <w:rsid w:val="003B06D4"/>
    <w:rsid w:val="003B232E"/>
    <w:rsid w:val="003B2C32"/>
    <w:rsid w:val="003B5BD0"/>
    <w:rsid w:val="003B5EB3"/>
    <w:rsid w:val="003B6115"/>
    <w:rsid w:val="003B7394"/>
    <w:rsid w:val="003B7AE7"/>
    <w:rsid w:val="003B7DA3"/>
    <w:rsid w:val="003C0109"/>
    <w:rsid w:val="003C1463"/>
    <w:rsid w:val="003C15E0"/>
    <w:rsid w:val="003C1955"/>
    <w:rsid w:val="003C22BE"/>
    <w:rsid w:val="003C313D"/>
    <w:rsid w:val="003C36E3"/>
    <w:rsid w:val="003C37BD"/>
    <w:rsid w:val="003C428A"/>
    <w:rsid w:val="003D152E"/>
    <w:rsid w:val="003D1B89"/>
    <w:rsid w:val="003D25FB"/>
    <w:rsid w:val="003D50D9"/>
    <w:rsid w:val="003D7FE2"/>
    <w:rsid w:val="003E046B"/>
    <w:rsid w:val="003E3956"/>
    <w:rsid w:val="003E3D6F"/>
    <w:rsid w:val="003E4717"/>
    <w:rsid w:val="003E47C1"/>
    <w:rsid w:val="003E657C"/>
    <w:rsid w:val="003F14B1"/>
    <w:rsid w:val="003F2FF0"/>
    <w:rsid w:val="003F5249"/>
    <w:rsid w:val="00400E33"/>
    <w:rsid w:val="004039D9"/>
    <w:rsid w:val="00403A74"/>
    <w:rsid w:val="004042AF"/>
    <w:rsid w:val="0040454E"/>
    <w:rsid w:val="00404A7E"/>
    <w:rsid w:val="0040543B"/>
    <w:rsid w:val="00406089"/>
    <w:rsid w:val="0041034F"/>
    <w:rsid w:val="004112D2"/>
    <w:rsid w:val="00412BE2"/>
    <w:rsid w:val="00413C5A"/>
    <w:rsid w:val="00414882"/>
    <w:rsid w:val="004153DC"/>
    <w:rsid w:val="00417678"/>
    <w:rsid w:val="00417DAD"/>
    <w:rsid w:val="0042226A"/>
    <w:rsid w:val="00422405"/>
    <w:rsid w:val="00424154"/>
    <w:rsid w:val="00427371"/>
    <w:rsid w:val="00432066"/>
    <w:rsid w:val="00433B85"/>
    <w:rsid w:val="004342BF"/>
    <w:rsid w:val="004349EF"/>
    <w:rsid w:val="0043565A"/>
    <w:rsid w:val="00435E9B"/>
    <w:rsid w:val="00437423"/>
    <w:rsid w:val="004410E2"/>
    <w:rsid w:val="00445C23"/>
    <w:rsid w:val="0044687D"/>
    <w:rsid w:val="004470EE"/>
    <w:rsid w:val="00450747"/>
    <w:rsid w:val="004509BE"/>
    <w:rsid w:val="00451DE2"/>
    <w:rsid w:val="0045359F"/>
    <w:rsid w:val="004537A0"/>
    <w:rsid w:val="00461908"/>
    <w:rsid w:val="004623A7"/>
    <w:rsid w:val="00464808"/>
    <w:rsid w:val="004651EA"/>
    <w:rsid w:val="00465496"/>
    <w:rsid w:val="004708DC"/>
    <w:rsid w:val="00470C4F"/>
    <w:rsid w:val="00474D8E"/>
    <w:rsid w:val="00475BFD"/>
    <w:rsid w:val="00477196"/>
    <w:rsid w:val="004818DA"/>
    <w:rsid w:val="0048317C"/>
    <w:rsid w:val="00483B8D"/>
    <w:rsid w:val="0048446C"/>
    <w:rsid w:val="004847C5"/>
    <w:rsid w:val="00484D72"/>
    <w:rsid w:val="00485E3A"/>
    <w:rsid w:val="0048690A"/>
    <w:rsid w:val="0049022A"/>
    <w:rsid w:val="0049413B"/>
    <w:rsid w:val="004A06D0"/>
    <w:rsid w:val="004A1662"/>
    <w:rsid w:val="004A1C97"/>
    <w:rsid w:val="004A265C"/>
    <w:rsid w:val="004A3D11"/>
    <w:rsid w:val="004A4705"/>
    <w:rsid w:val="004A67A8"/>
    <w:rsid w:val="004A68FD"/>
    <w:rsid w:val="004B09CE"/>
    <w:rsid w:val="004B2399"/>
    <w:rsid w:val="004B4328"/>
    <w:rsid w:val="004B6BCA"/>
    <w:rsid w:val="004C0F50"/>
    <w:rsid w:val="004C1077"/>
    <w:rsid w:val="004C38E4"/>
    <w:rsid w:val="004C48D7"/>
    <w:rsid w:val="004C7C4C"/>
    <w:rsid w:val="004C7F8D"/>
    <w:rsid w:val="004D247D"/>
    <w:rsid w:val="004D2D63"/>
    <w:rsid w:val="004D376E"/>
    <w:rsid w:val="004D5DD2"/>
    <w:rsid w:val="004D649D"/>
    <w:rsid w:val="004D75F3"/>
    <w:rsid w:val="004E1664"/>
    <w:rsid w:val="004E1853"/>
    <w:rsid w:val="004E284C"/>
    <w:rsid w:val="004E30B6"/>
    <w:rsid w:val="004E40EF"/>
    <w:rsid w:val="004E43F0"/>
    <w:rsid w:val="004E46F2"/>
    <w:rsid w:val="004E527A"/>
    <w:rsid w:val="004E5A54"/>
    <w:rsid w:val="004E751D"/>
    <w:rsid w:val="004F12A9"/>
    <w:rsid w:val="004F1401"/>
    <w:rsid w:val="004F16D6"/>
    <w:rsid w:val="004F3622"/>
    <w:rsid w:val="004F4260"/>
    <w:rsid w:val="004F4287"/>
    <w:rsid w:val="004F5AE2"/>
    <w:rsid w:val="004F779F"/>
    <w:rsid w:val="004F7912"/>
    <w:rsid w:val="004F7B36"/>
    <w:rsid w:val="00500212"/>
    <w:rsid w:val="00500486"/>
    <w:rsid w:val="0050100E"/>
    <w:rsid w:val="005017C8"/>
    <w:rsid w:val="00502A08"/>
    <w:rsid w:val="005039F4"/>
    <w:rsid w:val="00503D15"/>
    <w:rsid w:val="00503E28"/>
    <w:rsid w:val="005045E7"/>
    <w:rsid w:val="0050597F"/>
    <w:rsid w:val="00505B11"/>
    <w:rsid w:val="005073D6"/>
    <w:rsid w:val="005136AD"/>
    <w:rsid w:val="005146F7"/>
    <w:rsid w:val="005163A3"/>
    <w:rsid w:val="0051657B"/>
    <w:rsid w:val="00520D5A"/>
    <w:rsid w:val="005219B6"/>
    <w:rsid w:val="005241F5"/>
    <w:rsid w:val="00525E20"/>
    <w:rsid w:val="00535E7B"/>
    <w:rsid w:val="005406D4"/>
    <w:rsid w:val="005425AA"/>
    <w:rsid w:val="005427BA"/>
    <w:rsid w:val="00542BCE"/>
    <w:rsid w:val="005447A3"/>
    <w:rsid w:val="00544A4F"/>
    <w:rsid w:val="00547846"/>
    <w:rsid w:val="00547ABE"/>
    <w:rsid w:val="00552C34"/>
    <w:rsid w:val="00554193"/>
    <w:rsid w:val="00557835"/>
    <w:rsid w:val="00564240"/>
    <w:rsid w:val="00564840"/>
    <w:rsid w:val="005656A2"/>
    <w:rsid w:val="005672C8"/>
    <w:rsid w:val="00571261"/>
    <w:rsid w:val="00572DA7"/>
    <w:rsid w:val="00573FDB"/>
    <w:rsid w:val="005761AA"/>
    <w:rsid w:val="00581FBE"/>
    <w:rsid w:val="0058284C"/>
    <w:rsid w:val="00584070"/>
    <w:rsid w:val="005845D0"/>
    <w:rsid w:val="00584A81"/>
    <w:rsid w:val="00585774"/>
    <w:rsid w:val="0058581A"/>
    <w:rsid w:val="00587BD1"/>
    <w:rsid w:val="00590D0A"/>
    <w:rsid w:val="00590E3B"/>
    <w:rsid w:val="005959FA"/>
    <w:rsid w:val="00595C3A"/>
    <w:rsid w:val="00596C03"/>
    <w:rsid w:val="00596F2B"/>
    <w:rsid w:val="00597903"/>
    <w:rsid w:val="005A01EE"/>
    <w:rsid w:val="005A0FD5"/>
    <w:rsid w:val="005A1651"/>
    <w:rsid w:val="005A4C93"/>
    <w:rsid w:val="005A7DFF"/>
    <w:rsid w:val="005B0C44"/>
    <w:rsid w:val="005B1B53"/>
    <w:rsid w:val="005B25D0"/>
    <w:rsid w:val="005B2AEE"/>
    <w:rsid w:val="005B30BC"/>
    <w:rsid w:val="005B7645"/>
    <w:rsid w:val="005C06C5"/>
    <w:rsid w:val="005C224C"/>
    <w:rsid w:val="005C2D64"/>
    <w:rsid w:val="005C34E8"/>
    <w:rsid w:val="005C409B"/>
    <w:rsid w:val="005C4E8B"/>
    <w:rsid w:val="005C693D"/>
    <w:rsid w:val="005C7F21"/>
    <w:rsid w:val="005D3240"/>
    <w:rsid w:val="005D3267"/>
    <w:rsid w:val="005D451B"/>
    <w:rsid w:val="005D5476"/>
    <w:rsid w:val="005D62CC"/>
    <w:rsid w:val="005D7FF8"/>
    <w:rsid w:val="005E1992"/>
    <w:rsid w:val="005E25E7"/>
    <w:rsid w:val="005E4A55"/>
    <w:rsid w:val="005E598D"/>
    <w:rsid w:val="005F0769"/>
    <w:rsid w:val="005F0B0B"/>
    <w:rsid w:val="005F1A6C"/>
    <w:rsid w:val="005F2FA8"/>
    <w:rsid w:val="005F3824"/>
    <w:rsid w:val="005F4BA7"/>
    <w:rsid w:val="005F5756"/>
    <w:rsid w:val="005F7805"/>
    <w:rsid w:val="00600221"/>
    <w:rsid w:val="00601C65"/>
    <w:rsid w:val="00602957"/>
    <w:rsid w:val="006036EF"/>
    <w:rsid w:val="00603902"/>
    <w:rsid w:val="0060390D"/>
    <w:rsid w:val="006135F6"/>
    <w:rsid w:val="00614D0A"/>
    <w:rsid w:val="00617817"/>
    <w:rsid w:val="00624513"/>
    <w:rsid w:val="00624956"/>
    <w:rsid w:val="0062497F"/>
    <w:rsid w:val="00624A29"/>
    <w:rsid w:val="00625521"/>
    <w:rsid w:val="00627810"/>
    <w:rsid w:val="00627B70"/>
    <w:rsid w:val="00631B42"/>
    <w:rsid w:val="00635F17"/>
    <w:rsid w:val="006371A2"/>
    <w:rsid w:val="00642A06"/>
    <w:rsid w:val="00642D7B"/>
    <w:rsid w:val="00642EA4"/>
    <w:rsid w:val="006448DE"/>
    <w:rsid w:val="00645B3D"/>
    <w:rsid w:val="006476AD"/>
    <w:rsid w:val="006517EE"/>
    <w:rsid w:val="0065217E"/>
    <w:rsid w:val="0065245E"/>
    <w:rsid w:val="00654892"/>
    <w:rsid w:val="006557D7"/>
    <w:rsid w:val="00656805"/>
    <w:rsid w:val="00656F56"/>
    <w:rsid w:val="0066110D"/>
    <w:rsid w:val="00661154"/>
    <w:rsid w:val="00665D6B"/>
    <w:rsid w:val="0067082B"/>
    <w:rsid w:val="00671557"/>
    <w:rsid w:val="006723D9"/>
    <w:rsid w:val="006728E4"/>
    <w:rsid w:val="006755E3"/>
    <w:rsid w:val="00676A46"/>
    <w:rsid w:val="00677075"/>
    <w:rsid w:val="00684C84"/>
    <w:rsid w:val="00684F4E"/>
    <w:rsid w:val="00686433"/>
    <w:rsid w:val="006905B8"/>
    <w:rsid w:val="006907A8"/>
    <w:rsid w:val="0069083D"/>
    <w:rsid w:val="00690B22"/>
    <w:rsid w:val="006920E8"/>
    <w:rsid w:val="006935FD"/>
    <w:rsid w:val="006973F3"/>
    <w:rsid w:val="006A2193"/>
    <w:rsid w:val="006A34D8"/>
    <w:rsid w:val="006A4209"/>
    <w:rsid w:val="006A4457"/>
    <w:rsid w:val="006A44E5"/>
    <w:rsid w:val="006A6436"/>
    <w:rsid w:val="006A64A2"/>
    <w:rsid w:val="006B0168"/>
    <w:rsid w:val="006B0435"/>
    <w:rsid w:val="006B2CE0"/>
    <w:rsid w:val="006B6A49"/>
    <w:rsid w:val="006C2827"/>
    <w:rsid w:val="006C38EE"/>
    <w:rsid w:val="006C4473"/>
    <w:rsid w:val="006D0E1B"/>
    <w:rsid w:val="006D2171"/>
    <w:rsid w:val="006D2534"/>
    <w:rsid w:val="006D55F7"/>
    <w:rsid w:val="006D5C48"/>
    <w:rsid w:val="006D60A4"/>
    <w:rsid w:val="006D67E3"/>
    <w:rsid w:val="006D6863"/>
    <w:rsid w:val="006D6D06"/>
    <w:rsid w:val="006E2AF7"/>
    <w:rsid w:val="006E2F7B"/>
    <w:rsid w:val="006E66A9"/>
    <w:rsid w:val="006F0057"/>
    <w:rsid w:val="006F25AB"/>
    <w:rsid w:val="006F37CB"/>
    <w:rsid w:val="006F532E"/>
    <w:rsid w:val="006F54DC"/>
    <w:rsid w:val="006F5D58"/>
    <w:rsid w:val="006F7430"/>
    <w:rsid w:val="006F7884"/>
    <w:rsid w:val="007001D7"/>
    <w:rsid w:val="00700B80"/>
    <w:rsid w:val="00705D54"/>
    <w:rsid w:val="007118DE"/>
    <w:rsid w:val="00712D53"/>
    <w:rsid w:val="00713E27"/>
    <w:rsid w:val="00714CD3"/>
    <w:rsid w:val="007179C6"/>
    <w:rsid w:val="007211B0"/>
    <w:rsid w:val="00721EF9"/>
    <w:rsid w:val="00722640"/>
    <w:rsid w:val="00724E30"/>
    <w:rsid w:val="00725CB4"/>
    <w:rsid w:val="00730C02"/>
    <w:rsid w:val="00733C78"/>
    <w:rsid w:val="00734740"/>
    <w:rsid w:val="00736A19"/>
    <w:rsid w:val="00737DAD"/>
    <w:rsid w:val="00742354"/>
    <w:rsid w:val="00744586"/>
    <w:rsid w:val="007466BB"/>
    <w:rsid w:val="00747C4D"/>
    <w:rsid w:val="007503A3"/>
    <w:rsid w:val="00751530"/>
    <w:rsid w:val="00751CA4"/>
    <w:rsid w:val="00751EC9"/>
    <w:rsid w:val="00754347"/>
    <w:rsid w:val="00754A9B"/>
    <w:rsid w:val="00757803"/>
    <w:rsid w:val="00761CA2"/>
    <w:rsid w:val="0076353F"/>
    <w:rsid w:val="00766379"/>
    <w:rsid w:val="007668E7"/>
    <w:rsid w:val="00766D00"/>
    <w:rsid w:val="00771C8F"/>
    <w:rsid w:val="007761AF"/>
    <w:rsid w:val="00776A56"/>
    <w:rsid w:val="00776B78"/>
    <w:rsid w:val="00777116"/>
    <w:rsid w:val="00777130"/>
    <w:rsid w:val="00781D46"/>
    <w:rsid w:val="00784049"/>
    <w:rsid w:val="00784768"/>
    <w:rsid w:val="00785D62"/>
    <w:rsid w:val="00786B81"/>
    <w:rsid w:val="0078770F"/>
    <w:rsid w:val="007904FB"/>
    <w:rsid w:val="00791675"/>
    <w:rsid w:val="00791762"/>
    <w:rsid w:val="007958D7"/>
    <w:rsid w:val="007978E9"/>
    <w:rsid w:val="007A26F7"/>
    <w:rsid w:val="007A4AF3"/>
    <w:rsid w:val="007A7284"/>
    <w:rsid w:val="007B0BE6"/>
    <w:rsid w:val="007B75FF"/>
    <w:rsid w:val="007B7958"/>
    <w:rsid w:val="007C147B"/>
    <w:rsid w:val="007C3B8E"/>
    <w:rsid w:val="007C6670"/>
    <w:rsid w:val="007C6ED3"/>
    <w:rsid w:val="007D0DE6"/>
    <w:rsid w:val="007D1FE6"/>
    <w:rsid w:val="007D226C"/>
    <w:rsid w:val="007D258C"/>
    <w:rsid w:val="007D2A03"/>
    <w:rsid w:val="007D2B50"/>
    <w:rsid w:val="007D347C"/>
    <w:rsid w:val="007D3528"/>
    <w:rsid w:val="007D3C9A"/>
    <w:rsid w:val="007D5BD1"/>
    <w:rsid w:val="007D6766"/>
    <w:rsid w:val="007D77B7"/>
    <w:rsid w:val="007E04AF"/>
    <w:rsid w:val="007E0DB2"/>
    <w:rsid w:val="007E0ED3"/>
    <w:rsid w:val="007E34BB"/>
    <w:rsid w:val="007E5D07"/>
    <w:rsid w:val="007E5DB8"/>
    <w:rsid w:val="007E5ED1"/>
    <w:rsid w:val="007F0DF6"/>
    <w:rsid w:val="007F15DF"/>
    <w:rsid w:val="007F2ABE"/>
    <w:rsid w:val="007F2C17"/>
    <w:rsid w:val="007F34CC"/>
    <w:rsid w:val="007F493F"/>
    <w:rsid w:val="007F5933"/>
    <w:rsid w:val="007F6E7F"/>
    <w:rsid w:val="00802490"/>
    <w:rsid w:val="00803D9E"/>
    <w:rsid w:val="00807B3E"/>
    <w:rsid w:val="00807C96"/>
    <w:rsid w:val="00813471"/>
    <w:rsid w:val="0081623A"/>
    <w:rsid w:val="008222ED"/>
    <w:rsid w:val="0082527A"/>
    <w:rsid w:val="0082531C"/>
    <w:rsid w:val="00826942"/>
    <w:rsid w:val="00831A82"/>
    <w:rsid w:val="008343C0"/>
    <w:rsid w:val="00834FF8"/>
    <w:rsid w:val="00835A3F"/>
    <w:rsid w:val="00836B0F"/>
    <w:rsid w:val="00837913"/>
    <w:rsid w:val="00841933"/>
    <w:rsid w:val="00841DB7"/>
    <w:rsid w:val="0084229B"/>
    <w:rsid w:val="008424AC"/>
    <w:rsid w:val="00842FF4"/>
    <w:rsid w:val="00845E8E"/>
    <w:rsid w:val="008472AF"/>
    <w:rsid w:val="008500AD"/>
    <w:rsid w:val="00850C74"/>
    <w:rsid w:val="00850CFF"/>
    <w:rsid w:val="00851DC8"/>
    <w:rsid w:val="0085507A"/>
    <w:rsid w:val="00857719"/>
    <w:rsid w:val="008606FD"/>
    <w:rsid w:val="00860A43"/>
    <w:rsid w:val="008618BD"/>
    <w:rsid w:val="00862565"/>
    <w:rsid w:val="008625B6"/>
    <w:rsid w:val="00863A9C"/>
    <w:rsid w:val="00864B32"/>
    <w:rsid w:val="00864CAB"/>
    <w:rsid w:val="008650E4"/>
    <w:rsid w:val="0086607A"/>
    <w:rsid w:val="008669F4"/>
    <w:rsid w:val="00867F3A"/>
    <w:rsid w:val="00876E9F"/>
    <w:rsid w:val="00881ACF"/>
    <w:rsid w:val="0088751B"/>
    <w:rsid w:val="0088780A"/>
    <w:rsid w:val="00890DAF"/>
    <w:rsid w:val="00891325"/>
    <w:rsid w:val="008918FC"/>
    <w:rsid w:val="00891F85"/>
    <w:rsid w:val="00892D59"/>
    <w:rsid w:val="0089791E"/>
    <w:rsid w:val="00897D73"/>
    <w:rsid w:val="008A4248"/>
    <w:rsid w:val="008A6FE3"/>
    <w:rsid w:val="008A7507"/>
    <w:rsid w:val="008B0EDD"/>
    <w:rsid w:val="008B2A54"/>
    <w:rsid w:val="008B46BA"/>
    <w:rsid w:val="008C09F2"/>
    <w:rsid w:val="008C1637"/>
    <w:rsid w:val="008C1C2D"/>
    <w:rsid w:val="008C31C3"/>
    <w:rsid w:val="008C3EA7"/>
    <w:rsid w:val="008C42FD"/>
    <w:rsid w:val="008C55D9"/>
    <w:rsid w:val="008C6256"/>
    <w:rsid w:val="008C6C84"/>
    <w:rsid w:val="008D0D95"/>
    <w:rsid w:val="008D1383"/>
    <w:rsid w:val="008D258E"/>
    <w:rsid w:val="008D285C"/>
    <w:rsid w:val="008D3D5A"/>
    <w:rsid w:val="008D4253"/>
    <w:rsid w:val="008D5278"/>
    <w:rsid w:val="008D545B"/>
    <w:rsid w:val="008D56B9"/>
    <w:rsid w:val="008D6C02"/>
    <w:rsid w:val="008D7ACB"/>
    <w:rsid w:val="008E0540"/>
    <w:rsid w:val="008E14FA"/>
    <w:rsid w:val="008E1BF2"/>
    <w:rsid w:val="008E334E"/>
    <w:rsid w:val="008E54CF"/>
    <w:rsid w:val="008E5669"/>
    <w:rsid w:val="008E692A"/>
    <w:rsid w:val="008F0F49"/>
    <w:rsid w:val="008F1487"/>
    <w:rsid w:val="008F36D9"/>
    <w:rsid w:val="008F67D3"/>
    <w:rsid w:val="00900B0D"/>
    <w:rsid w:val="0090193F"/>
    <w:rsid w:val="009032D3"/>
    <w:rsid w:val="00903726"/>
    <w:rsid w:val="00903855"/>
    <w:rsid w:val="009040DF"/>
    <w:rsid w:val="00906570"/>
    <w:rsid w:val="009065E7"/>
    <w:rsid w:val="00906736"/>
    <w:rsid w:val="00910108"/>
    <w:rsid w:val="00911B4A"/>
    <w:rsid w:val="0091265E"/>
    <w:rsid w:val="00913F37"/>
    <w:rsid w:val="009206A6"/>
    <w:rsid w:val="00920FCF"/>
    <w:rsid w:val="00922238"/>
    <w:rsid w:val="009235CD"/>
    <w:rsid w:val="00924AFE"/>
    <w:rsid w:val="009307C1"/>
    <w:rsid w:val="00932B82"/>
    <w:rsid w:val="00933597"/>
    <w:rsid w:val="009337F1"/>
    <w:rsid w:val="00933A32"/>
    <w:rsid w:val="00933F36"/>
    <w:rsid w:val="0093471D"/>
    <w:rsid w:val="009360D4"/>
    <w:rsid w:val="00941D1A"/>
    <w:rsid w:val="00942BF2"/>
    <w:rsid w:val="00944533"/>
    <w:rsid w:val="00944E4F"/>
    <w:rsid w:val="00946AFA"/>
    <w:rsid w:val="00950C25"/>
    <w:rsid w:val="00950D51"/>
    <w:rsid w:val="00951305"/>
    <w:rsid w:val="0095232B"/>
    <w:rsid w:val="00953484"/>
    <w:rsid w:val="00956F86"/>
    <w:rsid w:val="00957D1E"/>
    <w:rsid w:val="009601E9"/>
    <w:rsid w:val="00960759"/>
    <w:rsid w:val="00962F22"/>
    <w:rsid w:val="00963AA4"/>
    <w:rsid w:val="00963E5A"/>
    <w:rsid w:val="00964C3C"/>
    <w:rsid w:val="00965C8F"/>
    <w:rsid w:val="00971566"/>
    <w:rsid w:val="0097189C"/>
    <w:rsid w:val="00972A7B"/>
    <w:rsid w:val="00972CBC"/>
    <w:rsid w:val="00975741"/>
    <w:rsid w:val="00976DAB"/>
    <w:rsid w:val="00981432"/>
    <w:rsid w:val="00981516"/>
    <w:rsid w:val="009827C9"/>
    <w:rsid w:val="00982A28"/>
    <w:rsid w:val="00984F99"/>
    <w:rsid w:val="00986A11"/>
    <w:rsid w:val="0099005B"/>
    <w:rsid w:val="009905CA"/>
    <w:rsid w:val="00990A6F"/>
    <w:rsid w:val="00994674"/>
    <w:rsid w:val="00994B25"/>
    <w:rsid w:val="00994D2A"/>
    <w:rsid w:val="009951BC"/>
    <w:rsid w:val="009A2853"/>
    <w:rsid w:val="009A2B19"/>
    <w:rsid w:val="009A38D3"/>
    <w:rsid w:val="009A778A"/>
    <w:rsid w:val="009A7F29"/>
    <w:rsid w:val="009B035A"/>
    <w:rsid w:val="009B1FCA"/>
    <w:rsid w:val="009B2BD2"/>
    <w:rsid w:val="009B328A"/>
    <w:rsid w:val="009B4989"/>
    <w:rsid w:val="009B513B"/>
    <w:rsid w:val="009C1325"/>
    <w:rsid w:val="009C1D1F"/>
    <w:rsid w:val="009C4703"/>
    <w:rsid w:val="009C487F"/>
    <w:rsid w:val="009C6243"/>
    <w:rsid w:val="009C7AF7"/>
    <w:rsid w:val="009D0485"/>
    <w:rsid w:val="009D748D"/>
    <w:rsid w:val="009D7C61"/>
    <w:rsid w:val="009E095D"/>
    <w:rsid w:val="009E1DF8"/>
    <w:rsid w:val="009E2872"/>
    <w:rsid w:val="009E44BF"/>
    <w:rsid w:val="009E469C"/>
    <w:rsid w:val="009F3379"/>
    <w:rsid w:val="009F37C9"/>
    <w:rsid w:val="009F661E"/>
    <w:rsid w:val="009F6DB1"/>
    <w:rsid w:val="009F792D"/>
    <w:rsid w:val="00A001CE"/>
    <w:rsid w:val="00A01CF3"/>
    <w:rsid w:val="00A025E8"/>
    <w:rsid w:val="00A02E52"/>
    <w:rsid w:val="00A045A6"/>
    <w:rsid w:val="00A064EC"/>
    <w:rsid w:val="00A10BA8"/>
    <w:rsid w:val="00A10BD2"/>
    <w:rsid w:val="00A12EF7"/>
    <w:rsid w:val="00A13052"/>
    <w:rsid w:val="00A13447"/>
    <w:rsid w:val="00A14903"/>
    <w:rsid w:val="00A14CEE"/>
    <w:rsid w:val="00A1521F"/>
    <w:rsid w:val="00A15C32"/>
    <w:rsid w:val="00A1610D"/>
    <w:rsid w:val="00A16323"/>
    <w:rsid w:val="00A16BF5"/>
    <w:rsid w:val="00A16CCA"/>
    <w:rsid w:val="00A21403"/>
    <w:rsid w:val="00A2159E"/>
    <w:rsid w:val="00A233EC"/>
    <w:rsid w:val="00A24E1B"/>
    <w:rsid w:val="00A24F29"/>
    <w:rsid w:val="00A2571C"/>
    <w:rsid w:val="00A2696B"/>
    <w:rsid w:val="00A27FA6"/>
    <w:rsid w:val="00A308D6"/>
    <w:rsid w:val="00A317FC"/>
    <w:rsid w:val="00A35E70"/>
    <w:rsid w:val="00A40855"/>
    <w:rsid w:val="00A42B07"/>
    <w:rsid w:val="00A42FC9"/>
    <w:rsid w:val="00A43048"/>
    <w:rsid w:val="00A433D4"/>
    <w:rsid w:val="00A434B3"/>
    <w:rsid w:val="00A453D8"/>
    <w:rsid w:val="00A45CE5"/>
    <w:rsid w:val="00A50BE4"/>
    <w:rsid w:val="00A51139"/>
    <w:rsid w:val="00A53959"/>
    <w:rsid w:val="00A561CD"/>
    <w:rsid w:val="00A625B5"/>
    <w:rsid w:val="00A63CAD"/>
    <w:rsid w:val="00A6650F"/>
    <w:rsid w:val="00A66AD8"/>
    <w:rsid w:val="00A730E8"/>
    <w:rsid w:val="00A733B2"/>
    <w:rsid w:val="00A74A6C"/>
    <w:rsid w:val="00A75D0E"/>
    <w:rsid w:val="00A77F10"/>
    <w:rsid w:val="00A80DFF"/>
    <w:rsid w:val="00A8412A"/>
    <w:rsid w:val="00A845A8"/>
    <w:rsid w:val="00A87536"/>
    <w:rsid w:val="00A87681"/>
    <w:rsid w:val="00A87724"/>
    <w:rsid w:val="00A912D4"/>
    <w:rsid w:val="00A92CE8"/>
    <w:rsid w:val="00A92DB9"/>
    <w:rsid w:val="00A931F7"/>
    <w:rsid w:val="00A9507F"/>
    <w:rsid w:val="00A96137"/>
    <w:rsid w:val="00A965A1"/>
    <w:rsid w:val="00AA2C00"/>
    <w:rsid w:val="00AA3600"/>
    <w:rsid w:val="00AA68B3"/>
    <w:rsid w:val="00AB003B"/>
    <w:rsid w:val="00AB076D"/>
    <w:rsid w:val="00AB1615"/>
    <w:rsid w:val="00AB2E94"/>
    <w:rsid w:val="00AB470A"/>
    <w:rsid w:val="00AB7BA2"/>
    <w:rsid w:val="00AB7DC2"/>
    <w:rsid w:val="00AC0815"/>
    <w:rsid w:val="00AC0C60"/>
    <w:rsid w:val="00AC0F0B"/>
    <w:rsid w:val="00AC1CC9"/>
    <w:rsid w:val="00AC205E"/>
    <w:rsid w:val="00AC24D3"/>
    <w:rsid w:val="00AC28D5"/>
    <w:rsid w:val="00AC352D"/>
    <w:rsid w:val="00AC4AC9"/>
    <w:rsid w:val="00AC577F"/>
    <w:rsid w:val="00AC5C7C"/>
    <w:rsid w:val="00AC60FF"/>
    <w:rsid w:val="00AD1E7C"/>
    <w:rsid w:val="00AD21B4"/>
    <w:rsid w:val="00AD47D9"/>
    <w:rsid w:val="00AD6A12"/>
    <w:rsid w:val="00AD6BDE"/>
    <w:rsid w:val="00AE1EA6"/>
    <w:rsid w:val="00AE357E"/>
    <w:rsid w:val="00AE3CBF"/>
    <w:rsid w:val="00AE4E70"/>
    <w:rsid w:val="00AE634C"/>
    <w:rsid w:val="00AE6398"/>
    <w:rsid w:val="00AE7C09"/>
    <w:rsid w:val="00AF00D4"/>
    <w:rsid w:val="00AF05BB"/>
    <w:rsid w:val="00AF0F40"/>
    <w:rsid w:val="00AF2AC8"/>
    <w:rsid w:val="00AF2B9F"/>
    <w:rsid w:val="00AF308F"/>
    <w:rsid w:val="00AF32D0"/>
    <w:rsid w:val="00AF3D30"/>
    <w:rsid w:val="00AF462B"/>
    <w:rsid w:val="00AF5E40"/>
    <w:rsid w:val="00AF79FB"/>
    <w:rsid w:val="00AF7FB3"/>
    <w:rsid w:val="00B0277B"/>
    <w:rsid w:val="00B030D9"/>
    <w:rsid w:val="00B04423"/>
    <w:rsid w:val="00B05213"/>
    <w:rsid w:val="00B10253"/>
    <w:rsid w:val="00B10533"/>
    <w:rsid w:val="00B1068C"/>
    <w:rsid w:val="00B10FB0"/>
    <w:rsid w:val="00B11BAB"/>
    <w:rsid w:val="00B12F98"/>
    <w:rsid w:val="00B13236"/>
    <w:rsid w:val="00B14C16"/>
    <w:rsid w:val="00B14FFB"/>
    <w:rsid w:val="00B15125"/>
    <w:rsid w:val="00B15F19"/>
    <w:rsid w:val="00B16B45"/>
    <w:rsid w:val="00B17471"/>
    <w:rsid w:val="00B23C5F"/>
    <w:rsid w:val="00B25244"/>
    <w:rsid w:val="00B25C80"/>
    <w:rsid w:val="00B306D3"/>
    <w:rsid w:val="00B30CC6"/>
    <w:rsid w:val="00B30F31"/>
    <w:rsid w:val="00B32A92"/>
    <w:rsid w:val="00B32B23"/>
    <w:rsid w:val="00B32C6B"/>
    <w:rsid w:val="00B35803"/>
    <w:rsid w:val="00B35966"/>
    <w:rsid w:val="00B3733B"/>
    <w:rsid w:val="00B37DBE"/>
    <w:rsid w:val="00B43F3A"/>
    <w:rsid w:val="00B46471"/>
    <w:rsid w:val="00B47C10"/>
    <w:rsid w:val="00B51CE1"/>
    <w:rsid w:val="00B55E0F"/>
    <w:rsid w:val="00B566FB"/>
    <w:rsid w:val="00B57550"/>
    <w:rsid w:val="00B618D4"/>
    <w:rsid w:val="00B62171"/>
    <w:rsid w:val="00B63612"/>
    <w:rsid w:val="00B6534E"/>
    <w:rsid w:val="00B65742"/>
    <w:rsid w:val="00B72DA2"/>
    <w:rsid w:val="00B7751E"/>
    <w:rsid w:val="00B80D73"/>
    <w:rsid w:val="00B815D8"/>
    <w:rsid w:val="00B81B3A"/>
    <w:rsid w:val="00B8363F"/>
    <w:rsid w:val="00B85B46"/>
    <w:rsid w:val="00B860EF"/>
    <w:rsid w:val="00B86FD3"/>
    <w:rsid w:val="00B873B8"/>
    <w:rsid w:val="00B87C4E"/>
    <w:rsid w:val="00B96815"/>
    <w:rsid w:val="00B9743C"/>
    <w:rsid w:val="00BA5B2B"/>
    <w:rsid w:val="00BA6835"/>
    <w:rsid w:val="00BB0955"/>
    <w:rsid w:val="00BB2CA5"/>
    <w:rsid w:val="00BB36B0"/>
    <w:rsid w:val="00BB51A6"/>
    <w:rsid w:val="00BB6AE3"/>
    <w:rsid w:val="00BB77AD"/>
    <w:rsid w:val="00BC10DF"/>
    <w:rsid w:val="00BC1601"/>
    <w:rsid w:val="00BC1D89"/>
    <w:rsid w:val="00BC363A"/>
    <w:rsid w:val="00BC3E07"/>
    <w:rsid w:val="00BC44E6"/>
    <w:rsid w:val="00BC6340"/>
    <w:rsid w:val="00BD1497"/>
    <w:rsid w:val="00BD1D0E"/>
    <w:rsid w:val="00BD7FC2"/>
    <w:rsid w:val="00BE0B33"/>
    <w:rsid w:val="00BE4168"/>
    <w:rsid w:val="00BE41CD"/>
    <w:rsid w:val="00BE6320"/>
    <w:rsid w:val="00BE6F83"/>
    <w:rsid w:val="00BE7D1E"/>
    <w:rsid w:val="00BF02FC"/>
    <w:rsid w:val="00BF35C2"/>
    <w:rsid w:val="00BF6631"/>
    <w:rsid w:val="00BF66E4"/>
    <w:rsid w:val="00C04491"/>
    <w:rsid w:val="00C0559F"/>
    <w:rsid w:val="00C05C9A"/>
    <w:rsid w:val="00C06235"/>
    <w:rsid w:val="00C10C07"/>
    <w:rsid w:val="00C16D89"/>
    <w:rsid w:val="00C17352"/>
    <w:rsid w:val="00C17E89"/>
    <w:rsid w:val="00C20872"/>
    <w:rsid w:val="00C21FB1"/>
    <w:rsid w:val="00C225B1"/>
    <w:rsid w:val="00C22EA6"/>
    <w:rsid w:val="00C2443B"/>
    <w:rsid w:val="00C24628"/>
    <w:rsid w:val="00C25774"/>
    <w:rsid w:val="00C26407"/>
    <w:rsid w:val="00C26DFC"/>
    <w:rsid w:val="00C27410"/>
    <w:rsid w:val="00C31B72"/>
    <w:rsid w:val="00C31DD5"/>
    <w:rsid w:val="00C3212B"/>
    <w:rsid w:val="00C3236C"/>
    <w:rsid w:val="00C3267B"/>
    <w:rsid w:val="00C32AE6"/>
    <w:rsid w:val="00C32F9F"/>
    <w:rsid w:val="00C33F0A"/>
    <w:rsid w:val="00C33F57"/>
    <w:rsid w:val="00C344C0"/>
    <w:rsid w:val="00C374F8"/>
    <w:rsid w:val="00C4057E"/>
    <w:rsid w:val="00C40C2D"/>
    <w:rsid w:val="00C416AD"/>
    <w:rsid w:val="00C419F4"/>
    <w:rsid w:val="00C433DC"/>
    <w:rsid w:val="00C435B8"/>
    <w:rsid w:val="00C46460"/>
    <w:rsid w:val="00C46A6B"/>
    <w:rsid w:val="00C46F5B"/>
    <w:rsid w:val="00C47104"/>
    <w:rsid w:val="00C4715F"/>
    <w:rsid w:val="00C520B5"/>
    <w:rsid w:val="00C529C7"/>
    <w:rsid w:val="00C52E11"/>
    <w:rsid w:val="00C536EB"/>
    <w:rsid w:val="00C53ADA"/>
    <w:rsid w:val="00C5628C"/>
    <w:rsid w:val="00C60820"/>
    <w:rsid w:val="00C61066"/>
    <w:rsid w:val="00C611C8"/>
    <w:rsid w:val="00C62FBA"/>
    <w:rsid w:val="00C632B1"/>
    <w:rsid w:val="00C663FA"/>
    <w:rsid w:val="00C7000A"/>
    <w:rsid w:val="00C700F8"/>
    <w:rsid w:val="00C708F7"/>
    <w:rsid w:val="00C733A5"/>
    <w:rsid w:val="00C73DB6"/>
    <w:rsid w:val="00C76FAD"/>
    <w:rsid w:val="00C802EB"/>
    <w:rsid w:val="00C8223F"/>
    <w:rsid w:val="00C83094"/>
    <w:rsid w:val="00C842C7"/>
    <w:rsid w:val="00C845E5"/>
    <w:rsid w:val="00C85478"/>
    <w:rsid w:val="00C85C1F"/>
    <w:rsid w:val="00C8626E"/>
    <w:rsid w:val="00C8739D"/>
    <w:rsid w:val="00C90BF8"/>
    <w:rsid w:val="00C9191F"/>
    <w:rsid w:val="00C91FD8"/>
    <w:rsid w:val="00C931E2"/>
    <w:rsid w:val="00C94F7D"/>
    <w:rsid w:val="00C96492"/>
    <w:rsid w:val="00C970FF"/>
    <w:rsid w:val="00CA0AA8"/>
    <w:rsid w:val="00CA0C46"/>
    <w:rsid w:val="00CA7126"/>
    <w:rsid w:val="00CB1ED3"/>
    <w:rsid w:val="00CB23CB"/>
    <w:rsid w:val="00CB3227"/>
    <w:rsid w:val="00CB5F72"/>
    <w:rsid w:val="00CB6787"/>
    <w:rsid w:val="00CB78E7"/>
    <w:rsid w:val="00CC34A4"/>
    <w:rsid w:val="00CD0E2E"/>
    <w:rsid w:val="00CD5BF8"/>
    <w:rsid w:val="00CD60DD"/>
    <w:rsid w:val="00CD78CB"/>
    <w:rsid w:val="00CD7EF2"/>
    <w:rsid w:val="00CE0529"/>
    <w:rsid w:val="00CE20C3"/>
    <w:rsid w:val="00CE3B3C"/>
    <w:rsid w:val="00CE5178"/>
    <w:rsid w:val="00CE607B"/>
    <w:rsid w:val="00CE62A2"/>
    <w:rsid w:val="00CF11C0"/>
    <w:rsid w:val="00CF140E"/>
    <w:rsid w:val="00CF340B"/>
    <w:rsid w:val="00CF3A49"/>
    <w:rsid w:val="00CF3A74"/>
    <w:rsid w:val="00CF528A"/>
    <w:rsid w:val="00D001BD"/>
    <w:rsid w:val="00D03620"/>
    <w:rsid w:val="00D037DA"/>
    <w:rsid w:val="00D05C6C"/>
    <w:rsid w:val="00D1024E"/>
    <w:rsid w:val="00D12FE4"/>
    <w:rsid w:val="00D13CFD"/>
    <w:rsid w:val="00D1404E"/>
    <w:rsid w:val="00D140F2"/>
    <w:rsid w:val="00D203DA"/>
    <w:rsid w:val="00D2134C"/>
    <w:rsid w:val="00D21910"/>
    <w:rsid w:val="00D21B1F"/>
    <w:rsid w:val="00D23496"/>
    <w:rsid w:val="00D25AA5"/>
    <w:rsid w:val="00D321BB"/>
    <w:rsid w:val="00D33657"/>
    <w:rsid w:val="00D378E9"/>
    <w:rsid w:val="00D37DEE"/>
    <w:rsid w:val="00D40EDC"/>
    <w:rsid w:val="00D41647"/>
    <w:rsid w:val="00D472F3"/>
    <w:rsid w:val="00D50FCA"/>
    <w:rsid w:val="00D5128F"/>
    <w:rsid w:val="00D52419"/>
    <w:rsid w:val="00D5254A"/>
    <w:rsid w:val="00D53F45"/>
    <w:rsid w:val="00D56F7B"/>
    <w:rsid w:val="00D6053A"/>
    <w:rsid w:val="00D61073"/>
    <w:rsid w:val="00D62DC7"/>
    <w:rsid w:val="00D6437E"/>
    <w:rsid w:val="00D645EC"/>
    <w:rsid w:val="00D705AC"/>
    <w:rsid w:val="00D72E26"/>
    <w:rsid w:val="00D77E4E"/>
    <w:rsid w:val="00D80051"/>
    <w:rsid w:val="00D818F2"/>
    <w:rsid w:val="00D81EF9"/>
    <w:rsid w:val="00D820EA"/>
    <w:rsid w:val="00D8278A"/>
    <w:rsid w:val="00D836B4"/>
    <w:rsid w:val="00D8552F"/>
    <w:rsid w:val="00D86D71"/>
    <w:rsid w:val="00D90431"/>
    <w:rsid w:val="00D92BFE"/>
    <w:rsid w:val="00D92CB6"/>
    <w:rsid w:val="00D92F12"/>
    <w:rsid w:val="00D948EB"/>
    <w:rsid w:val="00D9509A"/>
    <w:rsid w:val="00D953C2"/>
    <w:rsid w:val="00D9721F"/>
    <w:rsid w:val="00D975E5"/>
    <w:rsid w:val="00DA20E1"/>
    <w:rsid w:val="00DA50DF"/>
    <w:rsid w:val="00DA6292"/>
    <w:rsid w:val="00DB0C9E"/>
    <w:rsid w:val="00DB2429"/>
    <w:rsid w:val="00DB2A65"/>
    <w:rsid w:val="00DB55DA"/>
    <w:rsid w:val="00DB7028"/>
    <w:rsid w:val="00DC051B"/>
    <w:rsid w:val="00DC15BE"/>
    <w:rsid w:val="00DC1D53"/>
    <w:rsid w:val="00DC1DEB"/>
    <w:rsid w:val="00DC324A"/>
    <w:rsid w:val="00DC488A"/>
    <w:rsid w:val="00DC7543"/>
    <w:rsid w:val="00DD118F"/>
    <w:rsid w:val="00DD2205"/>
    <w:rsid w:val="00DD2972"/>
    <w:rsid w:val="00DD41A5"/>
    <w:rsid w:val="00DD4AD4"/>
    <w:rsid w:val="00DE186B"/>
    <w:rsid w:val="00DE1888"/>
    <w:rsid w:val="00DE1BEC"/>
    <w:rsid w:val="00DE257F"/>
    <w:rsid w:val="00DE2EBB"/>
    <w:rsid w:val="00DE4304"/>
    <w:rsid w:val="00DE46AF"/>
    <w:rsid w:val="00DE6807"/>
    <w:rsid w:val="00DE7843"/>
    <w:rsid w:val="00DF066B"/>
    <w:rsid w:val="00DF223E"/>
    <w:rsid w:val="00DF261C"/>
    <w:rsid w:val="00DF2E5C"/>
    <w:rsid w:val="00DF3F37"/>
    <w:rsid w:val="00DF43BC"/>
    <w:rsid w:val="00DF55F5"/>
    <w:rsid w:val="00DF63DD"/>
    <w:rsid w:val="00DF7E4A"/>
    <w:rsid w:val="00E011EC"/>
    <w:rsid w:val="00E017AC"/>
    <w:rsid w:val="00E01900"/>
    <w:rsid w:val="00E023C6"/>
    <w:rsid w:val="00E02EE9"/>
    <w:rsid w:val="00E03693"/>
    <w:rsid w:val="00E04297"/>
    <w:rsid w:val="00E04D6F"/>
    <w:rsid w:val="00E06AC9"/>
    <w:rsid w:val="00E0735C"/>
    <w:rsid w:val="00E0796A"/>
    <w:rsid w:val="00E11A60"/>
    <w:rsid w:val="00E1343A"/>
    <w:rsid w:val="00E159DF"/>
    <w:rsid w:val="00E1659E"/>
    <w:rsid w:val="00E20E00"/>
    <w:rsid w:val="00E20EC3"/>
    <w:rsid w:val="00E20F19"/>
    <w:rsid w:val="00E21114"/>
    <w:rsid w:val="00E2357A"/>
    <w:rsid w:val="00E2442C"/>
    <w:rsid w:val="00E3033A"/>
    <w:rsid w:val="00E31927"/>
    <w:rsid w:val="00E3301B"/>
    <w:rsid w:val="00E33BC9"/>
    <w:rsid w:val="00E35CEF"/>
    <w:rsid w:val="00E3709A"/>
    <w:rsid w:val="00E37B6C"/>
    <w:rsid w:val="00E37F6B"/>
    <w:rsid w:val="00E40881"/>
    <w:rsid w:val="00E419A1"/>
    <w:rsid w:val="00E42284"/>
    <w:rsid w:val="00E459F3"/>
    <w:rsid w:val="00E508A4"/>
    <w:rsid w:val="00E50B32"/>
    <w:rsid w:val="00E5379C"/>
    <w:rsid w:val="00E54520"/>
    <w:rsid w:val="00E5564A"/>
    <w:rsid w:val="00E56D54"/>
    <w:rsid w:val="00E56FB8"/>
    <w:rsid w:val="00E5754C"/>
    <w:rsid w:val="00E57777"/>
    <w:rsid w:val="00E6138A"/>
    <w:rsid w:val="00E61911"/>
    <w:rsid w:val="00E62333"/>
    <w:rsid w:val="00E631AD"/>
    <w:rsid w:val="00E631D3"/>
    <w:rsid w:val="00E63798"/>
    <w:rsid w:val="00E63811"/>
    <w:rsid w:val="00E65A92"/>
    <w:rsid w:val="00E70459"/>
    <w:rsid w:val="00E74158"/>
    <w:rsid w:val="00E776CD"/>
    <w:rsid w:val="00E80C3B"/>
    <w:rsid w:val="00E81124"/>
    <w:rsid w:val="00E83F39"/>
    <w:rsid w:val="00E847B7"/>
    <w:rsid w:val="00E85465"/>
    <w:rsid w:val="00E85F38"/>
    <w:rsid w:val="00E86ED4"/>
    <w:rsid w:val="00E90884"/>
    <w:rsid w:val="00E91D04"/>
    <w:rsid w:val="00E92C83"/>
    <w:rsid w:val="00E9443F"/>
    <w:rsid w:val="00E95720"/>
    <w:rsid w:val="00E959AE"/>
    <w:rsid w:val="00E95A22"/>
    <w:rsid w:val="00EA05C9"/>
    <w:rsid w:val="00EA1035"/>
    <w:rsid w:val="00EA2CD3"/>
    <w:rsid w:val="00EA4C55"/>
    <w:rsid w:val="00EA6924"/>
    <w:rsid w:val="00EA6D8B"/>
    <w:rsid w:val="00EB0151"/>
    <w:rsid w:val="00EB079C"/>
    <w:rsid w:val="00EB124E"/>
    <w:rsid w:val="00EB4519"/>
    <w:rsid w:val="00EB46CF"/>
    <w:rsid w:val="00EB5EB9"/>
    <w:rsid w:val="00EB6B94"/>
    <w:rsid w:val="00EB6E51"/>
    <w:rsid w:val="00EC05EB"/>
    <w:rsid w:val="00EC1565"/>
    <w:rsid w:val="00EC15E8"/>
    <w:rsid w:val="00EC3160"/>
    <w:rsid w:val="00EC40A1"/>
    <w:rsid w:val="00EC434A"/>
    <w:rsid w:val="00EC6272"/>
    <w:rsid w:val="00EC7EB6"/>
    <w:rsid w:val="00ED23CE"/>
    <w:rsid w:val="00ED3AEF"/>
    <w:rsid w:val="00ED3B99"/>
    <w:rsid w:val="00ED42B7"/>
    <w:rsid w:val="00ED71B2"/>
    <w:rsid w:val="00EE31EB"/>
    <w:rsid w:val="00EE34B3"/>
    <w:rsid w:val="00EE3D7C"/>
    <w:rsid w:val="00EE54E9"/>
    <w:rsid w:val="00EE698A"/>
    <w:rsid w:val="00EF0471"/>
    <w:rsid w:val="00EF1103"/>
    <w:rsid w:val="00EF1909"/>
    <w:rsid w:val="00EF2211"/>
    <w:rsid w:val="00EF2E3B"/>
    <w:rsid w:val="00EF4291"/>
    <w:rsid w:val="00EF4544"/>
    <w:rsid w:val="00EF6F04"/>
    <w:rsid w:val="00F006BE"/>
    <w:rsid w:val="00F00794"/>
    <w:rsid w:val="00F01F23"/>
    <w:rsid w:val="00F0216D"/>
    <w:rsid w:val="00F02AD8"/>
    <w:rsid w:val="00F077DD"/>
    <w:rsid w:val="00F07D21"/>
    <w:rsid w:val="00F11118"/>
    <w:rsid w:val="00F12373"/>
    <w:rsid w:val="00F12CE3"/>
    <w:rsid w:val="00F13C76"/>
    <w:rsid w:val="00F142E7"/>
    <w:rsid w:val="00F16A4E"/>
    <w:rsid w:val="00F1785A"/>
    <w:rsid w:val="00F20CCE"/>
    <w:rsid w:val="00F20CDB"/>
    <w:rsid w:val="00F21C3C"/>
    <w:rsid w:val="00F22CF6"/>
    <w:rsid w:val="00F3030D"/>
    <w:rsid w:val="00F3167F"/>
    <w:rsid w:val="00F31FAF"/>
    <w:rsid w:val="00F32298"/>
    <w:rsid w:val="00F326BC"/>
    <w:rsid w:val="00F33FFC"/>
    <w:rsid w:val="00F36432"/>
    <w:rsid w:val="00F371CD"/>
    <w:rsid w:val="00F37B43"/>
    <w:rsid w:val="00F411F1"/>
    <w:rsid w:val="00F4136F"/>
    <w:rsid w:val="00F43CF4"/>
    <w:rsid w:val="00F44ACE"/>
    <w:rsid w:val="00F45F28"/>
    <w:rsid w:val="00F47CE2"/>
    <w:rsid w:val="00F5278F"/>
    <w:rsid w:val="00F528DE"/>
    <w:rsid w:val="00F54001"/>
    <w:rsid w:val="00F542A2"/>
    <w:rsid w:val="00F54331"/>
    <w:rsid w:val="00F55A8F"/>
    <w:rsid w:val="00F56EF8"/>
    <w:rsid w:val="00F575B6"/>
    <w:rsid w:val="00F57C14"/>
    <w:rsid w:val="00F57C80"/>
    <w:rsid w:val="00F60036"/>
    <w:rsid w:val="00F60307"/>
    <w:rsid w:val="00F62411"/>
    <w:rsid w:val="00F67533"/>
    <w:rsid w:val="00F704CC"/>
    <w:rsid w:val="00F718C1"/>
    <w:rsid w:val="00F71F2F"/>
    <w:rsid w:val="00F7356C"/>
    <w:rsid w:val="00F74268"/>
    <w:rsid w:val="00F74301"/>
    <w:rsid w:val="00F756CF"/>
    <w:rsid w:val="00F77A36"/>
    <w:rsid w:val="00F82B62"/>
    <w:rsid w:val="00F83371"/>
    <w:rsid w:val="00F84139"/>
    <w:rsid w:val="00F84EC0"/>
    <w:rsid w:val="00F856A2"/>
    <w:rsid w:val="00F8574C"/>
    <w:rsid w:val="00F86AAD"/>
    <w:rsid w:val="00F878C7"/>
    <w:rsid w:val="00F878FC"/>
    <w:rsid w:val="00F91312"/>
    <w:rsid w:val="00F930E7"/>
    <w:rsid w:val="00F940BE"/>
    <w:rsid w:val="00F97549"/>
    <w:rsid w:val="00FA1A02"/>
    <w:rsid w:val="00FA1BBE"/>
    <w:rsid w:val="00FA2DD7"/>
    <w:rsid w:val="00FA4124"/>
    <w:rsid w:val="00FA4FAC"/>
    <w:rsid w:val="00FA54D4"/>
    <w:rsid w:val="00FA5665"/>
    <w:rsid w:val="00FA76DA"/>
    <w:rsid w:val="00FA7BDB"/>
    <w:rsid w:val="00FB0998"/>
    <w:rsid w:val="00FB166C"/>
    <w:rsid w:val="00FB289B"/>
    <w:rsid w:val="00FB51EB"/>
    <w:rsid w:val="00FB58E0"/>
    <w:rsid w:val="00FC4487"/>
    <w:rsid w:val="00FC4BA9"/>
    <w:rsid w:val="00FC545A"/>
    <w:rsid w:val="00FD263F"/>
    <w:rsid w:val="00FD2CCE"/>
    <w:rsid w:val="00FD2DB8"/>
    <w:rsid w:val="00FD447A"/>
    <w:rsid w:val="00FD5161"/>
    <w:rsid w:val="00FD593F"/>
    <w:rsid w:val="00FD7783"/>
    <w:rsid w:val="00FE0B1B"/>
    <w:rsid w:val="00FE10BC"/>
    <w:rsid w:val="00FE12C3"/>
    <w:rsid w:val="00FE2158"/>
    <w:rsid w:val="00FE4794"/>
    <w:rsid w:val="00FE4BA1"/>
    <w:rsid w:val="00FE5BE4"/>
    <w:rsid w:val="00FE6847"/>
    <w:rsid w:val="00FE6B1C"/>
    <w:rsid w:val="00FE7173"/>
    <w:rsid w:val="00FF05F1"/>
    <w:rsid w:val="00FF1A2D"/>
    <w:rsid w:val="00FF23D2"/>
    <w:rsid w:val="00FF2F7F"/>
    <w:rsid w:val="00FF3E91"/>
    <w:rsid w:val="00FF464F"/>
    <w:rsid w:val="00FF623A"/>
    <w:rsid w:val="00FF6ADB"/>
    <w:rsid w:val="0192F277"/>
    <w:rsid w:val="01E72AB0"/>
    <w:rsid w:val="0234A5A2"/>
    <w:rsid w:val="041FB0C9"/>
    <w:rsid w:val="0551FF90"/>
    <w:rsid w:val="06A65A78"/>
    <w:rsid w:val="06F9E4E1"/>
    <w:rsid w:val="07A5D9C8"/>
    <w:rsid w:val="081CB958"/>
    <w:rsid w:val="092DF6FD"/>
    <w:rsid w:val="0B147266"/>
    <w:rsid w:val="0B830F4F"/>
    <w:rsid w:val="0C609CC6"/>
    <w:rsid w:val="0C800981"/>
    <w:rsid w:val="0D115CEB"/>
    <w:rsid w:val="0E0866ED"/>
    <w:rsid w:val="0EA38FA2"/>
    <w:rsid w:val="0F1697D9"/>
    <w:rsid w:val="0F7FC195"/>
    <w:rsid w:val="108B52D8"/>
    <w:rsid w:val="10B6B149"/>
    <w:rsid w:val="1234AAFD"/>
    <w:rsid w:val="1340C071"/>
    <w:rsid w:val="13F7BCE4"/>
    <w:rsid w:val="155C5684"/>
    <w:rsid w:val="158A5808"/>
    <w:rsid w:val="15E296E8"/>
    <w:rsid w:val="164BDE83"/>
    <w:rsid w:val="16A82420"/>
    <w:rsid w:val="16BD6935"/>
    <w:rsid w:val="18D517E8"/>
    <w:rsid w:val="19B93666"/>
    <w:rsid w:val="1A5F2726"/>
    <w:rsid w:val="1A84524C"/>
    <w:rsid w:val="1AA38280"/>
    <w:rsid w:val="1AC532FD"/>
    <w:rsid w:val="1DE5E380"/>
    <w:rsid w:val="1E5A620E"/>
    <w:rsid w:val="1FDE6AD8"/>
    <w:rsid w:val="1FE12050"/>
    <w:rsid w:val="20B3ADB1"/>
    <w:rsid w:val="2172CA62"/>
    <w:rsid w:val="2321AD82"/>
    <w:rsid w:val="233F83DB"/>
    <w:rsid w:val="238C68A4"/>
    <w:rsid w:val="2407385C"/>
    <w:rsid w:val="240BFDB9"/>
    <w:rsid w:val="25764A20"/>
    <w:rsid w:val="264A696A"/>
    <w:rsid w:val="26C7C029"/>
    <w:rsid w:val="28ADB90C"/>
    <w:rsid w:val="29EA789A"/>
    <w:rsid w:val="2CA0D7BA"/>
    <w:rsid w:val="2ED684A0"/>
    <w:rsid w:val="2F034F51"/>
    <w:rsid w:val="2FB2E086"/>
    <w:rsid w:val="307D1BBA"/>
    <w:rsid w:val="30DDCED9"/>
    <w:rsid w:val="32E40451"/>
    <w:rsid w:val="33D3AD3D"/>
    <w:rsid w:val="364E676A"/>
    <w:rsid w:val="36555BF3"/>
    <w:rsid w:val="36623C8F"/>
    <w:rsid w:val="36C85992"/>
    <w:rsid w:val="37696985"/>
    <w:rsid w:val="382D2AE9"/>
    <w:rsid w:val="3862EEEF"/>
    <w:rsid w:val="38982EEE"/>
    <w:rsid w:val="3A8522D5"/>
    <w:rsid w:val="3AC948E7"/>
    <w:rsid w:val="3C6A39AF"/>
    <w:rsid w:val="3D419B09"/>
    <w:rsid w:val="3EC4D0CF"/>
    <w:rsid w:val="3EE63869"/>
    <w:rsid w:val="3EEAF32E"/>
    <w:rsid w:val="3F4B4309"/>
    <w:rsid w:val="3FB9582A"/>
    <w:rsid w:val="4039B8BE"/>
    <w:rsid w:val="409A9497"/>
    <w:rsid w:val="40C51D8D"/>
    <w:rsid w:val="412FEEC1"/>
    <w:rsid w:val="42B5F0C4"/>
    <w:rsid w:val="42D25C13"/>
    <w:rsid w:val="4331A537"/>
    <w:rsid w:val="441A175C"/>
    <w:rsid w:val="449818DA"/>
    <w:rsid w:val="461B91BB"/>
    <w:rsid w:val="4620B8F1"/>
    <w:rsid w:val="4673F65A"/>
    <w:rsid w:val="46E98B7C"/>
    <w:rsid w:val="484168F0"/>
    <w:rsid w:val="48BB4304"/>
    <w:rsid w:val="48D1ACF7"/>
    <w:rsid w:val="49235845"/>
    <w:rsid w:val="494177D5"/>
    <w:rsid w:val="4A08C7AF"/>
    <w:rsid w:val="4B7C1BEE"/>
    <w:rsid w:val="4BCD3F74"/>
    <w:rsid w:val="4C328F60"/>
    <w:rsid w:val="4DA0EF3A"/>
    <w:rsid w:val="4DA46DA9"/>
    <w:rsid w:val="4DA7482E"/>
    <w:rsid w:val="4E07CADA"/>
    <w:rsid w:val="50410BBE"/>
    <w:rsid w:val="505F855D"/>
    <w:rsid w:val="514D5403"/>
    <w:rsid w:val="527C268C"/>
    <w:rsid w:val="540D0990"/>
    <w:rsid w:val="5422D7EE"/>
    <w:rsid w:val="5446899B"/>
    <w:rsid w:val="54610C2A"/>
    <w:rsid w:val="54764AF3"/>
    <w:rsid w:val="5499FA29"/>
    <w:rsid w:val="5528B6AD"/>
    <w:rsid w:val="559CC24C"/>
    <w:rsid w:val="565EB982"/>
    <w:rsid w:val="57817DC8"/>
    <w:rsid w:val="57D551AE"/>
    <w:rsid w:val="581191C9"/>
    <w:rsid w:val="589D6D4D"/>
    <w:rsid w:val="5980F2D7"/>
    <w:rsid w:val="59A88FBE"/>
    <w:rsid w:val="5A12E620"/>
    <w:rsid w:val="5BBDAC1A"/>
    <w:rsid w:val="5BF46C3F"/>
    <w:rsid w:val="5CD10C22"/>
    <w:rsid w:val="5D07BDE6"/>
    <w:rsid w:val="5E05FD1A"/>
    <w:rsid w:val="5E6CC0BF"/>
    <w:rsid w:val="5E8299B5"/>
    <w:rsid w:val="5FF40D76"/>
    <w:rsid w:val="609A889C"/>
    <w:rsid w:val="6128874C"/>
    <w:rsid w:val="61F8C64B"/>
    <w:rsid w:val="62E969F3"/>
    <w:rsid w:val="6386C4A2"/>
    <w:rsid w:val="654528D3"/>
    <w:rsid w:val="66AFFE27"/>
    <w:rsid w:val="67669AF2"/>
    <w:rsid w:val="68C86DEE"/>
    <w:rsid w:val="698BDD7D"/>
    <w:rsid w:val="6AA7A1A7"/>
    <w:rsid w:val="6AB3729A"/>
    <w:rsid w:val="6BBB32EB"/>
    <w:rsid w:val="6BD8D2AA"/>
    <w:rsid w:val="6E68B71B"/>
    <w:rsid w:val="704D438C"/>
    <w:rsid w:val="70736849"/>
    <w:rsid w:val="72AD5AD4"/>
    <w:rsid w:val="738A534A"/>
    <w:rsid w:val="749BF596"/>
    <w:rsid w:val="753CD7E4"/>
    <w:rsid w:val="753F39E1"/>
    <w:rsid w:val="761EA6E3"/>
    <w:rsid w:val="7678EBC5"/>
    <w:rsid w:val="768BC4CB"/>
    <w:rsid w:val="77791142"/>
    <w:rsid w:val="781151AE"/>
    <w:rsid w:val="78F56418"/>
    <w:rsid w:val="79AFC65B"/>
    <w:rsid w:val="7ADBB32B"/>
    <w:rsid w:val="7AE09FC6"/>
    <w:rsid w:val="7AFB5BBA"/>
    <w:rsid w:val="7B0E8D53"/>
    <w:rsid w:val="7B616BAE"/>
    <w:rsid w:val="7EF89D95"/>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CDFD39"/>
  <w15:chartTrackingRefBased/>
  <w15:docId w15:val="{CE7A0E97-2807-4FFB-90B2-E6E4DEEF5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E18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18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8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8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8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8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8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8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8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8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18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8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8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8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8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8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8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888"/>
    <w:rPr>
      <w:rFonts w:eastAsiaTheme="majorEastAsia" w:cstheme="majorBidi"/>
      <w:color w:val="272727" w:themeColor="text1" w:themeTint="D8"/>
    </w:rPr>
  </w:style>
  <w:style w:type="paragraph" w:styleId="Title">
    <w:name w:val="Title"/>
    <w:basedOn w:val="Normal"/>
    <w:next w:val="Normal"/>
    <w:link w:val="TitleChar"/>
    <w:uiPriority w:val="10"/>
    <w:qFormat/>
    <w:rsid w:val="00DE18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8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8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888"/>
    <w:pPr>
      <w:spacing w:before="160"/>
      <w:jc w:val="center"/>
    </w:pPr>
    <w:rPr>
      <w:i/>
      <w:iCs/>
      <w:color w:val="404040" w:themeColor="text1" w:themeTint="BF"/>
    </w:rPr>
  </w:style>
  <w:style w:type="character" w:customStyle="1" w:styleId="QuoteChar">
    <w:name w:val="Quote Char"/>
    <w:basedOn w:val="DefaultParagraphFont"/>
    <w:link w:val="Quote"/>
    <w:uiPriority w:val="29"/>
    <w:rsid w:val="00DE1888"/>
    <w:rPr>
      <w:i/>
      <w:iCs/>
      <w:color w:val="404040" w:themeColor="text1" w:themeTint="BF"/>
    </w:rPr>
  </w:style>
  <w:style w:type="paragraph" w:styleId="ListParagraph">
    <w:name w:val="List Paragraph"/>
    <w:basedOn w:val="Normal"/>
    <w:uiPriority w:val="34"/>
    <w:qFormat/>
    <w:rsid w:val="00AF79FB"/>
    <w:pPr>
      <w:ind w:left="567"/>
      <w:contextualSpacing/>
    </w:pPr>
  </w:style>
  <w:style w:type="character" w:styleId="IntenseEmphasis">
    <w:name w:val="Intense Emphasis"/>
    <w:basedOn w:val="DefaultParagraphFont"/>
    <w:uiPriority w:val="21"/>
    <w:qFormat/>
    <w:rsid w:val="00DE1888"/>
    <w:rPr>
      <w:i/>
      <w:iCs/>
      <w:color w:val="0F4761" w:themeColor="accent1" w:themeShade="BF"/>
    </w:rPr>
  </w:style>
  <w:style w:type="paragraph" w:styleId="IntenseQuote">
    <w:name w:val="Intense Quote"/>
    <w:basedOn w:val="Normal"/>
    <w:next w:val="Normal"/>
    <w:link w:val="IntenseQuoteChar"/>
    <w:uiPriority w:val="30"/>
    <w:qFormat/>
    <w:rsid w:val="00DE18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888"/>
    <w:rPr>
      <w:i/>
      <w:iCs/>
      <w:color w:val="0F4761" w:themeColor="accent1" w:themeShade="BF"/>
    </w:rPr>
  </w:style>
  <w:style w:type="character" w:styleId="IntenseReference">
    <w:name w:val="Intense Reference"/>
    <w:basedOn w:val="DefaultParagraphFont"/>
    <w:uiPriority w:val="32"/>
    <w:qFormat/>
    <w:rsid w:val="00DE1888"/>
    <w:rPr>
      <w:b/>
      <w:bCs/>
      <w:smallCaps/>
      <w:color w:val="0F4761" w:themeColor="accent1" w:themeShade="BF"/>
      <w:spacing w:val="5"/>
    </w:rPr>
  </w:style>
  <w:style w:type="character" w:customStyle="1" w:styleId="Marker">
    <w:name w:val="Marker"/>
    <w:basedOn w:val="DefaultParagraphFont"/>
    <w:rsid w:val="00DE1888"/>
    <w:rPr>
      <w:color w:val="0000FF"/>
      <w:shd w:val="clear" w:color="auto" w:fill="auto"/>
    </w:rPr>
  </w:style>
  <w:style w:type="paragraph" w:styleId="Header">
    <w:name w:val="header"/>
    <w:basedOn w:val="Normal"/>
    <w:link w:val="HeaderChar"/>
    <w:uiPriority w:val="99"/>
    <w:unhideWhenUsed/>
    <w:rsid w:val="00DE18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888"/>
  </w:style>
  <w:style w:type="paragraph" w:styleId="Footer">
    <w:name w:val="footer"/>
    <w:basedOn w:val="Normal"/>
    <w:link w:val="FooterChar"/>
    <w:uiPriority w:val="99"/>
    <w:unhideWhenUsed/>
    <w:rsid w:val="00DE18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1888"/>
  </w:style>
  <w:style w:type="paragraph" w:customStyle="1" w:styleId="Pagedecouverture">
    <w:name w:val="Page de couverture"/>
    <w:basedOn w:val="Normal"/>
    <w:next w:val="Normal"/>
    <w:rsid w:val="00DE1888"/>
    <w:pPr>
      <w:spacing w:after="0" w:line="240" w:lineRule="auto"/>
      <w:jc w:val="both"/>
    </w:pPr>
    <w:rPr>
      <w:rFonts w:ascii="Times New Roman" w:hAnsi="Times New Roman" w:cs="Times New Roman"/>
      <w:kern w:val="0"/>
      <w:szCs w:val="22"/>
      <w14:ligatures w14:val="none"/>
    </w:rPr>
  </w:style>
  <w:style w:type="paragraph" w:customStyle="1" w:styleId="FooterCoverPage">
    <w:name w:val="Footer Cover Page"/>
    <w:basedOn w:val="Normal"/>
    <w:link w:val="FooterCoverPageChar"/>
    <w:rsid w:val="00DE1888"/>
    <w:pPr>
      <w:tabs>
        <w:tab w:val="center" w:pos="4535"/>
        <w:tab w:val="right" w:pos="9071"/>
        <w:tab w:val="right" w:pos="9921"/>
      </w:tabs>
      <w:spacing w:before="360" w:after="0" w:line="240" w:lineRule="auto"/>
      <w:ind w:left="-850" w:right="-850"/>
    </w:pPr>
    <w:rPr>
      <w:rFonts w:ascii="Times New Roman" w:hAnsi="Times New Roman" w:cs="Times New Roman"/>
    </w:rPr>
  </w:style>
  <w:style w:type="character" w:customStyle="1" w:styleId="FooterCoverPageChar">
    <w:name w:val="Footer Cover Page Char"/>
    <w:basedOn w:val="DefaultParagraphFont"/>
    <w:link w:val="FooterCoverPage"/>
    <w:rsid w:val="00DE1888"/>
    <w:rPr>
      <w:rFonts w:ascii="Times New Roman" w:hAnsi="Times New Roman" w:cs="Times New Roman"/>
    </w:rPr>
  </w:style>
  <w:style w:type="paragraph" w:customStyle="1" w:styleId="FooterSensitivity">
    <w:name w:val="Footer Sensitivity"/>
    <w:basedOn w:val="Normal"/>
    <w:link w:val="FooterSensitivityChar"/>
    <w:rsid w:val="00DE1888"/>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DE1888"/>
    <w:rPr>
      <w:rFonts w:ascii="Times New Roman" w:hAnsi="Times New Roman" w:cs="Times New Roman"/>
      <w:b/>
      <w:sz w:val="32"/>
    </w:rPr>
  </w:style>
  <w:style w:type="paragraph" w:customStyle="1" w:styleId="HeaderCoverPage">
    <w:name w:val="Header Cover Page"/>
    <w:basedOn w:val="Normal"/>
    <w:link w:val="HeaderCoverPageChar"/>
    <w:rsid w:val="00DE1888"/>
    <w:pPr>
      <w:tabs>
        <w:tab w:val="center" w:pos="4535"/>
        <w:tab w:val="right" w:pos="9071"/>
      </w:tabs>
      <w:spacing w:after="120" w:line="240" w:lineRule="auto"/>
      <w:jc w:val="both"/>
    </w:pPr>
    <w:rPr>
      <w:rFonts w:ascii="Times New Roman" w:hAnsi="Times New Roman" w:cs="Times New Roman"/>
    </w:rPr>
  </w:style>
  <w:style w:type="character" w:customStyle="1" w:styleId="HeaderCoverPageChar">
    <w:name w:val="Header Cover Page Char"/>
    <w:basedOn w:val="DefaultParagraphFont"/>
    <w:link w:val="HeaderCoverPage"/>
    <w:rsid w:val="00DE1888"/>
    <w:rPr>
      <w:rFonts w:ascii="Times New Roman" w:hAnsi="Times New Roman" w:cs="Times New Roman"/>
    </w:rPr>
  </w:style>
  <w:style w:type="paragraph" w:customStyle="1" w:styleId="HeaderSensitivity">
    <w:name w:val="Header Sensitivity"/>
    <w:basedOn w:val="Normal"/>
    <w:link w:val="HeaderSensitivityChar"/>
    <w:rsid w:val="00DE1888"/>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DE1888"/>
    <w:rPr>
      <w:rFonts w:ascii="Times New Roman" w:hAnsi="Times New Roman" w:cs="Times New Roman"/>
      <w:b/>
      <w:sz w:val="32"/>
    </w:rPr>
  </w:style>
  <w:style w:type="paragraph" w:customStyle="1" w:styleId="HeaderSensitivityRight">
    <w:name w:val="Header Sensitivity Right"/>
    <w:basedOn w:val="Normal"/>
    <w:link w:val="HeaderSensitivityRightChar"/>
    <w:rsid w:val="00DE1888"/>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DE1888"/>
    <w:rPr>
      <w:rFonts w:ascii="Times New Roman" w:hAnsi="Times New Roman" w:cs="Times New Roman"/>
      <w:sz w:val="28"/>
    </w:rPr>
  </w:style>
  <w:style w:type="paragraph" w:styleId="FootnoteText">
    <w:name w:val="footnote text"/>
    <w:basedOn w:val="Normal"/>
    <w:uiPriority w:val="99"/>
    <w:unhideWhenUsed/>
    <w:rsid w:val="00A24F29"/>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uiPriority w:val="99"/>
    <w:rsid w:val="00A24F29"/>
    <w:rPr>
      <w:rFonts w:ascii="Times New Roman" w:eastAsia="Times New Roman" w:hAnsi="Times New Roman" w:cs="Times New Roman"/>
      <w:kern w:val="0"/>
      <w:sz w:val="20"/>
      <w:szCs w:val="20"/>
      <w:lang w:val="lv-LV"/>
      <w14:ligatures w14:val="none"/>
    </w:rPr>
  </w:style>
  <w:style w:type="character" w:styleId="FootnoteReference">
    <w:name w:val="footnote reference"/>
    <w:basedOn w:val="DefaultParagraphFont"/>
    <w:uiPriority w:val="99"/>
    <w:unhideWhenUsed/>
    <w:rsid w:val="00A24F29"/>
    <w:rPr>
      <w:vertAlign w:val="superscript"/>
    </w:rPr>
  </w:style>
  <w:style w:type="character" w:styleId="Hyperlink">
    <w:name w:val="Hyperlink"/>
    <w:basedOn w:val="DefaultParagraphFont"/>
    <w:uiPriority w:val="99"/>
    <w:unhideWhenUsed/>
    <w:rsid w:val="00542BCE"/>
    <w:rPr>
      <w:color w:val="467886" w:themeColor="hyperlink"/>
      <w:u w:val="single"/>
    </w:rPr>
  </w:style>
  <w:style w:type="character" w:customStyle="1" w:styleId="UnresolvedMention">
    <w:name w:val="Unresolved Mention"/>
    <w:basedOn w:val="DefaultParagraphFont"/>
    <w:uiPriority w:val="99"/>
    <w:semiHidden/>
    <w:unhideWhenUsed/>
    <w:rsid w:val="00542BCE"/>
    <w:rPr>
      <w:color w:val="605E5C"/>
      <w:shd w:val="clear" w:color="auto" w:fill="E1DFDD"/>
    </w:rPr>
  </w:style>
  <w:style w:type="character" w:styleId="CommentReference">
    <w:name w:val="annotation reference"/>
    <w:basedOn w:val="DefaultParagraphFont"/>
    <w:uiPriority w:val="99"/>
    <w:semiHidden/>
    <w:unhideWhenUsed/>
    <w:rsid w:val="000B4370"/>
    <w:rPr>
      <w:sz w:val="16"/>
      <w:szCs w:val="16"/>
    </w:rPr>
  </w:style>
  <w:style w:type="paragraph" w:styleId="CommentText">
    <w:name w:val="annotation text"/>
    <w:basedOn w:val="Normal"/>
    <w:link w:val="CommentTextChar"/>
    <w:uiPriority w:val="99"/>
    <w:unhideWhenUsed/>
    <w:rsid w:val="000B4370"/>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0B4370"/>
    <w:rPr>
      <w:rFonts w:ascii="Times New Roman" w:eastAsia="Times New Roman" w:hAnsi="Times New Roman" w:cs="Times New Roman"/>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65245E"/>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65245E"/>
    <w:rPr>
      <w:rFonts w:ascii="Times New Roman" w:eastAsia="Times New Roman" w:hAnsi="Times New Roman" w:cs="Times New Roman"/>
      <w:b/>
      <w:bCs/>
      <w:kern w:val="0"/>
      <w:sz w:val="20"/>
      <w:szCs w:val="20"/>
      <w:lang w:val="lv-LV"/>
      <w14:ligatures w14:val="none"/>
    </w:rPr>
  </w:style>
  <w:style w:type="paragraph" w:styleId="Revision">
    <w:name w:val="Revision"/>
    <w:hidden/>
    <w:uiPriority w:val="99"/>
    <w:semiHidden/>
    <w:rsid w:val="007F2C17"/>
    <w:pPr>
      <w:spacing w:after="0" w:line="240" w:lineRule="auto"/>
    </w:pPr>
  </w:style>
  <w:style w:type="character" w:styleId="FollowedHyperlink">
    <w:name w:val="FollowedHyperlink"/>
    <w:basedOn w:val="DefaultParagraphFont"/>
    <w:uiPriority w:val="99"/>
    <w:semiHidden/>
    <w:unhideWhenUsed/>
    <w:rsid w:val="006C38EE"/>
    <w:rPr>
      <w:color w:val="96607D" w:themeColor="followedHyperlink"/>
      <w:u w:val="single"/>
    </w:rPr>
  </w:style>
  <w:style w:type="paragraph" w:styleId="NormalWeb">
    <w:name w:val="Normal (Web)"/>
    <w:basedOn w:val="Normal"/>
    <w:uiPriority w:val="99"/>
    <w:semiHidden/>
    <w:unhideWhenUsed/>
    <w:rsid w:val="0091265E"/>
    <w:rPr>
      <w:rFonts w:ascii="Times New Roman" w:hAnsi="Times New Roman" w:cs="Times New Roman"/>
    </w:rPr>
  </w:style>
  <w:style w:type="character" w:customStyle="1" w:styleId="cf01">
    <w:name w:val="cf01"/>
    <w:basedOn w:val="DefaultParagraphFont"/>
    <w:rsid w:val="008606FD"/>
    <w:rPr>
      <w:rFonts w:ascii="Segoe UI" w:hAnsi="Segoe UI" w:cs="Segoe UI" w:hint="default"/>
      <w:sz w:val="18"/>
      <w:szCs w:val="18"/>
    </w:rPr>
  </w:style>
  <w:style w:type="paragraph" w:styleId="EndnoteText">
    <w:name w:val="endnote text"/>
    <w:basedOn w:val="Normal"/>
    <w:link w:val="EndnoteTextChar"/>
    <w:uiPriority w:val="99"/>
    <w:semiHidden/>
    <w:unhideWhenUsed/>
    <w:rsid w:val="00B030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30D9"/>
    <w:rPr>
      <w:sz w:val="20"/>
      <w:szCs w:val="20"/>
      <w:lang w:val="lv-LV"/>
    </w:rPr>
  </w:style>
  <w:style w:type="character" w:styleId="EndnoteReference">
    <w:name w:val="endnote reference"/>
    <w:basedOn w:val="DefaultParagraphFont"/>
    <w:uiPriority w:val="99"/>
    <w:semiHidden/>
    <w:unhideWhenUsed/>
    <w:rsid w:val="00B030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82740">
      <w:bodyDiv w:val="1"/>
      <w:marLeft w:val="0"/>
      <w:marRight w:val="0"/>
      <w:marTop w:val="0"/>
      <w:marBottom w:val="0"/>
      <w:divBdr>
        <w:top w:val="none" w:sz="0" w:space="0" w:color="auto"/>
        <w:left w:val="none" w:sz="0" w:space="0" w:color="auto"/>
        <w:bottom w:val="none" w:sz="0" w:space="0" w:color="auto"/>
        <w:right w:val="none" w:sz="0" w:space="0" w:color="auto"/>
      </w:divBdr>
    </w:div>
    <w:div w:id="90979575">
      <w:bodyDiv w:val="1"/>
      <w:marLeft w:val="0"/>
      <w:marRight w:val="0"/>
      <w:marTop w:val="0"/>
      <w:marBottom w:val="0"/>
      <w:divBdr>
        <w:top w:val="none" w:sz="0" w:space="0" w:color="auto"/>
        <w:left w:val="none" w:sz="0" w:space="0" w:color="auto"/>
        <w:bottom w:val="none" w:sz="0" w:space="0" w:color="auto"/>
        <w:right w:val="none" w:sz="0" w:space="0" w:color="auto"/>
      </w:divBdr>
    </w:div>
    <w:div w:id="192814187">
      <w:bodyDiv w:val="1"/>
      <w:marLeft w:val="0"/>
      <w:marRight w:val="0"/>
      <w:marTop w:val="0"/>
      <w:marBottom w:val="0"/>
      <w:divBdr>
        <w:top w:val="none" w:sz="0" w:space="0" w:color="auto"/>
        <w:left w:val="none" w:sz="0" w:space="0" w:color="auto"/>
        <w:bottom w:val="none" w:sz="0" w:space="0" w:color="auto"/>
        <w:right w:val="none" w:sz="0" w:space="0" w:color="auto"/>
      </w:divBdr>
    </w:div>
    <w:div w:id="290132206">
      <w:bodyDiv w:val="1"/>
      <w:marLeft w:val="0"/>
      <w:marRight w:val="0"/>
      <w:marTop w:val="0"/>
      <w:marBottom w:val="0"/>
      <w:divBdr>
        <w:top w:val="none" w:sz="0" w:space="0" w:color="auto"/>
        <w:left w:val="none" w:sz="0" w:space="0" w:color="auto"/>
        <w:bottom w:val="none" w:sz="0" w:space="0" w:color="auto"/>
        <w:right w:val="none" w:sz="0" w:space="0" w:color="auto"/>
      </w:divBdr>
    </w:div>
    <w:div w:id="315651439">
      <w:bodyDiv w:val="1"/>
      <w:marLeft w:val="0"/>
      <w:marRight w:val="0"/>
      <w:marTop w:val="0"/>
      <w:marBottom w:val="0"/>
      <w:divBdr>
        <w:top w:val="none" w:sz="0" w:space="0" w:color="auto"/>
        <w:left w:val="none" w:sz="0" w:space="0" w:color="auto"/>
        <w:bottom w:val="none" w:sz="0" w:space="0" w:color="auto"/>
        <w:right w:val="none" w:sz="0" w:space="0" w:color="auto"/>
      </w:divBdr>
    </w:div>
    <w:div w:id="323702230">
      <w:bodyDiv w:val="1"/>
      <w:marLeft w:val="0"/>
      <w:marRight w:val="0"/>
      <w:marTop w:val="0"/>
      <w:marBottom w:val="0"/>
      <w:divBdr>
        <w:top w:val="none" w:sz="0" w:space="0" w:color="auto"/>
        <w:left w:val="none" w:sz="0" w:space="0" w:color="auto"/>
        <w:bottom w:val="none" w:sz="0" w:space="0" w:color="auto"/>
        <w:right w:val="none" w:sz="0" w:space="0" w:color="auto"/>
      </w:divBdr>
    </w:div>
    <w:div w:id="446854051">
      <w:bodyDiv w:val="1"/>
      <w:marLeft w:val="0"/>
      <w:marRight w:val="0"/>
      <w:marTop w:val="0"/>
      <w:marBottom w:val="0"/>
      <w:divBdr>
        <w:top w:val="none" w:sz="0" w:space="0" w:color="auto"/>
        <w:left w:val="none" w:sz="0" w:space="0" w:color="auto"/>
        <w:bottom w:val="none" w:sz="0" w:space="0" w:color="auto"/>
        <w:right w:val="none" w:sz="0" w:space="0" w:color="auto"/>
      </w:divBdr>
    </w:div>
    <w:div w:id="525290803">
      <w:bodyDiv w:val="1"/>
      <w:marLeft w:val="0"/>
      <w:marRight w:val="0"/>
      <w:marTop w:val="0"/>
      <w:marBottom w:val="0"/>
      <w:divBdr>
        <w:top w:val="none" w:sz="0" w:space="0" w:color="auto"/>
        <w:left w:val="none" w:sz="0" w:space="0" w:color="auto"/>
        <w:bottom w:val="none" w:sz="0" w:space="0" w:color="auto"/>
        <w:right w:val="none" w:sz="0" w:space="0" w:color="auto"/>
      </w:divBdr>
    </w:div>
    <w:div w:id="539823424">
      <w:bodyDiv w:val="1"/>
      <w:marLeft w:val="0"/>
      <w:marRight w:val="0"/>
      <w:marTop w:val="0"/>
      <w:marBottom w:val="0"/>
      <w:divBdr>
        <w:top w:val="none" w:sz="0" w:space="0" w:color="auto"/>
        <w:left w:val="none" w:sz="0" w:space="0" w:color="auto"/>
        <w:bottom w:val="none" w:sz="0" w:space="0" w:color="auto"/>
        <w:right w:val="none" w:sz="0" w:space="0" w:color="auto"/>
      </w:divBdr>
    </w:div>
    <w:div w:id="660427354">
      <w:bodyDiv w:val="1"/>
      <w:marLeft w:val="0"/>
      <w:marRight w:val="0"/>
      <w:marTop w:val="0"/>
      <w:marBottom w:val="0"/>
      <w:divBdr>
        <w:top w:val="none" w:sz="0" w:space="0" w:color="auto"/>
        <w:left w:val="none" w:sz="0" w:space="0" w:color="auto"/>
        <w:bottom w:val="none" w:sz="0" w:space="0" w:color="auto"/>
        <w:right w:val="none" w:sz="0" w:space="0" w:color="auto"/>
      </w:divBdr>
    </w:div>
    <w:div w:id="684213158">
      <w:bodyDiv w:val="1"/>
      <w:marLeft w:val="0"/>
      <w:marRight w:val="0"/>
      <w:marTop w:val="0"/>
      <w:marBottom w:val="0"/>
      <w:divBdr>
        <w:top w:val="none" w:sz="0" w:space="0" w:color="auto"/>
        <w:left w:val="none" w:sz="0" w:space="0" w:color="auto"/>
        <w:bottom w:val="none" w:sz="0" w:space="0" w:color="auto"/>
        <w:right w:val="none" w:sz="0" w:space="0" w:color="auto"/>
      </w:divBdr>
    </w:div>
    <w:div w:id="710346511">
      <w:bodyDiv w:val="1"/>
      <w:marLeft w:val="0"/>
      <w:marRight w:val="0"/>
      <w:marTop w:val="0"/>
      <w:marBottom w:val="0"/>
      <w:divBdr>
        <w:top w:val="none" w:sz="0" w:space="0" w:color="auto"/>
        <w:left w:val="none" w:sz="0" w:space="0" w:color="auto"/>
        <w:bottom w:val="none" w:sz="0" w:space="0" w:color="auto"/>
        <w:right w:val="none" w:sz="0" w:space="0" w:color="auto"/>
      </w:divBdr>
    </w:div>
    <w:div w:id="776682908">
      <w:bodyDiv w:val="1"/>
      <w:marLeft w:val="0"/>
      <w:marRight w:val="0"/>
      <w:marTop w:val="0"/>
      <w:marBottom w:val="0"/>
      <w:divBdr>
        <w:top w:val="none" w:sz="0" w:space="0" w:color="auto"/>
        <w:left w:val="none" w:sz="0" w:space="0" w:color="auto"/>
        <w:bottom w:val="none" w:sz="0" w:space="0" w:color="auto"/>
        <w:right w:val="none" w:sz="0" w:space="0" w:color="auto"/>
      </w:divBdr>
    </w:div>
    <w:div w:id="777986790">
      <w:bodyDiv w:val="1"/>
      <w:marLeft w:val="0"/>
      <w:marRight w:val="0"/>
      <w:marTop w:val="0"/>
      <w:marBottom w:val="0"/>
      <w:divBdr>
        <w:top w:val="none" w:sz="0" w:space="0" w:color="auto"/>
        <w:left w:val="none" w:sz="0" w:space="0" w:color="auto"/>
        <w:bottom w:val="none" w:sz="0" w:space="0" w:color="auto"/>
        <w:right w:val="none" w:sz="0" w:space="0" w:color="auto"/>
      </w:divBdr>
    </w:div>
    <w:div w:id="950279755">
      <w:bodyDiv w:val="1"/>
      <w:marLeft w:val="0"/>
      <w:marRight w:val="0"/>
      <w:marTop w:val="0"/>
      <w:marBottom w:val="0"/>
      <w:divBdr>
        <w:top w:val="none" w:sz="0" w:space="0" w:color="auto"/>
        <w:left w:val="none" w:sz="0" w:space="0" w:color="auto"/>
        <w:bottom w:val="none" w:sz="0" w:space="0" w:color="auto"/>
        <w:right w:val="none" w:sz="0" w:space="0" w:color="auto"/>
      </w:divBdr>
    </w:div>
    <w:div w:id="1149707321">
      <w:bodyDiv w:val="1"/>
      <w:marLeft w:val="0"/>
      <w:marRight w:val="0"/>
      <w:marTop w:val="0"/>
      <w:marBottom w:val="0"/>
      <w:divBdr>
        <w:top w:val="none" w:sz="0" w:space="0" w:color="auto"/>
        <w:left w:val="none" w:sz="0" w:space="0" w:color="auto"/>
        <w:bottom w:val="none" w:sz="0" w:space="0" w:color="auto"/>
        <w:right w:val="none" w:sz="0" w:space="0" w:color="auto"/>
      </w:divBdr>
    </w:div>
    <w:div w:id="1208949033">
      <w:bodyDiv w:val="1"/>
      <w:marLeft w:val="0"/>
      <w:marRight w:val="0"/>
      <w:marTop w:val="0"/>
      <w:marBottom w:val="0"/>
      <w:divBdr>
        <w:top w:val="none" w:sz="0" w:space="0" w:color="auto"/>
        <w:left w:val="none" w:sz="0" w:space="0" w:color="auto"/>
        <w:bottom w:val="none" w:sz="0" w:space="0" w:color="auto"/>
        <w:right w:val="none" w:sz="0" w:space="0" w:color="auto"/>
      </w:divBdr>
    </w:div>
    <w:div w:id="1397707072">
      <w:bodyDiv w:val="1"/>
      <w:marLeft w:val="0"/>
      <w:marRight w:val="0"/>
      <w:marTop w:val="0"/>
      <w:marBottom w:val="0"/>
      <w:divBdr>
        <w:top w:val="none" w:sz="0" w:space="0" w:color="auto"/>
        <w:left w:val="none" w:sz="0" w:space="0" w:color="auto"/>
        <w:bottom w:val="none" w:sz="0" w:space="0" w:color="auto"/>
        <w:right w:val="none" w:sz="0" w:space="0" w:color="auto"/>
      </w:divBdr>
    </w:div>
    <w:div w:id="1495679262">
      <w:bodyDiv w:val="1"/>
      <w:marLeft w:val="0"/>
      <w:marRight w:val="0"/>
      <w:marTop w:val="0"/>
      <w:marBottom w:val="0"/>
      <w:divBdr>
        <w:top w:val="none" w:sz="0" w:space="0" w:color="auto"/>
        <w:left w:val="none" w:sz="0" w:space="0" w:color="auto"/>
        <w:bottom w:val="none" w:sz="0" w:space="0" w:color="auto"/>
        <w:right w:val="none" w:sz="0" w:space="0" w:color="auto"/>
      </w:divBdr>
    </w:div>
    <w:div w:id="1780444931">
      <w:bodyDiv w:val="1"/>
      <w:marLeft w:val="0"/>
      <w:marRight w:val="0"/>
      <w:marTop w:val="0"/>
      <w:marBottom w:val="0"/>
      <w:divBdr>
        <w:top w:val="none" w:sz="0" w:space="0" w:color="auto"/>
        <w:left w:val="none" w:sz="0" w:space="0" w:color="auto"/>
        <w:bottom w:val="none" w:sz="0" w:space="0" w:color="auto"/>
        <w:right w:val="none" w:sz="0" w:space="0" w:color="auto"/>
      </w:divBdr>
    </w:div>
    <w:div w:id="1878424235">
      <w:bodyDiv w:val="1"/>
      <w:marLeft w:val="0"/>
      <w:marRight w:val="0"/>
      <w:marTop w:val="0"/>
      <w:marBottom w:val="0"/>
      <w:divBdr>
        <w:top w:val="none" w:sz="0" w:space="0" w:color="auto"/>
        <w:left w:val="none" w:sz="0" w:space="0" w:color="auto"/>
        <w:bottom w:val="none" w:sz="0" w:space="0" w:color="auto"/>
        <w:right w:val="none" w:sz="0" w:space="0" w:color="auto"/>
      </w:divBdr>
    </w:div>
    <w:div w:id="1990792371">
      <w:bodyDiv w:val="1"/>
      <w:marLeft w:val="0"/>
      <w:marRight w:val="0"/>
      <w:marTop w:val="0"/>
      <w:marBottom w:val="0"/>
      <w:divBdr>
        <w:top w:val="none" w:sz="0" w:space="0" w:color="auto"/>
        <w:left w:val="none" w:sz="0" w:space="0" w:color="auto"/>
        <w:bottom w:val="none" w:sz="0" w:space="0" w:color="auto"/>
        <w:right w:val="none" w:sz="0" w:space="0" w:color="auto"/>
      </w:divBdr>
    </w:div>
    <w:div w:id="2031565326">
      <w:bodyDiv w:val="1"/>
      <w:marLeft w:val="0"/>
      <w:marRight w:val="0"/>
      <w:marTop w:val="0"/>
      <w:marBottom w:val="0"/>
      <w:divBdr>
        <w:top w:val="none" w:sz="0" w:space="0" w:color="auto"/>
        <w:left w:val="none" w:sz="0" w:space="0" w:color="auto"/>
        <w:bottom w:val="none" w:sz="0" w:space="0" w:color="auto"/>
        <w:right w:val="none" w:sz="0" w:space="0" w:color="auto"/>
      </w:divBdr>
    </w:div>
    <w:div w:id="210765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13" Type="http://schemas.openxmlformats.org/officeDocument/2006/relationships/hyperlink" Target="http://data.europa.eu/eli/C/2024/561/oj" TargetMode="External"/><Relationship Id="rId18" Type="http://schemas.openxmlformats.org/officeDocument/2006/relationships/hyperlink" Target="https://digital-markets-act.ec.europa.eu/events/workshops" TargetMode="External"/><Relationship Id="rId26" Type="http://schemas.openxmlformats.org/officeDocument/2006/relationships/hyperlink" Target="https://ec.europa.eu/commission/presscorner/detail/lv/ip_25_1086" TargetMode="External"/><Relationship Id="rId39" Type="http://schemas.openxmlformats.org/officeDocument/2006/relationships/hyperlink" Target="https://digital-markets-act.ec.europa.eu/legislation_en" TargetMode="External"/><Relationship Id="rId21" Type="http://schemas.openxmlformats.org/officeDocument/2006/relationships/hyperlink" Target="https://ec.europa.eu/commission/presscorner/detail/lv/ip_25_1086" TargetMode="External"/><Relationship Id="rId34" Type="http://schemas.openxmlformats.org/officeDocument/2006/relationships/hyperlink" Target="http://data.europa.eu/eli/C/2025/5214/oj" TargetMode="External"/><Relationship Id="rId42" Type="http://schemas.openxmlformats.org/officeDocument/2006/relationships/hyperlink" Target="https://digital-markets-act-cases.ec.europa.eu/reports/consumer-profiling-reports" TargetMode="External"/><Relationship Id="rId47" Type="http://schemas.openxmlformats.org/officeDocument/2006/relationships/hyperlink" Target="https://ec.europa.eu/info/law/better-regulation/have-your-say/initiatives/15554-Digital-fitness-check-testing-the-cumulative-impact-of-the-EUs-digital-rules_lv" TargetMode="External"/><Relationship Id="rId50" Type="http://schemas.openxmlformats.org/officeDocument/2006/relationships/hyperlink" Target="https://digital-markets-act.ec.europa.eu/consultation-first-review-digital-markets-act_en" TargetMode="External"/><Relationship Id="rId55" Type="http://schemas.openxmlformats.org/officeDocument/2006/relationships/hyperlink" Target="https://www.jftc.go.jp/en/policy_enforcement/digital/index.html" TargetMode="External"/><Relationship Id="rId7" Type="http://schemas.openxmlformats.org/officeDocument/2006/relationships/hyperlink" Target="https://digital-markets-act.ec.europa.eu/commission-finds-apple-ads-and-apple-maps-should-not-be-designated-under-digital-markets-act-2026-02-05_en" TargetMode="External"/><Relationship Id="rId12" Type="http://schemas.openxmlformats.org/officeDocument/2006/relationships/hyperlink" Target="http://data.europa.eu/eli/C/2024/3623/oj" TargetMode="External"/><Relationship Id="rId17" Type="http://schemas.openxmlformats.org/officeDocument/2006/relationships/hyperlink" Target="https://digital-markets-act-cases.ec.europa.eu/reports/compliance-reports" TargetMode="External"/><Relationship Id="rId25" Type="http://schemas.openxmlformats.org/officeDocument/2006/relationships/hyperlink" Target="https://ec.europa.eu/commission/presscorner/detail/lv/ip_25_1086" TargetMode="External"/><Relationship Id="rId33" Type="http://schemas.openxmlformats.org/officeDocument/2006/relationships/hyperlink" Target="https://ec.europa.eu/commission/presscorner/detail/lv/ip_25_2675" TargetMode="External"/><Relationship Id="rId38" Type="http://schemas.openxmlformats.org/officeDocument/2006/relationships/hyperlink" Target="https://digital-markets-act-cases.ec.europa.eu/acquisitions" TargetMode="External"/><Relationship Id="rId46" Type="http://schemas.openxmlformats.org/officeDocument/2006/relationships/hyperlink" Target="https://agcm.it/media/comunicati-stampa/2025/11/PS12714-" TargetMode="External"/><Relationship Id="rId2" Type="http://schemas.openxmlformats.org/officeDocument/2006/relationships/hyperlink" Target="https://commission.europa.eu/about/commission-2024-2029_lv" TargetMode="External"/><Relationship Id="rId16" Type="http://schemas.openxmlformats.org/officeDocument/2006/relationships/hyperlink" Target="http://data.europa.eu/eli/C/2024/6103/oj" TargetMode="External"/><Relationship Id="rId20" Type="http://schemas.openxmlformats.org/officeDocument/2006/relationships/hyperlink" Target="https://ec.europa.eu/commission/presscorner/detail/lv/ip_25_1086" TargetMode="External"/><Relationship Id="rId29" Type="http://schemas.openxmlformats.org/officeDocument/2006/relationships/hyperlink" Target="https://about.fb.com/news/2025/11/messaging-interoperability-whatsapp-enables-third-party-chats-for-users-in-europe/" TargetMode="External"/><Relationship Id="rId41" Type="http://schemas.openxmlformats.org/officeDocument/2006/relationships/hyperlink" Target="https://ec.europa.eu/transparency/expert-groups-register/screen/meetings/consult?lang=en&amp;meetingId=58746&amp;fromExpertGroups=3904" TargetMode="External"/><Relationship Id="rId54" Type="http://schemas.openxmlformats.org/officeDocument/2006/relationships/hyperlink" Target="https://digital-markets-act.ec.europa.eu/document/download/19a69296-8b25-4b02-817c-7737f76ce61a_en?filename=Commission_JFTC_Cooperation%20Arrangement.pdf" TargetMode="External"/><Relationship Id="rId1" Type="http://schemas.openxmlformats.org/officeDocument/2006/relationships/hyperlink" Target="https://digital-markets-act.ec.europa.eu/about-dma/dma-annual-reports_en" TargetMode="External"/><Relationship Id="rId6" Type="http://schemas.openxmlformats.org/officeDocument/2006/relationships/hyperlink" Target="https://digital-markets-act.ec.europa.eu/commission-receives-notifications-apple-under-digital-markets-act-2025-11-27_en" TargetMode="External"/><Relationship Id="rId11" Type="http://schemas.openxmlformats.org/officeDocument/2006/relationships/hyperlink" Target="http://data.europa.eu/eli/C/2024/562/oj" TargetMode="External"/><Relationship Id="rId24" Type="http://schemas.openxmlformats.org/officeDocument/2006/relationships/hyperlink" Target="https://ec.europa.eu/commission/presscorner/detail/lv/ip_25_811" TargetMode="External"/><Relationship Id="rId32" Type="http://schemas.openxmlformats.org/officeDocument/2006/relationships/hyperlink" Target="https://ec.europa.eu/commission/presscorner/detail/lv/ip_25_2675" TargetMode="External"/><Relationship Id="rId37" Type="http://schemas.openxmlformats.org/officeDocument/2006/relationships/hyperlink" Target="http://data.europa.eu/eli/C/2025/5213/oj" TargetMode="External"/><Relationship Id="rId40" Type="http://schemas.openxmlformats.org/officeDocument/2006/relationships/hyperlink" Target="https://digital-markets-act.ec.europa.eu/legislation_en" TargetMode="External"/><Relationship Id="rId45" Type="http://schemas.openxmlformats.org/officeDocument/2006/relationships/hyperlink" Target="https://www.bundeskartellamt.de/SharedDocs/Meldung/EN/Pressemitteilungen/2026/26_02_05_Amazon.html" TargetMode="External"/><Relationship Id="rId53" Type="http://schemas.openxmlformats.org/officeDocument/2006/relationships/hyperlink" Target="https://digital-markets-act.ec.europa.eu/document/download/19a69296-8b25-4b02-817c-7737f76ce61a_en?filename=Commission_JFTC_Cooperation%20Arrangement.pdf" TargetMode="External"/><Relationship Id="rId5" Type="http://schemas.openxmlformats.org/officeDocument/2006/relationships/hyperlink" Target="https://digital-markets-act.ec.europa.eu/gatekeepers_en" TargetMode="External"/><Relationship Id="rId15" Type="http://schemas.openxmlformats.org/officeDocument/2006/relationships/hyperlink" Target="http://data.europa.eu/eli/C/2024/6639/oj" TargetMode="External"/><Relationship Id="rId23" Type="http://schemas.openxmlformats.org/officeDocument/2006/relationships/hyperlink" Target="https://ec.europa.eu/commission/presscorner/detail/lv/ip_25_811" TargetMode="External"/><Relationship Id="rId28" Type="http://schemas.openxmlformats.org/officeDocument/2006/relationships/hyperlink" Target="https://developers.facebook.com/m/messaging-interoperability/" TargetMode="External"/><Relationship Id="rId36" Type="http://schemas.openxmlformats.org/officeDocument/2006/relationships/hyperlink" Target="http://data.europa.eu/eli/C/2025/5212/oj" TargetMode="External"/><Relationship Id="rId49" Type="http://schemas.openxmlformats.org/officeDocument/2006/relationships/hyperlink" Target="https://ec.europa.eu/transparency/expert-groups-register/screen/meetings/consult?lang=en&amp;meetingId=67755&amp;fromExpertGroups=3904" TargetMode="External"/><Relationship Id="rId10" Type="http://schemas.openxmlformats.org/officeDocument/2006/relationships/hyperlink" Target="http://data.europa.eu/eli/C/2024/563/oj" TargetMode="External"/><Relationship Id="rId19" Type="http://schemas.openxmlformats.org/officeDocument/2006/relationships/hyperlink" Target="https://digital-markets-act.ec.europa.eu/meta-commits-give-eu-users-choice-personalised-ads-under-digital-markets-act-2025-12-08_en" TargetMode="External"/><Relationship Id="rId31" Type="http://schemas.openxmlformats.org/officeDocument/2006/relationships/hyperlink" Target="https://ec.europa.eu/commission/presscorner/detail/lv/ip_25_811" TargetMode="External"/><Relationship Id="rId44" Type="http://schemas.openxmlformats.org/officeDocument/2006/relationships/hyperlink" Target="https://www.bundeskartellamt.de/SharedDocs/Meldung/EN/Pressemitteilungen/2025/04_09_2025_GAS_GMP.html" TargetMode="External"/><Relationship Id="rId52" Type="http://schemas.openxmlformats.org/officeDocument/2006/relationships/hyperlink" Target="https://digital-strategy.ec.europa.eu/lv/policies/international-digital-strategy" TargetMode="External"/><Relationship Id="rId4" Type="http://schemas.openxmlformats.org/officeDocument/2006/relationships/hyperlink" Target="https://commission.europa.eu/about/organisation/college-commissioners/teresa-ribera_en" TargetMode="External"/><Relationship Id="rId9" Type="http://schemas.openxmlformats.org/officeDocument/2006/relationships/hyperlink" Target="https://digital-markets-act.ec.europa.eu/commission-launches-market-investigations-cloud-computing-services-under-digital-markets-act-2025-11-18_en" TargetMode="External"/><Relationship Id="rId14" Type="http://schemas.openxmlformats.org/officeDocument/2006/relationships/hyperlink" Target="http://data.europa.eu/eli/C/2024/5640/oj" TargetMode="External"/><Relationship Id="rId22" Type="http://schemas.openxmlformats.org/officeDocument/2006/relationships/hyperlink" Target="https://competition-cases.ec.europa.eu/cases/DMA.100109" TargetMode="External"/><Relationship Id="rId27" Type="http://schemas.openxmlformats.org/officeDocument/2006/relationships/hyperlink" Target="https://www.beuc.eu/sites/default/files/publications/BEUC-X-2025-101_Increased_consumer_choice_after_eighteen_months_of_the_DMA.pdf" TargetMode="External"/><Relationship Id="rId30" Type="http://schemas.openxmlformats.org/officeDocument/2006/relationships/hyperlink" Target="https://ec.europa.eu/commission/presscorner/detail/lv/ip_25_811" TargetMode="External"/><Relationship Id="rId35" Type="http://schemas.openxmlformats.org/officeDocument/2006/relationships/hyperlink" Target="http://data.europa.eu/eli/C/2025/5215/oj" TargetMode="External"/><Relationship Id="rId43" Type="http://schemas.openxmlformats.org/officeDocument/2006/relationships/hyperlink" Target="https://www.bundeskartellamt.de/SharedDocs/Meldung/EN/Pressemitteilungen/2025/04_09_2025_GAS_GMP.html" TargetMode="External"/><Relationship Id="rId48" Type="http://schemas.openxmlformats.org/officeDocument/2006/relationships/hyperlink" Target="https://ec.europa.eu/transparency/expert-groups-register/screen/meetings/consult?lang=en&amp;meetingId=67755&amp;fromExpertGroups=3904" TargetMode="External"/><Relationship Id="rId56" Type="http://schemas.openxmlformats.org/officeDocument/2006/relationships/hyperlink" Target="https://webgate.ec.europa.eu/TMSWebRestrict/resources/js/app/" TargetMode="External"/><Relationship Id="rId8" Type="http://schemas.openxmlformats.org/officeDocument/2006/relationships/hyperlink" Target="https://digital-markets-act.ec.europa.eu/commission-launches-market-investigations-cloud-computing-services-under-digital-markets-act-2025-11-18_en" TargetMode="External"/><Relationship Id="rId51" Type="http://schemas.openxmlformats.org/officeDocument/2006/relationships/hyperlink" Target="https://digital-markets-act.ec.europa.eu/about-dma/dma-review-qa_en" TargetMode="External"/><Relationship Id="rId3" Type="http://schemas.openxmlformats.org/officeDocument/2006/relationships/hyperlink" Target="https://commission.europa.eu/about/organisation/college-commissioners/henna-virkkunen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nnaTaimr xmlns="b4ccd767-3476-4eb0-8f04-28064fa02c79">
      <UserInfo>
        <DisplayName/>
        <AccountId xsi:nil="true"/>
        <AccountType/>
      </UserInfo>
    </AnnaTaimr>
    <EC_ARES_DATE_TRANSFERRED xmlns="a0196e52-b54b-45e0-ab27-d308672c0ae6" xsi:nil="true"/>
    <lcf76f155ced4ddcb4097134ff3c332f xmlns="b4ccd767-3476-4eb0-8f04-28064fa02c79">
      <Terms xmlns="http://schemas.microsoft.com/office/infopath/2007/PartnerControls"/>
    </lcf76f155ced4ddcb4097134ff3c332f>
    <EC_ARES_TRANSFERRED_BY xmlns="a0196e52-b54b-45e0-ab27-d308672c0ae6" xsi:nil="true"/>
    <EC_ARES_NUMBER xmlns="a0196e52-b54b-45e0-ab27-d308672c0ae6">
      <Url xsi:nil="true"/>
      <Description xsi:nil="true"/>
    </EC_ARES_NUMB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C8911DECD3C942842AE2457B1D58EC" ma:contentTypeVersion="17" ma:contentTypeDescription="Create a new document." ma:contentTypeScope="" ma:versionID="23a5750347d6316cb4756ffa4815f256">
  <xsd:schema xmlns:xsd="http://www.w3.org/2001/XMLSchema" xmlns:xs="http://www.w3.org/2001/XMLSchema" xmlns:p="http://schemas.microsoft.com/office/2006/metadata/properties" xmlns:ns2="b4ccd767-3476-4eb0-8f04-28064fa02c79" xmlns:ns3="a0196e52-b54b-45e0-ab27-d308672c0ae6" targetNamespace="http://schemas.microsoft.com/office/2006/metadata/properties" ma:root="true" ma:fieldsID="53d8fc63502c770774aac9877c156827" ns2:_="" ns3:_="">
    <xsd:import namespace="b4ccd767-3476-4eb0-8f04-28064fa02c79"/>
    <xsd:import namespace="a0196e52-b54b-45e0-ab27-d308672c0ae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AnnaTaimr" minOccurs="0"/>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cd767-3476-4eb0-8f04-28064fa02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nnaTaimr" ma:index="21" nillable="true" ma:displayName="Anna Taimr" ma:format="Dropdown" ma:list="UserInfo" ma:SharePointGroup="0" ma:internalName="AnnaTaim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196e52-b54b-45e0-ab27-d308672c0ae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EC_ARES_NUMBER" ma:index="22"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23" nillable="true" ma:displayName="Transferred to Ares" ma:format="DateTime" ma:hidden="true" ma:internalName="EC_ARES_DATE_TRANSFERRED">
      <xsd:simpleType>
        <xsd:restriction base="dms:DateTime"/>
      </xsd:simpleType>
    </xsd:element>
    <xsd:element name="EC_ARES_TRANSFERRED_BY" ma:index="24"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DB642-3CF3-4F75-B3AC-79775B7A65AF}">
  <ds:schemaRefs>
    <ds:schemaRef ds:uri="http://schemas.microsoft.com/office/2006/metadata/properties"/>
    <ds:schemaRef ds:uri="http://schemas.microsoft.com/office/infopath/2007/PartnerControls"/>
    <ds:schemaRef ds:uri="b4ccd767-3476-4eb0-8f04-28064fa02c79"/>
    <ds:schemaRef ds:uri="a0196e52-b54b-45e0-ab27-d308672c0ae6"/>
  </ds:schemaRefs>
</ds:datastoreItem>
</file>

<file path=customXml/itemProps2.xml><?xml version="1.0" encoding="utf-8"?>
<ds:datastoreItem xmlns:ds="http://schemas.openxmlformats.org/officeDocument/2006/customXml" ds:itemID="{1377F6A5-3006-4D53-BAB9-732E1AA5F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cd767-3476-4eb0-8f04-28064fa02c79"/>
    <ds:schemaRef ds:uri="a0196e52-b54b-45e0-ab27-d308672c0a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EBBACB-0A8D-4638-B882-E8E2B8C0D053}">
  <ds:schemaRefs>
    <ds:schemaRef ds:uri="http://schemas.microsoft.com/sharepoint/v3/contenttype/forms"/>
  </ds:schemaRefs>
</ds:datastoreItem>
</file>

<file path=customXml/itemProps4.xml><?xml version="1.0" encoding="utf-8"?>
<ds:datastoreItem xmlns:ds="http://schemas.openxmlformats.org/officeDocument/2006/customXml" ds:itemID="{CA606614-52C1-46C5-AF99-9A3CC953A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6542</Words>
  <Characters>37290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2026-05-11T09:42:00Z</dcterms:created>
  <dcterms:modified xsi:type="dcterms:W3CDTF">2026-06-15T07:06:00Z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ast edited using">
    <vt:lpwstr>LW 9.2, Build 20250828</vt:lpwstr>
  </property>
  <property fmtid="{D5CDD505-2E9C-101B-9397-08002B2CF9AE}" pid="4" name="MSIP_Label_6bd9ddd1-4d20-43f6-abfa-fc3c07406f94_Enabled">
    <vt:lpwstr>true</vt:lpwstr>
  </property>
  <property fmtid="{D5CDD505-2E9C-101B-9397-08002B2CF9AE}" pid="5" name="MSIP_Label_6bd9ddd1-4d20-43f6-abfa-fc3c07406f94_SetDate">
    <vt:lpwstr>2026-05-11T09:42:19Z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a9e3f3a1-54e4-469b-9b2a-b943e2c5e658</vt:lpwstr>
  </property>
  <property fmtid="{D5CDD505-2E9C-101B-9397-08002B2CF9AE}" pid="10" name="MSIP_Label_6bd9ddd1-4d20-43f6-abfa-fc3c07406f94_ContentBits">
    <vt:lpwstr>0</vt:lpwstr>
  </property>
  <property fmtid="{D5CDD505-2E9C-101B-9397-08002B2CF9AE}" pid="11" name="MSIP_Label_6bd9ddd1-4d20-43f6-abfa-fc3c07406f94_Tag">
    <vt:lpwstr>10, 3, 0, 1</vt:lpwstr>
  </property>
  <property fmtid="{D5CDD505-2E9C-101B-9397-08002B2CF9AE}" pid="12" name="Level of sensitivity">
    <vt:lpwstr>Standard treatment</vt:lpwstr>
  </property>
  <property fmtid="{D5CDD505-2E9C-101B-9397-08002B2CF9AE}" pid="13" name="Part">
    <vt:lpwstr>1</vt:lpwstr>
  </property>
  <property fmtid="{D5CDD505-2E9C-101B-9397-08002B2CF9AE}" pid="14" name="Total parts">
    <vt:lpwstr>1</vt:lpwstr>
  </property>
  <property fmtid="{D5CDD505-2E9C-101B-9397-08002B2CF9AE}" pid="15" name="CPTemplateID">
    <vt:lpwstr>CP-005</vt:lpwstr>
  </property>
  <property fmtid="{D5CDD505-2E9C-101B-9397-08002B2CF9AE}" pid="16" name="_AdHocReviewCycleID">
    <vt:i4>-1586407823</vt:i4>
  </property>
  <property fmtid="{D5CDD505-2E9C-101B-9397-08002B2CF9AE}" pid="17" name="_NewReviewCycle">
    <vt:lpwstr/>
  </property>
  <property fmtid="{D5CDD505-2E9C-101B-9397-08002B2CF9AE}" pid="18" name="ContentTypeId">
    <vt:lpwstr>0x01010045C8911DECD3C942842AE2457B1D58EC</vt:lpwstr>
  </property>
  <property fmtid="{D5CDD505-2E9C-101B-9397-08002B2CF9AE}" pid="19" name="_ReviewingToolsShownOnce">
    <vt:lpwstr/>
  </property>
  <property name="OP_sanitized" fmtid="{D5CDD505-2E9C-101B-9397-08002B2CF9AE}" pid="20">
    <vt:lpwstr>True</vt:lpwstr>
  </property>
</Properties>
</file>