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F4272" w14:textId="4621BC9C" w:rsidR="00405DAE" w:rsidRDefault="00E6347D" w:rsidP="00E6347D">
      <w:pPr>
        <w:pStyle w:val="Pagedecouverture"/>
        <w:rPr>
          <w:noProof/>
        </w:rPr>
      </w:pPr>
      <w:bookmarkStart w:id="0" w:name="LW_BM_COVERPAGE"/>
      <w:r>
        <w:rPr>
          <w:noProof/>
        </w:rPr>
        <w:pict w14:anchorId="226E8A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A6EF19B9-A1F3-4805-A989-980FE5BE4397" style="width:455.25pt;height:300pt">
            <v:imagedata r:id="rId11" o:title=""/>
          </v:shape>
        </w:pict>
      </w:r>
    </w:p>
    <w:bookmarkEnd w:id="0"/>
    <w:p w14:paraId="7C750CC4" w14:textId="77777777" w:rsidR="00405DAE" w:rsidRDefault="00405DAE" w:rsidP="00405DAE">
      <w:pPr>
        <w:rPr>
          <w:noProof/>
        </w:rPr>
        <w:sectPr w:rsidR="00405DAE" w:rsidSect="00E6347D">
          <w:headerReference w:type="even" r:id="rId12"/>
          <w:headerReference w:type="default" r:id="rId13"/>
          <w:footerReference w:type="even" r:id="rId14"/>
          <w:footerReference w:type="default" r:id="rId15"/>
          <w:headerReference w:type="first" r:id="rId16"/>
          <w:footerReference w:type="first" r:id="rId17"/>
          <w:pgSz w:w="11906" w:h="16838" w:code="9"/>
          <w:pgMar w:top="1134" w:right="1417" w:bottom="1134" w:left="1417" w:header="709" w:footer="709" w:gutter="0"/>
          <w:pgNumType w:start="0"/>
          <w:cols w:space="720"/>
          <w:docGrid w:linePitch="326"/>
        </w:sectPr>
      </w:pPr>
    </w:p>
    <w:p w14:paraId="68D8BD85" w14:textId="00AF1019" w:rsidR="00275D3E" w:rsidRPr="00874CDA" w:rsidRDefault="00F029CA" w:rsidP="008B2403">
      <w:pPr>
        <w:pStyle w:val="Heading1"/>
        <w:numPr>
          <w:ilvl w:val="0"/>
          <w:numId w:val="22"/>
        </w:numPr>
        <w:rPr>
          <w:rFonts w:ascii="Times New Roman Bold" w:hAnsi="Times New Roman Bold" w:cs="Times New Roman" w:hint="eastAsia"/>
          <w:b/>
          <w:bCs/>
          <w:smallCaps/>
          <w:noProof/>
          <w:color w:val="auto"/>
          <w:sz w:val="24"/>
          <w:szCs w:val="24"/>
        </w:rPr>
      </w:pPr>
      <w:bookmarkStart w:id="1" w:name="_GoBack"/>
      <w:bookmarkEnd w:id="1"/>
      <w:r>
        <w:rPr>
          <w:rFonts w:ascii="Times New Roman Bold" w:hAnsi="Times New Roman Bold"/>
          <w:b/>
          <w:smallCaps/>
          <w:noProof/>
          <w:color w:val="auto"/>
          <w:sz w:val="24"/>
        </w:rPr>
        <w:lastRenderedPageBreak/>
        <w:t>Ievads</w:t>
      </w:r>
    </w:p>
    <w:p w14:paraId="53B672A9" w14:textId="1E908D9E" w:rsidR="00E06994" w:rsidRPr="00874CDA" w:rsidRDefault="03B3FCF4" w:rsidP="00E06994">
      <w:pPr>
        <w:pStyle w:val="Text1"/>
        <w:rPr>
          <w:noProof/>
          <w:shd w:val="clear" w:color="auto" w:fill="FFFFFF"/>
        </w:rPr>
      </w:pPr>
      <w:bookmarkStart w:id="2" w:name="_Toc66088924"/>
      <w:bookmarkStart w:id="3" w:name="_Toc66214557"/>
      <w:bookmarkStart w:id="4" w:name="_Toc66216743"/>
      <w:bookmarkStart w:id="5" w:name="_Toc63329291"/>
      <w:bookmarkStart w:id="6" w:name="_Toc63355566"/>
      <w:bookmarkStart w:id="7" w:name="_Toc66088923"/>
      <w:bookmarkStart w:id="8" w:name="_Toc66214556"/>
      <w:bookmarkStart w:id="9" w:name="_Toc66216742"/>
      <w:bookmarkStart w:id="10" w:name="_Toc64585806"/>
      <w:bookmarkStart w:id="11" w:name="_Toc64627748"/>
      <w:bookmarkStart w:id="12" w:name="_Toc64629560"/>
      <w:bookmarkStart w:id="13" w:name="_Toc64629696"/>
      <w:bookmarkStart w:id="14" w:name="_Toc64631996"/>
      <w:bookmarkStart w:id="15" w:name="_Toc64635266"/>
      <w:bookmarkStart w:id="16" w:name="_Toc64638189"/>
      <w:bookmarkStart w:id="17" w:name="_Toc64638311"/>
      <w:bookmarkStart w:id="18" w:name="_Toc64644056"/>
      <w:bookmarkStart w:id="19" w:name="_Toc64648443"/>
      <w:bookmarkStart w:id="20" w:name="_Toc65007736"/>
      <w:bookmarkStart w:id="21" w:name="_Toc65009151"/>
      <w:bookmarkStart w:id="22" w:name="_Toc65009702"/>
      <w:bookmarkStart w:id="23" w:name="_Toc65010811"/>
      <w:bookmarkStart w:id="24" w:name="_Toc65013151"/>
      <w:bookmarkStart w:id="25" w:name="_Toc65050114"/>
      <w:bookmarkStart w:id="26" w:name="_Toc65056271"/>
      <w:bookmarkStart w:id="27" w:name="_Toc65056475"/>
      <w:bookmarkStart w:id="28" w:name="_Toc65056560"/>
      <w:r>
        <w:rPr>
          <w:b/>
          <w:noProof/>
        </w:rPr>
        <w:t>Ziņojumā “Eiropas vide 2025. gadā”</w:t>
      </w:r>
      <w:r>
        <w:rPr>
          <w:rStyle w:val="FootnoteReference"/>
          <w:b/>
          <w:bCs/>
          <w:noProof/>
        </w:rPr>
        <w:footnoteReference w:id="2"/>
      </w:r>
      <w:r>
        <w:rPr>
          <w:b/>
          <w:noProof/>
        </w:rPr>
        <w:t xml:space="preserve"> ir ietverti zinātniski pierādījumi, ka </w:t>
      </w:r>
      <w:r>
        <w:rPr>
          <w:b/>
          <w:noProof/>
          <w:shd w:val="clear" w:color="auto" w:fill="FFFFFF"/>
        </w:rPr>
        <w:t>klimata pārmaiņas un vides degradācija turpina ietekmēt Eiropas konkurētspēju, ekonomiku un noturību</w:t>
      </w:r>
      <w:r>
        <w:rPr>
          <w:noProof/>
          <w:shd w:val="clear" w:color="auto" w:fill="FFFFFF"/>
        </w:rPr>
        <w:t>. Ir steidzami jāpaātrina to rīcībpolitiku un ilgtermiņa ilgtspēju veicinošu darbību īstenošana, par kurām jau panākta vienošanās saistībā ar Eiropas zaļo kursu. Šādas darbības atbilst</w:t>
      </w:r>
      <w:r>
        <w:rPr>
          <w:noProof/>
        </w:rPr>
        <w:t xml:space="preserve"> </w:t>
      </w:r>
      <w:r>
        <w:rPr>
          <w:noProof/>
          <w:shd w:val="clear" w:color="auto" w:fill="FFFFFF"/>
        </w:rPr>
        <w:t>Eiropas Komisijas Konkurētspējas kompasa un tīras rūpniecības kursa prioritātēm inovācijas, dekarbonizācijas un drošības ziņā.</w:t>
      </w:r>
    </w:p>
    <w:p w14:paraId="19598E8B" w14:textId="01028DF8" w:rsidR="00E06994" w:rsidRPr="00874CDA" w:rsidRDefault="00E06994" w:rsidP="00E06994">
      <w:pPr>
        <w:pStyle w:val="Text1"/>
        <w:spacing w:line="259" w:lineRule="auto"/>
        <w:rPr>
          <w:noProof/>
        </w:rPr>
      </w:pPr>
      <w:r>
        <w:rPr>
          <w:b/>
          <w:noProof/>
        </w:rPr>
        <w:t>Tīra vide ir priekšnoteikums konkurētspējīgai un ilgtspējīgai ekonomikai, kas darbojas gan cilvēku, gan planētas labā</w:t>
      </w:r>
      <w:r>
        <w:rPr>
          <w:noProof/>
        </w:rPr>
        <w:t>. Ir pierādīts, ka tīrs gaiss samazina to dienu skaitu, kurās cilvēki neierodas darbā slimības dēļ. Tas arī samazina veselības aprūpes izmaksas</w:t>
      </w:r>
      <w:r>
        <w:rPr>
          <w:rStyle w:val="FootnoteReference"/>
          <w:noProof/>
        </w:rPr>
        <w:footnoteReference w:id="3"/>
      </w:r>
      <w:r>
        <w:rPr>
          <w:noProof/>
        </w:rPr>
        <w:t>. Tīrs okeāns un saldūdens ir vajadzīgi daudziem saimnieciskās darbības veidiem, piemēram, lauksaimniecībai, zivsaimniecībai un akvakultūrai, pārtikas pārstrādei un rūpnieciskajai ražošanai. Piekļuve drošam dzeramajam ūdenim un sanitārijai ir būtiska arī sabiedrības veselībai un labbūtībai. Tīras un veselīgas augsnes ir būtiskas ilgtspējīgai lauksaimniecībai, pozitīvi ietekmē ražu un garantē pārtikas nodrošinājumu un nekaitīgumu. Reglamentējot bīstamu ķīmisko vielu izmantošanu produktos, tiek samazināts cilvēku veselībai un videi radītais risks, veicināta atkritumu apsaimniekošanas prakse, kas atbilst atkritumu hierarhijai un veicina konkurētspējīgu un aprites ekonomiku, nodrošinot inovatīvus, tīrus risinājumus. Pasaules Ekonomikas forums 2025. gadā ir norādījis, ka piesārņojums ir viens no 10 lielākajiem globālajiem riskiem</w:t>
      </w:r>
      <w:r>
        <w:rPr>
          <w:rStyle w:val="FootnoteReference"/>
          <w:noProof/>
        </w:rPr>
        <w:footnoteReference w:id="4"/>
      </w:r>
      <w:r>
        <w:rPr>
          <w:noProof/>
        </w:rPr>
        <w:t>.</w:t>
      </w:r>
    </w:p>
    <w:p w14:paraId="1BBE3979" w14:textId="259CF6A0" w:rsidR="00E06994" w:rsidRPr="00874CDA" w:rsidRDefault="03B3FCF4" w:rsidP="00E06994">
      <w:pPr>
        <w:pStyle w:val="Text1"/>
        <w:rPr>
          <w:noProof/>
        </w:rPr>
      </w:pPr>
      <w:r>
        <w:rPr>
          <w:b/>
          <w:noProof/>
        </w:rPr>
        <w:t>Eiropa ir noteikusi trajektoriju, kā padarīt vidi tīrāku.</w:t>
      </w:r>
      <w:r>
        <w:rPr>
          <w:noProof/>
        </w:rPr>
        <w:t xml:space="preserve"> 2021. gada Nulles piesārņojuma rīcības plānā</w:t>
      </w:r>
      <w:r>
        <w:rPr>
          <w:rStyle w:val="FootnoteReference"/>
          <w:noProof/>
        </w:rPr>
        <w:footnoteReference w:id="5"/>
      </w:r>
      <w:r>
        <w:rPr>
          <w:noProof/>
        </w:rPr>
        <w:t xml:space="preserve"> ir izklāstīts ilgtermiņa mērķis panākt no toksikantiem brīvu vidi</w:t>
      </w:r>
      <w:r>
        <w:rPr>
          <w:rStyle w:val="FootnoteReference"/>
          <w:noProof/>
        </w:rPr>
        <w:footnoteReference w:id="6"/>
      </w:r>
      <w:r>
        <w:rPr>
          <w:noProof/>
        </w:rPr>
        <w:t>, un tas ir viens no galvenajiem ES tīras un apritīgas konkurētspējas programmas pīlāriem. 2050. gadam izvirzītais mērķis ir arī nostiprināts jaunākajos tiesību aktos</w:t>
      </w:r>
      <w:r>
        <w:rPr>
          <w:rStyle w:val="FootnoteReference"/>
          <w:noProof/>
        </w:rPr>
        <w:footnoteReference w:id="7"/>
      </w:r>
      <w:r>
        <w:rPr>
          <w:noProof/>
        </w:rPr>
        <w:t>, lai palīdzētu virzīt zaļo pārkārtošanos. Galvenie atskaites punkti ir 2030. gadam noteiktie mērķrādītāji, ko izmanto, lai novērtētu progresu Nulles piesārņojuma rīcības plāna</w:t>
      </w:r>
      <w:r>
        <w:rPr>
          <w:rStyle w:val="FootnoteReference"/>
          <w:noProof/>
        </w:rPr>
        <w:footnoteReference w:id="8"/>
      </w:r>
      <w:r>
        <w:rPr>
          <w:noProof/>
        </w:rPr>
        <w:t xml:space="preserve"> īstenošanā. Kopā ar Ilgtspēju sekmējošu ķimikāliju stratēģiju</w:t>
      </w:r>
      <w:r>
        <w:rPr>
          <w:rStyle w:val="FootnoteReference"/>
          <w:noProof/>
        </w:rPr>
        <w:footnoteReference w:id="9"/>
      </w:r>
      <w:r>
        <w:rPr>
          <w:noProof/>
        </w:rPr>
        <w:t xml:space="preserve"> rīcības plānā tika paziņots par konkrētām darbībām, kuru mērķis ir virzīt ES uz nulles piesārņojuma līmeņa sasniegšanu, papildinot tās klimata un dabas atjaunošanas mērķus un tādējādi risinot planētas trīskāršo krīzi. Eiropas stratēģiskās autonomijas programma ģeopolitisko juku laikā paredz turpināt virzību uz vērienīgo mērķu sasniegšanu vides jomā.</w:t>
      </w:r>
    </w:p>
    <w:p w14:paraId="3D88A1DF" w14:textId="5A0D0BA1" w:rsidR="00B176B2" w:rsidRDefault="03B3FCF4" w:rsidP="00E06994">
      <w:pPr>
        <w:pStyle w:val="Text1"/>
        <w:rPr>
          <w:noProof/>
        </w:rPr>
      </w:pPr>
      <w:r>
        <w:rPr>
          <w:b/>
          <w:noProof/>
        </w:rPr>
        <w:t>Ir veikti pārveidojoši pasākumi, kas tiks turpināti nākamajos gados</w:t>
      </w:r>
      <w:r>
        <w:rPr>
          <w:rStyle w:val="FootnoteReference"/>
          <w:noProof/>
        </w:rPr>
        <w:footnoteReference w:id="10"/>
      </w:r>
      <w:r>
        <w:rPr>
          <w:noProof/>
        </w:rPr>
        <w:t>. Komisija ir skaidri norādījusi, ka nulles piesārņojuma mērķi ir cieši saistīti ar konkurētspējīgas un noturīgas Eiropas prioritātēm. Galvenā uzmanība tiks pievērsta saskaņoto tiesību aktu īstenošanai, īpašu uzmanību pievēršot tam, lai dalībvalstīm un uzņēmumiem būtu vieglāk tos ievērot</w:t>
      </w:r>
      <w:r>
        <w:rPr>
          <w:rStyle w:val="FootnoteReference"/>
          <w:noProof/>
        </w:rPr>
        <w:footnoteReference w:id="11"/>
      </w:r>
      <w:r>
        <w:rPr>
          <w:noProof/>
        </w:rPr>
        <w:t>. Tas būs priekšnoteikums virzībai uz nulles piesārņojumu. Saskaņā ar politikas pamatnostādnēm 2024.–2029. gadam vairākās pamatpolitikās, piemēram, tīras rūpniecības kursā, Konkurētspējas kompasā, Ūdensresursu noturības stratēģijā, Eiropas Okeāna paktā, redzējumā par lauksaimniecības un pārtikas nozari un Ķīmiskās rūpniecības rīcības plānā, kā arī Bioekonomikas stratēģijā</w:t>
      </w:r>
      <w:r>
        <w:rPr>
          <w:rStyle w:val="FootnoteReference"/>
          <w:noProof/>
        </w:rPr>
        <w:footnoteReference w:id="12"/>
      </w:r>
      <w:r>
        <w:rPr>
          <w:noProof/>
        </w:rPr>
        <w:t>, ir paziņots par turpmākām darbībām, kuru uzdevums ir palīdzēt panākt nulles piesārņojumu. Dažu konstatēto trūkumu novēršanā izšķiroša nozīme būs arī svarīgām stratēģiskām iniciatīvām, piemēram, gaidāmajam Aprites ekonomikas aktam, Ķimikāliju reģistrēšanas, vērtēšanas, licencēšanas un ierobežošanas (</w:t>
      </w:r>
      <w:r>
        <w:rPr>
          <w:i/>
          <w:noProof/>
        </w:rPr>
        <w:t>REACH</w:t>
      </w:r>
      <w:r>
        <w:rPr>
          <w:noProof/>
        </w:rPr>
        <w:t>) pārskatīšanai un darbībām, kas saistītas ar programmu “Viena veselība”, piemēram, profilaktiskajai veselības aprūpei.</w:t>
      </w:r>
    </w:p>
    <w:p w14:paraId="4AF3B840" w14:textId="2C6B1CA3" w:rsidR="00E06994" w:rsidRPr="00874CDA" w:rsidRDefault="03B3FCF4" w:rsidP="00E06994">
      <w:pPr>
        <w:pStyle w:val="Text1"/>
        <w:rPr>
          <w:noProof/>
        </w:rPr>
      </w:pPr>
      <w:r>
        <w:rPr>
          <w:b/>
          <w:noProof/>
        </w:rPr>
        <w:t>Ir jāstiprina neizmantotais inovācijas potenciāls nulles piesārņojuma panākšanai</w:t>
      </w:r>
      <w:r>
        <w:rPr>
          <w:noProof/>
        </w:rPr>
        <w:t>. ES vides ekonomika</w:t>
      </w:r>
      <w:r>
        <w:rPr>
          <w:rStyle w:val="FootnoteReference"/>
          <w:noProof/>
        </w:rPr>
        <w:footnoteReference w:id="13"/>
      </w:r>
      <w:r>
        <w:rPr>
          <w:noProof/>
        </w:rPr>
        <w:t xml:space="preserve"> 2022. gadā turpināja augt straujāk nekā ekonomika kopumā nodarbinātības un pievienotās vērtības ziņā</w:t>
      </w:r>
      <w:r>
        <w:rPr>
          <w:rStyle w:val="FootnoteReference"/>
          <w:noProof/>
        </w:rPr>
        <w:footnoteReference w:id="14"/>
      </w:r>
      <w:r>
        <w:rPr>
          <w:noProof/>
        </w:rPr>
        <w:t xml:space="preserve">. Atbalstot zaļās nozares, pārkvalificējot darbaspēku, pārskatot darījumdarbības modeļus un samazinot administratīvo slogu, jo īpaši maziem un vidējiem uzņēmumiem (MVU) un mikrouzņēmumiem, sabiedrība var panākt ilgtspējīgu labklājību un konkurētspēju. Dažu pēdējo gadu laikā pamatprogrammas “Apvārsnis Eiropa” un </w:t>
      </w:r>
      <w:r>
        <w:rPr>
          <w:i/>
          <w:noProof/>
        </w:rPr>
        <w:t>LIFE</w:t>
      </w:r>
      <w:r>
        <w:rPr>
          <w:noProof/>
        </w:rPr>
        <w:t xml:space="preserve"> finansējums ir palīdzējis izstrādāt revolucionārus risinājumus. Tā rezultātā ir novēroti daudzi veiksmes stāsti,un daži no tiem minēti arī šajā dokumentā. Eiropas Savienības radītā ekoinovācija ir ļoti attīstīta. Lai sekmētu ES zaļās ekonomikas augsto tehnoloģiju konkurētspēju, ekoinovācija ir pilnvērtīgāk jāizmanto komerciālās jomās Eiropas Savienībā.</w:t>
      </w:r>
    </w:p>
    <w:p w14:paraId="02F053E2" w14:textId="41840398" w:rsidR="00E06994" w:rsidRPr="00874CDA" w:rsidRDefault="00E06994" w:rsidP="00E06994">
      <w:pPr>
        <w:pStyle w:val="Text1"/>
        <w:rPr>
          <w:noProof/>
        </w:rPr>
      </w:pPr>
      <w:r>
        <w:rPr>
          <w:b/>
          <w:noProof/>
        </w:rPr>
        <w:t>Stingrāki vides noteikumi arī liek uzņēmumiem izstrādāt inovācijas.</w:t>
      </w:r>
      <w:r>
        <w:rPr>
          <w:noProof/>
        </w:rPr>
        <w:t xml:space="preserve"> ES vides tiesību akti var kalpot par atbalstu zaļu un tīru inovatīvu risinājumu ieviešanai. Zaļa un tīra inovācija var veicināt ražīgumu un radīt jaunus tirgus</w:t>
      </w:r>
      <w:r>
        <w:rPr>
          <w:rStyle w:val="FootnoteReference"/>
          <w:noProof/>
        </w:rPr>
        <w:footnoteReference w:id="15"/>
      </w:r>
      <w:r>
        <w:rPr>
          <w:noProof/>
        </w:rPr>
        <w:t>. ESAO ir norādījusi, ka zaļās nozares rada jaunas vērtības ķēdes un jaunus risinājumus, kas nodrošina lielāku efektivitāti un izmaksu ietaupījumus. Pasaules Ekonomikas forums uzskata, ka valstis, kam ir vadoša pozīcija zaļo tehnoloģiju jomā, var dominēt jaunietekmes tirgos. Tas ir arī norādījis, ka 80 % pasaules uzņēmumu pašlaik inovācijas stratēģijās integrē ilgtspēju</w:t>
      </w:r>
      <w:r>
        <w:rPr>
          <w:rStyle w:val="FootnoteReference"/>
          <w:noProof/>
        </w:rPr>
        <w:footnoteReference w:id="16"/>
      </w:r>
      <w:r>
        <w:rPr>
          <w:noProof/>
        </w:rPr>
        <w:t>. Nesen ESAO apstiprināja, ka pat nelieli gaisa kvalitātes uzlabojumi var palielināt ražīgumu</w:t>
      </w:r>
      <w:r>
        <w:rPr>
          <w:rStyle w:val="FootnoteReference"/>
          <w:noProof/>
        </w:rPr>
        <w:footnoteReference w:id="17"/>
      </w:r>
      <w:r>
        <w:rPr>
          <w:noProof/>
        </w:rPr>
        <w:t>.</w:t>
      </w:r>
    </w:p>
    <w:p w14:paraId="58CEB667" w14:textId="008AB6F0" w:rsidR="00E06994" w:rsidRPr="00874CDA" w:rsidRDefault="00E06994" w:rsidP="00E06994">
      <w:pPr>
        <w:pStyle w:val="Text1"/>
        <w:rPr>
          <w:noProof/>
        </w:rPr>
      </w:pPr>
      <w:r>
        <w:rPr>
          <w:b/>
          <w:noProof/>
        </w:rPr>
        <w:t xml:space="preserve">Lai atraisītu inovācijas potenciālu, liela nozīme ir investīcijām. </w:t>
      </w:r>
      <w:r>
        <w:rPr>
          <w:noProof/>
        </w:rPr>
        <w:t>Pašlaik potenciālais nenodrošināto investīciju apjoms ES vides tiesību aktu īstenošanai ir 58 miljardi EUR gadā (0,4 % no ES IKP)</w:t>
      </w:r>
      <w:r>
        <w:rPr>
          <w:rStyle w:val="FootnoteReference"/>
          <w:noProof/>
        </w:rPr>
        <w:footnoteReference w:id="18"/>
      </w:r>
      <w:r>
        <w:rPr>
          <w:noProof/>
        </w:rPr>
        <w:t>. Jaunā daudzgadu finanšu shēma piedāvā jaunas iespējas nodrošināt sākotnējo publisko finansējumu. Ir vajadzīgi arī privātie ieguldījumi, ko var palīdzēt piesaistīt publiskā un privātā sektora iniciatīvas. Atdeve no investīcijām saistībā ar piesārņojuma novēršanu ir daudz lielāka nekā izmaksas. Gaisa piesārņojuma novēršanas jomā tiek lēsts, ka šī atdeve ir 700 %, pateicoties mazākiem veselības aprūpes izdevumiem, mazākam ražas zudumam ozona dēļ, mazākam prombūtnes no darba dienu skaitam slimības dēļ un augstākam ražīgumam darbā</w:t>
      </w:r>
      <w:r>
        <w:rPr>
          <w:rStyle w:val="FootnoteReference"/>
          <w:noProof/>
        </w:rPr>
        <w:footnoteReference w:id="19"/>
      </w:r>
      <w:r>
        <w:rPr>
          <w:noProof/>
        </w:rPr>
        <w:t>.</w:t>
      </w:r>
    </w:p>
    <w:p w14:paraId="0D387B32" w14:textId="6498CB0F" w:rsidR="00E06994" w:rsidRPr="00874CDA" w:rsidRDefault="00E06994" w:rsidP="00E06994">
      <w:pPr>
        <w:pStyle w:val="Text1"/>
        <w:rPr>
          <w:noProof/>
        </w:rPr>
      </w:pPr>
      <w:r>
        <w:rPr>
          <w:b/>
          <w:noProof/>
        </w:rPr>
        <w:t>Arvien vairāk uzņēmumu, pilsētu un reģionu uzņemas vadību</w:t>
      </w:r>
      <w:r>
        <w:rPr>
          <w:noProof/>
        </w:rPr>
        <w:t>. Tie apliecina, ka zaļā pārkārtošanās, arī pāreja uz nulles piesārņojumu, ir iespējama un sniedz taustāmus ieguvumus. Šā ziņojuma mērķis ir neizsmeļoši iepazīstināt ar dažiem no līderiem.</w:t>
      </w:r>
    </w:p>
    <w:p w14:paraId="4ADAD540" w14:textId="54B2EF4B" w:rsidR="00E06994" w:rsidRPr="00874CDA" w:rsidRDefault="00E06994" w:rsidP="00E06994">
      <w:pPr>
        <w:pStyle w:val="Text1"/>
        <w:rPr>
          <w:noProof/>
        </w:rPr>
      </w:pPr>
      <w:r>
        <w:rPr>
          <w:b/>
          <w:noProof/>
        </w:rPr>
        <w:t>Tagad ir pienācis laiks izvērtēt progresu un ieskicēt turpmākos pasākumus.</w:t>
      </w:r>
      <w:r>
        <w:rPr>
          <w:noProof/>
        </w:rPr>
        <w:t xml:space="preserve"> Šajā ziņojumā ir izklāstīts 2021. gadā izziņotā rīcības plāna</w:t>
      </w:r>
      <w:r>
        <w:rPr>
          <w:rStyle w:val="FootnoteReference"/>
          <w:noProof/>
        </w:rPr>
        <w:footnoteReference w:id="20"/>
      </w:r>
      <w:r>
        <w:rPr>
          <w:noProof/>
        </w:rPr>
        <w:t xml:space="preserve"> vidusposma pārskats. Tā pamatā ir konstatējumi, kas izdarīti jaunākajā Eiropas Vides aģentūras (EVA) ziņojumā “Eiropas vide 2025. gadā”</w:t>
      </w:r>
      <w:r>
        <w:rPr>
          <w:rStyle w:val="FootnoteReference"/>
          <w:noProof/>
        </w:rPr>
        <w:footnoteReference w:id="21"/>
      </w:r>
      <w:r>
        <w:rPr>
          <w:noProof/>
        </w:rPr>
        <w:t>, kura pamatā ir otrais nulles piesārņojuma monitorings un perspektīva 2025. gadam</w:t>
      </w:r>
      <w:r>
        <w:rPr>
          <w:rStyle w:val="FootnoteReference"/>
          <w:noProof/>
        </w:rPr>
        <w:footnoteReference w:id="22"/>
      </w:r>
      <w:bookmarkEnd w:id="2"/>
      <w:bookmarkEnd w:id="3"/>
      <w:bookmarkEnd w:id="4"/>
      <w:r>
        <w:rPr>
          <w:noProof/>
        </w:rPr>
        <w:t>.</w:t>
      </w:r>
    </w:p>
    <w:p w14:paraId="4833D8E8" w14:textId="77777777" w:rsidR="00E06994" w:rsidRPr="00874CDA" w:rsidRDefault="00E06994" w:rsidP="00E06994">
      <w:pPr>
        <w:pStyle w:val="Heading1"/>
        <w:numPr>
          <w:ilvl w:val="0"/>
          <w:numId w:val="22"/>
        </w:numPr>
        <w:rPr>
          <w:rFonts w:ascii="Times New Roman Bold" w:hAnsi="Times New Roman Bold" w:cs="Times New Roman" w:hint="eastAsia"/>
          <w:b/>
          <w:bCs/>
          <w:smallCaps/>
          <w:noProof/>
          <w:color w:val="auto"/>
          <w:sz w:val="24"/>
          <w:szCs w:val="24"/>
        </w:rPr>
      </w:pPr>
      <w:r>
        <w:rPr>
          <w:rFonts w:ascii="Times New Roman Bold" w:hAnsi="Times New Roman Bold"/>
          <w:b/>
          <w:smallCaps/>
          <w:noProof/>
          <w:color w:val="auto"/>
          <w:sz w:val="24"/>
        </w:rPr>
        <w:t xml:space="preserve">Progress virzībā uz tīru </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rFonts w:ascii="Times New Roman Bold" w:hAnsi="Times New Roman Bold"/>
          <w:b/>
          <w:smallCaps/>
          <w:noProof/>
          <w:color w:val="auto"/>
          <w:sz w:val="24"/>
        </w:rPr>
        <w:t>vidi (kopš 2021. gada)</w:t>
      </w:r>
    </w:p>
    <w:p w14:paraId="08152243" w14:textId="6F92E450" w:rsidR="00E06994" w:rsidRPr="00874CDA" w:rsidRDefault="03B3FCF4" w:rsidP="00E06994">
      <w:pPr>
        <w:pStyle w:val="Text1"/>
        <w:rPr>
          <w:noProof/>
        </w:rPr>
      </w:pPr>
      <w:r>
        <w:rPr>
          <w:b/>
          <w:noProof/>
        </w:rPr>
        <w:t>Progress nulles piesārņojuma mērķrādītāju sasniegšanā ir iepriecinošs, bet neviendabīgs.</w:t>
      </w:r>
      <w:r>
        <w:rPr>
          <w:noProof/>
        </w:rPr>
        <w:t xml:space="preserve"> Jaunākajā novērtējumā tika konstatēts, ka ir ievērojami samazināts gaisa piesārņojums</w:t>
      </w:r>
      <w:r>
        <w:rPr>
          <w:rStyle w:val="FootnoteReference"/>
          <w:noProof/>
        </w:rPr>
        <w:footnoteReference w:id="23"/>
      </w:r>
      <w:r>
        <w:rPr>
          <w:noProof/>
        </w:rPr>
        <w:t>, pesticīdu lietošana un to radītais risks, antimikrobiālo līdzekļu pārdošana un plastmasas piesārņojums jūrā (ko uzrauga, vadoties pēc pludmales piedrazojuma apjomiem)</w:t>
      </w:r>
      <w:r>
        <w:rPr>
          <w:rStyle w:val="FootnoteReference"/>
          <w:noProof/>
        </w:rPr>
        <w:footnoteReference w:id="24"/>
      </w:r>
      <w:r>
        <w:rPr>
          <w:noProof/>
        </w:rPr>
        <w:t>. Attiecībā uz trokšņa piesārņojumu</w:t>
      </w:r>
      <w:r>
        <w:rPr>
          <w:rStyle w:val="FootnoteReference"/>
          <w:noProof/>
        </w:rPr>
        <w:footnoteReference w:id="25"/>
      </w:r>
      <w:r>
        <w:rPr>
          <w:noProof/>
        </w:rPr>
        <w:t xml:space="preserve"> un ūdeņu piesārņojumu ar barības vielām, kā arī atkritumiem tendences ir stabilas, taču tiek lēsts, ka piesārņojums ar mikroplastmasu pēdējos gados ir palielinājies. Ierobežots progress vai tā trūkums dažās jomās daļēji ir skaidrojams ar laika nobīdi starp jaunu pasākumu īstenošanu un to ietekmes saskatīšanu</w:t>
      </w:r>
      <w:r>
        <w:rPr>
          <w:rStyle w:val="FootnoteReference"/>
          <w:noProof/>
        </w:rPr>
        <w:footnoteReference w:id="26"/>
      </w:r>
      <w:r>
        <w:rPr>
          <w:noProof/>
        </w:rPr>
        <w:t>, kā arī ar datu ierobežojumiem.</w:t>
      </w:r>
    </w:p>
    <w:p w14:paraId="2DD01FFC" w14:textId="5C7B63F3" w:rsidR="00E06994" w:rsidRPr="00874CDA" w:rsidRDefault="03B3FCF4" w:rsidP="00E06994">
      <w:pPr>
        <w:pStyle w:val="Text1"/>
        <w:rPr>
          <w:noProof/>
        </w:rPr>
      </w:pPr>
      <w:r>
        <w:rPr>
          <w:b/>
          <w:noProof/>
        </w:rPr>
        <w:t xml:space="preserve">Nulles piesārņojuma tiesiskais regulējums lielākoties ir ieviests. </w:t>
      </w:r>
      <w:r>
        <w:rPr>
          <w:noProof/>
        </w:rPr>
        <w:t xml:space="preserve">Pēdējo sešu gadu laikā </w:t>
      </w:r>
      <w:r>
        <w:rPr>
          <w:rStyle w:val="normaltextrun"/>
          <w:noProof/>
          <w:color w:val="333333"/>
        </w:rPr>
        <w:t>ES noteikumi ir pārskatīti, lai izvirzītu vērienīgākus mērķus</w:t>
      </w:r>
      <w:r>
        <w:rPr>
          <w:rStyle w:val="normaltextrun"/>
          <w:noProof/>
        </w:rPr>
        <w:t xml:space="preserve"> 2050. gada redzējuma un 2030. gada mērķrādītāju sasniegšanai.</w:t>
      </w:r>
      <w:r>
        <w:rPr>
          <w:rStyle w:val="normaltextrun"/>
          <w:noProof/>
          <w:color w:val="333333"/>
        </w:rPr>
        <w:t xml:space="preserve"> Dažās jomās ES tiesību aktu darbības joma ir paplašināta, lai aptvertu lielāku skaitu piesārņojošo darbību. </w:t>
      </w:r>
      <w:r>
        <w:rPr>
          <w:noProof/>
        </w:rPr>
        <w:t>Ir panākta vienošanās arī par dabas atjaunošanas pasākumiem. Komisijai un dalībvalstīm ir jāpieliek pūles, lai uzraudzītu darbības atļaujas un piešķirtu atjauninātas atļaujas (piemēram, attiecībā uz emisijām gaisā, ūdenī un rūpnieciskajām emisijām), lai uz vietas varētu gūt daudzsološus rezultātus</w:t>
      </w:r>
      <w:r>
        <w:rPr>
          <w:rStyle w:val="FootnoteReference"/>
          <w:noProof/>
        </w:rPr>
        <w:footnoteReference w:id="27"/>
      </w:r>
      <w:r>
        <w:rPr>
          <w:noProof/>
        </w:rPr>
        <w:t xml:space="preserve">. </w:t>
      </w:r>
      <w:r>
        <w:rPr>
          <w:rStyle w:val="normaltextrun"/>
          <w:noProof/>
          <w:color w:val="333333"/>
        </w:rPr>
        <w:t>Kad izrietošie pasākumi būs īstenoti,</w:t>
      </w:r>
      <w:r>
        <w:rPr>
          <w:noProof/>
        </w:rPr>
        <w:t xml:space="preserve"> tie novērsīs vai samazinās piesārņojumu.</w:t>
      </w:r>
    </w:p>
    <w:p w14:paraId="2467D081" w14:textId="451DBE5D" w:rsidR="00E06994" w:rsidRPr="00874CDA" w:rsidRDefault="03B3FCF4" w:rsidP="00E06994">
      <w:pPr>
        <w:pStyle w:val="Text1"/>
        <w:rPr>
          <w:noProof/>
        </w:rPr>
      </w:pPr>
      <w:r>
        <w:rPr>
          <w:b/>
          <w:noProof/>
        </w:rPr>
        <w:t>Atbalsta un sagatavošanas darbības ir likušas pamatus nākotnei</w:t>
      </w:r>
      <w:r>
        <w:rPr>
          <w:rStyle w:val="FootnoteReference"/>
          <w:noProof/>
        </w:rPr>
        <w:footnoteReference w:id="28"/>
      </w:r>
      <w:r>
        <w:rPr>
          <w:noProof/>
        </w:rPr>
        <w:t>. Piemēram, Jūras stratēģijas pamatdirektīvas izvērtēšanas rezultātā tika paziņots par tās gaidāmo pārskatīšanu</w:t>
      </w:r>
      <w:r>
        <w:rPr>
          <w:rStyle w:val="FootnoteReference"/>
          <w:noProof/>
        </w:rPr>
        <w:footnoteReference w:id="29"/>
      </w:r>
      <w:r>
        <w:rPr>
          <w:noProof/>
        </w:rPr>
        <w:t>, kas ir būtisks Okeāna pakta izvēršanas elements. Citos izvērtējumos, piemēram, par peldvietu ūdeni, emisijām gaisā un notekūdeņu dūņām, ir apzinātas jomas, kurās ir vajadzīga labāka īstenošana</w:t>
      </w:r>
      <w:r>
        <w:rPr>
          <w:rStyle w:val="FootnoteReference"/>
          <w:noProof/>
        </w:rPr>
        <w:footnoteReference w:id="30"/>
      </w:r>
      <w:r>
        <w:rPr>
          <w:noProof/>
        </w:rPr>
        <w:t>. Pavaddokumentā par iekštelpu gaisa kvalitāti ir noteiktas vairākas ES normas, kas var palīdzēt dalībvalstīm veikt īpaši pielāgotus uzlabojumus</w:t>
      </w:r>
      <w:r>
        <w:rPr>
          <w:rStyle w:val="FootnoteReference"/>
          <w:noProof/>
        </w:rPr>
        <w:footnoteReference w:id="31"/>
      </w:r>
      <w:r>
        <w:rPr>
          <w:noProof/>
        </w:rPr>
        <w:t>. Rīcības plāna deviņām pamatiniciatīvām lielākā vai mazākā mērā ir izdevies nulles piesārņojumu integrēt arī citās politikas jomās</w:t>
      </w:r>
      <w:r>
        <w:rPr>
          <w:rStyle w:val="FootnoteReference"/>
          <w:noProof/>
        </w:rPr>
        <w:footnoteReference w:id="32"/>
      </w:r>
      <w:r>
        <w:rPr>
          <w:noProof/>
        </w:rPr>
        <w:t>.</w:t>
      </w:r>
    </w:p>
    <w:p w14:paraId="3DB6A30E" w14:textId="680B6DAB" w:rsidR="00E06994" w:rsidRPr="00874CDA" w:rsidRDefault="03B3FCF4" w:rsidP="00E06994">
      <w:pPr>
        <w:pStyle w:val="Text1"/>
        <w:rPr>
          <w:noProof/>
        </w:rPr>
      </w:pPr>
      <w:r>
        <w:rPr>
          <w:b/>
          <w:noProof/>
        </w:rPr>
        <w:t>Dažas nulles piesārņojuma darbības vēl nav īstenotas</w:t>
      </w:r>
      <w:r>
        <w:rPr>
          <w:noProof/>
        </w:rPr>
        <w:t>. Galvenie tiesību aktu priekšlikumi, piemēram, par ūdens piesārņotājiem</w:t>
      </w:r>
      <w:r>
        <w:rPr>
          <w:rStyle w:val="FootnoteReference"/>
          <w:noProof/>
        </w:rPr>
        <w:footnoteReference w:id="33"/>
      </w:r>
      <w:r>
        <w:rPr>
          <w:noProof/>
        </w:rPr>
        <w:t>, veselīgu augsni</w:t>
      </w:r>
      <w:r>
        <w:rPr>
          <w:rStyle w:val="FootnoteReference"/>
          <w:noProof/>
        </w:rPr>
        <w:footnoteReference w:id="34"/>
      </w:r>
      <w:r>
        <w:rPr>
          <w:noProof/>
        </w:rPr>
        <w:t xml:space="preserve"> un pieeju “Viena viela, viens novērtējums”</w:t>
      </w:r>
      <w:r>
        <w:rPr>
          <w:rStyle w:val="FootnoteReference"/>
          <w:noProof/>
        </w:rPr>
        <w:footnoteReference w:id="35"/>
      </w:r>
      <w:r>
        <w:rPr>
          <w:noProof/>
        </w:rPr>
        <w:t>, ir tikko stājušies spēkā vai arī drīz stāsies spēkā pēc ilgām sarunām. Daži izvērtējumi, jo īpaši principa “piesārņotājs maksā” atbilstības pārbaude vai Direktīvas par atbildību vides jomā izvērtējums, vēl nav pabeigti. Citi notiekošie izvērtējumi attiecas uz vienreizlietojamiem plastmasas izstrādājumiem un nitrātiem. Darbības, kuru mērķis ir palīdzēt lauksaimniekiem īstenot mazāk piesārņojošu barības vielu pārvaldības praksi</w:t>
      </w:r>
      <w:r>
        <w:rPr>
          <w:rStyle w:val="FootnoteReference"/>
          <w:noProof/>
        </w:rPr>
        <w:footnoteReference w:id="36"/>
      </w:r>
      <w:r>
        <w:rPr>
          <w:noProof/>
        </w:rPr>
        <w:t>, ir aizkavējušās saistībā ar to, ka ir atlikta Integrētas barības vielu pārvaldības rīcības plāna īstenošana. Tikmēr dažas relevantas darbības ir iekļautas Eiropas Ūdensresursu noturības stratēģijā</w:t>
      </w:r>
      <w:r>
        <w:rPr>
          <w:rStyle w:val="FootnoteReference"/>
          <w:noProof/>
        </w:rPr>
        <w:footnoteReference w:id="37"/>
      </w:r>
      <w:r>
        <w:rPr>
          <w:noProof/>
        </w:rPr>
        <w:t>. Komisija ir atsaukusi priekšlikumu regulai par augu aizsardzības līdzekļu ilgtspējīgu lietošanu, jo likumdevējiem trūka politiskā atbalsta.</w:t>
      </w:r>
    </w:p>
    <w:p w14:paraId="229A20C9" w14:textId="197B2013" w:rsidR="00E06994" w:rsidRPr="00874CDA" w:rsidRDefault="00584A5B" w:rsidP="00E06994">
      <w:pPr>
        <w:pStyle w:val="Text1"/>
        <w:rPr>
          <w:b/>
          <w:bCs/>
          <w:noProof/>
        </w:rPr>
      </w:pPr>
      <w:r>
        <w:rPr>
          <w:b/>
          <w:noProof/>
        </w:rPr>
        <w:t>ES ir pacēlusi sava redzējuma par nulles piesārņojumu latiņu</w:t>
      </w:r>
      <w:r>
        <w:rPr>
          <w:noProof/>
        </w:rPr>
        <w:t>. Tikmēr nulles piesārņojuma monitoringa un perspektīvas izstrāde un iepazīstināšana ar diviem novērtējuma ziņojumiem</w:t>
      </w:r>
      <w:r>
        <w:rPr>
          <w:rStyle w:val="FootnoteReference"/>
          <w:noProof/>
        </w:rPr>
        <w:footnoteReference w:id="38"/>
      </w:r>
      <w:r>
        <w:rPr>
          <w:noProof/>
        </w:rPr>
        <w:t xml:space="preserve"> ir sniegusi integrētu, visaptverošu un uz nākotni vērstu pārskatu par visiem piesārņojuma veidiem un to ietekmi uz cilvēka veselību un biodaudzveidību. Šā darba pamatā ir ievērojams tematiskais darbs, piemēram, modelēšana pārskatam par programmu “Tīru gaisu Eiropā”</w:t>
      </w:r>
      <w:r>
        <w:rPr>
          <w:rStyle w:val="FootnoteReference"/>
          <w:noProof/>
        </w:rPr>
        <w:footnoteReference w:id="39"/>
      </w:r>
      <w:r>
        <w:rPr>
          <w:noProof/>
        </w:rPr>
        <w:t>, kurā novērtēta gaisa piesārņotāju emisiju samazināšanas ietekme, ņemot vērā tās sekas, izmaksas un ieguvumus sabiedrībai, vai jaunais ES ķimikāliju rādītāju satvars</w:t>
      </w:r>
      <w:r>
        <w:rPr>
          <w:rStyle w:val="FootnoteReference"/>
          <w:noProof/>
        </w:rPr>
        <w:footnoteReference w:id="40"/>
      </w:r>
      <w:r>
        <w:rPr>
          <w:noProof/>
        </w:rPr>
        <w:t>, kurā aplūkoti ķīmiskā piesārņojuma cēloņi un ietekme.</w:t>
      </w:r>
    </w:p>
    <w:p w14:paraId="0DE88A8D" w14:textId="238A4269" w:rsidR="00E06994" w:rsidRPr="00874CDA" w:rsidRDefault="00430515" w:rsidP="00E06994">
      <w:pPr>
        <w:pStyle w:val="Text1"/>
        <w:rPr>
          <w:noProof/>
        </w:rPr>
      </w:pPr>
      <w:r>
        <w:rPr>
          <w:b/>
          <w:noProof/>
        </w:rPr>
        <w:t xml:space="preserve">Joprojām trūkst zināšanu un datu. </w:t>
      </w:r>
      <w:r>
        <w:rPr>
          <w:noProof/>
        </w:rPr>
        <w:t>Daži rādītāji, ar kuriem uzrauga progresu nulles piesārņojuma mērķrādītāju sasniegšanā, nav pietiekami, lai liecinātu par piesārņojuma samazinājumu ūdenī vai augsnē (piemēram, pesticīdu un antimikrobiālo līdzekļu izmantošanas ziņā), vai arī trūkst regulāru datu plūsmu, lai tos novērtētu (piemēram, par barības vielu zudumu un mikroplastmasu). Dati dažkārt ir novēloti, nepilnīgi vai nekvalitatīvi. Citas nepilnības ir datu pieejamība par vielu, kas rada bažas, klātbūtni gan produktos, gan atkritumu plūsmās. Labāka digitalizācijas un jaunāku monitoringa paņēmienu izmantošana, arī zemes satelītnovērošana un reāllaika (tiešsaistes) monitorings, izmantojot piemērotus sensorus, var palīdzēt pārvarēt šīs problēmas. Pastāv īpašs zināšanu trūkums par konkrētu piesārņotāju, proti, mikroplastmasas, antropogēnā trokšņa un gaismas piesārņojuma, ietekmi uz veselību un biodaudzveidību. Turklāt trūkst izpratnes par ietekmi uz veselību, ko rada dažādu piesārņotāju ietekme uz cilvēkiem, cita starpā arī kombinētā ietekme, kas rodas, kad indivīdi vienlaikus tiek pakļauti vairāku ķīmisko vielu iedarbībai. ES Ūdensresursu noturības stratēģijā, kā arī ES okeānu pētniecības un inovācijas stratēģijā tiks novērtētas atlikušās zināšanu nepilnības ūdensresursu noturības un okeānu aizsardzības jomā, nosakot attiecīgās prioritātes arī nulles piesārņojuma sasniegšanai.</w:t>
      </w:r>
    </w:p>
    <w:p w14:paraId="2D17FA4C" w14:textId="0A2270E4"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Komisija:</w:t>
      </w:r>
    </w:p>
    <w:p w14:paraId="2A88412C" w14:textId="4AF9B1D3"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turpinās dalīties ar paraugpraksi un veicināt inovatīvus risinājumus,</w:t>
      </w:r>
    </w:p>
    <w:p w14:paraId="474C0230" w14:textId="2D3D1D4D" w:rsidR="00006022"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izveidos agrīnās brīdināšanas un rīcības sistēmu (ABRS) (pienācīgi īstenojot tiesību aktus, kas paredz pieeju “viena viela, viens novērtējums”),</w:t>
      </w:r>
    </w:p>
    <w:p w14:paraId="4838EED4" w14:textId="2D54E760" w:rsidR="00E06994" w:rsidRPr="00874CDA" w:rsidRDefault="00006022"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sagatavos pētniecības un inovācijas stratēģijas ūdensresursu noturības un okeānu aizsardzības jomā,</w:t>
      </w:r>
    </w:p>
    <w:p w14:paraId="4B2F1D8C" w14:textId="6422FD1B"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turpinās ieguldīt pierādījumu bāzes uzlabošanā, lai gūtu labākus datus, rādītājus, novērtējumus un modelēšanu.</w:t>
      </w:r>
    </w:p>
    <w:p w14:paraId="698D583A" w14:textId="77777777" w:rsidR="00E06994" w:rsidRPr="00874CDA" w:rsidRDefault="00E06994" w:rsidP="00E06994">
      <w:pPr>
        <w:pStyle w:val="Heading1"/>
        <w:numPr>
          <w:ilvl w:val="0"/>
          <w:numId w:val="22"/>
        </w:numPr>
        <w:rPr>
          <w:rFonts w:ascii="Times New Roman Bold" w:hAnsi="Times New Roman Bold" w:cs="Times New Roman" w:hint="eastAsia"/>
          <w:b/>
          <w:bCs/>
          <w:smallCaps/>
          <w:noProof/>
          <w:color w:val="auto"/>
          <w:sz w:val="24"/>
          <w:szCs w:val="24"/>
        </w:rPr>
      </w:pPr>
      <w:r>
        <w:rPr>
          <w:rFonts w:ascii="Times New Roman Bold" w:hAnsi="Times New Roman Bold"/>
          <w:b/>
          <w:smallCaps/>
          <w:noProof/>
          <w:color w:val="auto"/>
          <w:sz w:val="24"/>
        </w:rPr>
        <w:t>Tīras vides perspektīva līdz 2030. gadam un pēc tam</w:t>
      </w:r>
    </w:p>
    <w:p w14:paraId="6E7E9723" w14:textId="28A5F3C4" w:rsidR="00E06994" w:rsidRPr="00874CDA" w:rsidRDefault="03B3FCF4" w:rsidP="00E06994">
      <w:pPr>
        <w:pStyle w:val="Text1"/>
        <w:rPr>
          <w:noProof/>
        </w:rPr>
      </w:pPr>
      <w:bookmarkStart w:id="29" w:name="_Toc63329293"/>
      <w:bookmarkStart w:id="30" w:name="_Toc63355568"/>
      <w:bookmarkEnd w:id="29"/>
      <w:bookmarkEnd w:id="30"/>
      <w:r>
        <w:rPr>
          <w:b/>
          <w:noProof/>
        </w:rPr>
        <w:t>Progress, kas panākts virzībā uz 2030. gadam izvirzīto mērķrādītāju sasniegšanu, lielā mērā būs atkarīgs no valstu īstenošanas centieniem.</w:t>
      </w:r>
      <w:r>
        <w:rPr>
          <w:noProof/>
        </w:rPr>
        <w:t xml:space="preserve"> Pat tad, ja prognozes liecina, ka visu mērķrādītāju pilnīga sasniegšana līdz 2030. gadam ir maz ticama, joprojām var panākt ievērojamu progresu, ja valsts, reģionālie un vietējie dalībnieki ātri un vērienīgi īstenos saskaņotos tiesību aktus un rīcībpolitikas. Piemēram, transporta radītā trokšņa gadījumā (mērķis līdz 2030. gadam par 30 % samazināt to cilvēku īpatsvaru, kurus pastāvīgi traucē transports) īstenojot pozitīvu scenāriju ar papildu pasākumiem, varētu panākt samazinājumu par līdz pat 23 %. Tāpat attiecībā uz slāpekļa nogulsnēšanos gaisā (25 % samazinājuma mērķrādītājs 2030. gadam) tiek prognozēts 19 % samazinājums, ja dalībvalstis laikus izpildīs savas pašreizējās emisiju samazināšanas saistības. Ja dalībvalstis veiks dažus turpmākus tehniskus pasākumus, šo samazinājumu varētu palielināt līdz 31 %</w:t>
      </w:r>
      <w:r>
        <w:rPr>
          <w:rStyle w:val="FootnoteReference"/>
          <w:noProof/>
        </w:rPr>
        <w:footnoteReference w:id="41"/>
      </w:r>
      <w:r>
        <w:rPr>
          <w:noProof/>
        </w:rPr>
        <w:t>. Prognozes laikposmam līdz 2030. gadam, kas ietver patēriņa pēdu, arī liecina, ka ES ir potenciāls samazināt ietekmi vairākās vides dimensijās</w:t>
      </w:r>
      <w:r>
        <w:rPr>
          <w:rStyle w:val="FootnoteReference"/>
          <w:noProof/>
        </w:rPr>
        <w:footnoteReference w:id="42"/>
      </w:r>
      <w:r>
        <w:rPr>
          <w:noProof/>
        </w:rPr>
        <w:t>. Šie piemēri liecina, ka līdzīgu progresu var panākt arī attiecībā uz citiem mērķrādītājiem.</w:t>
      </w:r>
    </w:p>
    <w:p w14:paraId="09791367" w14:textId="063CA1E0" w:rsidR="00E06994" w:rsidRPr="00874CDA" w:rsidRDefault="03B3FCF4" w:rsidP="00E06994">
      <w:pPr>
        <w:pStyle w:val="Text1"/>
        <w:rPr>
          <w:noProof/>
        </w:rPr>
      </w:pPr>
      <w:r>
        <w:rPr>
          <w:b/>
          <w:noProof/>
        </w:rPr>
        <w:t xml:space="preserve">Daudzas pilsētas un reģioni strauji virzās uz priekšu. </w:t>
      </w:r>
      <w:r>
        <w:rPr>
          <w:noProof/>
        </w:rPr>
        <w:t>ES zaļās pilsētu un reģionālās iniciatīvas piesaista arvien vairāk vietējo un reģionālo iedzīvotāju un lēmumu pieņēmēju. 112 pilsētas ES un astoņās kaimiņvalstīs līdz 2030. gadam vēlas kļūt oglekļneitrālas atbilstoši ES misijai “Viedas un klimatneitrālas pilsētas”. ES misijas zīme ir piešķirta 103 pilsētām. Šīs pilsētas ir iesniegušas savus klimatpilsētas līgumus, kuros izklāstīti konkrēti mērķi gaisa, ūdens un trokšņa piesārņojuma samazināšanai, kas vienlaikus sniedz ievērojamus papildu ieguvumus piesārņojuma samazināšanai. Saskaņā ar Zaļo pilsētu vienošanos 123 pilsētas ir apņēmušās līdz 2030. gadam samazināt savu piesārņojuma pēdu, veicot pasākumus gaisa kvalitātes, trokšņa un ūdens kvalitātes jomā, kā arī īstenojot atkritumu apsaimniekošanas, aprites ekonomikas un pilsētu zaļināšanas centienus. Kopš 2010. gada Eiropas Komisija ar balvām “Eiropas Zaļā galvaspilsēta” un “Zaļā lapa” ir apbalvojusi pilsētas ar vislabākajiem rezultātiem un vislielāko apņēmību.</w:t>
      </w:r>
    </w:p>
    <w:p w14:paraId="19FCB4B3" w14:textId="6A69233E" w:rsidR="00114E1F" w:rsidRPr="0057731F" w:rsidRDefault="00114E1F" w:rsidP="00114E1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Zaļās pilsētas un reģioni visā ES virzās uz nulles piesārņojumu</w:t>
      </w:r>
    </w:p>
    <w:p w14:paraId="0B1AD113" w14:textId="2F7861EE" w:rsidR="7D20BBAA" w:rsidRPr="00EA58EC" w:rsidRDefault="00E6347D" w:rsidP="7D20BBA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hyperlink r:id="rId18" w:history="1">
        <w:r w:rsidR="00114E1F">
          <w:rPr>
            <w:rStyle w:val="Hyperlink"/>
            <w:b/>
            <w:i/>
            <w:noProof/>
            <w:sz w:val="22"/>
          </w:rPr>
          <w:t>Nulles piesārņojuma infopanelis</w:t>
        </w:r>
      </w:hyperlink>
      <w:r w:rsidR="00114E1F">
        <w:rPr>
          <w:noProof/>
        </w:rPr>
        <w:t xml:space="preserve"> </w:t>
      </w:r>
      <w:r w:rsidR="00114E1F">
        <w:rPr>
          <w:i/>
          <w:noProof/>
          <w:sz w:val="22"/>
        </w:rPr>
        <w:t>liecina, ka lielākā daļa reģionu pēdējo gadu laikā ir spējuši samazināt piesārņojumu</w:t>
      </w:r>
      <w:r w:rsidR="00114E1F">
        <w:rPr>
          <w:noProof/>
        </w:rPr>
        <w:t>.</w:t>
      </w:r>
      <w:r w:rsidR="00114E1F">
        <w:rPr>
          <w:i/>
          <w:noProof/>
          <w:sz w:val="22"/>
        </w:rPr>
        <w:t xml:space="preserve"> Saskaņā ar </w:t>
      </w:r>
      <w:hyperlink r:id="rId19" w:history="1">
        <w:r w:rsidR="00114E1F">
          <w:rPr>
            <w:rStyle w:val="Hyperlink"/>
            <w:b/>
            <w:i/>
            <w:noProof/>
            <w:sz w:val="22"/>
          </w:rPr>
          <w:t>Zaļo pilsētu vienošanos</w:t>
        </w:r>
      </w:hyperlink>
      <w:r w:rsidR="00114E1F">
        <w:rPr>
          <w:i/>
          <w:noProof/>
          <w:sz w:val="22"/>
        </w:rPr>
        <w:t xml:space="preserve"> daudzas pilsētas ir īstenojušas visaptverošas stratēģijas, kuru mērķis ir mazināt piesārņojumu un uzlabot iedzīvotāju vispārējos dzīves apstākļus pilsētās</w:t>
      </w:r>
      <w:r w:rsidR="00114E1F">
        <w:rPr>
          <w:noProof/>
        </w:rPr>
        <w:t>.</w:t>
      </w:r>
      <w:r w:rsidR="00114E1F">
        <w:rPr>
          <w:i/>
          <w:noProof/>
          <w:sz w:val="22"/>
        </w:rPr>
        <w:t xml:space="preserve"> Labs piemērs ir</w:t>
      </w:r>
      <w:r w:rsidR="00114E1F">
        <w:rPr>
          <w:noProof/>
        </w:rPr>
        <w:t xml:space="preserve"> </w:t>
      </w:r>
      <w:r w:rsidR="00114E1F">
        <w:rPr>
          <w:b/>
          <w:i/>
          <w:noProof/>
          <w:sz w:val="22"/>
        </w:rPr>
        <w:t>Guimarães</w:t>
      </w:r>
      <w:r w:rsidR="00114E1F">
        <w:rPr>
          <w:i/>
          <w:noProof/>
          <w:sz w:val="22"/>
        </w:rPr>
        <w:t xml:space="preserve"> (šī pilsēta ir parakstījusi Zaļo pilsētu vienošanos un 2026. gadā kļuvusi par Eiropas Zaļo galvaspilsētu) programma </w:t>
      </w:r>
      <w:hyperlink r:id="rId20" w:history="1">
        <w:r w:rsidR="00114E1F">
          <w:rPr>
            <w:rStyle w:val="Hyperlink"/>
            <w:b/>
            <w:i/>
            <w:noProof/>
            <w:sz w:val="22"/>
          </w:rPr>
          <w:t>Limp.AR</w:t>
        </w:r>
      </w:hyperlink>
      <w:r w:rsidR="00114E1F">
        <w:rPr>
          <w:noProof/>
        </w:rPr>
        <w:t>.</w:t>
      </w:r>
      <w:r w:rsidR="00114E1F">
        <w:rPr>
          <w:i/>
          <w:noProof/>
          <w:sz w:val="22"/>
        </w:rPr>
        <w:t xml:space="preserve"> Limp.AR ir vērsta uz gaisa kvalitātes uzlabošanu un trokšņa mazināšanu pilsētu centros, veicinot veģetācijas integrēšanu un aktīvas mobilitātes risinājumus un uzlabojot informētību par vidi. Vēl viens labs piemērs ir </w:t>
      </w:r>
      <w:r w:rsidR="00114E1F">
        <w:rPr>
          <w:b/>
          <w:i/>
          <w:noProof/>
          <w:sz w:val="22"/>
        </w:rPr>
        <w:t>Lahti</w:t>
      </w:r>
      <w:r w:rsidR="00114E1F">
        <w:rPr>
          <w:i/>
          <w:noProof/>
          <w:sz w:val="22"/>
        </w:rPr>
        <w:t xml:space="preserve"> pilsēta (Eiropas Zaļā galvaspilsēta 2021. gadā). Pilsēta ir īstenojusi daudzus maza un liela mēroga vides pasākumus, tostarp ļoti piesārņotā ezera attīrīšanu (</w:t>
      </w:r>
      <w:hyperlink r:id="rId21" w:tgtFrame="_blank" w:history="1">
        <w:r w:rsidR="00114E1F">
          <w:rPr>
            <w:rStyle w:val="Hyperlink"/>
            <w:b/>
            <w:i/>
            <w:noProof/>
            <w:sz w:val="22"/>
          </w:rPr>
          <w:t>Vesijärvi</w:t>
        </w:r>
      </w:hyperlink>
      <w:r w:rsidR="00114E1F">
        <w:rPr>
          <w:i/>
          <w:noProof/>
          <w:sz w:val="22"/>
        </w:rPr>
        <w:t xml:space="preserve"> ezera projekts)</w:t>
      </w:r>
      <w:r w:rsidR="00114E1F">
        <w:rPr>
          <w:noProof/>
        </w:rPr>
        <w:t>.</w:t>
      </w:r>
      <w:r w:rsidR="00114E1F">
        <w:rPr>
          <w:i/>
          <w:noProof/>
          <w:sz w:val="22"/>
        </w:rPr>
        <w:t xml:space="preserve"> Lahti kļuva par vienu no progresīvākajām videi draudzīgajām Eiropas pilsētām. Daudzas pilsētas ir arī pilsētu zaļināšanas un atjaunošanas līderes. Piemēram, </w:t>
      </w:r>
      <w:r w:rsidR="00114E1F">
        <w:rPr>
          <w:b/>
          <w:i/>
          <w:noProof/>
          <w:sz w:val="22"/>
        </w:rPr>
        <w:t>Madride, Boloņa</w:t>
      </w:r>
      <w:r w:rsidR="00114E1F">
        <w:rPr>
          <w:i/>
          <w:noProof/>
          <w:sz w:val="22"/>
        </w:rPr>
        <w:t xml:space="preserve"> un </w:t>
      </w:r>
      <w:r w:rsidR="00114E1F">
        <w:rPr>
          <w:b/>
          <w:i/>
          <w:noProof/>
          <w:sz w:val="22"/>
        </w:rPr>
        <w:t>Milāna</w:t>
      </w:r>
      <w:r w:rsidR="00114E1F">
        <w:rPr>
          <w:i/>
          <w:noProof/>
          <w:sz w:val="22"/>
        </w:rPr>
        <w:t xml:space="preserve"> īsteno </w:t>
      </w:r>
      <w:hyperlink r:id="rId22" w:tgtFrame="_blank" w:history="1">
        <w:r w:rsidR="00114E1F">
          <w:rPr>
            <w:rStyle w:val="Hyperlink"/>
            <w:b/>
            <w:i/>
            <w:noProof/>
            <w:sz w:val="22"/>
          </w:rPr>
          <w:t>LIFE VEG GAP</w:t>
        </w:r>
      </w:hyperlink>
      <w:r w:rsidR="00114E1F">
        <w:rPr>
          <w:i/>
          <w:noProof/>
          <w:sz w:val="22"/>
        </w:rPr>
        <w:t xml:space="preserve"> projektu,</w:t>
      </w:r>
      <w:r w:rsidR="00114E1F">
        <w:rPr>
          <w:b/>
          <w:i/>
          <w:noProof/>
          <w:sz w:val="22"/>
        </w:rPr>
        <w:t xml:space="preserve"> </w:t>
      </w:r>
      <w:r w:rsidR="00114E1F">
        <w:rPr>
          <w:i/>
          <w:noProof/>
          <w:sz w:val="22"/>
        </w:rPr>
        <w:t xml:space="preserve">kurā tiek pētīts, kā veģetācijas ekosistēmas gan kā piesārņojuma avots, gan kā tā piesaistītājs var veicināt gaisa piesārņojumu un ietekmēt gaisa temperatūru. </w:t>
      </w:r>
      <w:hyperlink r:id="rId23" w:history="1">
        <w:r w:rsidR="00114E1F">
          <w:rPr>
            <w:rStyle w:val="Hyperlink"/>
            <w:b/>
            <w:i/>
            <w:noProof/>
            <w:sz w:val="22"/>
          </w:rPr>
          <w:t>Zaļais kurss vietējā līmenī:</w:t>
        </w:r>
      </w:hyperlink>
      <w:hyperlink r:id="rId24" w:history="1">
        <w:r w:rsidR="00114E1F">
          <w:rPr>
            <w:rStyle w:val="Hyperlink"/>
            <w:b/>
            <w:i/>
            <w:noProof/>
            <w:sz w:val="22"/>
          </w:rPr>
          <w:t xml:space="preserve"> Reģionu komitejas paraugprakses</w:t>
        </w:r>
      </w:hyperlink>
      <w:r w:rsidR="00114E1F">
        <w:rPr>
          <w:noProof/>
        </w:rPr>
        <w:t xml:space="preserve"> </w:t>
      </w:r>
      <w:r w:rsidR="00114E1F">
        <w:rPr>
          <w:i/>
          <w:noProof/>
          <w:sz w:val="22"/>
        </w:rPr>
        <w:t xml:space="preserve">datubāze sniedz vairāk labu piemēru. </w:t>
      </w:r>
    </w:p>
    <w:p w14:paraId="3F7ACAB4" w14:textId="1C99DB22" w:rsidR="00E06994" w:rsidRPr="00874CDA" w:rsidRDefault="00E06994" w:rsidP="00DC776D">
      <w:pPr>
        <w:pStyle w:val="Text1"/>
        <w:spacing w:before="240"/>
        <w:ind w:left="425"/>
        <w:rPr>
          <w:noProof/>
        </w:rPr>
      </w:pPr>
      <w:r>
        <w:rPr>
          <w:b/>
          <w:noProof/>
        </w:rPr>
        <w:t>Dažas piesārņojuma problēmas prasa ES papildu rīcību.</w:t>
      </w:r>
      <w:r>
        <w:rPr>
          <w:noProof/>
        </w:rPr>
        <w:t xml:space="preserve"> Eiropas Ūdensresursu noturības stratēģijā</w:t>
      </w:r>
      <w:r>
        <w:rPr>
          <w:rStyle w:val="FootnoteReference"/>
          <w:noProof/>
        </w:rPr>
        <w:footnoteReference w:id="43"/>
      </w:r>
      <w:r>
        <w:rPr>
          <w:noProof/>
        </w:rPr>
        <w:t xml:space="preserve"> un redzējumā par lauksaimniecības un pārtikas nozari</w:t>
      </w:r>
      <w:r>
        <w:rPr>
          <w:rStyle w:val="FootnoteReference"/>
          <w:noProof/>
        </w:rPr>
        <w:footnoteReference w:id="44"/>
      </w:r>
      <w:r>
        <w:rPr>
          <w:noProof/>
        </w:rPr>
        <w:t xml:space="preserve"> </w:t>
      </w:r>
      <w:r>
        <w:rPr>
          <w:b/>
          <w:noProof/>
        </w:rPr>
        <w:t>piesārņojums ar barības vielām</w:t>
      </w:r>
      <w:r>
        <w:rPr>
          <w:noProof/>
        </w:rPr>
        <w:t xml:space="preserve"> ir atzīts par pastāvīgu prioritāri risināmu problēmu, un ir paziņots par vairākām darbībām šā jautājuma risināšanai. Valstu emisiju samazināšanas saistību direktīvas</w:t>
      </w:r>
      <w:r>
        <w:rPr>
          <w:rStyle w:val="FootnoteReference"/>
          <w:noProof/>
        </w:rPr>
        <w:footnoteReference w:id="45"/>
      </w:r>
      <w:r>
        <w:rPr>
          <w:noProof/>
        </w:rPr>
        <w:t xml:space="preserve"> izvērtējumā un pašlaik notiekošajā Nitrātu direktīvas izvērtējumā ir analizēts, vai šie galvenie piesārņojuma ar barības vielām samazināšanas instrumenti joprojām atbilst paredzētajam mērķim. KLP valstu stratēģisko plānu īstenošana arī turpinās atbalstīt piesārņojuma ar barības vielām un cita veida piesārņojuma samazināšanu. Attiecībā uz </w:t>
      </w:r>
      <w:r>
        <w:rPr>
          <w:b/>
          <w:noProof/>
        </w:rPr>
        <w:t>akvakultūru</w:t>
      </w:r>
      <w:r>
        <w:rPr>
          <w:noProof/>
        </w:rPr>
        <w:t xml:space="preserve"> piesārņojuma ar barības vielām (un cita veida piesārņojuma) samazināšana tiek veicināta ar stratēģiskajām vadlīnijām par ES akvakultūru</w:t>
      </w:r>
      <w:r>
        <w:rPr>
          <w:rStyle w:val="FootnoteReference"/>
          <w:noProof/>
          <w:szCs w:val="24"/>
        </w:rPr>
        <w:footnoteReference w:id="46"/>
      </w:r>
      <w:r>
        <w:rPr>
          <w:noProof/>
        </w:rPr>
        <w:t xml:space="preserve">. Attiecībā uz </w:t>
      </w:r>
      <w:r>
        <w:rPr>
          <w:b/>
          <w:noProof/>
        </w:rPr>
        <w:t>lauksaimniecības dzīvnieku</w:t>
      </w:r>
      <w:r>
        <w:rPr>
          <w:noProof/>
        </w:rPr>
        <w:t xml:space="preserve"> radītajām emisijām Komisija strādā pie visaptverošas stratēģijas, kas pievērsīsies visiem lopkopības aspektiem, arī nozares vidiskajai un klimatiskajai ilgtspējai.</w:t>
      </w:r>
      <w:r>
        <w:rPr>
          <w:noProof/>
          <w:color w:val="000000" w:themeColor="text1"/>
        </w:rPr>
        <w:t xml:space="preserve"> </w:t>
      </w:r>
      <w:r>
        <w:rPr>
          <w:noProof/>
        </w:rPr>
        <w:t>Komisija līdz 2026. gada 31. decembrim nāks klajā ar ziņojumu saskaņā ar 73. pantu. Visbeidzot, Komisija turpinās atbalstīt lauksaimniekus un citus labuma guvējus prioritārajās vides un klimata jomās. Papildus tam Komisija sagatavos palīdzības rīkkopu dalībvalstīm, lai atbalstītu darbības piesārņojuma ar barības vielām samazināšanai, kas ietvers atbalstu lauksaimniekiem lopkopības sistēmu ekstensifikācijai vai dažādošanai ar citām lauksaimnieciskām darbībām</w:t>
      </w:r>
      <w:r>
        <w:rPr>
          <w:rStyle w:val="FootnoteReference"/>
          <w:noProof/>
        </w:rPr>
        <w:footnoteReference w:id="47"/>
      </w:r>
      <w:r>
        <w:rPr>
          <w:noProof/>
        </w:rPr>
        <w:t xml:space="preserve">. </w:t>
      </w:r>
      <w:r>
        <w:rPr>
          <w:b/>
          <w:noProof/>
        </w:rPr>
        <w:t>Pesticīdu</w:t>
      </w:r>
      <w:r>
        <w:rPr>
          <w:noProof/>
        </w:rPr>
        <w:t xml:space="preserve"> un to </w:t>
      </w:r>
      <w:r>
        <w:rPr>
          <w:b/>
          <w:noProof/>
        </w:rPr>
        <w:t>metabolītu</w:t>
      </w:r>
      <w:r>
        <w:rPr>
          <w:noProof/>
        </w:rPr>
        <w:t xml:space="preserve"> izvadīšana no gruntsūdeņiem un dzeramā ūdens kļūst arvien sarežģītāka, jo īpaši lauku vidē, jo blakus sateces baseiniem notiek lauksaimnieciska darbība. Papildus tam, ka tiek nodrošināta atbilstība nesen pārskatītajiem gruntsūdeņu, virszemes ūdeņu un dzeramā ūdens kvalitātes standartiem, pārstrādātās Dzeramā ūdens direktīvas īstenošana nozīmē, ka dalībvalstīm ir jānodrošina, ka ūdens ieguves sateces baseinos tiek veikts riska novērtējums attiecībā uz ieguves punktiem un vēlākais līdz 2027. gada jūlijam tiek ieviesta pienācīga riska pārvaldība.</w:t>
      </w:r>
    </w:p>
    <w:p w14:paraId="01A3051A" w14:textId="04CB6DFE" w:rsidR="004A66AF" w:rsidRPr="0057731F" w:rsidRDefault="004A66AF" w:rsidP="004A66A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Tīras upes un ezeri – ūdens nulles piesārņojums</w:t>
      </w:r>
      <w:r>
        <w:rPr>
          <w:rStyle w:val="FootnoteReference"/>
          <w:b/>
          <w:bCs/>
          <w:i/>
          <w:iCs/>
          <w:noProof/>
          <w:sz w:val="22"/>
          <w:szCs w:val="22"/>
        </w:rPr>
        <w:footnoteReference w:id="48"/>
      </w:r>
    </w:p>
    <w:p w14:paraId="79147DFE" w14:textId="557857C1" w:rsidR="004A66AF" w:rsidRPr="0057731F" w:rsidRDefault="004A66AF" w:rsidP="00DC776D">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i/>
          <w:noProof/>
          <w:sz w:val="22"/>
        </w:rPr>
        <w:t>Pētniecības kopa “Nulles piesārņojums ūdenim” (</w:t>
      </w:r>
      <w:hyperlink r:id="rId25" w:tgtFrame="_blank" w:history="1">
        <w:r>
          <w:rPr>
            <w:rStyle w:val="Hyperlink"/>
            <w:b/>
            <w:i/>
            <w:noProof/>
            <w:sz w:val="22"/>
          </w:rPr>
          <w:t>ZP4Water</w:t>
        </w:r>
      </w:hyperlink>
      <w:r>
        <w:rPr>
          <w:i/>
          <w:noProof/>
          <w:sz w:val="22"/>
        </w:rPr>
        <w:t xml:space="preserve">) aplūko piesārņojumu visā ūdens aprites ciklā. </w:t>
      </w:r>
      <w:hyperlink r:id="rId26" w:history="1">
        <w:r>
          <w:rPr>
            <w:rStyle w:val="Hyperlink"/>
            <w:i/>
            <w:noProof/>
            <w:sz w:val="22"/>
          </w:rPr>
          <w:t>32 gadījumu izpētē</w:t>
        </w:r>
      </w:hyperlink>
      <w:r>
        <w:rPr>
          <w:i/>
          <w:noProof/>
          <w:sz w:val="22"/>
        </w:rPr>
        <w:t xml:space="preserve"> tiek meklēti risinājumi nulles piesārņojuma panākšanai dzeramajā ūdenī un gruntsūdeņos un sniegti </w:t>
      </w:r>
      <w:hyperlink r:id="rId27" w:history="1">
        <w:r>
          <w:rPr>
            <w:rStyle w:val="Hyperlink"/>
            <w:i/>
            <w:noProof/>
            <w:sz w:val="22"/>
          </w:rPr>
          <w:t>politikas ieteikumi</w:t>
        </w:r>
      </w:hyperlink>
      <w:r>
        <w:rPr>
          <w:i/>
          <w:noProof/>
          <w:sz w:val="22"/>
        </w:rPr>
        <w:t>(</w:t>
      </w:r>
      <w:hyperlink r:id="rId28" w:tgtFrame="_blank" w:history="1">
        <w:r>
          <w:rPr>
            <w:rStyle w:val="Hyperlink"/>
            <w:b/>
            <w:i/>
            <w:noProof/>
            <w:sz w:val="22"/>
          </w:rPr>
          <w:t>MAR2PROTECT</w:t>
        </w:r>
      </w:hyperlink>
      <w:r>
        <w:rPr>
          <w:b/>
          <w:i/>
          <w:noProof/>
          <w:sz w:val="22"/>
        </w:rPr>
        <w:t xml:space="preserve">, </w:t>
      </w:r>
      <w:hyperlink r:id="rId29" w:tgtFrame="_blank" w:history="1">
        <w:r>
          <w:rPr>
            <w:rStyle w:val="Hyperlink"/>
            <w:b/>
            <w:i/>
            <w:noProof/>
            <w:sz w:val="22"/>
          </w:rPr>
          <w:t>NINFA</w:t>
        </w:r>
      </w:hyperlink>
      <w:r>
        <w:rPr>
          <w:b/>
          <w:i/>
          <w:noProof/>
          <w:sz w:val="22"/>
        </w:rPr>
        <w:t xml:space="preserve">, </w:t>
      </w:r>
      <w:hyperlink r:id="rId30" w:tgtFrame="_blank" w:history="1">
        <w:r>
          <w:rPr>
            <w:rStyle w:val="Hyperlink"/>
            <w:b/>
            <w:i/>
            <w:noProof/>
            <w:sz w:val="22"/>
          </w:rPr>
          <w:t>UPWATER</w:t>
        </w:r>
      </w:hyperlink>
      <w:r>
        <w:rPr>
          <w:b/>
          <w:i/>
          <w:noProof/>
          <w:sz w:val="22"/>
        </w:rPr>
        <w:t xml:space="preserve">, </w:t>
      </w:r>
      <w:hyperlink r:id="rId31" w:tgtFrame="_blank" w:history="1">
        <w:r>
          <w:rPr>
            <w:rStyle w:val="Hyperlink"/>
            <w:b/>
            <w:i/>
            <w:noProof/>
            <w:sz w:val="22"/>
          </w:rPr>
          <w:t>H2OforAll</w:t>
        </w:r>
      </w:hyperlink>
      <w:r>
        <w:rPr>
          <w:b/>
          <w:i/>
          <w:noProof/>
          <w:sz w:val="22"/>
        </w:rPr>
        <w:t xml:space="preserve">, </w:t>
      </w:r>
      <w:hyperlink r:id="rId32" w:tgtFrame="_blank" w:history="1">
        <w:r>
          <w:rPr>
            <w:rStyle w:val="Hyperlink"/>
            <w:b/>
            <w:i/>
            <w:noProof/>
            <w:sz w:val="22"/>
          </w:rPr>
          <w:t>intoDBP</w:t>
        </w:r>
      </w:hyperlink>
      <w:r>
        <w:rPr>
          <w:b/>
          <w:i/>
          <w:noProof/>
          <w:sz w:val="22"/>
        </w:rPr>
        <w:t xml:space="preserve">, </w:t>
      </w:r>
      <w:hyperlink r:id="rId33" w:tgtFrame="_blank" w:history="1">
        <w:r>
          <w:rPr>
            <w:rStyle w:val="Hyperlink"/>
            <w:b/>
            <w:i/>
            <w:noProof/>
            <w:sz w:val="22"/>
          </w:rPr>
          <w:t>SafeCREW</w:t>
        </w:r>
      </w:hyperlink>
      <w:r>
        <w:rPr>
          <w:b/>
          <w:i/>
          <w:noProof/>
          <w:sz w:val="22"/>
        </w:rPr>
        <w:t xml:space="preserve">, </w:t>
      </w:r>
      <w:hyperlink r:id="rId34" w:tgtFrame="_blank" w:history="1">
        <w:r>
          <w:rPr>
            <w:rStyle w:val="Hyperlink"/>
            <w:b/>
            <w:i/>
            <w:noProof/>
            <w:sz w:val="22"/>
          </w:rPr>
          <w:t>ToDrinQ</w:t>
        </w:r>
      </w:hyperlink>
      <w:hyperlink r:id="rId35" w:tgtFrame="_blank" w:history="1">
        <w:r>
          <w:rPr>
            <w:rStyle w:val="Hyperlink"/>
            <w:b/>
            <w:i/>
            <w:noProof/>
            <w:sz w:val="22"/>
          </w:rPr>
          <w:t>WATERPROTECT</w:t>
        </w:r>
      </w:hyperlink>
      <w:r>
        <w:rPr>
          <w:b/>
          <w:i/>
          <w:noProof/>
          <w:sz w:val="22"/>
        </w:rPr>
        <w:t xml:space="preserve">, </w:t>
      </w:r>
      <w:hyperlink r:id="rId36" w:tgtFrame="_blank" w:history="1">
        <w:r>
          <w:rPr>
            <w:rStyle w:val="Hyperlink"/>
            <w:b/>
            <w:i/>
            <w:noProof/>
            <w:sz w:val="22"/>
          </w:rPr>
          <w:t>NIAGARA</w:t>
        </w:r>
      </w:hyperlink>
      <w:r>
        <w:rPr>
          <w:b/>
          <w:i/>
          <w:noProof/>
          <w:sz w:val="22"/>
        </w:rPr>
        <w:t xml:space="preserve">, </w:t>
      </w:r>
      <w:hyperlink r:id="rId37" w:tgtFrame="_blank" w:history="1">
        <w:r>
          <w:rPr>
            <w:rStyle w:val="Hyperlink"/>
            <w:b/>
            <w:i/>
            <w:noProof/>
            <w:sz w:val="22"/>
          </w:rPr>
          <w:t>D4RUNOFF</w:t>
        </w:r>
      </w:hyperlink>
      <w:r>
        <w:rPr>
          <w:b/>
          <w:i/>
          <w:noProof/>
          <w:sz w:val="22"/>
        </w:rPr>
        <w:t xml:space="preserve">, </w:t>
      </w:r>
      <w:hyperlink r:id="rId38" w:tgtFrame="_blank" w:history="1">
        <w:r>
          <w:rPr>
            <w:rStyle w:val="Hyperlink"/>
            <w:b/>
            <w:i/>
            <w:noProof/>
            <w:sz w:val="22"/>
          </w:rPr>
          <w:t>LIFE ELEKTRA</w:t>
        </w:r>
      </w:hyperlink>
      <w:r>
        <w:rPr>
          <w:b/>
          <w:i/>
          <w:noProof/>
          <w:sz w:val="22"/>
        </w:rPr>
        <w:t xml:space="preserve">, </w:t>
      </w:r>
      <w:hyperlink r:id="rId39" w:tgtFrame="_blank" w:history="1">
        <w:r>
          <w:rPr>
            <w:rStyle w:val="Hyperlink"/>
            <w:b/>
            <w:i/>
            <w:noProof/>
            <w:sz w:val="22"/>
          </w:rPr>
          <w:t>LIFE PRISTINE</w:t>
        </w:r>
      </w:hyperlink>
      <w:r>
        <w:rPr>
          <w:b/>
          <w:i/>
          <w:noProof/>
          <w:sz w:val="22"/>
        </w:rPr>
        <w:t xml:space="preserve">, </w:t>
      </w:r>
      <w:hyperlink r:id="rId40" w:tgtFrame="_blank" w:history="1">
        <w:r>
          <w:rPr>
            <w:rStyle w:val="Hyperlink"/>
            <w:b/>
            <w:i/>
            <w:noProof/>
            <w:sz w:val="22"/>
          </w:rPr>
          <w:t>LIFE CASCADE</w:t>
        </w:r>
      </w:hyperlink>
      <w:r>
        <w:rPr>
          <w:i/>
          <w:noProof/>
          <w:sz w:val="22"/>
        </w:rPr>
        <w:t>).</w:t>
      </w:r>
    </w:p>
    <w:p w14:paraId="488D0422" w14:textId="4B2E565D" w:rsidR="00175F23" w:rsidRPr="00874CDA" w:rsidRDefault="00175F23" w:rsidP="00175F23">
      <w:pPr>
        <w:pStyle w:val="Text1"/>
        <w:spacing w:before="240"/>
        <w:ind w:left="425"/>
        <w:rPr>
          <w:noProof/>
        </w:rPr>
      </w:pPr>
      <w:r>
        <w:rPr>
          <w:b/>
          <w:noProof/>
        </w:rPr>
        <w:t>Okeāna piesārņojumu ļaus mazināt konkrēta, transversāla pievēršanās šai problēmai.</w:t>
      </w:r>
      <w:r>
        <w:rPr>
          <w:noProof/>
        </w:rPr>
        <w:t xml:space="preserve"> Kā liecina plašā jūras piedrazojuma problēma, okeānā nonāk gaisa, saldūdens un augsnes piesārņojums. Pamatojoties uz pieeju “no avota līdz </w:t>
      </w:r>
      <w:bookmarkStart w:id="31" w:name="_Int_WHkXESJV"/>
      <w:r>
        <w:rPr>
          <w:noProof/>
        </w:rPr>
        <w:t>jūrai</w:t>
      </w:r>
      <w:bookmarkEnd w:id="31"/>
      <w:r>
        <w:rPr>
          <w:noProof/>
        </w:rPr>
        <w:t>”</w:t>
      </w:r>
      <w:r>
        <w:rPr>
          <w:rStyle w:val="FootnoteReference"/>
          <w:noProof/>
        </w:rPr>
        <w:footnoteReference w:id="49"/>
      </w:r>
      <w:r>
        <w:rPr>
          <w:noProof/>
        </w:rPr>
        <w:t>, kas izklāstīta Eiropas Ūdensresursu noturības stratēģijā un Eiropas Okeāna paktā, Jūras stratēģijas pamatdirektīvas pārskatīšana kopā ar Okeāna akta priekšlikumu ļaus pārskatīt tiesisko regulējumu, lai to padarītu efektīvāku un lai to vienkāršotu nolūkā cita starpā labāk panākt tīru un veselīgu jūras vidi. Šo pārskatīšanas procesu noteiks 2030. gadam noteiktie nulles piesārņojuma mērķrādītāji un visaptverošais redzējums 2050. gadam, kas papildina klimatneitralitātes un biodaudzveidības mērķus. Dalībvalstīm ir jādara vairāk, lai uzraudzītu un nodrošinātu to apgabalu kvalitāti, kuros notiek zveja un gliemju, vēžveidīgo un adatādaiņu audzēšana, jo ūdens piesārņojums šai nozarei rada ievērojamus zaudējumus.</w:t>
      </w:r>
    </w:p>
    <w:p w14:paraId="2953ABBB" w14:textId="4BB407EC" w:rsidR="004C4A20" w:rsidRPr="0057731F" w:rsidRDefault="0099646A" w:rsidP="004C4A20">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Tīrs okeāns – jūras nulles piesārņojums</w:t>
      </w:r>
    </w:p>
    <w:p w14:paraId="23523E70" w14:textId="54A0D647" w:rsidR="0099646A" w:rsidRPr="00EA58EC" w:rsidRDefault="000C5343" w:rsidP="004C4A20">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i/>
          <w:noProof/>
          <w:sz w:val="22"/>
          <w:szCs w:val="18"/>
        </w:rPr>
      </w:pPr>
      <w:r>
        <w:rPr>
          <w:i/>
          <w:noProof/>
          <w:sz w:val="22"/>
        </w:rPr>
        <w:t xml:space="preserve">Okeāns ir piesārņots, un </w:t>
      </w:r>
      <w:r>
        <w:rPr>
          <w:b/>
          <w:i/>
          <w:noProof/>
          <w:sz w:val="22"/>
        </w:rPr>
        <w:t>piedrazojums</w:t>
      </w:r>
      <w:r>
        <w:rPr>
          <w:i/>
          <w:noProof/>
          <w:sz w:val="22"/>
        </w:rPr>
        <w:t xml:space="preserve"> ir viena no visredzamākajām problēmām. Taču regulējums sāk radīt pārmaiņas. </w:t>
      </w:r>
      <w:hyperlink r:id="rId41" w:anchor=":~:text=The%20newly-published%20EU%20Coastline%20Macro%20Litter%20Trend%20report,baseline%20period%20%282015-2016%29%20and%20the%20assessment%20period%20%282020-2021%29." w:history="1">
        <w:r>
          <w:rPr>
            <w:rStyle w:val="Hyperlink"/>
            <w:b/>
            <w:i/>
            <w:noProof/>
            <w:sz w:val="22"/>
          </w:rPr>
          <w:t>JRC ziņojums par tendencēm ES piekrastes makropiedrazojuma jomā</w:t>
        </w:r>
      </w:hyperlink>
      <w:r>
        <w:rPr>
          <w:i/>
          <w:noProof/>
          <w:sz w:val="22"/>
        </w:rPr>
        <w:t xml:space="preserve"> liecina, ka ES tiesību aktu rezultātā jūras makropiedrazojuma apjoms ES piekrastē ir samazinājies par 29 %</w:t>
      </w:r>
      <w:r>
        <w:rPr>
          <w:noProof/>
        </w:rPr>
        <w:t>.</w:t>
      </w:r>
      <w:r>
        <w:rPr>
          <w:i/>
          <w:noProof/>
          <w:sz w:val="22"/>
        </w:rPr>
        <w:t xml:space="preserve"> Vairākiem projektiem ir svarīga nozīme, lai palīdzētu attīrīt Eiropas jūras reģionus, piemēram, Atlantijas okeāna ziemeļaustrumu daļu (</w:t>
      </w:r>
      <w:hyperlink r:id="rId42" w:history="1">
        <w:r>
          <w:rPr>
            <w:rStyle w:val="Hyperlink"/>
            <w:b/>
            <w:i/>
            <w:noProof/>
            <w:sz w:val="22"/>
          </w:rPr>
          <w:t>Free LitterAT</w:t>
        </w:r>
      </w:hyperlink>
      <w:r>
        <w:rPr>
          <w:i/>
          <w:noProof/>
          <w:sz w:val="22"/>
        </w:rPr>
        <w:t>), Baltijas jūru (</w:t>
      </w:r>
      <w:hyperlink r:id="rId43" w:tgtFrame="_blank" w:history="1">
        <w:r>
          <w:rPr>
            <w:rStyle w:val="Hyperlink"/>
            <w:b/>
            <w:i/>
            <w:noProof/>
            <w:sz w:val="22"/>
          </w:rPr>
          <w:t>Circular Ocean</w:t>
        </w:r>
      </w:hyperlink>
      <w:r>
        <w:rPr>
          <w:i/>
          <w:noProof/>
          <w:sz w:val="22"/>
        </w:rPr>
        <w:t>) un Vidusjūru (</w:t>
      </w:r>
      <w:hyperlink r:id="rId44" w:tgtFrame="_blank" w:history="1">
        <w:r>
          <w:rPr>
            <w:rStyle w:val="Hyperlink"/>
            <w:b/>
            <w:i/>
            <w:noProof/>
            <w:sz w:val="22"/>
          </w:rPr>
          <w:t>Marine Litter MED PLUS</w:t>
        </w:r>
      </w:hyperlink>
      <w:r>
        <w:rPr>
          <w:i/>
          <w:noProof/>
          <w:sz w:val="22"/>
        </w:rPr>
        <w:t xml:space="preserve">). </w:t>
      </w:r>
      <w:r>
        <w:rPr>
          <w:b/>
          <w:i/>
          <w:noProof/>
          <w:sz w:val="22"/>
        </w:rPr>
        <w:t>Akvakultūrai</w:t>
      </w:r>
      <w:r>
        <w:rPr>
          <w:i/>
          <w:noProof/>
          <w:sz w:val="22"/>
        </w:rPr>
        <w:t xml:space="preserve"> ir vajadzīgs tīrs ūdens, vai arī tā palīdz attīrīt ūdeni, taču tā var būt arī piesārņojuma avots. Inovatīvas tehnoloģijas var radīt darījumdarbības iespējas, vienlaikus samazinot akvakultūras ietekmi uz vidi un palīdzot veicināt bioremediāciju (</w:t>
      </w:r>
      <w:hyperlink r:id="rId45" w:history="1">
        <w:r>
          <w:rPr>
            <w:rStyle w:val="Hyperlink"/>
            <w:b/>
            <w:i/>
            <w:noProof/>
            <w:sz w:val="22"/>
          </w:rPr>
          <w:t>Baltic MUPPETS</w:t>
        </w:r>
      </w:hyperlink>
      <w:r>
        <w:rPr>
          <w:b/>
          <w:i/>
          <w:noProof/>
          <w:sz w:val="22"/>
        </w:rPr>
        <w:t xml:space="preserve">, </w:t>
      </w:r>
      <w:hyperlink r:id="rId46" w:history="1">
        <w:r>
          <w:rPr>
            <w:rStyle w:val="Hyperlink"/>
            <w:b/>
            <w:i/>
            <w:noProof/>
            <w:sz w:val="22"/>
          </w:rPr>
          <w:t>OLAMUR</w:t>
        </w:r>
      </w:hyperlink>
      <w:r>
        <w:rPr>
          <w:b/>
          <w:i/>
          <w:noProof/>
          <w:sz w:val="22"/>
        </w:rPr>
        <w:t xml:space="preserve">, </w:t>
      </w:r>
      <w:hyperlink r:id="rId47" w:history="1">
        <w:r>
          <w:rPr>
            <w:rStyle w:val="Hyperlink"/>
            <w:b/>
            <w:i/>
            <w:noProof/>
            <w:sz w:val="22"/>
          </w:rPr>
          <w:t>ASTRAL</w:t>
        </w:r>
      </w:hyperlink>
      <w:r>
        <w:rPr>
          <w:b/>
          <w:i/>
          <w:noProof/>
          <w:sz w:val="22"/>
        </w:rPr>
        <w:t xml:space="preserve">, </w:t>
      </w:r>
      <w:hyperlink r:id="rId48" w:history="1">
        <w:r>
          <w:rPr>
            <w:rStyle w:val="Hyperlink"/>
            <w:b/>
            <w:i/>
            <w:noProof/>
            <w:sz w:val="22"/>
          </w:rPr>
          <w:t>REMEDIA LIFE</w:t>
        </w:r>
      </w:hyperlink>
      <w:r>
        <w:rPr>
          <w:i/>
          <w:noProof/>
          <w:sz w:val="22"/>
        </w:rPr>
        <w:t xml:space="preserve">). Arvien lielāka nozīme piesārņojuma novēršanā ir </w:t>
      </w:r>
      <w:r>
        <w:rPr>
          <w:b/>
          <w:i/>
          <w:noProof/>
          <w:sz w:val="22"/>
        </w:rPr>
        <w:t>Zemes novērošanai</w:t>
      </w:r>
      <w:r>
        <w:rPr>
          <w:i/>
          <w:noProof/>
          <w:sz w:val="22"/>
        </w:rPr>
        <w:t xml:space="preserve">. </w:t>
      </w:r>
      <w:r>
        <w:rPr>
          <w:noProof/>
          <w:sz w:val="22"/>
        </w:rPr>
        <w:t>Copernicus</w:t>
      </w:r>
      <w:r>
        <w:rPr>
          <w:i/>
          <w:noProof/>
          <w:sz w:val="22"/>
        </w:rPr>
        <w:t xml:space="preserve"> dati tiek izmantoti, lai optimizētu kuģu maršrutus, tādējādi samazinot degvielas patēriņu un piesārņojumu un novēršot nejaušus piesārņojuma gadījumus, savukārt tas palielina efektivitāti un drošību kuģu īpašniekiem un ostu iestādēm, arī apdrošināšanas sabiedrībām (</w:t>
      </w:r>
      <w:hyperlink r:id="rId49" w:tgtFrame="_blank" w:history="1">
        <w:r>
          <w:rPr>
            <w:rStyle w:val="Hyperlink"/>
            <w:b/>
            <w:i/>
            <w:noProof/>
            <w:sz w:val="22"/>
          </w:rPr>
          <w:t>OHB LuxSpace</w:t>
        </w:r>
      </w:hyperlink>
      <w:r>
        <w:rPr>
          <w:b/>
          <w:i/>
          <w:noProof/>
          <w:sz w:val="22"/>
        </w:rPr>
        <w:t xml:space="preserve">, </w:t>
      </w:r>
      <w:hyperlink r:id="rId50" w:tgtFrame="_blank" w:history="1">
        <w:r>
          <w:rPr>
            <w:rStyle w:val="Hyperlink"/>
            <w:b/>
            <w:i/>
            <w:noProof/>
            <w:sz w:val="22"/>
          </w:rPr>
          <w:t>SeaCras</w:t>
        </w:r>
      </w:hyperlink>
      <w:r>
        <w:rPr>
          <w:b/>
          <w:i/>
          <w:noProof/>
          <w:sz w:val="22"/>
        </w:rPr>
        <w:t xml:space="preserve">, </w:t>
      </w:r>
      <w:hyperlink r:id="rId51" w:history="1">
        <w:r>
          <w:rPr>
            <w:rStyle w:val="Hyperlink"/>
            <w:b/>
            <w:i/>
            <w:noProof/>
            <w:sz w:val="22"/>
          </w:rPr>
          <w:t>EOMAP</w:t>
        </w:r>
      </w:hyperlink>
      <w:r>
        <w:rPr>
          <w:i/>
          <w:noProof/>
          <w:sz w:val="22"/>
        </w:rPr>
        <w:t xml:space="preserve">). </w:t>
      </w:r>
      <w:r>
        <w:rPr>
          <w:b/>
          <w:i/>
          <w:noProof/>
          <w:sz w:val="22"/>
        </w:rPr>
        <w:t>Civilās aizsardzības</w:t>
      </w:r>
      <w:r>
        <w:rPr>
          <w:i/>
          <w:noProof/>
          <w:sz w:val="22"/>
        </w:rPr>
        <w:t xml:space="preserve"> jomā notiekošajos projektos īsteno ilgtermiņa riska analīzi attiecībā uz naftas un bīstamo vielu piesārņojumu, ko Baltijas jūras vidē rada kuģu negadījumi (</w:t>
      </w:r>
      <w:hyperlink r:id="rId52" w:history="1">
        <w:r>
          <w:rPr>
            <w:rStyle w:val="Hyperlink"/>
            <w:b/>
            <w:i/>
            <w:noProof/>
            <w:sz w:val="22"/>
          </w:rPr>
          <w:t>BRISK II</w:t>
        </w:r>
      </w:hyperlink>
      <w:r>
        <w:rPr>
          <w:i/>
          <w:noProof/>
          <w:sz w:val="22"/>
        </w:rPr>
        <w:t>), un uz ietekmi un reaģēšanas iespējām saistībā ar kuģu degvielas ar zemu sēra saturu noplūdi (</w:t>
      </w:r>
      <w:hyperlink r:id="rId53" w:history="1">
        <w:r>
          <w:rPr>
            <w:rStyle w:val="Hyperlink"/>
            <w:b/>
            <w:i/>
            <w:noProof/>
            <w:sz w:val="22"/>
          </w:rPr>
          <w:t>IMAROS II</w:t>
        </w:r>
      </w:hyperlink>
      <w:r>
        <w:rPr>
          <w:i/>
          <w:noProof/>
          <w:sz w:val="22"/>
        </w:rPr>
        <w:t>).</w:t>
      </w:r>
    </w:p>
    <w:p w14:paraId="028775CA" w14:textId="7083BBBC" w:rsidR="00E06994" w:rsidRPr="00874CDA" w:rsidRDefault="000E1AFB" w:rsidP="00DC776D">
      <w:pPr>
        <w:pStyle w:val="Text1"/>
        <w:spacing w:before="240"/>
        <w:ind w:left="425"/>
        <w:rPr>
          <w:noProof/>
        </w:rPr>
      </w:pPr>
      <w:r>
        <w:rPr>
          <w:b/>
          <w:noProof/>
        </w:rPr>
        <w:t>Plastmasas un atkritumu piesārņojuma</w:t>
      </w:r>
      <w:r>
        <w:rPr>
          <w:noProof/>
        </w:rPr>
        <w:t xml:space="preserve"> jomā vairāki pārskatīti ES tiesību akti par atkritumiem veicinās nulles piesārņojuma panākšanu (piemēram, jaunā Produktu ilgtspējas ekodizaina regula, pārskatītā Atkritumu pamatdirektīva, jaunā Atkritumu sūtījumu regula, Vienreizlietojamo plastmasas izstrādājumu direktīva, jaunā Iepakojuma un iepakojuma atkritumu regula un jaunā Regula par plastmasas granulām). Lai papildinātu šīs darbības, Komisija ir publicējusi Bioekonomikas stratēģiju</w:t>
      </w:r>
      <w:r>
        <w:rPr>
          <w:rStyle w:val="FootnoteReference"/>
          <w:noProof/>
        </w:rPr>
        <w:footnoteReference w:id="50"/>
      </w:r>
      <w:r>
        <w:rPr>
          <w:noProof/>
        </w:rPr>
        <w:t xml:space="preserve"> un strādā pie Aprites ekonomikas akta, kas atbalstīs Konkurētspējas kompasa galvenos pīlārus.</w:t>
      </w:r>
    </w:p>
    <w:p w14:paraId="21BE6734" w14:textId="0B476BD0" w:rsidR="00E06994" w:rsidRPr="00874CDA" w:rsidRDefault="002C589F" w:rsidP="00E06994">
      <w:pPr>
        <w:pStyle w:val="Text1"/>
        <w:ind w:left="426"/>
        <w:rPr>
          <w:noProof/>
        </w:rPr>
      </w:pPr>
      <w:bookmarkStart w:id="32" w:name="_Hlk210147602"/>
      <w:r>
        <w:rPr>
          <w:noProof/>
        </w:rPr>
        <w:t xml:space="preserve">Attiecībā uz </w:t>
      </w:r>
      <w:r>
        <w:rPr>
          <w:b/>
          <w:noProof/>
        </w:rPr>
        <w:t>trokšņa piesārņojumu</w:t>
      </w:r>
      <w:r>
        <w:rPr>
          <w:noProof/>
        </w:rPr>
        <w:t xml:space="preserve"> tiek veikti pasākumi</w:t>
      </w:r>
      <w:r>
        <w:rPr>
          <w:rStyle w:val="FootnoteReference"/>
          <w:noProof/>
        </w:rPr>
        <w:footnoteReference w:id="51"/>
      </w:r>
      <w:r>
        <w:rPr>
          <w:noProof/>
        </w:rPr>
        <w:t xml:space="preserve">, kuri uzlabo ES transportlīdzekļu parka tehnisko stāvokli ar mērķi novērst arī troksni, ko rada šie transporta veidi. </w:t>
      </w:r>
      <w:bookmarkEnd w:id="32"/>
      <w:r>
        <w:rPr>
          <w:noProof/>
          <w:color w:val="000000" w:themeColor="text1"/>
        </w:rPr>
        <w:t>Dzelzceļa jomā klusu kravas vagonu ieviešana, lai tos izmantotu tikai klusākos maršrutos</w:t>
      </w:r>
      <w:r>
        <w:rPr>
          <w:rStyle w:val="FootnoteReference"/>
          <w:noProof/>
          <w:color w:val="000000" w:themeColor="text1"/>
        </w:rPr>
        <w:footnoteReference w:id="52"/>
      </w:r>
      <w:r>
        <w:rPr>
          <w:noProof/>
          <w:color w:val="000000" w:themeColor="text1"/>
        </w:rPr>
        <w:t xml:space="preserve">, ir bijis nozīmīgs solis ceļā uz trokšņa samazināšanu šajā nozarē. Turpmāki grozījumi šajā regulā ir gaidāmi laikā līdz 2029. gadam. </w:t>
      </w:r>
      <w:r>
        <w:rPr>
          <w:noProof/>
        </w:rPr>
        <w:t>Komisija arī izvērtēs iespēju ieviest ES trokšņa samazināšanas mērķrādītājus un ierobežojumus Vides trokšņa direktīvā saskaņā ar Eiropas Revīzijas palātas ieteikumiem</w:t>
      </w:r>
      <w:r>
        <w:rPr>
          <w:rStyle w:val="FootnoteReference"/>
          <w:noProof/>
        </w:rPr>
        <w:footnoteReference w:id="53"/>
      </w:r>
      <w:r>
        <w:rPr>
          <w:noProof/>
        </w:rPr>
        <w:t>.</w:t>
      </w:r>
    </w:p>
    <w:p w14:paraId="172FD685" w14:textId="15884D57" w:rsidR="00A12040" w:rsidRDefault="00175F23" w:rsidP="00A12040">
      <w:pPr>
        <w:pStyle w:val="Text1"/>
        <w:ind w:left="426"/>
        <w:rPr>
          <w:noProof/>
        </w:rPr>
      </w:pPr>
      <w:r>
        <w:rPr>
          <w:b/>
          <w:noProof/>
        </w:rPr>
        <w:t>Vides un veselības politikas ir cieši savstarpēji saistītas, praksē piemērojot pieeju “Viena veselība”.</w:t>
      </w:r>
      <w:r>
        <w:rPr>
          <w:noProof/>
        </w:rPr>
        <w:t xml:space="preserve"> Pieejas “Viena veselība” vides un klimata dimensija ir kritiski svarīga, ņemot vērā tās lomu veselības rezultātu mediācijā un dzīvnieku un cilvēku slimību rašanās un izplatīšanās ietekmēšanā. Komisija turpinās koncentrēties uz profilaktisko veselības aprūpi, pamatojoties uz veiksmīgo Vēža uzveikšanas rīcības plāna un jaunā ES sirds un asinsvadu veselības plāna piemēru. Komisija arī pastiprina centienus ieviest pieejas “Viena veselība” pārvaldību</w:t>
      </w:r>
      <w:r>
        <w:rPr>
          <w:rStyle w:val="FootnoteReference"/>
          <w:noProof/>
        </w:rPr>
        <w:footnoteReference w:id="54"/>
      </w:r>
      <w:r>
        <w:rPr>
          <w:noProof/>
        </w:rPr>
        <w:t xml:space="preserve"> un nodrošināt, ka vides apsvērumi tiek iekļauti ES iniciatīvās, kuru mērķis ir novērst nepārnēsājamas slimības</w:t>
      </w:r>
      <w:r>
        <w:rPr>
          <w:rStyle w:val="FootnoteReference"/>
          <w:noProof/>
          <w:lang w:val="en-IE"/>
        </w:rPr>
        <w:footnoteReference w:id="55"/>
      </w:r>
      <w:r>
        <w:rPr>
          <w:noProof/>
        </w:rPr>
        <w:t>.</w:t>
      </w:r>
    </w:p>
    <w:p w14:paraId="6628BFF3" w14:textId="77777777" w:rsidR="0068177F" w:rsidRPr="000120D9" w:rsidRDefault="0068177F" w:rsidP="0068177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Veselīgāka vide – gaisa un trokšņa nulles piesārņojums</w:t>
      </w:r>
    </w:p>
    <w:p w14:paraId="478D8EF2" w14:textId="68DF43A5" w:rsidR="0068177F" w:rsidRPr="00631693" w:rsidRDefault="0068177F" w:rsidP="00175F23">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rPr>
      </w:pPr>
      <w:r>
        <w:rPr>
          <w:i/>
          <w:noProof/>
          <w:sz w:val="22"/>
        </w:rPr>
        <w:t>Tīrs gaiss un klusas zonas ir būtisks veselīgas dzīves faktors. Daudzi projekti ir parādījuši, kā var uzlabot reģionālo gaisa kvalitāti (</w:t>
      </w:r>
      <w:hyperlink r:id="rId54" w:history="1">
        <w:r>
          <w:rPr>
            <w:rStyle w:val="Hyperlink"/>
            <w:b/>
            <w:i/>
            <w:noProof/>
            <w:sz w:val="22"/>
          </w:rPr>
          <w:t>LIFE Małopolska</w:t>
        </w:r>
      </w:hyperlink>
      <w:r>
        <w:rPr>
          <w:b/>
          <w:i/>
          <w:noProof/>
          <w:sz w:val="22"/>
        </w:rPr>
        <w:t xml:space="preserve">, </w:t>
      </w:r>
      <w:hyperlink r:id="rId55" w:history="1">
        <w:r>
          <w:rPr>
            <w:rStyle w:val="Hyperlink"/>
            <w:b/>
            <w:i/>
            <w:noProof/>
            <w:sz w:val="22"/>
          </w:rPr>
          <w:t>LIFE Prepair</w:t>
        </w:r>
      </w:hyperlink>
      <w:r>
        <w:rPr>
          <w:b/>
          <w:i/>
          <w:noProof/>
          <w:sz w:val="22"/>
        </w:rPr>
        <w:t xml:space="preserve">, </w:t>
      </w:r>
      <w:hyperlink r:id="rId56" w:history="1">
        <w:r>
          <w:rPr>
            <w:rStyle w:val="Hyperlink"/>
            <w:b/>
            <w:i/>
            <w:noProof/>
            <w:sz w:val="22"/>
          </w:rPr>
          <w:t>LIFE Sirius</w:t>
        </w:r>
      </w:hyperlink>
      <w:r>
        <w:rPr>
          <w:i/>
          <w:noProof/>
          <w:sz w:val="22"/>
        </w:rPr>
        <w:t>) un ka tīra pilsētvide labvēlīgi ietekmē labbūtību, arī sirds un asinsvadu, elpceļu un psihoemocionālo veselību</w:t>
      </w:r>
      <w:r>
        <w:rPr>
          <w:b/>
          <w:i/>
          <w:noProof/>
          <w:sz w:val="22"/>
        </w:rPr>
        <w:t xml:space="preserve"> </w:t>
      </w:r>
      <w:r>
        <w:rPr>
          <w:i/>
          <w:noProof/>
          <w:sz w:val="22"/>
        </w:rPr>
        <w:t>(</w:t>
      </w:r>
      <w:hyperlink r:id="rId57" w:tgtFrame="_blank" w:history="1">
        <w:r>
          <w:rPr>
            <w:rStyle w:val="Hyperlink"/>
            <w:b/>
            <w:i/>
            <w:noProof/>
            <w:sz w:val="22"/>
          </w:rPr>
          <w:t>eMOTIONAL Cities</w:t>
        </w:r>
      </w:hyperlink>
      <w:r>
        <w:rPr>
          <w:b/>
          <w:i/>
          <w:noProof/>
          <w:sz w:val="22"/>
        </w:rPr>
        <w:t xml:space="preserve">, </w:t>
      </w:r>
      <w:hyperlink r:id="rId58" w:tgtFrame="_blank" w:history="1">
        <w:r>
          <w:rPr>
            <w:rStyle w:val="Hyperlink"/>
            <w:b/>
            <w:i/>
            <w:noProof/>
            <w:sz w:val="22"/>
          </w:rPr>
          <w:t>EXPANSE</w:t>
        </w:r>
      </w:hyperlink>
      <w:r>
        <w:rPr>
          <w:b/>
          <w:i/>
          <w:noProof/>
          <w:sz w:val="22"/>
        </w:rPr>
        <w:t xml:space="preserve">, </w:t>
      </w:r>
      <w:hyperlink r:id="rId59" w:tgtFrame="_blank" w:history="1">
        <w:r>
          <w:rPr>
            <w:rStyle w:val="Hyperlink"/>
            <w:b/>
            <w:i/>
            <w:noProof/>
            <w:sz w:val="22"/>
          </w:rPr>
          <w:t>LongITools</w:t>
        </w:r>
      </w:hyperlink>
      <w:r>
        <w:rPr>
          <w:i/>
          <w:noProof/>
          <w:sz w:val="22"/>
        </w:rPr>
        <w:t>). Tie arī parāda, kā ārkārtējs karstums var palielināt gaisa piesārņojumu (</w:t>
      </w:r>
      <w:hyperlink r:id="rId60" w:tgtFrame="_blank" w:history="1">
        <w:r>
          <w:rPr>
            <w:rStyle w:val="Hyperlink"/>
            <w:b/>
            <w:i/>
            <w:noProof/>
            <w:sz w:val="22"/>
          </w:rPr>
          <w:t>EXHAUSTION</w:t>
        </w:r>
      </w:hyperlink>
      <w:r>
        <w:rPr>
          <w:i/>
          <w:noProof/>
          <w:sz w:val="22"/>
        </w:rPr>
        <w:t>) un kā pilsētu zaļināšana mazina šo ietekmi, vienlaikus veidojot ekonomisko pamatojumu jaunu koku stādīšanai (</w:t>
      </w:r>
      <w:hyperlink r:id="rId61" w:tgtFrame="_blank" w:history="1">
        <w:r>
          <w:rPr>
            <w:rStyle w:val="Hyperlink"/>
            <w:b/>
            <w:i/>
            <w:noProof/>
            <w:sz w:val="22"/>
          </w:rPr>
          <w:t>100KTREES</w:t>
        </w:r>
      </w:hyperlink>
      <w:r>
        <w:rPr>
          <w:i/>
          <w:noProof/>
          <w:sz w:val="22"/>
        </w:rPr>
        <w:t xml:space="preserve">, </w:t>
      </w:r>
      <w:hyperlink r:id="rId62" w:tgtFrame="_blank" w:history="1">
        <w:r>
          <w:rPr>
            <w:rStyle w:val="Hyperlink"/>
            <w:b/>
            <w:i/>
            <w:noProof/>
            <w:sz w:val="22"/>
          </w:rPr>
          <w:t>LIFE AIRFRESH</w:t>
        </w:r>
      </w:hyperlink>
      <w:r>
        <w:rPr>
          <w:i/>
          <w:noProof/>
          <w:sz w:val="22"/>
        </w:rPr>
        <w:t>).</w:t>
      </w:r>
    </w:p>
    <w:p w14:paraId="7F726019" w14:textId="5833041B" w:rsidR="004172DA" w:rsidRPr="004172DA" w:rsidRDefault="00E06994" w:rsidP="00AC7C80">
      <w:pPr>
        <w:pStyle w:val="Text1"/>
        <w:spacing w:before="240"/>
        <w:rPr>
          <w:rFonts w:eastAsia="Calibri"/>
          <w:noProof/>
        </w:rPr>
      </w:pPr>
      <w:r>
        <w:rPr>
          <w:b/>
          <w:noProof/>
        </w:rPr>
        <w:t xml:space="preserve">Arvien lielākas bažas rada piesārņotāju maisījumi, tostarp jauni piesārņotāji, piemēram, endokrīnie disruptori un farmaceitiskie līdzekļi. </w:t>
      </w:r>
      <w:r>
        <w:rPr>
          <w:noProof/>
        </w:rPr>
        <w:t>Cilvēku biomonitoringā ir piemēri par vairāku ķīmisko vielu ietekmi uz cilvēka veselību</w:t>
      </w:r>
      <w:r>
        <w:rPr>
          <w:rStyle w:val="FootnoteReference"/>
          <w:noProof/>
        </w:rPr>
        <w:footnoteReference w:id="56"/>
      </w:r>
      <w:r>
        <w:rPr>
          <w:noProof/>
        </w:rPr>
        <w:t>, un daži ziņojumi liecina, ka dažu ķīmisko vielu iedarbība var radīt ievērojamas veselības aprūpes izmaksas</w:t>
      </w:r>
      <w:r>
        <w:rPr>
          <w:rStyle w:val="FootnoteReference"/>
          <w:noProof/>
        </w:rPr>
        <w:footnoteReference w:id="57"/>
      </w:r>
      <w:r>
        <w:rPr>
          <w:noProof/>
        </w:rPr>
        <w:t>. Šie dati arī liecina, ka efektīvs regulējums samazina iedarbību un var īsā laikā panākt izmērāmus uzlabojumus. Dažas bīstamas ķimikālijas ietekmē arī savvaļas dzīvnieku un augu bioloģisko daudzveidību</w:t>
      </w:r>
      <w:r>
        <w:rPr>
          <w:rStyle w:val="FootnoteReference"/>
          <w:noProof/>
        </w:rPr>
        <w:footnoteReference w:id="58"/>
      </w:r>
      <w:r>
        <w:rPr>
          <w:noProof/>
        </w:rPr>
        <w:t>. Kopš 2019. gada, kad tika pieņemta stratēģiskā pieeja attiecībā uz farmaceitiskiem līdzekļiem vidē</w:t>
      </w:r>
      <w:r>
        <w:rPr>
          <w:rStyle w:val="FootnoteReference"/>
          <w:noProof/>
        </w:rPr>
        <w:footnoteReference w:id="59"/>
      </w:r>
      <w:r>
        <w:rPr>
          <w:noProof/>
        </w:rPr>
        <w:t>, farmaceitisko līdzekļu klātbūtne vidē tiek risināta, izmantojot holistiskāku pieeju. Pasākumi bīstamu ķimikāliju emisijas novēršanai augšposmā var samazināt remediācijas izmaksas, piemēram, ūdens attīrīšanas izmaksas.</w:t>
      </w:r>
    </w:p>
    <w:p w14:paraId="22F742CF" w14:textId="77777777" w:rsidR="0057731F" w:rsidRPr="0057731F" w:rsidRDefault="0057731F" w:rsidP="0057731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Tīrāka vide – nulles piesārņojums ar farmaceitiskajiem līdzekļiem</w:t>
      </w:r>
    </w:p>
    <w:p w14:paraId="16B53ACC" w14:textId="3831609E" w:rsidR="006E3C9C" w:rsidRPr="0057731F" w:rsidRDefault="0057731F" w:rsidP="00175F23">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18"/>
        </w:rPr>
      </w:pPr>
      <w:r>
        <w:rPr>
          <w:i/>
          <w:noProof/>
          <w:sz w:val="22"/>
        </w:rPr>
        <w:t xml:space="preserve">Tiek izstrādātas inovatīvākas pieejas vidiskās pēdas samazināšanai, izmantojot progresīvas tehnoloģijas; lai detoksificētu farmaceitiskos notekūdeņus par vairāk nekā 80 %, tiek izmantota ekonomiski dzīvotspējīga un rentabla metode </w:t>
      </w:r>
      <w:r>
        <w:rPr>
          <w:b/>
          <w:i/>
          <w:noProof/>
          <w:sz w:val="22"/>
        </w:rPr>
        <w:t>(</w:t>
      </w:r>
      <w:hyperlink r:id="rId63" w:tgtFrame="_blank" w:history="1">
        <w:r>
          <w:rPr>
            <w:rStyle w:val="Hyperlink"/>
            <w:b/>
            <w:i/>
            <w:noProof/>
            <w:sz w:val="22"/>
          </w:rPr>
          <w:t>LIFE PHARMA-DETOX</w:t>
        </w:r>
      </w:hyperlink>
      <w:r>
        <w:rPr>
          <w:b/>
          <w:i/>
          <w:noProof/>
          <w:sz w:val="22"/>
        </w:rPr>
        <w:t xml:space="preserve">). </w:t>
      </w:r>
      <w:r>
        <w:rPr>
          <w:i/>
          <w:noProof/>
          <w:sz w:val="22"/>
        </w:rPr>
        <w:t xml:space="preserve">Turklāt projektā </w:t>
      </w:r>
      <w:hyperlink r:id="rId64" w:history="1">
        <w:r>
          <w:rPr>
            <w:rStyle w:val="Hyperlink"/>
            <w:b/>
            <w:noProof/>
          </w:rPr>
          <w:t>RECOPHARMA</w:t>
        </w:r>
      </w:hyperlink>
      <w:r>
        <w:rPr>
          <w:i/>
          <w:noProof/>
          <w:sz w:val="22"/>
        </w:rPr>
        <w:t xml:space="preserve"> ir izstrādāti moderni ūdens attīrīšanas risinājumi, kas ir daudzpusīgi, ātri, efektīvi un ar zemām izmaksām.</w:t>
      </w:r>
    </w:p>
    <w:p w14:paraId="011EED99" w14:textId="0D4D12C0" w:rsidR="00E06994" w:rsidRPr="00874CDA" w:rsidRDefault="03B3FCF4" w:rsidP="00175F23">
      <w:pPr>
        <w:pStyle w:val="Text1"/>
        <w:spacing w:before="240"/>
        <w:rPr>
          <w:noProof/>
        </w:rPr>
      </w:pPr>
      <w:r>
        <w:rPr>
          <w:b/>
          <w:noProof/>
        </w:rPr>
        <w:t>Vēsturisks un pastāvīgs piesārņojums – nepietiekami novērtēta problēma.</w:t>
      </w:r>
      <w:r>
        <w:rPr>
          <w:noProof/>
        </w:rPr>
        <w:t xml:space="preserve"> Neraugoties uz aizvien lielāko informētību par “mūžīgo” ķimikāliju radīto risku un augsto koncentrāciju vidē</w:t>
      </w:r>
      <w:r>
        <w:rPr>
          <w:rStyle w:val="FootnoteReference"/>
          <w:noProof/>
        </w:rPr>
        <w:footnoteReference w:id="60"/>
      </w:r>
      <w:r>
        <w:rPr>
          <w:noProof/>
        </w:rPr>
        <w:t>, tikai nesen ir panākta izpratne par perfluoralkilvielu un polifluoralkilvielu (</w:t>
      </w:r>
      <w:r>
        <w:rPr>
          <w:i/>
          <w:iCs/>
          <w:noProof/>
        </w:rPr>
        <w:t>PFAS</w:t>
      </w:r>
      <w:r>
        <w:rPr>
          <w:noProof/>
        </w:rPr>
        <w:t>) un citu noturīgu ķimikāliju plašā piesārņojuma pilnīgu apmēru un nopietnajām sekām. Konkrētāk, nulles piesārņojuma monitoringa un perspektīvas ietvaros vēl nav pienācīgi risināta trifluoracetāta (</w:t>
      </w:r>
      <w:r>
        <w:rPr>
          <w:i/>
          <w:iCs/>
          <w:noProof/>
        </w:rPr>
        <w:t>TFA</w:t>
      </w:r>
      <w:r>
        <w:rPr>
          <w:noProof/>
        </w:rPr>
        <w:t>)</w:t>
      </w:r>
      <w:r>
        <w:rPr>
          <w:rStyle w:val="FootnoteReference"/>
          <w:noProof/>
        </w:rPr>
        <w:footnoteReference w:id="61"/>
      </w:r>
      <w:r>
        <w:rPr>
          <w:noProof/>
        </w:rPr>
        <w:t xml:space="preserve">, kas ir dažu </w:t>
      </w:r>
      <w:r>
        <w:rPr>
          <w:i/>
          <w:iCs/>
          <w:noProof/>
        </w:rPr>
        <w:t>PFAS</w:t>
      </w:r>
      <w:r>
        <w:rPr>
          <w:noProof/>
        </w:rPr>
        <w:t xml:space="preserve"> izplatīts noārdīšanās produkts, plašās parādīšanās problēma. Tomēr nesenie lēmumi par ūdens piesārņotājiem</w:t>
      </w:r>
      <w:r>
        <w:rPr>
          <w:rStyle w:val="FootnoteReference"/>
          <w:noProof/>
        </w:rPr>
        <w:footnoteReference w:id="62"/>
      </w:r>
      <w:r>
        <w:rPr>
          <w:noProof/>
        </w:rPr>
        <w:t xml:space="preserve">, </w:t>
      </w:r>
      <w:r>
        <w:rPr>
          <w:i/>
          <w:iCs/>
          <w:noProof/>
        </w:rPr>
        <w:t>PFAS</w:t>
      </w:r>
      <w:r>
        <w:rPr>
          <w:noProof/>
        </w:rPr>
        <w:t xml:space="preserve"> ierobežošana ugunsdzēsības putās</w:t>
      </w:r>
      <w:r>
        <w:rPr>
          <w:rStyle w:val="FootnoteReference"/>
          <w:noProof/>
        </w:rPr>
        <w:footnoteReference w:id="63"/>
      </w:r>
      <w:r>
        <w:rPr>
          <w:noProof/>
        </w:rPr>
        <w:t xml:space="preserve"> un gaidāmais darbs ķimikāliju jomā (arī darbs pie </w:t>
      </w:r>
      <w:r>
        <w:rPr>
          <w:i/>
          <w:iCs/>
          <w:noProof/>
        </w:rPr>
        <w:t>PFAS</w:t>
      </w:r>
      <w:r>
        <w:rPr>
          <w:noProof/>
        </w:rPr>
        <w:t xml:space="preserve"> universālā ierobežojuma)</w:t>
      </w:r>
      <w:r>
        <w:rPr>
          <w:rStyle w:val="FootnoteReference"/>
          <w:noProof/>
        </w:rPr>
        <w:footnoteReference w:id="64"/>
      </w:r>
      <w:r>
        <w:rPr>
          <w:noProof/>
        </w:rPr>
        <w:t xml:space="preserve"> un citi tiesību akti, par kuriem nesen panākta vienošanās, sniegs lielāku skaidrību par problēmas mērogu un apmēru visā ES. Attiecībā uz </w:t>
      </w:r>
      <w:r>
        <w:rPr>
          <w:i/>
          <w:iCs/>
          <w:noProof/>
        </w:rPr>
        <w:t>PFAS</w:t>
      </w:r>
      <w:r>
        <w:rPr>
          <w:noProof/>
        </w:rPr>
        <w:t xml:space="preserve"> dzeramajā ūdenī Komisija ir parakstījusi nolīgumu ar Pasaules Veselības organizāciju (PVO)</w:t>
      </w:r>
      <w:r>
        <w:rPr>
          <w:rStyle w:val="FootnoteReference"/>
          <w:noProof/>
        </w:rPr>
        <w:footnoteReference w:id="65"/>
      </w:r>
      <w:r>
        <w:rPr>
          <w:noProof/>
        </w:rPr>
        <w:t xml:space="preserve">, lai novērtētu jaunākos zinātniskos pierādījumus par attiecīgo dzeramajā ūdenī esošo </w:t>
      </w:r>
      <w:r>
        <w:rPr>
          <w:i/>
          <w:iCs/>
          <w:noProof/>
        </w:rPr>
        <w:t>PFAS</w:t>
      </w:r>
      <w:r>
        <w:rPr>
          <w:noProof/>
        </w:rPr>
        <w:t xml:space="preserve">, tostarp </w:t>
      </w:r>
      <w:r>
        <w:rPr>
          <w:i/>
          <w:iCs/>
          <w:noProof/>
        </w:rPr>
        <w:t>TFA</w:t>
      </w:r>
      <w:r>
        <w:rPr>
          <w:noProof/>
        </w:rPr>
        <w:t>, iespējamo ietekmi uz veselību. Vienlaikus tiek veikts pētījums</w:t>
      </w:r>
      <w:r>
        <w:rPr>
          <w:rStyle w:val="FootnoteReference"/>
          <w:noProof/>
        </w:rPr>
        <w:footnoteReference w:id="66"/>
      </w:r>
      <w:r>
        <w:rPr>
          <w:noProof/>
        </w:rPr>
        <w:t xml:space="preserve">, kura mērķis ir analizēt attīrīšanas paņēmienus un ar tiem saistītās izmaksas attiecībā uz </w:t>
      </w:r>
      <w:r>
        <w:rPr>
          <w:i/>
          <w:iCs/>
          <w:noProof/>
        </w:rPr>
        <w:t>PFAS</w:t>
      </w:r>
      <w:r>
        <w:rPr>
          <w:noProof/>
        </w:rPr>
        <w:t xml:space="preserve"> (tostarp </w:t>
      </w:r>
      <w:r>
        <w:rPr>
          <w:i/>
          <w:iCs/>
          <w:noProof/>
        </w:rPr>
        <w:t>TFA</w:t>
      </w:r>
      <w:r>
        <w:rPr>
          <w:noProof/>
        </w:rPr>
        <w:t xml:space="preserve">) atdalīšanu no dzeramā ūdens. Tiek veikts arī pētījums par </w:t>
      </w:r>
      <w:r>
        <w:rPr>
          <w:i/>
          <w:iCs/>
          <w:noProof/>
        </w:rPr>
        <w:t>PFAS</w:t>
      </w:r>
      <w:r>
        <w:rPr>
          <w:noProof/>
        </w:rPr>
        <w:t xml:space="preserve"> atkritumu plūsmās, ņemot vērā </w:t>
      </w:r>
      <w:r>
        <w:rPr>
          <w:i/>
          <w:iCs/>
          <w:noProof/>
        </w:rPr>
        <w:t>PFAS</w:t>
      </w:r>
      <w:r>
        <w:rPr>
          <w:noProof/>
        </w:rPr>
        <w:t xml:space="preserve"> aizliegumu iepakojumā un iepakojuma atkritumos</w:t>
      </w:r>
      <w:r>
        <w:rPr>
          <w:rStyle w:val="FootnoteReference"/>
          <w:noProof/>
        </w:rPr>
        <w:footnoteReference w:id="67"/>
      </w:r>
      <w:r>
        <w:rPr>
          <w:noProof/>
        </w:rPr>
        <w:t xml:space="preserve">. Pamatojoties uz to, Komisija apsvērs vislabāko iespējamo rīcības virzienu. Turklāt darbības attiecībā uz </w:t>
      </w:r>
      <w:r>
        <w:rPr>
          <w:i/>
          <w:iCs/>
          <w:noProof/>
        </w:rPr>
        <w:t>PFAS</w:t>
      </w:r>
      <w:r>
        <w:rPr>
          <w:noProof/>
        </w:rPr>
        <w:t xml:space="preserve"> radītā riska mazināšanu, remediāciju un atbalstu alternatīvām, par kurām paziņots Ķīmiskās rūpniecības rīcības plānā</w:t>
      </w:r>
      <w:r>
        <w:rPr>
          <w:rStyle w:val="FootnoteReference"/>
          <w:noProof/>
        </w:rPr>
        <w:footnoteReference w:id="68"/>
      </w:r>
      <w:r>
        <w:rPr>
          <w:noProof/>
        </w:rPr>
        <w:t xml:space="preserve"> un Eiropas Ūdensresursu noturības stratēģijā</w:t>
      </w:r>
      <w:r>
        <w:rPr>
          <w:rStyle w:val="FootnoteReference"/>
          <w:noProof/>
        </w:rPr>
        <w:footnoteReference w:id="69"/>
      </w:r>
      <w:r>
        <w:rPr>
          <w:noProof/>
        </w:rPr>
        <w:t>, risinās šo jautājumu holistiski partnerībā ar visām iesaistītajām personām.</w:t>
      </w:r>
    </w:p>
    <w:p w14:paraId="2E89E524" w14:textId="475A86A0" w:rsidR="005E7FAF" w:rsidRPr="005E7FAF" w:rsidRDefault="005E7FAF" w:rsidP="005E7FA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Vides attīrīšana – nulles piesārņojuma panākšana, izmantojot remediāciju</w:t>
      </w:r>
    </w:p>
    <w:p w14:paraId="4DD6995C" w14:textId="1DE6A504" w:rsidR="0057731F" w:rsidRPr="005E7FAF" w:rsidRDefault="005E7FAF" w:rsidP="00175F23">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rFonts w:eastAsiaTheme="majorEastAsia"/>
          <w:i/>
          <w:iCs/>
          <w:noProof/>
          <w:sz w:val="22"/>
          <w:szCs w:val="18"/>
        </w:rPr>
      </w:pPr>
      <w:r>
        <w:rPr>
          <w:i/>
          <w:noProof/>
          <w:sz w:val="22"/>
        </w:rPr>
        <w:t>Piesārņojuma novēršanai ir jābūt prioritātei, taču tas ne vienmēr ir iespējams. Tirgū arvien vairāk ir pieejami inovatīvi un rentabli veidi noturīgu un mobilu piesārņotāju, piemēram, PFAS, atklāšanai un remediācijai (</w:t>
      </w:r>
      <w:hyperlink r:id="rId65" w:tgtFrame="_blank" w:history="1">
        <w:r>
          <w:rPr>
            <w:rStyle w:val="Hyperlink"/>
            <w:b/>
            <w:i/>
            <w:noProof/>
            <w:sz w:val="22"/>
          </w:rPr>
          <w:t>SCENARIOS</w:t>
        </w:r>
      </w:hyperlink>
      <w:r>
        <w:rPr>
          <w:i/>
          <w:noProof/>
          <w:sz w:val="22"/>
        </w:rPr>
        <w:t xml:space="preserve">, </w:t>
      </w:r>
      <w:hyperlink r:id="rId66" w:tgtFrame="_blank" w:history="1">
        <w:r>
          <w:rPr>
            <w:rStyle w:val="Hyperlink"/>
            <w:b/>
            <w:i/>
            <w:noProof/>
            <w:sz w:val="22"/>
          </w:rPr>
          <w:t>ZeroPM</w:t>
        </w:r>
      </w:hyperlink>
      <w:r>
        <w:rPr>
          <w:b/>
          <w:i/>
          <w:noProof/>
          <w:sz w:val="22"/>
        </w:rPr>
        <w:t xml:space="preserve">, </w:t>
      </w:r>
      <w:hyperlink r:id="rId67" w:tgtFrame="_blank" w:history="1">
        <w:r>
          <w:rPr>
            <w:rStyle w:val="Hyperlink"/>
            <w:b/>
            <w:i/>
            <w:noProof/>
            <w:sz w:val="22"/>
          </w:rPr>
          <w:t>LIFE SOuRCE</w:t>
        </w:r>
      </w:hyperlink>
      <w:r>
        <w:rPr>
          <w:i/>
          <w:noProof/>
          <w:sz w:val="22"/>
        </w:rPr>
        <w:t xml:space="preserve">, </w:t>
      </w:r>
      <w:hyperlink r:id="rId68" w:tgtFrame="_blank" w:history="1">
        <w:r>
          <w:rPr>
            <w:rStyle w:val="Hyperlink"/>
            <w:b/>
            <w:i/>
            <w:noProof/>
            <w:sz w:val="22"/>
          </w:rPr>
          <w:t>CHROMOFORA</w:t>
        </w:r>
      </w:hyperlink>
      <w:r>
        <w:rPr>
          <w:noProof/>
        </w:rPr>
        <w:t xml:space="preserve"> </w:t>
      </w:r>
      <w:r>
        <w:rPr>
          <w:i/>
          <w:noProof/>
          <w:sz w:val="22"/>
        </w:rPr>
        <w:t xml:space="preserve">un </w:t>
      </w:r>
      <w:hyperlink r:id="rId69" w:history="1">
        <w:r>
          <w:rPr>
            <w:rStyle w:val="Hyperlink"/>
            <w:b/>
            <w:i/>
            <w:noProof/>
            <w:sz w:val="22"/>
          </w:rPr>
          <w:t>PROMISCES</w:t>
        </w:r>
      </w:hyperlink>
      <w:r>
        <w:rPr>
          <w:i/>
          <w:noProof/>
          <w:sz w:val="22"/>
        </w:rPr>
        <w:t>). Dabā balstīti risinājumi var arī palīdzēt samazināt piesārņojumu ar barības vielām vai likvidēt vēsturisko metālu piesārņojumu upju nogulsnēs un augsnēs (</w:t>
      </w:r>
      <w:hyperlink r:id="rId70" w:tgtFrame="_blank" w:history="1">
        <w:r>
          <w:rPr>
            <w:rStyle w:val="Hyperlink"/>
            <w:b/>
            <w:i/>
            <w:noProof/>
            <w:sz w:val="22"/>
          </w:rPr>
          <w:t>LIFE NARMENA</w:t>
        </w:r>
      </w:hyperlink>
      <w:r>
        <w:rPr>
          <w:i/>
          <w:noProof/>
          <w:sz w:val="22"/>
        </w:rPr>
        <w:t xml:space="preserve">, </w:t>
      </w:r>
      <w:hyperlink r:id="rId71" w:tgtFrame="_blank" w:history="1">
        <w:r>
          <w:rPr>
            <w:rStyle w:val="Hyperlink"/>
            <w:b/>
            <w:i/>
            <w:noProof/>
            <w:sz w:val="22"/>
          </w:rPr>
          <w:t>LIFE BELINI</w:t>
        </w:r>
      </w:hyperlink>
      <w:r>
        <w:rPr>
          <w:b/>
          <w:i/>
          <w:noProof/>
          <w:sz w:val="22"/>
        </w:rPr>
        <w:t xml:space="preserve">, </w:t>
      </w:r>
      <w:hyperlink r:id="rId72" w:tgtFrame="_blank" w:history="1">
        <w:r>
          <w:rPr>
            <w:rStyle w:val="Hyperlink"/>
            <w:b/>
            <w:i/>
            <w:noProof/>
            <w:sz w:val="22"/>
          </w:rPr>
          <w:t>LIFE POPWAT</w:t>
        </w:r>
      </w:hyperlink>
      <w:r>
        <w:rPr>
          <w:i/>
          <w:noProof/>
          <w:sz w:val="22"/>
        </w:rPr>
        <w:t>). Dabā balstīti augsnes remediācijas risinājumi kļūst arvien inovatīvāki, samazinot gan piesārņojumu, gan dekontaminācijas izmaksas (</w:t>
      </w:r>
      <w:hyperlink r:id="rId73" w:tgtFrame="_blank" w:history="1">
        <w:r>
          <w:rPr>
            <w:rStyle w:val="Hyperlink"/>
            <w:b/>
            <w:i/>
            <w:noProof/>
            <w:sz w:val="22"/>
          </w:rPr>
          <w:t>POSIDON</w:t>
        </w:r>
      </w:hyperlink>
      <w:r>
        <w:rPr>
          <w:i/>
          <w:noProof/>
          <w:sz w:val="22"/>
        </w:rPr>
        <w:t xml:space="preserve">, </w:t>
      </w:r>
      <w:hyperlink r:id="rId74" w:tgtFrame="_blank" w:history="1">
        <w:r>
          <w:rPr>
            <w:rStyle w:val="Hyperlink"/>
            <w:b/>
            <w:i/>
            <w:noProof/>
            <w:sz w:val="22"/>
          </w:rPr>
          <w:t>ARAGON</w:t>
        </w:r>
      </w:hyperlink>
      <w:r>
        <w:rPr>
          <w:i/>
          <w:noProof/>
          <w:sz w:val="22"/>
        </w:rPr>
        <w:t xml:space="preserve">, </w:t>
      </w:r>
      <w:hyperlink r:id="rId75" w:history="1">
        <w:r>
          <w:rPr>
            <w:rStyle w:val="Hyperlink"/>
            <w:b/>
            <w:i/>
            <w:noProof/>
            <w:sz w:val="22"/>
          </w:rPr>
          <w:t>EDAPHOS</w:t>
        </w:r>
      </w:hyperlink>
      <w:r>
        <w:rPr>
          <w:i/>
          <w:noProof/>
          <w:sz w:val="22"/>
        </w:rPr>
        <w:t>).</w:t>
      </w:r>
    </w:p>
    <w:p w14:paraId="6F3152DA" w14:textId="60D4F609" w:rsidR="00E06994" w:rsidRPr="00874CDA" w:rsidRDefault="00E06994" w:rsidP="00175F23">
      <w:pPr>
        <w:pStyle w:val="Text1"/>
        <w:spacing w:before="240"/>
        <w:rPr>
          <w:noProof/>
        </w:rPr>
      </w:pPr>
      <w:r>
        <w:rPr>
          <w:noProof/>
        </w:rPr>
        <w:t xml:space="preserve">Eiropas Vides aģentūra un Kopīgais pētniecības centrs turpinās reizi divos gados atjaunināt </w:t>
      </w:r>
      <w:r>
        <w:rPr>
          <w:b/>
          <w:noProof/>
        </w:rPr>
        <w:t>nulles piesārņojuma monitoringu un perspektīvu</w:t>
      </w:r>
      <w:r>
        <w:rPr>
          <w:rStyle w:val="FootnoteReference"/>
          <w:noProof/>
        </w:rPr>
        <w:footnoteReference w:id="70"/>
      </w:r>
      <w:r>
        <w:rPr>
          <w:noProof/>
        </w:rPr>
        <w:t xml:space="preserve">. Turpmākajos izdevumos arvien vairāk ņems vērā nesen pieņemto tiesisko regulējumu “Viena viela, viens novērtējums”. Tas palīdzēs uzlabot datu vākšanu, integrētu analīzi un agrīnu brīdināšanu par ķīmiskajiem piesārņotājiem, kā arī izveidot pastāvīgu ES mēroga cilvēku biomonitoringu, kas ļaus iegūt vērtīgu datu kopu. Monitoringa un perspektīvas novērtējumā galvenā uzmanība arī turpmāk tiks pievērsta tam, lai sekotu līdzi veikumam 2030. gadam noteikto mērķrādītāju sasniegšanā, savukārt turpmākajos izdevumos tiks prognozēts progress laikposmā līdz 2040. un 2050. gadam un tiks zinātniski pārskatīti pašreizējie mērķrādītāji nolūkā noteikt, vai 2040. gadam ir vajadzīgi stingrāki vai papildu mērķrādītāji. Nulles piesārņojuma monitoringa un perspektīvas darbs tiks arī ciešāk saskaņots ar notiekošo vai plānoto nacionālo monitoringu. Datu un novērtējumu, piemēram, </w:t>
      </w:r>
      <w:r>
        <w:rPr>
          <w:i/>
          <w:noProof/>
        </w:rPr>
        <w:t>Copernicus</w:t>
      </w:r>
      <w:r>
        <w:rPr>
          <w:noProof/>
        </w:rPr>
        <w:t xml:space="preserve"> datu un novērtējumu, integrēšana var arī palīdzēt veikt </w:t>
      </w:r>
      <w:r>
        <w:rPr>
          <w:b/>
          <w:noProof/>
        </w:rPr>
        <w:t>vienkāršošanu</w:t>
      </w:r>
      <w:r>
        <w:rPr>
          <w:noProof/>
        </w:rPr>
        <w:t>, izmantojot digitālos rīkus un mākslīgo intelektu, lai vāktu publiski pieejamus datus, nevis tikai pieprasītu dalībvalstīm iesniegt ziņojumus.</w:t>
      </w:r>
    </w:p>
    <w:p w14:paraId="52445E82" w14:textId="4132780C" w:rsidR="00E06994" w:rsidRPr="00874CDA" w:rsidRDefault="00E06994" w:rsidP="00E06994">
      <w:pPr>
        <w:pStyle w:val="Text1"/>
        <w:rPr>
          <w:noProof/>
        </w:rPr>
      </w:pPr>
      <w:r>
        <w:rPr>
          <w:noProof/>
        </w:rPr>
        <w:t xml:space="preserve">Izmantojot nulles piesārņojuma politikas programmu, Komisija meklēs iespējas </w:t>
      </w:r>
      <w:r>
        <w:rPr>
          <w:b/>
          <w:noProof/>
        </w:rPr>
        <w:t>samazināt administratīvo un regulatīvo slogu</w:t>
      </w:r>
      <w:r>
        <w:rPr>
          <w:noProof/>
        </w:rPr>
        <w:t>.</w:t>
      </w:r>
      <w:r>
        <w:rPr>
          <w:b/>
          <w:noProof/>
        </w:rPr>
        <w:t xml:space="preserve"> </w:t>
      </w:r>
      <w:r>
        <w:rPr>
          <w:noProof/>
        </w:rPr>
        <w:t xml:space="preserve">Tas ne tikai ietekmēs tiesību aktu pārskatīšanu, piemēram, </w:t>
      </w:r>
      <w:r>
        <w:rPr>
          <w:i/>
          <w:noProof/>
        </w:rPr>
        <w:t>REACH</w:t>
      </w:r>
      <w:r>
        <w:rPr>
          <w:noProof/>
        </w:rPr>
        <w:t xml:space="preserve"> regulas vai Jūras stratēģijas pamatdirektīvas pārskatīšanu, bet arī darbu pie deleģētajiem un īstenošanas aktiem. Ķimikāliju un vides </w:t>
      </w:r>
      <w:r>
        <w:rPr>
          <w:i/>
          <w:iCs/>
          <w:noProof/>
        </w:rPr>
        <w:t>omnibus</w:t>
      </w:r>
      <w:r>
        <w:rPr>
          <w:rStyle w:val="FootnoteReference"/>
          <w:noProof/>
        </w:rPr>
        <w:footnoteReference w:id="71"/>
      </w:r>
      <w:r>
        <w:rPr>
          <w:noProof/>
        </w:rPr>
        <w:t xml:space="preserve"> priekšlikumos ir noteikti arī daži vienkāršošanas pasākumi, kas saistīti ar darbu nulles piesārņojuma jomā. Komisija turpinās veikt ES tiesību aktu spriedzes testus arī nulles piesārņojuma aspektā, piemēram, izmantojot dažus gaidāmos novērtējumus un dialogus.</w:t>
      </w:r>
    </w:p>
    <w:p w14:paraId="42C7B77B" w14:textId="77777777" w:rsidR="00753475" w:rsidRDefault="00753475">
      <w:pPr>
        <w:rPr>
          <w:b/>
          <w:bCs/>
          <w:noProof/>
          <w:kern w:val="0"/>
          <w:szCs w:val="20"/>
          <w14:ligatures w14:val="none"/>
        </w:rPr>
      </w:pPr>
      <w:bookmarkStart w:id="33" w:name="_Toc66088929"/>
      <w:bookmarkStart w:id="34" w:name="_Toc66214562"/>
      <w:bookmarkStart w:id="35" w:name="_Toc66216748"/>
      <w:bookmarkStart w:id="36" w:name="_Toc66088930"/>
      <w:bookmarkStart w:id="37" w:name="_Toc66214563"/>
      <w:bookmarkStart w:id="38" w:name="_Toc66216749"/>
      <w:r>
        <w:rPr>
          <w:noProof/>
        </w:rPr>
        <w:br w:type="page"/>
      </w:r>
    </w:p>
    <w:p w14:paraId="23EA7346" w14:textId="69A0396B"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Komisija: </w:t>
      </w:r>
    </w:p>
    <w:p w14:paraId="74551A4B" w14:textId="7777777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turpinās atbalstīt pilsētas un reģionus to nulles piesārņojuma darbību īstenošanas laikā,</w:t>
      </w:r>
    </w:p>
    <w:p w14:paraId="7FDEB597" w14:textId="4834361B"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 xml:space="preserve">pārskatīs </w:t>
      </w:r>
      <w:r>
        <w:rPr>
          <w:b/>
          <w:i/>
          <w:noProof/>
        </w:rPr>
        <w:t>REACH</w:t>
      </w:r>
      <w:r>
        <w:rPr>
          <w:b/>
          <w:noProof/>
        </w:rPr>
        <w:t xml:space="preserve"> regulu, lai to vienkāršotu un atjauninātu, vienlaikus nodrošinot vides un cilvēka veselības aizsardzību,</w:t>
      </w:r>
    </w:p>
    <w:p w14:paraId="1DE955EC" w14:textId="1237E116"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 xml:space="preserve">izvērtēs Nitrātu direktīvu un Vienreizlietojamo plastmasas izstrādājumu direktīvu, </w:t>
      </w:r>
    </w:p>
    <w:p w14:paraId="1B920026" w14:textId="17094E3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[līdz 2026. gadam] nāks klajā ar holistisku lauksaimniecības dzīvnieku stratēģiju un publicēs ziņojumu par rūpnieciskajām emisijām saskaņā ar Rūpniecisko emisiju direktīvas 73. pantu;</w:t>
      </w:r>
    </w:p>
    <w:p w14:paraId="4B1C7B3C" w14:textId="7777777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izvērtēs iespēju ieviest ES trokšņa samazināšanas mērķrādītājus un trokšņa robežvērtības Vides trokšņa direktīvā [līdz 2029. gadam],</w:t>
      </w:r>
    </w:p>
    <w:p w14:paraId="159EB3E4" w14:textId="04C2B8F3" w:rsidR="00653617"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īstenos Ūdensresursu noturības stratēģijā un Okeāna paktā paredzētās ar piesārņojumu saistītās darbības,</w:t>
      </w:r>
    </w:p>
    <w:p w14:paraId="1EB086F0" w14:textId="7B4F8B03" w:rsidR="00E06994" w:rsidRPr="00874CDA" w:rsidRDefault="00653617"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īstenos ar </w:t>
      </w:r>
      <w:r>
        <w:rPr>
          <w:b/>
          <w:i/>
          <w:noProof/>
        </w:rPr>
        <w:t>PFAS</w:t>
      </w:r>
      <w:r>
        <w:rPr>
          <w:b/>
          <w:noProof/>
        </w:rPr>
        <w:t xml:space="preserve"> saistītās darbības, kas paziņotas Ķīmiskās rūpniecības rīcības plānā,</w:t>
      </w:r>
    </w:p>
    <w:p w14:paraId="75356C5E" w14:textId="71389382"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rīkojoties nulles piesārņojuma jomā, palīdzēs īstenot ES sirds un asinsvadu veselības plānu un Vēža uzveikšanas rīcības plānu,</w:t>
      </w:r>
    </w:p>
    <w:p w14:paraId="1D8B416B" w14:textId="59545AF3"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noProof/>
          <w:szCs w:val="24"/>
        </w:rPr>
      </w:pPr>
      <w:r>
        <w:rPr>
          <w:b/>
          <w:noProof/>
        </w:rPr>
        <w:t xml:space="preserve">— </w:t>
      </w:r>
      <w:r>
        <w:rPr>
          <w:noProof/>
        </w:rPr>
        <w:tab/>
      </w:r>
      <w:r>
        <w:rPr>
          <w:b/>
          <w:noProof/>
        </w:rPr>
        <w:t>publicēs Komisijas dienestu darba dokumentu par ES akvakultūras vidisko sniegumu [līdz 2026. gadam] un par akvakultūras vidisko ieguvumu veicināšanu [līdz 2027. gadam], nodrošinās attiecīgu apmācību dalībvalstīm un akvakultūras nozares pārstāvjiem.</w:t>
      </w:r>
    </w:p>
    <w:p w14:paraId="025975AC" w14:textId="77777777" w:rsidR="00E06994" w:rsidRPr="00874CDA" w:rsidRDefault="00E06994" w:rsidP="00E06994">
      <w:pPr>
        <w:pStyle w:val="Heading1"/>
        <w:numPr>
          <w:ilvl w:val="0"/>
          <w:numId w:val="22"/>
        </w:numPr>
        <w:rPr>
          <w:rFonts w:ascii="Times New Roman Bold" w:hAnsi="Times New Roman Bold" w:cs="Times New Roman" w:hint="eastAsia"/>
          <w:b/>
          <w:bCs/>
          <w:smallCaps/>
          <w:noProof/>
          <w:color w:val="auto"/>
          <w:sz w:val="24"/>
          <w:szCs w:val="24"/>
        </w:rPr>
      </w:pPr>
      <w:r>
        <w:rPr>
          <w:rFonts w:ascii="Times New Roman Bold" w:hAnsi="Times New Roman Bold"/>
          <w:b/>
          <w:smallCaps/>
          <w:noProof/>
          <w:color w:val="auto"/>
          <w:sz w:val="24"/>
        </w:rPr>
        <w:t>Atbalsts pārejai uz nulles piesārņojumu</w:t>
      </w:r>
    </w:p>
    <w:p w14:paraId="3D040C1F" w14:textId="5BB8CEB3" w:rsidR="00E06994" w:rsidRPr="00874CDA" w:rsidRDefault="00E06994" w:rsidP="00E06994">
      <w:pPr>
        <w:pStyle w:val="Text1"/>
        <w:rPr>
          <w:noProof/>
        </w:rPr>
      </w:pPr>
      <w:r>
        <w:rPr>
          <w:noProof/>
        </w:rPr>
        <w:t>Komisija turpinās palīdzēt dalībvalstīm veikt to īstenošanas centienus, galveno uzmanību pievēršot galvenajiem veicinātājiem – integrācijai, investīcijām un inovācijai. Komisija arī turpinās veicināt starptautisko sadarbību piesārņojuma novēršanas un mazināšanas jomā, iesaistoties gan daudzpusējos, gan divpusējos starptautiskās sadarbības centienos.</w:t>
      </w:r>
    </w:p>
    <w:p w14:paraId="5F51C36D" w14:textId="77777777" w:rsidR="00E06994" w:rsidRPr="00874CDA" w:rsidRDefault="00E06994" w:rsidP="00371BF5">
      <w:pPr>
        <w:pStyle w:val="Heading2"/>
        <w:keepLines w:val="0"/>
        <w:numPr>
          <w:ilvl w:val="1"/>
          <w:numId w:val="22"/>
        </w:numPr>
        <w:spacing w:before="240" w:after="240"/>
        <w:jc w:val="both"/>
        <w:rPr>
          <w:rFonts w:ascii="Times New Roman" w:eastAsia="Times New Roman" w:hAnsi="Times New Roman" w:cs="Times New Roman"/>
          <w:b/>
          <w:noProof/>
          <w:color w:val="auto"/>
          <w:kern w:val="0"/>
          <w:sz w:val="24"/>
          <w:szCs w:val="20"/>
          <w14:ligatures w14:val="none"/>
        </w:rPr>
      </w:pPr>
      <w:r>
        <w:rPr>
          <w:rFonts w:ascii="Times New Roman" w:hAnsi="Times New Roman"/>
          <w:b/>
          <w:noProof/>
          <w:color w:val="auto"/>
          <w:sz w:val="24"/>
        </w:rPr>
        <w:t>Īstenošana, investīcijas un integrācija pārmaiņu veicināšanai</w:t>
      </w:r>
    </w:p>
    <w:p w14:paraId="5EC305FC" w14:textId="5BDE8689" w:rsidR="00E06994" w:rsidRPr="00874CDA" w:rsidRDefault="00E06994" w:rsidP="00E06994">
      <w:pPr>
        <w:pStyle w:val="Text1"/>
        <w:rPr>
          <w:noProof/>
        </w:rPr>
      </w:pPr>
      <w:r>
        <w:rPr>
          <w:b/>
          <w:noProof/>
        </w:rPr>
        <w:t>Īstenošanai jākļūst par prioritāti.</w:t>
      </w:r>
      <w:r>
        <w:rPr>
          <w:noProof/>
        </w:rPr>
        <w:t xml:space="preserve"> Jaunākajā vides politikas īstenošanas pārskatā (</w:t>
      </w:r>
      <w:r>
        <w:rPr>
          <w:i/>
          <w:iCs/>
          <w:noProof/>
        </w:rPr>
        <w:t>EIR</w:t>
      </w:r>
      <w:r>
        <w:rPr>
          <w:noProof/>
        </w:rPr>
        <w:t>)</w:t>
      </w:r>
      <w:r>
        <w:rPr>
          <w:noProof/>
          <w:vertAlign w:val="superscript"/>
        </w:rPr>
        <w:footnoteReference w:id="72"/>
      </w:r>
      <w:r>
        <w:rPr>
          <w:noProof/>
        </w:rPr>
        <w:t>, kas ir periodisks ziņojums par ES vides tiesību aktu un politikas īstenošanas stāvokli, ir noteiktas politikas jomas, kurās pastāv galvenās problēmas saistībā ar ES vides tiesību aktu īstenošanu, proti, aprites ekonomika un atkritumi, nulles piesārņojums, arī saistībā ar ķimikālijām, daba un biodaudzveidība, klimatrīcība. Tajā ir apzināta paraugprakse un problēmas dalībvalstīs, kā arī ieteikti uzlabojumi, risinājumi un “prioritārās darbības”</w:t>
      </w:r>
      <w:r>
        <w:rPr>
          <w:rStyle w:val="FootnoteReference"/>
          <w:noProof/>
        </w:rPr>
        <w:footnoteReference w:id="73"/>
      </w:r>
      <w:r>
        <w:rPr>
          <w:noProof/>
        </w:rPr>
        <w:t xml:space="preserve">. 2025. gada </w:t>
      </w:r>
      <w:r>
        <w:rPr>
          <w:i/>
          <w:noProof/>
        </w:rPr>
        <w:t>EIR</w:t>
      </w:r>
      <w:r>
        <w:rPr>
          <w:noProof/>
        </w:rPr>
        <w:t xml:space="preserve"> ir ietverti pieci galvenie faktori, kas nosaka atšķirību starp labu īstenošanu un sliktu īstenošanu. Tie ir: 1) </w:t>
      </w:r>
      <w:r>
        <w:rPr>
          <w:b/>
          <w:noProof/>
        </w:rPr>
        <w:t>vidisko mērķu integrēšana</w:t>
      </w:r>
      <w:r>
        <w:rPr>
          <w:noProof/>
        </w:rPr>
        <w:t xml:space="preserve"> publiskajā politikā, izmantojot politisko dialogu, kā arī politikas, kas nosaka īstenošanas izmaksu sadali starp ieinteresētajām personām, 2) </w:t>
      </w:r>
      <w:r>
        <w:rPr>
          <w:b/>
          <w:noProof/>
        </w:rPr>
        <w:t>finansējums</w:t>
      </w:r>
      <w:r>
        <w:rPr>
          <w:noProof/>
        </w:rPr>
        <w:t>, 3) </w:t>
      </w:r>
      <w:r>
        <w:rPr>
          <w:b/>
          <w:noProof/>
        </w:rPr>
        <w:t>administratīvā spēja</w:t>
      </w:r>
      <w:r>
        <w:rPr>
          <w:noProof/>
        </w:rPr>
        <w:t>, jo īpaši lai nodrošinātu pienācīgu plānošanu un koordināciju, 4) </w:t>
      </w:r>
      <w:r>
        <w:rPr>
          <w:b/>
          <w:noProof/>
        </w:rPr>
        <w:t>digitālie dati</w:t>
      </w:r>
      <w:r>
        <w:rPr>
          <w:noProof/>
        </w:rPr>
        <w:t xml:space="preserve"> un 5) </w:t>
      </w:r>
      <w:r>
        <w:rPr>
          <w:b/>
          <w:noProof/>
        </w:rPr>
        <w:t>sabiedrības līdzdalības nozīme</w:t>
      </w:r>
      <w:r>
        <w:rPr>
          <w:noProof/>
        </w:rPr>
        <w:t xml:space="preserve"> vides lēmumu pieņemšanā, kā arī labāka </w:t>
      </w:r>
      <w:r>
        <w:rPr>
          <w:b/>
          <w:noProof/>
        </w:rPr>
        <w:t>tiesu iestāžu un tiesiskās aizsardzības līdzekļu pieejamība</w:t>
      </w:r>
      <w:r>
        <w:rPr>
          <w:noProof/>
        </w:rPr>
        <w:t>.</w:t>
      </w:r>
    </w:p>
    <w:p w14:paraId="7AC98922" w14:textId="3014DF63" w:rsidR="00E06994" w:rsidRPr="00874CDA" w:rsidRDefault="00E06994" w:rsidP="00E06994">
      <w:pPr>
        <w:pStyle w:val="Text1"/>
        <w:rPr>
          <w:noProof/>
        </w:rPr>
      </w:pPr>
      <w:r>
        <w:rPr>
          <w:b/>
          <w:noProof/>
        </w:rPr>
        <w:t>Visām ieinteresētajām personām – gan Komisijai, gan arī dalībvalstīm, kā arī reģionālajām un vietējām pašvaldībām, privātajam sektoram, pilsoniskajai sabiedrībai un mājsaimniecībām – ir noteikta loma vides politikas īstenošanā</w:t>
      </w:r>
      <w:r>
        <w:rPr>
          <w:noProof/>
        </w:rPr>
        <w:t xml:space="preserve">. Lai atbalstītu labāku īstenošanu un izpildi, Komisija organizēs </w:t>
      </w:r>
      <w:r>
        <w:rPr>
          <w:b/>
          <w:noProof/>
        </w:rPr>
        <w:t>īstenošanas dialogus</w:t>
      </w:r>
      <w:r>
        <w:rPr>
          <w:rStyle w:val="FootnoteReference"/>
          <w:noProof/>
        </w:rPr>
        <w:footnoteReference w:id="74"/>
      </w:r>
      <w:r>
        <w:rPr>
          <w:noProof/>
        </w:rPr>
        <w:t xml:space="preserve">, pamatojoties uz konkrētām valstīm adresētiem novērtējumiem un prioritārās rīcības ieteikumiem </w:t>
      </w:r>
      <w:r>
        <w:rPr>
          <w:i/>
          <w:iCs/>
          <w:noProof/>
        </w:rPr>
        <w:t>EIR</w:t>
      </w:r>
      <w:r>
        <w:rPr>
          <w:noProof/>
        </w:rPr>
        <w:t xml:space="preserve"> un politikas novērtējumos</w:t>
      </w:r>
      <w:r>
        <w:rPr>
          <w:rStyle w:val="FootnoteReference"/>
          <w:noProof/>
        </w:rPr>
        <w:footnoteReference w:id="75"/>
      </w:r>
      <w:r>
        <w:rPr>
          <w:noProof/>
        </w:rPr>
        <w:t xml:space="preserve">. Svarīga nozīme būs arī </w:t>
      </w:r>
      <w:r>
        <w:rPr>
          <w:b/>
          <w:noProof/>
        </w:rPr>
        <w:t>Nulles piesārņojumā ieinteresēto personu platformai</w:t>
      </w:r>
      <w:r>
        <w:rPr>
          <w:noProof/>
        </w:rPr>
        <w:t>, jo tā tiek vadīta kopā ar Reģionu komiteju un tajā jo īpaši apspriež īstenošanas problēmas reģionālā un vietējā līmenī</w:t>
      </w:r>
      <w:r>
        <w:rPr>
          <w:rStyle w:val="FootnoteReference"/>
          <w:noProof/>
        </w:rPr>
        <w:footnoteReference w:id="76"/>
      </w:r>
      <w:r>
        <w:rPr>
          <w:noProof/>
        </w:rPr>
        <w:t xml:space="preserve">. Turklāt turpināsies dialogi ar ieinteresētajām personām, tostarp uzņēmumiem un pilsonisko sabiedrību, un tie būs saistīti ar </w:t>
      </w:r>
      <w:r>
        <w:rPr>
          <w:b/>
          <w:noProof/>
        </w:rPr>
        <w:t>reālās situācijas pārbaudēm</w:t>
      </w:r>
      <w:r>
        <w:rPr>
          <w:noProof/>
        </w:rPr>
        <w:t xml:space="preserve"> par to, vai ES tiesību aktus var pienācīgi piemērot praksē. Komisija arī turpinās atbalstīt dalībvalstis, nodrošinot tehniskās spējas un finansējumu</w:t>
      </w:r>
      <w:r>
        <w:rPr>
          <w:rStyle w:val="FootnoteReference"/>
          <w:noProof/>
        </w:rPr>
        <w:footnoteReference w:id="77"/>
      </w:r>
      <w:r>
        <w:rPr>
          <w:noProof/>
        </w:rPr>
        <w:t xml:space="preserve">, kā arī vienkāršojot tiesisko regulējumu, ko attiecīgā gadījumā papildinās izpildes panākšanas darbības. </w:t>
      </w:r>
      <w:r>
        <w:rPr>
          <w:b/>
          <w:noProof/>
        </w:rPr>
        <w:t xml:space="preserve">Programma </w:t>
      </w:r>
      <w:r>
        <w:rPr>
          <w:b/>
          <w:i/>
          <w:noProof/>
        </w:rPr>
        <w:t>LIFE</w:t>
      </w:r>
      <w:r>
        <w:rPr>
          <w:noProof/>
        </w:rPr>
        <w:t xml:space="preserve">, kas ir ES finansēšanas instruments videi, klimatrīcībai un pārejai uz tīru enerģiju, ir </w:t>
      </w:r>
      <w:r>
        <w:rPr>
          <w:b/>
          <w:noProof/>
        </w:rPr>
        <w:t>palīdzējusi novērst īstenošanas nepilnības</w:t>
      </w:r>
      <w:r>
        <w:rPr>
          <w:noProof/>
        </w:rPr>
        <w:t>, nodrošinot mērķorientētu līdzfinansējumu un tehnisko palīdzību konkrētu pasākumu atbalstam (piemēram, notekūdeņu, rūpniecisko un lauksaimniecības emisiju un ķimikāliju pārvaldības jomā), stiprinātu administratīvās spējas un digitālos rīkus un veicinātu daudzlīmeņu pārvaldību.</w:t>
      </w:r>
    </w:p>
    <w:p w14:paraId="209ECF78" w14:textId="02DC29FD" w:rsidR="00E06994" w:rsidRPr="00874CDA" w:rsidRDefault="00E06994" w:rsidP="00E06994">
      <w:pPr>
        <w:pStyle w:val="Text1"/>
        <w:rPr>
          <w:noProof/>
        </w:rPr>
      </w:pPr>
      <w:r>
        <w:rPr>
          <w:b/>
          <w:noProof/>
        </w:rPr>
        <w:t>Finansējums ir svarīgs īstenošanas veicinātājs.</w:t>
      </w:r>
      <w:r>
        <w:rPr>
          <w:noProof/>
        </w:rPr>
        <w:t xml:space="preserve"> 2025. gada </w:t>
      </w:r>
      <w:r>
        <w:rPr>
          <w:i/>
          <w:iCs/>
          <w:noProof/>
        </w:rPr>
        <w:t>EIR</w:t>
      </w:r>
      <w:r>
        <w:rPr>
          <w:noProof/>
        </w:rPr>
        <w:t xml:space="preserve"> ir sniegta detalizēta analīze par investīciju vajadzībām un to trūkumu ES saistībā ar ES vides tiesību aktu īstenošanu, proti, 122 miljardi EUR gadā, t. i., 0,8 % no ES IKP</w:t>
      </w:r>
      <w:r>
        <w:rPr>
          <w:rStyle w:val="FootnoteReference"/>
          <w:noProof/>
        </w:rPr>
        <w:footnoteReference w:id="78"/>
      </w:r>
      <w:r>
        <w:rPr>
          <w:noProof/>
        </w:rPr>
        <w:t>.</w:t>
      </w:r>
      <w:bookmarkStart w:id="39" w:name="_Hlk219997974"/>
      <w:bookmarkEnd w:id="39"/>
      <w:r>
        <w:rPr>
          <w:noProof/>
        </w:rPr>
        <w:t xml:space="preserve"> Nesen veikts pētījums</w:t>
      </w:r>
      <w:r>
        <w:rPr>
          <w:rStyle w:val="FootnoteReference"/>
          <w:noProof/>
        </w:rPr>
        <w:footnoteReference w:id="79"/>
      </w:r>
      <w:r>
        <w:rPr>
          <w:noProof/>
        </w:rPr>
        <w:t xml:space="preserve"> liecina, ka bezdarbības radītās izmaksas ievērojami pārsniedz investīciju izmaksas, un tiek lēsts, ka īstenošanai pietrūkst 180 miljardi EUR gadā, kas ir daudz vairāk nekā īstenošanai nepieciešamā finansējuma trūkuma novēršanas izmaksas. Aplēstā investīciju nepietiekamība piesārņojuma novēršanai un kontrolei, kā arī ūdens aizsardzībai (lielākoties saistībā ar ūdens un notekūdeņu infrastruktūru) ir 58 miljardi EUR gadā (jeb 48 % no kopējās trūkstošās summas). </w:t>
      </w:r>
      <w:r>
        <w:rPr>
          <w:b/>
          <w:noProof/>
        </w:rPr>
        <w:t>ES finansējumam</w:t>
      </w:r>
      <w:r>
        <w:rPr>
          <w:noProof/>
        </w:rPr>
        <w:t xml:space="preserve"> ir svarīga nozīme, lai palīdzētu novērst īstenošanas trūkumus. Piemēram, nesenajā </w:t>
      </w:r>
      <w:r>
        <w:rPr>
          <w:b/>
          <w:noProof/>
        </w:rPr>
        <w:t>kohēzijas politikas vidusposma pārskatā</w:t>
      </w:r>
      <w:r>
        <w:rPr>
          <w:rStyle w:val="FootnoteReference"/>
          <w:noProof/>
        </w:rPr>
        <w:footnoteReference w:id="80"/>
      </w:r>
      <w:r>
        <w:rPr>
          <w:noProof/>
        </w:rPr>
        <w:t>, Komisija ierosināja papildu pasākumus ar mērķi mudināt dalībvalstis un reģionus ieguldīt ūdensresursu noturībā. Saskaņotā regula</w:t>
      </w:r>
      <w:r>
        <w:rPr>
          <w:rStyle w:val="FootnoteReference"/>
          <w:noProof/>
        </w:rPr>
        <w:footnoteReference w:id="81"/>
      </w:r>
      <w:r>
        <w:rPr>
          <w:noProof/>
        </w:rPr>
        <w:t xml:space="preserve"> ietver papildu 10 % no ES finansējuma un ne vairāk kā 20 % no priekšfinansējuma investīcijām ūdensresursu noturībā, tostarp investīcijām, kas palīdz samazināt ūdens piesārņojumu.</w:t>
      </w:r>
    </w:p>
    <w:p w14:paraId="02F56A6B" w14:textId="77777777" w:rsidR="00753475" w:rsidRDefault="00753475">
      <w:pPr>
        <w:rPr>
          <w:b/>
          <w:bCs/>
          <w:i/>
          <w:iCs/>
          <w:noProof/>
          <w:kern w:val="0"/>
          <w:sz w:val="22"/>
          <w:szCs w:val="22"/>
          <w14:ligatures w14:val="none"/>
        </w:rPr>
      </w:pPr>
      <w:r>
        <w:rPr>
          <w:noProof/>
        </w:rPr>
        <w:br w:type="page"/>
      </w:r>
    </w:p>
    <w:p w14:paraId="0071758A" w14:textId="02D6BBF5" w:rsidR="0082245B" w:rsidRPr="0082245B" w:rsidRDefault="0082245B" w:rsidP="0082245B">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Pr>
          <w:b/>
          <w:i/>
          <w:noProof/>
          <w:sz w:val="22"/>
        </w:rPr>
        <w:t>Tīrāka vide – nulles piesārņojuma finansēšana</w:t>
      </w:r>
      <w:r>
        <w:rPr>
          <w:i/>
          <w:noProof/>
          <w:sz w:val="22"/>
        </w:rPr>
        <w:t xml:space="preserve"> </w:t>
      </w:r>
    </w:p>
    <w:p w14:paraId="2021152D" w14:textId="5E5893DF" w:rsidR="005E7FAF" w:rsidRPr="0082245B" w:rsidRDefault="00C51D5B" w:rsidP="0082245B">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noProof/>
        </w:rPr>
      </w:pPr>
      <w:r>
        <w:rPr>
          <w:i/>
          <w:noProof/>
          <w:sz w:val="22"/>
        </w:rPr>
        <w:t>ES investīcijas ir tieši vai netieši veicinājušas tādu darbību īstenošanu, kas saistītas ar tīra gaisa mērķa sasniegšanu</w:t>
      </w:r>
      <w:r>
        <w:rPr>
          <w:rStyle w:val="FootnoteReference"/>
          <w:i/>
          <w:iCs/>
          <w:noProof/>
          <w:sz w:val="22"/>
          <w:szCs w:val="22"/>
        </w:rPr>
        <w:footnoteReference w:id="82"/>
      </w:r>
      <w:r>
        <w:rPr>
          <w:i/>
          <w:noProof/>
          <w:sz w:val="22"/>
        </w:rPr>
        <w:t xml:space="preserve">. Dalībvalstīm ir darīts pieejams ES finansējums, ko tās sekmīgi izmanto, tieši atbalstot tīra gaisa projektus vai iekļaujot tīra gaisa mērķus citās investīcijās (piemēram, infrastruktūrā). Kopš 2007. gada ES lielā ūdens infrastruktūrā ir ieguldījusi 84 EUR uz vienu cilvēku. Ieguldījumi Centrāleiropas un Austrumeiropas reģionos ir bijuši daudz lielāki – no 100 EUR līdz vairāk nekā 300 EUR uz vienu cilvēku. Tas ir ievērojami samazinājis piesārņojumu un tādējādi uzlabojis ūdens kvalitāti. </w:t>
      </w:r>
      <w:hyperlink r:id="rId76" w:tgtFrame="_blank" w:history="1">
        <w:r>
          <w:rPr>
            <w:rStyle w:val="Hyperlink"/>
            <w:i/>
            <w:noProof/>
            <w:sz w:val="22"/>
          </w:rPr>
          <w:t>Infopanelī</w:t>
        </w:r>
      </w:hyperlink>
      <w:r>
        <w:rPr>
          <w:i/>
          <w:noProof/>
          <w:sz w:val="22"/>
        </w:rPr>
        <w:t xml:space="preserve"> “Ceļā uz nulles piesārņojumu reģionos” ir sniegts pārskats par šiem uzlabojumiem.</w:t>
      </w:r>
    </w:p>
    <w:p w14:paraId="1B197876" w14:textId="072DC807" w:rsidR="00E06994" w:rsidRPr="00874CDA" w:rsidRDefault="00E06994" w:rsidP="00175F23">
      <w:pPr>
        <w:pStyle w:val="Text1"/>
        <w:spacing w:before="240" w:line="259" w:lineRule="auto"/>
        <w:rPr>
          <w:noProof/>
        </w:rPr>
      </w:pPr>
      <w:r>
        <w:rPr>
          <w:b/>
          <w:noProof/>
        </w:rPr>
        <w:t>ES finansējums tīrākai videi būs pieejams arī turpmāk.</w:t>
      </w:r>
      <w:r>
        <w:rPr>
          <w:noProof/>
        </w:rPr>
        <w:t xml:space="preserve"> Saskaņā ar priekšlikumiem par </w:t>
      </w:r>
      <w:r>
        <w:rPr>
          <w:b/>
          <w:noProof/>
        </w:rPr>
        <w:t>jauno daudzgadu finanšu shēmu</w:t>
      </w:r>
      <w:r>
        <w:rPr>
          <w:rStyle w:val="FootnoteReference"/>
          <w:noProof/>
        </w:rPr>
        <w:footnoteReference w:id="83"/>
      </w:r>
      <w:r>
        <w:rPr>
          <w:noProof/>
        </w:rPr>
        <w:t xml:space="preserve"> ar nulles piesārņojumu saistītas investīcijas ir daļa no 35 % mērķrādītāja attiecībā uz izdevumiem klimata un vides jomā. Tas paver iespējas turpmākai un vēl spēcīgākai sinerģijai starp izdevumiem klimatneitralitātei un/vai biodaudzveidības aizsardzībai un nulles piesārņojumam. Ierosinātais </w:t>
      </w:r>
      <w:r>
        <w:rPr>
          <w:b/>
          <w:noProof/>
        </w:rPr>
        <w:t>Eiropas Konkurētspējas fonds</w:t>
      </w:r>
      <w:r>
        <w:rPr>
          <w:noProof/>
        </w:rPr>
        <w:t xml:space="preserve"> un ierosinātais </w:t>
      </w:r>
      <w:r>
        <w:rPr>
          <w:b/>
          <w:noProof/>
        </w:rPr>
        <w:t>Eiropas Ekonomiskās, sociālās un teritoriālās kohēzijas, lauksaimniecības un lauku, zivsaimniecības un jūrlietu, labklājības un drošības fonds</w:t>
      </w:r>
      <w:r>
        <w:rPr>
          <w:noProof/>
        </w:rPr>
        <w:t xml:space="preserve">, saskaņā ar kuru dalībvalstīm būtu jāsagatavo </w:t>
      </w:r>
      <w:r>
        <w:rPr>
          <w:b/>
          <w:noProof/>
        </w:rPr>
        <w:t>valsts un reģionālie partnerības plāni</w:t>
      </w:r>
      <w:r>
        <w:rPr>
          <w:noProof/>
        </w:rPr>
        <w:t xml:space="preserve">, palīdzēs aizsargāt, atjaunot un uzlabot vides, tai skaitā saldūdens, piekrastes, okeāna un augsnes, kvalitāti, samazināt piesārņojumu, apturēt un pavērst pretējā virzienā biodaudzveidības izzušanu un novērst sauszemes un jūras ekosistēmu degradāciju, vienlaikus palielinot klimatnoturību un ūdensresursu noturību. Pamatprogrammas </w:t>
      </w:r>
      <w:r>
        <w:rPr>
          <w:b/>
          <w:noProof/>
        </w:rPr>
        <w:t>“Apvārsnis Eiropa”</w:t>
      </w:r>
      <w:r>
        <w:rPr>
          <w:noProof/>
        </w:rPr>
        <w:t xml:space="preserve"> priekšlikumos 2028.–2034. gadam ir norādīts, ka vides zinātne ir jāintegrē darbībās, lai novērstu kaitējumu videi, saglabātu tās tīrību un atjaunotu veselīgas ekosistēmas. Tajā tika arī noteikts, ka “ceļš uz ūdens nulles piesārņojumu ES” ir viena no iespējamajām mērķa jomām. Nulles piesārņojuma sasniegšanu turpinās veicināt arī </w:t>
      </w:r>
      <w:r>
        <w:rPr>
          <w:b/>
          <w:noProof/>
        </w:rPr>
        <w:t>kopējā lauksaimniecības politika</w:t>
      </w:r>
      <w:r>
        <w:rPr>
          <w:noProof/>
        </w:rPr>
        <w:t xml:space="preserve">, </w:t>
      </w:r>
      <w:r>
        <w:rPr>
          <w:b/>
          <w:noProof/>
        </w:rPr>
        <w:t>kopējā zivsaimniecības politika un Eiropas Jūrlietu, zvejniecības un akvakultūras fonds</w:t>
      </w:r>
      <w:r>
        <w:rPr>
          <w:noProof/>
        </w:rPr>
        <w:t xml:space="preserve">, kā arī </w:t>
      </w:r>
      <w:r>
        <w:rPr>
          <w:b/>
          <w:noProof/>
        </w:rPr>
        <w:t>Reģionālās attīstības fonds un kohēzijas fonds</w:t>
      </w:r>
      <w:r>
        <w:rPr>
          <w:noProof/>
        </w:rPr>
        <w:t>.</w:t>
      </w:r>
    </w:p>
    <w:p w14:paraId="3B2F0E6D" w14:textId="2F3ED9BC" w:rsidR="00E06994" w:rsidRPr="00874CDA" w:rsidRDefault="003C5E4B" w:rsidP="00E06994">
      <w:pPr>
        <w:pStyle w:val="Text1"/>
        <w:rPr>
          <w:noProof/>
        </w:rPr>
      </w:pPr>
      <w:r>
        <w:rPr>
          <w:b/>
          <w:noProof/>
        </w:rPr>
        <w:t>Tā kā ar ES finansējumu nepietiek, ir vajadzīgs arī ievērojams valsts finansējums.</w:t>
      </w:r>
      <w:r>
        <w:rPr>
          <w:noProof/>
        </w:rPr>
        <w:t xml:space="preserve"> Lai labāk īstenotu principu </w:t>
      </w:r>
      <w:r>
        <w:rPr>
          <w:b/>
          <w:noProof/>
        </w:rPr>
        <w:t>“piesārņotājs maksā”</w:t>
      </w:r>
      <w:r>
        <w:rPr>
          <w:noProof/>
        </w:rPr>
        <w:t xml:space="preserve">, dalībvalstīm būtu labāk jāizmanto </w:t>
      </w:r>
      <w:r>
        <w:rPr>
          <w:b/>
          <w:noProof/>
        </w:rPr>
        <w:t>nodokļi, paplašinātas ražotāja atbildības shēmas</w:t>
      </w:r>
      <w:r>
        <w:rPr>
          <w:noProof/>
        </w:rPr>
        <w:t xml:space="preserve"> un citi mehānismi. Dalībvalstis pašlaik nepietiekami izmanto vides nodokļus</w:t>
      </w:r>
      <w:r>
        <w:rPr>
          <w:rStyle w:val="FootnoteReference"/>
          <w:noProof/>
        </w:rPr>
        <w:footnoteReference w:id="84"/>
      </w:r>
      <w:r>
        <w:rPr>
          <w:noProof/>
        </w:rPr>
        <w:t xml:space="preserve">. 2025. gada </w:t>
      </w:r>
      <w:r>
        <w:rPr>
          <w:i/>
          <w:iCs/>
          <w:noProof/>
        </w:rPr>
        <w:t>EIR</w:t>
      </w:r>
      <w:r>
        <w:rPr>
          <w:noProof/>
        </w:rPr>
        <w:t xml:space="preserve"> un 2024. gada Eiropas pusgada paketē</w:t>
      </w:r>
      <w:r>
        <w:rPr>
          <w:rStyle w:val="FootnoteReference"/>
          <w:noProof/>
        </w:rPr>
        <w:footnoteReference w:id="85"/>
      </w:r>
      <w:r>
        <w:rPr>
          <w:noProof/>
        </w:rPr>
        <w:t xml:space="preserve"> ir ieteikts reformēt videi kaitīgas subsīdijas (VKS). Dalībvalstis var arī apsvērt, kā uzņēmumu un patērētāju izvēli virzīt, vienlaikus radot nodokļu ieņēmumus, ko varētu izmantot, lai novērstu investīciju nepietiekamību. </w:t>
      </w:r>
      <w:r>
        <w:rPr>
          <w:b/>
          <w:noProof/>
        </w:rPr>
        <w:t>Principa “piesārņotājs maksā” atbilstības pārbaude</w:t>
      </w:r>
      <w:r>
        <w:rPr>
          <w:noProof/>
        </w:rPr>
        <w:t xml:space="preserve"> sniedz dažas vērtīgas atziņas par to, kas ir labi darbojies, un tajā konstatēts, ka šis princips ir ļoti efektīvs veids, kā sniegt cenu signālus, kas padara vides politiku efektīvāku, ar nosacījumu, ka tās izstrādē ir pienācīgi ņemta vērā taisnīga pārkārtošanās, konkurētspēja, nodrošinātība ar pārtiku un pieskaitāmās izmaksas.</w:t>
      </w:r>
    </w:p>
    <w:p w14:paraId="174930FC" w14:textId="025F6B3F" w:rsidR="00E06994" w:rsidRPr="00874CDA" w:rsidRDefault="00E06994" w:rsidP="00E06994">
      <w:pPr>
        <w:pStyle w:val="Text1"/>
        <w:rPr>
          <w:noProof/>
        </w:rPr>
      </w:pPr>
      <w:r>
        <w:rPr>
          <w:b/>
          <w:noProof/>
        </w:rPr>
        <w:t>Lai paātrinātu pāreju uz tīru enerģiju, būs svarīgi piesaistīt privātās investīcijas.</w:t>
      </w:r>
      <w:r>
        <w:rPr>
          <w:noProof/>
        </w:rPr>
        <w:t xml:space="preserve"> Lai palielinātu publiskā un privātā sektora investīcijas vides jomā (piemēram, saskaņā ar Ūdensresursu noturības stratēģiju) gan ES, gan pasaulē, Komisija sadarbojas ar </w:t>
      </w:r>
      <w:r>
        <w:rPr>
          <w:b/>
          <w:noProof/>
        </w:rPr>
        <w:t>Eiropas Investīciju bankas (EIB) grupu</w:t>
      </w:r>
      <w:r>
        <w:rPr>
          <w:noProof/>
        </w:rPr>
        <w:t xml:space="preserve">. Sadarbība ar finanšu iestādēm var piesaistīt vairāk privātā finansējuma, izmantojot apvienotā finansējuma pieejas un inovatīvus modeļus, piemēram, strukturētas ekosistēmas zaļajām un zilajām obligācijām. Vienkāršotā </w:t>
      </w:r>
      <w:r>
        <w:rPr>
          <w:b/>
          <w:noProof/>
        </w:rPr>
        <w:t>ES ilgtspējīga finansējuma satvara</w:t>
      </w:r>
      <w:r>
        <w:rPr>
          <w:noProof/>
        </w:rPr>
        <w:t xml:space="preserve"> un </w:t>
      </w:r>
      <w:r>
        <w:rPr>
          <w:b/>
          <w:noProof/>
        </w:rPr>
        <w:t>uzkrājumu un investīciju savienības</w:t>
      </w:r>
      <w:r>
        <w:rPr>
          <w:noProof/>
        </w:rPr>
        <w:t xml:space="preserve"> izvēršanas mērķis ir arī palielināt finansēšanas iespējas ES uzņēmumiem. Skaitļi liecina, ka </w:t>
      </w:r>
      <w:r>
        <w:rPr>
          <w:b/>
          <w:noProof/>
        </w:rPr>
        <w:t>ES taksonomiju</w:t>
      </w:r>
      <w:r>
        <w:rPr>
          <w:noProof/>
        </w:rPr>
        <w:t xml:space="preserve"> ilgtspējīgam finansējumam dažās nozarēs izmanto arvien lielāks skaits ieguldītāju</w:t>
      </w:r>
      <w:r>
        <w:rPr>
          <w:rStyle w:val="FootnoteReference"/>
          <w:noProof/>
        </w:rPr>
        <w:footnoteReference w:id="86"/>
      </w:r>
      <w:r>
        <w:rPr>
          <w:noProof/>
        </w:rPr>
        <w:t xml:space="preserve">. </w:t>
      </w:r>
      <w:r>
        <w:rPr>
          <w:b/>
          <w:noProof/>
        </w:rPr>
        <w:t>Tīras rūpniecības kurss</w:t>
      </w:r>
      <w:r>
        <w:rPr>
          <w:noProof/>
        </w:rPr>
        <w:t xml:space="preserve"> vēl vairāk piesaistīs tīras investīcijas, stiprinot </w:t>
      </w:r>
      <w:r>
        <w:rPr>
          <w:b/>
          <w:noProof/>
        </w:rPr>
        <w:t>Inovāciju fondu</w:t>
      </w:r>
      <w:r>
        <w:rPr>
          <w:noProof/>
        </w:rPr>
        <w:t xml:space="preserve"> un ierosinot izveidot </w:t>
      </w:r>
      <w:r>
        <w:rPr>
          <w:b/>
          <w:noProof/>
        </w:rPr>
        <w:t>rūpniecības dekarbonizācijas banku</w:t>
      </w:r>
      <w:r>
        <w:rPr>
          <w:noProof/>
        </w:rPr>
        <w:t xml:space="preserve">. Ar </w:t>
      </w:r>
      <w:r>
        <w:rPr>
          <w:b/>
          <w:i/>
          <w:noProof/>
        </w:rPr>
        <w:t>Omnibus</w:t>
      </w:r>
      <w:r>
        <w:rPr>
          <w:b/>
          <w:noProof/>
        </w:rPr>
        <w:t> II regulu</w:t>
      </w:r>
      <w:r>
        <w:rPr>
          <w:noProof/>
        </w:rPr>
        <w:t xml:space="preserve"> </w:t>
      </w:r>
      <w:r>
        <w:rPr>
          <w:b/>
          <w:i/>
          <w:noProof/>
        </w:rPr>
        <w:t>InvestEU</w:t>
      </w:r>
      <w:r>
        <w:rPr>
          <w:noProof/>
        </w:rPr>
        <w:t xml:space="preserve"> regula tiks grozīta, lai palielinātu finanšu garantiju summu, ko </w:t>
      </w:r>
      <w:r>
        <w:rPr>
          <w:i/>
          <w:noProof/>
        </w:rPr>
        <w:t>InvestEU</w:t>
      </w:r>
      <w:r>
        <w:rPr>
          <w:noProof/>
        </w:rPr>
        <w:t xml:space="preserve"> var sniegt, lai atbalstītu investīcijas tīru tehnoloģiju ieviešanā, tīrā mobilitātē, atkritumu rašanās novēršanā un samazināšanā un atkritumu reciklēšanā. Šie centieni neizbēgami radīs papildu ieguvumus attiecībā uz nulles piesārņojumu. Ūdensresursu noturības stratēģijas ietvaros Komisija arī izveidos Ūdensresursu noturības investīciju paātrināšanas instrumentu un uzsāks zaļo un zilo koridoru iniciatīvu atjaunošanas atbalstam. Tas atbalstīs investīcijas tīrākos ūdeņos.</w:t>
      </w:r>
    </w:p>
    <w:p w14:paraId="6DE8EEAA" w14:textId="21A1F3EE" w:rsidR="00E06994" w:rsidRPr="00874CDA" w:rsidRDefault="03B3FCF4" w:rsidP="00E06994">
      <w:pPr>
        <w:pStyle w:val="Text1"/>
        <w:rPr>
          <w:noProof/>
        </w:rPr>
      </w:pPr>
      <w:r>
        <w:rPr>
          <w:b/>
          <w:noProof/>
        </w:rPr>
        <w:t xml:space="preserve">Integrācijai ir jānotiek ātrāk un plašāk. </w:t>
      </w:r>
      <w:r>
        <w:rPr>
          <w:noProof/>
        </w:rPr>
        <w:t>Īstenošanas pieredze liecina, ka ir būtiski vides politikas integrācijas pietiekamību publiskās politikas izstrādē un īstenošanā nodrošināt augšupējā, sistemātiskā un transversālā veidā. Ir arī ļoti svarīgi ņemt vērā vides ietekmi uz publisko politiku, budžetu un ekonomiku. Tāpēc integrētāka, holistiskāka pieeja, piemēram, apvienojot dažādu politikas jomu vai reģionu iestādes, ilgtermiņā parasti sniedz labākus rezultātus un ir iekļaujošāka, konsekventāka, iedarbīgāka un efektīvāka. Tāpēc 2021. gada Nulles piesārņojuma rīcības plānā ir noteikta pamatiniciatīva “Kopīgi panākt nulles piesārņojumu”</w:t>
      </w:r>
      <w:r>
        <w:rPr>
          <w:rStyle w:val="FootnoteReference"/>
          <w:noProof/>
        </w:rPr>
        <w:footnoteReference w:id="87"/>
      </w:r>
      <w:r>
        <w:rPr>
          <w:noProof/>
        </w:rPr>
        <w:t>, un sākotnējais darbs tika veikts sadarbībā ar ES Vides tiesību aktu īstenošanas un izpildes tīklu (</w:t>
      </w:r>
      <w:r>
        <w:rPr>
          <w:i/>
          <w:iCs/>
          <w:noProof/>
        </w:rPr>
        <w:t>IMPEL</w:t>
      </w:r>
      <w:r>
        <w:rPr>
          <w:noProof/>
        </w:rPr>
        <w:t>). Šis darbs turpināsies arī 2026. gadā. Strukturētajos dialogos, kas paredzēti ūdens resursu tiesību aktu īstenošanai, centīsies iesaistīt visas attiecīgās valstu (un reģionālo) valdību daļas.</w:t>
      </w:r>
    </w:p>
    <w:p w14:paraId="11185390" w14:textId="77777777" w:rsidR="00EC0C3C"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Pr>
          <w:b/>
          <w:i/>
          <w:noProof/>
          <w:sz w:val="22"/>
        </w:rPr>
        <w:t>Tīrāks transports – nulles piesārņojuma mobilitāte </w:t>
      </w:r>
      <w:r>
        <w:rPr>
          <w:i/>
          <w:noProof/>
          <w:sz w:val="22"/>
        </w:rPr>
        <w:t xml:space="preserve"> </w:t>
      </w:r>
    </w:p>
    <w:p w14:paraId="73F350D9" w14:textId="77FE38B2" w:rsidR="00EC0C3C"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Pr>
          <w:i/>
          <w:noProof/>
          <w:sz w:val="22"/>
        </w:rPr>
        <w:t xml:space="preserve">Transporta dekarbonizācija sniedz arī ieguvumus gaisa kvalitātes un trokšņa ziņā. Tirgum gatavi prototipi trokšņainu un piesārņojošu transportlīdzekļu atklāšanai un piesārņojuma mazināšanai ar daudzfunkcionālām barjerām un specializētām ietvēm – </w:t>
      </w:r>
      <w:hyperlink r:id="rId77" w:tgtFrame="_blank" w:history="1">
        <w:r>
          <w:rPr>
            <w:rStyle w:val="Hyperlink"/>
            <w:b/>
            <w:i/>
            <w:noProof/>
            <w:sz w:val="22"/>
          </w:rPr>
          <w:t>NEMO</w:t>
        </w:r>
      </w:hyperlink>
      <w:r>
        <w:rPr>
          <w:i/>
          <w:noProof/>
          <w:sz w:val="22"/>
        </w:rPr>
        <w:t>. Labāka pilsētplānošana un “pēdējās jūdzes” loģistikas organizēšana arī palīdz samazināt CO</w:t>
      </w:r>
      <w:r>
        <w:rPr>
          <w:i/>
          <w:noProof/>
          <w:sz w:val="22"/>
          <w:vertAlign w:val="subscript"/>
        </w:rPr>
        <w:t>2</w:t>
      </w:r>
      <w:r>
        <w:rPr>
          <w:i/>
          <w:noProof/>
          <w:sz w:val="22"/>
        </w:rPr>
        <w:t>, gaisa piesārņojumu un troksni (</w:t>
      </w:r>
      <w:hyperlink r:id="rId78" w:tgtFrame="_blank" w:history="1">
        <w:r>
          <w:rPr>
            <w:rStyle w:val="Hyperlink"/>
            <w:b/>
            <w:i/>
            <w:noProof/>
            <w:sz w:val="22"/>
          </w:rPr>
          <w:t>SENATOR</w:t>
        </w:r>
      </w:hyperlink>
      <w:r>
        <w:rPr>
          <w:i/>
          <w:noProof/>
          <w:sz w:val="22"/>
        </w:rPr>
        <w:t xml:space="preserve">, </w:t>
      </w:r>
      <w:hyperlink r:id="rId79" w:history="1">
        <w:r>
          <w:rPr>
            <w:rStyle w:val="Hyperlink"/>
            <w:b/>
            <w:i/>
            <w:noProof/>
            <w:sz w:val="22"/>
          </w:rPr>
          <w:t>LIFE ASPIRE</w:t>
        </w:r>
      </w:hyperlink>
      <w:r>
        <w:rPr>
          <w:i/>
          <w:noProof/>
          <w:sz w:val="22"/>
        </w:rPr>
        <w:t>). Inovatīvas emisiju samazināšanas metodes un degvielas iekšējo ūdensceļu transporta jomā palīdz samazināt gaisa piesārņojumu un siltumnīcefekta gāzu emisijas reālos apstākļos (</w:t>
      </w:r>
      <w:hyperlink r:id="rId80" w:tgtFrame="_blank" w:history="1">
        <w:r>
          <w:rPr>
            <w:rStyle w:val="Hyperlink"/>
            <w:b/>
            <w:i/>
            <w:noProof/>
            <w:sz w:val="22"/>
          </w:rPr>
          <w:t>LIFE CLINSH</w:t>
        </w:r>
      </w:hyperlink>
      <w:r>
        <w:rPr>
          <w:i/>
          <w:noProof/>
          <w:sz w:val="22"/>
        </w:rPr>
        <w:t>).</w:t>
      </w:r>
    </w:p>
    <w:p w14:paraId="37A4A437" w14:textId="77777777" w:rsidR="00EC0C3C"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Tīrāka lauksaimniecība – nulles piesārņojuma lauksaimniecība</w:t>
      </w:r>
    </w:p>
    <w:p w14:paraId="681273DE" w14:textId="713EBB6B" w:rsidR="00EC0C3C"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Pr>
          <w:i/>
          <w:noProof/>
          <w:sz w:val="22"/>
        </w:rPr>
        <w:t xml:space="preserve">Izmaiņas lauksaimniecības praksē var ievērojami samazināt piesārņojumu. </w:t>
      </w:r>
      <w:r>
        <w:rPr>
          <w:b/>
          <w:i/>
          <w:noProof/>
          <w:sz w:val="22"/>
        </w:rPr>
        <w:t>Intensīvās lopkopības</w:t>
      </w:r>
      <w:r>
        <w:rPr>
          <w:i/>
          <w:noProof/>
          <w:sz w:val="22"/>
        </w:rPr>
        <w:t xml:space="preserve"> (cūkgaļas un mājputnu gaļas ražošanas) un </w:t>
      </w:r>
      <w:r>
        <w:rPr>
          <w:b/>
          <w:i/>
          <w:noProof/>
          <w:sz w:val="22"/>
        </w:rPr>
        <w:t>piensaimniecības radīto gaisa piesārņojumu</w:t>
      </w:r>
      <w:r>
        <w:rPr>
          <w:i/>
          <w:noProof/>
          <w:sz w:val="22"/>
        </w:rPr>
        <w:t xml:space="preserve"> var mazināt, izmantojot inovatīvas tehnoloģijas un pārvaldības praksi, piemēram, atkritumu plūsmu nošķiršanu un robotu izmantošanu, emisiju samazināšanu un uzglabāto kūtsmēslu pārvēršanu par komerciālu mēslošanas līdzekli, kas ļauj noslēgt saimniecības slāpekļa ciklu (</w:t>
      </w:r>
      <w:hyperlink r:id="rId81" w:tgtFrame="_blank" w:history="1">
        <w:r>
          <w:rPr>
            <w:rStyle w:val="Hyperlink"/>
            <w:b/>
            <w:i/>
            <w:noProof/>
            <w:sz w:val="22"/>
          </w:rPr>
          <w:t>LIFE CMCD</w:t>
        </w:r>
      </w:hyperlink>
      <w:r>
        <w:rPr>
          <w:b/>
          <w:i/>
          <w:noProof/>
          <w:sz w:val="22"/>
        </w:rPr>
        <w:t xml:space="preserve">, </w:t>
      </w:r>
      <w:hyperlink r:id="rId82" w:anchor=":~:text=The%20main%20objective%20of%20the%20LIFE%20Green%20Ammonia,the%20farm%20and%20in%20the%20manure%20storage%20tanks." w:tgtFrame="_blank" w:history="1">
        <w:r>
          <w:rPr>
            <w:rStyle w:val="Hyperlink"/>
            <w:b/>
            <w:i/>
            <w:noProof/>
            <w:sz w:val="22"/>
          </w:rPr>
          <w:t>LIFE Green Ammonia</w:t>
        </w:r>
      </w:hyperlink>
      <w:r>
        <w:rPr>
          <w:i/>
          <w:noProof/>
          <w:sz w:val="22"/>
        </w:rPr>
        <w:t xml:space="preserve">, </w:t>
      </w:r>
      <w:hyperlink r:id="rId83" w:tgtFrame="_blank" w:history="1">
        <w:r>
          <w:rPr>
            <w:rStyle w:val="Hyperlink"/>
            <w:b/>
            <w:i/>
            <w:noProof/>
            <w:sz w:val="22"/>
          </w:rPr>
          <w:t>LIFE Clean Air Farming</w:t>
        </w:r>
      </w:hyperlink>
      <w:r>
        <w:rPr>
          <w:i/>
          <w:noProof/>
          <w:sz w:val="22"/>
        </w:rPr>
        <w:t>,</w:t>
      </w:r>
      <w:r>
        <w:rPr>
          <w:b/>
          <w:i/>
          <w:noProof/>
          <w:sz w:val="22"/>
        </w:rPr>
        <w:t xml:space="preserve"> </w:t>
      </w:r>
      <w:hyperlink r:id="rId84" w:history="1">
        <w:r>
          <w:rPr>
            <w:rStyle w:val="Hyperlink"/>
            <w:b/>
            <w:i/>
            <w:noProof/>
            <w:sz w:val="22"/>
          </w:rPr>
          <w:t>Econutri</w:t>
        </w:r>
      </w:hyperlink>
      <w:r>
        <w:rPr>
          <w:i/>
          <w:noProof/>
          <w:sz w:val="22"/>
        </w:rPr>
        <w:t xml:space="preserve">, </w:t>
      </w:r>
      <w:hyperlink r:id="rId85" w:tgtFrame="_blank" w:history="1">
        <w:r>
          <w:rPr>
            <w:rStyle w:val="Hyperlink"/>
            <w:b/>
            <w:i/>
            <w:noProof/>
            <w:sz w:val="22"/>
          </w:rPr>
          <w:t>SOLACE</w:t>
        </w:r>
      </w:hyperlink>
      <w:r>
        <w:rPr>
          <w:i/>
          <w:noProof/>
          <w:sz w:val="22"/>
        </w:rPr>
        <w:t>).</w:t>
      </w:r>
      <w:r>
        <w:rPr>
          <w:b/>
          <w:i/>
          <w:noProof/>
          <w:sz w:val="22"/>
        </w:rPr>
        <w:t xml:space="preserve"> </w:t>
      </w:r>
      <w:r>
        <w:rPr>
          <w:i/>
          <w:noProof/>
          <w:sz w:val="22"/>
        </w:rPr>
        <w:t xml:space="preserve">Turklāt Komisija arī izstrādā mēslošanas līdzekļu rīcības plānu, kurā cita starpā tiks aplūkota mēslošanas līdzekļu un reciklētu barības vielu efektīva izmantošana, kas savukārt palīdzēs mazināt piesārņojumu, ko rada mēslošanas līdzekļu izmantošana. Inovatīvi ceļi virzienā uz ilgtspējīgāku augu aizsardzību var samazināt kultūraugu aizsardzības izmaksas, vienlaikus samazinot gaisa, ūdens un augsnes </w:t>
      </w:r>
      <w:r>
        <w:rPr>
          <w:b/>
          <w:i/>
          <w:noProof/>
          <w:sz w:val="22"/>
        </w:rPr>
        <w:t>piesārņojumu ar pesticīdiem</w:t>
      </w:r>
      <w:r>
        <w:rPr>
          <w:i/>
          <w:noProof/>
          <w:sz w:val="22"/>
        </w:rPr>
        <w:t xml:space="preserve"> un ražojot veselīgāku pārtiku </w:t>
      </w:r>
      <w:r>
        <w:rPr>
          <w:b/>
          <w:i/>
          <w:noProof/>
          <w:sz w:val="22"/>
        </w:rPr>
        <w:t>(</w:t>
      </w:r>
      <w:hyperlink r:id="rId86" w:tgtFrame="_blank" w:history="1">
        <w:r>
          <w:rPr>
            <w:rStyle w:val="Hyperlink"/>
            <w:b/>
            <w:i/>
            <w:noProof/>
            <w:sz w:val="22"/>
          </w:rPr>
          <w:t>SPRINT</w:t>
        </w:r>
      </w:hyperlink>
      <w:r>
        <w:rPr>
          <w:b/>
          <w:i/>
          <w:noProof/>
          <w:sz w:val="22"/>
        </w:rPr>
        <w:t>).</w:t>
      </w:r>
      <w:r>
        <w:rPr>
          <w:i/>
          <w:noProof/>
          <w:sz w:val="22"/>
        </w:rPr>
        <w:t xml:space="preserve"> Sadarbojoties ar lauksaimniekiem un organizācijām, lai apzinātu ilgtspējīgu praksi </w:t>
      </w:r>
      <w:r>
        <w:rPr>
          <w:b/>
          <w:i/>
          <w:noProof/>
          <w:sz w:val="22"/>
        </w:rPr>
        <w:t>mikroplastmasas un nanoplastmasas</w:t>
      </w:r>
      <w:r>
        <w:rPr>
          <w:i/>
          <w:noProof/>
          <w:sz w:val="22"/>
        </w:rPr>
        <w:t xml:space="preserve"> pārvaldībai, ir bijis iespējams vienlaikus uzlabot vidi un lauksaimniecības ražīgumu (</w:t>
      </w:r>
      <w:hyperlink r:id="rId87" w:tgtFrame="_blank" w:history="1">
        <w:r>
          <w:rPr>
            <w:rStyle w:val="Hyperlink"/>
            <w:b/>
            <w:i/>
            <w:noProof/>
            <w:sz w:val="22"/>
          </w:rPr>
          <w:t>PAPILLONS</w:t>
        </w:r>
      </w:hyperlink>
      <w:r>
        <w:rPr>
          <w:i/>
          <w:noProof/>
          <w:sz w:val="22"/>
        </w:rPr>
        <w:t xml:space="preserve">, </w:t>
      </w:r>
      <w:hyperlink r:id="rId88" w:history="1">
        <w:r>
          <w:rPr>
            <w:rStyle w:val="Hyperlink"/>
            <w:b/>
            <w:i/>
            <w:noProof/>
            <w:sz w:val="22"/>
          </w:rPr>
          <w:t>MINAGRIS</w:t>
        </w:r>
      </w:hyperlink>
      <w:r>
        <w:rPr>
          <w:i/>
          <w:noProof/>
          <w:sz w:val="22"/>
        </w:rPr>
        <w:t>).</w:t>
      </w:r>
    </w:p>
    <w:p w14:paraId="7A21F93A" w14:textId="77777777" w:rsidR="00EC0C3C"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Tīrāka dzīve – nulles piesārņojuma ēkas</w:t>
      </w:r>
    </w:p>
    <w:p w14:paraId="4C6EC027" w14:textId="0EA8E2F2" w:rsidR="007C4698"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18"/>
        </w:rPr>
      </w:pPr>
      <w:r>
        <w:rPr>
          <w:i/>
          <w:noProof/>
          <w:sz w:val="22"/>
        </w:rPr>
        <w:t>Pilsētu attīstība ar tīru un apritīgu infrastruktūru var ierobežot siltumnīcefekta gāzu daudzumu, līdz minimumam samazināt atkritumu daudzumu un veicināt ilgtspējīgu patēriņu, vienlaikus samazinot piesārņojumu. Izmantojot “trīs cauruļu” kanalizācijas sistēmu, tiek nodrošināta ūdens un atkritumu reciklēšana un enerģijas un barības vielu atgūšana (</w:t>
      </w:r>
      <w:hyperlink r:id="rId89" w:tgtFrame="_blank" w:history="1">
        <w:r>
          <w:rPr>
            <w:rStyle w:val="Hyperlink"/>
            <w:b/>
            <w:i/>
            <w:noProof/>
            <w:sz w:val="22"/>
          </w:rPr>
          <w:t>RecoLab</w:t>
        </w:r>
      </w:hyperlink>
      <w:r>
        <w:rPr>
          <w:i/>
          <w:noProof/>
          <w:sz w:val="22"/>
        </w:rPr>
        <w:t>). Dabisku materiālu izmantošana un tādu ēku digitālā dvīņa izveide, kas aprīkotas ar sensoriem, lai uzraudzītu tādus vitāli svarīgus parametrus kā mitruma saturs, ļaus veikt prognozējošu uzturēšanu un sniegs informāciju par tehnisku izmaiņu ietekmi uz ēkas sniegumu (</w:t>
      </w:r>
      <w:hyperlink r:id="rId90" w:tgtFrame="_blank" w:history="1">
        <w:r>
          <w:rPr>
            <w:rStyle w:val="Hyperlink"/>
            <w:b/>
            <w:i/>
            <w:noProof/>
            <w:sz w:val="22"/>
          </w:rPr>
          <w:t>Build-in-Wood</w:t>
        </w:r>
      </w:hyperlink>
      <w:r>
        <w:rPr>
          <w:i/>
          <w:noProof/>
          <w:sz w:val="22"/>
        </w:rPr>
        <w:t>).</w:t>
      </w:r>
    </w:p>
    <w:p w14:paraId="453CC219" w14:textId="77777777" w:rsidR="00E06994" w:rsidRPr="00874CDA" w:rsidRDefault="00E06994" w:rsidP="00D50E80">
      <w:pPr>
        <w:pStyle w:val="Text2"/>
        <w:rPr>
          <w:noProof/>
        </w:rPr>
      </w:pPr>
    </w:p>
    <w:p w14:paraId="46EF11DF" w14:textId="77777777" w:rsidR="00E06994" w:rsidRPr="00874CDA" w:rsidRDefault="00E06994" w:rsidP="00D50E80">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Komisija: </w:t>
      </w:r>
    </w:p>
    <w:p w14:paraId="5C8D7B37" w14:textId="61651832"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risinās katrai valstij raksturīgās piesārņojuma problēmas strukturētajos dialogos ar visām dalībvalstīm, par kuriem paziņots Ūdensresursu noturības stratēģijā,</w:t>
      </w:r>
    </w:p>
    <w:p w14:paraId="3ABCD9B4" w14:textId="00172720"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 xml:space="preserve">kopā ar </w:t>
      </w:r>
      <w:r>
        <w:rPr>
          <w:b/>
          <w:i/>
          <w:noProof/>
        </w:rPr>
        <w:t>IMPEL</w:t>
      </w:r>
      <w:r>
        <w:rPr>
          <w:b/>
          <w:noProof/>
        </w:rPr>
        <w:t xml:space="preserve"> turpinās paraugprakses apmaiņu un veicinās starpnozaru atbilstības pasākumus.</w:t>
      </w:r>
    </w:p>
    <w:p w14:paraId="79F8975E" w14:textId="77777777" w:rsidR="00E06994" w:rsidRPr="00874CDA" w:rsidRDefault="00E06994" w:rsidP="00371BF5">
      <w:pPr>
        <w:pStyle w:val="Heading2"/>
        <w:keepLines w:val="0"/>
        <w:numPr>
          <w:ilvl w:val="1"/>
          <w:numId w:val="22"/>
        </w:numPr>
        <w:spacing w:before="240" w:after="240"/>
        <w:jc w:val="both"/>
        <w:rPr>
          <w:rFonts w:ascii="Times New Roman" w:eastAsia="Times New Roman" w:hAnsi="Times New Roman" w:cs="Times New Roman"/>
          <w:b/>
          <w:noProof/>
          <w:color w:val="auto"/>
          <w:kern w:val="0"/>
          <w:sz w:val="24"/>
          <w:szCs w:val="20"/>
          <w14:ligatures w14:val="none"/>
        </w:rPr>
      </w:pPr>
      <w:r>
        <w:rPr>
          <w:rFonts w:ascii="Times New Roman" w:hAnsi="Times New Roman"/>
          <w:b/>
          <w:noProof/>
          <w:color w:val="auto"/>
          <w:sz w:val="24"/>
        </w:rPr>
        <w:t xml:space="preserve">Inovācija un prasmes konkurētspējas stiprināšanai </w:t>
      </w:r>
    </w:p>
    <w:p w14:paraId="50D3EE34" w14:textId="13449580" w:rsidR="00E06994" w:rsidRPr="00874CDA" w:rsidRDefault="00E06994" w:rsidP="00E06994">
      <w:pPr>
        <w:pStyle w:val="Text1"/>
        <w:rPr>
          <w:noProof/>
        </w:rPr>
      </w:pPr>
      <w:r>
        <w:rPr>
          <w:b/>
          <w:noProof/>
        </w:rPr>
        <w:t>Inovācija stimulē pāreju uz tīru enerģiju</w:t>
      </w:r>
      <w:r>
        <w:rPr>
          <w:noProof/>
        </w:rPr>
        <w:t xml:space="preserve">. Lai saglabātu izmaksu konkurētspēju un kritiski svarīgu ražošanu ES, pašreizējā ekonomikas krīzē būs svarīgi sniegt mērķtiecīgu atbalstu rūpniecībai. Tiesiskā regulējuma vienkāršošanai būs izšķiroša nozīme, lai saglabātu ES pievilcību uzņēmumu acīs. Tomēr, kā minēts Konkurētspējas kompasā, pašreizējās krīzes pamatcēlonis ir inovācijas trūkums pēdējās divās desmitgadēs. Rūpīgi izstrādāti pasākumi, kas veicina pāreju uz tīras un apritīgas ekonomikas modeli, var ne tikai palīdzēt aizsargāt cilvēka veselību un vidi, bet arī radīt nepieciešamās darījumdarbības iespējas inovatīvām un uz nākotni orientētām tehnoloģijām, kas palīdzēs stiprināt ES ilgtermiņa globālo konkurētspēju. Tīras rūpniecības kurss atbalsta šo inovācijas virzību, izmantojot finansējumu (no Inovāciju fonda un </w:t>
      </w:r>
      <w:r>
        <w:rPr>
          <w:i/>
          <w:iCs/>
          <w:noProof/>
        </w:rPr>
        <w:t>InvestEU</w:t>
      </w:r>
      <w:r>
        <w:rPr>
          <w:noProof/>
        </w:rPr>
        <w:t>) vai īpašas iniciatīvas, piemēram, ES jaunuzņēmumu un augošo uzņēmumu stratēģiju</w:t>
      </w:r>
      <w:r>
        <w:rPr>
          <w:rStyle w:val="FootnoteReference"/>
          <w:noProof/>
        </w:rPr>
        <w:footnoteReference w:id="88"/>
      </w:r>
      <w:r>
        <w:rPr>
          <w:noProof/>
        </w:rPr>
        <w:t>. Attiecībā uz piesārņojumu jaunais Industriālās pārveides un emisiju inovācijas centrs (</w:t>
      </w:r>
      <w:r>
        <w:rPr>
          <w:i/>
          <w:iCs/>
          <w:noProof/>
        </w:rPr>
        <w:t>INCITE</w:t>
      </w:r>
      <w:r>
        <w:rPr>
          <w:noProof/>
        </w:rPr>
        <w:t>)</w:t>
      </w:r>
      <w:r>
        <w:rPr>
          <w:rStyle w:val="FootnoteReference"/>
          <w:noProof/>
        </w:rPr>
        <w:footnoteReference w:id="89"/>
      </w:r>
      <w:r>
        <w:rPr>
          <w:noProof/>
        </w:rPr>
        <w:t xml:space="preserve"> noteiks un izvērtēs inovatīvo paņēmienu brieduma līmeni nolūkā izcelt to potenciālu un veicināt to ieviešanu plašākā mērogā. </w:t>
      </w:r>
      <w:r>
        <w:rPr>
          <w:i/>
          <w:noProof/>
        </w:rPr>
        <w:t>INCITE</w:t>
      </w:r>
      <w:r>
        <w:rPr>
          <w:noProof/>
        </w:rPr>
        <w:t xml:space="preserve"> visaptverošajā vides novērtējumā tiks analizēta arī dekarbonizācija, resursefektivitāte, aptverot enerģiju, izejvielas un ūdeni, bīstamu ķimikāliju mazāka un drošāka izmantošana un inovatīvu tehnoloģiju aprites ekonomikas potenciāls. Iedvesmojoties no </w:t>
      </w:r>
      <w:r>
        <w:rPr>
          <w:i/>
          <w:iCs/>
          <w:noProof/>
        </w:rPr>
        <w:t>INCITE</w:t>
      </w:r>
      <w:r>
        <w:rPr>
          <w:noProof/>
        </w:rPr>
        <w:t>, Komisija arī izveidos “ES inovācijas un aizstāšanas centru(-us)”</w:t>
      </w:r>
      <w:r>
        <w:rPr>
          <w:rStyle w:val="FootnoteReference"/>
          <w:noProof/>
        </w:rPr>
        <w:footnoteReference w:id="90"/>
      </w:r>
      <w:r>
        <w:rPr>
          <w:noProof/>
        </w:rPr>
        <w:t>, kas palīdzēs pārvarēt inovācijas šķēršļus un paātrināt drošāku un ilgtspējīgāku risinājumu izstrādi, īpašu uzmanību pievēršot MVU vajadzībām. Komisija arī pētīs sadarbīgas pieejas noteiktu ķimikāliju aizstāšanai. Inovācijas centros tiks iestrādāts konceptuāli drošu un ilgtspējīgu (KDI) ķimikāliju satvars</w:t>
      </w:r>
      <w:r>
        <w:rPr>
          <w:rStyle w:val="FootnoteReference"/>
          <w:noProof/>
        </w:rPr>
        <w:footnoteReference w:id="91"/>
      </w:r>
      <w:r>
        <w:rPr>
          <w:noProof/>
        </w:rPr>
        <w:t>, kas nodrošinās tehniskus norādījumus, sākot no agrīniem inovācijas posmiem.</w:t>
      </w:r>
    </w:p>
    <w:p w14:paraId="3A21E243" w14:textId="77777777" w:rsidR="004D3AE8" w:rsidRPr="004D3AE8" w:rsidRDefault="004D3AE8" w:rsidP="004D3AE8">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Tīrāki ražojumi un procesi – nulles piesārņojuma inovācijas</w:t>
      </w:r>
    </w:p>
    <w:p w14:paraId="3F110571" w14:textId="19C2F927" w:rsidR="009D7924" w:rsidRPr="004D3AE8" w:rsidRDefault="004D3AE8" w:rsidP="004D3AE8">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18"/>
        </w:rPr>
      </w:pPr>
      <w:r>
        <w:rPr>
          <w:b/>
          <w:i/>
          <w:noProof/>
          <w:sz w:val="22"/>
        </w:rPr>
        <w:t>Bioekonomikas inovācijas</w:t>
      </w:r>
      <w:r>
        <w:rPr>
          <w:i/>
          <w:noProof/>
          <w:sz w:val="22"/>
        </w:rPr>
        <w:t>, piemēram, bionoārdāms plastmasas iepakojums, absorbējoši higiēnas produkti vai biobāzētas alternatīvas pārtikas paplātēm, kā arī jauni tīklošanās modeļi visā plastmasas vērtības ķēdē agropārtikas nozarē ievērojami samazina plastmasas atkritumu daudzumu un tādējādi arī apglabāšanu poligonos un piesārņojumu (</w:t>
      </w:r>
      <w:hyperlink r:id="rId91" w:tgtFrame="_blank" w:history="1">
        <w:r>
          <w:rPr>
            <w:rStyle w:val="Hyperlink"/>
            <w:b/>
            <w:i/>
            <w:noProof/>
            <w:sz w:val="22"/>
          </w:rPr>
          <w:t>Circpack</w:t>
        </w:r>
      </w:hyperlink>
      <w:r>
        <w:rPr>
          <w:i/>
          <w:noProof/>
          <w:sz w:val="22"/>
        </w:rPr>
        <w:t xml:space="preserve">, </w:t>
      </w:r>
      <w:hyperlink r:id="rId92" w:tgtFrame="_blank" w:history="1">
        <w:r>
          <w:rPr>
            <w:rStyle w:val="Hyperlink"/>
            <w:b/>
            <w:i/>
            <w:noProof/>
            <w:sz w:val="22"/>
          </w:rPr>
          <w:t>EMBRACED</w:t>
        </w:r>
      </w:hyperlink>
      <w:r>
        <w:rPr>
          <w:b/>
          <w:i/>
          <w:noProof/>
          <w:sz w:val="22"/>
        </w:rPr>
        <w:t xml:space="preserve">, </w:t>
      </w:r>
      <w:hyperlink r:id="rId93" w:tgtFrame="_blank" w:history="1">
        <w:r>
          <w:rPr>
            <w:rStyle w:val="Hyperlink"/>
            <w:b/>
            <w:i/>
            <w:noProof/>
            <w:sz w:val="22"/>
          </w:rPr>
          <w:t>FRESH</w:t>
        </w:r>
      </w:hyperlink>
      <w:r>
        <w:rPr>
          <w:i/>
          <w:noProof/>
          <w:sz w:val="22"/>
        </w:rPr>
        <w:t>,</w:t>
      </w:r>
      <w:r>
        <w:rPr>
          <w:b/>
          <w:i/>
          <w:noProof/>
          <w:sz w:val="22"/>
        </w:rPr>
        <w:t xml:space="preserve"> </w:t>
      </w:r>
      <w:hyperlink r:id="rId94" w:tgtFrame="_blank" w:history="1">
        <w:r>
          <w:rPr>
            <w:rStyle w:val="Hyperlink"/>
            <w:b/>
            <w:i/>
            <w:noProof/>
            <w:sz w:val="22"/>
          </w:rPr>
          <w:t>LIFE CLOOVER2</w:t>
        </w:r>
      </w:hyperlink>
      <w:r>
        <w:rPr>
          <w:i/>
          <w:noProof/>
          <w:sz w:val="22"/>
        </w:rPr>
        <w:t>). </w:t>
      </w:r>
      <w:r>
        <w:rPr>
          <w:b/>
          <w:i/>
          <w:noProof/>
          <w:sz w:val="22"/>
        </w:rPr>
        <w:t>Inovatīva tekstilrūpniecības prakse</w:t>
      </w:r>
      <w:r>
        <w:rPr>
          <w:i/>
          <w:noProof/>
          <w:sz w:val="22"/>
        </w:rPr>
        <w:t xml:space="preserve"> dod iespēju vecus kokvilnas tekstilizstrādājumus pārvērst ilgtspējīgās, kvalitatīvās šķiedrās, izmantojot mazāk piesārņojošas ķimikālijas (</w:t>
      </w:r>
      <w:hyperlink r:id="rId95" w:tgtFrame="_blank" w:history="1">
        <w:r>
          <w:rPr>
            <w:rStyle w:val="Hyperlink"/>
            <w:b/>
            <w:i/>
            <w:noProof/>
            <w:sz w:val="22"/>
          </w:rPr>
          <w:t>TeKiDe</w:t>
        </w:r>
      </w:hyperlink>
      <w:r>
        <w:rPr>
          <w:i/>
          <w:noProof/>
          <w:sz w:val="22"/>
        </w:rPr>
        <w:t xml:space="preserve">).  Inovācijas prakse bīstamu </w:t>
      </w:r>
      <w:r>
        <w:rPr>
          <w:b/>
          <w:i/>
          <w:noProof/>
          <w:sz w:val="22"/>
        </w:rPr>
        <w:t>elektrisko un elektronisko iekārtu atkritumu</w:t>
      </w:r>
      <w:r>
        <w:rPr>
          <w:i/>
          <w:noProof/>
          <w:sz w:val="22"/>
        </w:rPr>
        <w:t xml:space="preserve"> (EEIA) reciklēšanā ļauj droši atgūt tīrus polimērus, bromu un antimona trioksīdu no plastmasas, atbalstot slēgta cikla reciklēšanas sistēmu, tādējādi palīdzot samazināt ES atkarību no importēta antimona (</w:t>
      </w:r>
      <w:hyperlink r:id="rId96" w:tgtFrame="_blank" w:history="1">
        <w:r>
          <w:rPr>
            <w:rStyle w:val="Hyperlink"/>
            <w:b/>
            <w:i/>
            <w:noProof/>
            <w:sz w:val="22"/>
          </w:rPr>
          <w:t>PLAST2bCLEANED</w:t>
        </w:r>
      </w:hyperlink>
      <w:r>
        <w:rPr>
          <w:i/>
          <w:noProof/>
          <w:sz w:val="22"/>
        </w:rPr>
        <w:t xml:space="preserve">). Inovatīvas tehnoloģijas ļauj atgūt </w:t>
      </w:r>
      <w:r>
        <w:rPr>
          <w:b/>
          <w:i/>
          <w:noProof/>
          <w:sz w:val="22"/>
        </w:rPr>
        <w:t>resursus no notekūdeņiem</w:t>
      </w:r>
      <w:r>
        <w:rPr>
          <w:i/>
          <w:noProof/>
          <w:sz w:val="22"/>
        </w:rPr>
        <w:t xml:space="preserve"> (piemēram, bioloģiskie mēslošanas līdzekļi, celuloze, bioplastmasa, biometāns un dažādas pārtikas un dzērienu piedevas), ievērojami samazinot notekūdeņu attīrīšanas iekārtu darbības izmaksas un ietekmi uz vidi un tādējādi radot jaunas darījumdarbības iespējas un darbvietas (</w:t>
      </w:r>
      <w:hyperlink r:id="rId97" w:tgtFrame="_blank" w:history="1">
        <w:r>
          <w:rPr>
            <w:rStyle w:val="Hyperlink"/>
            <w:b/>
            <w:i/>
            <w:noProof/>
            <w:sz w:val="22"/>
          </w:rPr>
          <w:t>AFTERLIFE</w:t>
        </w:r>
      </w:hyperlink>
      <w:r>
        <w:rPr>
          <w:i/>
          <w:noProof/>
          <w:sz w:val="22"/>
        </w:rPr>
        <w:t>,</w:t>
      </w:r>
      <w:r>
        <w:rPr>
          <w:b/>
          <w:i/>
          <w:noProof/>
          <w:sz w:val="22"/>
        </w:rPr>
        <w:t xml:space="preserve"> </w:t>
      </w:r>
      <w:hyperlink r:id="rId98" w:tgtFrame="_blank" w:history="1">
        <w:r>
          <w:rPr>
            <w:rStyle w:val="Hyperlink"/>
            <w:b/>
            <w:i/>
            <w:noProof/>
            <w:sz w:val="22"/>
          </w:rPr>
          <w:t>INCOVER</w:t>
        </w:r>
      </w:hyperlink>
      <w:r>
        <w:rPr>
          <w:i/>
          <w:noProof/>
          <w:sz w:val="22"/>
        </w:rPr>
        <w:t>,</w:t>
      </w:r>
      <w:r>
        <w:rPr>
          <w:b/>
          <w:i/>
          <w:noProof/>
          <w:sz w:val="22"/>
        </w:rPr>
        <w:t xml:space="preserve"> </w:t>
      </w:r>
      <w:hyperlink r:id="rId99" w:tgtFrame="_blank" w:history="1">
        <w:r>
          <w:rPr>
            <w:rStyle w:val="Hyperlink"/>
            <w:b/>
            <w:i/>
            <w:noProof/>
            <w:sz w:val="22"/>
          </w:rPr>
          <w:t>SMART-Plant</w:t>
        </w:r>
      </w:hyperlink>
      <w:r>
        <w:rPr>
          <w:i/>
          <w:noProof/>
          <w:sz w:val="22"/>
        </w:rPr>
        <w:t xml:space="preserve">, </w:t>
      </w:r>
      <w:hyperlink r:id="rId100" w:tgtFrame="_blank" w:history="1">
        <w:r>
          <w:rPr>
            <w:rStyle w:val="Hyperlink"/>
            <w:b/>
            <w:i/>
            <w:noProof/>
            <w:sz w:val="22"/>
          </w:rPr>
          <w:t>LIFE ENRICH</w:t>
        </w:r>
      </w:hyperlink>
      <w:r>
        <w:rPr>
          <w:i/>
          <w:noProof/>
          <w:sz w:val="22"/>
        </w:rPr>
        <w:t xml:space="preserve">, </w:t>
      </w:r>
      <w:hyperlink r:id="rId101" w:tgtFrame="_blank" w:history="1">
        <w:r>
          <w:rPr>
            <w:rStyle w:val="Hyperlink"/>
            <w:b/>
            <w:i/>
            <w:noProof/>
            <w:sz w:val="22"/>
          </w:rPr>
          <w:t>24Water</w:t>
        </w:r>
      </w:hyperlink>
      <w:r>
        <w:rPr>
          <w:i/>
          <w:noProof/>
          <w:sz w:val="22"/>
        </w:rPr>
        <w:t>). </w:t>
      </w:r>
      <w:r>
        <w:rPr>
          <w:b/>
          <w:i/>
          <w:noProof/>
          <w:sz w:val="22"/>
        </w:rPr>
        <w:t>Inovatīvi</w:t>
      </w:r>
      <w:r>
        <w:rPr>
          <w:i/>
          <w:noProof/>
          <w:sz w:val="22"/>
        </w:rPr>
        <w:t xml:space="preserve"> būvniecībā un pilsētu zaļās zonas apsaimniekošanā izmantojami </w:t>
      </w:r>
      <w:r>
        <w:rPr>
          <w:b/>
          <w:i/>
          <w:noProof/>
          <w:sz w:val="22"/>
        </w:rPr>
        <w:t>ģeneratori</w:t>
      </w:r>
      <w:r>
        <w:rPr>
          <w:i/>
          <w:noProof/>
          <w:sz w:val="22"/>
        </w:rPr>
        <w:t xml:space="preserve"> samazina emisiju daudzumu, vienlaikus nodrošinot mazākus, vieglākus un jaudīgākus pārnēsājamus barošanas avotus, kas piesaista ievērojamu finansējuma apjomu no privātiem investoriem (</w:t>
      </w:r>
      <w:hyperlink r:id="rId102" w:tgtFrame="_blank" w:history="1">
        <w:r>
          <w:rPr>
            <w:rStyle w:val="Hyperlink"/>
            <w:b/>
            <w:i/>
            <w:noProof/>
            <w:sz w:val="22"/>
          </w:rPr>
          <w:t>LIFE CLEANAIRMM</w:t>
        </w:r>
      </w:hyperlink>
      <w:r>
        <w:rPr>
          <w:i/>
          <w:noProof/>
          <w:sz w:val="22"/>
        </w:rPr>
        <w:t>). </w:t>
      </w:r>
      <w:r>
        <w:rPr>
          <w:b/>
          <w:i/>
          <w:noProof/>
          <w:sz w:val="22"/>
        </w:rPr>
        <w:t>Inovatīvas piedziņas sistēmas</w:t>
      </w:r>
      <w:r>
        <w:rPr>
          <w:i/>
          <w:noProof/>
          <w:sz w:val="22"/>
        </w:rPr>
        <w:t xml:space="preserve"> piedāvā tīrākas, apritīgākas satelītu palaišanas tehnoloģijas (</w:t>
      </w:r>
      <w:hyperlink r:id="rId103" w:tgtFrame="_blank" w:history="1">
        <w:r>
          <w:rPr>
            <w:rStyle w:val="Hyperlink"/>
            <w:b/>
            <w:i/>
            <w:noProof/>
            <w:sz w:val="22"/>
          </w:rPr>
          <w:t>HyImpulse</w:t>
        </w:r>
      </w:hyperlink>
      <w:r>
        <w:rPr>
          <w:i/>
          <w:noProof/>
          <w:sz w:val="22"/>
        </w:rPr>
        <w:t xml:space="preserve">, </w:t>
      </w:r>
      <w:hyperlink r:id="rId104" w:tgtFrame="_blank" w:history="1">
        <w:r>
          <w:rPr>
            <w:rStyle w:val="Hyperlink"/>
            <w:b/>
            <w:i/>
            <w:noProof/>
            <w:sz w:val="22"/>
          </w:rPr>
          <w:t>Pangea</w:t>
        </w:r>
      </w:hyperlink>
      <w:r>
        <w:rPr>
          <w:i/>
          <w:noProof/>
          <w:sz w:val="22"/>
        </w:rPr>
        <w:t>).</w:t>
      </w:r>
    </w:p>
    <w:p w14:paraId="48241D55" w14:textId="4927FCAF" w:rsidR="00E06994" w:rsidRPr="00874CDA" w:rsidRDefault="00E06994" w:rsidP="00D50E80">
      <w:pPr>
        <w:pStyle w:val="Text1"/>
        <w:spacing w:before="240"/>
        <w:rPr>
          <w:noProof/>
        </w:rPr>
      </w:pPr>
      <w:r>
        <w:rPr>
          <w:b/>
          <w:noProof/>
        </w:rPr>
        <w:t>ES veikta pētniecība un inovācija jau daudzus gadus ir bijusi un arī turpmāk būs šīs pārkārtošanās pamatā</w:t>
      </w:r>
      <w:r>
        <w:rPr>
          <w:noProof/>
        </w:rPr>
        <w:t xml:space="preserve">. Tradicionāli vides pētniecība un demonstrējumu projekti piesārņojuma novēršanas, kontroles un remediācijas jomā ir bijuši ES pētniecības un </w:t>
      </w:r>
      <w:r>
        <w:rPr>
          <w:i/>
          <w:noProof/>
        </w:rPr>
        <w:t>LIFE</w:t>
      </w:r>
      <w:r>
        <w:rPr>
          <w:noProof/>
        </w:rPr>
        <w:t xml:space="preserve"> programmu prioritātes.</w:t>
      </w:r>
    </w:p>
    <w:p w14:paraId="2C861F45" w14:textId="1E159B03" w:rsidR="00E06994" w:rsidRPr="00874CDA" w:rsidRDefault="00E06994" w:rsidP="00E06994">
      <w:pPr>
        <w:pStyle w:val="Text1"/>
        <w:rPr>
          <w:noProof/>
        </w:rPr>
      </w:pPr>
      <w:r>
        <w:rPr>
          <w:noProof/>
        </w:rPr>
        <w:t xml:space="preserve">Pašreizējās daudzgadu finanšu shēmas darbības laikā </w:t>
      </w:r>
      <w:r>
        <w:rPr>
          <w:b/>
          <w:noProof/>
        </w:rPr>
        <w:t>ES ir palielinājusi atbalstu</w:t>
      </w:r>
      <w:r>
        <w:rPr>
          <w:noProof/>
        </w:rPr>
        <w:t xml:space="preserve">, izmantojot pamatprogrammas “Apvārsnis Eiropa” un </w:t>
      </w:r>
      <w:r>
        <w:rPr>
          <w:i/>
          <w:noProof/>
        </w:rPr>
        <w:t>LIFE</w:t>
      </w:r>
      <w:r>
        <w:rPr>
          <w:noProof/>
        </w:rPr>
        <w:t xml:space="preserve"> finansēšanas programmas. Pētniecības un inovācijas jomā īpaši ietekmīgs ir mērķis “Tīra vide un nulles piesārņojums” ar īpašiem instrumentiem, piemēram, ES misijām</w:t>
      </w:r>
      <w:r>
        <w:rPr>
          <w:rStyle w:val="FootnoteReference"/>
          <w:noProof/>
        </w:rPr>
        <w:footnoteReference w:id="92"/>
      </w:r>
      <w:r>
        <w:rPr>
          <w:noProof/>
        </w:rPr>
        <w:t xml:space="preserve"> un partnerībām</w:t>
      </w:r>
      <w:r>
        <w:rPr>
          <w:rStyle w:val="FootnoteReference"/>
          <w:noProof/>
        </w:rPr>
        <w:footnoteReference w:id="93"/>
      </w:r>
      <w:r>
        <w:rPr>
          <w:noProof/>
        </w:rPr>
        <w:t>, kā arī mērķis “Dzīve un darbs veselību veicinošā vidē”, kas palīdz novērst vides faktoru ietekmi uz cilvēka veselību. Pētniecība un inovācija piesārņojuma novēršanai arī ir iekļauta visā programmā.</w:t>
      </w:r>
    </w:p>
    <w:p w14:paraId="306A684B" w14:textId="3DE896C2" w:rsidR="00E06994" w:rsidRPr="00874CDA" w:rsidRDefault="00E06994" w:rsidP="00E06994">
      <w:pPr>
        <w:pStyle w:val="Text1"/>
        <w:rPr>
          <w:noProof/>
        </w:rPr>
      </w:pPr>
      <w:r>
        <w:rPr>
          <w:noProof/>
        </w:rPr>
        <w:t xml:space="preserve">Daudzi </w:t>
      </w:r>
      <w:r>
        <w:rPr>
          <w:b/>
          <w:noProof/>
        </w:rPr>
        <w:t>pamatprogrammu “Apvārsnis 2020” un “Apvārsnis Eiropa” projekti ir atbalstījuši un turpina atbalstīt nulles piesārņojuma panākšanas centienus</w:t>
      </w:r>
      <w:r>
        <w:rPr>
          <w:rStyle w:val="FootnoteReference"/>
          <w:noProof/>
        </w:rPr>
        <w:footnoteReference w:id="94"/>
      </w:r>
      <w:r>
        <w:rPr>
          <w:noProof/>
        </w:rPr>
        <w:t>, jo īpaši slimību profilaksi un veselības veicināšanu, ūdens izmantošanu un apsaimniekošanu, gaisa, saldūdens un augsnes kvalitātes uzlabošanu, jūras vides aizsardzību, konceptuāli drošu un ilgtspējīgu ķimikāliju un materiālu izstrādi, apritīgumu, lauksaimniecību, pārtikas sistēmas (arī izmantojot iniciatīvu “Pārtika 2030” un nulles piesārņojuma pārtikas sistēmu trajektoriju), rūpniecisko inovāciju, bioekonomiku, transportu, enerģētiku, vides monitoringu un novērošanu. Līdzieguvumi vides jomā, ko sniedz ar klimatrīcību saistīta pētniecība un inovācija, bieži vien nodrošina piesārņojuma novēršanu un samazināšanu, tādējādi aizsargājot biodaudzveidību un dabiskās ekosistēmas. Kā piemēru var minēt īpašu 2024. gada uzaicinājumu ES misijas “Klimatneitrālas un viedas pilsētas” ietvaros, kas bija vērsts uz nulles piesārņojuma pilsētu izveidi un piesaistīja vairāk nekā 100 priekšlikumu</w:t>
      </w:r>
      <w:r>
        <w:rPr>
          <w:rStyle w:val="FootnoteReference"/>
          <w:noProof/>
        </w:rPr>
        <w:footnoteReference w:id="95"/>
      </w:r>
      <w:r>
        <w:rPr>
          <w:noProof/>
        </w:rPr>
        <w:t>.</w:t>
      </w:r>
    </w:p>
    <w:p w14:paraId="7D2FD0FF" w14:textId="65007151" w:rsidR="00E06994" w:rsidRPr="00874CDA" w:rsidRDefault="00E06994" w:rsidP="00E06994">
      <w:pPr>
        <w:pStyle w:val="Text1"/>
        <w:rPr>
          <w:rFonts w:ascii="Aptos" w:eastAsia="Aptos" w:hAnsi="Aptos" w:cs="Aptos"/>
          <w:noProof/>
          <w:sz w:val="22"/>
          <w:szCs w:val="22"/>
        </w:rPr>
      </w:pPr>
      <w:r>
        <w:rPr>
          <w:b/>
          <w:noProof/>
        </w:rPr>
        <w:t xml:space="preserve">Programma </w:t>
      </w:r>
      <w:r>
        <w:rPr>
          <w:b/>
          <w:i/>
          <w:noProof/>
        </w:rPr>
        <w:t>LIFE</w:t>
      </w:r>
      <w:r>
        <w:rPr>
          <w:noProof/>
        </w:rPr>
        <w:t xml:space="preserve"> turpina sekmēt tīru risinājumu demonstrēšanu, izvēršanu un pārņemšanu rīcībpolitikā visās dalībvalstīs. </w:t>
      </w:r>
      <w:r>
        <w:rPr>
          <w:i/>
          <w:noProof/>
        </w:rPr>
        <w:t>LIFE</w:t>
      </w:r>
      <w:r>
        <w:rPr>
          <w:noProof/>
        </w:rPr>
        <w:t xml:space="preserve"> papildina pamatprogrammu “Apvārsnis Eiropa”, mazinot laišanai tirgū gandrīz gatavu risinājumu radīto risku un atbalstot to ieviešanu iestādēs, komunālo pakalpojumu uzņēmumos un MVU. Izmantojot izmēģinājuma projektus un liela mēroga demonstrējumus, pārvaldības uzlabošanu, spēju veidošanu un mērķtiecīgu politikas atbalstu, </w:t>
      </w:r>
      <w:r>
        <w:rPr>
          <w:i/>
          <w:noProof/>
        </w:rPr>
        <w:t>LIFE</w:t>
      </w:r>
      <w:r>
        <w:rPr>
          <w:noProof/>
        </w:rPr>
        <w:t xml:space="preserve"> palīdz zaļo inovāciju pārvērst tādā atkārtojamā nulles piesārņojuma praksē visā ES un tās kaimiņvalstīs, kurā ir vērts investēt. Kopš 2014. gada vairāk nekā 170 </w:t>
      </w:r>
      <w:r>
        <w:rPr>
          <w:i/>
          <w:iCs/>
          <w:noProof/>
        </w:rPr>
        <w:t>LIFE</w:t>
      </w:r>
      <w:r>
        <w:rPr>
          <w:noProof/>
        </w:rPr>
        <w:t xml:space="preserve"> projekti ar ES finansējumu 400 miljonu EUR apmērā ir novērsuši gaisa, ūdens un augsnes piesārņojumu, sniedzot izmērāmus rezultātus uz vietas un nodrošinot informāciju ES tiesību aktu un standartu izstrādei</w:t>
      </w:r>
      <w:r>
        <w:rPr>
          <w:rStyle w:val="FootnoteReference"/>
          <w:noProof/>
        </w:rPr>
        <w:footnoteReference w:id="96"/>
      </w:r>
      <w:r>
        <w:rPr>
          <w:noProof/>
        </w:rPr>
        <w:t>.</w:t>
      </w:r>
      <w:r>
        <w:rPr>
          <w:rFonts w:ascii="Aptos" w:hAnsi="Aptos"/>
          <w:noProof/>
          <w:sz w:val="22"/>
        </w:rPr>
        <w:t xml:space="preserve"> </w:t>
      </w:r>
      <w:r>
        <w:rPr>
          <w:noProof/>
        </w:rPr>
        <w:t xml:space="preserve">Arī nākotnē ES finansējumam būs svarīga nozīme, jo visas galvenās </w:t>
      </w:r>
      <w:r>
        <w:rPr>
          <w:i/>
          <w:noProof/>
        </w:rPr>
        <w:t>LIFE</w:t>
      </w:r>
      <w:r>
        <w:rPr>
          <w:noProof/>
        </w:rPr>
        <w:t xml:space="preserve"> funkcijas ir iekļautas Eiropas Konkurētspējas fonda priekšlikumā.</w:t>
      </w:r>
    </w:p>
    <w:p w14:paraId="2982A0A7" w14:textId="1EEC740F" w:rsidR="00E06994" w:rsidRPr="00874CDA" w:rsidRDefault="00E06994" w:rsidP="00D50E80">
      <w:pPr>
        <w:pStyle w:val="Text1"/>
        <w:spacing w:before="240"/>
        <w:rPr>
          <w:noProof/>
        </w:rPr>
      </w:pPr>
      <w:r>
        <w:rPr>
          <w:b/>
          <w:noProof/>
        </w:rPr>
        <w:t>Svarīgs nākotnes inovācijas temats būs vēsturiskā un mantotā piesārņojuma remediācija</w:t>
      </w:r>
      <w:r>
        <w:rPr>
          <w:noProof/>
        </w:rPr>
        <w:t>. Ūdens un augsnes monitorings liecina, ka visā ES ir daudz piesārņojuma karsto punktu</w:t>
      </w:r>
      <w:r>
        <w:rPr>
          <w:rStyle w:val="FootnoteReference"/>
          <w:noProof/>
        </w:rPr>
        <w:footnoteReference w:id="97"/>
      </w:r>
      <w:r>
        <w:rPr>
          <w:noProof/>
        </w:rPr>
        <w:t xml:space="preserve">. Jaunā Augsnes monitoringa akta un Dabas atjaunošanas regulas īstenošana zināmā mērā palīdzēs risināt šo problēmu. Šajā kontekstā dabā balstīti risinājumi un bioremediācija var sniegt izmaksu ziņā lietderīgus risinājumus. Publiskā un privātā sektora iniciatīva, kuras mērķis ir panākt tehnoloģisku progresu attiecībā uz realizējamām un cenas ziņā pieejamām metodēm </w:t>
      </w:r>
      <w:r>
        <w:rPr>
          <w:i/>
          <w:iCs/>
          <w:noProof/>
        </w:rPr>
        <w:t>PFAS</w:t>
      </w:r>
      <w:r>
        <w:rPr>
          <w:noProof/>
        </w:rPr>
        <w:t xml:space="preserve"> un citu noturīgu ķimikāliju atklāšanai un remediācijai, būs vērsta uz šādu risinājumu izstrādes veicināšanu</w:t>
      </w:r>
      <w:r>
        <w:rPr>
          <w:rStyle w:val="FootnoteReference"/>
          <w:noProof/>
        </w:rPr>
        <w:footnoteReference w:id="98"/>
      </w:r>
      <w:r>
        <w:rPr>
          <w:noProof/>
        </w:rPr>
        <w:t>.</w:t>
      </w:r>
    </w:p>
    <w:p w14:paraId="63344318" w14:textId="702D2648" w:rsidR="00E06994" w:rsidRPr="00874CDA" w:rsidRDefault="03B3FCF4" w:rsidP="00D50E80">
      <w:pPr>
        <w:pStyle w:val="Text1"/>
        <w:spacing w:before="240"/>
        <w:rPr>
          <w:noProof/>
        </w:rPr>
      </w:pPr>
      <w:r>
        <w:rPr>
          <w:b/>
          <w:noProof/>
        </w:rPr>
        <w:t>Pastāv digitāli nulles piesārņojuma risinājumi</w:t>
      </w:r>
      <w:r>
        <w:rPr>
          <w:rStyle w:val="FootnoteReference"/>
          <w:noProof/>
        </w:rPr>
        <w:footnoteReference w:id="99"/>
      </w:r>
      <w:r>
        <w:rPr>
          <w:b/>
          <w:noProof/>
        </w:rPr>
        <w:t>, taču ir jāpārvar šķēršļi to ieviešanā</w:t>
      </w:r>
      <w:r>
        <w:rPr>
          <w:noProof/>
        </w:rPr>
        <w:t>. Eiropas Dzīvo laboratoriju tīkls (</w:t>
      </w:r>
      <w:r>
        <w:rPr>
          <w:i/>
          <w:iCs/>
          <w:noProof/>
        </w:rPr>
        <w:t>ENoLL</w:t>
      </w:r>
      <w:r>
        <w:rPr>
          <w:noProof/>
        </w:rPr>
        <w:t>) ir sniedzis dažus ieteikumus</w:t>
      </w:r>
      <w:r>
        <w:rPr>
          <w:rStyle w:val="FootnoteReference"/>
          <w:noProof/>
        </w:rPr>
        <w:footnoteReference w:id="100"/>
      </w:r>
      <w:r>
        <w:rPr>
          <w:noProof/>
        </w:rPr>
        <w:t xml:space="preserve"> par nulles piesārņojuma “dzīvajām laboratorijām”, kas var palīdzēt palielināt digitālo risinājumu ieviešanu. Jaunas iespējas rodas, kombinējot datus, piemēram, no Zemes novērošanas, ar mākslīgo intelektu un modelēšanu. Jaunie </w:t>
      </w:r>
      <w:r>
        <w:rPr>
          <w:i/>
          <w:noProof/>
        </w:rPr>
        <w:t>Copernicus Sentinel</w:t>
      </w:r>
      <w:r>
        <w:rPr>
          <w:noProof/>
        </w:rPr>
        <w:t xml:space="preserve"> satelīti nodrošinās precīzākus un savlaicīgākus datus, piemēram, par gaisa kvalitāti un emisijām. </w:t>
      </w:r>
      <w:r>
        <w:rPr>
          <w:b/>
          <w:noProof/>
        </w:rPr>
        <w:t>Galamērķis Zeme</w:t>
      </w:r>
      <w:r>
        <w:rPr>
          <w:rStyle w:val="FootnoteReference"/>
          <w:noProof/>
        </w:rPr>
        <w:footnoteReference w:id="101"/>
      </w:r>
      <w:r>
        <w:rPr>
          <w:noProof/>
        </w:rPr>
        <w:t xml:space="preserve"> un – </w:t>
      </w:r>
      <w:r>
        <w:rPr>
          <w:noProof/>
          <w:u w:val="single"/>
        </w:rPr>
        <w:t>ciešā sinerģijā ar gaidāmo Okeāna novērošanas iniciatīvu un Okeāna aktu</w:t>
      </w:r>
      <w:r>
        <w:rPr>
          <w:noProof/>
        </w:rPr>
        <w:t xml:space="preserve"> – </w:t>
      </w:r>
      <w:r>
        <w:rPr>
          <w:b/>
          <w:noProof/>
        </w:rPr>
        <w:t>okeāna digitālā dvīņa</w:t>
      </w:r>
      <w:r>
        <w:rPr>
          <w:noProof/>
        </w:rPr>
        <w:t xml:space="preserve"> mērķis ir atbalstīt šādus progresīvus rīkus, lai cita starpā risinātu ar piesārņojumu saistītus jautājumus. Savu pienesumu šajā jomā dod arī Eiropas Komisijas Kopīgais pētniecības centrs (</w:t>
      </w:r>
      <w:r>
        <w:rPr>
          <w:i/>
          <w:noProof/>
        </w:rPr>
        <w:t>JRC</w:t>
      </w:r>
      <w:r>
        <w:rPr>
          <w:noProof/>
        </w:rPr>
        <w:t>), kura izstrādātie jūras piesārņojuma modeļi izmantoti Nulles piesārņojuma perspektīvas dokumentā.</w:t>
      </w:r>
    </w:p>
    <w:p w14:paraId="44FC89A2" w14:textId="77777777" w:rsidR="008A341A" w:rsidRPr="008A341A" w:rsidRDefault="005F4747" w:rsidP="008A341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Tīrāka vide – nulles piesārņojums, izmantojot Zemes novērošanu un digitālos dvīņus</w:t>
      </w:r>
    </w:p>
    <w:p w14:paraId="3F87494A" w14:textId="0F229943" w:rsidR="005F4747" w:rsidRPr="008A341A" w:rsidRDefault="000120D9" w:rsidP="008A341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noProof/>
        </w:rPr>
      </w:pPr>
      <w:r>
        <w:rPr>
          <w:i/>
          <w:noProof/>
          <w:sz w:val="22"/>
        </w:rPr>
        <w:t xml:space="preserve">ES kosmosa programmas Zemes novērošanas komponents </w:t>
      </w:r>
      <w:hyperlink r:id="rId105" w:history="1">
        <w:r>
          <w:rPr>
            <w:rStyle w:val="Hyperlink"/>
            <w:b/>
            <w:i/>
            <w:noProof/>
            <w:sz w:val="22"/>
          </w:rPr>
          <w:t>Copernicus</w:t>
        </w:r>
      </w:hyperlink>
      <w:r>
        <w:rPr>
          <w:i/>
          <w:noProof/>
          <w:sz w:val="22"/>
        </w:rPr>
        <w:t xml:space="preserve"> ir ļāvis izstrādāt vairākus darījumdarbības risinājumus nulles piesārņojuma panākšanai. Zemes novērošanas, mākslīgā intelekta un mašīnmācīšanās izmantošana var būtiski uzlabot gaisa, okeāna un saldūdens un augsnes kvalitātes, zemes degradācijas un atmežošanas, kā arī piegādes ķēdes ietekmes vidisko monitoringu (</w:t>
      </w:r>
      <w:hyperlink r:id="rId106" w:tgtFrame="_blank" w:history="1">
        <w:r>
          <w:rPr>
            <w:rStyle w:val="Hyperlink"/>
            <w:b/>
            <w:i/>
            <w:noProof/>
            <w:sz w:val="22"/>
          </w:rPr>
          <w:t>Orbify</w:t>
        </w:r>
      </w:hyperlink>
      <w:r>
        <w:rPr>
          <w:i/>
          <w:noProof/>
          <w:sz w:val="22"/>
        </w:rPr>
        <w:t>). Tas arī ļāva izveidot Piesārņojuma krīzes pārvaldības platformu, kas uzrauga upes, rezervuārus un pilsētu zonas, palīdzot vietējām iestādēm konstatēt piesārņojumu un ātri reaģēt uz piesārņojuma gadījumiem (</w:t>
      </w:r>
      <w:hyperlink r:id="rId107" w:tgtFrame="_blank" w:history="1">
        <w:r>
          <w:rPr>
            <w:rStyle w:val="Hyperlink"/>
            <w:b/>
            <w:i/>
            <w:noProof/>
            <w:sz w:val="22"/>
          </w:rPr>
          <w:t>Azulfy</w:t>
        </w:r>
      </w:hyperlink>
      <w:r>
        <w:rPr>
          <w:i/>
          <w:noProof/>
          <w:sz w:val="22"/>
        </w:rPr>
        <w:t>).</w:t>
      </w:r>
      <w:r>
        <w:rPr>
          <w:b/>
          <w:i/>
          <w:noProof/>
          <w:sz w:val="22"/>
        </w:rPr>
        <w:t xml:space="preserve"> </w:t>
      </w:r>
      <w:r>
        <w:rPr>
          <w:i/>
          <w:noProof/>
          <w:sz w:val="22"/>
        </w:rPr>
        <w:t>Citas digitālās platformas mobilizē iedzīvotājus, lai tie atklātu nelikumīgus atkritumu poligonus savās kopienās un ziņotu par tiem reāllaikā, palīdzot palielināt informētību un atbalstīt ātru rīcību vietējā līmenī (</w:t>
      </w:r>
      <w:hyperlink r:id="rId108" w:tgtFrame="_blank" w:history="1">
        <w:r>
          <w:rPr>
            <w:rStyle w:val="Hyperlink"/>
            <w:b/>
            <w:i/>
            <w:noProof/>
            <w:sz w:val="22"/>
          </w:rPr>
          <w:t>WasteNoTime</w:t>
        </w:r>
      </w:hyperlink>
      <w:r>
        <w:rPr>
          <w:i/>
          <w:noProof/>
          <w:sz w:val="22"/>
        </w:rPr>
        <w:t xml:space="preserve">). Šie rīki arī palīdz uzņēmējiem virzīties uz nulles piesārņojuma mērķi. </w:t>
      </w:r>
      <w:r>
        <w:rPr>
          <w:b/>
          <w:i/>
          <w:noProof/>
          <w:sz w:val="22"/>
        </w:rPr>
        <w:t>Viedās lauksaimniecības</w:t>
      </w:r>
      <w:r>
        <w:rPr>
          <w:i/>
          <w:noProof/>
          <w:sz w:val="22"/>
        </w:rPr>
        <w:t xml:space="preserve"> lietotnes var samazināt piesārņojumu un ietaupīt izmaksas, palīdzot lauksaimniekiem saskaņot lauksaimnieciskās ražošanas resursus (mēslošanas līdzekļus, pesticīdus, ūdeni) ar kultūraugu faktiskajām vajadzībām (</w:t>
      </w:r>
      <w:hyperlink r:id="rId109" w:tgtFrame="_blank" w:history="1">
        <w:r>
          <w:rPr>
            <w:rStyle w:val="Hyperlink"/>
            <w:b/>
            <w:i/>
            <w:noProof/>
            <w:sz w:val="22"/>
          </w:rPr>
          <w:t>SQAT</w:t>
        </w:r>
      </w:hyperlink>
      <w:r>
        <w:rPr>
          <w:i/>
          <w:noProof/>
          <w:sz w:val="22"/>
        </w:rPr>
        <w:t>,</w:t>
      </w:r>
      <w:r>
        <w:rPr>
          <w:b/>
          <w:i/>
          <w:noProof/>
          <w:sz w:val="22"/>
        </w:rPr>
        <w:t xml:space="preserve"> </w:t>
      </w:r>
      <w:hyperlink r:id="rId110" w:tgtFrame="_blank" w:history="1">
        <w:r>
          <w:rPr>
            <w:rStyle w:val="Hyperlink"/>
            <w:b/>
            <w:i/>
            <w:noProof/>
            <w:sz w:val="22"/>
          </w:rPr>
          <w:t>DINOSAR</w:t>
        </w:r>
      </w:hyperlink>
      <w:r>
        <w:rPr>
          <w:i/>
          <w:noProof/>
          <w:sz w:val="22"/>
        </w:rPr>
        <w:t xml:space="preserve">, </w:t>
      </w:r>
      <w:hyperlink r:id="rId111" w:history="1">
        <w:r>
          <w:rPr>
            <w:rStyle w:val="Hyperlink"/>
            <w:b/>
            <w:i/>
            <w:noProof/>
            <w:sz w:val="22"/>
          </w:rPr>
          <w:t>TerraMetallum</w:t>
        </w:r>
      </w:hyperlink>
      <w:r>
        <w:rPr>
          <w:i/>
          <w:noProof/>
          <w:sz w:val="22"/>
        </w:rPr>
        <w:t xml:space="preserve">). </w:t>
      </w:r>
      <w:r>
        <w:rPr>
          <w:b/>
          <w:i/>
          <w:noProof/>
          <w:sz w:val="22"/>
        </w:rPr>
        <w:t>Lidostu darbības un lidojumu maršrutu</w:t>
      </w:r>
      <w:r>
        <w:rPr>
          <w:i/>
          <w:noProof/>
          <w:sz w:val="22"/>
        </w:rPr>
        <w:t xml:space="preserve"> optimizēšana palīdz samazināt troksni, degvielas patēriņu, gaisa piesārņojumu un siltumnīcefekta gāzu emisijas (</w:t>
      </w:r>
      <w:hyperlink r:id="rId112" w:tgtFrame="_blank" w:history="1">
        <w:r>
          <w:rPr>
            <w:rStyle w:val="Hyperlink"/>
            <w:b/>
            <w:i/>
            <w:noProof/>
            <w:sz w:val="22"/>
          </w:rPr>
          <w:t>EDGAR</w:t>
        </w:r>
      </w:hyperlink>
      <w:r>
        <w:rPr>
          <w:i/>
          <w:noProof/>
          <w:sz w:val="22"/>
        </w:rPr>
        <w:t xml:space="preserve">, </w:t>
      </w:r>
      <w:hyperlink r:id="rId113" w:tgtFrame="_blank" w:history="1">
        <w:r>
          <w:rPr>
            <w:rStyle w:val="Hyperlink"/>
            <w:b/>
            <w:i/>
            <w:noProof/>
            <w:sz w:val="22"/>
          </w:rPr>
          <w:t>VITOLMINS</w:t>
        </w:r>
      </w:hyperlink>
      <w:r>
        <w:rPr>
          <w:i/>
          <w:noProof/>
          <w:sz w:val="22"/>
        </w:rPr>
        <w:t xml:space="preserve">). Pakalpojumi </w:t>
      </w:r>
      <w:r>
        <w:rPr>
          <w:b/>
          <w:i/>
          <w:noProof/>
          <w:sz w:val="22"/>
        </w:rPr>
        <w:t>kalnrūpniecības darbību</w:t>
      </w:r>
      <w:r>
        <w:rPr>
          <w:i/>
          <w:noProof/>
          <w:sz w:val="22"/>
        </w:rPr>
        <w:t xml:space="preserve"> labākam ģeotehniskajam un vidiskajam monitoringam visā dzīves ciklā no izpētes līdz slēgšanai palīdz uzlabot darbības drošību un efektivitāti, vienlaikus ļaujot kalnrūpniecības operatoriem ierobežot piesārņojumu un atkritumu daudzumu un spēt izmantot materiālus apritīgāk</w:t>
      </w:r>
      <w:r>
        <w:rPr>
          <w:b/>
          <w:i/>
          <w:noProof/>
          <w:sz w:val="22"/>
        </w:rPr>
        <w:t xml:space="preserve"> </w:t>
      </w:r>
      <w:r>
        <w:rPr>
          <w:i/>
          <w:noProof/>
          <w:sz w:val="22"/>
        </w:rPr>
        <w:t>(</w:t>
      </w:r>
      <w:hyperlink r:id="rId114" w:tgtFrame="_blank" w:history="1">
        <w:r>
          <w:rPr>
            <w:rStyle w:val="Hyperlink"/>
            <w:b/>
            <w:i/>
            <w:noProof/>
            <w:sz w:val="22"/>
          </w:rPr>
          <w:t>MOSMIN</w:t>
        </w:r>
      </w:hyperlink>
      <w:r>
        <w:rPr>
          <w:i/>
          <w:noProof/>
          <w:sz w:val="22"/>
        </w:rPr>
        <w:t xml:space="preserve">, </w:t>
      </w:r>
      <w:hyperlink r:id="rId115" w:tgtFrame="_blank" w:history="1">
        <w:r>
          <w:rPr>
            <w:rStyle w:val="Hyperlink"/>
            <w:b/>
            <w:i/>
            <w:noProof/>
            <w:sz w:val="22"/>
          </w:rPr>
          <w:t>TerraEye</w:t>
        </w:r>
      </w:hyperlink>
      <w:r>
        <w:rPr>
          <w:i/>
          <w:noProof/>
          <w:sz w:val="22"/>
        </w:rPr>
        <w:t>).</w:t>
      </w:r>
    </w:p>
    <w:p w14:paraId="74370467" w14:textId="3D5E519E" w:rsidR="00E06994" w:rsidRPr="00874CDA" w:rsidRDefault="00E06994" w:rsidP="00CD65EB">
      <w:pPr>
        <w:pStyle w:val="Text1"/>
        <w:spacing w:before="240"/>
        <w:rPr>
          <w:noProof/>
        </w:rPr>
      </w:pPr>
      <w:r>
        <w:rPr>
          <w:b/>
          <w:noProof/>
        </w:rPr>
        <w:t>Digitalizācija ir atkarīga no augstas kvalitātes datu pieejamības un izmantojamības.</w:t>
      </w:r>
      <w:r>
        <w:rPr>
          <w:noProof/>
        </w:rPr>
        <w:t xml:space="preserve"> Vairāki projekti veicina uz vides datiem balstītus pakalpojumus, uzsverot nulles piesārņojuma nozīmi īstenošanas paātrināšanā</w:t>
      </w:r>
      <w:r>
        <w:rPr>
          <w:rStyle w:val="FootnoteReference"/>
          <w:noProof/>
        </w:rPr>
        <w:footnoteReference w:id="102"/>
      </w:r>
      <w:r>
        <w:rPr>
          <w:noProof/>
        </w:rPr>
        <w:t>. Lai vāktu datus par nulles piesārņojumu pilsētās, ir uzsākti arī daudzi viedo kopienu izmēģinājuma projekti</w:t>
      </w:r>
      <w:r>
        <w:rPr>
          <w:rStyle w:val="FootnoteReference"/>
          <w:noProof/>
        </w:rPr>
        <w:footnoteReference w:id="103"/>
      </w:r>
      <w:r>
        <w:rPr>
          <w:noProof/>
        </w:rPr>
        <w:t>. Svarīgs instruments piesārņojuma datu pieejamības uzlabošanai ir jaunais tiesiskais regulējums “</w:t>
      </w:r>
      <w:r>
        <w:rPr>
          <w:b/>
          <w:noProof/>
        </w:rPr>
        <w:t>Viena viela, viens novērtējums</w:t>
      </w:r>
      <w:r>
        <w:rPr>
          <w:noProof/>
        </w:rPr>
        <w:t>”, ar ko cita starpā izveido kopīgu datu platformu</w:t>
      </w:r>
      <w:r>
        <w:rPr>
          <w:rStyle w:val="FootnoteReference"/>
          <w:noProof/>
        </w:rPr>
        <w:footnoteReference w:id="104"/>
      </w:r>
      <w:r>
        <w:rPr>
          <w:noProof/>
        </w:rPr>
        <w:t xml:space="preserve"> un “vienas pieturas aģentūru”, kurā piekļūt datiem par ķimikālijām. Komisija arī gatavo Rīcības plānu ūdens nozares digitalizācijai, kura nolūks ir palielināt informētību par šādām norisēm un sistemātiskāk tās atbalstīt. </w:t>
      </w:r>
      <w:r>
        <w:rPr>
          <w:b/>
          <w:noProof/>
        </w:rPr>
        <w:t>Digitālie rīki var arī palīdzēt patērētājiem un iedzīvotājiem izdarīt videi draudzīgu izvēli</w:t>
      </w:r>
      <w:r>
        <w:rPr>
          <w:noProof/>
        </w:rPr>
        <w:t>, kas atbalsta nulles piesārņojuma mērķus. Iedzīvotāji arvien vairāk vēlas zināt, cik tīrs ir gaiss, ko viņi elpo, un vai konkrēti produkti satur bīstamas ķimikālijas.</w:t>
      </w:r>
    </w:p>
    <w:p w14:paraId="1F6C0DE1" w14:textId="77777777" w:rsidR="00E561CA" w:rsidRPr="00E561CA" w:rsidRDefault="00E561CA" w:rsidP="00E561C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Tīri ražojumi – izvēle par labu nulles piesārņojumam</w:t>
      </w:r>
    </w:p>
    <w:p w14:paraId="4F48EC85" w14:textId="666DEFAA" w:rsidR="008A341A" w:rsidRPr="00E561CA" w:rsidRDefault="00E561CA" w:rsidP="00E561C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18"/>
        </w:rPr>
      </w:pPr>
      <w:r>
        <w:rPr>
          <w:i/>
          <w:noProof/>
          <w:sz w:val="22"/>
        </w:rPr>
        <w:t>Vairākas lietotājdraudzīgas patērētāju lietotnes dod iespēju identificēt ražojumus, kuros nav izmantotas bīstamas ķimikālijas (</w:t>
      </w:r>
      <w:hyperlink r:id="rId116" w:history="1">
        <w:r>
          <w:rPr>
            <w:rStyle w:val="Hyperlink"/>
            <w:b/>
            <w:i/>
            <w:noProof/>
            <w:sz w:val="22"/>
          </w:rPr>
          <w:t>Yuka</w:t>
        </w:r>
      </w:hyperlink>
      <w:r>
        <w:rPr>
          <w:b/>
          <w:i/>
          <w:noProof/>
          <w:sz w:val="22"/>
        </w:rPr>
        <w:t xml:space="preserve">, </w:t>
      </w:r>
      <w:hyperlink r:id="rId117" w:tgtFrame="_blank" w:history="1">
        <w:r>
          <w:rPr>
            <w:rStyle w:val="Hyperlink"/>
            <w:b/>
            <w:i/>
            <w:noProof/>
            <w:sz w:val="22"/>
          </w:rPr>
          <w:t>ToxFox</w:t>
        </w:r>
      </w:hyperlink>
      <w:r>
        <w:rPr>
          <w:i/>
          <w:noProof/>
          <w:sz w:val="22"/>
        </w:rPr>
        <w:t xml:space="preserve">, </w:t>
      </w:r>
      <w:hyperlink r:id="rId118" w:tgtFrame="_blank" w:history="1">
        <w:r>
          <w:rPr>
            <w:rStyle w:val="Hyperlink"/>
            <w:b/>
            <w:i/>
            <w:noProof/>
            <w:sz w:val="22"/>
          </w:rPr>
          <w:t>KEMILUPPEN</w:t>
        </w:r>
      </w:hyperlink>
      <w:r>
        <w:rPr>
          <w:b/>
          <w:i/>
          <w:noProof/>
          <w:sz w:val="22"/>
        </w:rPr>
        <w:t xml:space="preserve">, </w:t>
      </w:r>
      <w:hyperlink r:id="rId119" w:tgtFrame="_blank" w:history="1">
        <w:r>
          <w:rPr>
            <w:rStyle w:val="Hyperlink"/>
            <w:b/>
            <w:i/>
            <w:noProof/>
            <w:sz w:val="22"/>
          </w:rPr>
          <w:t>CheckED yourself</w:t>
        </w:r>
      </w:hyperlink>
      <w:r>
        <w:rPr>
          <w:i/>
          <w:noProof/>
          <w:sz w:val="22"/>
        </w:rPr>
        <w:t xml:space="preserve">, </w:t>
      </w:r>
      <w:hyperlink r:id="rId120" w:history="1">
        <w:r>
          <w:rPr>
            <w:rStyle w:val="Hyperlink"/>
            <w:b/>
            <w:i/>
            <w:noProof/>
            <w:sz w:val="22"/>
          </w:rPr>
          <w:t>SIN List</w:t>
        </w:r>
      </w:hyperlink>
      <w:r>
        <w:rPr>
          <w:i/>
          <w:noProof/>
          <w:sz w:val="22"/>
        </w:rPr>
        <w:t>). Dažas lietotnes ir vērstas uz dažādiem ikdienas produktiem, piemēram, pārtikas produktiem, kosmētiku, ķermeņa kopšanas līdzekļiem, rotaļlietām, mēbelēm, paklājiem, sporta apaviem, tekstilizstrādājumiem un elektroniskajām ierīcēm. Citos tiek aplūkotas produktu bīstamās īpašības, tostarp endokrīnās sistēmas traucējumus izraisošas ķimikālijas, un ierosinātas aizstāšanas iespējas vai sniegti personalizēti ieteikumi par mājas vidi, dzīvesveidu un ikdienas paradumiem. Šīs lietotnes veicina inovāciju un palielina patērētāju (un līdz ar to arī uzņēmumu) informētību par nevēlamām ķimikālijām.</w:t>
      </w:r>
    </w:p>
    <w:p w14:paraId="5CF25164" w14:textId="229041B9" w:rsidR="00E06994" w:rsidRPr="00874CDA" w:rsidRDefault="00E06994" w:rsidP="00A758E6">
      <w:pPr>
        <w:pStyle w:val="Text1"/>
        <w:spacing w:before="240"/>
        <w:rPr>
          <w:noProof/>
        </w:rPr>
      </w:pPr>
      <w:r>
        <w:rPr>
          <w:b/>
          <w:noProof/>
        </w:rPr>
        <w:t>Prasmju un apmācības trūkums kavē pāreju uz tīru enerģiju.</w:t>
      </w:r>
      <w:r>
        <w:rPr>
          <w:noProof/>
        </w:rPr>
        <w:t xml:space="preserve"> </w:t>
      </w:r>
      <w:bookmarkStart w:id="40" w:name="_Toc66088931"/>
      <w:bookmarkStart w:id="41" w:name="_Toc66214564"/>
      <w:bookmarkStart w:id="42" w:name="_Toc66216750"/>
      <w:bookmarkStart w:id="43" w:name="_Toc63329300"/>
      <w:bookmarkStart w:id="44" w:name="_Toc63355575"/>
      <w:bookmarkStart w:id="45" w:name="_Toc64546938"/>
      <w:bookmarkStart w:id="46" w:name="_Toc64638196"/>
      <w:bookmarkStart w:id="47" w:name="_Toc64638318"/>
      <w:bookmarkStart w:id="48" w:name="_Toc64644063"/>
      <w:bookmarkStart w:id="49" w:name="_Toc64648450"/>
      <w:bookmarkStart w:id="50" w:name="_Toc65056278"/>
      <w:bookmarkStart w:id="51" w:name="_Toc65056482"/>
      <w:bookmarkStart w:id="52" w:name="_Toc65056567"/>
      <w:bookmarkStart w:id="53" w:name="_Toc64627755"/>
      <w:bookmarkStart w:id="54" w:name="_Toc64629567"/>
      <w:bookmarkStart w:id="55" w:name="_Toc64629703"/>
      <w:bookmarkStart w:id="56" w:name="_Toc64632003"/>
      <w:bookmarkStart w:id="57" w:name="_Toc64635273"/>
      <w:bookmarkStart w:id="58" w:name="_Toc65007743"/>
      <w:bookmarkStart w:id="59" w:name="_Toc65009158"/>
      <w:bookmarkStart w:id="60" w:name="_Toc65009709"/>
      <w:bookmarkStart w:id="61" w:name="_Toc65010818"/>
      <w:bookmarkStart w:id="62" w:name="_Toc65013158"/>
      <w:bookmarkStart w:id="63" w:name="_Toc65050121"/>
      <w:bookmarkEnd w:id="33"/>
      <w:bookmarkEnd w:id="34"/>
      <w:bookmarkEnd w:id="35"/>
      <w:bookmarkEnd w:id="36"/>
      <w:bookmarkEnd w:id="37"/>
      <w:bookmarkEnd w:id="38"/>
      <w:r>
        <w:rPr>
          <w:noProof/>
        </w:rPr>
        <w:t>Ir vērojams plašs zaļo prasmju trūkums, jo īpaši MVU un tādās svarīgās nozarēs kā būvniecība, transports, atkritumu apsaimniekošana, enerģētika un inženierzinātnes. Lai īstenotu digitālo un zaļo pārkārtošanos, kas nosaka nodarbinātības tendences līdz 2035. gadam, visu vecumu cilvēkiem dažādās jomās ir jāattīsta jaunas prasmes</w:t>
      </w:r>
      <w:r>
        <w:rPr>
          <w:rStyle w:val="FootnoteReference"/>
          <w:noProof/>
        </w:rPr>
        <w:footnoteReference w:id="105"/>
      </w:r>
      <w:r>
        <w:rPr>
          <w:noProof/>
        </w:rPr>
        <w:t>. Arvien lielākas bažas rada darbaspēka zaļo prasmju trūkums. Apmācība un pārkvalifikācija joprojām neatbilst pieprasījumam</w:t>
      </w:r>
      <w:r>
        <w:rPr>
          <w:rStyle w:val="FootnoteReference"/>
          <w:noProof/>
        </w:rPr>
        <w:footnoteReference w:id="106"/>
      </w:r>
      <w:r>
        <w:rPr>
          <w:noProof/>
        </w:rPr>
        <w:t>. Papildus vispārējām darbībām zaļo prasmju atbalstam, izmantojot Prasmju pilnveides paktu</w:t>
      </w:r>
      <w:r>
        <w:rPr>
          <w:rStyle w:val="FootnoteReference"/>
          <w:noProof/>
        </w:rPr>
        <w:footnoteReference w:id="107"/>
      </w:r>
      <w:r>
        <w:rPr>
          <w:noProof/>
        </w:rPr>
        <w:t xml:space="preserve"> (piemēram, reģionālā partnerība, ko vada Eiropas Ķīmijas nozares reģionu tīkls saskaņā ar Prasmju pilnveides paktu)</w:t>
      </w:r>
      <w:r>
        <w:rPr>
          <w:rStyle w:val="FootnoteReference"/>
          <w:noProof/>
        </w:rPr>
        <w:footnoteReference w:id="108"/>
      </w:r>
      <w:r>
        <w:rPr>
          <w:noProof/>
        </w:rPr>
        <w:t>, Komisija sāk īpašas iniciatīvas saistībā ar Eiropas Ūdensresursu noturības stratēģiju (piemēram, Ūdensresursu ziņā viedas rūpniecības aliansi un Eiropas Ūdens akadēmiju), kas ietvers prasmes, kuras vajadzīgas, lai panāktu nulles piesārņojumu.</w:t>
      </w:r>
    </w:p>
    <w:p w14:paraId="57295FDD" w14:textId="13361E71" w:rsidR="00E06994" w:rsidRPr="00874CDA" w:rsidRDefault="00E06994" w:rsidP="00E06994">
      <w:pPr>
        <w:pStyle w:val="Text1"/>
        <w:rPr>
          <w:noProof/>
        </w:rPr>
      </w:pPr>
      <w:r>
        <w:rPr>
          <w:b/>
          <w:noProof/>
        </w:rPr>
        <w:t xml:space="preserve">Dalībvalstu vides pārvalžu spējas jau tā ir mazas, un, ja netiks veikti attiecīgi pasākumi, šī situācija pasliktināsies. </w:t>
      </w:r>
      <w:r>
        <w:rPr>
          <w:noProof/>
        </w:rPr>
        <w:t xml:space="preserve">Publiskais sektors saskaras ar darbaspēka novecošanu un prasmju trūkumu, jo īpaši tādās tehniskās jomās kā piesārņojuma kontrole un ūdens attīrīšana un apsaimniekošana, kā arī digitālās prasmes. </w:t>
      </w:r>
      <w:r>
        <w:rPr>
          <w:i/>
          <w:iCs/>
          <w:noProof/>
        </w:rPr>
        <w:t>EIR</w:t>
      </w:r>
      <w:r>
        <w:rPr>
          <w:noProof/>
        </w:rPr>
        <w:t xml:space="preserve"> ir uzsvērts, ka tam būs izšķiroša nozīme ES tiesību aktu īstenošanā uz vietas</w:t>
      </w:r>
      <w:r>
        <w:rPr>
          <w:rStyle w:val="FootnoteReference"/>
          <w:noProof/>
        </w:rPr>
        <w:footnoteReference w:id="109"/>
      </w:r>
      <w:r>
        <w:rPr>
          <w:noProof/>
        </w:rPr>
        <w:t>.</w:t>
      </w:r>
    </w:p>
    <w:p w14:paraId="694F88C2" w14:textId="7777777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Komisija: </w:t>
      </w:r>
    </w:p>
    <w:p w14:paraId="2B3E74C3" w14:textId="3445B336"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 xml:space="preserve">finansēs prioritāros projektus, kas iekļauti pamatprogrammas </w:t>
      </w:r>
      <w:hyperlink r:id="rId121" w:history="1">
        <w:r>
          <w:rPr>
            <w:rStyle w:val="Hyperlink"/>
            <w:b/>
            <w:noProof/>
          </w:rPr>
          <w:t>Apvārsnis Eiropa</w:t>
        </w:r>
      </w:hyperlink>
      <w:r>
        <w:rPr>
          <w:b/>
          <w:noProof/>
        </w:rPr>
        <w:t xml:space="preserve"> un </w:t>
      </w:r>
      <w:r>
        <w:rPr>
          <w:b/>
          <w:i/>
          <w:noProof/>
        </w:rPr>
        <w:t>LIFE</w:t>
      </w:r>
      <w:r>
        <w:rPr>
          <w:b/>
          <w:noProof/>
        </w:rPr>
        <w:t xml:space="preserve"> 2026. un 2027. gada darba programmās</w:t>
      </w:r>
      <w:r>
        <w:rPr>
          <w:noProof/>
        </w:rPr>
        <w:t>,</w:t>
      </w:r>
    </w:p>
    <w:p w14:paraId="1612211A" w14:textId="70F8E4AC"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paātrinās un izvērsīs inovāciju ķimikāliju jomā, izmantojot brīvprātīgus ES ķimikāliju inovācijas centrus (kā noteikts Ķīmiskās rūpniecības rīcības plānā),</w:t>
      </w:r>
    </w:p>
    <w:p w14:paraId="508CA821" w14:textId="41467D01"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sagatavos “Digitalizācijas rīcības plānu ūdensapgādes nozarei” [līdz 2026. gadam], kā paziņots Eiropas Ūdensresursu noturības stratēģijā.</w:t>
      </w:r>
    </w:p>
    <w:p w14:paraId="3F1AD0FB" w14:textId="1E3A8C6D" w:rsidR="00E06994" w:rsidRPr="00874CDA" w:rsidRDefault="00E06994" w:rsidP="00371BF5">
      <w:pPr>
        <w:pStyle w:val="Heading2"/>
        <w:keepLines w:val="0"/>
        <w:numPr>
          <w:ilvl w:val="1"/>
          <w:numId w:val="22"/>
        </w:numPr>
        <w:spacing w:before="240" w:after="240"/>
        <w:jc w:val="both"/>
        <w:rPr>
          <w:rFonts w:ascii="Times New Roman" w:eastAsia="Times New Roman" w:hAnsi="Times New Roman" w:cs="Times New Roman"/>
          <w:b/>
          <w:noProof/>
          <w:color w:val="auto"/>
          <w:kern w:val="0"/>
          <w:sz w:val="24"/>
          <w:szCs w:val="20"/>
          <w14:ligatures w14:val="none"/>
        </w:rPr>
      </w:pPr>
      <w:r>
        <w:rPr>
          <w:rFonts w:ascii="Times New Roman" w:hAnsi="Times New Roman"/>
          <w:b/>
          <w:noProof/>
          <w:color w:val="auto"/>
          <w:sz w:val="24"/>
        </w:rPr>
        <w:t>Starptautiskā sadarbība – pārmaiņu veicināšana visā pasaulē nulles piesārņojuma panākšanai</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02D0029B" w14:textId="4729EDFD" w:rsidR="00E06994" w:rsidRPr="00874CDA" w:rsidRDefault="00EA0374" w:rsidP="00E06994">
      <w:pPr>
        <w:pStyle w:val="Text1"/>
        <w:rPr>
          <w:noProof/>
        </w:rPr>
      </w:pPr>
      <w:r>
        <w:rPr>
          <w:noProof/>
        </w:rPr>
        <w:t xml:space="preserve">Starptautiskie daudzpusējie centieni pāriet uz pasauli bez piesārņojuma ir ļāvuši panākt ievērojamu un stabilu, lai gan dažkārt lēnu, progresu. Vēsturisks lēmums ir </w:t>
      </w:r>
      <w:r>
        <w:rPr>
          <w:b/>
          <w:noProof/>
        </w:rPr>
        <w:t>Starpvaldību zinātnes un politikas grupas attiecībā uz ķimikālijām, atkritumiem un piesārņojuma novēršanu</w:t>
      </w:r>
      <w:r>
        <w:rPr>
          <w:noProof/>
        </w:rPr>
        <w:t xml:space="preserve"> (</w:t>
      </w:r>
      <w:r>
        <w:rPr>
          <w:i/>
          <w:noProof/>
        </w:rPr>
        <w:t>ISPCWP</w:t>
      </w:r>
      <w:r>
        <w:rPr>
          <w:noProof/>
        </w:rPr>
        <w:t xml:space="preserve">) izveide 2025. gada jūlijā. Tas kopā ar nesenajiem nolīgumiem, piemēram, </w:t>
      </w:r>
      <w:r>
        <w:rPr>
          <w:b/>
          <w:noProof/>
        </w:rPr>
        <w:t>Globālo ķimikāliju satvaru un daudzpusējiem vides nolīgumiem</w:t>
      </w:r>
      <w:r>
        <w:rPr>
          <w:noProof/>
        </w:rPr>
        <w:t xml:space="preserve">, vēl augstāk paceļ latiņu saistībā ar piesārņojuma novēršanu, pielīdzinot to centieniem risināt klimata pārmaiņu un biodaudzveidības zuduma problēmu. Turpināsies sarunas par </w:t>
      </w:r>
      <w:r>
        <w:rPr>
          <w:b/>
          <w:noProof/>
        </w:rPr>
        <w:t>globālo līgumu par plastmasu</w:t>
      </w:r>
      <w:r>
        <w:rPr>
          <w:noProof/>
        </w:rPr>
        <w:t xml:space="preserve">, un ES centīsies panākt vērienīgu nolīgumu, kas neaprobežotos tikai ar atkritumu apsaimniekošanu, bet aptver visu plastmasas aprites ciklu. Pašreizējie globālie un/vai </w:t>
      </w:r>
      <w:r>
        <w:rPr>
          <w:i/>
          <w:noProof/>
        </w:rPr>
        <w:t>UNECE</w:t>
      </w:r>
      <w:r>
        <w:rPr>
          <w:noProof/>
        </w:rPr>
        <w:t xml:space="preserve"> instrumenti, piemēram, </w:t>
      </w:r>
      <w:r>
        <w:rPr>
          <w:b/>
          <w:noProof/>
        </w:rPr>
        <w:t>Minamatas, Bāzeles, Roterdamas un Stokholmas konvencijas</w:t>
      </w:r>
      <w:r>
        <w:rPr>
          <w:noProof/>
        </w:rPr>
        <w:t xml:space="preserve">, kā arī </w:t>
      </w:r>
      <w:r>
        <w:rPr>
          <w:b/>
          <w:noProof/>
        </w:rPr>
        <w:t>Gēteborgas protokols</w:t>
      </w:r>
      <w:r>
        <w:rPr>
          <w:noProof/>
        </w:rPr>
        <w:t xml:space="preserve"> tiek pastāvīgi īstenoti, lai radītu vienlīdzīgus konkurences apstākļus arvien lielākam skaitam ķimikāliju un piesārņojuma avotu.</w:t>
      </w:r>
    </w:p>
    <w:p w14:paraId="0100AA7C" w14:textId="2E9BEC30" w:rsidR="00E06994" w:rsidRPr="00874CDA" w:rsidRDefault="00E06994" w:rsidP="00E06994">
      <w:pPr>
        <w:pStyle w:val="Text1"/>
        <w:rPr>
          <w:noProof/>
        </w:rPr>
      </w:pPr>
      <w:r>
        <w:rPr>
          <w:b/>
          <w:noProof/>
        </w:rPr>
        <w:t>Globālajā biodaudzveidības satvarā</w:t>
      </w:r>
      <w:r>
        <w:rPr>
          <w:noProof/>
        </w:rPr>
        <w:t xml:space="preserve"> ir noteikts mērķis samazināt piesārņojumu līdz līmenim, kas nekaitē biodaudzveidībai</w:t>
      </w:r>
      <w:r>
        <w:rPr>
          <w:rStyle w:val="FootnoteReference"/>
          <w:noProof/>
        </w:rPr>
        <w:footnoteReference w:id="110"/>
      </w:r>
      <w:r>
        <w:rPr>
          <w:noProof/>
        </w:rPr>
        <w:t>. ES nacionālie mērķrādītāji, kas atbilstoši Konvencijai par bioloģisko daudzveidību 2024. gadā paziņoti, lai īstenotu globālo biodaudzveidības satvaru, balstās uz Nulles piesārņojuma rīcības plānu. Konvencijas līgumslēdzējas puses 2026. gadā ziņos par progresu, kas panākts šo mērķrādītāju sasniegšanā, un pasākumiem, kas veikti, lai to īstenotu.</w:t>
      </w:r>
    </w:p>
    <w:p w14:paraId="1199170B" w14:textId="2EC0A8C8" w:rsidR="00E06994" w:rsidRPr="00874CDA" w:rsidRDefault="00E06994" w:rsidP="00E06994">
      <w:pPr>
        <w:pStyle w:val="Text1"/>
        <w:rPr>
          <w:noProof/>
        </w:rPr>
      </w:pPr>
      <w:r>
        <w:rPr>
          <w:noProof/>
        </w:rPr>
        <w:t xml:space="preserve">Attiecībā uz gaisa piesārņojumu </w:t>
      </w:r>
      <w:r>
        <w:rPr>
          <w:b/>
          <w:noProof/>
        </w:rPr>
        <w:t>globālais metāna emisiju mazināšanas solījums</w:t>
      </w:r>
      <w:r>
        <w:rPr>
          <w:rStyle w:val="FootnoteReference"/>
          <w:noProof/>
        </w:rPr>
        <w:footnoteReference w:id="111"/>
      </w:r>
      <w:r>
        <w:rPr>
          <w:noProof/>
        </w:rPr>
        <w:t xml:space="preserve"> apvieno 159 iesaistītās valstis un Eiropas Komisiju, kas kopā tiecas sasniegt mērķi līdz 2030. gadam panākt, ka metāna emisijas ir par 30 % mazākas nekā 2020. gadā.</w:t>
      </w:r>
    </w:p>
    <w:p w14:paraId="1ACE245F" w14:textId="77777777" w:rsidR="00E64351" w:rsidRPr="00E64351" w:rsidRDefault="4C30D291" w:rsidP="44453D6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Tīrāka planēta – nulles piesārņojums ar sadarbības palīdzību</w:t>
      </w:r>
    </w:p>
    <w:p w14:paraId="049094A8" w14:textId="3017D51A" w:rsidR="00E561CA" w:rsidRPr="00E64351" w:rsidRDefault="00E6347D" w:rsidP="44453D6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hyperlink r:id="rId122">
        <w:r w:rsidR="4C30D291">
          <w:rPr>
            <w:rStyle w:val="Hyperlink"/>
            <w:b/>
            <w:i/>
            <w:noProof/>
            <w:sz w:val="22"/>
          </w:rPr>
          <w:t>Minamatas konvencija</w:t>
        </w:r>
      </w:hyperlink>
      <w:r w:rsidR="4C30D291">
        <w:rPr>
          <w:i/>
          <w:noProof/>
          <w:sz w:val="22"/>
        </w:rPr>
        <w:t xml:space="preserve"> ir bijusi ļoti veiksmīga dzīvsudraba piesārņojuma novēršanā visā pasaulē. Pušu konference 2023. gadā vienojās aizliegt piecas dzīvsudrabu saturošu spuldžu kategorijas, kā arī akumulatorus, slēdžus, relejus un kosmētiku. 2025. gadā bija iespējams vienoties par vispārēju aizliegumu attiecībā uz dzīvsudrabu zobārstniecības amalgamā. Šie globālie lēmumi vēl vairāk sekmē sabiedrības veselības un vides aizsardzību no dzīvsudraba kaitīgās ietekmes.</w:t>
      </w:r>
    </w:p>
    <w:p w14:paraId="7C2A5852" w14:textId="1D57151F" w:rsidR="00E06994" w:rsidRPr="00874CDA" w:rsidRDefault="00A05D05" w:rsidP="00A758E6">
      <w:pPr>
        <w:pStyle w:val="Text1"/>
        <w:spacing w:before="240"/>
        <w:rPr>
          <w:noProof/>
        </w:rPr>
      </w:pPr>
      <w:r>
        <w:rPr>
          <w:b/>
          <w:noProof/>
        </w:rPr>
        <w:t>Komisija turpinās sadarboties ar dalībvalstīm, lai šie daudzpusējie nolīgumi tiktu sekmīgi īstenoti.</w:t>
      </w:r>
      <w:r>
        <w:rPr>
          <w:noProof/>
        </w:rPr>
        <w:t xml:space="preserve"> Konkrētāk, lai izveidotu </w:t>
      </w:r>
      <w:r>
        <w:rPr>
          <w:i/>
          <w:noProof/>
        </w:rPr>
        <w:t>ISPCWP</w:t>
      </w:r>
      <w:r>
        <w:rPr>
          <w:noProof/>
        </w:rPr>
        <w:t>, būs svarīgi to padarīt darbotiesspējīgu un vienoties par darba programmu, kas atbilst tās vērienīgajiem mērķiem un papildina Klimata pārmaiņu un biodaudzveidības un ekosistēmu pakalpojumu starpvaldību paneļu darbu. Globāla piesārņojuma perspektīva būtu ideāls sākumpunkts tam, lai noteiktu pasaules mēroga rīcības mērogu un prioritārās jomas. ES arī turpinās cieši sadarboties ar kaimiņvalstīm, ar kurām tai ir kopīgs jūras reģions</w:t>
      </w:r>
      <w:r>
        <w:rPr>
          <w:rStyle w:val="FootnoteReference"/>
          <w:noProof/>
        </w:rPr>
        <w:footnoteReference w:id="112"/>
      </w:r>
      <w:r>
        <w:rPr>
          <w:noProof/>
        </w:rPr>
        <w:t xml:space="preserve"> vai pārrobežu upes. Šajā ziņā ir ļoti svarīgi uzsvērt ES atbalstu</w:t>
      </w:r>
      <w:r>
        <w:rPr>
          <w:noProof/>
          <w:vertAlign w:val="superscript"/>
        </w:rPr>
        <w:footnoteReference w:id="113"/>
      </w:r>
      <w:r>
        <w:rPr>
          <w:noProof/>
        </w:rPr>
        <w:t xml:space="preserve"> </w:t>
      </w:r>
      <w:bookmarkStart w:id="64" w:name="_Hlk219999249"/>
      <w:r>
        <w:rPr>
          <w:b/>
          <w:noProof/>
        </w:rPr>
        <w:t>Rietumbalkāniem un citām paplašināšanās procesā iesaistītajām valstīm</w:t>
      </w:r>
      <w:r>
        <w:rPr>
          <w:noProof/>
        </w:rPr>
        <w:t>, jo daudzās no šīm tautsaimniecībām ir ļoti piesārņojošas nozares un nepietiekami efektīva ūdens un atkritumu apsaimniekošanas infrastruktūra.</w:t>
      </w:r>
      <w:bookmarkEnd w:id="64"/>
      <w:r>
        <w:rPr>
          <w:noProof/>
        </w:rPr>
        <w:t xml:space="preserve"> Šīs problēmas rada arī pārrobežu piesārņojumu, kas tieši ietekmē kaimiņos esošo ES dalībvalstu spēju sasniegt savus mērķrādītājus</w:t>
      </w:r>
      <w:r>
        <w:rPr>
          <w:rStyle w:val="FootnoteReference"/>
          <w:noProof/>
        </w:rPr>
        <w:footnoteReference w:id="114"/>
      </w:r>
      <w:r>
        <w:rPr>
          <w:noProof/>
        </w:rPr>
        <w:t>.</w:t>
      </w:r>
    </w:p>
    <w:p w14:paraId="7F8B419D" w14:textId="068E297C" w:rsidR="00E06994" w:rsidRPr="00874CDA" w:rsidRDefault="0068639F" w:rsidP="00E06994">
      <w:pPr>
        <w:pStyle w:val="Text1"/>
        <w:rPr>
          <w:noProof/>
        </w:rPr>
      </w:pPr>
      <w:r>
        <w:rPr>
          <w:noProof/>
        </w:rPr>
        <w:t xml:space="preserve">Komisija divpusējās sarunās ar partneriem visā pasaulē arī turpinās strādāt pie piesārņojuma novēršanas un kontroles. Šajā ziņā </w:t>
      </w:r>
      <w:r>
        <w:rPr>
          <w:b/>
          <w:noProof/>
        </w:rPr>
        <w:t>tīras tirdzniecības un investīciju partnerības</w:t>
      </w:r>
      <w:r>
        <w:rPr>
          <w:noProof/>
        </w:rPr>
        <w:t xml:space="preserve"> sniedz iespēju radīt sinerģiju starp klimata un piesārņojuma rīcībpolitikām.</w:t>
      </w:r>
    </w:p>
    <w:p w14:paraId="1C611FBF" w14:textId="7777777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Komisija: </w:t>
      </w:r>
    </w:p>
    <w:p w14:paraId="550B91AA" w14:textId="16DA36D1"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turpinās darbu pie to daudzpusējo vides nolīgumu (</w:t>
      </w:r>
      <w:r>
        <w:rPr>
          <w:b/>
          <w:i/>
          <w:noProof/>
        </w:rPr>
        <w:t>MEA</w:t>
      </w:r>
      <w:r>
        <w:rPr>
          <w:b/>
          <w:noProof/>
        </w:rPr>
        <w:t>) īstenošanas, kurus ES ir parakstījusi, un</w:t>
      </w:r>
    </w:p>
    <w:p w14:paraId="37E01833" w14:textId="4C75AF51"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uzņemsies vadošo lomu jaunās Starpvaldību zinātnes un politikas grupas attiecībā uz ķimikālijām, atkritumiem un piesārņojuma novēršanu darbības īstenošanā.</w:t>
      </w:r>
    </w:p>
    <w:p w14:paraId="2B0D3685" w14:textId="77777777" w:rsidR="00E06994" w:rsidRPr="00874CDA" w:rsidRDefault="00E06994" w:rsidP="00371BF5">
      <w:pPr>
        <w:pStyle w:val="Heading2"/>
        <w:keepLines w:val="0"/>
        <w:numPr>
          <w:ilvl w:val="0"/>
          <w:numId w:val="22"/>
        </w:numPr>
        <w:spacing w:before="240" w:after="240"/>
        <w:jc w:val="both"/>
        <w:rPr>
          <w:rFonts w:ascii="Times New Roman" w:eastAsia="Times New Roman" w:hAnsi="Times New Roman" w:cs="Times New Roman"/>
          <w:b/>
          <w:noProof/>
          <w:color w:val="auto"/>
          <w:kern w:val="0"/>
          <w:sz w:val="24"/>
          <w:szCs w:val="20"/>
          <w14:ligatures w14:val="none"/>
        </w:rPr>
      </w:pPr>
      <w:bookmarkStart w:id="65" w:name="_Toc63329301"/>
      <w:bookmarkStart w:id="66" w:name="_Toc63355576"/>
      <w:bookmarkStart w:id="67" w:name="_Toc64546939"/>
      <w:bookmarkStart w:id="68" w:name="_Toc64627756"/>
      <w:bookmarkStart w:id="69" w:name="_Toc64629568"/>
      <w:bookmarkStart w:id="70" w:name="_Toc64629704"/>
      <w:bookmarkStart w:id="71" w:name="_Toc64632004"/>
      <w:bookmarkStart w:id="72" w:name="_Toc64635274"/>
      <w:bookmarkStart w:id="73" w:name="_Toc64638197"/>
      <w:bookmarkStart w:id="74" w:name="_Toc64638319"/>
      <w:bookmarkStart w:id="75" w:name="_Toc64644064"/>
      <w:bookmarkStart w:id="76" w:name="_Toc64648451"/>
      <w:bookmarkStart w:id="77" w:name="_Toc65007744"/>
      <w:bookmarkStart w:id="78" w:name="_Toc65009159"/>
      <w:bookmarkStart w:id="79" w:name="_Toc65009710"/>
      <w:bookmarkStart w:id="80" w:name="_Toc65010819"/>
      <w:bookmarkStart w:id="81" w:name="_Toc65013159"/>
      <w:bookmarkStart w:id="82" w:name="_Toc65050122"/>
      <w:bookmarkStart w:id="83" w:name="_Toc65056279"/>
      <w:bookmarkStart w:id="84" w:name="_Toc65056483"/>
      <w:bookmarkStart w:id="85" w:name="_Toc65056568"/>
      <w:bookmarkStart w:id="86" w:name="_Toc66088933"/>
      <w:bookmarkStart w:id="87" w:name="_Toc66214566"/>
      <w:bookmarkStart w:id="88" w:name="_Toc66216752"/>
      <w:r>
        <w:rPr>
          <w:rFonts w:ascii="Times New Roman" w:hAnsi="Times New Roman"/>
          <w:b/>
          <w:noProof/>
          <w:color w:val="auto"/>
          <w:sz w:val="24"/>
        </w:rPr>
        <w:t>Secinājumi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Fonts w:ascii="Times New Roman" w:hAnsi="Times New Roman"/>
          <w:b/>
          <w:noProof/>
          <w:color w:val="auto"/>
          <w:sz w:val="24"/>
        </w:rPr>
        <w:t xml:space="preserve"> un turpmākās darbības</w:t>
      </w:r>
    </w:p>
    <w:p w14:paraId="34F14590" w14:textId="71C16327" w:rsidR="00E06994" w:rsidRPr="00874CDA" w:rsidRDefault="00E06994" w:rsidP="00E06994">
      <w:pPr>
        <w:pStyle w:val="Text1"/>
        <w:rPr>
          <w:noProof/>
        </w:rPr>
      </w:pPr>
      <w:r>
        <w:rPr>
          <w:noProof/>
        </w:rPr>
        <w:t>2021. gada maijā ES sāka novatorisku ceļu uz nulles piesārņojumu, kas veicina Eiropas ilgtspējīgu konkurētspēju un noturību ilgtermiņā. Šajā vidusposma pārskatā ir uzsvērts progress, kas panākts virzībā uz 2030. gadam noteikto mērķrādītāju sasniegšanu, ievērojami samazinot gaisa piesārņojumu, pesticīdu izmantošanu un plastmasas piesārņojumu jūrā. Tomēr joprojām pastāv problēmas, jo īpaši tādās sfērās kā atkritumu apsaimniekošana un mikroplastmasas, trokšņa un barības vielu radītais piesārņojums.</w:t>
      </w:r>
    </w:p>
    <w:p w14:paraId="403C9939" w14:textId="59D38387" w:rsidR="00FF5E98" w:rsidRDefault="00E06994" w:rsidP="00E06994">
      <w:pPr>
        <w:pStyle w:val="Text1"/>
        <w:rPr>
          <w:rFonts w:eastAsia="Aptos"/>
          <w:noProof/>
        </w:rPr>
      </w:pPr>
      <w:r>
        <w:rPr>
          <w:b/>
          <w:noProof/>
        </w:rPr>
        <w:t>Pāreja uz nulles piesārņojuma ekonomiku ir gan iespējama ilgtermiņā, gan ekonomiski izdevīga</w:t>
      </w:r>
      <w:r>
        <w:rPr>
          <w:noProof/>
        </w:rPr>
        <w:t>, ja to virza iekļaujoša un uz nākotni vērsta politika un atbalsta ar pietiekamu finansējumu no dažādiem avotiem.</w:t>
      </w:r>
    </w:p>
    <w:p w14:paraId="67C33F59" w14:textId="2269A85D" w:rsidR="00FF5E98" w:rsidRDefault="00E06994" w:rsidP="00E06994">
      <w:pPr>
        <w:pStyle w:val="Text1"/>
        <w:rPr>
          <w:noProof/>
        </w:rPr>
      </w:pPr>
      <w:r>
        <w:rPr>
          <w:noProof/>
        </w:rPr>
        <w:t xml:space="preserve">2024.–2029. gada politiskās programmas ietvaros </w:t>
      </w:r>
      <w:r>
        <w:rPr>
          <w:b/>
          <w:noProof/>
        </w:rPr>
        <w:t>Komisija palīdzēs īstenot rīcībpolitikas, kuras ir zaļās un digitālās pārkārtošanās pamatā</w:t>
      </w:r>
      <w:r>
        <w:rPr>
          <w:noProof/>
        </w:rPr>
        <w:t xml:space="preserve"> un kurās dekarbonizācija, pielāgošanās klimata pārmaiņām, apritīgums, biodaudzveidības aizsardzība, ūdensresursu noturība un nulles piesārņojums iet roku rokā ar pieeju “Viena veselība”, ko atbalsta konkurētspējīga, noturīga un iekļaujoša aprites ekonomika.</w:t>
      </w:r>
    </w:p>
    <w:p w14:paraId="3E049AA7" w14:textId="4A6CB4DA" w:rsidR="00FF5E98" w:rsidRDefault="00E06994" w:rsidP="00E06994">
      <w:pPr>
        <w:pStyle w:val="Text1"/>
        <w:rPr>
          <w:noProof/>
        </w:rPr>
      </w:pPr>
      <w:r>
        <w:rPr>
          <w:noProof/>
        </w:rPr>
        <w:t xml:space="preserve">Turpmāk Komisija pievērsīsies saskaņoto tiesību aktu un rīcībpolitiku, tostarp </w:t>
      </w:r>
      <w:r>
        <w:rPr>
          <w:b/>
          <w:noProof/>
        </w:rPr>
        <w:t>Ūdensresursu noturības stratēģijas</w:t>
      </w:r>
      <w:r>
        <w:rPr>
          <w:noProof/>
        </w:rPr>
        <w:t xml:space="preserve">, </w:t>
      </w:r>
      <w:r>
        <w:rPr>
          <w:b/>
          <w:noProof/>
        </w:rPr>
        <w:t>Okeāna pakta</w:t>
      </w:r>
      <w:r>
        <w:rPr>
          <w:noProof/>
        </w:rPr>
        <w:t xml:space="preserve"> un </w:t>
      </w:r>
      <w:r>
        <w:rPr>
          <w:b/>
          <w:noProof/>
        </w:rPr>
        <w:t>Ķīmiskās rūpniecības rīcības plāna</w:t>
      </w:r>
      <w:r>
        <w:rPr>
          <w:noProof/>
        </w:rPr>
        <w:t>, īstenošanai.</w:t>
      </w:r>
    </w:p>
    <w:p w14:paraId="2D6A2033" w14:textId="4762EA75" w:rsidR="00567D44" w:rsidRDefault="00E06994" w:rsidP="00E06994">
      <w:pPr>
        <w:pStyle w:val="Text1"/>
        <w:rPr>
          <w:noProof/>
        </w:rPr>
      </w:pPr>
      <w:r>
        <w:rPr>
          <w:noProof/>
        </w:rPr>
        <w:t xml:space="preserve">Jaunais </w:t>
      </w:r>
      <w:r>
        <w:rPr>
          <w:b/>
          <w:noProof/>
        </w:rPr>
        <w:t>ES sirds un asinsvadu veselības plāns</w:t>
      </w:r>
      <w:r>
        <w:rPr>
          <w:noProof/>
        </w:rPr>
        <w:t xml:space="preserve"> veicina profilaktisku rīcību saskaņā ar pieeju “Viena veselība”, tādējādi sekmējot labākus veselības rezultātus cilvēkiem un ekosistēmām. ES </w:t>
      </w:r>
      <w:r>
        <w:rPr>
          <w:b/>
          <w:noProof/>
        </w:rPr>
        <w:t>Bioekonomikas stratēģija</w:t>
      </w:r>
      <w:r>
        <w:rPr>
          <w:noProof/>
        </w:rPr>
        <w:t xml:space="preserve"> un </w:t>
      </w:r>
      <w:r>
        <w:rPr>
          <w:b/>
          <w:noProof/>
        </w:rPr>
        <w:t>plānotais Aprites ekonomikas akts</w:t>
      </w:r>
      <w:r>
        <w:rPr>
          <w:noProof/>
        </w:rPr>
        <w:t xml:space="preserve"> ir daļa no plašākiem centieniem labāk integrēt apritīguma principus publiskajās rīcībpolitikās nolūkā nodrošināt izmaksu ziņā konkurētspējīgu, resursefektīvu un taisnīgu pārkārtošanos.</w:t>
      </w:r>
    </w:p>
    <w:p w14:paraId="27067676" w14:textId="7ECD84BC" w:rsidR="00E06994" w:rsidRPr="00874CDA" w:rsidRDefault="00E06994" w:rsidP="00E06994">
      <w:pPr>
        <w:pStyle w:val="Text1"/>
        <w:rPr>
          <w:noProof/>
        </w:rPr>
      </w:pPr>
      <w:r>
        <w:rPr>
          <w:noProof/>
        </w:rPr>
        <w:t xml:space="preserve">Attiecībā uz </w:t>
      </w:r>
      <w:r>
        <w:rPr>
          <w:b/>
          <w:noProof/>
        </w:rPr>
        <w:t>tīras rūpniecības kursa</w:t>
      </w:r>
      <w:r>
        <w:rPr>
          <w:noProof/>
        </w:rPr>
        <w:t xml:space="preserve"> un </w:t>
      </w:r>
      <w:r>
        <w:rPr>
          <w:b/>
          <w:noProof/>
        </w:rPr>
        <w:t>Konkurētspējas kompasa</w:t>
      </w:r>
      <w:r>
        <w:rPr>
          <w:noProof/>
        </w:rPr>
        <w:t xml:space="preserve"> īstenošanu Komisija klimata mērķus cieši sasaistīs ar papildu ieguvumiem, ko sniedz piesārņojuma samazināšana, netoksiskas vides nodrošināšana, ilgtspējīgas ekonomikas izaugsmes veicināšana un otrreizējo izejvielu un atkritumu vienotā tirgus izveide.</w:t>
      </w:r>
    </w:p>
    <w:p w14:paraId="3DFB5BD8" w14:textId="225BF427" w:rsidR="00E06994" w:rsidRPr="00874CDA" w:rsidRDefault="00E06994" w:rsidP="00E06994">
      <w:pPr>
        <w:pStyle w:val="Text1"/>
        <w:rPr>
          <w:noProof/>
        </w:rPr>
      </w:pPr>
      <w:r>
        <w:rPr>
          <w:b/>
          <w:noProof/>
        </w:rPr>
        <w:t>Komisija izvērtēs progresu, regulāri atjauninot nulles piesārņojuma monitoringu un perspektīvas</w:t>
      </w:r>
      <w:r>
        <w:rPr>
          <w:noProof/>
        </w:rPr>
        <w:t xml:space="preserve"> (pašlaik plānots 2026. un 2028. gadā), un analizēs iespējamās trajektorijas pārejai uz tīru enerģiju līdz 2040. gadam, papildinot 2040. gadam noteiktos klimata mērķrādītājus ar vērienīgiem piesārņojuma mērķrādītājiem, kas ir reāli sasniedzami, </w:t>
      </w:r>
      <w:r>
        <w:rPr>
          <w:noProof/>
          <w:u w:val="single"/>
        </w:rPr>
        <w:t>stingri atbalstot savu tiesību aktu īstenošanas programmu</w:t>
      </w:r>
      <w:r>
        <w:rPr>
          <w:noProof/>
        </w:rPr>
        <w:t>.</w:t>
      </w:r>
    </w:p>
    <w:p w14:paraId="56B325AF" w14:textId="38C96D7C" w:rsidR="00625723" w:rsidRPr="00E45839" w:rsidRDefault="00E06994" w:rsidP="00E45839">
      <w:pPr>
        <w:pStyle w:val="Text1"/>
        <w:rPr>
          <w:noProof/>
        </w:rPr>
      </w:pPr>
      <w:r>
        <w:rPr>
          <w:b/>
          <w:noProof/>
        </w:rPr>
        <w:t>Virzība uz nulles piesārņojumu ir būtisks solis ceļā uz veselīgāku, ilgtspējīgāku un noturīgāku nākotni.</w:t>
      </w:r>
      <w:r>
        <w:rPr>
          <w:noProof/>
        </w:rPr>
        <w:t xml:space="preserve"> Par prioritāti uzskatot tīru un apritīgu konkurētspēju un veicinot videi draudzīgu praksi, ir iespējams nodrošināt noturīgu un pārtikušu Eiropu nākamajām paaudzēm.</w:t>
      </w:r>
    </w:p>
    <w:sectPr w:rsidR="00625723" w:rsidRPr="00E45839" w:rsidSect="00275D3E">
      <w:headerReference w:type="even" r:id="rId123"/>
      <w:headerReference w:type="default" r:id="rId124"/>
      <w:footerReference w:type="even" r:id="rId125"/>
      <w:footerReference w:type="default" r:id="rId126"/>
      <w:headerReference w:type="first" r:id="rId127"/>
      <w:footerReference w:type="first" r:id="rId128"/>
      <w:pgSz w:w="11906" w:h="16838"/>
      <w:pgMar w:top="1020" w:right="1701" w:bottom="1020" w:left="1587" w:header="601" w:footer="1077" w:gutter="0"/>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4E6BF7E" w16cex:dateUtc="2026-01-29T14:09:00Z"/>
  <w16cex:commentExtensible w16cex:durableId="4C3B28E5" w16cex:dateUtc="2026-01-29T14: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683C99" w16cid:durableId="54E6BF7E"/>
  <w16cid:commentId w16cid:paraId="1A746360" w16cid:durableId="4C3B28E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2FC0CC" w14:textId="77777777" w:rsidR="00276805" w:rsidRPr="00874CDA" w:rsidRDefault="00276805" w:rsidP="00275D3E">
      <w:r>
        <w:separator/>
      </w:r>
    </w:p>
  </w:endnote>
  <w:endnote w:type="continuationSeparator" w:id="0">
    <w:p w14:paraId="1A3BE240" w14:textId="77777777" w:rsidR="00276805" w:rsidRPr="00874CDA" w:rsidRDefault="00276805" w:rsidP="00275D3E">
      <w:r>
        <w:continuationSeparator/>
      </w:r>
    </w:p>
  </w:endnote>
  <w:endnote w:type="continuationNotice" w:id="1">
    <w:p w14:paraId="30D0D194" w14:textId="77777777" w:rsidR="00276805" w:rsidRDefault="002768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Times New Roman Bold">
    <w:panose1 w:val="020208030705050203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EC Square Sans Pro">
    <w:altName w:val="Calibri"/>
    <w:charset w:val="00"/>
    <w:family w:val="swiss"/>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ptos">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A9943" w14:textId="6D47F7D5" w:rsidR="00E6347D" w:rsidRPr="00E6347D" w:rsidRDefault="00E6347D" w:rsidP="00E6347D">
    <w:pPr>
      <w:pStyle w:val="FooterCoverPage"/>
      <w:rPr>
        <w:rFonts w:ascii="Arial" w:hAnsi="Arial" w:cs="Arial"/>
        <w:b/>
        <w:sz w:val="48"/>
      </w:rPr>
    </w:pPr>
    <w:r w:rsidRPr="00E6347D">
      <w:rPr>
        <w:rFonts w:ascii="Arial" w:hAnsi="Arial" w:cs="Arial"/>
        <w:b/>
        <w:sz w:val="48"/>
      </w:rPr>
      <w:t>LV</w:t>
    </w:r>
    <w:r w:rsidRPr="00E6347D">
      <w:rPr>
        <w:rFonts w:ascii="Arial" w:hAnsi="Arial" w:cs="Arial"/>
        <w:b/>
        <w:sz w:val="48"/>
      </w:rPr>
      <w:tab/>
    </w:r>
    <w:r w:rsidRPr="00E6347D">
      <w:rPr>
        <w:rFonts w:ascii="Arial" w:hAnsi="Arial" w:cs="Arial"/>
        <w:b/>
        <w:sz w:val="48"/>
      </w:rPr>
      <w:tab/>
    </w:r>
    <w:r w:rsidRPr="00E6347D">
      <w:tab/>
    </w:r>
    <w:r w:rsidRPr="00E6347D">
      <w:rPr>
        <w:rFonts w:ascii="Arial" w:hAnsi="Arial" w:cs="Arial"/>
        <w:b/>
        <w:sz w:val="48"/>
      </w:rPr>
      <w:t>LV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DCA89" w14:textId="4ABEE734" w:rsidR="00E6347D" w:rsidRPr="00E6347D" w:rsidRDefault="00E6347D" w:rsidP="00E6347D">
    <w:pPr>
      <w:pStyle w:val="FooterCoverPage"/>
      <w:rPr>
        <w:rFonts w:ascii="Arial" w:hAnsi="Arial" w:cs="Arial"/>
        <w:b/>
        <w:sz w:val="48"/>
      </w:rPr>
    </w:pPr>
    <w:r w:rsidRPr="00E6347D">
      <w:rPr>
        <w:rFonts w:ascii="Arial" w:hAnsi="Arial" w:cs="Arial"/>
        <w:b/>
        <w:sz w:val="48"/>
      </w:rPr>
      <w:t>LV</w:t>
    </w:r>
    <w:r w:rsidRPr="00E6347D">
      <w:rPr>
        <w:rFonts w:ascii="Arial" w:hAnsi="Arial" w:cs="Arial"/>
        <w:b/>
        <w:sz w:val="48"/>
      </w:rPr>
      <w:tab/>
    </w:r>
    <w:r w:rsidRPr="00E6347D">
      <w:rPr>
        <w:rFonts w:ascii="Arial" w:hAnsi="Arial" w:cs="Arial"/>
        <w:b/>
        <w:sz w:val="48"/>
      </w:rPr>
      <w:tab/>
    </w:r>
    <w:r w:rsidRPr="00E6347D">
      <w:tab/>
    </w:r>
    <w:r w:rsidRPr="00E6347D">
      <w:rPr>
        <w:rFonts w:ascii="Arial" w:hAnsi="Arial" w:cs="Arial"/>
        <w:b/>
        <w:sz w:val="48"/>
      </w:rPr>
      <w:t>LV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80EA5" w14:textId="77777777" w:rsidR="00E6347D" w:rsidRPr="00E6347D" w:rsidRDefault="00E6347D" w:rsidP="00E6347D">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E7486" w14:textId="77777777" w:rsidR="00F029CA" w:rsidRPr="00874CDA" w:rsidRDefault="00F029CA">
    <w:pPr>
      <w:pStyle w:val="FooterLine"/>
      <w:jc w:val="center"/>
    </w:pPr>
    <w:r>
      <w:rPr>
        <w:color w:val="2B579A"/>
        <w:shd w:val="clear" w:color="auto" w:fill="E6E6E6"/>
      </w:rPr>
      <w:fldChar w:fldCharType="begin"/>
    </w:r>
    <w:r>
      <w:instrText>PAGE   \* MERGEFORMAT</w:instrText>
    </w:r>
    <w:r>
      <w:rPr>
        <w:color w:val="2B579A"/>
        <w:shd w:val="clear" w:color="auto" w:fill="E6E6E6"/>
      </w:rPr>
      <w:fldChar w:fldCharType="separate"/>
    </w:r>
    <w:r>
      <w:t>1</w:t>
    </w:r>
    <w:r>
      <w:rPr>
        <w:color w:val="2B579A"/>
        <w:shd w:val="clear" w:color="auto" w:fill="E6E6E6"/>
      </w:rPr>
      <w:fldChar w:fldCharType="end"/>
    </w:r>
  </w:p>
  <w:p w14:paraId="0999045C" w14:textId="77777777" w:rsidR="00F029CA" w:rsidRPr="00874CDA" w:rsidRDefault="00F029CA"/>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F1AF6" w14:textId="328C2996" w:rsidR="00F029CA" w:rsidRPr="00874CDA" w:rsidRDefault="00F029CA">
    <w:pPr>
      <w:pStyle w:val="FooterLine"/>
      <w:jc w:val="center"/>
    </w:pPr>
    <w:r>
      <w:rPr>
        <w:color w:val="2B579A"/>
        <w:shd w:val="clear" w:color="auto" w:fill="E6E6E6"/>
      </w:rPr>
      <w:fldChar w:fldCharType="begin"/>
    </w:r>
    <w:r>
      <w:instrText>PAGE   \* MERGEFORMAT</w:instrText>
    </w:r>
    <w:r>
      <w:rPr>
        <w:color w:val="2B579A"/>
        <w:shd w:val="clear" w:color="auto" w:fill="E6E6E6"/>
      </w:rPr>
      <w:fldChar w:fldCharType="separate"/>
    </w:r>
    <w:r w:rsidR="00E6347D">
      <w:rPr>
        <w:noProof/>
      </w:rPr>
      <w:t>2</w:t>
    </w:r>
    <w:r>
      <w:rPr>
        <w:color w:val="2B579A"/>
        <w:shd w:val="clear" w:color="auto" w:fill="E6E6E6"/>
      </w:rPr>
      <w:fldChar w:fldCharType="end"/>
    </w:r>
  </w:p>
  <w:p w14:paraId="2CEA49E0" w14:textId="77777777" w:rsidR="00F029CA" w:rsidRPr="00874CDA" w:rsidRDefault="00F029CA"/>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312DA" w14:textId="58670E12" w:rsidR="00F029CA" w:rsidRPr="00874CDA" w:rsidRDefault="00F029CA">
    <w:pPr>
      <w:pStyle w:val="Footer"/>
      <w:jc w:val="center"/>
    </w:pPr>
    <w:r>
      <w:fldChar w:fldCharType="begin"/>
    </w:r>
    <w:r>
      <w:instrText xml:space="preserve"> PAGE   \* MERGEFORMAT </w:instrText>
    </w:r>
    <w:r>
      <w:fldChar w:fldCharType="separate"/>
    </w:r>
    <w:r w:rsidR="00E6347D">
      <w:rPr>
        <w:noProof/>
      </w:rPr>
      <w:t>1</w:t>
    </w:r>
    <w:r>
      <w:fldChar w:fldCharType="end"/>
    </w:r>
  </w:p>
  <w:p w14:paraId="2D96FA48" w14:textId="77777777" w:rsidR="00F029CA" w:rsidRPr="00874CDA" w:rsidRDefault="00F02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B1E4E" w14:textId="77777777" w:rsidR="00276805" w:rsidRPr="00874CDA" w:rsidRDefault="00276805" w:rsidP="00275D3E">
      <w:r>
        <w:separator/>
      </w:r>
    </w:p>
  </w:footnote>
  <w:footnote w:type="continuationSeparator" w:id="0">
    <w:p w14:paraId="0A242F6A" w14:textId="77777777" w:rsidR="00276805" w:rsidRPr="00874CDA" w:rsidRDefault="00276805" w:rsidP="00275D3E">
      <w:r>
        <w:continuationSeparator/>
      </w:r>
    </w:p>
  </w:footnote>
  <w:footnote w:type="continuationNotice" w:id="1">
    <w:p w14:paraId="6F7E4C59" w14:textId="77777777" w:rsidR="00276805" w:rsidRDefault="00276805"/>
  </w:footnote>
  <w:footnote w:id="2">
    <w:p w14:paraId="6EC32DF0" w14:textId="53373F81" w:rsidR="00E06994" w:rsidRPr="00874CDA" w:rsidRDefault="00E06994" w:rsidP="00E06994">
      <w:pPr>
        <w:pStyle w:val="FootnoteText"/>
        <w:spacing w:after="0"/>
      </w:pPr>
      <w:r>
        <w:rPr>
          <w:rStyle w:val="FootnoteReference"/>
        </w:rPr>
        <w:footnoteRef/>
      </w:r>
      <w:r>
        <w:tab/>
        <w:t xml:space="preserve">EVA (2025), </w:t>
      </w:r>
      <w:hyperlink r:id="rId1" w:history="1">
        <w:r>
          <w:rPr>
            <w:rStyle w:val="Hyperlink"/>
          </w:rPr>
          <w:t>Eiropas vide un klimats</w:t>
        </w:r>
      </w:hyperlink>
      <w:r>
        <w:t>.</w:t>
      </w:r>
    </w:p>
  </w:footnote>
  <w:footnote w:id="3">
    <w:p w14:paraId="50C64C91" w14:textId="3BD0085B" w:rsidR="00E06994" w:rsidRPr="00874CDA" w:rsidRDefault="00E06994" w:rsidP="00E06994">
      <w:pPr>
        <w:pStyle w:val="FootnoteText"/>
        <w:spacing w:after="0"/>
      </w:pPr>
      <w:r>
        <w:rPr>
          <w:rStyle w:val="FootnoteReference"/>
        </w:rPr>
        <w:footnoteRef/>
      </w:r>
      <w:r>
        <w:tab/>
        <w:t xml:space="preserve">ESAO (2025), </w:t>
      </w:r>
      <w:hyperlink r:id="rId2" w:history="1">
        <w:r>
          <w:rPr>
            <w:rStyle w:val="Hyperlink"/>
            <w:i/>
          </w:rPr>
          <w:t>Want stronger growth in Europe?</w:t>
        </w:r>
      </w:hyperlink>
      <w:hyperlink r:id="rId3" w:history="1">
        <w:r>
          <w:rPr>
            <w:rStyle w:val="Hyperlink"/>
          </w:rPr>
          <w:t xml:space="preserve"> </w:t>
        </w:r>
        <w:r>
          <w:rPr>
            <w:rStyle w:val="Hyperlink"/>
            <w:i/>
          </w:rPr>
          <w:t>Start with the air we breathe</w:t>
        </w:r>
      </w:hyperlink>
      <w:r>
        <w:t>, “</w:t>
      </w:r>
      <w:hyperlink r:id="rId4" w:history="1">
        <w:r>
          <w:rPr>
            <w:rStyle w:val="Hyperlink"/>
            <w:i/>
          </w:rPr>
          <w:t>The impact of air pollution on labour productivity:</w:t>
        </w:r>
      </w:hyperlink>
      <w:hyperlink r:id="rId5" w:history="1">
        <w:r>
          <w:rPr>
            <w:rStyle w:val="Hyperlink"/>
          </w:rPr>
          <w:t xml:space="preserve"> </w:t>
        </w:r>
        <w:r>
          <w:rPr>
            <w:rStyle w:val="Hyperlink"/>
            <w:i/>
          </w:rPr>
          <w:t>Large-scale micro evidence from Europe</w:t>
        </w:r>
      </w:hyperlink>
      <w:r>
        <w:t>”.</w:t>
      </w:r>
    </w:p>
  </w:footnote>
  <w:footnote w:id="4">
    <w:p w14:paraId="62744498" w14:textId="36DD6366" w:rsidR="00E06994" w:rsidRPr="00874CDA" w:rsidRDefault="00E06994" w:rsidP="00E06994">
      <w:pPr>
        <w:pStyle w:val="FootnoteText"/>
        <w:spacing w:after="0"/>
      </w:pPr>
      <w:r>
        <w:rPr>
          <w:rStyle w:val="FootnoteReference"/>
        </w:rPr>
        <w:footnoteRef/>
      </w:r>
      <w:r>
        <w:tab/>
        <w:t>Pasaules ekonomikas forums. “</w:t>
      </w:r>
      <w:hyperlink r:id="rId6" w:history="1">
        <w:r>
          <w:rPr>
            <w:rStyle w:val="Hyperlink"/>
            <w:i/>
          </w:rPr>
          <w:t>Global Risks 2025:</w:t>
        </w:r>
      </w:hyperlink>
      <w:hyperlink r:id="rId7" w:history="1">
        <w:r>
          <w:rPr>
            <w:rStyle w:val="Hyperlink"/>
          </w:rPr>
          <w:t xml:space="preserve"> </w:t>
        </w:r>
        <w:r>
          <w:rPr>
            <w:rStyle w:val="Hyperlink"/>
            <w:i/>
          </w:rPr>
          <w:t>The point of no return</w:t>
        </w:r>
      </w:hyperlink>
      <w:r>
        <w:t xml:space="preserve">”. </w:t>
      </w:r>
    </w:p>
  </w:footnote>
  <w:footnote w:id="5">
    <w:p w14:paraId="217866F8" w14:textId="77777777" w:rsidR="00E06994" w:rsidRPr="00874CDA" w:rsidRDefault="00E06994" w:rsidP="00E06994">
      <w:pPr>
        <w:pStyle w:val="FootnoteText"/>
        <w:spacing w:after="0"/>
      </w:pPr>
      <w:r>
        <w:rPr>
          <w:rStyle w:val="FootnoteReference"/>
        </w:rPr>
        <w:footnoteRef/>
      </w:r>
      <w:r>
        <w:tab/>
        <w:t>COM(2021) 400 final.</w:t>
      </w:r>
    </w:p>
  </w:footnote>
  <w:footnote w:id="6">
    <w:p w14:paraId="2312F337" w14:textId="77777777" w:rsidR="00E06994" w:rsidRPr="00874CDA" w:rsidRDefault="00E06994" w:rsidP="00E06994">
      <w:pPr>
        <w:pStyle w:val="FootnoteText"/>
        <w:spacing w:after="0"/>
      </w:pPr>
      <w:r>
        <w:rPr>
          <w:rStyle w:val="FootnoteReference"/>
        </w:rPr>
        <w:footnoteRef/>
      </w:r>
      <w:r>
        <w:tab/>
      </w:r>
      <w:r>
        <w:rPr>
          <w:rStyle w:val="FootnoteReference"/>
          <w:i/>
          <w:vertAlign w:val="baseline"/>
        </w:rPr>
        <w:t>“Veselīga planēta itin visiem. Gaisa, ūdens un augsnes piesārņojums ir samazināts līdz līmenim, ko vairs neuzskata par kaitīgu ne veselībai, ne dabiskajām ekosistēmām un kas nepārkāpj mūsu planētas iespēju robežas, tādējādi panākot no toksikantiem brīvu vidi.”</w:t>
      </w:r>
    </w:p>
  </w:footnote>
  <w:footnote w:id="7">
    <w:p w14:paraId="29094485" w14:textId="7802F573" w:rsidR="00E06994" w:rsidRPr="00874CDA" w:rsidRDefault="00E06994" w:rsidP="00E06994">
      <w:pPr>
        <w:pStyle w:val="FootnoteText"/>
        <w:spacing w:after="0"/>
      </w:pPr>
      <w:r>
        <w:rPr>
          <w:rStyle w:val="FootnoteReference"/>
        </w:rPr>
        <w:footnoteRef/>
      </w:r>
      <w:r>
        <w:tab/>
        <w:t>Pārskatītās Gaisa kvalitātes direktīvas (ES) 2024/2881 1. panta 1. punkts un Augsnes monitoringa akta (ES) 2025/2360 1. panta 1. punkts.</w:t>
      </w:r>
    </w:p>
  </w:footnote>
  <w:footnote w:id="8">
    <w:p w14:paraId="742A0B07" w14:textId="69F741AB" w:rsidR="00714BA8" w:rsidRPr="00EA58EC" w:rsidRDefault="00714BA8" w:rsidP="00EA58EC">
      <w:pPr>
        <w:pStyle w:val="FootnoteText"/>
        <w:spacing w:after="0"/>
      </w:pPr>
      <w:r>
        <w:rPr>
          <w:rStyle w:val="FootnoteReference"/>
        </w:rPr>
        <w:footnoteRef/>
      </w:r>
      <w:r>
        <w:t xml:space="preserve"> </w:t>
      </w:r>
      <w:r>
        <w:tab/>
      </w:r>
      <w:hyperlink r:id="rId8" w:history="1">
        <w:r>
          <w:rPr>
            <w:rStyle w:val="Hyperlink"/>
          </w:rPr>
          <w:t>Nulles piesārņojuma mērķrādītāji</w:t>
        </w:r>
      </w:hyperlink>
      <w:r>
        <w:t>.</w:t>
      </w:r>
    </w:p>
  </w:footnote>
  <w:footnote w:id="9">
    <w:p w14:paraId="63967D5A" w14:textId="77777777" w:rsidR="00E06994" w:rsidRPr="00874CDA" w:rsidRDefault="00E06994" w:rsidP="00E06994">
      <w:pPr>
        <w:pStyle w:val="FootnoteText"/>
        <w:spacing w:after="0"/>
      </w:pPr>
      <w:r>
        <w:rPr>
          <w:rStyle w:val="FootnoteReference"/>
        </w:rPr>
        <w:footnoteRef/>
      </w:r>
      <w:r>
        <w:tab/>
        <w:t>COM(2020) 667 final.</w:t>
      </w:r>
    </w:p>
  </w:footnote>
  <w:footnote w:id="10">
    <w:p w14:paraId="1F53DA23" w14:textId="77777777" w:rsidR="00E06994" w:rsidRPr="00874CDA" w:rsidRDefault="00E06994" w:rsidP="00E06994">
      <w:pPr>
        <w:pStyle w:val="FootnoteText"/>
        <w:spacing w:after="0"/>
      </w:pPr>
      <w:r>
        <w:rPr>
          <w:rStyle w:val="FootnoteReference"/>
        </w:rPr>
        <w:footnoteRef/>
      </w:r>
      <w:r>
        <w:tab/>
        <w:t xml:space="preserve">Sk. vietnes </w:t>
      </w:r>
      <w:hyperlink r:id="rId9" w:history="1">
        <w:r>
          <w:rPr>
            <w:rStyle w:val="Hyperlink"/>
          </w:rPr>
          <w:t>Nulles piesārņojuma darbību izsekotājs</w:t>
        </w:r>
      </w:hyperlink>
      <w:r>
        <w:t xml:space="preserve"> un </w:t>
      </w:r>
      <w:hyperlink r:id="rId10" w:history="1">
        <w:r>
          <w:rPr>
            <w:rStyle w:val="Hyperlink"/>
          </w:rPr>
          <w:t>Ķimikāliju stratēģijas īstenošana</w:t>
        </w:r>
      </w:hyperlink>
      <w:r>
        <w:t>.</w:t>
      </w:r>
    </w:p>
  </w:footnote>
  <w:footnote w:id="11">
    <w:p w14:paraId="2249C3FD" w14:textId="77B36083" w:rsidR="00FA2822" w:rsidRPr="00EA58EC" w:rsidRDefault="00FA2822" w:rsidP="00EA58EC">
      <w:pPr>
        <w:pStyle w:val="FootnoteText"/>
        <w:spacing w:after="0"/>
      </w:pPr>
      <w:r>
        <w:rPr>
          <w:rStyle w:val="FootnoteReference"/>
        </w:rPr>
        <w:footnoteRef/>
      </w:r>
      <w:r>
        <w:tab/>
        <w:t>COM(2025) 980 final.</w:t>
      </w:r>
    </w:p>
  </w:footnote>
  <w:footnote w:id="12">
    <w:p w14:paraId="6EE42E87" w14:textId="4F01F6A2" w:rsidR="00E06994" w:rsidRPr="00BE1A36" w:rsidRDefault="00E06994" w:rsidP="00E06994">
      <w:pPr>
        <w:pStyle w:val="FootnoteText"/>
        <w:spacing w:after="0"/>
      </w:pPr>
      <w:r>
        <w:rPr>
          <w:rStyle w:val="FootnoteReference"/>
        </w:rPr>
        <w:footnoteRef/>
      </w:r>
      <w:r>
        <w:tab/>
        <w:t>COM (2025) 30 final, COM(2025) 85 final, COM(2025) 280 final, COM(2025) 281 final, COM(2025) 75 final, COM(2025) 530 final, COM(2025) 960 final.</w:t>
      </w:r>
    </w:p>
  </w:footnote>
  <w:footnote w:id="13">
    <w:p w14:paraId="42D9EBA0" w14:textId="248F35B7" w:rsidR="00E06994" w:rsidRPr="00874CDA" w:rsidRDefault="00E06994" w:rsidP="00E06994">
      <w:pPr>
        <w:pStyle w:val="FootnoteText"/>
        <w:spacing w:after="0"/>
      </w:pPr>
      <w:r>
        <w:rPr>
          <w:rStyle w:val="FootnoteReference"/>
        </w:rPr>
        <w:footnoteRef/>
      </w:r>
      <w:r>
        <w:tab/>
        <w:t xml:space="preserve">Daudzas no šīm nozarēm tieši vai netieši veicina nulles piesārņojuma panākšanu (sk. </w:t>
      </w:r>
      <w:hyperlink r:id="rId11" w:history="1">
        <w:r>
          <w:rPr>
            <w:rStyle w:val="Hyperlink"/>
            <w:i/>
          </w:rPr>
          <w:t>EUROSTAT</w:t>
        </w:r>
      </w:hyperlink>
      <w:r>
        <w:t>).</w:t>
      </w:r>
    </w:p>
  </w:footnote>
  <w:footnote w:id="14">
    <w:p w14:paraId="3D313942" w14:textId="77777777" w:rsidR="00E06994" w:rsidRPr="00874CDA" w:rsidRDefault="00E06994" w:rsidP="00E06994">
      <w:pPr>
        <w:pStyle w:val="FootnoteText"/>
        <w:spacing w:after="0"/>
      </w:pPr>
      <w:r>
        <w:rPr>
          <w:rStyle w:val="FootnoteReference"/>
        </w:rPr>
        <w:footnoteRef/>
      </w:r>
      <w:r>
        <w:tab/>
      </w:r>
      <w:r>
        <w:rPr>
          <w:i/>
        </w:rPr>
        <w:t>ESTAT</w:t>
      </w:r>
      <w:r>
        <w:t xml:space="preserve"> (2025): </w:t>
      </w:r>
      <w:hyperlink r:id="rId12" w:history="1">
        <w:r>
          <w:rPr>
            <w:rStyle w:val="Hyperlink"/>
          </w:rPr>
          <w:t>Vides ekonomika – statistika par nodarbinātību un izaugsmi</w:t>
        </w:r>
      </w:hyperlink>
      <w:r>
        <w:t>.</w:t>
      </w:r>
    </w:p>
  </w:footnote>
  <w:footnote w:id="15">
    <w:p w14:paraId="246E748A" w14:textId="246CBCA9" w:rsidR="00E06994" w:rsidRPr="00874CDA" w:rsidRDefault="00E06994" w:rsidP="00E06994">
      <w:pPr>
        <w:pStyle w:val="FootnoteText"/>
        <w:spacing w:after="0"/>
      </w:pPr>
      <w:r>
        <w:rPr>
          <w:rStyle w:val="FootnoteReference"/>
        </w:rPr>
        <w:footnoteRef/>
      </w:r>
      <w:r>
        <w:tab/>
        <w:t xml:space="preserve">ESAO: </w:t>
      </w:r>
      <w:hyperlink r:id="rId13" w:history="1">
        <w:r>
          <w:rPr>
            <w:rStyle w:val="Hyperlink"/>
            <w:i/>
          </w:rPr>
          <w:t>Economic and environmental outcomes of innovation</w:t>
        </w:r>
      </w:hyperlink>
      <w:r>
        <w:t>.</w:t>
      </w:r>
    </w:p>
  </w:footnote>
  <w:footnote w:id="16">
    <w:p w14:paraId="3C79AAA0" w14:textId="0C257FBD" w:rsidR="00E06994" w:rsidRPr="00874CDA" w:rsidRDefault="00E06994" w:rsidP="00E06994">
      <w:pPr>
        <w:pStyle w:val="FootnoteText"/>
        <w:spacing w:after="0"/>
      </w:pPr>
      <w:r>
        <w:rPr>
          <w:rStyle w:val="FootnoteReference"/>
        </w:rPr>
        <w:footnoteRef/>
      </w:r>
      <w:r>
        <w:tab/>
        <w:t>ESAO ziņo, ka laikposmā no 2010. līdz 2020. gadam vides preču un pakalpojumu (</w:t>
      </w:r>
      <w:r>
        <w:rPr>
          <w:i/>
        </w:rPr>
        <w:t>EGS</w:t>
      </w:r>
      <w:r>
        <w:t xml:space="preserve">) tirgi pieauga par 4,5 % gadā, apsteidzot IKP pieaugumu. </w:t>
      </w:r>
    </w:p>
  </w:footnote>
  <w:footnote w:id="17">
    <w:p w14:paraId="22938375" w14:textId="609B91FC" w:rsidR="00E06994" w:rsidRPr="00874CDA" w:rsidRDefault="00E06994" w:rsidP="00E06994">
      <w:pPr>
        <w:pStyle w:val="FootnoteText"/>
        <w:spacing w:after="0"/>
      </w:pPr>
      <w:r>
        <w:rPr>
          <w:rStyle w:val="FootnoteReference"/>
        </w:rPr>
        <w:footnoteRef/>
      </w:r>
      <w:r>
        <w:tab/>
        <w:t xml:space="preserve">ESAO (2025), tāpat kā 2. zemsvītras piezīmē. </w:t>
      </w:r>
    </w:p>
  </w:footnote>
  <w:footnote w:id="18">
    <w:p w14:paraId="1026F659" w14:textId="63F5BE83" w:rsidR="00E06994" w:rsidRPr="00874CDA" w:rsidRDefault="00E06994" w:rsidP="00E06994">
      <w:pPr>
        <w:pStyle w:val="FootnoteText"/>
        <w:spacing w:after="0"/>
      </w:pPr>
      <w:r>
        <w:rPr>
          <w:rStyle w:val="FootnoteReference"/>
        </w:rPr>
        <w:footnoteRef/>
      </w:r>
      <w:r>
        <w:tab/>
        <w:t>COM(2025) 420 final.</w:t>
      </w:r>
    </w:p>
  </w:footnote>
  <w:footnote w:id="19">
    <w:p w14:paraId="502BBF57" w14:textId="250C678D" w:rsidR="00E06994" w:rsidRPr="00874CDA" w:rsidRDefault="00E06994" w:rsidP="00E06994">
      <w:pPr>
        <w:pStyle w:val="FootnoteText"/>
        <w:spacing w:after="0"/>
      </w:pPr>
      <w:r>
        <w:rPr>
          <w:rStyle w:val="FootnoteReference"/>
        </w:rPr>
        <w:footnoteRef/>
      </w:r>
      <w:r>
        <w:tab/>
        <w:t>SWD(2022) 345 final.</w:t>
      </w:r>
    </w:p>
  </w:footnote>
  <w:footnote w:id="20">
    <w:p w14:paraId="39585235" w14:textId="714DC99F" w:rsidR="00E06994" w:rsidRPr="00874CDA" w:rsidRDefault="00E06994" w:rsidP="00E06994">
      <w:pPr>
        <w:tabs>
          <w:tab w:val="left" w:pos="5352"/>
        </w:tabs>
        <w:ind w:left="340" w:hanging="340"/>
      </w:pPr>
      <w:r>
        <w:rPr>
          <w:rStyle w:val="FootnoteReference"/>
          <w:sz w:val="20"/>
        </w:rPr>
        <w:footnoteRef/>
      </w:r>
      <w:r>
        <w:t xml:space="preserve"> </w:t>
      </w:r>
      <w:r>
        <w:tab/>
      </w:r>
      <w:r>
        <w:rPr>
          <w:sz w:val="20"/>
        </w:rPr>
        <w:t>“</w:t>
      </w:r>
      <w:r>
        <w:rPr>
          <w:i/>
          <w:sz w:val="20"/>
        </w:rPr>
        <w:t>Tā kā daudzi darba virzieni turpinās vai tikai sāk dot rezultātus, Komisija līdz 2025. gadam izvērtēs šā rīcības plāna īstenošanas pakāpi, pamatojoties uz otro nulles piesārņojuma monitoringa un perspektīvas ziņojumu. Tajā tiks noteikts, vai ir vajadzīga turpmāka rīcība, lai risinātu jaunas problēmas, un pārskatīti līdz šim noteiktie mērķrādītāji, pamatiniciatīvas un darbības, lai šī desmitgade liktu ES virzīties uz nulles piesārņojumu…</w:t>
      </w:r>
      <w:r>
        <w:rPr>
          <w:sz w:val="20"/>
        </w:rPr>
        <w:t>”.</w:t>
      </w:r>
    </w:p>
  </w:footnote>
  <w:footnote w:id="21">
    <w:p w14:paraId="0C56A0C9" w14:textId="4F7200AF" w:rsidR="00E06994" w:rsidRPr="00874CDA" w:rsidRDefault="00E06994" w:rsidP="00E06994">
      <w:pPr>
        <w:pStyle w:val="FootnoteText"/>
        <w:spacing w:after="0"/>
      </w:pPr>
      <w:r>
        <w:rPr>
          <w:rStyle w:val="FootnoteReference"/>
        </w:rPr>
        <w:footnoteRef/>
      </w:r>
      <w:r>
        <w:tab/>
      </w:r>
      <w:hyperlink r:id="rId14" w:history="1">
        <w:r>
          <w:rPr>
            <w:rStyle w:val="Hyperlink"/>
          </w:rPr>
          <w:t>EVA (2025):</w:t>
        </w:r>
      </w:hyperlink>
      <w:hyperlink r:id="rId15" w:history="1">
        <w:r>
          <w:rPr>
            <w:rStyle w:val="Hyperlink"/>
          </w:rPr>
          <w:t>Eiropas vide 2025. gadā</w:t>
        </w:r>
      </w:hyperlink>
      <w:r>
        <w:t>, kura pamatā attiecībā uz piesārņojumu ir otrais nulles piesārņojuma monitorings un perspektīva.</w:t>
      </w:r>
    </w:p>
  </w:footnote>
  <w:footnote w:id="22">
    <w:p w14:paraId="7262F737" w14:textId="047E2704" w:rsidR="00E06994" w:rsidRPr="00874CDA" w:rsidRDefault="00E06994" w:rsidP="00E06994">
      <w:pPr>
        <w:pStyle w:val="FootnoteText"/>
        <w:spacing w:after="0"/>
      </w:pPr>
      <w:r>
        <w:rPr>
          <w:rStyle w:val="FootnoteReference"/>
        </w:rPr>
        <w:footnoteRef/>
      </w:r>
      <w:r>
        <w:tab/>
        <w:t xml:space="preserve">EVA un </w:t>
      </w:r>
      <w:r>
        <w:rPr>
          <w:i/>
        </w:rPr>
        <w:t>JRC</w:t>
      </w:r>
      <w:r>
        <w:t xml:space="preserve"> (2025): </w:t>
      </w:r>
      <w:hyperlink r:id="rId16" w:history="1">
        <w:r>
          <w:rPr>
            <w:rStyle w:val="Hyperlink"/>
          </w:rPr>
          <w:t>Nulles piesārņojuma monitorings un perspektīva 2025. gadam</w:t>
        </w:r>
      </w:hyperlink>
      <w:r>
        <w:t>, kā arī attiecīgie tematiskie novērtējumi (piemēram, Ceturtais pārskats par programmu “Tīru gaisu Eiropā” (</w:t>
      </w:r>
      <w:hyperlink r:id="rId17" w:history="1">
        <w:r>
          <w:rPr>
            <w:rStyle w:val="Hyperlink"/>
          </w:rPr>
          <w:t>COM/2025/64 final</w:t>
        </w:r>
      </w:hyperlink>
      <w:r>
        <w:t xml:space="preserve">) vai 2025. gada </w:t>
      </w:r>
      <w:hyperlink r:id="rId18" w:history="1">
        <w:r>
          <w:rPr>
            <w:rStyle w:val="Hyperlink"/>
          </w:rPr>
          <w:t>ziņojums par vides troksni Eiropā</w:t>
        </w:r>
      </w:hyperlink>
      <w:r>
        <w:t>).</w:t>
      </w:r>
    </w:p>
  </w:footnote>
  <w:footnote w:id="23">
    <w:p w14:paraId="59B2DBA9" w14:textId="77777777" w:rsidR="00E06994" w:rsidRPr="00874CDA" w:rsidRDefault="00E06994" w:rsidP="00E06994">
      <w:pPr>
        <w:pStyle w:val="FootnoteText"/>
        <w:spacing w:after="0"/>
      </w:pPr>
      <w:r>
        <w:rPr>
          <w:rStyle w:val="FootnoteReference"/>
        </w:rPr>
        <w:footnoteRef/>
      </w:r>
      <w:r>
        <w:tab/>
        <w:t>Sk. arī EVA ziņojumu Nr. 1/2025 “2025. gada ziņojums par gaisa kvalitātes stāvokli”.</w:t>
      </w:r>
    </w:p>
  </w:footnote>
  <w:footnote w:id="24">
    <w:p w14:paraId="3DA1C4C7" w14:textId="52E155CE" w:rsidR="00E06994" w:rsidRPr="00874CDA" w:rsidRDefault="00E06994" w:rsidP="00E06994">
      <w:pPr>
        <w:pStyle w:val="FootnoteText"/>
        <w:spacing w:after="0"/>
      </w:pPr>
      <w:r>
        <w:rPr>
          <w:rStyle w:val="FootnoteReference"/>
        </w:rPr>
        <w:footnoteRef/>
      </w:r>
      <w:r>
        <w:tab/>
        <w:t xml:space="preserve">Pesticīdu lietošanas un antimikrobiālo līdzekļu pārdošanas rezultāti ir jāizmanto piesardzīgi, jo tajos nav pienācīgi ņemti vērā riski, ko tie var radīt cilvēku veselībai un videi. </w:t>
      </w:r>
    </w:p>
  </w:footnote>
  <w:footnote w:id="25">
    <w:p w14:paraId="0206CCBB" w14:textId="77777777" w:rsidR="00E06994" w:rsidRPr="00874CDA" w:rsidRDefault="00E06994" w:rsidP="00E06994">
      <w:pPr>
        <w:pStyle w:val="FootnoteText"/>
        <w:spacing w:after="0"/>
      </w:pPr>
      <w:r>
        <w:rPr>
          <w:rStyle w:val="FootnoteReference"/>
        </w:rPr>
        <w:footnoteRef/>
      </w:r>
      <w:r>
        <w:tab/>
        <w:t>Sk. arī EVA ziņojumu Nr. 5/2025 “</w:t>
      </w:r>
      <w:hyperlink r:id="rId19" w:history="1">
        <w:r>
          <w:rPr>
            <w:rStyle w:val="Hyperlink"/>
          </w:rPr>
          <w:t>Vides troksnis Eiropā</w:t>
        </w:r>
      </w:hyperlink>
      <w:r>
        <w:t>”.</w:t>
      </w:r>
    </w:p>
  </w:footnote>
  <w:footnote w:id="26">
    <w:p w14:paraId="59E8CB84" w14:textId="50B1F745" w:rsidR="00E06994" w:rsidRPr="00874CDA" w:rsidRDefault="00E06994" w:rsidP="00E06994">
      <w:pPr>
        <w:pStyle w:val="FootnoteText"/>
        <w:spacing w:after="0"/>
      </w:pPr>
      <w:r>
        <w:rPr>
          <w:rStyle w:val="FootnoteReference"/>
        </w:rPr>
        <w:footnoteRef/>
      </w:r>
      <w:r>
        <w:tab/>
        <w:t>COM(2025) 420 final.</w:t>
      </w:r>
    </w:p>
  </w:footnote>
  <w:footnote w:id="27">
    <w:p w14:paraId="03EDBAF2" w14:textId="72597ED8" w:rsidR="00F62276" w:rsidRPr="00EA58EC" w:rsidRDefault="00F62276" w:rsidP="00F62276">
      <w:pPr>
        <w:pStyle w:val="FootnoteText"/>
        <w:spacing w:after="0"/>
      </w:pPr>
      <w:r>
        <w:rPr>
          <w:rStyle w:val="FootnoteReference"/>
        </w:rPr>
        <w:footnoteRef/>
      </w:r>
      <w:r>
        <w:tab/>
        <w:t>Ar papildu priekšlikumiem paātrināt vides novērtējumu veikšanu (COM(2025) 984 final).</w:t>
      </w:r>
    </w:p>
  </w:footnote>
  <w:footnote w:id="28">
    <w:p w14:paraId="52D47FE4" w14:textId="77777777" w:rsidR="00E06994" w:rsidRPr="00874CDA" w:rsidRDefault="00E06994" w:rsidP="00E06994">
      <w:pPr>
        <w:pStyle w:val="FootnoteText"/>
        <w:spacing w:after="0"/>
      </w:pPr>
      <w:r>
        <w:rPr>
          <w:rStyle w:val="FootnoteReference"/>
        </w:rPr>
        <w:footnoteRef/>
      </w:r>
      <w:r>
        <w:tab/>
      </w:r>
      <w:hyperlink r:id="rId20" w:history="1">
        <w:r>
          <w:rPr>
            <w:rStyle w:val="Hyperlink"/>
          </w:rPr>
          <w:t>Nulles piesārņojuma darbību izsekotājs</w:t>
        </w:r>
      </w:hyperlink>
      <w:r>
        <w:t>.</w:t>
      </w:r>
    </w:p>
  </w:footnote>
  <w:footnote w:id="29">
    <w:p w14:paraId="3419E788" w14:textId="77777777" w:rsidR="000669B1" w:rsidRPr="00874CDA" w:rsidRDefault="000669B1" w:rsidP="000669B1">
      <w:pPr>
        <w:pStyle w:val="FootnoteText"/>
        <w:spacing w:after="0"/>
      </w:pPr>
      <w:r>
        <w:rPr>
          <w:rStyle w:val="FootnoteReference"/>
        </w:rPr>
        <w:footnoteRef/>
      </w:r>
      <w:r>
        <w:tab/>
        <w:t>Sk. COM(2025) 280 final un COM(2025) 281 final.</w:t>
      </w:r>
    </w:p>
  </w:footnote>
  <w:footnote w:id="30">
    <w:p w14:paraId="20178C2F" w14:textId="5667EFE0" w:rsidR="00E06994" w:rsidRPr="00874CDA" w:rsidRDefault="00E06994" w:rsidP="00E06994">
      <w:pPr>
        <w:pStyle w:val="FootnoteText"/>
        <w:spacing w:after="0"/>
      </w:pPr>
      <w:r>
        <w:rPr>
          <w:rStyle w:val="FootnoteReference"/>
        </w:rPr>
        <w:footnoteRef/>
      </w:r>
      <w:r>
        <w:tab/>
        <w:t>SWD(2025) 52 final, SWD(2023) 157 final, SWD(2025) 394 final un SWD(2025) 395 final.</w:t>
      </w:r>
    </w:p>
  </w:footnote>
  <w:footnote w:id="31">
    <w:p w14:paraId="4269B826" w14:textId="73473C79" w:rsidR="00E06994" w:rsidRPr="00874CDA" w:rsidRDefault="00E06994" w:rsidP="00E06994">
      <w:pPr>
        <w:pStyle w:val="FootnoteText"/>
        <w:spacing w:after="0"/>
      </w:pPr>
      <w:r>
        <w:rPr>
          <w:rStyle w:val="FootnoteReference"/>
        </w:rPr>
        <w:footnoteRef/>
      </w:r>
      <w:r>
        <w:tab/>
        <w:t>SWD(2024) 147 final.</w:t>
      </w:r>
    </w:p>
  </w:footnote>
  <w:footnote w:id="32">
    <w:p w14:paraId="6CCA51CF" w14:textId="77777777" w:rsidR="00E06994" w:rsidRPr="00874CDA" w:rsidRDefault="00E06994" w:rsidP="00E06994">
      <w:pPr>
        <w:pStyle w:val="FootnoteText"/>
        <w:spacing w:after="0"/>
      </w:pPr>
      <w:r>
        <w:rPr>
          <w:rStyle w:val="FootnoteReference"/>
        </w:rPr>
        <w:footnoteRef/>
      </w:r>
      <w:r>
        <w:tab/>
        <w:t xml:space="preserve">Sk. atjauninātu informāciju par pamatiniciatīvām </w:t>
      </w:r>
      <w:hyperlink r:id="rId21" w:history="1">
        <w:r>
          <w:rPr>
            <w:rStyle w:val="Hyperlink"/>
          </w:rPr>
          <w:t>darbību izsekotājā</w:t>
        </w:r>
      </w:hyperlink>
      <w:r>
        <w:t>.</w:t>
      </w:r>
    </w:p>
  </w:footnote>
  <w:footnote w:id="33">
    <w:p w14:paraId="28B16165" w14:textId="77777777" w:rsidR="00E06994" w:rsidRPr="00BE1A36" w:rsidRDefault="00E06994" w:rsidP="00E06994">
      <w:pPr>
        <w:pStyle w:val="FootnoteText"/>
        <w:spacing w:after="0"/>
      </w:pPr>
      <w:r>
        <w:rPr>
          <w:rStyle w:val="FootnoteReference"/>
        </w:rPr>
        <w:footnoteRef/>
      </w:r>
      <w:r>
        <w:tab/>
        <w:t>COM(2022) 540 final.</w:t>
      </w:r>
    </w:p>
  </w:footnote>
  <w:footnote w:id="34">
    <w:p w14:paraId="37F22873" w14:textId="67ED5D4B" w:rsidR="00E06994" w:rsidRPr="00BE1A36" w:rsidRDefault="00E06994" w:rsidP="00E06994">
      <w:pPr>
        <w:pStyle w:val="FootnoteText"/>
        <w:spacing w:after="0"/>
      </w:pPr>
      <w:r>
        <w:rPr>
          <w:rStyle w:val="FootnoteReference"/>
        </w:rPr>
        <w:footnoteRef/>
      </w:r>
      <w:r>
        <w:tab/>
        <w:t>Direktīva (ES) 2025/2360.</w:t>
      </w:r>
    </w:p>
  </w:footnote>
  <w:footnote w:id="35">
    <w:p w14:paraId="60068590" w14:textId="1820F49E" w:rsidR="00E06994" w:rsidRPr="00BE1A36" w:rsidRDefault="00E06994" w:rsidP="00E06994">
      <w:pPr>
        <w:pStyle w:val="FootnoteText"/>
        <w:spacing w:after="0"/>
      </w:pPr>
      <w:r>
        <w:rPr>
          <w:rStyle w:val="FootnoteReference"/>
        </w:rPr>
        <w:footnoteRef/>
      </w:r>
      <w:r>
        <w:tab/>
        <w:t>Regula (ES) 2025/2455, Regula (ES) 2025/2457, Direktīva (ES) 2025/2456.</w:t>
      </w:r>
    </w:p>
  </w:footnote>
  <w:footnote w:id="36">
    <w:p w14:paraId="753ED195" w14:textId="77777777" w:rsidR="00E06994" w:rsidRPr="00874CDA" w:rsidRDefault="00E06994" w:rsidP="00E06994">
      <w:pPr>
        <w:pStyle w:val="FootnoteText"/>
        <w:spacing w:after="0"/>
      </w:pPr>
      <w:r>
        <w:rPr>
          <w:rStyle w:val="FootnoteReference"/>
        </w:rPr>
        <w:footnoteRef/>
      </w:r>
      <w:r>
        <w:tab/>
        <w:t>COM(2021) 400 final: 22. darbība – “</w:t>
      </w:r>
      <w:r>
        <w:rPr>
          <w:i/>
        </w:rPr>
        <w:t>Veidot mazāk piesārņojošas prakses spējas un uzlabot attiecīgās zināšanas, izmantojot valsts konsultāciju pakalpojumus lauksaimniekiem</w:t>
      </w:r>
      <w:r>
        <w:t>” un 23. darbība – “</w:t>
      </w:r>
      <w:r>
        <w:rPr>
          <w:i/>
        </w:rPr>
        <w:t>Apkopot un digitālā formātā darīt pieejamus visus galvenos barības vielu pārvaldības pienākumus, kas izriet no ES tiesību aktiem, lai ierobežotu lauksaimniecības vidisko pēdu</w:t>
      </w:r>
      <w:r>
        <w:t xml:space="preserve">”. </w:t>
      </w:r>
    </w:p>
  </w:footnote>
  <w:footnote w:id="37">
    <w:p w14:paraId="05FB2D08" w14:textId="77777777" w:rsidR="00E06994" w:rsidRPr="00874CDA" w:rsidRDefault="00E06994" w:rsidP="00E06994">
      <w:pPr>
        <w:pStyle w:val="FootnoteText"/>
        <w:spacing w:after="0"/>
      </w:pPr>
      <w:r>
        <w:rPr>
          <w:rStyle w:val="FootnoteReference"/>
        </w:rPr>
        <w:footnoteRef/>
      </w:r>
      <w:r>
        <w:tab/>
        <w:t>COM(2025) 280 final: “</w:t>
      </w:r>
      <w:r>
        <w:rPr>
          <w:i/>
        </w:rPr>
        <w:t>izveidot palīdzības rīkkopu dalībvalstīm, lai atbalstītu darbības barības vielu radītā piesārņojuma samazināšanai, arī izmantojot uzlabotu modelēšanu, interaktīvas kartes un paraugprakses apmaiņu</w:t>
      </w:r>
      <w:r>
        <w:t>”.</w:t>
      </w:r>
    </w:p>
  </w:footnote>
  <w:footnote w:id="38">
    <w:p w14:paraId="0FFB2E9A" w14:textId="77777777" w:rsidR="00E06994" w:rsidRPr="00874CDA" w:rsidRDefault="00E06994" w:rsidP="00E06994">
      <w:pPr>
        <w:pStyle w:val="FootnoteText"/>
        <w:spacing w:after="0"/>
      </w:pPr>
      <w:r>
        <w:rPr>
          <w:rStyle w:val="FootnoteReference"/>
        </w:rPr>
        <w:footnoteRef/>
      </w:r>
      <w:r>
        <w:tab/>
      </w:r>
      <w:hyperlink r:id="rId22" w:history="1">
        <w:r>
          <w:rPr>
            <w:rStyle w:val="Hyperlink"/>
          </w:rPr>
          <w:t>2025 gada ziņojums</w:t>
        </w:r>
      </w:hyperlink>
      <w:r>
        <w:t xml:space="preserve"> un </w:t>
      </w:r>
      <w:hyperlink r:id="rId23" w:history="1">
        <w:r>
          <w:rPr>
            <w:rStyle w:val="Hyperlink"/>
          </w:rPr>
          <w:t>2022. gada ziņojums</w:t>
        </w:r>
      </w:hyperlink>
      <w:r>
        <w:t xml:space="preserve">, pārskatu sk. vietnē </w:t>
      </w:r>
      <w:hyperlink r:id="rId24" w:history="1">
        <w:r>
          <w:rPr>
            <w:rStyle w:val="Hyperlink"/>
          </w:rPr>
          <w:t>Nulles piesārņojuma mērķrādītāji</w:t>
        </w:r>
      </w:hyperlink>
      <w:r>
        <w:t>.</w:t>
      </w:r>
    </w:p>
  </w:footnote>
  <w:footnote w:id="39">
    <w:p w14:paraId="3237813E" w14:textId="77777777" w:rsidR="00E06994" w:rsidRPr="00874CDA" w:rsidRDefault="00E06994" w:rsidP="00E06994">
      <w:pPr>
        <w:pStyle w:val="FootnoteText"/>
        <w:spacing w:after="0"/>
      </w:pPr>
      <w:r>
        <w:rPr>
          <w:rStyle w:val="FootnoteReference"/>
        </w:rPr>
        <w:footnoteRef/>
      </w:r>
      <w:r>
        <w:tab/>
      </w:r>
      <w:hyperlink r:id="rId25" w:history="1">
        <w:r>
          <w:rPr>
            <w:rStyle w:val="Hyperlink"/>
          </w:rPr>
          <w:t>Pārskats par programmu “Tīru gaisu Eiropā”</w:t>
        </w:r>
      </w:hyperlink>
      <w:r>
        <w:t>, ceturtais ziņojums, COM(2025) 64 final.</w:t>
      </w:r>
    </w:p>
  </w:footnote>
  <w:footnote w:id="40">
    <w:p w14:paraId="16660350" w14:textId="107AB96A" w:rsidR="00E06994" w:rsidRPr="00874CDA" w:rsidRDefault="00E06994" w:rsidP="00E06994">
      <w:pPr>
        <w:pStyle w:val="FootnoteText"/>
        <w:spacing w:after="0"/>
      </w:pPr>
      <w:r>
        <w:rPr>
          <w:rStyle w:val="FootnoteReference"/>
        </w:rPr>
        <w:footnoteRef/>
      </w:r>
      <w:r>
        <w:tab/>
        <w:t>EVA / Eiropas Ķimikāliju aģentūras (</w:t>
      </w:r>
      <w:r>
        <w:rPr>
          <w:i/>
        </w:rPr>
        <w:t>ECHA</w:t>
      </w:r>
      <w:r>
        <w:t>) ziņojums (2024): “</w:t>
      </w:r>
      <w:hyperlink r:id="rId26" w:history="1">
        <w:r>
          <w:rPr>
            <w:rStyle w:val="Hyperlink"/>
          </w:rPr>
          <w:t>ES aģentūras:</w:t>
        </w:r>
      </w:hyperlink>
      <w:hyperlink r:id="rId27" w:history="1">
        <w:r>
          <w:rPr>
            <w:rStyle w:val="Hyperlink"/>
          </w:rPr>
          <w:t xml:space="preserve"> ir jādara vairāk, lai ķīmiskās vielas būtu drošas un ilgtspējīgas</w:t>
        </w:r>
      </w:hyperlink>
      <w:r>
        <w:t xml:space="preserve">” un tiešsaistes infopanelis </w:t>
      </w:r>
      <w:hyperlink r:id="rId28" w:history="1">
        <w:r>
          <w:rPr>
            <w:rStyle w:val="Hyperlink"/>
          </w:rPr>
          <w:t>ES ķimikāliju rādītāju satvars</w:t>
        </w:r>
      </w:hyperlink>
      <w:r>
        <w:t>.</w:t>
      </w:r>
    </w:p>
  </w:footnote>
  <w:footnote w:id="41">
    <w:p w14:paraId="6299DB18" w14:textId="6C6A4E19" w:rsidR="00E06994" w:rsidRPr="00874CDA" w:rsidRDefault="00E06994" w:rsidP="00E06994">
      <w:pPr>
        <w:pStyle w:val="FootnoteText"/>
        <w:spacing w:after="0"/>
      </w:pPr>
      <w:r>
        <w:rPr>
          <w:rStyle w:val="FootnoteReference"/>
        </w:rPr>
        <w:footnoteRef/>
      </w:r>
      <w:r>
        <w:tab/>
        <w:t>COM(2025) 64 final.</w:t>
      </w:r>
    </w:p>
  </w:footnote>
  <w:footnote w:id="42">
    <w:p w14:paraId="13413E60" w14:textId="1593254F" w:rsidR="00E744BF" w:rsidRPr="00E82075" w:rsidRDefault="00E744BF" w:rsidP="00DE6E55">
      <w:pPr>
        <w:pStyle w:val="FootnoteText"/>
        <w:spacing w:after="0"/>
      </w:pPr>
      <w:r>
        <w:rPr>
          <w:rStyle w:val="FootnoteReference"/>
        </w:rPr>
        <w:footnoteRef/>
      </w:r>
      <w:r>
        <w:t xml:space="preserve"> </w:t>
      </w:r>
      <w:r>
        <w:tab/>
        <w:t>Sk. 3.5. nodaļu par patēriņa radīto piesārņojumu “</w:t>
      </w:r>
      <w:hyperlink r:id="rId29" w:history="1">
        <w:r>
          <w:rPr>
            <w:rStyle w:val="Hyperlink"/>
          </w:rPr>
          <w:t>Nulles piesārņojuma monitoringā un perspektīvā 2025. gadam</w:t>
        </w:r>
      </w:hyperlink>
      <w:r>
        <w:t xml:space="preserve">”, kas pieejama arī </w:t>
      </w:r>
      <w:hyperlink r:id="rId30" w:history="1">
        <w:r>
          <w:rPr>
            <w:rStyle w:val="Hyperlink"/>
          </w:rPr>
          <w:t>2025. gada patēriņa pēdas un iekšzemes pēdas perspektīvas ziņojumā</w:t>
        </w:r>
      </w:hyperlink>
      <w:r>
        <w:t>.</w:t>
      </w:r>
    </w:p>
  </w:footnote>
  <w:footnote w:id="43">
    <w:p w14:paraId="4377090D" w14:textId="77777777" w:rsidR="00E06994" w:rsidRPr="00874CDA" w:rsidRDefault="00E06994" w:rsidP="00E06994">
      <w:pPr>
        <w:pStyle w:val="FootnoteText"/>
        <w:spacing w:after="0"/>
      </w:pPr>
      <w:r>
        <w:rPr>
          <w:rStyle w:val="FootnoteReference"/>
        </w:rPr>
        <w:footnoteRef/>
      </w:r>
      <w:r>
        <w:tab/>
        <w:t>COM(2025) 280 final.</w:t>
      </w:r>
    </w:p>
  </w:footnote>
  <w:footnote w:id="44">
    <w:p w14:paraId="48A30FB0" w14:textId="77777777" w:rsidR="00E06994" w:rsidRPr="00874CDA" w:rsidRDefault="00E06994" w:rsidP="00E06994">
      <w:pPr>
        <w:pStyle w:val="FootnoteText"/>
        <w:spacing w:after="0"/>
      </w:pPr>
      <w:r>
        <w:rPr>
          <w:rStyle w:val="FootnoteReference"/>
        </w:rPr>
        <w:footnoteRef/>
      </w:r>
      <w:r>
        <w:tab/>
        <w:t>COM(2025) 75 final.</w:t>
      </w:r>
    </w:p>
  </w:footnote>
  <w:footnote w:id="45">
    <w:p w14:paraId="22A762A8" w14:textId="7EC47AD3" w:rsidR="002D0519" w:rsidRPr="00EC7C5E" w:rsidRDefault="002D0519" w:rsidP="00EC7C5E">
      <w:pPr>
        <w:pStyle w:val="FootnoteText"/>
        <w:spacing w:after="0"/>
      </w:pPr>
      <w:r>
        <w:rPr>
          <w:rStyle w:val="FootnoteReference"/>
        </w:rPr>
        <w:footnoteRef/>
      </w:r>
      <w:r>
        <w:tab/>
        <w:t>SWD(2025) 394 final.</w:t>
      </w:r>
    </w:p>
  </w:footnote>
  <w:footnote w:id="46">
    <w:p w14:paraId="329DB638" w14:textId="0B689568" w:rsidR="00E06994" w:rsidRPr="00874CDA" w:rsidRDefault="00E06994" w:rsidP="00E06994">
      <w:pPr>
        <w:pStyle w:val="FootnoteText"/>
        <w:spacing w:after="0"/>
      </w:pPr>
      <w:r>
        <w:rPr>
          <w:rStyle w:val="FootnoteReference"/>
        </w:rPr>
        <w:footnoteRef/>
      </w:r>
      <w:r>
        <w:tab/>
        <w:t>COM(2021) 236 final.</w:t>
      </w:r>
    </w:p>
  </w:footnote>
  <w:footnote w:id="47">
    <w:p w14:paraId="0E513E59" w14:textId="77777777" w:rsidR="00E06994" w:rsidRPr="00874CDA" w:rsidRDefault="00E06994" w:rsidP="00E06994">
      <w:pPr>
        <w:pStyle w:val="FootnoteText"/>
        <w:spacing w:after="0"/>
      </w:pPr>
      <w:r>
        <w:rPr>
          <w:rStyle w:val="FootnoteReference"/>
        </w:rPr>
        <w:footnoteRef/>
      </w:r>
      <w:r>
        <w:tab/>
        <w:t>Sk. jaunās kopējās lauksaimniecības politikas priekšlikuma (COM(2025) 560 final) 4. panta 1. punktu.</w:t>
      </w:r>
    </w:p>
  </w:footnote>
  <w:footnote w:id="48">
    <w:p w14:paraId="57B7FDBD" w14:textId="3346963C" w:rsidR="0049283E" w:rsidRPr="00EA58EC" w:rsidRDefault="0049283E" w:rsidP="00EA58EC">
      <w:pPr>
        <w:pStyle w:val="FootnoteText"/>
        <w:spacing w:after="0"/>
      </w:pPr>
      <w:r>
        <w:rPr>
          <w:rStyle w:val="FootnoteReference"/>
        </w:rPr>
        <w:footnoteRef/>
      </w:r>
      <w:r>
        <w:t xml:space="preserve"> </w:t>
      </w:r>
      <w:r>
        <w:tab/>
      </w:r>
      <w:hyperlink r:id="rId31" w:history="1">
        <w:r>
          <w:rPr>
            <w:rStyle w:val="Hyperlink"/>
          </w:rPr>
          <w:t>Ūdens – pētniecība un inovācija</w:t>
        </w:r>
      </w:hyperlink>
      <w:r>
        <w:t>.</w:t>
      </w:r>
    </w:p>
  </w:footnote>
  <w:footnote w:id="49">
    <w:p w14:paraId="27DB26DD" w14:textId="77777777" w:rsidR="00175F23" w:rsidRPr="00874CDA" w:rsidRDefault="00175F23" w:rsidP="00175F23">
      <w:pPr>
        <w:pStyle w:val="FootnoteText"/>
        <w:spacing w:after="0"/>
      </w:pPr>
      <w:r>
        <w:rPr>
          <w:rStyle w:val="FootnoteReference"/>
        </w:rPr>
        <w:footnoteRef/>
      </w:r>
      <w:r>
        <w:tab/>
        <w:t>EVA (2023): “</w:t>
      </w:r>
      <w:hyperlink r:id="rId32" w:history="1">
        <w:r>
          <w:rPr>
            <w:rStyle w:val="Hyperlink"/>
          </w:rPr>
          <w:t>No avota līdz jūrai – neizstāstīts stāsts par jūras piedrazojumu</w:t>
        </w:r>
      </w:hyperlink>
      <w:r>
        <w:t>”.</w:t>
      </w:r>
    </w:p>
  </w:footnote>
  <w:footnote w:id="50">
    <w:p w14:paraId="07C547C5" w14:textId="77777777" w:rsidR="00E44270" w:rsidRPr="008C6703" w:rsidRDefault="00E44270" w:rsidP="00E44270">
      <w:pPr>
        <w:pStyle w:val="FootnoteText"/>
        <w:spacing w:after="0"/>
      </w:pPr>
      <w:r>
        <w:rPr>
          <w:rStyle w:val="FootnoteReference"/>
        </w:rPr>
        <w:footnoteRef/>
      </w:r>
      <w:r>
        <w:tab/>
        <w:t>COM(12025) 960 final.</w:t>
      </w:r>
    </w:p>
  </w:footnote>
  <w:footnote w:id="51">
    <w:p w14:paraId="2124E343" w14:textId="77777777" w:rsidR="004C438B" w:rsidRPr="00874CDA" w:rsidRDefault="004C438B" w:rsidP="004C438B">
      <w:pPr>
        <w:pStyle w:val="FootnoteText"/>
        <w:spacing w:after="0"/>
      </w:pPr>
      <w:r>
        <w:rPr>
          <w:rStyle w:val="FootnoteReference"/>
        </w:rPr>
        <w:footnoteRef/>
      </w:r>
      <w:r>
        <w:tab/>
        <w:t xml:space="preserve">Sk. </w:t>
      </w:r>
      <w:hyperlink r:id="rId33">
        <w:r>
          <w:rPr>
            <w:rStyle w:val="Hyperlink"/>
          </w:rPr>
          <w:t>atjauninātos noteikumus par drošākiem ceļiem, mazāku gaisa piesārņojumu un digitālajiem transportlīdzekļu dokumentiem</w:t>
        </w:r>
      </w:hyperlink>
      <w:r>
        <w:t>.</w:t>
      </w:r>
    </w:p>
  </w:footnote>
  <w:footnote w:id="52">
    <w:p w14:paraId="4B1C6EA8" w14:textId="43551A3B" w:rsidR="00E06994" w:rsidRPr="00874CDA" w:rsidRDefault="00E06994" w:rsidP="00E06994">
      <w:pPr>
        <w:pStyle w:val="FootnoteText"/>
        <w:spacing w:after="0"/>
      </w:pPr>
      <w:r>
        <w:rPr>
          <w:rStyle w:val="FootnoteReference"/>
        </w:rPr>
        <w:footnoteRef/>
      </w:r>
      <w:r>
        <w:tab/>
      </w:r>
      <w:r>
        <w:rPr>
          <w:color w:val="000000" w:themeColor="text1"/>
        </w:rPr>
        <w:t xml:space="preserve">Saskaņā ar grozījumu Regulā (ES) Nr. 1304/2014 (trokšņa </w:t>
      </w:r>
      <w:r>
        <w:rPr>
          <w:i/>
          <w:iCs/>
          <w:color w:val="000000" w:themeColor="text1"/>
        </w:rPr>
        <w:t>SITS</w:t>
      </w:r>
      <w:r>
        <w:rPr>
          <w:color w:val="000000" w:themeColor="text1"/>
        </w:rPr>
        <w:t xml:space="preserve">) vai neseno vienošanos par </w:t>
      </w:r>
      <w:hyperlink r:id="rId34" w:anchor=":~:text=The%20European%20Commission%20welcomes%20the%20political%20agreement%20reached,calculating%20greenhouse%E2%80%91gas%20emissions%20from%20freight%20and%20passenger%20transport." w:history="1">
        <w:r>
          <w:rPr>
            <w:rStyle w:val="Hyperlink"/>
            <w:i/>
            <w:iCs/>
          </w:rPr>
          <w:t>CountEmissionsEU</w:t>
        </w:r>
      </w:hyperlink>
      <w:r>
        <w:t>.</w:t>
      </w:r>
    </w:p>
  </w:footnote>
  <w:footnote w:id="53">
    <w:p w14:paraId="1CCDFB73" w14:textId="77777777" w:rsidR="00E06994" w:rsidRPr="00874CDA" w:rsidRDefault="00E06994" w:rsidP="00E06994">
      <w:pPr>
        <w:pStyle w:val="FootnoteText"/>
        <w:spacing w:after="0"/>
      </w:pPr>
      <w:r>
        <w:rPr>
          <w:rStyle w:val="FootnoteReference"/>
        </w:rPr>
        <w:footnoteRef/>
      </w:r>
      <w:r>
        <w:tab/>
      </w:r>
      <w:hyperlink r:id="rId35" w:history="1">
        <w:r>
          <w:rPr>
            <w:rStyle w:val="Hyperlink"/>
          </w:rPr>
          <w:t>ERP Īpašais ziņojums 02/2025:</w:t>
        </w:r>
      </w:hyperlink>
      <w:r>
        <w:t xml:space="preserve">: Pilsētu piesārņojums ES – Pilsētās ir tīrāks gaiss, bet tās joprojām ir pārāk trokšņainas.  </w:t>
      </w:r>
    </w:p>
  </w:footnote>
  <w:footnote w:id="54">
    <w:p w14:paraId="1A6F6909" w14:textId="29836B3B" w:rsidR="00F5467C" w:rsidRPr="00EA58EC" w:rsidRDefault="00F5467C" w:rsidP="00EA58EC">
      <w:pPr>
        <w:pStyle w:val="FootnoteText"/>
        <w:spacing w:after="0"/>
      </w:pPr>
      <w:r>
        <w:rPr>
          <w:rStyle w:val="FootnoteReference"/>
        </w:rPr>
        <w:footnoteRef/>
      </w:r>
      <w:r>
        <w:t xml:space="preserve"> </w:t>
      </w:r>
      <w:r>
        <w:tab/>
      </w:r>
      <w:hyperlink r:id="rId36" w:history="1">
        <w:r>
          <w:rPr>
            <w:rStyle w:val="Hyperlink"/>
          </w:rPr>
          <w:t>Zinātnisko konsultāciju mehānisms:</w:t>
        </w:r>
      </w:hyperlink>
      <w:hyperlink r:id="rId37" w:history="1">
        <w:r>
          <w:rPr>
            <w:rStyle w:val="Hyperlink"/>
          </w:rPr>
          <w:t xml:space="preserve"> Pieejas “Viena veselība” pārvaldība Eiropas Savienībā</w:t>
        </w:r>
      </w:hyperlink>
      <w:r>
        <w:t>.</w:t>
      </w:r>
    </w:p>
  </w:footnote>
  <w:footnote w:id="55">
    <w:p w14:paraId="2C604885" w14:textId="2AB2D268" w:rsidR="00ED33B8" w:rsidRPr="00EA58EC" w:rsidRDefault="00ED33B8" w:rsidP="00EA58EC">
      <w:pPr>
        <w:pStyle w:val="FootnoteText"/>
        <w:spacing w:after="0"/>
      </w:pPr>
      <w:r>
        <w:rPr>
          <w:rStyle w:val="FootnoteReference"/>
        </w:rPr>
        <w:footnoteRef/>
      </w:r>
      <w:r>
        <w:t xml:space="preserve"> </w:t>
      </w:r>
      <w:r>
        <w:tab/>
        <w:t>Council Recommendation 2023/C 220/01</w:t>
      </w:r>
    </w:p>
  </w:footnote>
  <w:footnote w:id="56">
    <w:p w14:paraId="5046860F" w14:textId="77777777" w:rsidR="00785059" w:rsidRPr="00874CDA" w:rsidRDefault="00785059" w:rsidP="00785059">
      <w:pPr>
        <w:pStyle w:val="FootnoteText"/>
        <w:spacing w:after="0"/>
      </w:pPr>
      <w:r>
        <w:rPr>
          <w:rStyle w:val="FootnoteReference"/>
        </w:rPr>
        <w:footnoteRef/>
      </w:r>
      <w:r>
        <w:tab/>
        <w:t xml:space="preserve">EVA (2025): </w:t>
      </w:r>
      <w:hyperlink r:id="rId38" w:history="1">
        <w:r>
          <w:rPr>
            <w:rStyle w:val="Hyperlink"/>
          </w:rPr>
          <w:t>Ķīmisko vielu maisījumu radītie riski cilvēka veselībai Eiropā</w:t>
        </w:r>
      </w:hyperlink>
      <w:r>
        <w:t>.</w:t>
      </w:r>
    </w:p>
  </w:footnote>
  <w:footnote w:id="57">
    <w:p w14:paraId="3FC6B7E6" w14:textId="77777777" w:rsidR="00785059" w:rsidRPr="00E57140" w:rsidRDefault="00785059" w:rsidP="00785059">
      <w:pPr>
        <w:pStyle w:val="FootnoteText"/>
        <w:spacing w:after="0"/>
      </w:pPr>
      <w:r>
        <w:rPr>
          <w:rStyle w:val="FootnoteReference"/>
        </w:rPr>
        <w:footnoteRef/>
      </w:r>
      <w:r>
        <w:t xml:space="preserve"> </w:t>
      </w:r>
      <w:r>
        <w:tab/>
        <w:t xml:space="preserve">Piemēram, </w:t>
      </w:r>
      <w:hyperlink r:id="rId39" w:history="1">
        <w:r>
          <w:rPr>
            <w:rStyle w:val="Hyperlink"/>
            <w:i/>
            <w:iCs/>
          </w:rPr>
          <w:t>HEAL</w:t>
        </w:r>
        <w:r>
          <w:rPr>
            <w:rStyle w:val="Hyperlink"/>
          </w:rPr>
          <w:t xml:space="preserve"> (2025):</w:t>
        </w:r>
      </w:hyperlink>
      <w:hyperlink r:id="rId40" w:history="1">
        <w:r>
          <w:rPr>
            <w:rStyle w:val="Hyperlink"/>
          </w:rPr>
          <w:t xml:space="preserve"> Ķīmiskais piesārņojums, kas izraisa vīriešu veselības krīzi</w:t>
        </w:r>
      </w:hyperlink>
      <w:r>
        <w:t>; “Veselībai radītais un ekonomiskais slogs ir ievērojams: tiek lēsts, ka saistītās izmaksas pārsniedz 15 miljardus EUR gadā.”</w:t>
      </w:r>
    </w:p>
  </w:footnote>
  <w:footnote w:id="58">
    <w:p w14:paraId="46A065AA" w14:textId="77777777" w:rsidR="00785059" w:rsidRPr="00874CDA" w:rsidRDefault="00785059" w:rsidP="00785059">
      <w:pPr>
        <w:pStyle w:val="FootnoteText"/>
        <w:spacing w:after="0"/>
      </w:pPr>
      <w:r>
        <w:rPr>
          <w:rStyle w:val="FootnoteReference"/>
        </w:rPr>
        <w:footnoteRef/>
      </w:r>
      <w:r>
        <w:tab/>
        <w:t xml:space="preserve">EVA (2025): </w:t>
      </w:r>
      <w:hyperlink r:id="rId41" w:history="1">
        <w:r>
          <w:rPr>
            <w:rStyle w:val="Hyperlink"/>
          </w:rPr>
          <w:t>Ķīmisko vielu maisījumi Eiropas upēs un ezeros</w:t>
        </w:r>
      </w:hyperlink>
      <w:r>
        <w:t xml:space="preserve"> un </w:t>
      </w:r>
      <w:r>
        <w:rPr>
          <w:i/>
        </w:rPr>
        <w:t>Saskia Finckh et al.</w:t>
      </w:r>
      <w:r>
        <w:t xml:space="preserve"> (2022): “</w:t>
      </w:r>
      <w:hyperlink r:id="rId42" w:history="1">
        <w:r>
          <w:rPr>
            <w:rStyle w:val="Hyperlink"/>
            <w:i/>
          </w:rPr>
          <w:t>Endocrine disrupting chemicals entering European rivers:</w:t>
        </w:r>
      </w:hyperlink>
      <w:hyperlink r:id="rId43" w:history="1">
        <w:r>
          <w:rPr>
            <w:rStyle w:val="Hyperlink"/>
          </w:rPr>
          <w:t xml:space="preserve"> </w:t>
        </w:r>
        <w:r>
          <w:rPr>
            <w:rStyle w:val="Hyperlink"/>
            <w:i/>
          </w:rPr>
          <w:t>Occurrence and adverse mixture effects in treated wastewater</w:t>
        </w:r>
      </w:hyperlink>
      <w:r>
        <w:t xml:space="preserve">”, kā arī </w:t>
      </w:r>
      <w:r>
        <w:rPr>
          <w:i/>
        </w:rPr>
        <w:t>Pistocchi, A. et al.</w:t>
      </w:r>
      <w:r>
        <w:t xml:space="preserve"> (2022): “</w:t>
      </w:r>
      <w:hyperlink r:id="rId44" w:history="1">
        <w:r>
          <w:rPr>
            <w:rStyle w:val="Hyperlink"/>
            <w:i/>
          </w:rPr>
          <w:t>European scale assessment of the potential of ozonation and activated carbon treatment to reduce micropollutant emissions with wastewater</w:t>
        </w:r>
      </w:hyperlink>
      <w:r>
        <w:t xml:space="preserve">” (Eiropas mēroga novērtējums par ozonācijas un apstrādes ar aktivēto ogli spēju samazināt mikropiesārņotāju emisijas notekūdeņos). </w:t>
      </w:r>
    </w:p>
  </w:footnote>
  <w:footnote w:id="59">
    <w:p w14:paraId="1BD620DB" w14:textId="77777777" w:rsidR="00785059" w:rsidRPr="00874CDA" w:rsidRDefault="00785059" w:rsidP="00785059">
      <w:pPr>
        <w:pStyle w:val="FootnoteText"/>
        <w:spacing w:after="0"/>
      </w:pPr>
      <w:r>
        <w:rPr>
          <w:rStyle w:val="FootnoteReference"/>
        </w:rPr>
        <w:footnoteRef/>
      </w:r>
      <w:r>
        <w:tab/>
        <w:t>COM(2019) 128 final, plašāku informāciju sk. https://environment.ec.europa.eu/topics/water/surface-water_lv.</w:t>
      </w:r>
    </w:p>
  </w:footnote>
  <w:footnote w:id="60">
    <w:p w14:paraId="5C37C71B" w14:textId="77777777" w:rsidR="00E06994" w:rsidRPr="00874CDA" w:rsidRDefault="00E06994" w:rsidP="00E06994">
      <w:pPr>
        <w:pStyle w:val="Text1"/>
        <w:spacing w:after="0"/>
        <w:ind w:left="357" w:hanging="357"/>
      </w:pPr>
      <w:r>
        <w:rPr>
          <w:rStyle w:val="FootnoteReference"/>
          <w:sz w:val="20"/>
          <w:szCs w:val="16"/>
        </w:rPr>
        <w:footnoteRef/>
      </w:r>
      <w:r>
        <w:rPr>
          <w:sz w:val="20"/>
        </w:rPr>
        <w:tab/>
        <w:t xml:space="preserve">Sk. </w:t>
      </w:r>
      <w:hyperlink r:id="rId45" w:history="1">
        <w:r>
          <w:rPr>
            <w:rStyle w:val="Hyperlink"/>
            <w:sz w:val="20"/>
          </w:rPr>
          <w:t>nulles piesārņojuma monitoringu un perspektīvu 2025. gadam</w:t>
        </w:r>
      </w:hyperlink>
      <w:r>
        <w:rPr>
          <w:sz w:val="20"/>
        </w:rPr>
        <w:t>; EVA signāli: 1) </w:t>
      </w:r>
      <w:hyperlink r:id="rId46" w:history="1">
        <w:r>
          <w:rPr>
            <w:rStyle w:val="Hyperlink"/>
            <w:sz w:val="20"/>
          </w:rPr>
          <w:t xml:space="preserve">Dzeramā ūdens attīrīšana </w:t>
        </w:r>
        <w:r>
          <w:rPr>
            <w:rStyle w:val="Hyperlink"/>
            <w:i/>
            <w:sz w:val="20"/>
          </w:rPr>
          <w:t>PFAS</w:t>
        </w:r>
        <w:r>
          <w:rPr>
            <w:rStyle w:val="Hyperlink"/>
            <w:sz w:val="20"/>
          </w:rPr>
          <w:t xml:space="preserve"> atdalīšanai</w:t>
        </w:r>
      </w:hyperlink>
      <w:r>
        <w:rPr>
          <w:sz w:val="20"/>
        </w:rPr>
        <w:t>, 2) </w:t>
      </w:r>
      <w:hyperlink r:id="rId47" w:history="1">
        <w:r>
          <w:rPr>
            <w:rStyle w:val="Hyperlink"/>
            <w:i/>
            <w:sz w:val="20"/>
          </w:rPr>
          <w:t>PFAS</w:t>
        </w:r>
        <w:r>
          <w:rPr>
            <w:rStyle w:val="Hyperlink"/>
            <w:sz w:val="20"/>
          </w:rPr>
          <w:t xml:space="preserve"> piesārņojums un augsnes remediācija;</w:t>
        </w:r>
      </w:hyperlink>
      <w:r>
        <w:rPr>
          <w:sz w:val="20"/>
        </w:rPr>
        <w:t xml:space="preserve"> 3) </w:t>
      </w:r>
      <w:hyperlink r:id="rId48" w:history="1">
        <w:r>
          <w:rPr>
            <w:rStyle w:val="Hyperlink"/>
            <w:sz w:val="20"/>
          </w:rPr>
          <w:t>Infiltrāta piesārņojums no atkritumu poligoniem</w:t>
        </w:r>
      </w:hyperlink>
      <w:r>
        <w:t>.</w:t>
      </w:r>
    </w:p>
  </w:footnote>
  <w:footnote w:id="61">
    <w:p w14:paraId="62DE3045" w14:textId="4638689C" w:rsidR="00E06994" w:rsidRPr="00874CDA" w:rsidRDefault="00E06994" w:rsidP="00E06994">
      <w:pPr>
        <w:pStyle w:val="FootnoteText"/>
        <w:spacing w:after="0"/>
      </w:pPr>
      <w:r>
        <w:rPr>
          <w:rStyle w:val="FootnoteReference"/>
        </w:rPr>
        <w:footnoteRef/>
      </w:r>
      <w:r>
        <w:tab/>
      </w:r>
      <w:hyperlink r:id="rId49" w:history="1">
        <w:r>
          <w:rPr>
            <w:rStyle w:val="Hyperlink"/>
          </w:rPr>
          <w:t xml:space="preserve">2025. gada aprīlī </w:t>
        </w:r>
        <w:r>
          <w:rPr>
            <w:rStyle w:val="Hyperlink"/>
            <w:i/>
            <w:iCs/>
          </w:rPr>
          <w:t>ECHA</w:t>
        </w:r>
        <w:r>
          <w:rPr>
            <w:rStyle w:val="Hyperlink"/>
          </w:rPr>
          <w:t xml:space="preserve"> tika iesniegts priekšlikums</w:t>
        </w:r>
      </w:hyperlink>
      <w:r>
        <w:t xml:space="preserve"> </w:t>
      </w:r>
      <w:r>
        <w:rPr>
          <w:i/>
          <w:iCs/>
        </w:rPr>
        <w:t>TFA</w:t>
      </w:r>
      <w:r>
        <w:t xml:space="preserve"> saskaņotai klasificēšanai, nosakot, ka šīs vielas ir reproduktīvajai sistēmai toksiskas (1B) un noturīgas, mobilas un toksiskas vai ļoti noturīgas un ļoti mobilas (</w:t>
      </w:r>
      <w:r>
        <w:rPr>
          <w:i/>
          <w:iCs/>
        </w:rPr>
        <w:t>PMT/vPvM</w:t>
      </w:r>
      <w:r>
        <w:t xml:space="preserve">). </w:t>
      </w:r>
    </w:p>
  </w:footnote>
  <w:footnote w:id="62">
    <w:p w14:paraId="00EEC2A1" w14:textId="77777777" w:rsidR="00E06994" w:rsidRPr="00874CDA" w:rsidRDefault="00E06994" w:rsidP="00E06994">
      <w:pPr>
        <w:pStyle w:val="FootnoteText"/>
        <w:spacing w:after="0"/>
      </w:pPr>
      <w:r>
        <w:rPr>
          <w:rStyle w:val="FootnoteReference"/>
        </w:rPr>
        <w:footnoteRef/>
      </w:r>
      <w:r>
        <w:tab/>
      </w:r>
      <w:hyperlink r:id="rId50" w:history="1">
        <w:r>
          <w:rPr>
            <w:rStyle w:val="Hyperlink"/>
          </w:rPr>
          <w:t>Ūdens piesārņojums:</w:t>
        </w:r>
      </w:hyperlink>
      <w:hyperlink r:id="rId51" w:history="1">
        <w:r>
          <w:rPr>
            <w:rStyle w:val="Hyperlink"/>
          </w:rPr>
          <w:t xml:space="preserve"> Padome un Parlaments panāk provizorisku vienošanos atjaunināt sarakstus ar prioritārām vielām virszemes ūdeņos un gruntsūdeņos</w:t>
        </w:r>
      </w:hyperlink>
      <w:r>
        <w:t>.</w:t>
      </w:r>
    </w:p>
  </w:footnote>
  <w:footnote w:id="63">
    <w:p w14:paraId="62AD3BC1" w14:textId="77777777" w:rsidR="00E06994" w:rsidRPr="00874CDA" w:rsidRDefault="00E06994" w:rsidP="00E06994">
      <w:pPr>
        <w:pStyle w:val="FootnoteText"/>
        <w:spacing w:after="0"/>
      </w:pPr>
      <w:r>
        <w:rPr>
          <w:rStyle w:val="FootnoteReference"/>
        </w:rPr>
        <w:footnoteRef/>
      </w:r>
      <w:r>
        <w:tab/>
      </w:r>
      <w:hyperlink r:id="rId52" w:history="1">
        <w:r>
          <w:rPr>
            <w:rStyle w:val="Hyperlink"/>
          </w:rPr>
          <w:t>Komisija ierobežo “mūžīgo ķīmisko vielu” izmantošanu ugunsdzēsības putās</w:t>
        </w:r>
      </w:hyperlink>
      <w:r>
        <w:t>.</w:t>
      </w:r>
    </w:p>
  </w:footnote>
  <w:footnote w:id="64">
    <w:p w14:paraId="2ADA4DD5" w14:textId="77777777" w:rsidR="00E06994" w:rsidRPr="00874CDA" w:rsidRDefault="00E06994" w:rsidP="00E06994">
      <w:pPr>
        <w:pStyle w:val="FootnoteText"/>
        <w:spacing w:after="0"/>
      </w:pPr>
      <w:r>
        <w:rPr>
          <w:rStyle w:val="FootnoteReference"/>
        </w:rPr>
        <w:footnoteRef/>
      </w:r>
      <w:r>
        <w:tab/>
      </w:r>
      <w:r>
        <w:rPr>
          <w:i/>
          <w:iCs/>
        </w:rPr>
        <w:t>ECHA</w:t>
      </w:r>
      <w:r>
        <w:t xml:space="preserve"> (2025): </w:t>
      </w:r>
      <w:hyperlink r:id="rId53" w:history="1">
        <w:r>
          <w:rPr>
            <w:rStyle w:val="Hyperlink"/>
          </w:rPr>
          <w:t>Perfluoralkilvielas un polifluoralkilvielas (</w:t>
        </w:r>
        <w:r>
          <w:rPr>
            <w:rStyle w:val="Hyperlink"/>
            <w:i/>
          </w:rPr>
          <w:t>PFAS</w:t>
        </w:r>
        <w:r>
          <w:rPr>
            <w:rStyle w:val="Hyperlink"/>
          </w:rPr>
          <w:t>)</w:t>
        </w:r>
      </w:hyperlink>
      <w:r>
        <w:t>.</w:t>
      </w:r>
    </w:p>
  </w:footnote>
  <w:footnote w:id="65">
    <w:p w14:paraId="13E8A6D8" w14:textId="77777777" w:rsidR="00E06994" w:rsidRPr="00874CDA" w:rsidRDefault="00E06994" w:rsidP="00E06994">
      <w:pPr>
        <w:pStyle w:val="FootnoteText"/>
        <w:spacing w:after="0"/>
      </w:pPr>
      <w:r>
        <w:rPr>
          <w:rStyle w:val="FootnoteReference"/>
        </w:rPr>
        <w:footnoteRef/>
      </w:r>
      <w:r>
        <w:tab/>
        <w:t xml:space="preserve">PVO/ENV iemaksu nolīgums “Dzeramajā ūdenī esošo </w:t>
      </w:r>
      <w:r>
        <w:rPr>
          <w:i/>
          <w:iCs/>
        </w:rPr>
        <w:t>PFAS</w:t>
      </w:r>
      <w:r>
        <w:t xml:space="preserve"> ietekmes uz veselību novērtējums”.</w:t>
      </w:r>
    </w:p>
  </w:footnote>
  <w:footnote w:id="66">
    <w:p w14:paraId="5F55645D" w14:textId="77777777" w:rsidR="00E06994" w:rsidRPr="00874CDA" w:rsidRDefault="00E06994" w:rsidP="00E06994">
      <w:pPr>
        <w:ind w:left="357" w:hanging="357"/>
      </w:pPr>
      <w:r>
        <w:rPr>
          <w:rStyle w:val="FootnoteReference"/>
          <w:sz w:val="20"/>
        </w:rPr>
        <w:footnoteRef/>
      </w:r>
      <w:r>
        <w:tab/>
      </w:r>
      <w:r>
        <w:rPr>
          <w:sz w:val="20"/>
        </w:rPr>
        <w:t xml:space="preserve">Līgums “Apstrādes metožu analīze: konkrētu piesārņotāju izvadīšana un </w:t>
      </w:r>
      <w:r>
        <w:rPr>
          <w:i/>
          <w:sz w:val="20"/>
        </w:rPr>
        <w:t>EPR</w:t>
      </w:r>
      <w:r>
        <w:rPr>
          <w:sz w:val="20"/>
        </w:rPr>
        <w:t xml:space="preserve"> sistēmas izmantošanas iespējamības novērtējums attiecībā uz </w:t>
      </w:r>
      <w:r>
        <w:rPr>
          <w:i/>
          <w:sz w:val="20"/>
        </w:rPr>
        <w:t>PFAS</w:t>
      </w:r>
      <w:r>
        <w:rPr>
          <w:sz w:val="20"/>
        </w:rPr>
        <w:t>”.</w:t>
      </w:r>
      <w:r>
        <w:rPr>
          <w:sz w:val="20"/>
          <w:u w:val="single"/>
        </w:rPr>
        <w:t xml:space="preserve"> </w:t>
      </w:r>
    </w:p>
  </w:footnote>
  <w:footnote w:id="67">
    <w:p w14:paraId="69F830F4" w14:textId="77777777" w:rsidR="00E06994" w:rsidRPr="00874CDA" w:rsidRDefault="00E06994" w:rsidP="00E06994">
      <w:pPr>
        <w:pStyle w:val="FootnoteText"/>
        <w:spacing w:after="0"/>
      </w:pPr>
      <w:r>
        <w:rPr>
          <w:rStyle w:val="FootnoteReference"/>
        </w:rPr>
        <w:footnoteRef/>
      </w:r>
      <w:r>
        <w:tab/>
        <w:t>Regula (ES) 2025/40.</w:t>
      </w:r>
    </w:p>
  </w:footnote>
  <w:footnote w:id="68">
    <w:p w14:paraId="717AF36E" w14:textId="77777777" w:rsidR="00E06994" w:rsidRPr="00874CDA" w:rsidRDefault="00E06994" w:rsidP="00E06994">
      <w:pPr>
        <w:pStyle w:val="FootnoteText"/>
        <w:spacing w:after="0"/>
      </w:pPr>
      <w:r>
        <w:rPr>
          <w:rStyle w:val="FootnoteReference"/>
        </w:rPr>
        <w:footnoteRef/>
      </w:r>
      <w:r>
        <w:tab/>
        <w:t>COM(2025) 530 final.</w:t>
      </w:r>
    </w:p>
  </w:footnote>
  <w:footnote w:id="69">
    <w:p w14:paraId="14D9A74B" w14:textId="77777777" w:rsidR="00E06994" w:rsidRPr="00874CDA" w:rsidRDefault="00E06994" w:rsidP="00E06994">
      <w:pPr>
        <w:pStyle w:val="FootnoteText"/>
        <w:spacing w:after="0"/>
      </w:pPr>
      <w:r>
        <w:rPr>
          <w:rStyle w:val="FootnoteReference"/>
        </w:rPr>
        <w:footnoteRef/>
      </w:r>
      <w:r>
        <w:tab/>
        <w:t>COM(2025) 280 final.</w:t>
      </w:r>
    </w:p>
  </w:footnote>
  <w:footnote w:id="70">
    <w:p w14:paraId="7CF3A41C" w14:textId="77777777" w:rsidR="00E06994" w:rsidRPr="00874CDA" w:rsidRDefault="00E06994" w:rsidP="00E06994">
      <w:pPr>
        <w:pStyle w:val="FootnoteText"/>
        <w:spacing w:after="0"/>
      </w:pPr>
      <w:r>
        <w:rPr>
          <w:rStyle w:val="FootnoteReference"/>
        </w:rPr>
        <w:footnoteRef/>
      </w:r>
      <w:r>
        <w:tab/>
        <w:t xml:space="preserve">Īsteno, cieši koordinējot ar </w:t>
      </w:r>
      <w:hyperlink r:id="rId54" w:history="1">
        <w:r>
          <w:rPr>
            <w:rStyle w:val="Hyperlink"/>
          </w:rPr>
          <w:t>ES ķimikāliju rādītāju satvaru</w:t>
        </w:r>
      </w:hyperlink>
      <w:r>
        <w:t>.</w:t>
      </w:r>
    </w:p>
  </w:footnote>
  <w:footnote w:id="71">
    <w:p w14:paraId="29EBCB65" w14:textId="7D11FA7D" w:rsidR="00E06994" w:rsidRPr="00874CDA" w:rsidRDefault="00E06994" w:rsidP="00E06994">
      <w:pPr>
        <w:pStyle w:val="FootnoteText"/>
        <w:spacing w:after="0"/>
      </w:pPr>
      <w:r>
        <w:rPr>
          <w:rStyle w:val="FootnoteReference"/>
        </w:rPr>
        <w:footnoteRef/>
      </w:r>
      <w:r>
        <w:tab/>
        <w:t xml:space="preserve">COM(2025) 526 final un COM(2025) 531 final un COM(2025) 980 final, COM(2025) 981 final, COM(2025) 982 final, COM(2025) 983 final, COM(2025) 984 final, COM(2025) 985 final un COM(2025) 986 final. </w:t>
      </w:r>
    </w:p>
  </w:footnote>
  <w:footnote w:id="72">
    <w:p w14:paraId="55E6BA08" w14:textId="77777777" w:rsidR="00E06994" w:rsidRPr="00874CDA" w:rsidRDefault="00E06994" w:rsidP="00E06994">
      <w:pPr>
        <w:pStyle w:val="FootnoteText"/>
        <w:spacing w:after="0"/>
        <w:jc w:val="left"/>
      </w:pPr>
      <w:r>
        <w:rPr>
          <w:rStyle w:val="FootnoteReference"/>
        </w:rPr>
        <w:footnoteRef/>
      </w:r>
      <w:r>
        <w:tab/>
        <w:t xml:space="preserve">COM(2025) 420 final, vairāk informācijas: </w:t>
      </w:r>
      <w:hyperlink r:id="rId55" w:history="1">
        <w:r>
          <w:rPr>
            <w:rStyle w:val="Hyperlink"/>
          </w:rPr>
          <w:t>Vides politikas īstenošanas pārskats</w:t>
        </w:r>
      </w:hyperlink>
      <w:r>
        <w:t>.</w:t>
      </w:r>
    </w:p>
  </w:footnote>
  <w:footnote w:id="73">
    <w:p w14:paraId="0F7BA4AB" w14:textId="77777777" w:rsidR="00E06994" w:rsidRPr="00874CDA" w:rsidRDefault="00E06994" w:rsidP="00E06994">
      <w:pPr>
        <w:pStyle w:val="FootnoteText"/>
        <w:spacing w:after="0"/>
      </w:pPr>
      <w:r>
        <w:rPr>
          <w:rStyle w:val="FootnoteReference"/>
        </w:rPr>
        <w:footnoteRef/>
      </w:r>
      <w:r>
        <w:tab/>
        <w:t>No dalībvalstīm ieteiktajām 96 prioritārajām darbībām 36 darbības attiecas uz tiesību aktiem, kas saistīti ar piesārņojumu (sk. Dokumenta COM(2025) 420 final 1. pielikumu).</w:t>
      </w:r>
    </w:p>
  </w:footnote>
  <w:footnote w:id="74">
    <w:p w14:paraId="1568ECD8" w14:textId="2E93FA56" w:rsidR="00E06994" w:rsidRPr="00874CDA" w:rsidRDefault="00E06994" w:rsidP="00E06994">
      <w:pPr>
        <w:pStyle w:val="FootnoteText"/>
        <w:spacing w:after="0"/>
      </w:pPr>
      <w:r>
        <w:rPr>
          <w:rStyle w:val="FootnoteReference"/>
        </w:rPr>
        <w:footnoteRef/>
      </w:r>
      <w:r>
        <w:tab/>
        <w:t xml:space="preserve">Jo īpaši strukturētie dialogi, par kuriem paziņots Ūdensresursu noturības stratēģijas kontekstā. </w:t>
      </w:r>
    </w:p>
  </w:footnote>
  <w:footnote w:id="75">
    <w:p w14:paraId="7552E133" w14:textId="77777777" w:rsidR="00E06994" w:rsidRPr="00874CDA" w:rsidRDefault="00E06994" w:rsidP="00E06994">
      <w:pPr>
        <w:pStyle w:val="FootnoteText"/>
        <w:spacing w:after="0"/>
      </w:pPr>
      <w:r>
        <w:rPr>
          <w:rStyle w:val="FootnoteReference"/>
        </w:rPr>
        <w:footnoteRef/>
      </w:r>
      <w:r>
        <w:tab/>
        <w:t>COM(2025) 2 final, COM(2025) 3 final un saistītie SWD dokumenti.</w:t>
      </w:r>
    </w:p>
  </w:footnote>
  <w:footnote w:id="76">
    <w:p w14:paraId="54C54992" w14:textId="128A8DF2" w:rsidR="00F457FB" w:rsidRPr="00EA58EC" w:rsidRDefault="00F457FB" w:rsidP="00EA58EC">
      <w:pPr>
        <w:pStyle w:val="FootnoteText"/>
        <w:spacing w:after="0"/>
      </w:pPr>
      <w:r>
        <w:rPr>
          <w:rStyle w:val="FootnoteReference"/>
        </w:rPr>
        <w:footnoteRef/>
      </w:r>
      <w:r>
        <w:t xml:space="preserve"> </w:t>
      </w:r>
      <w:r>
        <w:tab/>
      </w:r>
      <w:hyperlink r:id="rId56" w:history="1">
        <w:r>
          <w:rPr>
            <w:rStyle w:val="Hyperlink"/>
          </w:rPr>
          <w:t>Nulles piesārņojums vietējā līmenī |</w:t>
        </w:r>
      </w:hyperlink>
      <w:hyperlink r:id="rId57" w:history="1">
        <w:r>
          <w:rPr>
            <w:rStyle w:val="Hyperlink"/>
          </w:rPr>
          <w:t xml:space="preserve"> Eiropas Reģionu komiteja</w:t>
        </w:r>
      </w:hyperlink>
      <w:r>
        <w:t>.</w:t>
      </w:r>
    </w:p>
  </w:footnote>
  <w:footnote w:id="77">
    <w:p w14:paraId="07964D5A" w14:textId="77777777" w:rsidR="00E06994" w:rsidRPr="00874CDA" w:rsidRDefault="00E06994" w:rsidP="00E06994">
      <w:pPr>
        <w:pStyle w:val="FootnoteText"/>
        <w:spacing w:after="0"/>
      </w:pPr>
      <w:r>
        <w:rPr>
          <w:rStyle w:val="FootnoteReference"/>
        </w:rPr>
        <w:footnoteRef/>
      </w:r>
      <w:r>
        <w:tab/>
        <w:t xml:space="preserve">Piemēram, izmantojot </w:t>
      </w:r>
      <w:hyperlink r:id="rId58" w:history="1">
        <w:r>
          <w:rPr>
            <w:rStyle w:val="Hyperlink"/>
            <w:i/>
            <w:iCs/>
          </w:rPr>
          <w:t>TAIEX EIR</w:t>
        </w:r>
        <w:r>
          <w:rPr>
            <w:rStyle w:val="Hyperlink"/>
          </w:rPr>
          <w:t xml:space="preserve"> līdzbiedru</w:t>
        </w:r>
      </w:hyperlink>
      <w:r>
        <w:t xml:space="preserve"> atbalstu, tehniskā atbalsta instrumentu Eiropas pusgada kontekstā vai EIB Ūdens programmu un Ūdensresursu ilgtspējas konsultatīvo mehānismu, par ko paziņots Eiropas Ūdensresursu noturības stratēģijā. </w:t>
      </w:r>
    </w:p>
  </w:footnote>
  <w:footnote w:id="78">
    <w:p w14:paraId="2C2237DC" w14:textId="77777777" w:rsidR="00E06994" w:rsidRPr="00874CDA" w:rsidRDefault="00E06994" w:rsidP="00E06994">
      <w:pPr>
        <w:pStyle w:val="FootnoteText"/>
        <w:spacing w:after="0"/>
      </w:pPr>
      <w:r>
        <w:rPr>
          <w:rStyle w:val="FootnoteReference"/>
        </w:rPr>
        <w:footnoteRef/>
      </w:r>
      <w:r>
        <w:tab/>
        <w:t xml:space="preserve">COM(2025) 420 final un </w:t>
      </w:r>
      <w:r>
        <w:rPr>
          <w:i/>
          <w:iCs/>
        </w:rPr>
        <w:t>EIR</w:t>
      </w:r>
      <w:r>
        <w:t xml:space="preserve"> infopanelis: </w:t>
      </w:r>
      <w:hyperlink r:id="rId59" w:history="1">
        <w:r>
          <w:rPr>
            <w:rStyle w:val="Hyperlink"/>
          </w:rPr>
          <w:t>https://environment.ec.europa.eu/app/eir-dashboard-on-environmental-investment-needs-and-gaps</w:t>
        </w:r>
      </w:hyperlink>
      <w:r>
        <w:t>.</w:t>
      </w:r>
    </w:p>
  </w:footnote>
  <w:footnote w:id="79">
    <w:p w14:paraId="37C5B54F" w14:textId="61906E24" w:rsidR="00E06994" w:rsidRPr="00874CDA" w:rsidRDefault="00E06994" w:rsidP="00E06994">
      <w:pPr>
        <w:pStyle w:val="FootnoteText"/>
        <w:spacing w:after="0"/>
      </w:pPr>
      <w:r>
        <w:rPr>
          <w:rStyle w:val="FootnoteReference"/>
        </w:rPr>
        <w:footnoteRef/>
      </w:r>
      <w:r>
        <w:tab/>
      </w:r>
      <w:hyperlink r:id="rId60" w:history="1">
        <w:r>
          <w:rPr>
            <w:rStyle w:val="Hyperlink"/>
          </w:rPr>
          <w:t>ES vides tiesību aktu neīstenošanas izmaksu atjauninājums</w:t>
        </w:r>
      </w:hyperlink>
      <w:r>
        <w:t>.</w:t>
      </w:r>
    </w:p>
  </w:footnote>
  <w:footnote w:id="80">
    <w:p w14:paraId="68B3D133" w14:textId="77777777" w:rsidR="00E06994" w:rsidRPr="00874CDA" w:rsidRDefault="00E06994" w:rsidP="00E06994">
      <w:pPr>
        <w:pStyle w:val="FootnoteText"/>
        <w:spacing w:after="0"/>
      </w:pPr>
      <w:r>
        <w:rPr>
          <w:rStyle w:val="FootnoteReference"/>
        </w:rPr>
        <w:footnoteRef/>
      </w:r>
      <w:r>
        <w:tab/>
      </w:r>
      <w:hyperlink r:id="rId61" w:history="1">
        <w:r>
          <w:rPr>
            <w:rStyle w:val="Hyperlink"/>
          </w:rPr>
          <w:t>Modernizēta kohēzijas politika.</w:t>
        </w:r>
      </w:hyperlink>
      <w:hyperlink r:id="rId62" w:history="1">
        <w:r>
          <w:rPr>
            <w:rStyle w:val="Hyperlink"/>
          </w:rPr>
          <w:t xml:space="preserve"> Vidusposma pārskatīšana</w:t>
        </w:r>
      </w:hyperlink>
      <w:r>
        <w:t>.</w:t>
      </w:r>
    </w:p>
  </w:footnote>
  <w:footnote w:id="81">
    <w:p w14:paraId="556D83F1" w14:textId="77777777" w:rsidR="00E06994" w:rsidRPr="00E15F82" w:rsidRDefault="00E06994" w:rsidP="00E06994">
      <w:pPr>
        <w:pStyle w:val="FootnoteText"/>
        <w:spacing w:after="0"/>
      </w:pPr>
      <w:r>
        <w:rPr>
          <w:rStyle w:val="FootnoteReference"/>
        </w:rPr>
        <w:footnoteRef/>
      </w:r>
      <w:r>
        <w:tab/>
        <w:t>Regula (ES) 2025/1914.</w:t>
      </w:r>
    </w:p>
  </w:footnote>
  <w:footnote w:id="82">
    <w:p w14:paraId="10085EF8" w14:textId="6FEAD062" w:rsidR="00C51D5B" w:rsidRPr="00C51D5B" w:rsidRDefault="00C51D5B" w:rsidP="00EA58EC">
      <w:pPr>
        <w:pStyle w:val="FootnoteText"/>
        <w:spacing w:after="0"/>
      </w:pPr>
      <w:r>
        <w:rPr>
          <w:rStyle w:val="FootnoteReference"/>
        </w:rPr>
        <w:footnoteRef/>
      </w:r>
      <w:r>
        <w:tab/>
      </w:r>
      <w:hyperlink r:id="rId63" w:history="1">
        <w:r>
          <w:rPr>
            <w:rStyle w:val="Hyperlink"/>
          </w:rPr>
          <w:t>Tīra gaisa izsekošana</w:t>
        </w:r>
      </w:hyperlink>
      <w:r>
        <w:t>.</w:t>
      </w:r>
    </w:p>
  </w:footnote>
  <w:footnote w:id="83">
    <w:p w14:paraId="656B9C66" w14:textId="42FE0CAD" w:rsidR="00E06994" w:rsidRPr="00E15F82" w:rsidRDefault="00E06994" w:rsidP="00E06994">
      <w:pPr>
        <w:pStyle w:val="FootnoteText"/>
        <w:spacing w:after="0"/>
      </w:pPr>
      <w:r>
        <w:rPr>
          <w:rStyle w:val="FootnoteReference"/>
        </w:rPr>
        <w:footnoteRef/>
      </w:r>
      <w:r>
        <w:tab/>
      </w:r>
      <w:hyperlink r:id="rId64" w:history="1">
        <w:r>
          <w:rPr>
            <w:rStyle w:val="Hyperlink"/>
          </w:rPr>
          <w:t>ES budžets 2028.–2034. gadam: spēcīgākai Eiropai</w:t>
        </w:r>
      </w:hyperlink>
      <w:r>
        <w:t xml:space="preserve"> (COM(2025) 555 final, COM(2025) 565 final, COM(2025) 543 final, COM(2025) 560 final, COM(2025) 559 final un COM(2025) 552 final).</w:t>
      </w:r>
    </w:p>
  </w:footnote>
  <w:footnote w:id="84">
    <w:p w14:paraId="6727083A" w14:textId="6DE63408" w:rsidR="00E06994" w:rsidRPr="00E15F82" w:rsidRDefault="00E06994" w:rsidP="00E06994">
      <w:pPr>
        <w:pStyle w:val="FootnoteText"/>
        <w:spacing w:after="0"/>
      </w:pPr>
      <w:r>
        <w:rPr>
          <w:rStyle w:val="FootnoteReference"/>
        </w:rPr>
        <w:footnoteRef/>
      </w:r>
      <w:r>
        <w:tab/>
        <w:t xml:space="preserve">Sk., piemēram, “2025. gada </w:t>
      </w:r>
      <w:hyperlink r:id="rId65" w:history="1">
        <w:r>
          <w:rPr>
            <w:rStyle w:val="Hyperlink"/>
          </w:rPr>
          <w:t>ziņojumu par nodokļiem</w:t>
        </w:r>
      </w:hyperlink>
      <w:r>
        <w:t>”.</w:t>
      </w:r>
    </w:p>
  </w:footnote>
  <w:footnote w:id="85">
    <w:p w14:paraId="5F738D82" w14:textId="77777777" w:rsidR="00E06994" w:rsidRPr="00874CDA" w:rsidRDefault="00E06994" w:rsidP="00E06994">
      <w:pPr>
        <w:pStyle w:val="FootnoteText"/>
        <w:spacing w:after="0"/>
      </w:pPr>
      <w:r>
        <w:rPr>
          <w:rStyle w:val="FootnoteReference"/>
        </w:rPr>
        <w:footnoteRef/>
      </w:r>
      <w:r>
        <w:tab/>
      </w:r>
      <w:hyperlink r:id="rId66" w:history="1">
        <w:r>
          <w:rPr>
            <w:rStyle w:val="Hyperlink"/>
          </w:rPr>
          <w:t>2024. gada Eiropas pusgads:</w:t>
        </w:r>
      </w:hyperlink>
      <w:hyperlink r:id="rId67" w:history="1">
        <w:r>
          <w:rPr>
            <w:rStyle w:val="Hyperlink"/>
          </w:rPr>
          <w:t xml:space="preserve"> pavasara pakete</w:t>
        </w:r>
      </w:hyperlink>
      <w:r>
        <w:t>.</w:t>
      </w:r>
    </w:p>
  </w:footnote>
  <w:footnote w:id="86">
    <w:p w14:paraId="37CBA200" w14:textId="77777777" w:rsidR="00E06994" w:rsidRPr="00874CDA" w:rsidRDefault="00E06994" w:rsidP="00E06994">
      <w:pPr>
        <w:pStyle w:val="FootnoteText"/>
        <w:spacing w:after="0"/>
      </w:pPr>
      <w:r>
        <w:rPr>
          <w:rStyle w:val="FootnoteReference"/>
        </w:rPr>
        <w:footnoteRef/>
      </w:r>
      <w:r>
        <w:tab/>
      </w:r>
      <w:hyperlink r:id="rId68" w:history="1">
        <w:r>
          <w:rPr>
            <w:rStyle w:val="Hyperlink"/>
          </w:rPr>
          <w:t>ES taksonomijas ieviešana uz vietas</w:t>
        </w:r>
      </w:hyperlink>
      <w:r>
        <w:t>.</w:t>
      </w:r>
    </w:p>
  </w:footnote>
  <w:footnote w:id="87">
    <w:p w14:paraId="1A12BA23" w14:textId="77777777" w:rsidR="00E06994" w:rsidRPr="00874CDA" w:rsidRDefault="00E06994" w:rsidP="00E06994">
      <w:pPr>
        <w:pStyle w:val="FootnoteText"/>
        <w:spacing w:after="0"/>
      </w:pPr>
      <w:r>
        <w:rPr>
          <w:rStyle w:val="FootnoteReference"/>
        </w:rPr>
        <w:footnoteRef/>
      </w:r>
      <w:r>
        <w:tab/>
        <w:t>“</w:t>
      </w:r>
      <w:r>
        <w:rPr>
          <w:i/>
        </w:rPr>
        <w:t>savedīs kopā vides jomas un citu jomu izpildes panākšanas iestādes (piemēram, tās, kas atbild par ES transporta, enerģētikas, lauksaimniecības vai patērētāju tiesību aizsardzības tiesību aktiem), lai sāktu apmaiņu ar paraugpraksi un mudinātu dalībvalstis izstrādāt pārnozaru atbilstības pasākumus nolūkā panākt nulles toleranci pret piesārņojumu nacionālā un pārrobežu līmenī.</w:t>
      </w:r>
      <w:r>
        <w:t>”</w:t>
      </w:r>
    </w:p>
  </w:footnote>
  <w:footnote w:id="88">
    <w:p w14:paraId="5B7B85EA" w14:textId="77777777" w:rsidR="00E06994" w:rsidRPr="00874CDA" w:rsidRDefault="00E06994" w:rsidP="00E06994">
      <w:pPr>
        <w:pStyle w:val="FootnoteText"/>
        <w:spacing w:after="0"/>
      </w:pPr>
      <w:r>
        <w:rPr>
          <w:rStyle w:val="FootnoteReference"/>
        </w:rPr>
        <w:footnoteRef/>
      </w:r>
      <w:r>
        <w:tab/>
        <w:t>COM(2025) 270 final.</w:t>
      </w:r>
    </w:p>
  </w:footnote>
  <w:footnote w:id="89">
    <w:p w14:paraId="2CCD3A80" w14:textId="77777777" w:rsidR="00E06994" w:rsidRPr="00874CDA" w:rsidRDefault="00E06994" w:rsidP="00E06994">
      <w:pPr>
        <w:pStyle w:val="FootnoteText"/>
        <w:spacing w:after="0"/>
      </w:pPr>
      <w:r>
        <w:rPr>
          <w:rStyle w:val="FootnoteReference"/>
        </w:rPr>
        <w:footnoteRef/>
      </w:r>
      <w:r>
        <w:tab/>
        <w:t xml:space="preserve">Izveidots saistībā ar pārskatīto Rūpniecisko emisiju direktīvu (ES) 2024/1785, sk. </w:t>
      </w:r>
      <w:hyperlink r:id="rId69" w:history="1">
        <w:r>
          <w:rPr>
            <w:rStyle w:val="Hyperlink"/>
          </w:rPr>
          <w:t>Eiropas Industriālās pārveides un emisiju inovācijas centrs |</w:t>
        </w:r>
      </w:hyperlink>
      <w:hyperlink r:id="rId70" w:history="1">
        <w:r>
          <w:rPr>
            <w:rStyle w:val="Hyperlink"/>
          </w:rPr>
          <w:t xml:space="preserve"> </w:t>
        </w:r>
        <w:r>
          <w:rPr>
            <w:rStyle w:val="Hyperlink"/>
            <w:i/>
          </w:rPr>
          <w:t>INCITE</w:t>
        </w:r>
      </w:hyperlink>
      <w:r>
        <w:t>.</w:t>
      </w:r>
    </w:p>
  </w:footnote>
  <w:footnote w:id="90">
    <w:p w14:paraId="584A07D5" w14:textId="77777777" w:rsidR="00E06994" w:rsidRPr="00874CDA" w:rsidRDefault="00E06994" w:rsidP="00E06994">
      <w:pPr>
        <w:pStyle w:val="FootnoteText"/>
        <w:spacing w:after="0"/>
      </w:pPr>
      <w:r>
        <w:rPr>
          <w:rStyle w:val="FootnoteReference"/>
        </w:rPr>
        <w:footnoteRef/>
      </w:r>
      <w:r>
        <w:tab/>
        <w:t>COM(2025) 530 final.</w:t>
      </w:r>
    </w:p>
  </w:footnote>
  <w:footnote w:id="91">
    <w:p w14:paraId="07737366" w14:textId="46BC09C1" w:rsidR="003E207A" w:rsidRPr="00B963A4" w:rsidRDefault="003E207A" w:rsidP="00A2117D">
      <w:pPr>
        <w:pStyle w:val="FootnoteText"/>
        <w:spacing w:after="0"/>
      </w:pPr>
      <w:r>
        <w:rPr>
          <w:vertAlign w:val="superscript"/>
        </w:rPr>
        <w:footnoteRef/>
      </w:r>
      <w:r>
        <w:tab/>
        <w:t>Konceptuāli drošas un ilgtspējīgas ķimikālijas un materiāli. Pārskatītais satvars (2025. gads). JRC143022 (</w:t>
      </w:r>
      <w:hyperlink r:id="rId71" w:history="1">
        <w:r>
          <w:rPr>
            <w:rStyle w:val="Hyperlink"/>
          </w:rPr>
          <w:t>notiek sagatavošana publicēšanai</w:t>
        </w:r>
      </w:hyperlink>
      <w:r>
        <w:t>).</w:t>
      </w:r>
    </w:p>
  </w:footnote>
  <w:footnote w:id="92">
    <w:p w14:paraId="2B1B4D39" w14:textId="77777777" w:rsidR="00E06994" w:rsidRPr="00874CDA" w:rsidRDefault="00E06994" w:rsidP="00E06994">
      <w:pPr>
        <w:pStyle w:val="FootnoteText"/>
        <w:spacing w:after="0"/>
      </w:pPr>
      <w:r>
        <w:rPr>
          <w:rStyle w:val="FootnoteReference"/>
        </w:rPr>
        <w:footnoteRef/>
      </w:r>
      <w:r>
        <w:tab/>
        <w:t>“Augsnes kurss Eiropai”, “Mūsu okeāna un ūdeņu atjaunošana” un “Klimatneitrālas un viedas pilsētas”.</w:t>
      </w:r>
    </w:p>
  </w:footnote>
  <w:footnote w:id="93">
    <w:p w14:paraId="516E4B30" w14:textId="7DF7760D" w:rsidR="00E06994" w:rsidRPr="00874CDA" w:rsidRDefault="00E06994" w:rsidP="00E06994">
      <w:pPr>
        <w:pStyle w:val="FootnoteText"/>
        <w:spacing w:after="0"/>
      </w:pPr>
      <w:r>
        <w:rPr>
          <w:rStyle w:val="FootnoteReference"/>
        </w:rPr>
        <w:footnoteRef/>
      </w:r>
      <w:r>
        <w:tab/>
        <w:t>Partnerība ķimikāliju radītā riska novērtēšanai (</w:t>
      </w:r>
      <w:r>
        <w:rPr>
          <w:i/>
          <w:iCs/>
        </w:rPr>
        <w:t>PARC</w:t>
      </w:r>
      <w:r>
        <w:t xml:space="preserve">) vai </w:t>
      </w:r>
      <w:r>
        <w:rPr>
          <w:i/>
          <w:iCs/>
        </w:rPr>
        <w:t>Water4All – Water Security for the Planet</w:t>
      </w:r>
      <w:r>
        <w:t>.</w:t>
      </w:r>
    </w:p>
  </w:footnote>
  <w:footnote w:id="94">
    <w:p w14:paraId="0F475538" w14:textId="1978D580" w:rsidR="00E06994" w:rsidRPr="00874CDA" w:rsidRDefault="00E06994" w:rsidP="00E06994">
      <w:pPr>
        <w:pStyle w:val="FootnoteText"/>
        <w:spacing w:after="0"/>
      </w:pPr>
      <w:r>
        <w:rPr>
          <w:rStyle w:val="FootnoteReference"/>
        </w:rPr>
        <w:footnoteRef/>
      </w:r>
      <w:r>
        <w:tab/>
      </w:r>
      <w:hyperlink r:id="rId72" w:history="1">
        <w:r>
          <w:rPr>
            <w:rStyle w:val="Hyperlink"/>
          </w:rPr>
          <w:t>Pamatprogrammas “Apvārsnis Eiropa” projekti, kas atbalsta nulles piesārņojuma rīcības plānu</w:t>
        </w:r>
      </w:hyperlink>
      <w:r>
        <w:t>.</w:t>
      </w:r>
    </w:p>
  </w:footnote>
  <w:footnote w:id="95">
    <w:p w14:paraId="3E9D0495" w14:textId="77777777" w:rsidR="00E06994" w:rsidRPr="00874CDA" w:rsidRDefault="00E06994" w:rsidP="00E06994">
      <w:pPr>
        <w:pStyle w:val="FootnoteText"/>
        <w:spacing w:after="0"/>
      </w:pPr>
      <w:r>
        <w:rPr>
          <w:rStyle w:val="FootnoteReference"/>
        </w:rPr>
        <w:footnoteRef/>
      </w:r>
      <w:r>
        <w:tab/>
        <w:t>Lai gan tā ietvaros spēja finansēt tikai četrus atlasītus projektus par kopējo summu 20 miljoni EUR.</w:t>
      </w:r>
    </w:p>
  </w:footnote>
  <w:footnote w:id="96">
    <w:p w14:paraId="28C5ADA9" w14:textId="77777777" w:rsidR="00E06994" w:rsidRPr="00874CDA" w:rsidRDefault="00E06994" w:rsidP="00E06994">
      <w:pPr>
        <w:pStyle w:val="FootnoteText"/>
        <w:spacing w:after="0"/>
      </w:pPr>
      <w:r>
        <w:rPr>
          <w:rStyle w:val="FootnoteReference"/>
        </w:rPr>
        <w:footnoteRef/>
      </w:r>
      <w:r>
        <w:tab/>
      </w:r>
      <w:hyperlink r:id="rId73" w:history="1">
        <w:r>
          <w:rPr>
            <w:rStyle w:val="Hyperlink"/>
            <w:i/>
            <w:iCs/>
          </w:rPr>
          <w:t>LIFE</w:t>
        </w:r>
        <w:r>
          <w:rPr>
            <w:rStyle w:val="Hyperlink"/>
          </w:rPr>
          <w:t xml:space="preserve"> projektu portfelis – pārskats</w:t>
        </w:r>
      </w:hyperlink>
      <w:r>
        <w:t xml:space="preserve"> (2014. gads un turpmāk).</w:t>
      </w:r>
    </w:p>
  </w:footnote>
  <w:footnote w:id="97">
    <w:p w14:paraId="2485578A" w14:textId="77777777" w:rsidR="00E06994" w:rsidRPr="00874CDA" w:rsidRDefault="00E06994" w:rsidP="00E06994">
      <w:pPr>
        <w:pStyle w:val="FootnoteText"/>
        <w:spacing w:after="0"/>
      </w:pPr>
      <w:r>
        <w:rPr>
          <w:rStyle w:val="FootnoteReference"/>
        </w:rPr>
        <w:footnoteRef/>
      </w:r>
      <w:r>
        <w:tab/>
      </w:r>
      <w:hyperlink r:id="rId74" w:history="1">
        <w:r>
          <w:rPr>
            <w:rStyle w:val="Hyperlink"/>
          </w:rPr>
          <w:t>2025. gada Ziņojums par nulles piesārņojuma monitoringu un perspektīvu</w:t>
        </w:r>
      </w:hyperlink>
      <w:r>
        <w:t>.</w:t>
      </w:r>
    </w:p>
  </w:footnote>
  <w:footnote w:id="98">
    <w:p w14:paraId="2A7C0514" w14:textId="5DEB61AF" w:rsidR="00E06994" w:rsidRPr="00874CDA" w:rsidRDefault="00E06994" w:rsidP="00E06994">
      <w:pPr>
        <w:pStyle w:val="FootnoteText"/>
        <w:spacing w:after="0"/>
      </w:pPr>
      <w:r>
        <w:rPr>
          <w:rStyle w:val="FootnoteReference"/>
        </w:rPr>
        <w:footnoteRef/>
      </w:r>
      <w:r>
        <w:tab/>
        <w:t xml:space="preserve">Iniciatīvu atbalstīs pētniecības projekti, piemēram, ES misija “Augsnes kurss Eiropai” (2025. gada uzaicinājums, īpašas “dzīvās laboratorijas” augsnes remediācijai). </w:t>
      </w:r>
    </w:p>
  </w:footnote>
  <w:footnote w:id="99">
    <w:p w14:paraId="72DB8FBA" w14:textId="77777777" w:rsidR="00E06994" w:rsidRPr="00874CDA" w:rsidRDefault="00E06994" w:rsidP="00E06994">
      <w:pPr>
        <w:pStyle w:val="FootnoteText"/>
        <w:spacing w:after="0"/>
      </w:pPr>
      <w:r>
        <w:rPr>
          <w:rStyle w:val="FootnoteReference"/>
        </w:rPr>
        <w:footnoteRef/>
      </w:r>
      <w:r>
        <w:tab/>
        <w:t>SWD(2021) 140 final.</w:t>
      </w:r>
    </w:p>
  </w:footnote>
  <w:footnote w:id="100">
    <w:p w14:paraId="6C25CD00" w14:textId="4BA33DE1" w:rsidR="00E06994" w:rsidRPr="00874CDA" w:rsidRDefault="00E06994" w:rsidP="00E06994">
      <w:pPr>
        <w:pStyle w:val="FootnoteText"/>
        <w:spacing w:after="0"/>
      </w:pPr>
      <w:r>
        <w:rPr>
          <w:rStyle w:val="FootnoteReference"/>
        </w:rPr>
        <w:footnoteRef/>
      </w:r>
      <w:r>
        <w:tab/>
      </w:r>
      <w:hyperlink r:id="rId75" w:history="1">
        <w:r>
          <w:rPr>
            <w:rStyle w:val="Hyperlink"/>
            <w:i/>
            <w:iCs/>
          </w:rPr>
          <w:t>ENoLL</w:t>
        </w:r>
        <w:r>
          <w:rPr>
            <w:rStyle w:val="Hyperlink"/>
          </w:rPr>
          <w:t xml:space="preserve"> 2023. gada ieteikumi</w:t>
        </w:r>
      </w:hyperlink>
      <w:r>
        <w:t xml:space="preserve">. </w:t>
      </w:r>
    </w:p>
  </w:footnote>
  <w:footnote w:id="101">
    <w:p w14:paraId="013671B7" w14:textId="77777777" w:rsidR="00E06994" w:rsidRPr="00874CDA" w:rsidRDefault="00E06994" w:rsidP="00E06994">
      <w:pPr>
        <w:pStyle w:val="FootnoteText"/>
        <w:spacing w:after="0"/>
      </w:pPr>
      <w:r>
        <w:rPr>
          <w:rStyle w:val="FootnoteReference"/>
        </w:rPr>
        <w:footnoteRef/>
      </w:r>
      <w:r>
        <w:tab/>
      </w:r>
      <w:hyperlink r:id="rId76" w:history="1">
        <w:r>
          <w:rPr>
            <w:rStyle w:val="Hyperlink"/>
          </w:rPr>
          <w:t>Galamērķis Zeme (</w:t>
        </w:r>
        <w:r>
          <w:rPr>
            <w:rStyle w:val="Hyperlink"/>
            <w:i/>
            <w:iCs/>
          </w:rPr>
          <w:t>DestinE</w:t>
        </w:r>
        <w:r>
          <w:rPr>
            <w:rStyle w:val="Hyperlink"/>
          </w:rPr>
          <w:t>) – Zemes digitālais modelis</w:t>
        </w:r>
      </w:hyperlink>
      <w:r>
        <w:t xml:space="preserve"> un </w:t>
      </w:r>
      <w:hyperlink r:id="rId77" w:history="1">
        <w:r>
          <w:rPr>
            <w:rStyle w:val="Hyperlink"/>
          </w:rPr>
          <w:t xml:space="preserve">Eiropas okeāna digitālais dvīnis (Eiropas </w:t>
        </w:r>
        <w:r>
          <w:rPr>
            <w:rStyle w:val="Hyperlink"/>
            <w:i/>
            <w:iCs/>
          </w:rPr>
          <w:t>DTO</w:t>
        </w:r>
        <w:r>
          <w:rPr>
            <w:rStyle w:val="Hyperlink"/>
          </w:rPr>
          <w:t>)</w:t>
        </w:r>
      </w:hyperlink>
      <w:r>
        <w:t>.</w:t>
      </w:r>
    </w:p>
  </w:footnote>
  <w:footnote w:id="102">
    <w:p w14:paraId="4A2C1EFE" w14:textId="77777777" w:rsidR="00895893" w:rsidRPr="00874CDA" w:rsidRDefault="00895893" w:rsidP="00895893">
      <w:pPr>
        <w:pStyle w:val="FootnoteText"/>
        <w:spacing w:after="0"/>
      </w:pPr>
      <w:r>
        <w:rPr>
          <w:rStyle w:val="FootnoteReference"/>
        </w:rPr>
        <w:footnoteRef/>
      </w:r>
      <w:r>
        <w:tab/>
        <w:t>“Datu telpa ilgtspējīgai zaļai Eiropai” (</w:t>
      </w:r>
      <w:hyperlink r:id="rId78" w:history="1">
        <w:r>
          <w:rPr>
            <w:rStyle w:val="Hyperlink"/>
            <w:i/>
            <w:iCs/>
          </w:rPr>
          <w:t>SAGE</w:t>
        </w:r>
        <w:r>
          <w:rPr>
            <w:rStyle w:val="Hyperlink"/>
          </w:rPr>
          <w:t xml:space="preserve"> projekts</w:t>
        </w:r>
      </w:hyperlink>
      <w:r>
        <w:t xml:space="preserve">) vai iepriekšējais </w:t>
      </w:r>
      <w:hyperlink r:id="rId79" w:history="1">
        <w:r>
          <w:rPr>
            <w:rStyle w:val="Hyperlink"/>
          </w:rPr>
          <w:t xml:space="preserve">zaļā kursa datu telpas </w:t>
        </w:r>
        <w:r>
          <w:rPr>
            <w:rStyle w:val="Hyperlink"/>
            <w:i/>
            <w:iCs/>
          </w:rPr>
          <w:t>GREAT</w:t>
        </w:r>
        <w:r>
          <w:rPr>
            <w:rStyle w:val="Hyperlink"/>
          </w:rPr>
          <w:t xml:space="preserve"> projekts</w:t>
        </w:r>
      </w:hyperlink>
      <w:r>
        <w:t>.</w:t>
      </w:r>
    </w:p>
  </w:footnote>
  <w:footnote w:id="103">
    <w:p w14:paraId="5F629D82" w14:textId="77777777" w:rsidR="00E06994" w:rsidRPr="00874CDA" w:rsidRDefault="00E06994" w:rsidP="00E06994">
      <w:pPr>
        <w:pStyle w:val="FootnoteText"/>
        <w:spacing w:after="0"/>
      </w:pPr>
      <w:r>
        <w:rPr>
          <w:rStyle w:val="FootnoteReference"/>
        </w:rPr>
        <w:footnoteRef/>
      </w:r>
      <w:r>
        <w:tab/>
      </w:r>
      <w:hyperlink r:id="rId80" w:history="1">
        <w:r>
          <w:rPr>
            <w:rStyle w:val="Hyperlink"/>
          </w:rPr>
          <w:t>Eiropas datu telpa viedām kopienām</w:t>
        </w:r>
      </w:hyperlink>
      <w:r>
        <w:t xml:space="preserve">, sk. </w:t>
      </w:r>
      <w:r>
        <w:rPr>
          <w:i/>
          <w:iCs/>
        </w:rPr>
        <w:t>STid</w:t>
      </w:r>
      <w:r>
        <w:t xml:space="preserve">, </w:t>
      </w:r>
      <w:r>
        <w:rPr>
          <w:i/>
          <w:iCs/>
        </w:rPr>
        <w:t>IPPCP</w:t>
      </w:r>
      <w:r>
        <w:t xml:space="preserve"> un </w:t>
      </w:r>
      <w:r>
        <w:rPr>
          <w:i/>
          <w:iCs/>
        </w:rPr>
        <w:t>Geo4Water</w:t>
      </w:r>
      <w:r>
        <w:t xml:space="preserve"> izmēģinājuma projektus. </w:t>
      </w:r>
    </w:p>
  </w:footnote>
  <w:footnote w:id="104">
    <w:p w14:paraId="40189FC4" w14:textId="77777777" w:rsidR="005254CF" w:rsidRPr="00874CDA" w:rsidRDefault="005254CF" w:rsidP="005254CF">
      <w:pPr>
        <w:pStyle w:val="FootnoteText"/>
        <w:spacing w:after="0"/>
      </w:pPr>
      <w:r>
        <w:rPr>
          <w:rStyle w:val="FootnoteReference"/>
        </w:rPr>
        <w:footnoteRef/>
      </w:r>
      <w:r>
        <w:tab/>
      </w:r>
      <w:hyperlink r:id="rId81" w:history="1">
        <w:r>
          <w:rPr>
            <w:rStyle w:val="Hyperlink"/>
          </w:rPr>
          <w:t>Regula (ES) 2025/2455</w:t>
        </w:r>
      </w:hyperlink>
      <w:r>
        <w:t>.</w:t>
      </w:r>
    </w:p>
  </w:footnote>
  <w:footnote w:id="105">
    <w:p w14:paraId="174299A5" w14:textId="77777777" w:rsidR="00E06994" w:rsidRPr="00874CDA" w:rsidRDefault="00E06994" w:rsidP="00E06994">
      <w:pPr>
        <w:pStyle w:val="FootnoteText"/>
        <w:spacing w:after="0"/>
      </w:pPr>
      <w:r>
        <w:rPr>
          <w:rStyle w:val="FootnoteReference"/>
        </w:rPr>
        <w:footnoteRef/>
      </w:r>
      <w:r>
        <w:t xml:space="preserve"> </w:t>
      </w:r>
      <w:r>
        <w:tab/>
      </w:r>
      <w:r>
        <w:rPr>
          <w:i/>
          <w:iCs/>
        </w:rPr>
        <w:t>CEDEFOP</w:t>
      </w:r>
      <w:r>
        <w:t xml:space="preserve"> (2023) “</w:t>
      </w:r>
      <w:hyperlink r:id="rId82" w:history="1">
        <w:r>
          <w:rPr>
            <w:rStyle w:val="Hyperlink"/>
          </w:rPr>
          <w:t>Prasmes pārkārtošanās procesā – ceļš uz 2035. gadu</w:t>
        </w:r>
      </w:hyperlink>
      <w:r>
        <w:t>” un ESAO (2023) “</w:t>
      </w:r>
      <w:hyperlink r:id="rId83" w:history="1">
        <w:r>
          <w:rPr>
            <w:rStyle w:val="Hyperlink"/>
            <w:i/>
            <w:iCs/>
          </w:rPr>
          <w:t>Assessing and Anticipating Skills for the Green Transition:</w:t>
        </w:r>
      </w:hyperlink>
      <w:hyperlink r:id="rId84" w:history="1">
        <w:r>
          <w:rPr>
            <w:rStyle w:val="Hyperlink"/>
          </w:rPr>
          <w:t xml:space="preserve"> </w:t>
        </w:r>
        <w:r>
          <w:rPr>
            <w:rStyle w:val="Hyperlink"/>
            <w:i/>
          </w:rPr>
          <w:t>Unlocking Talent for a Sustainable Future, Getting Skills Right</w:t>
        </w:r>
      </w:hyperlink>
      <w:r>
        <w:t xml:space="preserve">”. </w:t>
      </w:r>
    </w:p>
  </w:footnote>
  <w:footnote w:id="106">
    <w:p w14:paraId="710CFD05" w14:textId="77777777" w:rsidR="00E06994" w:rsidRPr="00874CDA" w:rsidRDefault="00E06994" w:rsidP="00E06994">
      <w:pPr>
        <w:pStyle w:val="FootnoteText"/>
        <w:spacing w:after="0"/>
      </w:pPr>
      <w:r>
        <w:rPr>
          <w:rStyle w:val="FootnoteReference"/>
        </w:rPr>
        <w:footnoteRef/>
      </w:r>
      <w:r>
        <w:tab/>
      </w:r>
      <w:hyperlink r:id="rId85" w:anchor="inline-nav-2" w:history="1">
        <w:r>
          <w:rPr>
            <w:rStyle w:val="Hyperlink"/>
          </w:rPr>
          <w:t>Nodarbinātība un sociālie procesi Eiropā (ESDE) 2024. gadā</w:t>
        </w:r>
      </w:hyperlink>
      <w:r>
        <w:t>.</w:t>
      </w:r>
    </w:p>
  </w:footnote>
  <w:footnote w:id="107">
    <w:p w14:paraId="1A539DDB" w14:textId="2A0F518A" w:rsidR="00E06994" w:rsidRPr="00874CDA" w:rsidRDefault="00E06994" w:rsidP="00E06994">
      <w:pPr>
        <w:pStyle w:val="FootnoteText"/>
        <w:spacing w:after="0"/>
      </w:pPr>
      <w:r>
        <w:rPr>
          <w:rStyle w:val="FootnoteReference"/>
        </w:rPr>
        <w:footnoteRef/>
      </w:r>
      <w:r>
        <w:tab/>
        <w:t xml:space="preserve">Piemēram, Padomes Ieteikums par </w:t>
      </w:r>
      <w:hyperlink r:id="rId86" w:history="1">
        <w:r>
          <w:rPr>
            <w:rStyle w:val="Hyperlink"/>
          </w:rPr>
          <w:t>mācīšanos zaļās pārkārtošanās un ilgtspējīgas attīstības sekmēšanai</w:t>
        </w:r>
      </w:hyperlink>
      <w:r>
        <w:t>.</w:t>
      </w:r>
    </w:p>
  </w:footnote>
  <w:footnote w:id="108">
    <w:p w14:paraId="74B0DA98" w14:textId="77777777" w:rsidR="00E44C35" w:rsidRPr="00874CDA" w:rsidRDefault="00E44C35" w:rsidP="00E44C35">
      <w:pPr>
        <w:pStyle w:val="FootnoteText"/>
        <w:spacing w:after="0"/>
      </w:pPr>
      <w:r>
        <w:rPr>
          <w:rStyle w:val="FootnoteReference"/>
        </w:rPr>
        <w:footnoteRef/>
      </w:r>
      <w:r>
        <w:tab/>
        <w:t>Saskaņā ar Prasmju pilnveides paktu reģionālā partnerība, ko vada Eiropas Ķīmijas nozares reģionu tīkls, par savu prioritāti ir noteikusi palīdzēt reģioniem pārvarēt problēmas, ko rada rūpniecības pārkārtošanās uz zaļo un digitālo praksi.</w:t>
      </w:r>
    </w:p>
  </w:footnote>
  <w:footnote w:id="109">
    <w:p w14:paraId="4A1210D5" w14:textId="77777777" w:rsidR="00E06994" w:rsidRPr="00874CDA" w:rsidRDefault="00E06994" w:rsidP="00E06994">
      <w:pPr>
        <w:pStyle w:val="FootnoteText"/>
        <w:tabs>
          <w:tab w:val="left" w:pos="2977"/>
        </w:tabs>
        <w:spacing w:after="0"/>
      </w:pPr>
      <w:r>
        <w:rPr>
          <w:rStyle w:val="FootnoteReference"/>
        </w:rPr>
        <w:footnoteRef/>
      </w:r>
      <w:r>
        <w:tab/>
        <w:t>COM(2025) 420 final.</w:t>
      </w:r>
    </w:p>
  </w:footnote>
  <w:footnote w:id="110">
    <w:p w14:paraId="321C9645" w14:textId="587C1C7E" w:rsidR="00E06994" w:rsidRPr="00874CDA" w:rsidRDefault="00E06994" w:rsidP="00E06994">
      <w:pPr>
        <w:pStyle w:val="Text2"/>
        <w:spacing w:after="0" w:line="259" w:lineRule="auto"/>
        <w:ind w:left="357" w:hanging="357"/>
      </w:pPr>
      <w:r>
        <w:rPr>
          <w:rStyle w:val="FootnoteReference"/>
          <w:sz w:val="20"/>
        </w:rPr>
        <w:footnoteRef/>
      </w:r>
      <w:r>
        <w:tab/>
      </w:r>
      <w:hyperlink r:id="rId87" w:history="1">
        <w:r>
          <w:rPr>
            <w:rStyle w:val="Hyperlink"/>
            <w:sz w:val="20"/>
          </w:rPr>
          <w:t>7. mērķis</w:t>
        </w:r>
      </w:hyperlink>
      <w:r>
        <w:t>.</w:t>
      </w:r>
    </w:p>
  </w:footnote>
  <w:footnote w:id="111">
    <w:p w14:paraId="3D11D850" w14:textId="2C5DE73D" w:rsidR="00E06994" w:rsidRPr="00874CDA" w:rsidRDefault="00E06994" w:rsidP="00E06994">
      <w:pPr>
        <w:pStyle w:val="FootnoteText"/>
        <w:spacing w:after="0"/>
      </w:pPr>
      <w:r>
        <w:rPr>
          <w:rStyle w:val="FootnoteReference"/>
        </w:rPr>
        <w:footnoteRef/>
      </w:r>
      <w:r>
        <w:tab/>
      </w:r>
      <w:hyperlink r:id="rId88" w:history="1">
        <w:r>
          <w:rPr>
            <w:rStyle w:val="Hyperlink"/>
          </w:rPr>
          <w:t>https://www.ccacoalition.org/news/factsheet-2024-global-methane-pledge-ministerial</w:t>
        </w:r>
      </w:hyperlink>
      <w:r>
        <w:t xml:space="preserve">, izmantojot </w:t>
      </w:r>
      <w:hyperlink r:id="rId89" w:history="1">
        <w:r>
          <w:rPr>
            <w:rStyle w:val="Hyperlink"/>
            <w:i/>
            <w:iCs/>
          </w:rPr>
          <w:t>Copernicus</w:t>
        </w:r>
        <w:r>
          <w:rPr>
            <w:rStyle w:val="Hyperlink"/>
          </w:rPr>
          <w:t xml:space="preserve"> metāna karsto punktu izpētes rīku</w:t>
        </w:r>
      </w:hyperlink>
      <w:r>
        <w:t xml:space="preserve">. </w:t>
      </w:r>
    </w:p>
  </w:footnote>
  <w:footnote w:id="112">
    <w:p w14:paraId="7DA4D61E" w14:textId="62F5EF49" w:rsidR="00835218" w:rsidRPr="00EA58EC" w:rsidRDefault="00835218" w:rsidP="00EA58EC">
      <w:pPr>
        <w:pStyle w:val="FootnoteText"/>
        <w:spacing w:after="0"/>
      </w:pPr>
      <w:r>
        <w:rPr>
          <w:rStyle w:val="FootnoteReference"/>
        </w:rPr>
        <w:footnoteRef/>
      </w:r>
      <w:r>
        <w:tab/>
        <w:t xml:space="preserve">Sk., piemēram, Vidusjūras paktu (JOIN(2025) 26). </w:t>
      </w:r>
    </w:p>
  </w:footnote>
  <w:footnote w:id="113">
    <w:p w14:paraId="4EEA9DAB" w14:textId="3A7A88DC" w:rsidR="008C1611" w:rsidRPr="00E35D17" w:rsidRDefault="008C1611" w:rsidP="00EA58EC">
      <w:pPr>
        <w:pStyle w:val="FootnoteText"/>
        <w:spacing w:after="0"/>
      </w:pPr>
      <w:r>
        <w:rPr>
          <w:rStyle w:val="FootnoteReference"/>
          <w:rFonts w:eastAsiaTheme="majorEastAsia"/>
        </w:rPr>
        <w:footnoteRef/>
      </w:r>
      <w:r>
        <w:tab/>
        <w:t>COM(2024) 146 final.</w:t>
      </w:r>
    </w:p>
  </w:footnote>
  <w:footnote w:id="114">
    <w:p w14:paraId="3056FCE4" w14:textId="3BEDFAD6" w:rsidR="00E35D17" w:rsidRPr="00EA58EC" w:rsidRDefault="00E35D17" w:rsidP="00AC7B98">
      <w:pPr>
        <w:pStyle w:val="FootnoteText"/>
        <w:rPr>
          <w:rFonts w:asciiTheme="minorHAnsi" w:hAnsiTheme="minorHAnsi" w:cstheme="minorBidi"/>
          <w:kern w:val="2"/>
          <w14:ligatures w14:val="standardContextual"/>
        </w:rPr>
      </w:pPr>
      <w:r>
        <w:rPr>
          <w:rStyle w:val="FootnoteReference"/>
        </w:rPr>
        <w:footnoteRef/>
      </w:r>
      <w:r>
        <w:t xml:space="preserve"> </w:t>
      </w:r>
      <w:r>
        <w:tab/>
      </w:r>
      <w:r>
        <w:rPr>
          <w:rStyle w:val="Hyperlink"/>
        </w:rPr>
        <w:t xml:space="preserve">Sk. </w:t>
      </w:r>
      <w:r>
        <w:rPr>
          <w:color w:val="0000FF" w:themeColor="hyperlink"/>
          <w:u w:val="single"/>
        </w:rPr>
        <w:t>PM</w:t>
      </w:r>
      <w:r>
        <w:rPr>
          <w:color w:val="0000FF" w:themeColor="hyperlink"/>
          <w:u w:val="single"/>
          <w:vertAlign w:val="subscript"/>
        </w:rPr>
        <w:t>2.5</w:t>
      </w:r>
      <w:r>
        <w:rPr>
          <w:color w:val="0000FF" w:themeColor="hyperlink"/>
          <w:u w:val="single"/>
        </w:rPr>
        <w:t xml:space="preserve"> un ozona ietekmes uz veselību, kultūraugiem un klimatu scenāriju analīzi, izmantojot </w:t>
      </w:r>
      <w:hyperlink r:id="rId90" w:history="1">
        <w:r>
          <w:rPr>
            <w:rStyle w:val="Hyperlink"/>
            <w:i/>
          </w:rPr>
          <w:t>TM5-FASST</w:t>
        </w:r>
      </w:hyperlink>
      <w:r>
        <w:rPr>
          <w:rStyle w:val="Hyperlink"/>
        </w:rPr>
        <w:t xml:space="preserve">: Gadījuma izpēte Rietumbalkānos </w:t>
      </w:r>
      <w:hyperlink r:id="rId91" w:history="1">
        <w:r>
          <w:rPr>
            <w:rStyle w:val="Hyperlink"/>
          </w:rPr>
          <w:t xml:space="preserve">un </w:t>
        </w:r>
        <w:r>
          <w:rPr>
            <w:rStyle w:val="Hyperlink"/>
            <w:i/>
          </w:rPr>
          <w:t>JRC</w:t>
        </w:r>
        <w:r>
          <w:rPr>
            <w:rStyle w:val="Hyperlink"/>
          </w:rPr>
          <w:t xml:space="preserve"> pētījums</w:t>
        </w:r>
      </w:hyperlink>
      <w:r>
        <w:t xml:space="preserve">, kas apstiprina, ka Rietumbalkānu plānu saskaņošana ar Nulles piesārņojuma rīcības plāna mērķiem nodrošinātu augstu ieguvumu un izmaksu attiecību, uzsverot nepieciešamību samazināt gaisa piesārņojumu.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A2DAE" w14:textId="77777777" w:rsidR="00E6347D" w:rsidRPr="00E6347D" w:rsidRDefault="00E6347D" w:rsidP="00E6347D">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220B2" w14:textId="77777777" w:rsidR="00E6347D" w:rsidRPr="00E6347D" w:rsidRDefault="00E6347D" w:rsidP="00E6347D">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B1D00" w14:textId="77777777" w:rsidR="00E6347D" w:rsidRPr="00E6347D" w:rsidRDefault="00E6347D" w:rsidP="00E6347D">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10E22" w14:textId="77777777" w:rsidR="00F029CA" w:rsidRPr="00874CDA" w:rsidRDefault="00F029CA">
    <w:pPr>
      <w:pStyle w:val="Header"/>
    </w:pPr>
  </w:p>
  <w:p w14:paraId="081815FB" w14:textId="77777777" w:rsidR="00F029CA" w:rsidRPr="00874CDA" w:rsidRDefault="00F029CA"/>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D2419" w14:textId="77777777" w:rsidR="00F029CA" w:rsidRPr="00874CDA" w:rsidRDefault="00F029CA">
    <w:pPr>
      <w:pStyle w:val="Header"/>
    </w:pPr>
  </w:p>
  <w:p w14:paraId="1E8EBBC2" w14:textId="77777777" w:rsidR="00F029CA" w:rsidRPr="00874CDA" w:rsidRDefault="00F029CA"/>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260D2" w14:textId="77777777" w:rsidR="00F029CA" w:rsidRPr="00874CDA" w:rsidRDefault="00F029CA" w:rsidP="00E262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900F7"/>
    <w:multiLevelType w:val="multilevel"/>
    <w:tmpl w:val="74D6CC0A"/>
    <w:name w:val="ListDash4Numbering"/>
    <w:lvl w:ilvl="0">
      <w:start w:val="1"/>
      <w:numFmt w:val="bullet"/>
      <w:pStyle w:val="ListDash4"/>
      <w:lvlText w:val="–"/>
      <w:lvlJc w:val="left"/>
      <w:pPr>
        <w:tabs>
          <w:tab w:val="num" w:pos="1485"/>
        </w:tabs>
        <w:ind w:left="1485" w:hanging="283"/>
      </w:pPr>
      <w:rPr>
        <w:rFonts w:ascii="Times New Roman" w:hAnsi="Times New Roman"/>
      </w:rPr>
    </w:lvl>
    <w:lvl w:ilvl="1">
      <w:start w:val="1"/>
      <w:numFmt w:val="bullet"/>
      <w:pStyle w:val="ListDash4Level2"/>
      <w:lvlText w:val="–"/>
      <w:lvlJc w:val="left"/>
      <w:pPr>
        <w:tabs>
          <w:tab w:val="num" w:pos="1769"/>
        </w:tabs>
        <w:ind w:left="1769" w:hanging="284"/>
      </w:pPr>
      <w:rPr>
        <w:rFonts w:ascii="Times New Roman" w:hAnsi="Times New Roman"/>
      </w:rPr>
    </w:lvl>
    <w:lvl w:ilvl="2">
      <w:start w:val="1"/>
      <w:numFmt w:val="bullet"/>
      <w:pStyle w:val="ListDash4Level3"/>
      <w:lvlText w:val="–"/>
      <w:lvlJc w:val="left"/>
      <w:pPr>
        <w:tabs>
          <w:tab w:val="num" w:pos="2052"/>
        </w:tabs>
        <w:ind w:left="2052" w:hanging="283"/>
      </w:pPr>
      <w:rPr>
        <w:rFonts w:ascii="Times New Roman" w:hAnsi="Times New Roman"/>
      </w:rPr>
    </w:lvl>
    <w:lvl w:ilvl="3">
      <w:start w:val="1"/>
      <w:numFmt w:val="bullet"/>
      <w:pStyle w:val="ListDash4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0EFB7115"/>
    <w:multiLevelType w:val="multilevel"/>
    <w:tmpl w:val="DB6E8B38"/>
    <w:name w:val="ListNumber3Numbering"/>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120B7201"/>
    <w:multiLevelType w:val="multilevel"/>
    <w:tmpl w:val="B7885FDC"/>
    <w:name w:val="ListNumberNumbering"/>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 w15:restartNumberingAfterBreak="0">
    <w:nsid w:val="120B8345"/>
    <w:multiLevelType w:val="multilevel"/>
    <w:tmpl w:val="748CAFF4"/>
    <w:name w:val="TableListNumberNumbering"/>
    <w:lvl w:ilvl="0">
      <w:start w:val="1"/>
      <w:numFmt w:val="decimal"/>
      <w:pStyle w:val="TableListNumber"/>
      <w:lvlText w:val="(%1)"/>
      <w:lvlJc w:val="left"/>
      <w:pPr>
        <w:tabs>
          <w:tab w:val="num" w:pos="454"/>
        </w:tabs>
        <w:ind w:left="454" w:hanging="454"/>
      </w:pPr>
    </w:lvl>
    <w:lvl w:ilvl="1">
      <w:start w:val="1"/>
      <w:numFmt w:val="lowerLetter"/>
      <w:pStyle w:val="TableListNumberLevel2"/>
      <w:lvlText w:val="(%2)"/>
      <w:lvlJc w:val="left"/>
      <w:pPr>
        <w:tabs>
          <w:tab w:val="num" w:pos="907"/>
        </w:tabs>
        <w:ind w:left="907" w:hanging="453"/>
      </w:pPr>
    </w:lvl>
    <w:lvl w:ilvl="2">
      <w:start w:val="1"/>
      <w:numFmt w:val="bullet"/>
      <w:pStyle w:val="TableListNumberLevel3"/>
      <w:lvlText w:val="–"/>
      <w:lvlJc w:val="left"/>
      <w:pPr>
        <w:tabs>
          <w:tab w:val="num" w:pos="1361"/>
        </w:tabs>
        <w:ind w:left="1361" w:hanging="454"/>
      </w:pPr>
      <w:rPr>
        <w:rFonts w:ascii="Times New Roman" w:hAnsi="Times New Roman"/>
      </w:rPr>
    </w:lvl>
    <w:lvl w:ilvl="3">
      <w:start w:val="1"/>
      <w:numFmt w:val="bullet"/>
      <w:pStyle w:val="TableListNumberLevel4"/>
      <w:lvlText w:val=""/>
      <w:lvlJc w:val="left"/>
      <w:pPr>
        <w:tabs>
          <w:tab w:val="num" w:pos="1814"/>
        </w:tabs>
        <w:ind w:left="1814" w:hanging="453"/>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 w15:restartNumberingAfterBreak="0">
    <w:nsid w:val="1262685D"/>
    <w:multiLevelType w:val="multilevel"/>
    <w:tmpl w:val="FD844BBC"/>
    <w:name w:val="ListBullet4Numbering"/>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 w15:restartNumberingAfterBreak="0">
    <w:nsid w:val="143D0A16"/>
    <w:multiLevelType w:val="multilevel"/>
    <w:tmpl w:val="01824BA8"/>
    <w:name w:val="ListBullet3Numbering"/>
    <w:lvl w:ilvl="0">
      <w:start w:val="1"/>
      <w:numFmt w:val="bullet"/>
      <w:pStyle w:val="ListBullet3"/>
      <w:lvlText w:val=""/>
      <w:lvlJc w:val="left"/>
      <w:pPr>
        <w:tabs>
          <w:tab w:val="num" w:pos="1485"/>
        </w:tabs>
        <w:ind w:left="1485" w:hanging="283"/>
      </w:pPr>
      <w:rPr>
        <w:rFonts w:ascii="Symbol" w:hAnsi="Symbol"/>
      </w:rPr>
    </w:lvl>
    <w:lvl w:ilvl="1">
      <w:start w:val="1"/>
      <w:numFmt w:val="bullet"/>
      <w:pStyle w:val="ListBullet3Level2"/>
      <w:lvlText w:val=""/>
      <w:lvlJc w:val="left"/>
      <w:pPr>
        <w:tabs>
          <w:tab w:val="num" w:pos="1769"/>
        </w:tabs>
        <w:ind w:left="1769" w:hanging="284"/>
      </w:pPr>
      <w:rPr>
        <w:rFonts w:ascii="Symbol" w:hAnsi="Symbol"/>
      </w:rPr>
    </w:lvl>
    <w:lvl w:ilvl="2">
      <w:start w:val="1"/>
      <w:numFmt w:val="bullet"/>
      <w:pStyle w:val="ListBullet3Level3"/>
      <w:lvlText w:val=""/>
      <w:lvlJc w:val="left"/>
      <w:pPr>
        <w:tabs>
          <w:tab w:val="num" w:pos="2052"/>
        </w:tabs>
        <w:ind w:left="2052" w:hanging="283"/>
      </w:pPr>
      <w:rPr>
        <w:rFonts w:ascii="Symbol" w:hAnsi="Symbol"/>
      </w:rPr>
    </w:lvl>
    <w:lvl w:ilvl="3">
      <w:start w:val="1"/>
      <w:numFmt w:val="bullet"/>
      <w:pStyle w:val="ListBullet3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 w15:restartNumberingAfterBreak="0">
    <w:nsid w:val="172F0AC5"/>
    <w:multiLevelType w:val="multilevel"/>
    <w:tmpl w:val="591CEFCC"/>
    <w:name w:val="ListNumber2Numbering"/>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7" w15:restartNumberingAfterBreak="0">
    <w:nsid w:val="1C7B624F"/>
    <w:multiLevelType w:val="multilevel"/>
    <w:tmpl w:val="5238B298"/>
    <w:name w:val="ListDash2Numbering"/>
    <w:lvl w:ilvl="0">
      <w:start w:val="1"/>
      <w:numFmt w:val="bullet"/>
      <w:pStyle w:val="ListDash2"/>
      <w:lvlText w:val="–"/>
      <w:lvlJc w:val="left"/>
      <w:pPr>
        <w:tabs>
          <w:tab w:val="num" w:pos="1485"/>
        </w:tabs>
        <w:ind w:left="1485" w:hanging="283"/>
      </w:pPr>
      <w:rPr>
        <w:rFonts w:ascii="Times New Roman" w:hAnsi="Times New Roman"/>
      </w:rPr>
    </w:lvl>
    <w:lvl w:ilvl="1">
      <w:start w:val="1"/>
      <w:numFmt w:val="bullet"/>
      <w:pStyle w:val="ListDash2Level2"/>
      <w:lvlText w:val="–"/>
      <w:lvlJc w:val="left"/>
      <w:pPr>
        <w:tabs>
          <w:tab w:val="num" w:pos="1769"/>
        </w:tabs>
        <w:ind w:left="1769" w:hanging="284"/>
      </w:pPr>
      <w:rPr>
        <w:rFonts w:ascii="Times New Roman" w:hAnsi="Times New Roman"/>
      </w:rPr>
    </w:lvl>
    <w:lvl w:ilvl="2">
      <w:start w:val="1"/>
      <w:numFmt w:val="bullet"/>
      <w:pStyle w:val="ListDash2Level3"/>
      <w:lvlText w:val="–"/>
      <w:lvlJc w:val="left"/>
      <w:pPr>
        <w:tabs>
          <w:tab w:val="num" w:pos="2052"/>
        </w:tabs>
        <w:ind w:left="2052" w:hanging="283"/>
      </w:pPr>
      <w:rPr>
        <w:rFonts w:ascii="Times New Roman" w:hAnsi="Times New Roman"/>
      </w:rPr>
    </w:lvl>
    <w:lvl w:ilvl="3">
      <w:start w:val="1"/>
      <w:numFmt w:val="bullet"/>
      <w:pStyle w:val="ListDash2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15:restartNumberingAfterBreak="0">
    <w:nsid w:val="2A0831EB"/>
    <w:multiLevelType w:val="multilevel"/>
    <w:tmpl w:val="080C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C8DFDF8"/>
    <w:multiLevelType w:val="multilevel"/>
    <w:tmpl w:val="DEA4E79C"/>
    <w:name w:val="ListBullet2Numbering"/>
    <w:lvl w:ilvl="0">
      <w:start w:val="1"/>
      <w:numFmt w:val="bullet"/>
      <w:pStyle w:val="ListBullet2"/>
      <w:lvlText w:val=""/>
      <w:lvlJc w:val="left"/>
      <w:pPr>
        <w:tabs>
          <w:tab w:val="num" w:pos="1485"/>
        </w:tabs>
        <w:ind w:left="1485" w:hanging="283"/>
      </w:pPr>
      <w:rPr>
        <w:rFonts w:ascii="Symbol" w:hAnsi="Symbol"/>
      </w:rPr>
    </w:lvl>
    <w:lvl w:ilvl="1">
      <w:start w:val="1"/>
      <w:numFmt w:val="bullet"/>
      <w:pStyle w:val="ListBullet2Level2"/>
      <w:lvlText w:val=""/>
      <w:lvlJc w:val="left"/>
      <w:pPr>
        <w:tabs>
          <w:tab w:val="num" w:pos="1769"/>
        </w:tabs>
        <w:ind w:left="1769" w:hanging="284"/>
      </w:pPr>
      <w:rPr>
        <w:rFonts w:ascii="Symbol" w:hAnsi="Symbol"/>
      </w:rPr>
    </w:lvl>
    <w:lvl w:ilvl="2">
      <w:start w:val="1"/>
      <w:numFmt w:val="bullet"/>
      <w:pStyle w:val="ListBullet2Level3"/>
      <w:lvlText w:val=""/>
      <w:lvlJc w:val="left"/>
      <w:pPr>
        <w:tabs>
          <w:tab w:val="num" w:pos="2052"/>
        </w:tabs>
        <w:ind w:left="2052" w:hanging="283"/>
      </w:pPr>
      <w:rPr>
        <w:rFonts w:ascii="Symbol" w:hAnsi="Symbol"/>
      </w:rPr>
    </w:lvl>
    <w:lvl w:ilvl="3">
      <w:start w:val="1"/>
      <w:numFmt w:val="bullet"/>
      <w:pStyle w:val="ListBullet2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0" w15:restartNumberingAfterBreak="0">
    <w:nsid w:val="2D293CE3"/>
    <w:multiLevelType w:val="multilevel"/>
    <w:tmpl w:val="1818A060"/>
    <w:name w:val="LegalNumParNumbering"/>
    <w:lvl w:ilvl="0">
      <w:start w:val="1"/>
      <w:numFmt w:val="decimal"/>
      <w:pStyle w:val="LegalNumPar"/>
      <w:lvlText w:val="%1."/>
      <w:lvlJc w:val="left"/>
      <w:pPr>
        <w:tabs>
          <w:tab w:val="num" w:pos="476"/>
        </w:tabs>
        <w:ind w:left="476" w:hanging="476"/>
      </w:pPr>
      <w:rPr>
        <w:rFonts w:hint="default"/>
      </w:rPr>
    </w:lvl>
    <w:lvl w:ilvl="1">
      <w:start w:val="1"/>
      <w:numFmt w:val="lowerLetter"/>
      <w:pStyle w:val="LegalNumPar2"/>
      <w:lvlText w:val="%2."/>
      <w:lvlJc w:val="left"/>
      <w:pPr>
        <w:tabs>
          <w:tab w:val="num" w:pos="952"/>
        </w:tabs>
        <w:ind w:left="952" w:hanging="476"/>
      </w:pPr>
      <w:rPr>
        <w:rFonts w:hint="default"/>
      </w:rPr>
    </w:lvl>
    <w:lvl w:ilvl="2">
      <w:start w:val="1"/>
      <w:numFmt w:val="lowerRoman"/>
      <w:pStyle w:val="LegalNumPar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1" w15:restartNumberingAfterBreak="0">
    <w:nsid w:val="2D293CF4"/>
    <w:multiLevelType w:val="multilevel"/>
    <w:tmpl w:val="160899EE"/>
    <w:name w:val="ContNumNumbering"/>
    <w:lvl w:ilvl="0">
      <w:start w:val="1"/>
      <w:numFmt w:val="decimal"/>
      <w:pStyle w:val="ContNum"/>
      <w:lvlText w:val="%1."/>
      <w:lvlJc w:val="left"/>
      <w:pPr>
        <w:tabs>
          <w:tab w:val="num" w:pos="476"/>
        </w:tabs>
        <w:ind w:left="476" w:hanging="476"/>
      </w:pPr>
      <w:rPr>
        <w:rFonts w:hint="default"/>
      </w:rPr>
    </w:lvl>
    <w:lvl w:ilvl="1">
      <w:start w:val="1"/>
      <w:numFmt w:val="lowerLetter"/>
      <w:pStyle w:val="ContNumLevel2"/>
      <w:lvlText w:val="%2."/>
      <w:lvlJc w:val="left"/>
      <w:pPr>
        <w:tabs>
          <w:tab w:val="num" w:pos="952"/>
        </w:tabs>
        <w:ind w:left="952" w:hanging="476"/>
      </w:pPr>
      <w:rPr>
        <w:rFonts w:hint="default"/>
      </w:rPr>
    </w:lvl>
    <w:lvl w:ilvl="2">
      <w:start w:val="1"/>
      <w:numFmt w:val="lowerRoman"/>
      <w:pStyle w:val="ContNumLevel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2" w15:restartNumberingAfterBreak="0">
    <w:nsid w:val="36324F1E"/>
    <w:multiLevelType w:val="multilevel"/>
    <w:tmpl w:val="2E780BDC"/>
    <w:name w:val="ListDash3Numbering"/>
    <w:lvl w:ilvl="0">
      <w:start w:val="1"/>
      <w:numFmt w:val="bullet"/>
      <w:pStyle w:val="ListDash3"/>
      <w:lvlText w:val="–"/>
      <w:lvlJc w:val="left"/>
      <w:pPr>
        <w:tabs>
          <w:tab w:val="num" w:pos="1485"/>
        </w:tabs>
        <w:ind w:left="1485" w:hanging="283"/>
      </w:pPr>
      <w:rPr>
        <w:rFonts w:ascii="Times New Roman" w:hAnsi="Times New Roman"/>
      </w:rPr>
    </w:lvl>
    <w:lvl w:ilvl="1">
      <w:start w:val="1"/>
      <w:numFmt w:val="bullet"/>
      <w:pStyle w:val="ListDash3Level2"/>
      <w:lvlText w:val="–"/>
      <w:lvlJc w:val="left"/>
      <w:pPr>
        <w:tabs>
          <w:tab w:val="num" w:pos="1769"/>
        </w:tabs>
        <w:ind w:left="1769" w:hanging="284"/>
      </w:pPr>
      <w:rPr>
        <w:rFonts w:ascii="Times New Roman" w:hAnsi="Times New Roman"/>
      </w:rPr>
    </w:lvl>
    <w:lvl w:ilvl="2">
      <w:start w:val="1"/>
      <w:numFmt w:val="bullet"/>
      <w:pStyle w:val="ListDash3Level3"/>
      <w:lvlText w:val="–"/>
      <w:lvlJc w:val="left"/>
      <w:pPr>
        <w:tabs>
          <w:tab w:val="num" w:pos="2052"/>
        </w:tabs>
        <w:ind w:left="2052" w:hanging="283"/>
      </w:pPr>
      <w:rPr>
        <w:rFonts w:ascii="Times New Roman" w:hAnsi="Times New Roman"/>
      </w:rPr>
    </w:lvl>
    <w:lvl w:ilvl="3">
      <w:start w:val="1"/>
      <w:numFmt w:val="bullet"/>
      <w:pStyle w:val="ListDash3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3" w15:restartNumberingAfterBreak="0">
    <w:nsid w:val="37CB1E1C"/>
    <w:multiLevelType w:val="multilevel"/>
    <w:tmpl w:val="120A75E4"/>
    <w:name w:val="ListDash1Numbering"/>
    <w:lvl w:ilvl="0">
      <w:start w:val="1"/>
      <w:numFmt w:val="bullet"/>
      <w:pStyle w:val="ListDash1"/>
      <w:lvlText w:val="–"/>
      <w:lvlJc w:val="left"/>
      <w:pPr>
        <w:tabs>
          <w:tab w:val="num" w:pos="765"/>
        </w:tabs>
        <w:ind w:left="765" w:hanging="283"/>
      </w:pPr>
      <w:rPr>
        <w:rFonts w:ascii="Times New Roman" w:hAnsi="Times New Roman"/>
      </w:rPr>
    </w:lvl>
    <w:lvl w:ilvl="1">
      <w:start w:val="1"/>
      <w:numFmt w:val="bullet"/>
      <w:pStyle w:val="ListDash1Level2"/>
      <w:lvlText w:val="–"/>
      <w:lvlJc w:val="left"/>
      <w:pPr>
        <w:tabs>
          <w:tab w:val="num" w:pos="1049"/>
        </w:tabs>
        <w:ind w:left="1049" w:hanging="284"/>
      </w:pPr>
      <w:rPr>
        <w:rFonts w:ascii="Times New Roman" w:hAnsi="Times New Roman"/>
      </w:rPr>
    </w:lvl>
    <w:lvl w:ilvl="2">
      <w:start w:val="1"/>
      <w:numFmt w:val="bullet"/>
      <w:pStyle w:val="ListDash1Level3"/>
      <w:lvlText w:val="–"/>
      <w:lvlJc w:val="left"/>
      <w:pPr>
        <w:tabs>
          <w:tab w:val="num" w:pos="1332"/>
        </w:tabs>
        <w:ind w:left="1332" w:hanging="283"/>
      </w:pPr>
      <w:rPr>
        <w:rFonts w:ascii="Times New Roman" w:hAnsi="Times New Roman"/>
      </w:rPr>
    </w:lvl>
    <w:lvl w:ilvl="3">
      <w:start w:val="1"/>
      <w:numFmt w:val="bullet"/>
      <w:pStyle w:val="ListDash1Level4"/>
      <w:lvlText w:val="–"/>
      <w:lvlJc w:val="left"/>
      <w:pPr>
        <w:tabs>
          <w:tab w:val="num" w:pos="1616"/>
        </w:tabs>
        <w:ind w:left="161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15:restartNumberingAfterBreak="0">
    <w:nsid w:val="3A7730C4"/>
    <w:multiLevelType w:val="multilevel"/>
    <w:tmpl w:val="FE84B660"/>
    <w:name w:val="ListBullet1Numbering"/>
    <w:lvl w:ilvl="0">
      <w:start w:val="1"/>
      <w:numFmt w:val="bullet"/>
      <w:pStyle w:val="ListBullet1"/>
      <w:lvlText w:val=""/>
      <w:lvlJc w:val="left"/>
      <w:pPr>
        <w:tabs>
          <w:tab w:val="num" w:pos="765"/>
        </w:tabs>
        <w:ind w:left="765" w:hanging="283"/>
      </w:pPr>
      <w:rPr>
        <w:rFonts w:ascii="Symbol" w:hAnsi="Symbol"/>
      </w:rPr>
    </w:lvl>
    <w:lvl w:ilvl="1">
      <w:start w:val="1"/>
      <w:numFmt w:val="bullet"/>
      <w:pStyle w:val="ListBullet1Level2"/>
      <w:lvlText w:val=""/>
      <w:lvlJc w:val="left"/>
      <w:pPr>
        <w:tabs>
          <w:tab w:val="num" w:pos="1049"/>
        </w:tabs>
        <w:ind w:left="1049" w:hanging="284"/>
      </w:pPr>
      <w:rPr>
        <w:rFonts w:ascii="Symbol" w:hAnsi="Symbol"/>
      </w:rPr>
    </w:lvl>
    <w:lvl w:ilvl="2">
      <w:start w:val="1"/>
      <w:numFmt w:val="bullet"/>
      <w:pStyle w:val="ListBullet1Level3"/>
      <w:lvlText w:val=""/>
      <w:lvlJc w:val="left"/>
      <w:pPr>
        <w:tabs>
          <w:tab w:val="num" w:pos="1332"/>
        </w:tabs>
        <w:ind w:left="1332" w:hanging="283"/>
      </w:pPr>
      <w:rPr>
        <w:rFonts w:ascii="Symbol" w:hAnsi="Symbol"/>
      </w:rPr>
    </w:lvl>
    <w:lvl w:ilvl="3">
      <w:start w:val="1"/>
      <w:numFmt w:val="bullet"/>
      <w:pStyle w:val="ListBullet1Level4"/>
      <w:lvlText w:val=""/>
      <w:lvlJc w:val="left"/>
      <w:pPr>
        <w:tabs>
          <w:tab w:val="num" w:pos="1616"/>
        </w:tabs>
        <w:ind w:left="161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5" w15:restartNumberingAfterBreak="0">
    <w:nsid w:val="429E662A"/>
    <w:multiLevelType w:val="multilevel"/>
    <w:tmpl w:val="2866315A"/>
    <w:name w:val="ListNumber1Numbering"/>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6" w15:restartNumberingAfterBreak="0">
    <w:nsid w:val="468220A3"/>
    <w:multiLevelType w:val="multilevel"/>
    <w:tmpl w:val="5C06CD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E1A63DF"/>
    <w:multiLevelType w:val="multilevel"/>
    <w:tmpl w:val="B528683E"/>
    <w:name w:val="TableListBulletNumbering"/>
    <w:lvl w:ilvl="0">
      <w:start w:val="1"/>
      <w:numFmt w:val="bullet"/>
      <w:pStyle w:val="TableListBullet"/>
      <w:lvlText w:val=""/>
      <w:lvlJc w:val="left"/>
      <w:pPr>
        <w:tabs>
          <w:tab w:val="num" w:pos="283"/>
        </w:tabs>
        <w:ind w:left="283" w:hanging="283"/>
      </w:pPr>
      <w:rPr>
        <w:rFonts w:ascii="Symbol" w:hAnsi="Symbol"/>
      </w:rPr>
    </w:lvl>
    <w:lvl w:ilvl="1">
      <w:start w:val="1"/>
      <w:numFmt w:val="bullet"/>
      <w:pStyle w:val="TableListBulletLevel2"/>
      <w:lvlText w:val=""/>
      <w:lvlJc w:val="left"/>
      <w:pPr>
        <w:tabs>
          <w:tab w:val="num" w:pos="567"/>
        </w:tabs>
        <w:ind w:left="567" w:hanging="284"/>
      </w:pPr>
      <w:rPr>
        <w:rFonts w:ascii="Symbol" w:hAnsi="Symbol"/>
      </w:rPr>
    </w:lvl>
    <w:lvl w:ilvl="2">
      <w:start w:val="1"/>
      <w:numFmt w:val="bullet"/>
      <w:pStyle w:val="TableListBulletLevel3"/>
      <w:lvlText w:val=""/>
      <w:lvlJc w:val="left"/>
      <w:pPr>
        <w:tabs>
          <w:tab w:val="num" w:pos="850"/>
        </w:tabs>
        <w:ind w:left="850" w:hanging="283"/>
      </w:pPr>
      <w:rPr>
        <w:rFonts w:ascii="Symbol" w:hAnsi="Symbol"/>
      </w:rPr>
    </w:lvl>
    <w:lvl w:ilvl="3">
      <w:start w:val="1"/>
      <w:numFmt w:val="bullet"/>
      <w:pStyle w:val="Table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8" w15:restartNumberingAfterBreak="0">
    <w:nsid w:val="4E1A982C"/>
    <w:multiLevelType w:val="multilevel"/>
    <w:tmpl w:val="F632A7F8"/>
    <w:name w:val="ListBulletNumbering"/>
    <w:lvl w:ilvl="0">
      <w:start w:val="1"/>
      <w:numFmt w:val="bullet"/>
      <w:pStyle w:val="ListBullet"/>
      <w:lvlText w:val=""/>
      <w:lvlJc w:val="left"/>
      <w:pPr>
        <w:tabs>
          <w:tab w:val="num" w:pos="283"/>
        </w:tabs>
        <w:ind w:left="283" w:hanging="283"/>
      </w:pPr>
      <w:rPr>
        <w:rFonts w:ascii="Symbol" w:hAnsi="Symbol"/>
      </w:rPr>
    </w:lvl>
    <w:lvl w:ilvl="1">
      <w:start w:val="1"/>
      <w:numFmt w:val="bullet"/>
      <w:pStyle w:val="ListBulletLevel2"/>
      <w:lvlText w:val=""/>
      <w:lvlJc w:val="left"/>
      <w:pPr>
        <w:tabs>
          <w:tab w:val="num" w:pos="567"/>
        </w:tabs>
        <w:ind w:left="567" w:hanging="284"/>
      </w:pPr>
      <w:rPr>
        <w:rFonts w:ascii="Symbol" w:hAnsi="Symbol"/>
      </w:rPr>
    </w:lvl>
    <w:lvl w:ilvl="2">
      <w:start w:val="1"/>
      <w:numFmt w:val="bullet"/>
      <w:pStyle w:val="ListBulletLevel3"/>
      <w:lvlText w:val=""/>
      <w:lvlJc w:val="left"/>
      <w:pPr>
        <w:tabs>
          <w:tab w:val="num" w:pos="850"/>
        </w:tabs>
        <w:ind w:left="850" w:hanging="283"/>
      </w:pPr>
      <w:rPr>
        <w:rFonts w:ascii="Symbol" w:hAnsi="Symbol"/>
      </w:rPr>
    </w:lvl>
    <w:lvl w:ilvl="3">
      <w:start w:val="1"/>
      <w:numFmt w:val="bullet"/>
      <w:pStyle w:val="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9" w15:restartNumberingAfterBreak="0">
    <w:nsid w:val="5072619B"/>
    <w:multiLevelType w:val="multilevel"/>
    <w:tmpl w:val="325EA2A6"/>
    <w:name w:val="ListDashNumbering"/>
    <w:lvl w:ilvl="0">
      <w:start w:val="1"/>
      <w:numFmt w:val="bullet"/>
      <w:pStyle w:val="ListDash"/>
      <w:lvlText w:val="–"/>
      <w:lvlJc w:val="left"/>
      <w:pPr>
        <w:tabs>
          <w:tab w:val="num" w:pos="283"/>
        </w:tabs>
        <w:ind w:left="283" w:hanging="283"/>
      </w:pPr>
      <w:rPr>
        <w:rFonts w:ascii="Times New Roman" w:hAnsi="Times New Roman"/>
      </w:rPr>
    </w:lvl>
    <w:lvl w:ilvl="1">
      <w:start w:val="1"/>
      <w:numFmt w:val="bullet"/>
      <w:pStyle w:val="ListDashLevel2"/>
      <w:lvlText w:val="–"/>
      <w:lvlJc w:val="left"/>
      <w:pPr>
        <w:tabs>
          <w:tab w:val="num" w:pos="567"/>
        </w:tabs>
        <w:ind w:left="567" w:hanging="284"/>
      </w:pPr>
      <w:rPr>
        <w:rFonts w:ascii="Times New Roman" w:hAnsi="Times New Roman"/>
      </w:rPr>
    </w:lvl>
    <w:lvl w:ilvl="2">
      <w:start w:val="1"/>
      <w:numFmt w:val="bullet"/>
      <w:pStyle w:val="ListDashLevel3"/>
      <w:lvlText w:val="–"/>
      <w:lvlJc w:val="left"/>
      <w:pPr>
        <w:tabs>
          <w:tab w:val="num" w:pos="850"/>
        </w:tabs>
        <w:ind w:left="850" w:hanging="283"/>
      </w:pPr>
      <w:rPr>
        <w:rFonts w:ascii="Times New Roman" w:hAnsi="Times New Roman"/>
      </w:rPr>
    </w:lvl>
    <w:lvl w:ilvl="3">
      <w:start w:val="1"/>
      <w:numFmt w:val="bullet"/>
      <w:pStyle w:val="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0" w15:restartNumberingAfterBreak="0">
    <w:nsid w:val="50729B52"/>
    <w:multiLevelType w:val="multilevel"/>
    <w:tmpl w:val="B30E98B8"/>
    <w:name w:val="TableListDashNumbering"/>
    <w:lvl w:ilvl="0">
      <w:start w:val="1"/>
      <w:numFmt w:val="bullet"/>
      <w:pStyle w:val="TableListDash"/>
      <w:lvlText w:val="–"/>
      <w:lvlJc w:val="left"/>
      <w:pPr>
        <w:tabs>
          <w:tab w:val="num" w:pos="283"/>
        </w:tabs>
        <w:ind w:left="283" w:hanging="283"/>
      </w:pPr>
      <w:rPr>
        <w:rFonts w:ascii="Times New Roman" w:hAnsi="Times New Roman"/>
      </w:rPr>
    </w:lvl>
    <w:lvl w:ilvl="1">
      <w:start w:val="1"/>
      <w:numFmt w:val="bullet"/>
      <w:pStyle w:val="TableListDashLevel2"/>
      <w:lvlText w:val="–"/>
      <w:lvlJc w:val="left"/>
      <w:pPr>
        <w:tabs>
          <w:tab w:val="num" w:pos="567"/>
        </w:tabs>
        <w:ind w:left="567" w:hanging="284"/>
      </w:pPr>
      <w:rPr>
        <w:rFonts w:ascii="Times New Roman" w:hAnsi="Times New Roman"/>
      </w:rPr>
    </w:lvl>
    <w:lvl w:ilvl="2">
      <w:start w:val="1"/>
      <w:numFmt w:val="bullet"/>
      <w:pStyle w:val="TableListDashLevel3"/>
      <w:lvlText w:val="–"/>
      <w:lvlJc w:val="left"/>
      <w:pPr>
        <w:tabs>
          <w:tab w:val="num" w:pos="850"/>
        </w:tabs>
        <w:ind w:left="850" w:hanging="283"/>
      </w:pPr>
      <w:rPr>
        <w:rFonts w:ascii="Times New Roman" w:hAnsi="Times New Roman"/>
      </w:rPr>
    </w:lvl>
    <w:lvl w:ilvl="3">
      <w:start w:val="1"/>
      <w:numFmt w:val="bullet"/>
      <w:pStyle w:val="Table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1" w15:restartNumberingAfterBreak="0">
    <w:nsid w:val="6977472E"/>
    <w:multiLevelType w:val="multilevel"/>
    <w:tmpl w:val="518CD548"/>
    <w:name w:val="ListNumber4Numbering"/>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2" w15:restartNumberingAfterBreak="0">
    <w:nsid w:val="7C651460"/>
    <w:multiLevelType w:val="singleLevel"/>
    <w:tmpl w:val="DCAA060D"/>
    <w:name w:val="AnnexNumbering"/>
    <w:lvl w:ilvl="0">
      <w:start w:val="1"/>
      <w:numFmt w:val="upperLetter"/>
      <w:pStyle w:val="AnnexTitle"/>
      <w:lvlText w:val="Annex %1"/>
      <w:lvlJc w:val="left"/>
      <w:pPr>
        <w:tabs>
          <w:tab w:val="num" w:pos="2268"/>
        </w:tabs>
        <w:ind w:left="2268" w:hanging="2268"/>
      </w:pPr>
      <w:rPr>
        <w:rFonts w:hint="default"/>
      </w:rPr>
    </w:lvl>
  </w:abstractNum>
  <w:num w:numId="1">
    <w:abstractNumId w:val="0"/>
  </w:num>
  <w:num w:numId="2">
    <w:abstractNumId w:val="12"/>
  </w:num>
  <w:num w:numId="3">
    <w:abstractNumId w:val="7"/>
  </w:num>
  <w:num w:numId="4">
    <w:abstractNumId w:val="13"/>
  </w:num>
  <w:num w:numId="5">
    <w:abstractNumId w:val="19"/>
  </w:num>
  <w:num w:numId="6">
    <w:abstractNumId w:val="21"/>
  </w:num>
  <w:num w:numId="7">
    <w:abstractNumId w:val="1"/>
  </w:num>
  <w:num w:numId="8">
    <w:abstractNumId w:val="6"/>
  </w:num>
  <w:num w:numId="9">
    <w:abstractNumId w:val="15"/>
  </w:num>
  <w:num w:numId="10">
    <w:abstractNumId w:val="2"/>
  </w:num>
  <w:num w:numId="11">
    <w:abstractNumId w:val="4"/>
  </w:num>
  <w:num w:numId="12">
    <w:abstractNumId w:val="5"/>
  </w:num>
  <w:num w:numId="13">
    <w:abstractNumId w:val="9"/>
  </w:num>
  <w:num w:numId="14">
    <w:abstractNumId w:val="14"/>
  </w:num>
  <w:num w:numId="15">
    <w:abstractNumId w:val="18"/>
  </w:num>
  <w:num w:numId="16">
    <w:abstractNumId w:val="10"/>
  </w:num>
  <w:num w:numId="17">
    <w:abstractNumId w:val="11"/>
  </w:num>
  <w:num w:numId="18">
    <w:abstractNumId w:val="22"/>
  </w:num>
  <w:num w:numId="19">
    <w:abstractNumId w:val="17"/>
  </w:num>
  <w:num w:numId="20">
    <w:abstractNumId w:val="20"/>
  </w:num>
  <w:num w:numId="21">
    <w:abstractNumId w:val="3"/>
  </w:num>
  <w:num w:numId="22">
    <w:abstractNumId w:val="1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A6EF19B9-A1F3-4805-A989-980FE5BE4397"/>
    <w:docVar w:name="LW_COVERPAGE_TYPE" w:val="1"/>
    <w:docVar w:name="LW_CROSSREFERENCE" w:val="&lt;UNUSED&gt;"/>
    <w:docVar w:name="LW_DocType" w:val="NORMAL"/>
    <w:docVar w:name="LW_EMISSION" w:val="29.1.2026"/>
    <w:docVar w:name="LW_EMISSION_ISODATE" w:val="2026-01-29"/>
    <w:docVar w:name="LW_EMISSION_LOCATION" w:val="BRX"/>
    <w:docVar w:name="LW_EMISSION_PREFIX" w:val="Brisel\u275?, "/>
    <w:docVar w:name="LW_EMISSION_SUFFIX" w:val="."/>
    <w:docVar w:name="LW_ID_DOCTYPE_NONLW" w:val="CP-008"/>
    <w:docVar w:name="LW_LANGUE" w:val="LV"/>
    <w:docVar w:name="LW_LEVEL_OF_SENSITIVITY" w:val="Standard treatment"/>
    <w:docVar w:name="LW_NOM.INST" w:val="EIROPAS KOMISIJA"/>
    <w:docVar w:name="LW_NOM.INST_JOINTDOC" w:val="&lt;EMPTY&gt;"/>
    <w:docVar w:name="LW_PART_NBR" w:val="1"/>
    <w:docVar w:name="LW_PART_NBR_TOTAL" w:val="1"/>
    <w:docVar w:name="LW_REF.INST.NEW" w:val="COM"/>
    <w:docVar w:name="LW_REF.INST.NEW_ADOPTED" w:val="final"/>
    <w:docVar w:name="LW_REF.INST.NEW_TEXT" w:val="(2026) 42"/>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Nulles pies\u257?r\u326?ojuma r\u299?c\u299?bas pl\u257?na vidusposma p\u257?rskats_x000b_\u8220?T\u299?ra gaisa, oke\u257?na, sald\u363?dens un augsnes nodro\u353?in\u257?\u353?ana\u8221?"/>
    <w:docVar w:name="LW_TYPE.DOC.CP" w:val="KOMISIJAS ZI\u325?OJUMS EIROPAS PARLAMENTAM, PADOMEI, EIROPAS EKONOMIKAS UN SOCI\u256?LO LIETU KOMITEJAI UN RE\u290?IONU KOMITEJAI"/>
    <w:docVar w:name="LwApiVersions" w:val="LW4CoDe 1.24.5.0; LW 9.2, Build 20251112"/>
  </w:docVars>
  <w:rsids>
    <w:rsidRoot w:val="00275D3E"/>
    <w:rsid w:val="00000439"/>
    <w:rsid w:val="00000591"/>
    <w:rsid w:val="00000893"/>
    <w:rsid w:val="00000D75"/>
    <w:rsid w:val="0000158E"/>
    <w:rsid w:val="00002A5F"/>
    <w:rsid w:val="00002C09"/>
    <w:rsid w:val="00003802"/>
    <w:rsid w:val="00003AD4"/>
    <w:rsid w:val="00004E43"/>
    <w:rsid w:val="00005728"/>
    <w:rsid w:val="00005879"/>
    <w:rsid w:val="000058E7"/>
    <w:rsid w:val="00005C68"/>
    <w:rsid w:val="00005DB3"/>
    <w:rsid w:val="00006022"/>
    <w:rsid w:val="0000605F"/>
    <w:rsid w:val="00006A43"/>
    <w:rsid w:val="0001049E"/>
    <w:rsid w:val="000104D4"/>
    <w:rsid w:val="000108E0"/>
    <w:rsid w:val="00011C06"/>
    <w:rsid w:val="000120D9"/>
    <w:rsid w:val="00012299"/>
    <w:rsid w:val="00012940"/>
    <w:rsid w:val="00012C18"/>
    <w:rsid w:val="00013080"/>
    <w:rsid w:val="00013963"/>
    <w:rsid w:val="00015191"/>
    <w:rsid w:val="000151CA"/>
    <w:rsid w:val="000155C9"/>
    <w:rsid w:val="00016221"/>
    <w:rsid w:val="0001651C"/>
    <w:rsid w:val="00016FD9"/>
    <w:rsid w:val="0002020B"/>
    <w:rsid w:val="00020379"/>
    <w:rsid w:val="0002118A"/>
    <w:rsid w:val="00021835"/>
    <w:rsid w:val="00021E7E"/>
    <w:rsid w:val="000231BC"/>
    <w:rsid w:val="00023AA1"/>
    <w:rsid w:val="00023BB3"/>
    <w:rsid w:val="00025B54"/>
    <w:rsid w:val="000262DF"/>
    <w:rsid w:val="00026429"/>
    <w:rsid w:val="0002679E"/>
    <w:rsid w:val="00026BA8"/>
    <w:rsid w:val="00027821"/>
    <w:rsid w:val="00027ECF"/>
    <w:rsid w:val="00030392"/>
    <w:rsid w:val="00031721"/>
    <w:rsid w:val="00031C80"/>
    <w:rsid w:val="00032C28"/>
    <w:rsid w:val="0003311E"/>
    <w:rsid w:val="00033B21"/>
    <w:rsid w:val="00033B4C"/>
    <w:rsid w:val="00033CD9"/>
    <w:rsid w:val="00034030"/>
    <w:rsid w:val="00034ED0"/>
    <w:rsid w:val="00034F10"/>
    <w:rsid w:val="00035C0C"/>
    <w:rsid w:val="00035DC5"/>
    <w:rsid w:val="000365A7"/>
    <w:rsid w:val="00036B40"/>
    <w:rsid w:val="0004023F"/>
    <w:rsid w:val="000405F1"/>
    <w:rsid w:val="00040D59"/>
    <w:rsid w:val="00040D82"/>
    <w:rsid w:val="00041A5B"/>
    <w:rsid w:val="00041ABB"/>
    <w:rsid w:val="00041CFD"/>
    <w:rsid w:val="00042A6B"/>
    <w:rsid w:val="00042BD4"/>
    <w:rsid w:val="0004304E"/>
    <w:rsid w:val="000435BF"/>
    <w:rsid w:val="0004370D"/>
    <w:rsid w:val="000439E8"/>
    <w:rsid w:val="00043FDA"/>
    <w:rsid w:val="00045408"/>
    <w:rsid w:val="00045C67"/>
    <w:rsid w:val="00046E2E"/>
    <w:rsid w:val="00047079"/>
    <w:rsid w:val="00047424"/>
    <w:rsid w:val="00050720"/>
    <w:rsid w:val="00050A75"/>
    <w:rsid w:val="00050E27"/>
    <w:rsid w:val="00050E88"/>
    <w:rsid w:val="0005183F"/>
    <w:rsid w:val="00051D0F"/>
    <w:rsid w:val="00051F90"/>
    <w:rsid w:val="00051FF3"/>
    <w:rsid w:val="00054E21"/>
    <w:rsid w:val="0005503F"/>
    <w:rsid w:val="00055C8A"/>
    <w:rsid w:val="0005625E"/>
    <w:rsid w:val="00057B93"/>
    <w:rsid w:val="000601BB"/>
    <w:rsid w:val="00060645"/>
    <w:rsid w:val="00060C01"/>
    <w:rsid w:val="00060C7C"/>
    <w:rsid w:val="00060F02"/>
    <w:rsid w:val="000611BF"/>
    <w:rsid w:val="00062263"/>
    <w:rsid w:val="0006233C"/>
    <w:rsid w:val="00062A59"/>
    <w:rsid w:val="000647CF"/>
    <w:rsid w:val="00064A06"/>
    <w:rsid w:val="00064A52"/>
    <w:rsid w:val="000658CA"/>
    <w:rsid w:val="00065A0D"/>
    <w:rsid w:val="00065BE2"/>
    <w:rsid w:val="00065E63"/>
    <w:rsid w:val="00065EAB"/>
    <w:rsid w:val="0006642D"/>
    <w:rsid w:val="00066923"/>
    <w:rsid w:val="000669B1"/>
    <w:rsid w:val="00066A0C"/>
    <w:rsid w:val="000705C4"/>
    <w:rsid w:val="000707A5"/>
    <w:rsid w:val="000708BB"/>
    <w:rsid w:val="00070B73"/>
    <w:rsid w:val="00070CAE"/>
    <w:rsid w:val="00070D3E"/>
    <w:rsid w:val="00071CCD"/>
    <w:rsid w:val="00071CDE"/>
    <w:rsid w:val="00072219"/>
    <w:rsid w:val="0007232D"/>
    <w:rsid w:val="00072588"/>
    <w:rsid w:val="00072753"/>
    <w:rsid w:val="00073189"/>
    <w:rsid w:val="00073268"/>
    <w:rsid w:val="00073A03"/>
    <w:rsid w:val="00073DB0"/>
    <w:rsid w:val="00074096"/>
    <w:rsid w:val="00074119"/>
    <w:rsid w:val="000742F3"/>
    <w:rsid w:val="0007457F"/>
    <w:rsid w:val="00075360"/>
    <w:rsid w:val="0007577B"/>
    <w:rsid w:val="00075A0E"/>
    <w:rsid w:val="00076642"/>
    <w:rsid w:val="00077E7C"/>
    <w:rsid w:val="000810C6"/>
    <w:rsid w:val="00081106"/>
    <w:rsid w:val="00081310"/>
    <w:rsid w:val="0008199D"/>
    <w:rsid w:val="00082DD3"/>
    <w:rsid w:val="0008316E"/>
    <w:rsid w:val="00084012"/>
    <w:rsid w:val="00084266"/>
    <w:rsid w:val="00084CC6"/>
    <w:rsid w:val="00085444"/>
    <w:rsid w:val="00085500"/>
    <w:rsid w:val="00087428"/>
    <w:rsid w:val="00087D87"/>
    <w:rsid w:val="00090761"/>
    <w:rsid w:val="00090B50"/>
    <w:rsid w:val="00090D5F"/>
    <w:rsid w:val="00091273"/>
    <w:rsid w:val="00091584"/>
    <w:rsid w:val="00091631"/>
    <w:rsid w:val="000931AE"/>
    <w:rsid w:val="00093A68"/>
    <w:rsid w:val="000942FF"/>
    <w:rsid w:val="00094618"/>
    <w:rsid w:val="000951AB"/>
    <w:rsid w:val="00095AFE"/>
    <w:rsid w:val="000960C6"/>
    <w:rsid w:val="00096A18"/>
    <w:rsid w:val="00096CC2"/>
    <w:rsid w:val="00096F43"/>
    <w:rsid w:val="00097548"/>
    <w:rsid w:val="00097D4F"/>
    <w:rsid w:val="000A09AE"/>
    <w:rsid w:val="000A0E78"/>
    <w:rsid w:val="000A0ECE"/>
    <w:rsid w:val="000A1CAB"/>
    <w:rsid w:val="000A20B2"/>
    <w:rsid w:val="000A23C0"/>
    <w:rsid w:val="000A2483"/>
    <w:rsid w:val="000A2735"/>
    <w:rsid w:val="000A300F"/>
    <w:rsid w:val="000A427D"/>
    <w:rsid w:val="000A4372"/>
    <w:rsid w:val="000A4E25"/>
    <w:rsid w:val="000A539A"/>
    <w:rsid w:val="000A61ED"/>
    <w:rsid w:val="000A774E"/>
    <w:rsid w:val="000A778C"/>
    <w:rsid w:val="000A7855"/>
    <w:rsid w:val="000A799A"/>
    <w:rsid w:val="000A7AFF"/>
    <w:rsid w:val="000B029C"/>
    <w:rsid w:val="000B0350"/>
    <w:rsid w:val="000B1B2D"/>
    <w:rsid w:val="000B31E8"/>
    <w:rsid w:val="000B4712"/>
    <w:rsid w:val="000B48D6"/>
    <w:rsid w:val="000B54CB"/>
    <w:rsid w:val="000B559D"/>
    <w:rsid w:val="000B5B8E"/>
    <w:rsid w:val="000B5E9D"/>
    <w:rsid w:val="000B65F9"/>
    <w:rsid w:val="000B687F"/>
    <w:rsid w:val="000B6E19"/>
    <w:rsid w:val="000B6EE9"/>
    <w:rsid w:val="000B784E"/>
    <w:rsid w:val="000C04D7"/>
    <w:rsid w:val="000C089D"/>
    <w:rsid w:val="000C29E3"/>
    <w:rsid w:val="000C2AF3"/>
    <w:rsid w:val="000C3806"/>
    <w:rsid w:val="000C409C"/>
    <w:rsid w:val="000C4385"/>
    <w:rsid w:val="000C5343"/>
    <w:rsid w:val="000C56A2"/>
    <w:rsid w:val="000C5AA6"/>
    <w:rsid w:val="000C5EDF"/>
    <w:rsid w:val="000C6CEB"/>
    <w:rsid w:val="000C7084"/>
    <w:rsid w:val="000C7496"/>
    <w:rsid w:val="000C7725"/>
    <w:rsid w:val="000D084E"/>
    <w:rsid w:val="000D1E7C"/>
    <w:rsid w:val="000D294F"/>
    <w:rsid w:val="000D3116"/>
    <w:rsid w:val="000D3387"/>
    <w:rsid w:val="000D3C02"/>
    <w:rsid w:val="000D4B3F"/>
    <w:rsid w:val="000D530E"/>
    <w:rsid w:val="000D54EC"/>
    <w:rsid w:val="000D5815"/>
    <w:rsid w:val="000D60E3"/>
    <w:rsid w:val="000D69FA"/>
    <w:rsid w:val="000D6A94"/>
    <w:rsid w:val="000D7228"/>
    <w:rsid w:val="000D7998"/>
    <w:rsid w:val="000D7C3E"/>
    <w:rsid w:val="000D7EAC"/>
    <w:rsid w:val="000E04DA"/>
    <w:rsid w:val="000E133C"/>
    <w:rsid w:val="000E195D"/>
    <w:rsid w:val="000E1AFB"/>
    <w:rsid w:val="000E1F5C"/>
    <w:rsid w:val="000E21E5"/>
    <w:rsid w:val="000E2979"/>
    <w:rsid w:val="000E2DBF"/>
    <w:rsid w:val="000E2E9F"/>
    <w:rsid w:val="000E394A"/>
    <w:rsid w:val="000E397D"/>
    <w:rsid w:val="000E3A79"/>
    <w:rsid w:val="000E3CF6"/>
    <w:rsid w:val="000E3DA5"/>
    <w:rsid w:val="000E43C2"/>
    <w:rsid w:val="000E45D9"/>
    <w:rsid w:val="000E49C3"/>
    <w:rsid w:val="000E4BB9"/>
    <w:rsid w:val="000E4C83"/>
    <w:rsid w:val="000E4E36"/>
    <w:rsid w:val="000E521F"/>
    <w:rsid w:val="000E561D"/>
    <w:rsid w:val="000E6535"/>
    <w:rsid w:val="000E7222"/>
    <w:rsid w:val="000E741C"/>
    <w:rsid w:val="000E79E3"/>
    <w:rsid w:val="000F0D23"/>
    <w:rsid w:val="000F0D31"/>
    <w:rsid w:val="000F0FEB"/>
    <w:rsid w:val="000F23E6"/>
    <w:rsid w:val="000F301F"/>
    <w:rsid w:val="000F33D0"/>
    <w:rsid w:val="000F3B22"/>
    <w:rsid w:val="000F4B19"/>
    <w:rsid w:val="000F622D"/>
    <w:rsid w:val="000F6BFD"/>
    <w:rsid w:val="000F6ED8"/>
    <w:rsid w:val="000F6F70"/>
    <w:rsid w:val="000F733C"/>
    <w:rsid w:val="000F7C98"/>
    <w:rsid w:val="00100347"/>
    <w:rsid w:val="0010067E"/>
    <w:rsid w:val="00100698"/>
    <w:rsid w:val="00101217"/>
    <w:rsid w:val="00101647"/>
    <w:rsid w:val="001016C0"/>
    <w:rsid w:val="001021B9"/>
    <w:rsid w:val="001029BA"/>
    <w:rsid w:val="00102C76"/>
    <w:rsid w:val="00102FA2"/>
    <w:rsid w:val="001037BD"/>
    <w:rsid w:val="00103C05"/>
    <w:rsid w:val="00104E4D"/>
    <w:rsid w:val="00106240"/>
    <w:rsid w:val="00106717"/>
    <w:rsid w:val="00107850"/>
    <w:rsid w:val="00107D5C"/>
    <w:rsid w:val="00110867"/>
    <w:rsid w:val="00110CBA"/>
    <w:rsid w:val="001123A8"/>
    <w:rsid w:val="0011242B"/>
    <w:rsid w:val="001125EB"/>
    <w:rsid w:val="001126E9"/>
    <w:rsid w:val="00112907"/>
    <w:rsid w:val="0011363C"/>
    <w:rsid w:val="00114172"/>
    <w:rsid w:val="001149DE"/>
    <w:rsid w:val="00114E1F"/>
    <w:rsid w:val="0011525F"/>
    <w:rsid w:val="00115368"/>
    <w:rsid w:val="001158C6"/>
    <w:rsid w:val="00115FB5"/>
    <w:rsid w:val="00116E87"/>
    <w:rsid w:val="00116E95"/>
    <w:rsid w:val="001171C7"/>
    <w:rsid w:val="00117E04"/>
    <w:rsid w:val="001200B8"/>
    <w:rsid w:val="001202D4"/>
    <w:rsid w:val="001208A2"/>
    <w:rsid w:val="00120BAC"/>
    <w:rsid w:val="00120F1F"/>
    <w:rsid w:val="001210E0"/>
    <w:rsid w:val="00121A8F"/>
    <w:rsid w:val="00121E76"/>
    <w:rsid w:val="00122379"/>
    <w:rsid w:val="00122817"/>
    <w:rsid w:val="00122F44"/>
    <w:rsid w:val="00123014"/>
    <w:rsid w:val="001246A2"/>
    <w:rsid w:val="001247AF"/>
    <w:rsid w:val="001254F5"/>
    <w:rsid w:val="00125B65"/>
    <w:rsid w:val="00125C82"/>
    <w:rsid w:val="00125F27"/>
    <w:rsid w:val="00127545"/>
    <w:rsid w:val="00127E5C"/>
    <w:rsid w:val="0013069C"/>
    <w:rsid w:val="001309EE"/>
    <w:rsid w:val="00131F91"/>
    <w:rsid w:val="0013270E"/>
    <w:rsid w:val="0013293D"/>
    <w:rsid w:val="001332F2"/>
    <w:rsid w:val="0013343B"/>
    <w:rsid w:val="001353D2"/>
    <w:rsid w:val="00135D75"/>
    <w:rsid w:val="00136074"/>
    <w:rsid w:val="00136205"/>
    <w:rsid w:val="0013624F"/>
    <w:rsid w:val="001363EE"/>
    <w:rsid w:val="001366B8"/>
    <w:rsid w:val="00136703"/>
    <w:rsid w:val="00136A01"/>
    <w:rsid w:val="00136E89"/>
    <w:rsid w:val="001376EE"/>
    <w:rsid w:val="00137710"/>
    <w:rsid w:val="0013784F"/>
    <w:rsid w:val="001415AD"/>
    <w:rsid w:val="001416E9"/>
    <w:rsid w:val="00141AD8"/>
    <w:rsid w:val="00141DBA"/>
    <w:rsid w:val="001425F1"/>
    <w:rsid w:val="00142BDF"/>
    <w:rsid w:val="00142D0B"/>
    <w:rsid w:val="00143D43"/>
    <w:rsid w:val="001444A8"/>
    <w:rsid w:val="00144532"/>
    <w:rsid w:val="001453E6"/>
    <w:rsid w:val="00145D7B"/>
    <w:rsid w:val="00146A32"/>
    <w:rsid w:val="00146B87"/>
    <w:rsid w:val="00146E4C"/>
    <w:rsid w:val="0014717B"/>
    <w:rsid w:val="00147548"/>
    <w:rsid w:val="0014771A"/>
    <w:rsid w:val="0014828E"/>
    <w:rsid w:val="0015009C"/>
    <w:rsid w:val="001505C5"/>
    <w:rsid w:val="001519D8"/>
    <w:rsid w:val="001528AE"/>
    <w:rsid w:val="00152A2B"/>
    <w:rsid w:val="00152EDF"/>
    <w:rsid w:val="00152F63"/>
    <w:rsid w:val="001537AB"/>
    <w:rsid w:val="00153843"/>
    <w:rsid w:val="001539BB"/>
    <w:rsid w:val="00153EFC"/>
    <w:rsid w:val="0015429B"/>
    <w:rsid w:val="00155216"/>
    <w:rsid w:val="001552B5"/>
    <w:rsid w:val="00155807"/>
    <w:rsid w:val="00156700"/>
    <w:rsid w:val="00156AE8"/>
    <w:rsid w:val="0015737A"/>
    <w:rsid w:val="001577ED"/>
    <w:rsid w:val="00160DD2"/>
    <w:rsid w:val="00160EF7"/>
    <w:rsid w:val="001616DE"/>
    <w:rsid w:val="00161C73"/>
    <w:rsid w:val="00161EB6"/>
    <w:rsid w:val="0016255C"/>
    <w:rsid w:val="00162A43"/>
    <w:rsid w:val="00162CD4"/>
    <w:rsid w:val="0016317A"/>
    <w:rsid w:val="00163399"/>
    <w:rsid w:val="001637BE"/>
    <w:rsid w:val="00164227"/>
    <w:rsid w:val="001642C8"/>
    <w:rsid w:val="00164833"/>
    <w:rsid w:val="00164F4C"/>
    <w:rsid w:val="001657E8"/>
    <w:rsid w:val="0016655B"/>
    <w:rsid w:val="00166BB5"/>
    <w:rsid w:val="001676CF"/>
    <w:rsid w:val="00167867"/>
    <w:rsid w:val="0017044E"/>
    <w:rsid w:val="0017055C"/>
    <w:rsid w:val="001707D8"/>
    <w:rsid w:val="00171433"/>
    <w:rsid w:val="00171887"/>
    <w:rsid w:val="0017369B"/>
    <w:rsid w:val="00175F23"/>
    <w:rsid w:val="0017655A"/>
    <w:rsid w:val="001772C2"/>
    <w:rsid w:val="001774F8"/>
    <w:rsid w:val="00177748"/>
    <w:rsid w:val="00181DD3"/>
    <w:rsid w:val="00182C3F"/>
    <w:rsid w:val="001830B3"/>
    <w:rsid w:val="001832D1"/>
    <w:rsid w:val="0018335C"/>
    <w:rsid w:val="001843B1"/>
    <w:rsid w:val="00184BC3"/>
    <w:rsid w:val="00184F6D"/>
    <w:rsid w:val="001854AF"/>
    <w:rsid w:val="00185D9E"/>
    <w:rsid w:val="00185DBD"/>
    <w:rsid w:val="00185E2A"/>
    <w:rsid w:val="00185FDF"/>
    <w:rsid w:val="00186359"/>
    <w:rsid w:val="001868E7"/>
    <w:rsid w:val="00186CF4"/>
    <w:rsid w:val="00186ECD"/>
    <w:rsid w:val="00187631"/>
    <w:rsid w:val="001877FD"/>
    <w:rsid w:val="00187832"/>
    <w:rsid w:val="0018790C"/>
    <w:rsid w:val="00187BF1"/>
    <w:rsid w:val="001900D3"/>
    <w:rsid w:val="00190F9B"/>
    <w:rsid w:val="00190FED"/>
    <w:rsid w:val="0019140F"/>
    <w:rsid w:val="001914B1"/>
    <w:rsid w:val="00191965"/>
    <w:rsid w:val="00192397"/>
    <w:rsid w:val="00192636"/>
    <w:rsid w:val="00192F9C"/>
    <w:rsid w:val="00193982"/>
    <w:rsid w:val="00193ACE"/>
    <w:rsid w:val="00193B12"/>
    <w:rsid w:val="00193B27"/>
    <w:rsid w:val="00194581"/>
    <w:rsid w:val="00195B92"/>
    <w:rsid w:val="00197B27"/>
    <w:rsid w:val="001A132A"/>
    <w:rsid w:val="001A18CD"/>
    <w:rsid w:val="001A2408"/>
    <w:rsid w:val="001A261B"/>
    <w:rsid w:val="001A2B8D"/>
    <w:rsid w:val="001A3155"/>
    <w:rsid w:val="001A3303"/>
    <w:rsid w:val="001A3704"/>
    <w:rsid w:val="001A3866"/>
    <w:rsid w:val="001A3F7F"/>
    <w:rsid w:val="001A459F"/>
    <w:rsid w:val="001A4CF8"/>
    <w:rsid w:val="001A4D7A"/>
    <w:rsid w:val="001A5538"/>
    <w:rsid w:val="001A59ED"/>
    <w:rsid w:val="001A620D"/>
    <w:rsid w:val="001A699B"/>
    <w:rsid w:val="001A6C51"/>
    <w:rsid w:val="001A6D7D"/>
    <w:rsid w:val="001A72AA"/>
    <w:rsid w:val="001A7D75"/>
    <w:rsid w:val="001B0189"/>
    <w:rsid w:val="001B021A"/>
    <w:rsid w:val="001B04C9"/>
    <w:rsid w:val="001B2169"/>
    <w:rsid w:val="001B30A4"/>
    <w:rsid w:val="001B36DB"/>
    <w:rsid w:val="001B3835"/>
    <w:rsid w:val="001B3CF7"/>
    <w:rsid w:val="001B464D"/>
    <w:rsid w:val="001B4FB3"/>
    <w:rsid w:val="001B5897"/>
    <w:rsid w:val="001B6706"/>
    <w:rsid w:val="001B6AA8"/>
    <w:rsid w:val="001B72D3"/>
    <w:rsid w:val="001B7DBC"/>
    <w:rsid w:val="001C153B"/>
    <w:rsid w:val="001C1662"/>
    <w:rsid w:val="001C23A6"/>
    <w:rsid w:val="001C3304"/>
    <w:rsid w:val="001C3455"/>
    <w:rsid w:val="001C34F4"/>
    <w:rsid w:val="001C353E"/>
    <w:rsid w:val="001C3FCC"/>
    <w:rsid w:val="001C4143"/>
    <w:rsid w:val="001C41ED"/>
    <w:rsid w:val="001C5187"/>
    <w:rsid w:val="001C52A9"/>
    <w:rsid w:val="001C64A8"/>
    <w:rsid w:val="001C680F"/>
    <w:rsid w:val="001C6DD5"/>
    <w:rsid w:val="001C70C0"/>
    <w:rsid w:val="001C739C"/>
    <w:rsid w:val="001C7CFA"/>
    <w:rsid w:val="001D0CBD"/>
    <w:rsid w:val="001D0E2E"/>
    <w:rsid w:val="001D1047"/>
    <w:rsid w:val="001D16FB"/>
    <w:rsid w:val="001D17A7"/>
    <w:rsid w:val="001D1E96"/>
    <w:rsid w:val="001D2A2E"/>
    <w:rsid w:val="001D4629"/>
    <w:rsid w:val="001D4E6C"/>
    <w:rsid w:val="001D5470"/>
    <w:rsid w:val="001E0618"/>
    <w:rsid w:val="001E07C3"/>
    <w:rsid w:val="001E2184"/>
    <w:rsid w:val="001E279F"/>
    <w:rsid w:val="001E337C"/>
    <w:rsid w:val="001E43B0"/>
    <w:rsid w:val="001E4431"/>
    <w:rsid w:val="001E4715"/>
    <w:rsid w:val="001E48F0"/>
    <w:rsid w:val="001E5ED4"/>
    <w:rsid w:val="001E628B"/>
    <w:rsid w:val="001E6845"/>
    <w:rsid w:val="001E702F"/>
    <w:rsid w:val="001E72F0"/>
    <w:rsid w:val="001E7624"/>
    <w:rsid w:val="001E7AE4"/>
    <w:rsid w:val="001F04F9"/>
    <w:rsid w:val="001F07C9"/>
    <w:rsid w:val="001F1773"/>
    <w:rsid w:val="001F2275"/>
    <w:rsid w:val="001F22F9"/>
    <w:rsid w:val="001F3646"/>
    <w:rsid w:val="001F3804"/>
    <w:rsid w:val="001F3E72"/>
    <w:rsid w:val="001F4E46"/>
    <w:rsid w:val="001F5104"/>
    <w:rsid w:val="001F54C2"/>
    <w:rsid w:val="001F56A0"/>
    <w:rsid w:val="001F5EC9"/>
    <w:rsid w:val="001F68F4"/>
    <w:rsid w:val="001F6D45"/>
    <w:rsid w:val="001F74F5"/>
    <w:rsid w:val="00200ADF"/>
    <w:rsid w:val="00200BE2"/>
    <w:rsid w:val="00200EF4"/>
    <w:rsid w:val="002014C6"/>
    <w:rsid w:val="00202A3A"/>
    <w:rsid w:val="00203125"/>
    <w:rsid w:val="002039A5"/>
    <w:rsid w:val="00203EAF"/>
    <w:rsid w:val="0020435A"/>
    <w:rsid w:val="0020471D"/>
    <w:rsid w:val="0020531E"/>
    <w:rsid w:val="00205913"/>
    <w:rsid w:val="002059CD"/>
    <w:rsid w:val="00205D8A"/>
    <w:rsid w:val="00206084"/>
    <w:rsid w:val="00206713"/>
    <w:rsid w:val="00206D71"/>
    <w:rsid w:val="0020726E"/>
    <w:rsid w:val="00207452"/>
    <w:rsid w:val="00207830"/>
    <w:rsid w:val="00210C1C"/>
    <w:rsid w:val="00210DB7"/>
    <w:rsid w:val="00211103"/>
    <w:rsid w:val="0021147E"/>
    <w:rsid w:val="002126EF"/>
    <w:rsid w:val="00212A65"/>
    <w:rsid w:val="00213F10"/>
    <w:rsid w:val="0021472A"/>
    <w:rsid w:val="002160FC"/>
    <w:rsid w:val="002163A4"/>
    <w:rsid w:val="00216A51"/>
    <w:rsid w:val="00216C36"/>
    <w:rsid w:val="00217047"/>
    <w:rsid w:val="002174DF"/>
    <w:rsid w:val="00217B7F"/>
    <w:rsid w:val="00220440"/>
    <w:rsid w:val="0022060F"/>
    <w:rsid w:val="00220CA7"/>
    <w:rsid w:val="00220FF8"/>
    <w:rsid w:val="0022185C"/>
    <w:rsid w:val="00221B3F"/>
    <w:rsid w:val="00222FEE"/>
    <w:rsid w:val="00223679"/>
    <w:rsid w:val="002238FD"/>
    <w:rsid w:val="00223EB4"/>
    <w:rsid w:val="00224034"/>
    <w:rsid w:val="00224232"/>
    <w:rsid w:val="00224781"/>
    <w:rsid w:val="00224AF5"/>
    <w:rsid w:val="00224DFB"/>
    <w:rsid w:val="002253B9"/>
    <w:rsid w:val="00225575"/>
    <w:rsid w:val="00225939"/>
    <w:rsid w:val="002259E3"/>
    <w:rsid w:val="00225AAC"/>
    <w:rsid w:val="00225BB1"/>
    <w:rsid w:val="002261A9"/>
    <w:rsid w:val="00226D68"/>
    <w:rsid w:val="00227CB7"/>
    <w:rsid w:val="00230BEA"/>
    <w:rsid w:val="00231279"/>
    <w:rsid w:val="0023217A"/>
    <w:rsid w:val="002335B0"/>
    <w:rsid w:val="002337CB"/>
    <w:rsid w:val="00233D59"/>
    <w:rsid w:val="00234F01"/>
    <w:rsid w:val="00234F6C"/>
    <w:rsid w:val="0023542F"/>
    <w:rsid w:val="00235703"/>
    <w:rsid w:val="00240786"/>
    <w:rsid w:val="0024081B"/>
    <w:rsid w:val="00240D03"/>
    <w:rsid w:val="00241130"/>
    <w:rsid w:val="00241FB0"/>
    <w:rsid w:val="00242002"/>
    <w:rsid w:val="00242ED2"/>
    <w:rsid w:val="002430EC"/>
    <w:rsid w:val="002436E4"/>
    <w:rsid w:val="00243B5F"/>
    <w:rsid w:val="00243FBF"/>
    <w:rsid w:val="00243FF3"/>
    <w:rsid w:val="0024536A"/>
    <w:rsid w:val="0024560D"/>
    <w:rsid w:val="00247B99"/>
    <w:rsid w:val="00247DE8"/>
    <w:rsid w:val="00250187"/>
    <w:rsid w:val="00250D18"/>
    <w:rsid w:val="00251550"/>
    <w:rsid w:val="0025240A"/>
    <w:rsid w:val="00252C18"/>
    <w:rsid w:val="00252CAA"/>
    <w:rsid w:val="00252EFC"/>
    <w:rsid w:val="002551B2"/>
    <w:rsid w:val="0025599C"/>
    <w:rsid w:val="00255C9A"/>
    <w:rsid w:val="00256254"/>
    <w:rsid w:val="002573C0"/>
    <w:rsid w:val="00260D38"/>
    <w:rsid w:val="00261277"/>
    <w:rsid w:val="00261B20"/>
    <w:rsid w:val="002624D5"/>
    <w:rsid w:val="00262A05"/>
    <w:rsid w:val="00262C0C"/>
    <w:rsid w:val="002640F4"/>
    <w:rsid w:val="0026420E"/>
    <w:rsid w:val="0026451D"/>
    <w:rsid w:val="002648B0"/>
    <w:rsid w:val="00264A80"/>
    <w:rsid w:val="00264AFD"/>
    <w:rsid w:val="00265C89"/>
    <w:rsid w:val="00266C54"/>
    <w:rsid w:val="00266F4D"/>
    <w:rsid w:val="00267536"/>
    <w:rsid w:val="002675C0"/>
    <w:rsid w:val="00267CD3"/>
    <w:rsid w:val="00267FDE"/>
    <w:rsid w:val="00271220"/>
    <w:rsid w:val="002717DA"/>
    <w:rsid w:val="00271DF1"/>
    <w:rsid w:val="0027206B"/>
    <w:rsid w:val="00272641"/>
    <w:rsid w:val="0027350A"/>
    <w:rsid w:val="002738EE"/>
    <w:rsid w:val="00273DD3"/>
    <w:rsid w:val="002741B3"/>
    <w:rsid w:val="00274E2E"/>
    <w:rsid w:val="002757A0"/>
    <w:rsid w:val="002758FD"/>
    <w:rsid w:val="00275C18"/>
    <w:rsid w:val="00275D3E"/>
    <w:rsid w:val="002762BF"/>
    <w:rsid w:val="00276805"/>
    <w:rsid w:val="0027700E"/>
    <w:rsid w:val="002777DD"/>
    <w:rsid w:val="00280D08"/>
    <w:rsid w:val="00280EA6"/>
    <w:rsid w:val="00281365"/>
    <w:rsid w:val="002816A0"/>
    <w:rsid w:val="002821FE"/>
    <w:rsid w:val="00282849"/>
    <w:rsid w:val="00282914"/>
    <w:rsid w:val="002830E3"/>
    <w:rsid w:val="002833CE"/>
    <w:rsid w:val="002836CB"/>
    <w:rsid w:val="00283DE7"/>
    <w:rsid w:val="00284ECD"/>
    <w:rsid w:val="002850A9"/>
    <w:rsid w:val="002859D3"/>
    <w:rsid w:val="002862C6"/>
    <w:rsid w:val="00287372"/>
    <w:rsid w:val="0028755D"/>
    <w:rsid w:val="00290190"/>
    <w:rsid w:val="00290900"/>
    <w:rsid w:val="00290C94"/>
    <w:rsid w:val="002913AC"/>
    <w:rsid w:val="00291CC8"/>
    <w:rsid w:val="00291F8B"/>
    <w:rsid w:val="002931DE"/>
    <w:rsid w:val="00293244"/>
    <w:rsid w:val="002935A9"/>
    <w:rsid w:val="002935AF"/>
    <w:rsid w:val="00293646"/>
    <w:rsid w:val="002939B6"/>
    <w:rsid w:val="00293F1B"/>
    <w:rsid w:val="00294344"/>
    <w:rsid w:val="0029442F"/>
    <w:rsid w:val="00294D1F"/>
    <w:rsid w:val="00295E2A"/>
    <w:rsid w:val="00295FFC"/>
    <w:rsid w:val="00296F8E"/>
    <w:rsid w:val="002976D5"/>
    <w:rsid w:val="002A010B"/>
    <w:rsid w:val="002A01CB"/>
    <w:rsid w:val="002A02C4"/>
    <w:rsid w:val="002A02DB"/>
    <w:rsid w:val="002A02F2"/>
    <w:rsid w:val="002A259D"/>
    <w:rsid w:val="002A3832"/>
    <w:rsid w:val="002A3E18"/>
    <w:rsid w:val="002A53A4"/>
    <w:rsid w:val="002A53ED"/>
    <w:rsid w:val="002A6026"/>
    <w:rsid w:val="002A619C"/>
    <w:rsid w:val="002A7677"/>
    <w:rsid w:val="002A76DA"/>
    <w:rsid w:val="002B0299"/>
    <w:rsid w:val="002B0490"/>
    <w:rsid w:val="002B0971"/>
    <w:rsid w:val="002B114E"/>
    <w:rsid w:val="002B21EF"/>
    <w:rsid w:val="002B2D7F"/>
    <w:rsid w:val="002B43D1"/>
    <w:rsid w:val="002B49AF"/>
    <w:rsid w:val="002B52C9"/>
    <w:rsid w:val="002B5C54"/>
    <w:rsid w:val="002B5FF6"/>
    <w:rsid w:val="002B7161"/>
    <w:rsid w:val="002B7C3A"/>
    <w:rsid w:val="002C10B5"/>
    <w:rsid w:val="002C11AB"/>
    <w:rsid w:val="002C1EC9"/>
    <w:rsid w:val="002C2375"/>
    <w:rsid w:val="002C2611"/>
    <w:rsid w:val="002C2CBE"/>
    <w:rsid w:val="002C3734"/>
    <w:rsid w:val="002C3DF9"/>
    <w:rsid w:val="002C47A9"/>
    <w:rsid w:val="002C4851"/>
    <w:rsid w:val="002C4DE5"/>
    <w:rsid w:val="002C5285"/>
    <w:rsid w:val="002C5496"/>
    <w:rsid w:val="002C5811"/>
    <w:rsid w:val="002C583B"/>
    <w:rsid w:val="002C589F"/>
    <w:rsid w:val="002C594C"/>
    <w:rsid w:val="002C5BA3"/>
    <w:rsid w:val="002C637A"/>
    <w:rsid w:val="002C64E9"/>
    <w:rsid w:val="002C671D"/>
    <w:rsid w:val="002C79D4"/>
    <w:rsid w:val="002C7BA2"/>
    <w:rsid w:val="002C7D89"/>
    <w:rsid w:val="002D0519"/>
    <w:rsid w:val="002D0557"/>
    <w:rsid w:val="002D0BC6"/>
    <w:rsid w:val="002D0F7E"/>
    <w:rsid w:val="002D1095"/>
    <w:rsid w:val="002D1DED"/>
    <w:rsid w:val="002D3576"/>
    <w:rsid w:val="002D3841"/>
    <w:rsid w:val="002D3E1A"/>
    <w:rsid w:val="002D3F20"/>
    <w:rsid w:val="002D400C"/>
    <w:rsid w:val="002D4A1C"/>
    <w:rsid w:val="002D4EEE"/>
    <w:rsid w:val="002D50F5"/>
    <w:rsid w:val="002D55E2"/>
    <w:rsid w:val="002D5926"/>
    <w:rsid w:val="002D5970"/>
    <w:rsid w:val="002D5C89"/>
    <w:rsid w:val="002D63DC"/>
    <w:rsid w:val="002D684D"/>
    <w:rsid w:val="002D6ACE"/>
    <w:rsid w:val="002D6C75"/>
    <w:rsid w:val="002D796B"/>
    <w:rsid w:val="002D7ABA"/>
    <w:rsid w:val="002E05AB"/>
    <w:rsid w:val="002E0621"/>
    <w:rsid w:val="002E0864"/>
    <w:rsid w:val="002E1D5B"/>
    <w:rsid w:val="002E291D"/>
    <w:rsid w:val="002E2D18"/>
    <w:rsid w:val="002E2F71"/>
    <w:rsid w:val="002E31E4"/>
    <w:rsid w:val="002E35D6"/>
    <w:rsid w:val="002E5305"/>
    <w:rsid w:val="002E5A6A"/>
    <w:rsid w:val="002E6D8B"/>
    <w:rsid w:val="002E79D5"/>
    <w:rsid w:val="002E7A98"/>
    <w:rsid w:val="002E7BD5"/>
    <w:rsid w:val="002E7D98"/>
    <w:rsid w:val="002F0BC9"/>
    <w:rsid w:val="002F18B8"/>
    <w:rsid w:val="002F19AC"/>
    <w:rsid w:val="002F1F57"/>
    <w:rsid w:val="002F2160"/>
    <w:rsid w:val="002F28DA"/>
    <w:rsid w:val="002F32F1"/>
    <w:rsid w:val="002F32FA"/>
    <w:rsid w:val="002F33F3"/>
    <w:rsid w:val="002F3F93"/>
    <w:rsid w:val="002F4120"/>
    <w:rsid w:val="002F49EC"/>
    <w:rsid w:val="002F518C"/>
    <w:rsid w:val="002F5EE0"/>
    <w:rsid w:val="002F65BF"/>
    <w:rsid w:val="002F681A"/>
    <w:rsid w:val="002F68B0"/>
    <w:rsid w:val="002F6EB7"/>
    <w:rsid w:val="002F7049"/>
    <w:rsid w:val="002F7A40"/>
    <w:rsid w:val="002F7DB5"/>
    <w:rsid w:val="003005FE"/>
    <w:rsid w:val="00300D56"/>
    <w:rsid w:val="00301F4B"/>
    <w:rsid w:val="0030221E"/>
    <w:rsid w:val="003034F9"/>
    <w:rsid w:val="0030439B"/>
    <w:rsid w:val="003050E9"/>
    <w:rsid w:val="0030535A"/>
    <w:rsid w:val="00305856"/>
    <w:rsid w:val="00305BB9"/>
    <w:rsid w:val="0030676F"/>
    <w:rsid w:val="003067F0"/>
    <w:rsid w:val="00307A56"/>
    <w:rsid w:val="003104F4"/>
    <w:rsid w:val="00310C3D"/>
    <w:rsid w:val="003119C6"/>
    <w:rsid w:val="00312E34"/>
    <w:rsid w:val="00313135"/>
    <w:rsid w:val="00313721"/>
    <w:rsid w:val="003141CB"/>
    <w:rsid w:val="00314E75"/>
    <w:rsid w:val="0031527E"/>
    <w:rsid w:val="003157F9"/>
    <w:rsid w:val="00315D0F"/>
    <w:rsid w:val="00315DF1"/>
    <w:rsid w:val="00316F45"/>
    <w:rsid w:val="0031768F"/>
    <w:rsid w:val="00317A29"/>
    <w:rsid w:val="00317DC7"/>
    <w:rsid w:val="0032058E"/>
    <w:rsid w:val="0032078A"/>
    <w:rsid w:val="003207B4"/>
    <w:rsid w:val="00320BBC"/>
    <w:rsid w:val="0032133C"/>
    <w:rsid w:val="00321AEA"/>
    <w:rsid w:val="00322580"/>
    <w:rsid w:val="00323B4B"/>
    <w:rsid w:val="00324442"/>
    <w:rsid w:val="0032482A"/>
    <w:rsid w:val="00325CDA"/>
    <w:rsid w:val="00325F4E"/>
    <w:rsid w:val="003263B9"/>
    <w:rsid w:val="003266D8"/>
    <w:rsid w:val="00326833"/>
    <w:rsid w:val="00326D02"/>
    <w:rsid w:val="0032790F"/>
    <w:rsid w:val="00327D02"/>
    <w:rsid w:val="00327FEB"/>
    <w:rsid w:val="003300F5"/>
    <w:rsid w:val="00330626"/>
    <w:rsid w:val="00330CCE"/>
    <w:rsid w:val="00331CEB"/>
    <w:rsid w:val="00332B3B"/>
    <w:rsid w:val="00332EB8"/>
    <w:rsid w:val="00332F6C"/>
    <w:rsid w:val="00333600"/>
    <w:rsid w:val="0033368A"/>
    <w:rsid w:val="00334241"/>
    <w:rsid w:val="003342EF"/>
    <w:rsid w:val="0033466F"/>
    <w:rsid w:val="00334DBE"/>
    <w:rsid w:val="0033518A"/>
    <w:rsid w:val="00335BA2"/>
    <w:rsid w:val="00336261"/>
    <w:rsid w:val="00336371"/>
    <w:rsid w:val="00337335"/>
    <w:rsid w:val="00337E5A"/>
    <w:rsid w:val="0034084E"/>
    <w:rsid w:val="0034121E"/>
    <w:rsid w:val="00341C80"/>
    <w:rsid w:val="00342571"/>
    <w:rsid w:val="00342641"/>
    <w:rsid w:val="003428EF"/>
    <w:rsid w:val="00343745"/>
    <w:rsid w:val="00343CE9"/>
    <w:rsid w:val="003447BD"/>
    <w:rsid w:val="00344F04"/>
    <w:rsid w:val="00344F83"/>
    <w:rsid w:val="0034530D"/>
    <w:rsid w:val="003460B1"/>
    <w:rsid w:val="003471B3"/>
    <w:rsid w:val="00351032"/>
    <w:rsid w:val="00353C51"/>
    <w:rsid w:val="00353DE5"/>
    <w:rsid w:val="003544F0"/>
    <w:rsid w:val="00354AE5"/>
    <w:rsid w:val="00354B2B"/>
    <w:rsid w:val="00355231"/>
    <w:rsid w:val="00355F83"/>
    <w:rsid w:val="0035600F"/>
    <w:rsid w:val="003568BD"/>
    <w:rsid w:val="00356E3C"/>
    <w:rsid w:val="00357893"/>
    <w:rsid w:val="003578A2"/>
    <w:rsid w:val="00361175"/>
    <w:rsid w:val="00361E8C"/>
    <w:rsid w:val="00361F42"/>
    <w:rsid w:val="00362142"/>
    <w:rsid w:val="0036317D"/>
    <w:rsid w:val="00363679"/>
    <w:rsid w:val="00363A9E"/>
    <w:rsid w:val="00364018"/>
    <w:rsid w:val="00364BDC"/>
    <w:rsid w:val="00364CE4"/>
    <w:rsid w:val="003652B2"/>
    <w:rsid w:val="00365DBE"/>
    <w:rsid w:val="00365DDB"/>
    <w:rsid w:val="003664FC"/>
    <w:rsid w:val="003665F4"/>
    <w:rsid w:val="00367F85"/>
    <w:rsid w:val="00370D5F"/>
    <w:rsid w:val="00371BF5"/>
    <w:rsid w:val="00373980"/>
    <w:rsid w:val="00373B06"/>
    <w:rsid w:val="00374023"/>
    <w:rsid w:val="00375726"/>
    <w:rsid w:val="003758A2"/>
    <w:rsid w:val="00375B02"/>
    <w:rsid w:val="003769F3"/>
    <w:rsid w:val="003773E7"/>
    <w:rsid w:val="00380864"/>
    <w:rsid w:val="003834D1"/>
    <w:rsid w:val="003834EE"/>
    <w:rsid w:val="00385828"/>
    <w:rsid w:val="00385A2C"/>
    <w:rsid w:val="003860D2"/>
    <w:rsid w:val="00386BCF"/>
    <w:rsid w:val="00386D7F"/>
    <w:rsid w:val="00390BD5"/>
    <w:rsid w:val="003911EA"/>
    <w:rsid w:val="00391BB7"/>
    <w:rsid w:val="0039291E"/>
    <w:rsid w:val="0039382D"/>
    <w:rsid w:val="00393B30"/>
    <w:rsid w:val="00393C33"/>
    <w:rsid w:val="00393CF0"/>
    <w:rsid w:val="00394FD5"/>
    <w:rsid w:val="00395573"/>
    <w:rsid w:val="00395CCE"/>
    <w:rsid w:val="00396890"/>
    <w:rsid w:val="00396C01"/>
    <w:rsid w:val="00397B5F"/>
    <w:rsid w:val="003A0C2D"/>
    <w:rsid w:val="003A0C6F"/>
    <w:rsid w:val="003A1025"/>
    <w:rsid w:val="003A2737"/>
    <w:rsid w:val="003A37A7"/>
    <w:rsid w:val="003A4134"/>
    <w:rsid w:val="003A4BB5"/>
    <w:rsid w:val="003A4FAF"/>
    <w:rsid w:val="003A5036"/>
    <w:rsid w:val="003A60D4"/>
    <w:rsid w:val="003A6B7C"/>
    <w:rsid w:val="003A6D97"/>
    <w:rsid w:val="003A6DB4"/>
    <w:rsid w:val="003B14EF"/>
    <w:rsid w:val="003B3136"/>
    <w:rsid w:val="003B3802"/>
    <w:rsid w:val="003B3D3F"/>
    <w:rsid w:val="003B52BC"/>
    <w:rsid w:val="003B5409"/>
    <w:rsid w:val="003B5DD5"/>
    <w:rsid w:val="003B6D10"/>
    <w:rsid w:val="003B6E1B"/>
    <w:rsid w:val="003C1D4A"/>
    <w:rsid w:val="003C2CE8"/>
    <w:rsid w:val="003C3427"/>
    <w:rsid w:val="003C4C53"/>
    <w:rsid w:val="003C535D"/>
    <w:rsid w:val="003C5E1F"/>
    <w:rsid w:val="003C5E4B"/>
    <w:rsid w:val="003C7015"/>
    <w:rsid w:val="003C7023"/>
    <w:rsid w:val="003D0992"/>
    <w:rsid w:val="003D1A60"/>
    <w:rsid w:val="003D1ECE"/>
    <w:rsid w:val="003D1FDA"/>
    <w:rsid w:val="003D226F"/>
    <w:rsid w:val="003D22F3"/>
    <w:rsid w:val="003D26FE"/>
    <w:rsid w:val="003D4708"/>
    <w:rsid w:val="003D5307"/>
    <w:rsid w:val="003D5336"/>
    <w:rsid w:val="003D5435"/>
    <w:rsid w:val="003D555A"/>
    <w:rsid w:val="003D5FD6"/>
    <w:rsid w:val="003D6AAC"/>
    <w:rsid w:val="003D713D"/>
    <w:rsid w:val="003D74AA"/>
    <w:rsid w:val="003D75B1"/>
    <w:rsid w:val="003E0D29"/>
    <w:rsid w:val="003E1832"/>
    <w:rsid w:val="003E200D"/>
    <w:rsid w:val="003E207A"/>
    <w:rsid w:val="003E264C"/>
    <w:rsid w:val="003E2C1A"/>
    <w:rsid w:val="003E3E8E"/>
    <w:rsid w:val="003E416F"/>
    <w:rsid w:val="003E42FA"/>
    <w:rsid w:val="003E4766"/>
    <w:rsid w:val="003E6178"/>
    <w:rsid w:val="003E705B"/>
    <w:rsid w:val="003E7498"/>
    <w:rsid w:val="003E74D5"/>
    <w:rsid w:val="003E74E5"/>
    <w:rsid w:val="003E7B06"/>
    <w:rsid w:val="003E7DCE"/>
    <w:rsid w:val="003F052A"/>
    <w:rsid w:val="003F0565"/>
    <w:rsid w:val="003F0C65"/>
    <w:rsid w:val="003F1A9D"/>
    <w:rsid w:val="003F1F3C"/>
    <w:rsid w:val="003F295E"/>
    <w:rsid w:val="003F2B81"/>
    <w:rsid w:val="003F2C7E"/>
    <w:rsid w:val="003F368D"/>
    <w:rsid w:val="003F4449"/>
    <w:rsid w:val="003F522A"/>
    <w:rsid w:val="003F5408"/>
    <w:rsid w:val="003F58AA"/>
    <w:rsid w:val="003F5C50"/>
    <w:rsid w:val="003F74DF"/>
    <w:rsid w:val="003F7FCE"/>
    <w:rsid w:val="0040043F"/>
    <w:rsid w:val="00401DAF"/>
    <w:rsid w:val="00401F3E"/>
    <w:rsid w:val="0040219E"/>
    <w:rsid w:val="0040220E"/>
    <w:rsid w:val="00402305"/>
    <w:rsid w:val="004028D2"/>
    <w:rsid w:val="00404334"/>
    <w:rsid w:val="00404443"/>
    <w:rsid w:val="00404F5E"/>
    <w:rsid w:val="004056C1"/>
    <w:rsid w:val="00405B6C"/>
    <w:rsid w:val="00405D0E"/>
    <w:rsid w:val="00405DAE"/>
    <w:rsid w:val="0040630B"/>
    <w:rsid w:val="004063BE"/>
    <w:rsid w:val="00406EA9"/>
    <w:rsid w:val="004076F7"/>
    <w:rsid w:val="00407E57"/>
    <w:rsid w:val="00410BFB"/>
    <w:rsid w:val="004114F2"/>
    <w:rsid w:val="004117AC"/>
    <w:rsid w:val="004123FB"/>
    <w:rsid w:val="004126E0"/>
    <w:rsid w:val="004134B0"/>
    <w:rsid w:val="004136AE"/>
    <w:rsid w:val="00413A34"/>
    <w:rsid w:val="00413F70"/>
    <w:rsid w:val="00414870"/>
    <w:rsid w:val="004151A1"/>
    <w:rsid w:val="004152F0"/>
    <w:rsid w:val="00415DDC"/>
    <w:rsid w:val="00415ED9"/>
    <w:rsid w:val="004167AE"/>
    <w:rsid w:val="004169DC"/>
    <w:rsid w:val="00416D72"/>
    <w:rsid w:val="00417074"/>
    <w:rsid w:val="004172DA"/>
    <w:rsid w:val="00417789"/>
    <w:rsid w:val="00420571"/>
    <w:rsid w:val="00420C29"/>
    <w:rsid w:val="0042112E"/>
    <w:rsid w:val="00421710"/>
    <w:rsid w:val="00422238"/>
    <w:rsid w:val="0042228D"/>
    <w:rsid w:val="0042284E"/>
    <w:rsid w:val="00422A2C"/>
    <w:rsid w:val="00423394"/>
    <w:rsid w:val="00423779"/>
    <w:rsid w:val="00423DE2"/>
    <w:rsid w:val="00424AB1"/>
    <w:rsid w:val="00425AD9"/>
    <w:rsid w:val="00425F15"/>
    <w:rsid w:val="0042609D"/>
    <w:rsid w:val="00426803"/>
    <w:rsid w:val="00426CBB"/>
    <w:rsid w:val="00426F9F"/>
    <w:rsid w:val="0042711B"/>
    <w:rsid w:val="00427C54"/>
    <w:rsid w:val="00430044"/>
    <w:rsid w:val="004304F7"/>
    <w:rsid w:val="00430515"/>
    <w:rsid w:val="004305A8"/>
    <w:rsid w:val="004307F4"/>
    <w:rsid w:val="004308EB"/>
    <w:rsid w:val="00430B7E"/>
    <w:rsid w:val="00430CD9"/>
    <w:rsid w:val="00430EDE"/>
    <w:rsid w:val="004310D2"/>
    <w:rsid w:val="0043145F"/>
    <w:rsid w:val="00431DBC"/>
    <w:rsid w:val="00432972"/>
    <w:rsid w:val="00432E78"/>
    <w:rsid w:val="004344D6"/>
    <w:rsid w:val="00434607"/>
    <w:rsid w:val="004349F9"/>
    <w:rsid w:val="0043571A"/>
    <w:rsid w:val="004357C8"/>
    <w:rsid w:val="00436F6D"/>
    <w:rsid w:val="004372A1"/>
    <w:rsid w:val="004373A0"/>
    <w:rsid w:val="0044028C"/>
    <w:rsid w:val="00440A15"/>
    <w:rsid w:val="00442735"/>
    <w:rsid w:val="00442932"/>
    <w:rsid w:val="00443AF5"/>
    <w:rsid w:val="00445858"/>
    <w:rsid w:val="00445CC8"/>
    <w:rsid w:val="00446780"/>
    <w:rsid w:val="004468DE"/>
    <w:rsid w:val="00446C15"/>
    <w:rsid w:val="00450922"/>
    <w:rsid w:val="00450D9B"/>
    <w:rsid w:val="00450EA4"/>
    <w:rsid w:val="00450F0E"/>
    <w:rsid w:val="00451024"/>
    <w:rsid w:val="00451769"/>
    <w:rsid w:val="0045257A"/>
    <w:rsid w:val="0045258E"/>
    <w:rsid w:val="00453004"/>
    <w:rsid w:val="00453436"/>
    <w:rsid w:val="00453EDD"/>
    <w:rsid w:val="004549D5"/>
    <w:rsid w:val="00454A1A"/>
    <w:rsid w:val="00454EA4"/>
    <w:rsid w:val="00454F3B"/>
    <w:rsid w:val="004551AA"/>
    <w:rsid w:val="00456896"/>
    <w:rsid w:val="00457991"/>
    <w:rsid w:val="00460A3B"/>
    <w:rsid w:val="00460EF9"/>
    <w:rsid w:val="00461339"/>
    <w:rsid w:val="00461A63"/>
    <w:rsid w:val="0046205C"/>
    <w:rsid w:val="00463560"/>
    <w:rsid w:val="00464303"/>
    <w:rsid w:val="004653D4"/>
    <w:rsid w:val="0046591C"/>
    <w:rsid w:val="00465EF7"/>
    <w:rsid w:val="00466950"/>
    <w:rsid w:val="00466E7A"/>
    <w:rsid w:val="00467335"/>
    <w:rsid w:val="00467551"/>
    <w:rsid w:val="0046792A"/>
    <w:rsid w:val="0047247B"/>
    <w:rsid w:val="00472C41"/>
    <w:rsid w:val="00473118"/>
    <w:rsid w:val="0047333D"/>
    <w:rsid w:val="00473A57"/>
    <w:rsid w:val="00473AC2"/>
    <w:rsid w:val="00476BD9"/>
    <w:rsid w:val="00476C24"/>
    <w:rsid w:val="00477874"/>
    <w:rsid w:val="00480FC0"/>
    <w:rsid w:val="00481B68"/>
    <w:rsid w:val="00482036"/>
    <w:rsid w:val="004823BA"/>
    <w:rsid w:val="00482BB0"/>
    <w:rsid w:val="00483103"/>
    <w:rsid w:val="0048408A"/>
    <w:rsid w:val="00484D3A"/>
    <w:rsid w:val="00485286"/>
    <w:rsid w:val="004853AC"/>
    <w:rsid w:val="004853E5"/>
    <w:rsid w:val="00485AB7"/>
    <w:rsid w:val="0048606D"/>
    <w:rsid w:val="00486A8B"/>
    <w:rsid w:val="00486FA8"/>
    <w:rsid w:val="00487044"/>
    <w:rsid w:val="004871C2"/>
    <w:rsid w:val="00487650"/>
    <w:rsid w:val="0048765F"/>
    <w:rsid w:val="00487E9A"/>
    <w:rsid w:val="00490014"/>
    <w:rsid w:val="0049002F"/>
    <w:rsid w:val="00491764"/>
    <w:rsid w:val="004918C1"/>
    <w:rsid w:val="00491B9E"/>
    <w:rsid w:val="00491BF3"/>
    <w:rsid w:val="004921A8"/>
    <w:rsid w:val="004921C5"/>
    <w:rsid w:val="00492215"/>
    <w:rsid w:val="0049239C"/>
    <w:rsid w:val="004926EE"/>
    <w:rsid w:val="0049283E"/>
    <w:rsid w:val="00492FCC"/>
    <w:rsid w:val="0049306D"/>
    <w:rsid w:val="00493146"/>
    <w:rsid w:val="00493547"/>
    <w:rsid w:val="00493FCF"/>
    <w:rsid w:val="004946FB"/>
    <w:rsid w:val="004A0B4D"/>
    <w:rsid w:val="004A0C5E"/>
    <w:rsid w:val="004A1826"/>
    <w:rsid w:val="004A2198"/>
    <w:rsid w:val="004A2CEA"/>
    <w:rsid w:val="004A2EC2"/>
    <w:rsid w:val="004A3EBF"/>
    <w:rsid w:val="004A49E6"/>
    <w:rsid w:val="004A4CED"/>
    <w:rsid w:val="004A5289"/>
    <w:rsid w:val="004A53F9"/>
    <w:rsid w:val="004A5765"/>
    <w:rsid w:val="004A5B49"/>
    <w:rsid w:val="004A66AF"/>
    <w:rsid w:val="004B0219"/>
    <w:rsid w:val="004B1476"/>
    <w:rsid w:val="004B2C87"/>
    <w:rsid w:val="004B333F"/>
    <w:rsid w:val="004B3409"/>
    <w:rsid w:val="004B3E1F"/>
    <w:rsid w:val="004B3FA8"/>
    <w:rsid w:val="004B4335"/>
    <w:rsid w:val="004B66F0"/>
    <w:rsid w:val="004B66FD"/>
    <w:rsid w:val="004C01F3"/>
    <w:rsid w:val="004C1555"/>
    <w:rsid w:val="004C1636"/>
    <w:rsid w:val="004C184E"/>
    <w:rsid w:val="004C1986"/>
    <w:rsid w:val="004C248E"/>
    <w:rsid w:val="004C2AEC"/>
    <w:rsid w:val="004C32B3"/>
    <w:rsid w:val="004C3796"/>
    <w:rsid w:val="004C3D15"/>
    <w:rsid w:val="004C3D43"/>
    <w:rsid w:val="004C403C"/>
    <w:rsid w:val="004C438B"/>
    <w:rsid w:val="004C4A20"/>
    <w:rsid w:val="004C585A"/>
    <w:rsid w:val="004C625E"/>
    <w:rsid w:val="004C6FB1"/>
    <w:rsid w:val="004D06D9"/>
    <w:rsid w:val="004D0998"/>
    <w:rsid w:val="004D099E"/>
    <w:rsid w:val="004D0F7F"/>
    <w:rsid w:val="004D1690"/>
    <w:rsid w:val="004D26C2"/>
    <w:rsid w:val="004D35F4"/>
    <w:rsid w:val="004D3AE8"/>
    <w:rsid w:val="004D4CC2"/>
    <w:rsid w:val="004D57C5"/>
    <w:rsid w:val="004D58DB"/>
    <w:rsid w:val="004D6D9E"/>
    <w:rsid w:val="004D6F27"/>
    <w:rsid w:val="004D7249"/>
    <w:rsid w:val="004D72DC"/>
    <w:rsid w:val="004D754F"/>
    <w:rsid w:val="004D75CC"/>
    <w:rsid w:val="004D776F"/>
    <w:rsid w:val="004E020F"/>
    <w:rsid w:val="004E07E2"/>
    <w:rsid w:val="004E0889"/>
    <w:rsid w:val="004E0F10"/>
    <w:rsid w:val="004E2641"/>
    <w:rsid w:val="004E27F2"/>
    <w:rsid w:val="004E3FC6"/>
    <w:rsid w:val="004E473B"/>
    <w:rsid w:val="004E4848"/>
    <w:rsid w:val="004E484E"/>
    <w:rsid w:val="004E51FE"/>
    <w:rsid w:val="004E533A"/>
    <w:rsid w:val="004E5FD3"/>
    <w:rsid w:val="004E657F"/>
    <w:rsid w:val="004E6593"/>
    <w:rsid w:val="004E6B6E"/>
    <w:rsid w:val="004E7D3E"/>
    <w:rsid w:val="004F0207"/>
    <w:rsid w:val="004F03EA"/>
    <w:rsid w:val="004F0F20"/>
    <w:rsid w:val="004F254E"/>
    <w:rsid w:val="004F360A"/>
    <w:rsid w:val="004F3734"/>
    <w:rsid w:val="004F4556"/>
    <w:rsid w:val="004F4B09"/>
    <w:rsid w:val="004F4CC8"/>
    <w:rsid w:val="004F676A"/>
    <w:rsid w:val="004F6812"/>
    <w:rsid w:val="004F6CF8"/>
    <w:rsid w:val="00500A3C"/>
    <w:rsid w:val="00501902"/>
    <w:rsid w:val="00501EB7"/>
    <w:rsid w:val="00502149"/>
    <w:rsid w:val="00502314"/>
    <w:rsid w:val="00502DBD"/>
    <w:rsid w:val="005037B3"/>
    <w:rsid w:val="00503A3E"/>
    <w:rsid w:val="00504241"/>
    <w:rsid w:val="00504652"/>
    <w:rsid w:val="00504BF7"/>
    <w:rsid w:val="00504CEB"/>
    <w:rsid w:val="0050707D"/>
    <w:rsid w:val="005115A8"/>
    <w:rsid w:val="005129F5"/>
    <w:rsid w:val="00513D94"/>
    <w:rsid w:val="00514CCC"/>
    <w:rsid w:val="00514D5E"/>
    <w:rsid w:val="00514D9D"/>
    <w:rsid w:val="0051570B"/>
    <w:rsid w:val="0051577E"/>
    <w:rsid w:val="00516BEA"/>
    <w:rsid w:val="00520598"/>
    <w:rsid w:val="005205E1"/>
    <w:rsid w:val="0052166F"/>
    <w:rsid w:val="0052465E"/>
    <w:rsid w:val="005254CF"/>
    <w:rsid w:val="00525C8E"/>
    <w:rsid w:val="0052640D"/>
    <w:rsid w:val="00526839"/>
    <w:rsid w:val="00526D65"/>
    <w:rsid w:val="00527093"/>
    <w:rsid w:val="00527ECB"/>
    <w:rsid w:val="00527FB2"/>
    <w:rsid w:val="00531E95"/>
    <w:rsid w:val="00531EA8"/>
    <w:rsid w:val="005328E3"/>
    <w:rsid w:val="00533D49"/>
    <w:rsid w:val="005341E2"/>
    <w:rsid w:val="00534F31"/>
    <w:rsid w:val="005362EB"/>
    <w:rsid w:val="005362FA"/>
    <w:rsid w:val="00536692"/>
    <w:rsid w:val="0053734E"/>
    <w:rsid w:val="00537525"/>
    <w:rsid w:val="00541033"/>
    <w:rsid w:val="00541115"/>
    <w:rsid w:val="0054138C"/>
    <w:rsid w:val="00541E6B"/>
    <w:rsid w:val="00542068"/>
    <w:rsid w:val="0054292D"/>
    <w:rsid w:val="00545CE4"/>
    <w:rsid w:val="005473D7"/>
    <w:rsid w:val="005475D3"/>
    <w:rsid w:val="005508A1"/>
    <w:rsid w:val="005509B4"/>
    <w:rsid w:val="00550E8D"/>
    <w:rsid w:val="005519E7"/>
    <w:rsid w:val="0055221D"/>
    <w:rsid w:val="00552BAF"/>
    <w:rsid w:val="00552D24"/>
    <w:rsid w:val="00553114"/>
    <w:rsid w:val="0055370B"/>
    <w:rsid w:val="00553B6F"/>
    <w:rsid w:val="00553CEC"/>
    <w:rsid w:val="005541F9"/>
    <w:rsid w:val="005548AB"/>
    <w:rsid w:val="00554EAA"/>
    <w:rsid w:val="00555BDC"/>
    <w:rsid w:val="005563CA"/>
    <w:rsid w:val="005568EE"/>
    <w:rsid w:val="00557B58"/>
    <w:rsid w:val="00557BC6"/>
    <w:rsid w:val="00557F4A"/>
    <w:rsid w:val="0056042A"/>
    <w:rsid w:val="00560C8F"/>
    <w:rsid w:val="005619CD"/>
    <w:rsid w:val="00561E7C"/>
    <w:rsid w:val="00562F71"/>
    <w:rsid w:val="005630D8"/>
    <w:rsid w:val="0056346D"/>
    <w:rsid w:val="0056361B"/>
    <w:rsid w:val="00563A58"/>
    <w:rsid w:val="00563B02"/>
    <w:rsid w:val="00564053"/>
    <w:rsid w:val="005645A1"/>
    <w:rsid w:val="005648EB"/>
    <w:rsid w:val="0056571A"/>
    <w:rsid w:val="0056571F"/>
    <w:rsid w:val="005659B6"/>
    <w:rsid w:val="00565AF6"/>
    <w:rsid w:val="0056740D"/>
    <w:rsid w:val="005677CB"/>
    <w:rsid w:val="00567C40"/>
    <w:rsid w:val="00567D44"/>
    <w:rsid w:val="005700F4"/>
    <w:rsid w:val="00571C82"/>
    <w:rsid w:val="00571EFA"/>
    <w:rsid w:val="00572C8A"/>
    <w:rsid w:val="00573045"/>
    <w:rsid w:val="00573D82"/>
    <w:rsid w:val="00574939"/>
    <w:rsid w:val="005750AA"/>
    <w:rsid w:val="00575608"/>
    <w:rsid w:val="005764F4"/>
    <w:rsid w:val="00576C26"/>
    <w:rsid w:val="0057731F"/>
    <w:rsid w:val="00577496"/>
    <w:rsid w:val="00577ECD"/>
    <w:rsid w:val="00580CFF"/>
    <w:rsid w:val="005811E7"/>
    <w:rsid w:val="0058123F"/>
    <w:rsid w:val="0058152A"/>
    <w:rsid w:val="00583316"/>
    <w:rsid w:val="00583B92"/>
    <w:rsid w:val="00583EAA"/>
    <w:rsid w:val="005844AB"/>
    <w:rsid w:val="00584A5B"/>
    <w:rsid w:val="005851EC"/>
    <w:rsid w:val="00585235"/>
    <w:rsid w:val="005854F9"/>
    <w:rsid w:val="00585909"/>
    <w:rsid w:val="00587B21"/>
    <w:rsid w:val="00590278"/>
    <w:rsid w:val="00590354"/>
    <w:rsid w:val="00590CDA"/>
    <w:rsid w:val="005917A6"/>
    <w:rsid w:val="00591D38"/>
    <w:rsid w:val="00593A31"/>
    <w:rsid w:val="00593CB9"/>
    <w:rsid w:val="00594352"/>
    <w:rsid w:val="00594878"/>
    <w:rsid w:val="0059694E"/>
    <w:rsid w:val="00596B4E"/>
    <w:rsid w:val="00597432"/>
    <w:rsid w:val="00597546"/>
    <w:rsid w:val="005975F4"/>
    <w:rsid w:val="00597A9A"/>
    <w:rsid w:val="00597C9A"/>
    <w:rsid w:val="005A008C"/>
    <w:rsid w:val="005A076D"/>
    <w:rsid w:val="005A0EEF"/>
    <w:rsid w:val="005A0F23"/>
    <w:rsid w:val="005A0F48"/>
    <w:rsid w:val="005A1146"/>
    <w:rsid w:val="005A1B03"/>
    <w:rsid w:val="005A22E5"/>
    <w:rsid w:val="005A2524"/>
    <w:rsid w:val="005A2591"/>
    <w:rsid w:val="005A3511"/>
    <w:rsid w:val="005A3721"/>
    <w:rsid w:val="005A3F6F"/>
    <w:rsid w:val="005A677E"/>
    <w:rsid w:val="005A7916"/>
    <w:rsid w:val="005A7D4C"/>
    <w:rsid w:val="005B01E2"/>
    <w:rsid w:val="005B02C9"/>
    <w:rsid w:val="005B0390"/>
    <w:rsid w:val="005B04D5"/>
    <w:rsid w:val="005B073A"/>
    <w:rsid w:val="005B12A8"/>
    <w:rsid w:val="005B1409"/>
    <w:rsid w:val="005B1D58"/>
    <w:rsid w:val="005B2229"/>
    <w:rsid w:val="005B2B73"/>
    <w:rsid w:val="005B3034"/>
    <w:rsid w:val="005B343A"/>
    <w:rsid w:val="005B3448"/>
    <w:rsid w:val="005B3BA3"/>
    <w:rsid w:val="005B3D2D"/>
    <w:rsid w:val="005B4452"/>
    <w:rsid w:val="005B47AB"/>
    <w:rsid w:val="005B4AC5"/>
    <w:rsid w:val="005B4DD2"/>
    <w:rsid w:val="005B5027"/>
    <w:rsid w:val="005B6322"/>
    <w:rsid w:val="005B655D"/>
    <w:rsid w:val="005B65F8"/>
    <w:rsid w:val="005B71B4"/>
    <w:rsid w:val="005B7223"/>
    <w:rsid w:val="005C083F"/>
    <w:rsid w:val="005C0F4F"/>
    <w:rsid w:val="005C1148"/>
    <w:rsid w:val="005C1D9C"/>
    <w:rsid w:val="005C1DBD"/>
    <w:rsid w:val="005C2FC0"/>
    <w:rsid w:val="005C49E8"/>
    <w:rsid w:val="005C4AB5"/>
    <w:rsid w:val="005C4CE3"/>
    <w:rsid w:val="005C573C"/>
    <w:rsid w:val="005C5A59"/>
    <w:rsid w:val="005C6142"/>
    <w:rsid w:val="005C65E1"/>
    <w:rsid w:val="005C6617"/>
    <w:rsid w:val="005C6D87"/>
    <w:rsid w:val="005D0996"/>
    <w:rsid w:val="005D0CE7"/>
    <w:rsid w:val="005D0CF7"/>
    <w:rsid w:val="005D1B54"/>
    <w:rsid w:val="005D1CC6"/>
    <w:rsid w:val="005D28A0"/>
    <w:rsid w:val="005D2992"/>
    <w:rsid w:val="005D2D3C"/>
    <w:rsid w:val="005D341F"/>
    <w:rsid w:val="005D36EE"/>
    <w:rsid w:val="005D4F1E"/>
    <w:rsid w:val="005D5476"/>
    <w:rsid w:val="005D54A1"/>
    <w:rsid w:val="005D5963"/>
    <w:rsid w:val="005D5F46"/>
    <w:rsid w:val="005D71DA"/>
    <w:rsid w:val="005D7475"/>
    <w:rsid w:val="005D750E"/>
    <w:rsid w:val="005D75A0"/>
    <w:rsid w:val="005D76DE"/>
    <w:rsid w:val="005D7841"/>
    <w:rsid w:val="005D7A79"/>
    <w:rsid w:val="005E0221"/>
    <w:rsid w:val="005E0563"/>
    <w:rsid w:val="005E08BB"/>
    <w:rsid w:val="005E18FA"/>
    <w:rsid w:val="005E2149"/>
    <w:rsid w:val="005E23FE"/>
    <w:rsid w:val="005E3090"/>
    <w:rsid w:val="005E309C"/>
    <w:rsid w:val="005E30CD"/>
    <w:rsid w:val="005E3162"/>
    <w:rsid w:val="005E3242"/>
    <w:rsid w:val="005E35D1"/>
    <w:rsid w:val="005E49E6"/>
    <w:rsid w:val="005E4C3A"/>
    <w:rsid w:val="005E6715"/>
    <w:rsid w:val="005E6D6D"/>
    <w:rsid w:val="005E7348"/>
    <w:rsid w:val="005E76E3"/>
    <w:rsid w:val="005E794B"/>
    <w:rsid w:val="005E7FAF"/>
    <w:rsid w:val="005E7FD2"/>
    <w:rsid w:val="005F0550"/>
    <w:rsid w:val="005F0BAF"/>
    <w:rsid w:val="005F11DE"/>
    <w:rsid w:val="005F2294"/>
    <w:rsid w:val="005F2E89"/>
    <w:rsid w:val="005F301B"/>
    <w:rsid w:val="005F374B"/>
    <w:rsid w:val="005F39E9"/>
    <w:rsid w:val="005F4549"/>
    <w:rsid w:val="005F4747"/>
    <w:rsid w:val="005F5094"/>
    <w:rsid w:val="005F533E"/>
    <w:rsid w:val="005F581C"/>
    <w:rsid w:val="005F5B60"/>
    <w:rsid w:val="005F5D0D"/>
    <w:rsid w:val="005F6B0E"/>
    <w:rsid w:val="005F7B6B"/>
    <w:rsid w:val="005F7D04"/>
    <w:rsid w:val="006013AF"/>
    <w:rsid w:val="006016F9"/>
    <w:rsid w:val="00602369"/>
    <w:rsid w:val="00602449"/>
    <w:rsid w:val="00602512"/>
    <w:rsid w:val="00602AA0"/>
    <w:rsid w:val="00603C38"/>
    <w:rsid w:val="0060433D"/>
    <w:rsid w:val="006047EC"/>
    <w:rsid w:val="0060675B"/>
    <w:rsid w:val="00606F04"/>
    <w:rsid w:val="00607163"/>
    <w:rsid w:val="006072D9"/>
    <w:rsid w:val="00607DD9"/>
    <w:rsid w:val="006105B4"/>
    <w:rsid w:val="006107C1"/>
    <w:rsid w:val="00610CA6"/>
    <w:rsid w:val="006119DA"/>
    <w:rsid w:val="006125D8"/>
    <w:rsid w:val="0061286C"/>
    <w:rsid w:val="0061384F"/>
    <w:rsid w:val="00613E74"/>
    <w:rsid w:val="00615408"/>
    <w:rsid w:val="006155DF"/>
    <w:rsid w:val="006159E9"/>
    <w:rsid w:val="00615DAF"/>
    <w:rsid w:val="00615E7E"/>
    <w:rsid w:val="00616160"/>
    <w:rsid w:val="0061616B"/>
    <w:rsid w:val="00616F7F"/>
    <w:rsid w:val="0061719D"/>
    <w:rsid w:val="006178C4"/>
    <w:rsid w:val="00617A3C"/>
    <w:rsid w:val="006200DB"/>
    <w:rsid w:val="00620C81"/>
    <w:rsid w:val="00621EA9"/>
    <w:rsid w:val="006221D0"/>
    <w:rsid w:val="0062235B"/>
    <w:rsid w:val="00622A7B"/>
    <w:rsid w:val="006237F0"/>
    <w:rsid w:val="006239FA"/>
    <w:rsid w:val="00624011"/>
    <w:rsid w:val="006242AA"/>
    <w:rsid w:val="00624394"/>
    <w:rsid w:val="00625723"/>
    <w:rsid w:val="00625B03"/>
    <w:rsid w:val="006264E2"/>
    <w:rsid w:val="00626A3B"/>
    <w:rsid w:val="00626D2E"/>
    <w:rsid w:val="006315C6"/>
    <w:rsid w:val="00631693"/>
    <w:rsid w:val="00631972"/>
    <w:rsid w:val="00632B66"/>
    <w:rsid w:val="00633054"/>
    <w:rsid w:val="006330CD"/>
    <w:rsid w:val="00633CE6"/>
    <w:rsid w:val="00633F92"/>
    <w:rsid w:val="0063405D"/>
    <w:rsid w:val="0063453E"/>
    <w:rsid w:val="0063473F"/>
    <w:rsid w:val="00634A85"/>
    <w:rsid w:val="00634E4D"/>
    <w:rsid w:val="006351C9"/>
    <w:rsid w:val="0063545B"/>
    <w:rsid w:val="00635CBF"/>
    <w:rsid w:val="0063671E"/>
    <w:rsid w:val="00640B2C"/>
    <w:rsid w:val="006410C0"/>
    <w:rsid w:val="006411CC"/>
    <w:rsid w:val="006419D7"/>
    <w:rsid w:val="00641C18"/>
    <w:rsid w:val="00641EA6"/>
    <w:rsid w:val="006431BC"/>
    <w:rsid w:val="0064341D"/>
    <w:rsid w:val="00643774"/>
    <w:rsid w:val="006439BC"/>
    <w:rsid w:val="00644105"/>
    <w:rsid w:val="0064447A"/>
    <w:rsid w:val="00644599"/>
    <w:rsid w:val="00644CEB"/>
    <w:rsid w:val="00645FAB"/>
    <w:rsid w:val="00646E11"/>
    <w:rsid w:val="00646E66"/>
    <w:rsid w:val="00650B25"/>
    <w:rsid w:val="0065134D"/>
    <w:rsid w:val="0065154D"/>
    <w:rsid w:val="006516FC"/>
    <w:rsid w:val="00652509"/>
    <w:rsid w:val="0065254C"/>
    <w:rsid w:val="006526ED"/>
    <w:rsid w:val="00653617"/>
    <w:rsid w:val="006537A4"/>
    <w:rsid w:val="00654EFB"/>
    <w:rsid w:val="00654F88"/>
    <w:rsid w:val="00655067"/>
    <w:rsid w:val="0065665F"/>
    <w:rsid w:val="00656A99"/>
    <w:rsid w:val="00656F50"/>
    <w:rsid w:val="006572C6"/>
    <w:rsid w:val="00657ACE"/>
    <w:rsid w:val="006609FC"/>
    <w:rsid w:val="00660EFA"/>
    <w:rsid w:val="00662269"/>
    <w:rsid w:val="006623F3"/>
    <w:rsid w:val="00662D70"/>
    <w:rsid w:val="0066317F"/>
    <w:rsid w:val="006632F8"/>
    <w:rsid w:val="00663538"/>
    <w:rsid w:val="0066358A"/>
    <w:rsid w:val="006646B2"/>
    <w:rsid w:val="00664779"/>
    <w:rsid w:val="00665614"/>
    <w:rsid w:val="00666EC1"/>
    <w:rsid w:val="00667506"/>
    <w:rsid w:val="0067026E"/>
    <w:rsid w:val="006702BC"/>
    <w:rsid w:val="006710D6"/>
    <w:rsid w:val="00671ABE"/>
    <w:rsid w:val="006721CD"/>
    <w:rsid w:val="0067258A"/>
    <w:rsid w:val="00672B4E"/>
    <w:rsid w:val="0067373D"/>
    <w:rsid w:val="00674C1D"/>
    <w:rsid w:val="00674F4F"/>
    <w:rsid w:val="00675ABF"/>
    <w:rsid w:val="006764CB"/>
    <w:rsid w:val="006770A0"/>
    <w:rsid w:val="006776F2"/>
    <w:rsid w:val="0067795C"/>
    <w:rsid w:val="006804BD"/>
    <w:rsid w:val="006804E1"/>
    <w:rsid w:val="0068177F"/>
    <w:rsid w:val="00682EF7"/>
    <w:rsid w:val="00683035"/>
    <w:rsid w:val="0068305D"/>
    <w:rsid w:val="00683165"/>
    <w:rsid w:val="00683CA4"/>
    <w:rsid w:val="00683D4A"/>
    <w:rsid w:val="00683F80"/>
    <w:rsid w:val="00684192"/>
    <w:rsid w:val="006842DC"/>
    <w:rsid w:val="0068453B"/>
    <w:rsid w:val="00684D0E"/>
    <w:rsid w:val="0068524A"/>
    <w:rsid w:val="00685444"/>
    <w:rsid w:val="00685600"/>
    <w:rsid w:val="0068639F"/>
    <w:rsid w:val="0069145E"/>
    <w:rsid w:val="006921AF"/>
    <w:rsid w:val="006923A8"/>
    <w:rsid w:val="00693E2D"/>
    <w:rsid w:val="00693E43"/>
    <w:rsid w:val="00694014"/>
    <w:rsid w:val="0069414E"/>
    <w:rsid w:val="0069422D"/>
    <w:rsid w:val="00694CEF"/>
    <w:rsid w:val="00694DEC"/>
    <w:rsid w:val="0069573D"/>
    <w:rsid w:val="00695AC8"/>
    <w:rsid w:val="00695E63"/>
    <w:rsid w:val="00696137"/>
    <w:rsid w:val="0069614F"/>
    <w:rsid w:val="00697241"/>
    <w:rsid w:val="00697B70"/>
    <w:rsid w:val="00697F51"/>
    <w:rsid w:val="006A047A"/>
    <w:rsid w:val="006A0D01"/>
    <w:rsid w:val="006A150B"/>
    <w:rsid w:val="006A1BFE"/>
    <w:rsid w:val="006A1C7B"/>
    <w:rsid w:val="006A1D0E"/>
    <w:rsid w:val="006A24F5"/>
    <w:rsid w:val="006A2568"/>
    <w:rsid w:val="006A4B4D"/>
    <w:rsid w:val="006A5263"/>
    <w:rsid w:val="006A58A5"/>
    <w:rsid w:val="006A6CB7"/>
    <w:rsid w:val="006A72DD"/>
    <w:rsid w:val="006A7415"/>
    <w:rsid w:val="006A7601"/>
    <w:rsid w:val="006A7F51"/>
    <w:rsid w:val="006B00BB"/>
    <w:rsid w:val="006B0FEE"/>
    <w:rsid w:val="006B2BAD"/>
    <w:rsid w:val="006B439C"/>
    <w:rsid w:val="006B4D61"/>
    <w:rsid w:val="006B5C86"/>
    <w:rsid w:val="006B63D1"/>
    <w:rsid w:val="006B651C"/>
    <w:rsid w:val="006B6C7B"/>
    <w:rsid w:val="006B7541"/>
    <w:rsid w:val="006B76E3"/>
    <w:rsid w:val="006B7A1D"/>
    <w:rsid w:val="006B7A38"/>
    <w:rsid w:val="006C020A"/>
    <w:rsid w:val="006C0E96"/>
    <w:rsid w:val="006C166C"/>
    <w:rsid w:val="006C1B01"/>
    <w:rsid w:val="006C277B"/>
    <w:rsid w:val="006C2B6E"/>
    <w:rsid w:val="006C2CC2"/>
    <w:rsid w:val="006C2D07"/>
    <w:rsid w:val="006C332B"/>
    <w:rsid w:val="006C3874"/>
    <w:rsid w:val="006C3912"/>
    <w:rsid w:val="006C3A22"/>
    <w:rsid w:val="006C3B6B"/>
    <w:rsid w:val="006C3DB7"/>
    <w:rsid w:val="006C50FB"/>
    <w:rsid w:val="006C53CD"/>
    <w:rsid w:val="006C5FE2"/>
    <w:rsid w:val="006C63A4"/>
    <w:rsid w:val="006C6DB0"/>
    <w:rsid w:val="006C79CF"/>
    <w:rsid w:val="006D02D6"/>
    <w:rsid w:val="006D0327"/>
    <w:rsid w:val="006D08A3"/>
    <w:rsid w:val="006D2A24"/>
    <w:rsid w:val="006D33CF"/>
    <w:rsid w:val="006D34D6"/>
    <w:rsid w:val="006D39CC"/>
    <w:rsid w:val="006D39FC"/>
    <w:rsid w:val="006D3C9C"/>
    <w:rsid w:val="006D3FF8"/>
    <w:rsid w:val="006D4298"/>
    <w:rsid w:val="006D4C6A"/>
    <w:rsid w:val="006D4CEF"/>
    <w:rsid w:val="006D50A4"/>
    <w:rsid w:val="006D59DC"/>
    <w:rsid w:val="006D5A00"/>
    <w:rsid w:val="006D5A82"/>
    <w:rsid w:val="006D5CD8"/>
    <w:rsid w:val="006D5E0C"/>
    <w:rsid w:val="006D5ED2"/>
    <w:rsid w:val="006D66CC"/>
    <w:rsid w:val="006D70F6"/>
    <w:rsid w:val="006E1114"/>
    <w:rsid w:val="006E1189"/>
    <w:rsid w:val="006E2997"/>
    <w:rsid w:val="006E36A8"/>
    <w:rsid w:val="006E3B9C"/>
    <w:rsid w:val="006E3C46"/>
    <w:rsid w:val="006E3C9C"/>
    <w:rsid w:val="006E489F"/>
    <w:rsid w:val="006E48AD"/>
    <w:rsid w:val="006E49A3"/>
    <w:rsid w:val="006E4B5B"/>
    <w:rsid w:val="006E51D4"/>
    <w:rsid w:val="006E5624"/>
    <w:rsid w:val="006E5877"/>
    <w:rsid w:val="006E61BA"/>
    <w:rsid w:val="006E68D3"/>
    <w:rsid w:val="006E7A71"/>
    <w:rsid w:val="006F05B9"/>
    <w:rsid w:val="006F192F"/>
    <w:rsid w:val="006F19E4"/>
    <w:rsid w:val="006F2222"/>
    <w:rsid w:val="006F2859"/>
    <w:rsid w:val="006F28CF"/>
    <w:rsid w:val="006F2F21"/>
    <w:rsid w:val="006F329B"/>
    <w:rsid w:val="006F40A1"/>
    <w:rsid w:val="006F4343"/>
    <w:rsid w:val="006F4417"/>
    <w:rsid w:val="006F47F3"/>
    <w:rsid w:val="006F4C22"/>
    <w:rsid w:val="006F50CC"/>
    <w:rsid w:val="006F5632"/>
    <w:rsid w:val="006F6844"/>
    <w:rsid w:val="006F68C6"/>
    <w:rsid w:val="006F6A1F"/>
    <w:rsid w:val="00700224"/>
    <w:rsid w:val="00700608"/>
    <w:rsid w:val="00700D72"/>
    <w:rsid w:val="00700D8A"/>
    <w:rsid w:val="00701109"/>
    <w:rsid w:val="007012A2"/>
    <w:rsid w:val="0070143A"/>
    <w:rsid w:val="00701CB0"/>
    <w:rsid w:val="00701CB9"/>
    <w:rsid w:val="00702560"/>
    <w:rsid w:val="00704734"/>
    <w:rsid w:val="00705B7B"/>
    <w:rsid w:val="00706521"/>
    <w:rsid w:val="00706F21"/>
    <w:rsid w:val="007072E8"/>
    <w:rsid w:val="00710F75"/>
    <w:rsid w:val="00711503"/>
    <w:rsid w:val="007116EC"/>
    <w:rsid w:val="00712590"/>
    <w:rsid w:val="00712D29"/>
    <w:rsid w:val="00713101"/>
    <w:rsid w:val="00713172"/>
    <w:rsid w:val="00713887"/>
    <w:rsid w:val="007139FA"/>
    <w:rsid w:val="00713B27"/>
    <w:rsid w:val="00713C37"/>
    <w:rsid w:val="007143A3"/>
    <w:rsid w:val="00714BA8"/>
    <w:rsid w:val="0071507E"/>
    <w:rsid w:val="007152E2"/>
    <w:rsid w:val="00715BB5"/>
    <w:rsid w:val="0071628C"/>
    <w:rsid w:val="00716AB8"/>
    <w:rsid w:val="00716DE4"/>
    <w:rsid w:val="007177F8"/>
    <w:rsid w:val="007179F4"/>
    <w:rsid w:val="00717C99"/>
    <w:rsid w:val="007208D3"/>
    <w:rsid w:val="00720DD5"/>
    <w:rsid w:val="00720E6E"/>
    <w:rsid w:val="00722268"/>
    <w:rsid w:val="00722753"/>
    <w:rsid w:val="007228C7"/>
    <w:rsid w:val="00722BDD"/>
    <w:rsid w:val="00723598"/>
    <w:rsid w:val="00723749"/>
    <w:rsid w:val="00723EA7"/>
    <w:rsid w:val="00724652"/>
    <w:rsid w:val="0072501D"/>
    <w:rsid w:val="0072557D"/>
    <w:rsid w:val="007257A8"/>
    <w:rsid w:val="007258F5"/>
    <w:rsid w:val="00727069"/>
    <w:rsid w:val="00727FCF"/>
    <w:rsid w:val="00730B7A"/>
    <w:rsid w:val="0073165C"/>
    <w:rsid w:val="00731E99"/>
    <w:rsid w:val="007329C6"/>
    <w:rsid w:val="0073354A"/>
    <w:rsid w:val="00733861"/>
    <w:rsid w:val="0073418C"/>
    <w:rsid w:val="0073445E"/>
    <w:rsid w:val="00734846"/>
    <w:rsid w:val="0073673E"/>
    <w:rsid w:val="00736971"/>
    <w:rsid w:val="007375D2"/>
    <w:rsid w:val="00741683"/>
    <w:rsid w:val="00741EAA"/>
    <w:rsid w:val="0074278B"/>
    <w:rsid w:val="007428D9"/>
    <w:rsid w:val="00742A29"/>
    <w:rsid w:val="00742CF1"/>
    <w:rsid w:val="0074310D"/>
    <w:rsid w:val="00743AC4"/>
    <w:rsid w:val="00743AF1"/>
    <w:rsid w:val="00743CB7"/>
    <w:rsid w:val="00744251"/>
    <w:rsid w:val="00744734"/>
    <w:rsid w:val="00744A53"/>
    <w:rsid w:val="00745BEF"/>
    <w:rsid w:val="00745CAB"/>
    <w:rsid w:val="00746478"/>
    <w:rsid w:val="00750556"/>
    <w:rsid w:val="00750894"/>
    <w:rsid w:val="00751F8A"/>
    <w:rsid w:val="00752E8C"/>
    <w:rsid w:val="00753475"/>
    <w:rsid w:val="00753897"/>
    <w:rsid w:val="007541A8"/>
    <w:rsid w:val="0075514E"/>
    <w:rsid w:val="007554CC"/>
    <w:rsid w:val="007559E6"/>
    <w:rsid w:val="00755AD3"/>
    <w:rsid w:val="0075605D"/>
    <w:rsid w:val="007568C7"/>
    <w:rsid w:val="00757DB5"/>
    <w:rsid w:val="00760701"/>
    <w:rsid w:val="00760A73"/>
    <w:rsid w:val="00761828"/>
    <w:rsid w:val="00762547"/>
    <w:rsid w:val="00763103"/>
    <w:rsid w:val="00763789"/>
    <w:rsid w:val="00763CF0"/>
    <w:rsid w:val="00763DDC"/>
    <w:rsid w:val="0076491D"/>
    <w:rsid w:val="00764C17"/>
    <w:rsid w:val="00765807"/>
    <w:rsid w:val="00765F71"/>
    <w:rsid w:val="007661EB"/>
    <w:rsid w:val="0076628B"/>
    <w:rsid w:val="00766298"/>
    <w:rsid w:val="007664A3"/>
    <w:rsid w:val="00766E3E"/>
    <w:rsid w:val="00770336"/>
    <w:rsid w:val="0077090A"/>
    <w:rsid w:val="00770A80"/>
    <w:rsid w:val="00770F8C"/>
    <w:rsid w:val="007721BC"/>
    <w:rsid w:val="00772444"/>
    <w:rsid w:val="00772E42"/>
    <w:rsid w:val="007734D6"/>
    <w:rsid w:val="00773AB0"/>
    <w:rsid w:val="00773E00"/>
    <w:rsid w:val="00774942"/>
    <w:rsid w:val="00774D3A"/>
    <w:rsid w:val="00774EB2"/>
    <w:rsid w:val="007750CA"/>
    <w:rsid w:val="0077510A"/>
    <w:rsid w:val="00775414"/>
    <w:rsid w:val="007772C3"/>
    <w:rsid w:val="0077765D"/>
    <w:rsid w:val="0077781C"/>
    <w:rsid w:val="00777A04"/>
    <w:rsid w:val="00777C7B"/>
    <w:rsid w:val="00780086"/>
    <w:rsid w:val="00780808"/>
    <w:rsid w:val="00781010"/>
    <w:rsid w:val="007816EE"/>
    <w:rsid w:val="00781724"/>
    <w:rsid w:val="00781870"/>
    <w:rsid w:val="00781906"/>
    <w:rsid w:val="00782036"/>
    <w:rsid w:val="00782391"/>
    <w:rsid w:val="00782468"/>
    <w:rsid w:val="007827A4"/>
    <w:rsid w:val="00782E68"/>
    <w:rsid w:val="00784078"/>
    <w:rsid w:val="00784A26"/>
    <w:rsid w:val="00784D65"/>
    <w:rsid w:val="00784EEF"/>
    <w:rsid w:val="00785059"/>
    <w:rsid w:val="007850C4"/>
    <w:rsid w:val="0078581E"/>
    <w:rsid w:val="007863AE"/>
    <w:rsid w:val="007864C1"/>
    <w:rsid w:val="00786EEC"/>
    <w:rsid w:val="00786F37"/>
    <w:rsid w:val="00787A6D"/>
    <w:rsid w:val="00787ABD"/>
    <w:rsid w:val="00790A9B"/>
    <w:rsid w:val="00790FBA"/>
    <w:rsid w:val="007916D8"/>
    <w:rsid w:val="00791ADF"/>
    <w:rsid w:val="007924DA"/>
    <w:rsid w:val="00793031"/>
    <w:rsid w:val="0079309E"/>
    <w:rsid w:val="007934D2"/>
    <w:rsid w:val="007939F6"/>
    <w:rsid w:val="0079439D"/>
    <w:rsid w:val="00794ADB"/>
    <w:rsid w:val="00795355"/>
    <w:rsid w:val="00795462"/>
    <w:rsid w:val="00795DFF"/>
    <w:rsid w:val="007964BD"/>
    <w:rsid w:val="00796B4F"/>
    <w:rsid w:val="00796FBF"/>
    <w:rsid w:val="007979DE"/>
    <w:rsid w:val="00797FD1"/>
    <w:rsid w:val="007A0943"/>
    <w:rsid w:val="007A0B4B"/>
    <w:rsid w:val="007A18AE"/>
    <w:rsid w:val="007A196B"/>
    <w:rsid w:val="007A1CA9"/>
    <w:rsid w:val="007A30CC"/>
    <w:rsid w:val="007A33B6"/>
    <w:rsid w:val="007A4B12"/>
    <w:rsid w:val="007A5A6C"/>
    <w:rsid w:val="007A5DC0"/>
    <w:rsid w:val="007A62E2"/>
    <w:rsid w:val="007A6888"/>
    <w:rsid w:val="007A6D61"/>
    <w:rsid w:val="007B0568"/>
    <w:rsid w:val="007B0702"/>
    <w:rsid w:val="007B0B95"/>
    <w:rsid w:val="007B0C98"/>
    <w:rsid w:val="007B10CA"/>
    <w:rsid w:val="007B115F"/>
    <w:rsid w:val="007B1BAE"/>
    <w:rsid w:val="007B1C24"/>
    <w:rsid w:val="007B3090"/>
    <w:rsid w:val="007B41CC"/>
    <w:rsid w:val="007B4659"/>
    <w:rsid w:val="007B5D3D"/>
    <w:rsid w:val="007B602A"/>
    <w:rsid w:val="007B6367"/>
    <w:rsid w:val="007B7583"/>
    <w:rsid w:val="007B7656"/>
    <w:rsid w:val="007B7696"/>
    <w:rsid w:val="007B7823"/>
    <w:rsid w:val="007C05F9"/>
    <w:rsid w:val="007C0639"/>
    <w:rsid w:val="007C0702"/>
    <w:rsid w:val="007C0964"/>
    <w:rsid w:val="007C122B"/>
    <w:rsid w:val="007C1CFF"/>
    <w:rsid w:val="007C22BC"/>
    <w:rsid w:val="007C2388"/>
    <w:rsid w:val="007C2F50"/>
    <w:rsid w:val="007C3AC0"/>
    <w:rsid w:val="007C3EFF"/>
    <w:rsid w:val="007C4698"/>
    <w:rsid w:val="007C46CD"/>
    <w:rsid w:val="007C4FD4"/>
    <w:rsid w:val="007C533F"/>
    <w:rsid w:val="007C6069"/>
    <w:rsid w:val="007C7FD8"/>
    <w:rsid w:val="007D00A8"/>
    <w:rsid w:val="007D0132"/>
    <w:rsid w:val="007D0237"/>
    <w:rsid w:val="007D084E"/>
    <w:rsid w:val="007D0E84"/>
    <w:rsid w:val="007D19FD"/>
    <w:rsid w:val="007D21F3"/>
    <w:rsid w:val="007D34D9"/>
    <w:rsid w:val="007D45CD"/>
    <w:rsid w:val="007D695A"/>
    <w:rsid w:val="007E0F2E"/>
    <w:rsid w:val="007E1AD7"/>
    <w:rsid w:val="007E1F65"/>
    <w:rsid w:val="007E234B"/>
    <w:rsid w:val="007E260E"/>
    <w:rsid w:val="007E323E"/>
    <w:rsid w:val="007E3946"/>
    <w:rsid w:val="007E4FBC"/>
    <w:rsid w:val="007E538C"/>
    <w:rsid w:val="007E53F6"/>
    <w:rsid w:val="007E5635"/>
    <w:rsid w:val="007E5A9C"/>
    <w:rsid w:val="007E6D27"/>
    <w:rsid w:val="007E7024"/>
    <w:rsid w:val="007E7C8C"/>
    <w:rsid w:val="007F004A"/>
    <w:rsid w:val="007F0A76"/>
    <w:rsid w:val="007F0D95"/>
    <w:rsid w:val="007F151D"/>
    <w:rsid w:val="007F159E"/>
    <w:rsid w:val="007F1B11"/>
    <w:rsid w:val="007F1C78"/>
    <w:rsid w:val="007F299B"/>
    <w:rsid w:val="007F30C9"/>
    <w:rsid w:val="007F3BBC"/>
    <w:rsid w:val="007F3C63"/>
    <w:rsid w:val="007F4358"/>
    <w:rsid w:val="007F438F"/>
    <w:rsid w:val="007F4391"/>
    <w:rsid w:val="007F4695"/>
    <w:rsid w:val="007F56EE"/>
    <w:rsid w:val="007F5DE7"/>
    <w:rsid w:val="007F5FD9"/>
    <w:rsid w:val="007F6339"/>
    <w:rsid w:val="007F65E1"/>
    <w:rsid w:val="007F72E0"/>
    <w:rsid w:val="007F734A"/>
    <w:rsid w:val="0080023B"/>
    <w:rsid w:val="008016E5"/>
    <w:rsid w:val="00801A19"/>
    <w:rsid w:val="00802C6A"/>
    <w:rsid w:val="008038F0"/>
    <w:rsid w:val="008046BA"/>
    <w:rsid w:val="0080568B"/>
    <w:rsid w:val="0080583F"/>
    <w:rsid w:val="00806AE2"/>
    <w:rsid w:val="00806C5A"/>
    <w:rsid w:val="0080773E"/>
    <w:rsid w:val="00807F81"/>
    <w:rsid w:val="00810313"/>
    <w:rsid w:val="00810D34"/>
    <w:rsid w:val="008112B7"/>
    <w:rsid w:val="00812406"/>
    <w:rsid w:val="00812593"/>
    <w:rsid w:val="00812F87"/>
    <w:rsid w:val="00813BF9"/>
    <w:rsid w:val="00813FFA"/>
    <w:rsid w:val="008148B6"/>
    <w:rsid w:val="00814935"/>
    <w:rsid w:val="008178D9"/>
    <w:rsid w:val="00817C64"/>
    <w:rsid w:val="00820278"/>
    <w:rsid w:val="00820606"/>
    <w:rsid w:val="00820741"/>
    <w:rsid w:val="00820FB2"/>
    <w:rsid w:val="0082214D"/>
    <w:rsid w:val="0082245B"/>
    <w:rsid w:val="00822A30"/>
    <w:rsid w:val="00822CA6"/>
    <w:rsid w:val="00822CD0"/>
    <w:rsid w:val="00823B84"/>
    <w:rsid w:val="00823E17"/>
    <w:rsid w:val="00824076"/>
    <w:rsid w:val="008244AB"/>
    <w:rsid w:val="00824F32"/>
    <w:rsid w:val="00825E04"/>
    <w:rsid w:val="00826F0D"/>
    <w:rsid w:val="00826F44"/>
    <w:rsid w:val="0083050D"/>
    <w:rsid w:val="00833571"/>
    <w:rsid w:val="00834215"/>
    <w:rsid w:val="00834428"/>
    <w:rsid w:val="0083455E"/>
    <w:rsid w:val="0083495C"/>
    <w:rsid w:val="00834DCE"/>
    <w:rsid w:val="00835218"/>
    <w:rsid w:val="00836897"/>
    <w:rsid w:val="008368F1"/>
    <w:rsid w:val="00837517"/>
    <w:rsid w:val="00840087"/>
    <w:rsid w:val="008403E0"/>
    <w:rsid w:val="008404E2"/>
    <w:rsid w:val="00840728"/>
    <w:rsid w:val="008407BA"/>
    <w:rsid w:val="008409B1"/>
    <w:rsid w:val="0084142B"/>
    <w:rsid w:val="0084175E"/>
    <w:rsid w:val="00842CDA"/>
    <w:rsid w:val="0084396C"/>
    <w:rsid w:val="00843B63"/>
    <w:rsid w:val="00845A0F"/>
    <w:rsid w:val="0084612C"/>
    <w:rsid w:val="00847A4E"/>
    <w:rsid w:val="00847B1E"/>
    <w:rsid w:val="00847FB9"/>
    <w:rsid w:val="008502A6"/>
    <w:rsid w:val="00850B6D"/>
    <w:rsid w:val="00851FEA"/>
    <w:rsid w:val="00853B9E"/>
    <w:rsid w:val="00854588"/>
    <w:rsid w:val="00854CA8"/>
    <w:rsid w:val="00855287"/>
    <w:rsid w:val="008558D9"/>
    <w:rsid w:val="0085657A"/>
    <w:rsid w:val="00857016"/>
    <w:rsid w:val="00857A63"/>
    <w:rsid w:val="00857A64"/>
    <w:rsid w:val="008601BD"/>
    <w:rsid w:val="00860CD9"/>
    <w:rsid w:val="00861536"/>
    <w:rsid w:val="00861D63"/>
    <w:rsid w:val="0086257E"/>
    <w:rsid w:val="00862837"/>
    <w:rsid w:val="00863078"/>
    <w:rsid w:val="008633D8"/>
    <w:rsid w:val="00863EAD"/>
    <w:rsid w:val="0086438F"/>
    <w:rsid w:val="008644DA"/>
    <w:rsid w:val="00864B3B"/>
    <w:rsid w:val="00864FD9"/>
    <w:rsid w:val="00865D77"/>
    <w:rsid w:val="00865DFA"/>
    <w:rsid w:val="00870971"/>
    <w:rsid w:val="00870FF7"/>
    <w:rsid w:val="008712CB"/>
    <w:rsid w:val="00872AAD"/>
    <w:rsid w:val="00872ECD"/>
    <w:rsid w:val="00872EED"/>
    <w:rsid w:val="00873C7A"/>
    <w:rsid w:val="00873E84"/>
    <w:rsid w:val="00874147"/>
    <w:rsid w:val="008748AB"/>
    <w:rsid w:val="00874CDA"/>
    <w:rsid w:val="00874D96"/>
    <w:rsid w:val="008750E0"/>
    <w:rsid w:val="008756A0"/>
    <w:rsid w:val="00876F5E"/>
    <w:rsid w:val="00880BF0"/>
    <w:rsid w:val="00881045"/>
    <w:rsid w:val="00881BCD"/>
    <w:rsid w:val="00881BEA"/>
    <w:rsid w:val="008846A8"/>
    <w:rsid w:val="00884747"/>
    <w:rsid w:val="00885069"/>
    <w:rsid w:val="00885512"/>
    <w:rsid w:val="008858ED"/>
    <w:rsid w:val="00886414"/>
    <w:rsid w:val="008865F6"/>
    <w:rsid w:val="00886EC5"/>
    <w:rsid w:val="00886F7A"/>
    <w:rsid w:val="008870A4"/>
    <w:rsid w:val="0089108E"/>
    <w:rsid w:val="008918BC"/>
    <w:rsid w:val="00891E15"/>
    <w:rsid w:val="008929D1"/>
    <w:rsid w:val="008935FE"/>
    <w:rsid w:val="00893F6D"/>
    <w:rsid w:val="00895893"/>
    <w:rsid w:val="00895A14"/>
    <w:rsid w:val="00896E7E"/>
    <w:rsid w:val="008A0851"/>
    <w:rsid w:val="008A1272"/>
    <w:rsid w:val="008A1FA3"/>
    <w:rsid w:val="008A1FE6"/>
    <w:rsid w:val="008A26DF"/>
    <w:rsid w:val="008A28E0"/>
    <w:rsid w:val="008A341A"/>
    <w:rsid w:val="008A40D7"/>
    <w:rsid w:val="008A4263"/>
    <w:rsid w:val="008A42EE"/>
    <w:rsid w:val="008A469B"/>
    <w:rsid w:val="008A4B18"/>
    <w:rsid w:val="008A546E"/>
    <w:rsid w:val="008A5AFB"/>
    <w:rsid w:val="008A5E6A"/>
    <w:rsid w:val="008A6EC6"/>
    <w:rsid w:val="008A74F3"/>
    <w:rsid w:val="008B09ED"/>
    <w:rsid w:val="008B163C"/>
    <w:rsid w:val="008B1827"/>
    <w:rsid w:val="008B196A"/>
    <w:rsid w:val="008B2403"/>
    <w:rsid w:val="008B2461"/>
    <w:rsid w:val="008B2DA9"/>
    <w:rsid w:val="008B3605"/>
    <w:rsid w:val="008B390E"/>
    <w:rsid w:val="008B4EE8"/>
    <w:rsid w:val="008B5EAD"/>
    <w:rsid w:val="008B6D91"/>
    <w:rsid w:val="008C0109"/>
    <w:rsid w:val="008C109C"/>
    <w:rsid w:val="008C1611"/>
    <w:rsid w:val="008C250E"/>
    <w:rsid w:val="008C261B"/>
    <w:rsid w:val="008C2DCB"/>
    <w:rsid w:val="008C326E"/>
    <w:rsid w:val="008C4572"/>
    <w:rsid w:val="008C482E"/>
    <w:rsid w:val="008C4A28"/>
    <w:rsid w:val="008C4E8F"/>
    <w:rsid w:val="008C50FE"/>
    <w:rsid w:val="008C5186"/>
    <w:rsid w:val="008C518C"/>
    <w:rsid w:val="008C525E"/>
    <w:rsid w:val="008C68D3"/>
    <w:rsid w:val="008C7D0A"/>
    <w:rsid w:val="008D1397"/>
    <w:rsid w:val="008D15E0"/>
    <w:rsid w:val="008D1EB6"/>
    <w:rsid w:val="008D24B1"/>
    <w:rsid w:val="008D25F0"/>
    <w:rsid w:val="008D28F7"/>
    <w:rsid w:val="008D3197"/>
    <w:rsid w:val="008D32CA"/>
    <w:rsid w:val="008D38F8"/>
    <w:rsid w:val="008D3ACA"/>
    <w:rsid w:val="008D4189"/>
    <w:rsid w:val="008D46D5"/>
    <w:rsid w:val="008D52F0"/>
    <w:rsid w:val="008D5751"/>
    <w:rsid w:val="008D614C"/>
    <w:rsid w:val="008D6264"/>
    <w:rsid w:val="008D7636"/>
    <w:rsid w:val="008D7BB6"/>
    <w:rsid w:val="008E01E6"/>
    <w:rsid w:val="008E0B65"/>
    <w:rsid w:val="008E122D"/>
    <w:rsid w:val="008E1F61"/>
    <w:rsid w:val="008E1FA0"/>
    <w:rsid w:val="008E22BF"/>
    <w:rsid w:val="008E31CD"/>
    <w:rsid w:val="008E4019"/>
    <w:rsid w:val="008E4797"/>
    <w:rsid w:val="008E6182"/>
    <w:rsid w:val="008E6947"/>
    <w:rsid w:val="008E6CA0"/>
    <w:rsid w:val="008E7319"/>
    <w:rsid w:val="008E777B"/>
    <w:rsid w:val="008F05DA"/>
    <w:rsid w:val="008F0663"/>
    <w:rsid w:val="008F0DFF"/>
    <w:rsid w:val="008F14F0"/>
    <w:rsid w:val="008F18C1"/>
    <w:rsid w:val="008F1931"/>
    <w:rsid w:val="008F1B09"/>
    <w:rsid w:val="008F2056"/>
    <w:rsid w:val="008F212B"/>
    <w:rsid w:val="008F25D9"/>
    <w:rsid w:val="008F3EFC"/>
    <w:rsid w:val="008F405E"/>
    <w:rsid w:val="008F488F"/>
    <w:rsid w:val="008F4F6F"/>
    <w:rsid w:val="008F4F7A"/>
    <w:rsid w:val="008F4FCA"/>
    <w:rsid w:val="008F51E5"/>
    <w:rsid w:val="008F5DF5"/>
    <w:rsid w:val="008F688D"/>
    <w:rsid w:val="008F6C5C"/>
    <w:rsid w:val="008F6ED9"/>
    <w:rsid w:val="008F79ED"/>
    <w:rsid w:val="008F7BBE"/>
    <w:rsid w:val="00900A8A"/>
    <w:rsid w:val="00901506"/>
    <w:rsid w:val="00901D60"/>
    <w:rsid w:val="00902185"/>
    <w:rsid w:val="009024B8"/>
    <w:rsid w:val="0090280D"/>
    <w:rsid w:val="00902916"/>
    <w:rsid w:val="00903CF3"/>
    <w:rsid w:val="0090617A"/>
    <w:rsid w:val="00906901"/>
    <w:rsid w:val="00910451"/>
    <w:rsid w:val="009104FE"/>
    <w:rsid w:val="00910820"/>
    <w:rsid w:val="0091110F"/>
    <w:rsid w:val="00911611"/>
    <w:rsid w:val="009136CF"/>
    <w:rsid w:val="009137D6"/>
    <w:rsid w:val="009140C6"/>
    <w:rsid w:val="009142D4"/>
    <w:rsid w:val="00914934"/>
    <w:rsid w:val="00914AA9"/>
    <w:rsid w:val="00914DA7"/>
    <w:rsid w:val="00914ED4"/>
    <w:rsid w:val="0091537D"/>
    <w:rsid w:val="0091572A"/>
    <w:rsid w:val="009158A6"/>
    <w:rsid w:val="00915E52"/>
    <w:rsid w:val="0091782F"/>
    <w:rsid w:val="0091784F"/>
    <w:rsid w:val="00920DC2"/>
    <w:rsid w:val="00921361"/>
    <w:rsid w:val="0092154D"/>
    <w:rsid w:val="0092205F"/>
    <w:rsid w:val="00922D77"/>
    <w:rsid w:val="00923931"/>
    <w:rsid w:val="009239C2"/>
    <w:rsid w:val="00923EF8"/>
    <w:rsid w:val="00923F7A"/>
    <w:rsid w:val="00924627"/>
    <w:rsid w:val="009252D9"/>
    <w:rsid w:val="0092575D"/>
    <w:rsid w:val="00925980"/>
    <w:rsid w:val="00925B1F"/>
    <w:rsid w:val="00925B76"/>
    <w:rsid w:val="00926276"/>
    <w:rsid w:val="009265E3"/>
    <w:rsid w:val="00927B07"/>
    <w:rsid w:val="00927FDE"/>
    <w:rsid w:val="009304FD"/>
    <w:rsid w:val="00931E02"/>
    <w:rsid w:val="00932930"/>
    <w:rsid w:val="00932B4E"/>
    <w:rsid w:val="00933335"/>
    <w:rsid w:val="009351B0"/>
    <w:rsid w:val="0093544E"/>
    <w:rsid w:val="00936AF7"/>
    <w:rsid w:val="00936E1C"/>
    <w:rsid w:val="0093763E"/>
    <w:rsid w:val="009403C1"/>
    <w:rsid w:val="009403D8"/>
    <w:rsid w:val="009405F0"/>
    <w:rsid w:val="00940D11"/>
    <w:rsid w:val="0094108A"/>
    <w:rsid w:val="009419A8"/>
    <w:rsid w:val="009419DB"/>
    <w:rsid w:val="00941B2E"/>
    <w:rsid w:val="00941BA8"/>
    <w:rsid w:val="00941DE1"/>
    <w:rsid w:val="0094223F"/>
    <w:rsid w:val="00942376"/>
    <w:rsid w:val="00942937"/>
    <w:rsid w:val="00942CF9"/>
    <w:rsid w:val="00943CBE"/>
    <w:rsid w:val="0094407C"/>
    <w:rsid w:val="00944143"/>
    <w:rsid w:val="00944339"/>
    <w:rsid w:val="009466B3"/>
    <w:rsid w:val="009468C1"/>
    <w:rsid w:val="00946CC6"/>
    <w:rsid w:val="0095066B"/>
    <w:rsid w:val="00950AF7"/>
    <w:rsid w:val="00952732"/>
    <w:rsid w:val="00952A05"/>
    <w:rsid w:val="00952E82"/>
    <w:rsid w:val="00953047"/>
    <w:rsid w:val="00953490"/>
    <w:rsid w:val="0095375D"/>
    <w:rsid w:val="00953835"/>
    <w:rsid w:val="00953935"/>
    <w:rsid w:val="0095497B"/>
    <w:rsid w:val="00954E0D"/>
    <w:rsid w:val="00956080"/>
    <w:rsid w:val="00957686"/>
    <w:rsid w:val="00957AD1"/>
    <w:rsid w:val="00960435"/>
    <w:rsid w:val="009607FD"/>
    <w:rsid w:val="009613C5"/>
    <w:rsid w:val="009619F9"/>
    <w:rsid w:val="00961EF8"/>
    <w:rsid w:val="009621B1"/>
    <w:rsid w:val="009622AC"/>
    <w:rsid w:val="0096265B"/>
    <w:rsid w:val="00963284"/>
    <w:rsid w:val="009632ED"/>
    <w:rsid w:val="0096461C"/>
    <w:rsid w:val="00964B28"/>
    <w:rsid w:val="00966411"/>
    <w:rsid w:val="0096716F"/>
    <w:rsid w:val="00967E1C"/>
    <w:rsid w:val="00971473"/>
    <w:rsid w:val="00971C78"/>
    <w:rsid w:val="009722F4"/>
    <w:rsid w:val="0097277B"/>
    <w:rsid w:val="00972861"/>
    <w:rsid w:val="00972D98"/>
    <w:rsid w:val="00973080"/>
    <w:rsid w:val="009730C9"/>
    <w:rsid w:val="00973D59"/>
    <w:rsid w:val="00974420"/>
    <w:rsid w:val="00974AB5"/>
    <w:rsid w:val="009755D8"/>
    <w:rsid w:val="009764C3"/>
    <w:rsid w:val="00976652"/>
    <w:rsid w:val="00976787"/>
    <w:rsid w:val="00976BB3"/>
    <w:rsid w:val="00976C17"/>
    <w:rsid w:val="00976CD7"/>
    <w:rsid w:val="0097766C"/>
    <w:rsid w:val="00977B4F"/>
    <w:rsid w:val="00977B64"/>
    <w:rsid w:val="00977CBA"/>
    <w:rsid w:val="00977E69"/>
    <w:rsid w:val="009803BD"/>
    <w:rsid w:val="00980451"/>
    <w:rsid w:val="00980A33"/>
    <w:rsid w:val="00980D54"/>
    <w:rsid w:val="00981354"/>
    <w:rsid w:val="009827C4"/>
    <w:rsid w:val="00982C42"/>
    <w:rsid w:val="00982FEE"/>
    <w:rsid w:val="00983863"/>
    <w:rsid w:val="00984297"/>
    <w:rsid w:val="00984338"/>
    <w:rsid w:val="00984453"/>
    <w:rsid w:val="00984BD0"/>
    <w:rsid w:val="00984D3C"/>
    <w:rsid w:val="00984F5F"/>
    <w:rsid w:val="009868E6"/>
    <w:rsid w:val="009874F6"/>
    <w:rsid w:val="00987BEF"/>
    <w:rsid w:val="009915A2"/>
    <w:rsid w:val="009918BF"/>
    <w:rsid w:val="0099226C"/>
    <w:rsid w:val="0099266A"/>
    <w:rsid w:val="00993F31"/>
    <w:rsid w:val="00995D60"/>
    <w:rsid w:val="0099646A"/>
    <w:rsid w:val="00996AFE"/>
    <w:rsid w:val="00997E86"/>
    <w:rsid w:val="009A054D"/>
    <w:rsid w:val="009A20EB"/>
    <w:rsid w:val="009A227E"/>
    <w:rsid w:val="009A22E9"/>
    <w:rsid w:val="009A33D2"/>
    <w:rsid w:val="009A35D1"/>
    <w:rsid w:val="009A3AA9"/>
    <w:rsid w:val="009A3ED9"/>
    <w:rsid w:val="009A3FDD"/>
    <w:rsid w:val="009A49F1"/>
    <w:rsid w:val="009A4B68"/>
    <w:rsid w:val="009A552F"/>
    <w:rsid w:val="009A610F"/>
    <w:rsid w:val="009A6A20"/>
    <w:rsid w:val="009A6F0A"/>
    <w:rsid w:val="009A797B"/>
    <w:rsid w:val="009A79BC"/>
    <w:rsid w:val="009A7CBB"/>
    <w:rsid w:val="009B0180"/>
    <w:rsid w:val="009B03DE"/>
    <w:rsid w:val="009B0EFC"/>
    <w:rsid w:val="009B12F7"/>
    <w:rsid w:val="009B2701"/>
    <w:rsid w:val="009B34D5"/>
    <w:rsid w:val="009B4A56"/>
    <w:rsid w:val="009B516F"/>
    <w:rsid w:val="009B6444"/>
    <w:rsid w:val="009B712C"/>
    <w:rsid w:val="009B7DD9"/>
    <w:rsid w:val="009C147B"/>
    <w:rsid w:val="009C17DF"/>
    <w:rsid w:val="009C2FA8"/>
    <w:rsid w:val="009C36BE"/>
    <w:rsid w:val="009C4955"/>
    <w:rsid w:val="009C5079"/>
    <w:rsid w:val="009C518E"/>
    <w:rsid w:val="009C5512"/>
    <w:rsid w:val="009C5911"/>
    <w:rsid w:val="009C5D10"/>
    <w:rsid w:val="009C5EF9"/>
    <w:rsid w:val="009C6580"/>
    <w:rsid w:val="009C6E2E"/>
    <w:rsid w:val="009C70AA"/>
    <w:rsid w:val="009C7292"/>
    <w:rsid w:val="009C7B64"/>
    <w:rsid w:val="009C7DAC"/>
    <w:rsid w:val="009D0350"/>
    <w:rsid w:val="009D084D"/>
    <w:rsid w:val="009D112D"/>
    <w:rsid w:val="009D1DCB"/>
    <w:rsid w:val="009D2E6F"/>
    <w:rsid w:val="009D3280"/>
    <w:rsid w:val="009D450F"/>
    <w:rsid w:val="009D4C83"/>
    <w:rsid w:val="009D53AE"/>
    <w:rsid w:val="009D6112"/>
    <w:rsid w:val="009D76A3"/>
    <w:rsid w:val="009D7924"/>
    <w:rsid w:val="009E0DC6"/>
    <w:rsid w:val="009E18C3"/>
    <w:rsid w:val="009E30FB"/>
    <w:rsid w:val="009E3621"/>
    <w:rsid w:val="009E471B"/>
    <w:rsid w:val="009E5265"/>
    <w:rsid w:val="009E5424"/>
    <w:rsid w:val="009E568D"/>
    <w:rsid w:val="009E589A"/>
    <w:rsid w:val="009E6CAA"/>
    <w:rsid w:val="009E727F"/>
    <w:rsid w:val="009E739C"/>
    <w:rsid w:val="009E78B3"/>
    <w:rsid w:val="009E7E98"/>
    <w:rsid w:val="009F00CE"/>
    <w:rsid w:val="009F013B"/>
    <w:rsid w:val="009F0730"/>
    <w:rsid w:val="009F1B29"/>
    <w:rsid w:val="009F20C7"/>
    <w:rsid w:val="009F37A8"/>
    <w:rsid w:val="009F3DCF"/>
    <w:rsid w:val="009F48F5"/>
    <w:rsid w:val="009F4CAF"/>
    <w:rsid w:val="009F6105"/>
    <w:rsid w:val="009F61AC"/>
    <w:rsid w:val="009F61D0"/>
    <w:rsid w:val="009F6C4B"/>
    <w:rsid w:val="009F770B"/>
    <w:rsid w:val="009F7F9C"/>
    <w:rsid w:val="00A00A57"/>
    <w:rsid w:val="00A00F4A"/>
    <w:rsid w:val="00A01305"/>
    <w:rsid w:val="00A015ED"/>
    <w:rsid w:val="00A01BA4"/>
    <w:rsid w:val="00A01D17"/>
    <w:rsid w:val="00A0207F"/>
    <w:rsid w:val="00A02160"/>
    <w:rsid w:val="00A02598"/>
    <w:rsid w:val="00A02848"/>
    <w:rsid w:val="00A02C44"/>
    <w:rsid w:val="00A03366"/>
    <w:rsid w:val="00A03A6E"/>
    <w:rsid w:val="00A05D05"/>
    <w:rsid w:val="00A06C0E"/>
    <w:rsid w:val="00A07DFA"/>
    <w:rsid w:val="00A07FD0"/>
    <w:rsid w:val="00A107BC"/>
    <w:rsid w:val="00A10B21"/>
    <w:rsid w:val="00A11F36"/>
    <w:rsid w:val="00A12040"/>
    <w:rsid w:val="00A1246C"/>
    <w:rsid w:val="00A14702"/>
    <w:rsid w:val="00A14A9F"/>
    <w:rsid w:val="00A14F59"/>
    <w:rsid w:val="00A1601F"/>
    <w:rsid w:val="00A1684D"/>
    <w:rsid w:val="00A16CD0"/>
    <w:rsid w:val="00A17865"/>
    <w:rsid w:val="00A17DAD"/>
    <w:rsid w:val="00A208F3"/>
    <w:rsid w:val="00A2109C"/>
    <w:rsid w:val="00A21163"/>
    <w:rsid w:val="00A2117D"/>
    <w:rsid w:val="00A2196A"/>
    <w:rsid w:val="00A21AB2"/>
    <w:rsid w:val="00A21AE1"/>
    <w:rsid w:val="00A21B45"/>
    <w:rsid w:val="00A231B0"/>
    <w:rsid w:val="00A2352D"/>
    <w:rsid w:val="00A23A4D"/>
    <w:rsid w:val="00A24CDB"/>
    <w:rsid w:val="00A25EB8"/>
    <w:rsid w:val="00A2701F"/>
    <w:rsid w:val="00A2706C"/>
    <w:rsid w:val="00A27589"/>
    <w:rsid w:val="00A27711"/>
    <w:rsid w:val="00A30106"/>
    <w:rsid w:val="00A30736"/>
    <w:rsid w:val="00A30839"/>
    <w:rsid w:val="00A30B79"/>
    <w:rsid w:val="00A31D47"/>
    <w:rsid w:val="00A31EC5"/>
    <w:rsid w:val="00A329F8"/>
    <w:rsid w:val="00A33399"/>
    <w:rsid w:val="00A34518"/>
    <w:rsid w:val="00A348A8"/>
    <w:rsid w:val="00A35B3F"/>
    <w:rsid w:val="00A35F9D"/>
    <w:rsid w:val="00A366DB"/>
    <w:rsid w:val="00A36A11"/>
    <w:rsid w:val="00A374EE"/>
    <w:rsid w:val="00A37AE8"/>
    <w:rsid w:val="00A37D2B"/>
    <w:rsid w:val="00A4190B"/>
    <w:rsid w:val="00A42A8E"/>
    <w:rsid w:val="00A42BA5"/>
    <w:rsid w:val="00A4320F"/>
    <w:rsid w:val="00A43507"/>
    <w:rsid w:val="00A437BB"/>
    <w:rsid w:val="00A43F05"/>
    <w:rsid w:val="00A4414B"/>
    <w:rsid w:val="00A44CCE"/>
    <w:rsid w:val="00A44D1C"/>
    <w:rsid w:val="00A467F2"/>
    <w:rsid w:val="00A46BF1"/>
    <w:rsid w:val="00A471E5"/>
    <w:rsid w:val="00A47C35"/>
    <w:rsid w:val="00A51F60"/>
    <w:rsid w:val="00A52103"/>
    <w:rsid w:val="00A5230D"/>
    <w:rsid w:val="00A5282B"/>
    <w:rsid w:val="00A52A44"/>
    <w:rsid w:val="00A53ECA"/>
    <w:rsid w:val="00A554BF"/>
    <w:rsid w:val="00A56402"/>
    <w:rsid w:val="00A568F2"/>
    <w:rsid w:val="00A57184"/>
    <w:rsid w:val="00A604B2"/>
    <w:rsid w:val="00A616F5"/>
    <w:rsid w:val="00A619AD"/>
    <w:rsid w:val="00A61EF5"/>
    <w:rsid w:val="00A62052"/>
    <w:rsid w:val="00A62110"/>
    <w:rsid w:val="00A62C7B"/>
    <w:rsid w:val="00A62D43"/>
    <w:rsid w:val="00A63155"/>
    <w:rsid w:val="00A637CF"/>
    <w:rsid w:val="00A63FA1"/>
    <w:rsid w:val="00A6442B"/>
    <w:rsid w:val="00A64D23"/>
    <w:rsid w:val="00A656D7"/>
    <w:rsid w:val="00A6599F"/>
    <w:rsid w:val="00A65B7F"/>
    <w:rsid w:val="00A65E9F"/>
    <w:rsid w:val="00A66BF5"/>
    <w:rsid w:val="00A67586"/>
    <w:rsid w:val="00A67858"/>
    <w:rsid w:val="00A70C5C"/>
    <w:rsid w:val="00A70CE9"/>
    <w:rsid w:val="00A718E1"/>
    <w:rsid w:val="00A719C9"/>
    <w:rsid w:val="00A729CB"/>
    <w:rsid w:val="00A73640"/>
    <w:rsid w:val="00A73695"/>
    <w:rsid w:val="00A73719"/>
    <w:rsid w:val="00A73F6D"/>
    <w:rsid w:val="00A7445D"/>
    <w:rsid w:val="00A746ED"/>
    <w:rsid w:val="00A75374"/>
    <w:rsid w:val="00A758E6"/>
    <w:rsid w:val="00A76CF0"/>
    <w:rsid w:val="00A809FF"/>
    <w:rsid w:val="00A80E6B"/>
    <w:rsid w:val="00A8130B"/>
    <w:rsid w:val="00A81BEA"/>
    <w:rsid w:val="00A82A90"/>
    <w:rsid w:val="00A82BFB"/>
    <w:rsid w:val="00A83117"/>
    <w:rsid w:val="00A83123"/>
    <w:rsid w:val="00A83862"/>
    <w:rsid w:val="00A83989"/>
    <w:rsid w:val="00A84E6E"/>
    <w:rsid w:val="00A85D8B"/>
    <w:rsid w:val="00A860B0"/>
    <w:rsid w:val="00A86688"/>
    <w:rsid w:val="00A86699"/>
    <w:rsid w:val="00A86A09"/>
    <w:rsid w:val="00A86DFC"/>
    <w:rsid w:val="00A8722D"/>
    <w:rsid w:val="00A878D6"/>
    <w:rsid w:val="00A879EF"/>
    <w:rsid w:val="00A9038A"/>
    <w:rsid w:val="00A90578"/>
    <w:rsid w:val="00A906F4"/>
    <w:rsid w:val="00A9072D"/>
    <w:rsid w:val="00A90ABC"/>
    <w:rsid w:val="00A90B9B"/>
    <w:rsid w:val="00A91E93"/>
    <w:rsid w:val="00A921BB"/>
    <w:rsid w:val="00A92623"/>
    <w:rsid w:val="00A928C4"/>
    <w:rsid w:val="00A92F10"/>
    <w:rsid w:val="00A935CD"/>
    <w:rsid w:val="00A93C55"/>
    <w:rsid w:val="00A9428C"/>
    <w:rsid w:val="00A942A1"/>
    <w:rsid w:val="00A9471C"/>
    <w:rsid w:val="00A94873"/>
    <w:rsid w:val="00A94B14"/>
    <w:rsid w:val="00A958B0"/>
    <w:rsid w:val="00A95ECB"/>
    <w:rsid w:val="00A95F67"/>
    <w:rsid w:val="00A96189"/>
    <w:rsid w:val="00A96831"/>
    <w:rsid w:val="00A96A91"/>
    <w:rsid w:val="00A96F2A"/>
    <w:rsid w:val="00A975AE"/>
    <w:rsid w:val="00A97B94"/>
    <w:rsid w:val="00AA089C"/>
    <w:rsid w:val="00AA0A5E"/>
    <w:rsid w:val="00AA0BD4"/>
    <w:rsid w:val="00AA0E54"/>
    <w:rsid w:val="00AA30F5"/>
    <w:rsid w:val="00AA3CA2"/>
    <w:rsid w:val="00AA4A3C"/>
    <w:rsid w:val="00AA4B99"/>
    <w:rsid w:val="00AA6926"/>
    <w:rsid w:val="00AA6DCB"/>
    <w:rsid w:val="00AA6E65"/>
    <w:rsid w:val="00AA6E95"/>
    <w:rsid w:val="00AA7265"/>
    <w:rsid w:val="00AB0709"/>
    <w:rsid w:val="00AB0944"/>
    <w:rsid w:val="00AB0D08"/>
    <w:rsid w:val="00AB10CF"/>
    <w:rsid w:val="00AB1272"/>
    <w:rsid w:val="00AB1825"/>
    <w:rsid w:val="00AB1C5D"/>
    <w:rsid w:val="00AB262D"/>
    <w:rsid w:val="00AB2C20"/>
    <w:rsid w:val="00AB30CD"/>
    <w:rsid w:val="00AB34B2"/>
    <w:rsid w:val="00AB3BDD"/>
    <w:rsid w:val="00AB4CD5"/>
    <w:rsid w:val="00AB5D90"/>
    <w:rsid w:val="00AB5FCF"/>
    <w:rsid w:val="00AB65B8"/>
    <w:rsid w:val="00AB6855"/>
    <w:rsid w:val="00AC0925"/>
    <w:rsid w:val="00AC1304"/>
    <w:rsid w:val="00AC137D"/>
    <w:rsid w:val="00AC1E3F"/>
    <w:rsid w:val="00AC2010"/>
    <w:rsid w:val="00AC5326"/>
    <w:rsid w:val="00AC5E0D"/>
    <w:rsid w:val="00AC644A"/>
    <w:rsid w:val="00AC714B"/>
    <w:rsid w:val="00AC7224"/>
    <w:rsid w:val="00AC7B98"/>
    <w:rsid w:val="00AC7C80"/>
    <w:rsid w:val="00AD1A02"/>
    <w:rsid w:val="00AD2DE4"/>
    <w:rsid w:val="00AD50C0"/>
    <w:rsid w:val="00AD51BA"/>
    <w:rsid w:val="00AD6191"/>
    <w:rsid w:val="00AD705B"/>
    <w:rsid w:val="00AD765B"/>
    <w:rsid w:val="00AD7BD1"/>
    <w:rsid w:val="00AE157C"/>
    <w:rsid w:val="00AE1757"/>
    <w:rsid w:val="00AE2985"/>
    <w:rsid w:val="00AE387A"/>
    <w:rsid w:val="00AE4136"/>
    <w:rsid w:val="00AE41AE"/>
    <w:rsid w:val="00AE4782"/>
    <w:rsid w:val="00AE4F9E"/>
    <w:rsid w:val="00AE5386"/>
    <w:rsid w:val="00AE54AE"/>
    <w:rsid w:val="00AE5581"/>
    <w:rsid w:val="00AE67F8"/>
    <w:rsid w:val="00AE6EEE"/>
    <w:rsid w:val="00AE7A71"/>
    <w:rsid w:val="00AE7C0F"/>
    <w:rsid w:val="00AF0783"/>
    <w:rsid w:val="00AF09BB"/>
    <w:rsid w:val="00AF149B"/>
    <w:rsid w:val="00AF1E38"/>
    <w:rsid w:val="00AF1E50"/>
    <w:rsid w:val="00AF253B"/>
    <w:rsid w:val="00AF2A27"/>
    <w:rsid w:val="00AF3F0A"/>
    <w:rsid w:val="00AF411F"/>
    <w:rsid w:val="00AF4C68"/>
    <w:rsid w:val="00AF4DCB"/>
    <w:rsid w:val="00AF51E4"/>
    <w:rsid w:val="00AF5E02"/>
    <w:rsid w:val="00AF643A"/>
    <w:rsid w:val="00AF659F"/>
    <w:rsid w:val="00AF6C93"/>
    <w:rsid w:val="00AF6DA5"/>
    <w:rsid w:val="00AF7AF9"/>
    <w:rsid w:val="00AF7EF8"/>
    <w:rsid w:val="00B00294"/>
    <w:rsid w:val="00B0038B"/>
    <w:rsid w:val="00B008AE"/>
    <w:rsid w:val="00B01EBF"/>
    <w:rsid w:val="00B02872"/>
    <w:rsid w:val="00B02E49"/>
    <w:rsid w:val="00B02EEB"/>
    <w:rsid w:val="00B034A7"/>
    <w:rsid w:val="00B03742"/>
    <w:rsid w:val="00B03999"/>
    <w:rsid w:val="00B04F9E"/>
    <w:rsid w:val="00B05644"/>
    <w:rsid w:val="00B05BA6"/>
    <w:rsid w:val="00B06FB3"/>
    <w:rsid w:val="00B07289"/>
    <w:rsid w:val="00B104C8"/>
    <w:rsid w:val="00B112B3"/>
    <w:rsid w:val="00B1131E"/>
    <w:rsid w:val="00B117B4"/>
    <w:rsid w:val="00B123B1"/>
    <w:rsid w:val="00B13066"/>
    <w:rsid w:val="00B1332A"/>
    <w:rsid w:val="00B14609"/>
    <w:rsid w:val="00B14EF5"/>
    <w:rsid w:val="00B1602E"/>
    <w:rsid w:val="00B176B2"/>
    <w:rsid w:val="00B17FCE"/>
    <w:rsid w:val="00B2038C"/>
    <w:rsid w:val="00B205F1"/>
    <w:rsid w:val="00B20C0E"/>
    <w:rsid w:val="00B210D0"/>
    <w:rsid w:val="00B2120A"/>
    <w:rsid w:val="00B21293"/>
    <w:rsid w:val="00B219DC"/>
    <w:rsid w:val="00B228A4"/>
    <w:rsid w:val="00B22C99"/>
    <w:rsid w:val="00B2307D"/>
    <w:rsid w:val="00B234C6"/>
    <w:rsid w:val="00B234F6"/>
    <w:rsid w:val="00B23E00"/>
    <w:rsid w:val="00B24147"/>
    <w:rsid w:val="00B24B3C"/>
    <w:rsid w:val="00B24F2A"/>
    <w:rsid w:val="00B250E9"/>
    <w:rsid w:val="00B253BE"/>
    <w:rsid w:val="00B25625"/>
    <w:rsid w:val="00B26FD0"/>
    <w:rsid w:val="00B279EA"/>
    <w:rsid w:val="00B27D63"/>
    <w:rsid w:val="00B30D9A"/>
    <w:rsid w:val="00B30EE2"/>
    <w:rsid w:val="00B31A30"/>
    <w:rsid w:val="00B32310"/>
    <w:rsid w:val="00B325FB"/>
    <w:rsid w:val="00B32988"/>
    <w:rsid w:val="00B3313D"/>
    <w:rsid w:val="00B337B4"/>
    <w:rsid w:val="00B341CB"/>
    <w:rsid w:val="00B343B8"/>
    <w:rsid w:val="00B345E3"/>
    <w:rsid w:val="00B36009"/>
    <w:rsid w:val="00B363F3"/>
    <w:rsid w:val="00B3650F"/>
    <w:rsid w:val="00B3783C"/>
    <w:rsid w:val="00B379A5"/>
    <w:rsid w:val="00B37ADC"/>
    <w:rsid w:val="00B37FED"/>
    <w:rsid w:val="00B415B1"/>
    <w:rsid w:val="00B417FC"/>
    <w:rsid w:val="00B41D05"/>
    <w:rsid w:val="00B42083"/>
    <w:rsid w:val="00B42140"/>
    <w:rsid w:val="00B42589"/>
    <w:rsid w:val="00B43023"/>
    <w:rsid w:val="00B431B9"/>
    <w:rsid w:val="00B4331F"/>
    <w:rsid w:val="00B449B0"/>
    <w:rsid w:val="00B45E90"/>
    <w:rsid w:val="00B47138"/>
    <w:rsid w:val="00B4714D"/>
    <w:rsid w:val="00B50514"/>
    <w:rsid w:val="00B506A3"/>
    <w:rsid w:val="00B5131C"/>
    <w:rsid w:val="00B5140D"/>
    <w:rsid w:val="00B52A82"/>
    <w:rsid w:val="00B52E09"/>
    <w:rsid w:val="00B53014"/>
    <w:rsid w:val="00B531F9"/>
    <w:rsid w:val="00B5432C"/>
    <w:rsid w:val="00B543E4"/>
    <w:rsid w:val="00B554CE"/>
    <w:rsid w:val="00B576A0"/>
    <w:rsid w:val="00B578F3"/>
    <w:rsid w:val="00B57E8A"/>
    <w:rsid w:val="00B61106"/>
    <w:rsid w:val="00B62A05"/>
    <w:rsid w:val="00B62DA4"/>
    <w:rsid w:val="00B62F1B"/>
    <w:rsid w:val="00B63173"/>
    <w:rsid w:val="00B63436"/>
    <w:rsid w:val="00B634DC"/>
    <w:rsid w:val="00B6382A"/>
    <w:rsid w:val="00B63FF4"/>
    <w:rsid w:val="00B65168"/>
    <w:rsid w:val="00B65494"/>
    <w:rsid w:val="00B65570"/>
    <w:rsid w:val="00B669FF"/>
    <w:rsid w:val="00B66BF3"/>
    <w:rsid w:val="00B67A24"/>
    <w:rsid w:val="00B707AD"/>
    <w:rsid w:val="00B70840"/>
    <w:rsid w:val="00B7111B"/>
    <w:rsid w:val="00B72214"/>
    <w:rsid w:val="00B738B0"/>
    <w:rsid w:val="00B73A4C"/>
    <w:rsid w:val="00B73B24"/>
    <w:rsid w:val="00B73F7F"/>
    <w:rsid w:val="00B744AA"/>
    <w:rsid w:val="00B7462E"/>
    <w:rsid w:val="00B74CC1"/>
    <w:rsid w:val="00B753E4"/>
    <w:rsid w:val="00B75564"/>
    <w:rsid w:val="00B75FCF"/>
    <w:rsid w:val="00B76460"/>
    <w:rsid w:val="00B76C93"/>
    <w:rsid w:val="00B8002A"/>
    <w:rsid w:val="00B80A3E"/>
    <w:rsid w:val="00B811F0"/>
    <w:rsid w:val="00B821EE"/>
    <w:rsid w:val="00B826A4"/>
    <w:rsid w:val="00B83273"/>
    <w:rsid w:val="00B8389A"/>
    <w:rsid w:val="00B841AA"/>
    <w:rsid w:val="00B84CC7"/>
    <w:rsid w:val="00B85961"/>
    <w:rsid w:val="00B866D8"/>
    <w:rsid w:val="00B86A35"/>
    <w:rsid w:val="00B8713C"/>
    <w:rsid w:val="00B873E6"/>
    <w:rsid w:val="00B87B74"/>
    <w:rsid w:val="00B90987"/>
    <w:rsid w:val="00B913C2"/>
    <w:rsid w:val="00B91651"/>
    <w:rsid w:val="00B91FC3"/>
    <w:rsid w:val="00B92B22"/>
    <w:rsid w:val="00B939CF"/>
    <w:rsid w:val="00B94DB6"/>
    <w:rsid w:val="00B95233"/>
    <w:rsid w:val="00B9589B"/>
    <w:rsid w:val="00B958E1"/>
    <w:rsid w:val="00B95FEE"/>
    <w:rsid w:val="00B9678A"/>
    <w:rsid w:val="00B968A6"/>
    <w:rsid w:val="00B97941"/>
    <w:rsid w:val="00B97C84"/>
    <w:rsid w:val="00B97DBB"/>
    <w:rsid w:val="00B97DFA"/>
    <w:rsid w:val="00BA010D"/>
    <w:rsid w:val="00BA093F"/>
    <w:rsid w:val="00BA0990"/>
    <w:rsid w:val="00BA1401"/>
    <w:rsid w:val="00BA2234"/>
    <w:rsid w:val="00BA26A8"/>
    <w:rsid w:val="00BA2BD4"/>
    <w:rsid w:val="00BA3552"/>
    <w:rsid w:val="00BA3A6B"/>
    <w:rsid w:val="00BA4916"/>
    <w:rsid w:val="00BA4B03"/>
    <w:rsid w:val="00BA4C74"/>
    <w:rsid w:val="00BA4CD1"/>
    <w:rsid w:val="00BA52BA"/>
    <w:rsid w:val="00BA5C6F"/>
    <w:rsid w:val="00BA62F6"/>
    <w:rsid w:val="00BA65FA"/>
    <w:rsid w:val="00BA72F0"/>
    <w:rsid w:val="00BB0DEE"/>
    <w:rsid w:val="00BB1C49"/>
    <w:rsid w:val="00BB2B0F"/>
    <w:rsid w:val="00BB2EC0"/>
    <w:rsid w:val="00BB33FB"/>
    <w:rsid w:val="00BB37C3"/>
    <w:rsid w:val="00BB3C20"/>
    <w:rsid w:val="00BB5715"/>
    <w:rsid w:val="00BB5CCD"/>
    <w:rsid w:val="00BB65E3"/>
    <w:rsid w:val="00BB72EA"/>
    <w:rsid w:val="00BC0119"/>
    <w:rsid w:val="00BC0180"/>
    <w:rsid w:val="00BC0977"/>
    <w:rsid w:val="00BC0C26"/>
    <w:rsid w:val="00BC16F3"/>
    <w:rsid w:val="00BC1736"/>
    <w:rsid w:val="00BC2201"/>
    <w:rsid w:val="00BC36F0"/>
    <w:rsid w:val="00BC430D"/>
    <w:rsid w:val="00BC4622"/>
    <w:rsid w:val="00BC4D0D"/>
    <w:rsid w:val="00BC4EE8"/>
    <w:rsid w:val="00BC6791"/>
    <w:rsid w:val="00BC7246"/>
    <w:rsid w:val="00BC771B"/>
    <w:rsid w:val="00BC7C40"/>
    <w:rsid w:val="00BD00F4"/>
    <w:rsid w:val="00BD0B83"/>
    <w:rsid w:val="00BD0FA9"/>
    <w:rsid w:val="00BD1181"/>
    <w:rsid w:val="00BD166D"/>
    <w:rsid w:val="00BD1B83"/>
    <w:rsid w:val="00BD23C4"/>
    <w:rsid w:val="00BD2F58"/>
    <w:rsid w:val="00BD36D4"/>
    <w:rsid w:val="00BD41C5"/>
    <w:rsid w:val="00BD4215"/>
    <w:rsid w:val="00BD4FFF"/>
    <w:rsid w:val="00BD554B"/>
    <w:rsid w:val="00BD58CD"/>
    <w:rsid w:val="00BD5FAD"/>
    <w:rsid w:val="00BD5FF6"/>
    <w:rsid w:val="00BD612C"/>
    <w:rsid w:val="00BD66A4"/>
    <w:rsid w:val="00BD682E"/>
    <w:rsid w:val="00BD6968"/>
    <w:rsid w:val="00BD77D1"/>
    <w:rsid w:val="00BE00D6"/>
    <w:rsid w:val="00BE03A7"/>
    <w:rsid w:val="00BE0546"/>
    <w:rsid w:val="00BE076D"/>
    <w:rsid w:val="00BE1A36"/>
    <w:rsid w:val="00BE201F"/>
    <w:rsid w:val="00BE20F9"/>
    <w:rsid w:val="00BE2260"/>
    <w:rsid w:val="00BE23DA"/>
    <w:rsid w:val="00BE325C"/>
    <w:rsid w:val="00BE3334"/>
    <w:rsid w:val="00BE3E85"/>
    <w:rsid w:val="00BE434D"/>
    <w:rsid w:val="00BE43B0"/>
    <w:rsid w:val="00BE46DC"/>
    <w:rsid w:val="00BE5EE3"/>
    <w:rsid w:val="00BE77DD"/>
    <w:rsid w:val="00BE7DDB"/>
    <w:rsid w:val="00BF0843"/>
    <w:rsid w:val="00BF0C95"/>
    <w:rsid w:val="00BF1985"/>
    <w:rsid w:val="00BF1C93"/>
    <w:rsid w:val="00BF2315"/>
    <w:rsid w:val="00BF4C46"/>
    <w:rsid w:val="00BF4F90"/>
    <w:rsid w:val="00BF5532"/>
    <w:rsid w:val="00BF65E8"/>
    <w:rsid w:val="00BF6B61"/>
    <w:rsid w:val="00BF7BE6"/>
    <w:rsid w:val="00C00579"/>
    <w:rsid w:val="00C00974"/>
    <w:rsid w:val="00C00A08"/>
    <w:rsid w:val="00C00E12"/>
    <w:rsid w:val="00C010ED"/>
    <w:rsid w:val="00C014D4"/>
    <w:rsid w:val="00C0173C"/>
    <w:rsid w:val="00C02FB7"/>
    <w:rsid w:val="00C0321F"/>
    <w:rsid w:val="00C04F22"/>
    <w:rsid w:val="00C05097"/>
    <w:rsid w:val="00C05353"/>
    <w:rsid w:val="00C07A05"/>
    <w:rsid w:val="00C1057D"/>
    <w:rsid w:val="00C106C8"/>
    <w:rsid w:val="00C10F0A"/>
    <w:rsid w:val="00C11B4B"/>
    <w:rsid w:val="00C11FC8"/>
    <w:rsid w:val="00C12173"/>
    <w:rsid w:val="00C13FEA"/>
    <w:rsid w:val="00C1474D"/>
    <w:rsid w:val="00C14AA3"/>
    <w:rsid w:val="00C14FDF"/>
    <w:rsid w:val="00C1533E"/>
    <w:rsid w:val="00C1557E"/>
    <w:rsid w:val="00C15B87"/>
    <w:rsid w:val="00C15F1A"/>
    <w:rsid w:val="00C164F1"/>
    <w:rsid w:val="00C1694D"/>
    <w:rsid w:val="00C17380"/>
    <w:rsid w:val="00C174F8"/>
    <w:rsid w:val="00C17AC5"/>
    <w:rsid w:val="00C17C69"/>
    <w:rsid w:val="00C20C79"/>
    <w:rsid w:val="00C20E25"/>
    <w:rsid w:val="00C210A5"/>
    <w:rsid w:val="00C2112E"/>
    <w:rsid w:val="00C217AC"/>
    <w:rsid w:val="00C21D7F"/>
    <w:rsid w:val="00C22FA9"/>
    <w:rsid w:val="00C23D63"/>
    <w:rsid w:val="00C24216"/>
    <w:rsid w:val="00C24914"/>
    <w:rsid w:val="00C2506F"/>
    <w:rsid w:val="00C2542D"/>
    <w:rsid w:val="00C259AE"/>
    <w:rsid w:val="00C267EF"/>
    <w:rsid w:val="00C26DD9"/>
    <w:rsid w:val="00C26EF9"/>
    <w:rsid w:val="00C27704"/>
    <w:rsid w:val="00C27B8C"/>
    <w:rsid w:val="00C27BAA"/>
    <w:rsid w:val="00C27E53"/>
    <w:rsid w:val="00C30387"/>
    <w:rsid w:val="00C30817"/>
    <w:rsid w:val="00C30B42"/>
    <w:rsid w:val="00C31328"/>
    <w:rsid w:val="00C326EC"/>
    <w:rsid w:val="00C32AF6"/>
    <w:rsid w:val="00C32D8B"/>
    <w:rsid w:val="00C32DA3"/>
    <w:rsid w:val="00C32E74"/>
    <w:rsid w:val="00C332CC"/>
    <w:rsid w:val="00C33D05"/>
    <w:rsid w:val="00C342B4"/>
    <w:rsid w:val="00C34832"/>
    <w:rsid w:val="00C34951"/>
    <w:rsid w:val="00C34B73"/>
    <w:rsid w:val="00C359CD"/>
    <w:rsid w:val="00C370F8"/>
    <w:rsid w:val="00C37617"/>
    <w:rsid w:val="00C37765"/>
    <w:rsid w:val="00C37F25"/>
    <w:rsid w:val="00C37F6C"/>
    <w:rsid w:val="00C40B18"/>
    <w:rsid w:val="00C419C8"/>
    <w:rsid w:val="00C4247E"/>
    <w:rsid w:val="00C43202"/>
    <w:rsid w:val="00C43FFD"/>
    <w:rsid w:val="00C4454A"/>
    <w:rsid w:val="00C44C3D"/>
    <w:rsid w:val="00C46051"/>
    <w:rsid w:val="00C462D6"/>
    <w:rsid w:val="00C46AF6"/>
    <w:rsid w:val="00C507E6"/>
    <w:rsid w:val="00C516E6"/>
    <w:rsid w:val="00C517BE"/>
    <w:rsid w:val="00C519FE"/>
    <w:rsid w:val="00C51A76"/>
    <w:rsid w:val="00C51D5B"/>
    <w:rsid w:val="00C52162"/>
    <w:rsid w:val="00C52A8E"/>
    <w:rsid w:val="00C52D4C"/>
    <w:rsid w:val="00C5393C"/>
    <w:rsid w:val="00C542DD"/>
    <w:rsid w:val="00C54302"/>
    <w:rsid w:val="00C54315"/>
    <w:rsid w:val="00C54E6D"/>
    <w:rsid w:val="00C5512C"/>
    <w:rsid w:val="00C55597"/>
    <w:rsid w:val="00C55DE7"/>
    <w:rsid w:val="00C56159"/>
    <w:rsid w:val="00C56799"/>
    <w:rsid w:val="00C56881"/>
    <w:rsid w:val="00C568C5"/>
    <w:rsid w:val="00C5719F"/>
    <w:rsid w:val="00C60B5C"/>
    <w:rsid w:val="00C618C7"/>
    <w:rsid w:val="00C63183"/>
    <w:rsid w:val="00C63429"/>
    <w:rsid w:val="00C6364E"/>
    <w:rsid w:val="00C64056"/>
    <w:rsid w:val="00C64E3F"/>
    <w:rsid w:val="00C6530C"/>
    <w:rsid w:val="00C656DF"/>
    <w:rsid w:val="00C66A55"/>
    <w:rsid w:val="00C66EEB"/>
    <w:rsid w:val="00C66F15"/>
    <w:rsid w:val="00C66FD4"/>
    <w:rsid w:val="00C67770"/>
    <w:rsid w:val="00C67A84"/>
    <w:rsid w:val="00C704CA"/>
    <w:rsid w:val="00C734F7"/>
    <w:rsid w:val="00C7365E"/>
    <w:rsid w:val="00C73827"/>
    <w:rsid w:val="00C741F8"/>
    <w:rsid w:val="00C74BCE"/>
    <w:rsid w:val="00C7609F"/>
    <w:rsid w:val="00C764F2"/>
    <w:rsid w:val="00C76854"/>
    <w:rsid w:val="00C7721B"/>
    <w:rsid w:val="00C77294"/>
    <w:rsid w:val="00C7736D"/>
    <w:rsid w:val="00C77579"/>
    <w:rsid w:val="00C77997"/>
    <w:rsid w:val="00C804F4"/>
    <w:rsid w:val="00C811B8"/>
    <w:rsid w:val="00C81E8F"/>
    <w:rsid w:val="00C82259"/>
    <w:rsid w:val="00C82A99"/>
    <w:rsid w:val="00C82FCD"/>
    <w:rsid w:val="00C83A1E"/>
    <w:rsid w:val="00C84548"/>
    <w:rsid w:val="00C84577"/>
    <w:rsid w:val="00C84894"/>
    <w:rsid w:val="00C84CF3"/>
    <w:rsid w:val="00C84E80"/>
    <w:rsid w:val="00C85D0C"/>
    <w:rsid w:val="00C85D33"/>
    <w:rsid w:val="00C862FC"/>
    <w:rsid w:val="00C86362"/>
    <w:rsid w:val="00C86418"/>
    <w:rsid w:val="00C864CF"/>
    <w:rsid w:val="00C8672E"/>
    <w:rsid w:val="00C8706D"/>
    <w:rsid w:val="00C87612"/>
    <w:rsid w:val="00C87AD2"/>
    <w:rsid w:val="00C9066F"/>
    <w:rsid w:val="00C90D27"/>
    <w:rsid w:val="00C91123"/>
    <w:rsid w:val="00C921E3"/>
    <w:rsid w:val="00C92830"/>
    <w:rsid w:val="00C92B20"/>
    <w:rsid w:val="00C92B61"/>
    <w:rsid w:val="00C92E2F"/>
    <w:rsid w:val="00C93011"/>
    <w:rsid w:val="00C932E4"/>
    <w:rsid w:val="00C93726"/>
    <w:rsid w:val="00C937C3"/>
    <w:rsid w:val="00C93BB6"/>
    <w:rsid w:val="00C941DA"/>
    <w:rsid w:val="00C94FA1"/>
    <w:rsid w:val="00C95E07"/>
    <w:rsid w:val="00C979D3"/>
    <w:rsid w:val="00CA03DC"/>
    <w:rsid w:val="00CA1DF9"/>
    <w:rsid w:val="00CA2069"/>
    <w:rsid w:val="00CA2355"/>
    <w:rsid w:val="00CA23F2"/>
    <w:rsid w:val="00CA38C1"/>
    <w:rsid w:val="00CA3FDF"/>
    <w:rsid w:val="00CA4C92"/>
    <w:rsid w:val="00CA4F42"/>
    <w:rsid w:val="00CA551B"/>
    <w:rsid w:val="00CA5AEA"/>
    <w:rsid w:val="00CA5D64"/>
    <w:rsid w:val="00CA6033"/>
    <w:rsid w:val="00CA61D7"/>
    <w:rsid w:val="00CA6332"/>
    <w:rsid w:val="00CA63DD"/>
    <w:rsid w:val="00CA7272"/>
    <w:rsid w:val="00CA72AF"/>
    <w:rsid w:val="00CA7912"/>
    <w:rsid w:val="00CA7BEE"/>
    <w:rsid w:val="00CA7EEB"/>
    <w:rsid w:val="00CB01F7"/>
    <w:rsid w:val="00CB07D6"/>
    <w:rsid w:val="00CB122B"/>
    <w:rsid w:val="00CB15CF"/>
    <w:rsid w:val="00CB15D8"/>
    <w:rsid w:val="00CB1813"/>
    <w:rsid w:val="00CB251B"/>
    <w:rsid w:val="00CB295B"/>
    <w:rsid w:val="00CB3049"/>
    <w:rsid w:val="00CB3E2C"/>
    <w:rsid w:val="00CB42FB"/>
    <w:rsid w:val="00CB4FFF"/>
    <w:rsid w:val="00CB6592"/>
    <w:rsid w:val="00CB672D"/>
    <w:rsid w:val="00CB6894"/>
    <w:rsid w:val="00CB69CB"/>
    <w:rsid w:val="00CB6C44"/>
    <w:rsid w:val="00CB6CC5"/>
    <w:rsid w:val="00CB6CEB"/>
    <w:rsid w:val="00CB6FF3"/>
    <w:rsid w:val="00CB7395"/>
    <w:rsid w:val="00CB7C7C"/>
    <w:rsid w:val="00CC0DEE"/>
    <w:rsid w:val="00CC1248"/>
    <w:rsid w:val="00CC13B9"/>
    <w:rsid w:val="00CC18CF"/>
    <w:rsid w:val="00CC1984"/>
    <w:rsid w:val="00CC22EC"/>
    <w:rsid w:val="00CC30B9"/>
    <w:rsid w:val="00CC33B6"/>
    <w:rsid w:val="00CC4369"/>
    <w:rsid w:val="00CC4398"/>
    <w:rsid w:val="00CC4C41"/>
    <w:rsid w:val="00CC52EB"/>
    <w:rsid w:val="00CC5C71"/>
    <w:rsid w:val="00CC5EF7"/>
    <w:rsid w:val="00CC631B"/>
    <w:rsid w:val="00CC6BC3"/>
    <w:rsid w:val="00CC7287"/>
    <w:rsid w:val="00CC744E"/>
    <w:rsid w:val="00CD04CA"/>
    <w:rsid w:val="00CD3FD6"/>
    <w:rsid w:val="00CD463E"/>
    <w:rsid w:val="00CD5199"/>
    <w:rsid w:val="00CD5E88"/>
    <w:rsid w:val="00CD6314"/>
    <w:rsid w:val="00CD65A5"/>
    <w:rsid w:val="00CD65EB"/>
    <w:rsid w:val="00CE13D5"/>
    <w:rsid w:val="00CE233E"/>
    <w:rsid w:val="00CE3971"/>
    <w:rsid w:val="00CE3D87"/>
    <w:rsid w:val="00CE3EF7"/>
    <w:rsid w:val="00CE3F1C"/>
    <w:rsid w:val="00CE4B4E"/>
    <w:rsid w:val="00CE4E52"/>
    <w:rsid w:val="00CE4F23"/>
    <w:rsid w:val="00CE525D"/>
    <w:rsid w:val="00CE5776"/>
    <w:rsid w:val="00CE585A"/>
    <w:rsid w:val="00CE6F86"/>
    <w:rsid w:val="00CF03DD"/>
    <w:rsid w:val="00CF099A"/>
    <w:rsid w:val="00CF1A0F"/>
    <w:rsid w:val="00CF1E19"/>
    <w:rsid w:val="00CF1F5D"/>
    <w:rsid w:val="00CF30D6"/>
    <w:rsid w:val="00CF3D34"/>
    <w:rsid w:val="00CF4025"/>
    <w:rsid w:val="00CF45E0"/>
    <w:rsid w:val="00CF4AD8"/>
    <w:rsid w:val="00CF4FF7"/>
    <w:rsid w:val="00CF51D7"/>
    <w:rsid w:val="00CF59AF"/>
    <w:rsid w:val="00CF5DC2"/>
    <w:rsid w:val="00CF5EA1"/>
    <w:rsid w:val="00CF65FF"/>
    <w:rsid w:val="00CF6A1A"/>
    <w:rsid w:val="00CF6EE6"/>
    <w:rsid w:val="00CF7277"/>
    <w:rsid w:val="00CF772B"/>
    <w:rsid w:val="00D00E57"/>
    <w:rsid w:val="00D01659"/>
    <w:rsid w:val="00D02000"/>
    <w:rsid w:val="00D024C4"/>
    <w:rsid w:val="00D02DAD"/>
    <w:rsid w:val="00D03414"/>
    <w:rsid w:val="00D03614"/>
    <w:rsid w:val="00D03B32"/>
    <w:rsid w:val="00D03B85"/>
    <w:rsid w:val="00D0406A"/>
    <w:rsid w:val="00D05AC2"/>
    <w:rsid w:val="00D05C31"/>
    <w:rsid w:val="00D05C75"/>
    <w:rsid w:val="00D05D3A"/>
    <w:rsid w:val="00D06D9C"/>
    <w:rsid w:val="00D079B7"/>
    <w:rsid w:val="00D07D12"/>
    <w:rsid w:val="00D07F47"/>
    <w:rsid w:val="00D1020E"/>
    <w:rsid w:val="00D104D6"/>
    <w:rsid w:val="00D10D9B"/>
    <w:rsid w:val="00D1129C"/>
    <w:rsid w:val="00D114E7"/>
    <w:rsid w:val="00D11633"/>
    <w:rsid w:val="00D11CEB"/>
    <w:rsid w:val="00D12069"/>
    <w:rsid w:val="00D12C36"/>
    <w:rsid w:val="00D12D0F"/>
    <w:rsid w:val="00D133A1"/>
    <w:rsid w:val="00D13818"/>
    <w:rsid w:val="00D13B8B"/>
    <w:rsid w:val="00D13E31"/>
    <w:rsid w:val="00D14F9E"/>
    <w:rsid w:val="00D16A48"/>
    <w:rsid w:val="00D17A53"/>
    <w:rsid w:val="00D17F9B"/>
    <w:rsid w:val="00D20383"/>
    <w:rsid w:val="00D207F6"/>
    <w:rsid w:val="00D21CEB"/>
    <w:rsid w:val="00D22C24"/>
    <w:rsid w:val="00D2490E"/>
    <w:rsid w:val="00D24A3A"/>
    <w:rsid w:val="00D25676"/>
    <w:rsid w:val="00D2627A"/>
    <w:rsid w:val="00D26748"/>
    <w:rsid w:val="00D30079"/>
    <w:rsid w:val="00D3044D"/>
    <w:rsid w:val="00D30480"/>
    <w:rsid w:val="00D30509"/>
    <w:rsid w:val="00D30819"/>
    <w:rsid w:val="00D311EF"/>
    <w:rsid w:val="00D321D1"/>
    <w:rsid w:val="00D326C0"/>
    <w:rsid w:val="00D32AC2"/>
    <w:rsid w:val="00D32F62"/>
    <w:rsid w:val="00D33CCB"/>
    <w:rsid w:val="00D33D46"/>
    <w:rsid w:val="00D341E1"/>
    <w:rsid w:val="00D3565F"/>
    <w:rsid w:val="00D3570A"/>
    <w:rsid w:val="00D368DE"/>
    <w:rsid w:val="00D36FC3"/>
    <w:rsid w:val="00D370F0"/>
    <w:rsid w:val="00D37C88"/>
    <w:rsid w:val="00D40803"/>
    <w:rsid w:val="00D41B70"/>
    <w:rsid w:val="00D41C43"/>
    <w:rsid w:val="00D4285E"/>
    <w:rsid w:val="00D42985"/>
    <w:rsid w:val="00D42C69"/>
    <w:rsid w:val="00D435CB"/>
    <w:rsid w:val="00D443B8"/>
    <w:rsid w:val="00D44454"/>
    <w:rsid w:val="00D4460C"/>
    <w:rsid w:val="00D4474C"/>
    <w:rsid w:val="00D4571E"/>
    <w:rsid w:val="00D457BD"/>
    <w:rsid w:val="00D458F6"/>
    <w:rsid w:val="00D458F8"/>
    <w:rsid w:val="00D45F6E"/>
    <w:rsid w:val="00D47665"/>
    <w:rsid w:val="00D50019"/>
    <w:rsid w:val="00D50E80"/>
    <w:rsid w:val="00D52662"/>
    <w:rsid w:val="00D5325D"/>
    <w:rsid w:val="00D54097"/>
    <w:rsid w:val="00D54120"/>
    <w:rsid w:val="00D54226"/>
    <w:rsid w:val="00D5576A"/>
    <w:rsid w:val="00D56070"/>
    <w:rsid w:val="00D566CA"/>
    <w:rsid w:val="00D56F50"/>
    <w:rsid w:val="00D571E7"/>
    <w:rsid w:val="00D57406"/>
    <w:rsid w:val="00D578B4"/>
    <w:rsid w:val="00D579BF"/>
    <w:rsid w:val="00D57F65"/>
    <w:rsid w:val="00D60B66"/>
    <w:rsid w:val="00D61AF8"/>
    <w:rsid w:val="00D6386E"/>
    <w:rsid w:val="00D63E0C"/>
    <w:rsid w:val="00D641B9"/>
    <w:rsid w:val="00D65B9F"/>
    <w:rsid w:val="00D65DA5"/>
    <w:rsid w:val="00D6603B"/>
    <w:rsid w:val="00D66B05"/>
    <w:rsid w:val="00D70141"/>
    <w:rsid w:val="00D706A0"/>
    <w:rsid w:val="00D708A6"/>
    <w:rsid w:val="00D70A56"/>
    <w:rsid w:val="00D70C47"/>
    <w:rsid w:val="00D70E36"/>
    <w:rsid w:val="00D71C9E"/>
    <w:rsid w:val="00D726DB"/>
    <w:rsid w:val="00D7328A"/>
    <w:rsid w:val="00D738EF"/>
    <w:rsid w:val="00D73CB8"/>
    <w:rsid w:val="00D74F01"/>
    <w:rsid w:val="00D75067"/>
    <w:rsid w:val="00D7523B"/>
    <w:rsid w:val="00D75246"/>
    <w:rsid w:val="00D75C65"/>
    <w:rsid w:val="00D7737B"/>
    <w:rsid w:val="00D77C9C"/>
    <w:rsid w:val="00D80186"/>
    <w:rsid w:val="00D801F4"/>
    <w:rsid w:val="00D8096D"/>
    <w:rsid w:val="00D80E70"/>
    <w:rsid w:val="00D8111F"/>
    <w:rsid w:val="00D817B7"/>
    <w:rsid w:val="00D827F5"/>
    <w:rsid w:val="00D8292E"/>
    <w:rsid w:val="00D82C0A"/>
    <w:rsid w:val="00D82FB7"/>
    <w:rsid w:val="00D8313B"/>
    <w:rsid w:val="00D83696"/>
    <w:rsid w:val="00D83AAC"/>
    <w:rsid w:val="00D84CA7"/>
    <w:rsid w:val="00D854F8"/>
    <w:rsid w:val="00D85F06"/>
    <w:rsid w:val="00D865F6"/>
    <w:rsid w:val="00D871E3"/>
    <w:rsid w:val="00D87435"/>
    <w:rsid w:val="00D8753E"/>
    <w:rsid w:val="00D911BC"/>
    <w:rsid w:val="00D914CB"/>
    <w:rsid w:val="00D918C2"/>
    <w:rsid w:val="00D91CC8"/>
    <w:rsid w:val="00D91DD0"/>
    <w:rsid w:val="00D93092"/>
    <w:rsid w:val="00D9316D"/>
    <w:rsid w:val="00D9353B"/>
    <w:rsid w:val="00D9411E"/>
    <w:rsid w:val="00D94A22"/>
    <w:rsid w:val="00D9531C"/>
    <w:rsid w:val="00D95CEA"/>
    <w:rsid w:val="00D96BE3"/>
    <w:rsid w:val="00D973A4"/>
    <w:rsid w:val="00D97F1A"/>
    <w:rsid w:val="00DA0C7A"/>
    <w:rsid w:val="00DA167D"/>
    <w:rsid w:val="00DA1B33"/>
    <w:rsid w:val="00DA1CD6"/>
    <w:rsid w:val="00DA1F0F"/>
    <w:rsid w:val="00DA23D0"/>
    <w:rsid w:val="00DA287B"/>
    <w:rsid w:val="00DA29E8"/>
    <w:rsid w:val="00DA2A7F"/>
    <w:rsid w:val="00DA3214"/>
    <w:rsid w:val="00DA3483"/>
    <w:rsid w:val="00DA393B"/>
    <w:rsid w:val="00DA3E73"/>
    <w:rsid w:val="00DA44A8"/>
    <w:rsid w:val="00DA4B15"/>
    <w:rsid w:val="00DA556F"/>
    <w:rsid w:val="00DA5B85"/>
    <w:rsid w:val="00DA5E21"/>
    <w:rsid w:val="00DA6E39"/>
    <w:rsid w:val="00DA6F47"/>
    <w:rsid w:val="00DA7AC8"/>
    <w:rsid w:val="00DA7D71"/>
    <w:rsid w:val="00DA7F29"/>
    <w:rsid w:val="00DB0015"/>
    <w:rsid w:val="00DB0546"/>
    <w:rsid w:val="00DB07ED"/>
    <w:rsid w:val="00DB10D6"/>
    <w:rsid w:val="00DB1354"/>
    <w:rsid w:val="00DB16D0"/>
    <w:rsid w:val="00DB1BE0"/>
    <w:rsid w:val="00DB1C98"/>
    <w:rsid w:val="00DB1D78"/>
    <w:rsid w:val="00DB223C"/>
    <w:rsid w:val="00DB360B"/>
    <w:rsid w:val="00DB384E"/>
    <w:rsid w:val="00DB3B75"/>
    <w:rsid w:val="00DB3DC0"/>
    <w:rsid w:val="00DB4447"/>
    <w:rsid w:val="00DB4860"/>
    <w:rsid w:val="00DB4CAD"/>
    <w:rsid w:val="00DB4E6D"/>
    <w:rsid w:val="00DB50ED"/>
    <w:rsid w:val="00DB58C5"/>
    <w:rsid w:val="00DB5B5C"/>
    <w:rsid w:val="00DB5E1D"/>
    <w:rsid w:val="00DB5F35"/>
    <w:rsid w:val="00DB61EA"/>
    <w:rsid w:val="00DB66A3"/>
    <w:rsid w:val="00DB6E8D"/>
    <w:rsid w:val="00DB7ADE"/>
    <w:rsid w:val="00DB7F87"/>
    <w:rsid w:val="00DC03F7"/>
    <w:rsid w:val="00DC03FD"/>
    <w:rsid w:val="00DC0D16"/>
    <w:rsid w:val="00DC1AAF"/>
    <w:rsid w:val="00DC1D0A"/>
    <w:rsid w:val="00DC2CFC"/>
    <w:rsid w:val="00DC2D71"/>
    <w:rsid w:val="00DC34AD"/>
    <w:rsid w:val="00DC3FB8"/>
    <w:rsid w:val="00DC4508"/>
    <w:rsid w:val="00DC45BB"/>
    <w:rsid w:val="00DC476A"/>
    <w:rsid w:val="00DC5059"/>
    <w:rsid w:val="00DC543B"/>
    <w:rsid w:val="00DC63C1"/>
    <w:rsid w:val="00DC6BF0"/>
    <w:rsid w:val="00DC71CB"/>
    <w:rsid w:val="00DC75C3"/>
    <w:rsid w:val="00DC776D"/>
    <w:rsid w:val="00DC7809"/>
    <w:rsid w:val="00DD0137"/>
    <w:rsid w:val="00DD2A10"/>
    <w:rsid w:val="00DD2F3A"/>
    <w:rsid w:val="00DD399F"/>
    <w:rsid w:val="00DD4022"/>
    <w:rsid w:val="00DD4134"/>
    <w:rsid w:val="00DD50B3"/>
    <w:rsid w:val="00DD5472"/>
    <w:rsid w:val="00DD5E54"/>
    <w:rsid w:val="00DD628D"/>
    <w:rsid w:val="00DD6655"/>
    <w:rsid w:val="00DE07FD"/>
    <w:rsid w:val="00DE0EC0"/>
    <w:rsid w:val="00DE1133"/>
    <w:rsid w:val="00DE176F"/>
    <w:rsid w:val="00DE21C4"/>
    <w:rsid w:val="00DE2C0B"/>
    <w:rsid w:val="00DE3576"/>
    <w:rsid w:val="00DE37D3"/>
    <w:rsid w:val="00DE39A6"/>
    <w:rsid w:val="00DE46F7"/>
    <w:rsid w:val="00DE4F43"/>
    <w:rsid w:val="00DE52CF"/>
    <w:rsid w:val="00DE5CED"/>
    <w:rsid w:val="00DE5CEE"/>
    <w:rsid w:val="00DE658C"/>
    <w:rsid w:val="00DE6694"/>
    <w:rsid w:val="00DE6E55"/>
    <w:rsid w:val="00DE720C"/>
    <w:rsid w:val="00DE7A58"/>
    <w:rsid w:val="00DE7B60"/>
    <w:rsid w:val="00DE7B89"/>
    <w:rsid w:val="00DF0647"/>
    <w:rsid w:val="00DF07E6"/>
    <w:rsid w:val="00DF220A"/>
    <w:rsid w:val="00DF2A3E"/>
    <w:rsid w:val="00DF2EDA"/>
    <w:rsid w:val="00DF3C33"/>
    <w:rsid w:val="00DF3E97"/>
    <w:rsid w:val="00DF5065"/>
    <w:rsid w:val="00DF686E"/>
    <w:rsid w:val="00DF711B"/>
    <w:rsid w:val="00DF7499"/>
    <w:rsid w:val="00DF761A"/>
    <w:rsid w:val="00DF7CFF"/>
    <w:rsid w:val="00DF7F3F"/>
    <w:rsid w:val="00E003F2"/>
    <w:rsid w:val="00E00707"/>
    <w:rsid w:val="00E009F5"/>
    <w:rsid w:val="00E02013"/>
    <w:rsid w:val="00E02303"/>
    <w:rsid w:val="00E0483B"/>
    <w:rsid w:val="00E04A75"/>
    <w:rsid w:val="00E05B1C"/>
    <w:rsid w:val="00E06994"/>
    <w:rsid w:val="00E06996"/>
    <w:rsid w:val="00E07236"/>
    <w:rsid w:val="00E07613"/>
    <w:rsid w:val="00E07DC9"/>
    <w:rsid w:val="00E10007"/>
    <w:rsid w:val="00E10105"/>
    <w:rsid w:val="00E10174"/>
    <w:rsid w:val="00E116FC"/>
    <w:rsid w:val="00E133E4"/>
    <w:rsid w:val="00E13DDE"/>
    <w:rsid w:val="00E142F8"/>
    <w:rsid w:val="00E15F82"/>
    <w:rsid w:val="00E168FF"/>
    <w:rsid w:val="00E16E64"/>
    <w:rsid w:val="00E16FDB"/>
    <w:rsid w:val="00E170FE"/>
    <w:rsid w:val="00E17141"/>
    <w:rsid w:val="00E174B4"/>
    <w:rsid w:val="00E179E1"/>
    <w:rsid w:val="00E17F9B"/>
    <w:rsid w:val="00E20816"/>
    <w:rsid w:val="00E20BF1"/>
    <w:rsid w:val="00E20C65"/>
    <w:rsid w:val="00E21DA7"/>
    <w:rsid w:val="00E2469B"/>
    <w:rsid w:val="00E24D3F"/>
    <w:rsid w:val="00E25541"/>
    <w:rsid w:val="00E25B85"/>
    <w:rsid w:val="00E2626B"/>
    <w:rsid w:val="00E263C4"/>
    <w:rsid w:val="00E26695"/>
    <w:rsid w:val="00E278EB"/>
    <w:rsid w:val="00E27BF9"/>
    <w:rsid w:val="00E27EF5"/>
    <w:rsid w:val="00E30BFF"/>
    <w:rsid w:val="00E30E45"/>
    <w:rsid w:val="00E315E8"/>
    <w:rsid w:val="00E31977"/>
    <w:rsid w:val="00E31CA2"/>
    <w:rsid w:val="00E32A1D"/>
    <w:rsid w:val="00E33374"/>
    <w:rsid w:val="00E333C5"/>
    <w:rsid w:val="00E33C98"/>
    <w:rsid w:val="00E34B80"/>
    <w:rsid w:val="00E34BD0"/>
    <w:rsid w:val="00E3553E"/>
    <w:rsid w:val="00E35D17"/>
    <w:rsid w:val="00E362BD"/>
    <w:rsid w:val="00E36B19"/>
    <w:rsid w:val="00E37A15"/>
    <w:rsid w:val="00E40054"/>
    <w:rsid w:val="00E40A99"/>
    <w:rsid w:val="00E40ADA"/>
    <w:rsid w:val="00E40B77"/>
    <w:rsid w:val="00E4255E"/>
    <w:rsid w:val="00E42791"/>
    <w:rsid w:val="00E42882"/>
    <w:rsid w:val="00E429F0"/>
    <w:rsid w:val="00E42B97"/>
    <w:rsid w:val="00E42D84"/>
    <w:rsid w:val="00E433CA"/>
    <w:rsid w:val="00E44270"/>
    <w:rsid w:val="00E4432D"/>
    <w:rsid w:val="00E44982"/>
    <w:rsid w:val="00E44B4B"/>
    <w:rsid w:val="00E44C35"/>
    <w:rsid w:val="00E453FC"/>
    <w:rsid w:val="00E45423"/>
    <w:rsid w:val="00E45839"/>
    <w:rsid w:val="00E45AC0"/>
    <w:rsid w:val="00E46789"/>
    <w:rsid w:val="00E46BAD"/>
    <w:rsid w:val="00E46BB0"/>
    <w:rsid w:val="00E46DDC"/>
    <w:rsid w:val="00E46DF8"/>
    <w:rsid w:val="00E47306"/>
    <w:rsid w:val="00E47309"/>
    <w:rsid w:val="00E479D6"/>
    <w:rsid w:val="00E47CBA"/>
    <w:rsid w:val="00E500A5"/>
    <w:rsid w:val="00E5012D"/>
    <w:rsid w:val="00E5079E"/>
    <w:rsid w:val="00E50EF4"/>
    <w:rsid w:val="00E50FC7"/>
    <w:rsid w:val="00E5136C"/>
    <w:rsid w:val="00E51F2F"/>
    <w:rsid w:val="00E51F5C"/>
    <w:rsid w:val="00E524FD"/>
    <w:rsid w:val="00E52B9A"/>
    <w:rsid w:val="00E52E0E"/>
    <w:rsid w:val="00E52F58"/>
    <w:rsid w:val="00E5540F"/>
    <w:rsid w:val="00E55426"/>
    <w:rsid w:val="00E55A99"/>
    <w:rsid w:val="00E561CA"/>
    <w:rsid w:val="00E57140"/>
    <w:rsid w:val="00E575F5"/>
    <w:rsid w:val="00E60A40"/>
    <w:rsid w:val="00E60E45"/>
    <w:rsid w:val="00E6173D"/>
    <w:rsid w:val="00E61FEA"/>
    <w:rsid w:val="00E62255"/>
    <w:rsid w:val="00E6347D"/>
    <w:rsid w:val="00E63EBE"/>
    <w:rsid w:val="00E64351"/>
    <w:rsid w:val="00E65C4E"/>
    <w:rsid w:val="00E65EA3"/>
    <w:rsid w:val="00E66009"/>
    <w:rsid w:val="00E66468"/>
    <w:rsid w:val="00E66AE1"/>
    <w:rsid w:val="00E66EE1"/>
    <w:rsid w:val="00E6711F"/>
    <w:rsid w:val="00E678E2"/>
    <w:rsid w:val="00E71076"/>
    <w:rsid w:val="00E719E2"/>
    <w:rsid w:val="00E71FA8"/>
    <w:rsid w:val="00E7203A"/>
    <w:rsid w:val="00E7239B"/>
    <w:rsid w:val="00E726BC"/>
    <w:rsid w:val="00E73191"/>
    <w:rsid w:val="00E737F7"/>
    <w:rsid w:val="00E73C7D"/>
    <w:rsid w:val="00E74428"/>
    <w:rsid w:val="00E744BF"/>
    <w:rsid w:val="00E74528"/>
    <w:rsid w:val="00E7493A"/>
    <w:rsid w:val="00E74A16"/>
    <w:rsid w:val="00E74EBC"/>
    <w:rsid w:val="00E757E6"/>
    <w:rsid w:val="00E8039C"/>
    <w:rsid w:val="00E80548"/>
    <w:rsid w:val="00E80AAE"/>
    <w:rsid w:val="00E81238"/>
    <w:rsid w:val="00E81B60"/>
    <w:rsid w:val="00E82BBE"/>
    <w:rsid w:val="00E832A0"/>
    <w:rsid w:val="00E8375A"/>
    <w:rsid w:val="00E83C05"/>
    <w:rsid w:val="00E84D59"/>
    <w:rsid w:val="00E85144"/>
    <w:rsid w:val="00E85681"/>
    <w:rsid w:val="00E859F9"/>
    <w:rsid w:val="00E86653"/>
    <w:rsid w:val="00E8765E"/>
    <w:rsid w:val="00E87A30"/>
    <w:rsid w:val="00E87BAA"/>
    <w:rsid w:val="00E87E0F"/>
    <w:rsid w:val="00E90A91"/>
    <w:rsid w:val="00E90C76"/>
    <w:rsid w:val="00E92330"/>
    <w:rsid w:val="00E92D5D"/>
    <w:rsid w:val="00E930C4"/>
    <w:rsid w:val="00E933C1"/>
    <w:rsid w:val="00E93CBA"/>
    <w:rsid w:val="00E94673"/>
    <w:rsid w:val="00E94F9E"/>
    <w:rsid w:val="00E95AB9"/>
    <w:rsid w:val="00E9626F"/>
    <w:rsid w:val="00E96707"/>
    <w:rsid w:val="00E97A40"/>
    <w:rsid w:val="00E97E77"/>
    <w:rsid w:val="00EA0374"/>
    <w:rsid w:val="00EA0814"/>
    <w:rsid w:val="00EA0815"/>
    <w:rsid w:val="00EA08DF"/>
    <w:rsid w:val="00EA14A5"/>
    <w:rsid w:val="00EA1B10"/>
    <w:rsid w:val="00EA2685"/>
    <w:rsid w:val="00EA2ECC"/>
    <w:rsid w:val="00EA3061"/>
    <w:rsid w:val="00EA3670"/>
    <w:rsid w:val="00EA4C20"/>
    <w:rsid w:val="00EA4E89"/>
    <w:rsid w:val="00EA5103"/>
    <w:rsid w:val="00EA513D"/>
    <w:rsid w:val="00EA58EC"/>
    <w:rsid w:val="00EA5D6E"/>
    <w:rsid w:val="00EA6078"/>
    <w:rsid w:val="00EA6BDA"/>
    <w:rsid w:val="00EA7399"/>
    <w:rsid w:val="00EA766C"/>
    <w:rsid w:val="00EA79EE"/>
    <w:rsid w:val="00EA7AB4"/>
    <w:rsid w:val="00EB017E"/>
    <w:rsid w:val="00EB0603"/>
    <w:rsid w:val="00EB0AA9"/>
    <w:rsid w:val="00EB0BB5"/>
    <w:rsid w:val="00EB1766"/>
    <w:rsid w:val="00EB1C1B"/>
    <w:rsid w:val="00EB1D07"/>
    <w:rsid w:val="00EB1EE7"/>
    <w:rsid w:val="00EB2468"/>
    <w:rsid w:val="00EB288A"/>
    <w:rsid w:val="00EB29A4"/>
    <w:rsid w:val="00EB2CC4"/>
    <w:rsid w:val="00EB2D0F"/>
    <w:rsid w:val="00EB42A7"/>
    <w:rsid w:val="00EB4D20"/>
    <w:rsid w:val="00EB4DE0"/>
    <w:rsid w:val="00EB4E76"/>
    <w:rsid w:val="00EB60E4"/>
    <w:rsid w:val="00EB6E9F"/>
    <w:rsid w:val="00EB7AC8"/>
    <w:rsid w:val="00EB7CAA"/>
    <w:rsid w:val="00EB7EB7"/>
    <w:rsid w:val="00EC06B2"/>
    <w:rsid w:val="00EC0C3C"/>
    <w:rsid w:val="00EC0C8E"/>
    <w:rsid w:val="00EC1A81"/>
    <w:rsid w:val="00EC24B0"/>
    <w:rsid w:val="00EC25C1"/>
    <w:rsid w:val="00EC2BE6"/>
    <w:rsid w:val="00EC3CE7"/>
    <w:rsid w:val="00EC456F"/>
    <w:rsid w:val="00EC4ECD"/>
    <w:rsid w:val="00EC56D7"/>
    <w:rsid w:val="00EC5763"/>
    <w:rsid w:val="00EC7399"/>
    <w:rsid w:val="00EC7C5E"/>
    <w:rsid w:val="00EC7DCC"/>
    <w:rsid w:val="00EC7F79"/>
    <w:rsid w:val="00ED0B8D"/>
    <w:rsid w:val="00ED0F69"/>
    <w:rsid w:val="00ED2674"/>
    <w:rsid w:val="00ED2F46"/>
    <w:rsid w:val="00ED310A"/>
    <w:rsid w:val="00ED33B8"/>
    <w:rsid w:val="00ED49E6"/>
    <w:rsid w:val="00ED58F9"/>
    <w:rsid w:val="00ED6375"/>
    <w:rsid w:val="00ED6A1C"/>
    <w:rsid w:val="00ED6EAF"/>
    <w:rsid w:val="00ED6FC1"/>
    <w:rsid w:val="00ED7FA9"/>
    <w:rsid w:val="00EE07B9"/>
    <w:rsid w:val="00EE0FB3"/>
    <w:rsid w:val="00EE180E"/>
    <w:rsid w:val="00EE1CFC"/>
    <w:rsid w:val="00EE42EA"/>
    <w:rsid w:val="00EE4FE1"/>
    <w:rsid w:val="00EE529C"/>
    <w:rsid w:val="00EE535C"/>
    <w:rsid w:val="00EE5481"/>
    <w:rsid w:val="00EE5B4A"/>
    <w:rsid w:val="00EE6209"/>
    <w:rsid w:val="00EE6314"/>
    <w:rsid w:val="00EE685B"/>
    <w:rsid w:val="00EE6BDD"/>
    <w:rsid w:val="00EE7487"/>
    <w:rsid w:val="00EE753C"/>
    <w:rsid w:val="00EE786A"/>
    <w:rsid w:val="00EE7CC8"/>
    <w:rsid w:val="00EF03C5"/>
    <w:rsid w:val="00EF0818"/>
    <w:rsid w:val="00EF0DB2"/>
    <w:rsid w:val="00EF1942"/>
    <w:rsid w:val="00EF219F"/>
    <w:rsid w:val="00EF25EB"/>
    <w:rsid w:val="00EF3AA5"/>
    <w:rsid w:val="00EF3C8D"/>
    <w:rsid w:val="00EF4A6D"/>
    <w:rsid w:val="00EF4D64"/>
    <w:rsid w:val="00EF4D89"/>
    <w:rsid w:val="00EF5300"/>
    <w:rsid w:val="00EF5822"/>
    <w:rsid w:val="00EF5E48"/>
    <w:rsid w:val="00EF5F75"/>
    <w:rsid w:val="00EF611A"/>
    <w:rsid w:val="00EF7022"/>
    <w:rsid w:val="00F012CF"/>
    <w:rsid w:val="00F01C85"/>
    <w:rsid w:val="00F01EC2"/>
    <w:rsid w:val="00F02965"/>
    <w:rsid w:val="00F029CA"/>
    <w:rsid w:val="00F036AC"/>
    <w:rsid w:val="00F04086"/>
    <w:rsid w:val="00F0478B"/>
    <w:rsid w:val="00F05114"/>
    <w:rsid w:val="00F0593C"/>
    <w:rsid w:val="00F05940"/>
    <w:rsid w:val="00F05BCF"/>
    <w:rsid w:val="00F066AD"/>
    <w:rsid w:val="00F07C80"/>
    <w:rsid w:val="00F100D5"/>
    <w:rsid w:val="00F10BEE"/>
    <w:rsid w:val="00F10CCB"/>
    <w:rsid w:val="00F114C0"/>
    <w:rsid w:val="00F12BB1"/>
    <w:rsid w:val="00F1319D"/>
    <w:rsid w:val="00F13C31"/>
    <w:rsid w:val="00F13C4E"/>
    <w:rsid w:val="00F13FC5"/>
    <w:rsid w:val="00F14D4D"/>
    <w:rsid w:val="00F14FDC"/>
    <w:rsid w:val="00F1517A"/>
    <w:rsid w:val="00F1545D"/>
    <w:rsid w:val="00F1609E"/>
    <w:rsid w:val="00F16495"/>
    <w:rsid w:val="00F176A2"/>
    <w:rsid w:val="00F20CD7"/>
    <w:rsid w:val="00F21CF1"/>
    <w:rsid w:val="00F21D0C"/>
    <w:rsid w:val="00F224A4"/>
    <w:rsid w:val="00F22D23"/>
    <w:rsid w:val="00F22D62"/>
    <w:rsid w:val="00F23002"/>
    <w:rsid w:val="00F238F6"/>
    <w:rsid w:val="00F246B4"/>
    <w:rsid w:val="00F249FF"/>
    <w:rsid w:val="00F24BD0"/>
    <w:rsid w:val="00F251A3"/>
    <w:rsid w:val="00F254F5"/>
    <w:rsid w:val="00F256F6"/>
    <w:rsid w:val="00F257A0"/>
    <w:rsid w:val="00F2643D"/>
    <w:rsid w:val="00F264ED"/>
    <w:rsid w:val="00F26593"/>
    <w:rsid w:val="00F269E7"/>
    <w:rsid w:val="00F27032"/>
    <w:rsid w:val="00F274D0"/>
    <w:rsid w:val="00F27DB1"/>
    <w:rsid w:val="00F27E65"/>
    <w:rsid w:val="00F302CE"/>
    <w:rsid w:val="00F3074C"/>
    <w:rsid w:val="00F307CE"/>
    <w:rsid w:val="00F30A48"/>
    <w:rsid w:val="00F312D7"/>
    <w:rsid w:val="00F3174B"/>
    <w:rsid w:val="00F31DA5"/>
    <w:rsid w:val="00F326A1"/>
    <w:rsid w:val="00F32B49"/>
    <w:rsid w:val="00F3355C"/>
    <w:rsid w:val="00F338C0"/>
    <w:rsid w:val="00F33D25"/>
    <w:rsid w:val="00F342A5"/>
    <w:rsid w:val="00F35443"/>
    <w:rsid w:val="00F35643"/>
    <w:rsid w:val="00F35E58"/>
    <w:rsid w:val="00F35E8C"/>
    <w:rsid w:val="00F36D75"/>
    <w:rsid w:val="00F371B0"/>
    <w:rsid w:val="00F37C16"/>
    <w:rsid w:val="00F37D8C"/>
    <w:rsid w:val="00F40140"/>
    <w:rsid w:val="00F40B39"/>
    <w:rsid w:val="00F40CF3"/>
    <w:rsid w:val="00F41B1E"/>
    <w:rsid w:val="00F41C61"/>
    <w:rsid w:val="00F423D1"/>
    <w:rsid w:val="00F42A03"/>
    <w:rsid w:val="00F43CAB"/>
    <w:rsid w:val="00F45199"/>
    <w:rsid w:val="00F454DC"/>
    <w:rsid w:val="00F45699"/>
    <w:rsid w:val="00F457FB"/>
    <w:rsid w:val="00F45D34"/>
    <w:rsid w:val="00F464F3"/>
    <w:rsid w:val="00F4685C"/>
    <w:rsid w:val="00F472C0"/>
    <w:rsid w:val="00F479DF"/>
    <w:rsid w:val="00F506C8"/>
    <w:rsid w:val="00F50795"/>
    <w:rsid w:val="00F508AC"/>
    <w:rsid w:val="00F50BB5"/>
    <w:rsid w:val="00F50EE6"/>
    <w:rsid w:val="00F51799"/>
    <w:rsid w:val="00F519B0"/>
    <w:rsid w:val="00F51E2F"/>
    <w:rsid w:val="00F52F38"/>
    <w:rsid w:val="00F530F8"/>
    <w:rsid w:val="00F531A2"/>
    <w:rsid w:val="00F544E5"/>
    <w:rsid w:val="00F5467C"/>
    <w:rsid w:val="00F54DBC"/>
    <w:rsid w:val="00F550F5"/>
    <w:rsid w:val="00F552B1"/>
    <w:rsid w:val="00F559DB"/>
    <w:rsid w:val="00F57618"/>
    <w:rsid w:val="00F6136E"/>
    <w:rsid w:val="00F6160A"/>
    <w:rsid w:val="00F62276"/>
    <w:rsid w:val="00F63015"/>
    <w:rsid w:val="00F63FDC"/>
    <w:rsid w:val="00F64BBA"/>
    <w:rsid w:val="00F65C4B"/>
    <w:rsid w:val="00F66F8C"/>
    <w:rsid w:val="00F66FBD"/>
    <w:rsid w:val="00F71CB6"/>
    <w:rsid w:val="00F71D72"/>
    <w:rsid w:val="00F71EEC"/>
    <w:rsid w:val="00F7276C"/>
    <w:rsid w:val="00F7278D"/>
    <w:rsid w:val="00F72C07"/>
    <w:rsid w:val="00F734AD"/>
    <w:rsid w:val="00F739B7"/>
    <w:rsid w:val="00F74004"/>
    <w:rsid w:val="00F7443F"/>
    <w:rsid w:val="00F7460B"/>
    <w:rsid w:val="00F7524B"/>
    <w:rsid w:val="00F75BC0"/>
    <w:rsid w:val="00F75BE6"/>
    <w:rsid w:val="00F764DA"/>
    <w:rsid w:val="00F76F73"/>
    <w:rsid w:val="00F808DB"/>
    <w:rsid w:val="00F80C31"/>
    <w:rsid w:val="00F813D9"/>
    <w:rsid w:val="00F81ACF"/>
    <w:rsid w:val="00F82C55"/>
    <w:rsid w:val="00F8318F"/>
    <w:rsid w:val="00F839F7"/>
    <w:rsid w:val="00F8491E"/>
    <w:rsid w:val="00F8567C"/>
    <w:rsid w:val="00F86121"/>
    <w:rsid w:val="00F8626B"/>
    <w:rsid w:val="00F8733E"/>
    <w:rsid w:val="00F874A7"/>
    <w:rsid w:val="00F87DE2"/>
    <w:rsid w:val="00F9023B"/>
    <w:rsid w:val="00F90D49"/>
    <w:rsid w:val="00F911D5"/>
    <w:rsid w:val="00F9176A"/>
    <w:rsid w:val="00F91A7B"/>
    <w:rsid w:val="00F92332"/>
    <w:rsid w:val="00F9276E"/>
    <w:rsid w:val="00F92B4C"/>
    <w:rsid w:val="00F932B1"/>
    <w:rsid w:val="00F9379B"/>
    <w:rsid w:val="00F943E7"/>
    <w:rsid w:val="00F95AF6"/>
    <w:rsid w:val="00F96104"/>
    <w:rsid w:val="00F967B3"/>
    <w:rsid w:val="00F968ED"/>
    <w:rsid w:val="00F96A7C"/>
    <w:rsid w:val="00F96F00"/>
    <w:rsid w:val="00F97120"/>
    <w:rsid w:val="00F97BB8"/>
    <w:rsid w:val="00F97C32"/>
    <w:rsid w:val="00FA00BA"/>
    <w:rsid w:val="00FA07D1"/>
    <w:rsid w:val="00FA0A83"/>
    <w:rsid w:val="00FA1E5B"/>
    <w:rsid w:val="00FA1FEF"/>
    <w:rsid w:val="00FA219C"/>
    <w:rsid w:val="00FA2822"/>
    <w:rsid w:val="00FA3D7B"/>
    <w:rsid w:val="00FA3E47"/>
    <w:rsid w:val="00FA4190"/>
    <w:rsid w:val="00FA461C"/>
    <w:rsid w:val="00FA4C68"/>
    <w:rsid w:val="00FA4CBB"/>
    <w:rsid w:val="00FA5B99"/>
    <w:rsid w:val="00FA5ED0"/>
    <w:rsid w:val="00FA6800"/>
    <w:rsid w:val="00FA699E"/>
    <w:rsid w:val="00FA69EE"/>
    <w:rsid w:val="00FA6A09"/>
    <w:rsid w:val="00FA6CC4"/>
    <w:rsid w:val="00FA778D"/>
    <w:rsid w:val="00FA7F8C"/>
    <w:rsid w:val="00FB080D"/>
    <w:rsid w:val="00FB0C91"/>
    <w:rsid w:val="00FB0DCC"/>
    <w:rsid w:val="00FB1D18"/>
    <w:rsid w:val="00FB22A4"/>
    <w:rsid w:val="00FB2A35"/>
    <w:rsid w:val="00FB2D1B"/>
    <w:rsid w:val="00FB51A9"/>
    <w:rsid w:val="00FB6A61"/>
    <w:rsid w:val="00FB6B95"/>
    <w:rsid w:val="00FB6F98"/>
    <w:rsid w:val="00FB7363"/>
    <w:rsid w:val="00FB772E"/>
    <w:rsid w:val="00FB7D9A"/>
    <w:rsid w:val="00FC0B25"/>
    <w:rsid w:val="00FC11B6"/>
    <w:rsid w:val="00FC1C26"/>
    <w:rsid w:val="00FC1FE1"/>
    <w:rsid w:val="00FC20DA"/>
    <w:rsid w:val="00FC279D"/>
    <w:rsid w:val="00FC2946"/>
    <w:rsid w:val="00FC2E61"/>
    <w:rsid w:val="00FC3B04"/>
    <w:rsid w:val="00FC3BED"/>
    <w:rsid w:val="00FC3C82"/>
    <w:rsid w:val="00FC3D54"/>
    <w:rsid w:val="00FC3F28"/>
    <w:rsid w:val="00FC42B6"/>
    <w:rsid w:val="00FC4C51"/>
    <w:rsid w:val="00FC4FF8"/>
    <w:rsid w:val="00FC5968"/>
    <w:rsid w:val="00FC5973"/>
    <w:rsid w:val="00FC5A0F"/>
    <w:rsid w:val="00FC5E4C"/>
    <w:rsid w:val="00FC6014"/>
    <w:rsid w:val="00FC6458"/>
    <w:rsid w:val="00FC6692"/>
    <w:rsid w:val="00FC6900"/>
    <w:rsid w:val="00FC7AE3"/>
    <w:rsid w:val="00FC7E71"/>
    <w:rsid w:val="00FC7EA7"/>
    <w:rsid w:val="00FC7F63"/>
    <w:rsid w:val="00FD16BA"/>
    <w:rsid w:val="00FD1D3D"/>
    <w:rsid w:val="00FD22AB"/>
    <w:rsid w:val="00FD25E4"/>
    <w:rsid w:val="00FD2BC8"/>
    <w:rsid w:val="00FD2C30"/>
    <w:rsid w:val="00FD49DB"/>
    <w:rsid w:val="00FD4BCD"/>
    <w:rsid w:val="00FD4BFB"/>
    <w:rsid w:val="00FD68BD"/>
    <w:rsid w:val="00FD6977"/>
    <w:rsid w:val="00FD6ADE"/>
    <w:rsid w:val="00FD71CE"/>
    <w:rsid w:val="00FD7B9E"/>
    <w:rsid w:val="00FE03C7"/>
    <w:rsid w:val="00FE060F"/>
    <w:rsid w:val="00FE067F"/>
    <w:rsid w:val="00FE1AEA"/>
    <w:rsid w:val="00FE201A"/>
    <w:rsid w:val="00FE3002"/>
    <w:rsid w:val="00FE35DD"/>
    <w:rsid w:val="00FE3622"/>
    <w:rsid w:val="00FE376B"/>
    <w:rsid w:val="00FE3F1B"/>
    <w:rsid w:val="00FE4356"/>
    <w:rsid w:val="00FE4382"/>
    <w:rsid w:val="00FE44DA"/>
    <w:rsid w:val="00FE4D2A"/>
    <w:rsid w:val="00FE4F02"/>
    <w:rsid w:val="00FE5AEF"/>
    <w:rsid w:val="00FE6116"/>
    <w:rsid w:val="00FE61EF"/>
    <w:rsid w:val="00FE6543"/>
    <w:rsid w:val="00FE7215"/>
    <w:rsid w:val="00FE72FE"/>
    <w:rsid w:val="00FE7BB2"/>
    <w:rsid w:val="00FE7CE0"/>
    <w:rsid w:val="00FF1106"/>
    <w:rsid w:val="00FF1467"/>
    <w:rsid w:val="00FF2096"/>
    <w:rsid w:val="00FF2C02"/>
    <w:rsid w:val="00FF339B"/>
    <w:rsid w:val="00FF3C11"/>
    <w:rsid w:val="00FF407F"/>
    <w:rsid w:val="00FF5E98"/>
    <w:rsid w:val="00FF64A4"/>
    <w:rsid w:val="00FF6615"/>
    <w:rsid w:val="00FF71B6"/>
    <w:rsid w:val="00FF7479"/>
    <w:rsid w:val="00FF7C60"/>
    <w:rsid w:val="00FF7EAF"/>
    <w:rsid w:val="010A0C49"/>
    <w:rsid w:val="01994376"/>
    <w:rsid w:val="03B3FCF4"/>
    <w:rsid w:val="03DA9336"/>
    <w:rsid w:val="06BC963C"/>
    <w:rsid w:val="083B31FB"/>
    <w:rsid w:val="0A4F9DBC"/>
    <w:rsid w:val="0AA85684"/>
    <w:rsid w:val="0B0BE96D"/>
    <w:rsid w:val="0E25A9B1"/>
    <w:rsid w:val="10586D05"/>
    <w:rsid w:val="1075CEA2"/>
    <w:rsid w:val="119F6F97"/>
    <w:rsid w:val="11E3A1FA"/>
    <w:rsid w:val="12226B6C"/>
    <w:rsid w:val="12588125"/>
    <w:rsid w:val="1362EF2A"/>
    <w:rsid w:val="160DA832"/>
    <w:rsid w:val="17284187"/>
    <w:rsid w:val="1975C02D"/>
    <w:rsid w:val="1A130A19"/>
    <w:rsid w:val="1AD7A9DC"/>
    <w:rsid w:val="1B63AEB8"/>
    <w:rsid w:val="1C196702"/>
    <w:rsid w:val="202A2DCA"/>
    <w:rsid w:val="208D2BA3"/>
    <w:rsid w:val="230B3360"/>
    <w:rsid w:val="29192212"/>
    <w:rsid w:val="2A84B8B0"/>
    <w:rsid w:val="2A9E8FCC"/>
    <w:rsid w:val="2D1C8B1A"/>
    <w:rsid w:val="3054B5D6"/>
    <w:rsid w:val="31FCE011"/>
    <w:rsid w:val="3527FAF7"/>
    <w:rsid w:val="35FB261B"/>
    <w:rsid w:val="37D12D7E"/>
    <w:rsid w:val="38C8AA59"/>
    <w:rsid w:val="3A7696C8"/>
    <w:rsid w:val="3DB5AA91"/>
    <w:rsid w:val="3F2EBBC8"/>
    <w:rsid w:val="43712CD4"/>
    <w:rsid w:val="44453D6A"/>
    <w:rsid w:val="448E3E49"/>
    <w:rsid w:val="4BDE77AA"/>
    <w:rsid w:val="4C30D291"/>
    <w:rsid w:val="4FF06263"/>
    <w:rsid w:val="50E7BE39"/>
    <w:rsid w:val="5492F8FA"/>
    <w:rsid w:val="5500F9F6"/>
    <w:rsid w:val="557B3739"/>
    <w:rsid w:val="5B133FCB"/>
    <w:rsid w:val="5E9F39BF"/>
    <w:rsid w:val="60123892"/>
    <w:rsid w:val="6AA7958D"/>
    <w:rsid w:val="6AF295CF"/>
    <w:rsid w:val="6B674ABE"/>
    <w:rsid w:val="6D40C869"/>
    <w:rsid w:val="6DCD3D7A"/>
    <w:rsid w:val="700BFDAC"/>
    <w:rsid w:val="7200DE07"/>
    <w:rsid w:val="725684B1"/>
    <w:rsid w:val="72A1DA9C"/>
    <w:rsid w:val="732FA5C1"/>
    <w:rsid w:val="74FEEFD9"/>
    <w:rsid w:val="751CA3D3"/>
    <w:rsid w:val="751EC6FF"/>
    <w:rsid w:val="776216FA"/>
    <w:rsid w:val="78254828"/>
    <w:rsid w:val="783D1247"/>
    <w:rsid w:val="7C3191EE"/>
    <w:rsid w:val="7CF887C8"/>
    <w:rsid w:val="7D20BB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AE31C"/>
  <w15:chartTrackingRefBased/>
  <w15:docId w15:val="{9083BA20-D8DD-48CF-8761-9EA3AFF3D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
        <w:lang w:val="lv-LV" w:eastAsia="en-GB" w:bidi="ar-SA"/>
        <w14:ligatures w14:val="standardContextua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0" w:unhideWhenUsed="1" w:qFormat="1"/>
    <w:lsdException w:name="heading 4" w:semiHidden="1" w:uiPriority="9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90" w:unhideWhenUsed="1" w:qFormat="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275D3E"/>
    <w:pPr>
      <w:keepNext/>
      <w:keepLines/>
      <w:numPr>
        <w:numId w:val="23"/>
      </w:numPr>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nhideWhenUsed/>
    <w:qFormat/>
    <w:rsid w:val="00275D3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0"/>
    <w:unhideWhenUsed/>
    <w:qFormat/>
    <w:rsid w:val="00275D3E"/>
    <w:pPr>
      <w:keepNext/>
      <w:keepLines/>
      <w:numPr>
        <w:ilvl w:val="2"/>
        <w:numId w:val="23"/>
      </w:numPr>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0"/>
    <w:unhideWhenUsed/>
    <w:qFormat/>
    <w:rsid w:val="00275D3E"/>
    <w:pPr>
      <w:keepNext/>
      <w:keepLines/>
      <w:numPr>
        <w:ilvl w:val="3"/>
        <w:numId w:val="23"/>
      </w:numPr>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semiHidden/>
    <w:unhideWhenUsed/>
    <w:qFormat/>
    <w:rsid w:val="00275D3E"/>
    <w:pPr>
      <w:keepNext/>
      <w:keepLines/>
      <w:numPr>
        <w:ilvl w:val="4"/>
        <w:numId w:val="23"/>
      </w:numPr>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semiHidden/>
    <w:unhideWhenUsed/>
    <w:qFormat/>
    <w:rsid w:val="00275D3E"/>
    <w:pPr>
      <w:keepNext/>
      <w:keepLines/>
      <w:numPr>
        <w:ilvl w:val="5"/>
        <w:numId w:val="23"/>
      </w:numPr>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275D3E"/>
    <w:pPr>
      <w:keepNext/>
      <w:keepLines/>
      <w:numPr>
        <w:ilvl w:val="6"/>
        <w:numId w:val="23"/>
      </w:numPr>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275D3E"/>
    <w:pPr>
      <w:keepNext/>
      <w:keepLines/>
      <w:numPr>
        <w:ilvl w:val="7"/>
        <w:numId w:val="23"/>
      </w:numPr>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275D3E"/>
    <w:pPr>
      <w:keepNext/>
      <w:keepLines/>
      <w:numPr>
        <w:ilvl w:val="8"/>
        <w:numId w:val="23"/>
      </w:numPr>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5D3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rsid w:val="00275D3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0"/>
    <w:rsid w:val="00275D3E"/>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0"/>
    <w:rsid w:val="00275D3E"/>
    <w:rPr>
      <w:rFonts w:asciiTheme="minorHAnsi" w:eastAsiaTheme="majorEastAsia" w:hAnsiTheme="minorHAnsi" w:cstheme="majorBidi"/>
      <w:i/>
      <w:iCs/>
      <w:color w:val="365F91" w:themeColor="accent1" w:themeShade="BF"/>
      <w:sz w:val="24"/>
      <w:szCs w:val="24"/>
    </w:rPr>
  </w:style>
  <w:style w:type="character" w:customStyle="1" w:styleId="Heading5Char">
    <w:name w:val="Heading 5 Char"/>
    <w:basedOn w:val="DefaultParagraphFont"/>
    <w:link w:val="Heading5"/>
    <w:semiHidden/>
    <w:rsid w:val="00275D3E"/>
    <w:rPr>
      <w:rFonts w:asciiTheme="minorHAnsi" w:eastAsiaTheme="majorEastAsia" w:hAnsiTheme="minorHAnsi" w:cstheme="majorBidi"/>
      <w:color w:val="365F91" w:themeColor="accent1" w:themeShade="BF"/>
      <w:sz w:val="24"/>
      <w:szCs w:val="24"/>
    </w:rPr>
  </w:style>
  <w:style w:type="character" w:customStyle="1" w:styleId="Heading6Char">
    <w:name w:val="Heading 6 Char"/>
    <w:basedOn w:val="DefaultParagraphFont"/>
    <w:link w:val="Heading6"/>
    <w:semiHidden/>
    <w:rsid w:val="00275D3E"/>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semiHidden/>
    <w:rsid w:val="00275D3E"/>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semiHidden/>
    <w:rsid w:val="00275D3E"/>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semiHidden/>
    <w:rsid w:val="00275D3E"/>
    <w:rPr>
      <w:rFonts w:asciiTheme="minorHAnsi" w:eastAsiaTheme="majorEastAsia" w:hAnsiTheme="minorHAnsi" w:cstheme="majorBidi"/>
      <w:color w:val="272727" w:themeColor="text1" w:themeTint="D8"/>
      <w:sz w:val="24"/>
      <w:szCs w:val="24"/>
    </w:rPr>
  </w:style>
  <w:style w:type="paragraph" w:styleId="Title">
    <w:name w:val="Title"/>
    <w:basedOn w:val="Normal"/>
    <w:next w:val="Normal"/>
    <w:link w:val="TitleChar"/>
    <w:qFormat/>
    <w:rsid w:val="00275D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75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75D3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275D3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75D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5D3E"/>
    <w:rPr>
      <w:i/>
      <w:iCs/>
      <w:color w:val="404040" w:themeColor="text1" w:themeTint="BF"/>
      <w:sz w:val="24"/>
      <w:szCs w:val="24"/>
    </w:rPr>
  </w:style>
  <w:style w:type="paragraph" w:styleId="ListParagraph">
    <w:name w:val="List Paragraph"/>
    <w:aliases w:val="Fiche List Paragraph,OBC Bullet,Dot pt,F5 List Paragraph,List Paragraph1,No Spacing1,List Paragraph Char Char Char,Indicator Text,Colorful List - Accent 11,Numbered Para 1,Bullet 1,Bullet Points,MAIN CONTENT,List Paragraph11,2,Bullet St,L"/>
    <w:basedOn w:val="Normal"/>
    <w:link w:val="ListParagraphChar"/>
    <w:uiPriority w:val="34"/>
    <w:qFormat/>
    <w:rsid w:val="00275D3E"/>
    <w:pPr>
      <w:ind w:left="720"/>
      <w:contextualSpacing/>
    </w:pPr>
  </w:style>
  <w:style w:type="character" w:styleId="IntenseEmphasis">
    <w:name w:val="Intense Emphasis"/>
    <w:basedOn w:val="DefaultParagraphFont"/>
    <w:uiPriority w:val="21"/>
    <w:qFormat/>
    <w:rsid w:val="00275D3E"/>
    <w:rPr>
      <w:i/>
      <w:iCs/>
      <w:color w:val="365F91" w:themeColor="accent1" w:themeShade="BF"/>
    </w:rPr>
  </w:style>
  <w:style w:type="paragraph" w:styleId="IntenseQuote">
    <w:name w:val="Intense Quote"/>
    <w:basedOn w:val="Normal"/>
    <w:next w:val="Normal"/>
    <w:link w:val="IntenseQuoteChar"/>
    <w:uiPriority w:val="30"/>
    <w:qFormat/>
    <w:rsid w:val="00275D3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75D3E"/>
    <w:rPr>
      <w:i/>
      <w:iCs/>
      <w:color w:val="365F91" w:themeColor="accent1" w:themeShade="BF"/>
      <w:sz w:val="24"/>
      <w:szCs w:val="24"/>
    </w:rPr>
  </w:style>
  <w:style w:type="character" w:styleId="IntenseReference">
    <w:name w:val="Intense Reference"/>
    <w:basedOn w:val="DefaultParagraphFont"/>
    <w:uiPriority w:val="32"/>
    <w:qFormat/>
    <w:rsid w:val="00275D3E"/>
    <w:rPr>
      <w:b/>
      <w:bCs/>
      <w:smallCaps/>
      <w:color w:val="365F91" w:themeColor="accent1" w:themeShade="BF"/>
      <w:spacing w:val="5"/>
    </w:rPr>
  </w:style>
  <w:style w:type="character" w:customStyle="1" w:styleId="Marker">
    <w:name w:val="Marker"/>
    <w:basedOn w:val="DefaultParagraphFont"/>
    <w:rsid w:val="00275D3E"/>
    <w:rPr>
      <w:color w:val="0000FF"/>
      <w:shd w:val="clear" w:color="auto" w:fill="auto"/>
    </w:rPr>
  </w:style>
  <w:style w:type="paragraph" w:styleId="Header">
    <w:name w:val="header"/>
    <w:basedOn w:val="Normal"/>
    <w:link w:val="HeaderChar"/>
    <w:unhideWhenUsed/>
    <w:rsid w:val="00275D3E"/>
    <w:pPr>
      <w:tabs>
        <w:tab w:val="center" w:pos="4513"/>
        <w:tab w:val="right" w:pos="9026"/>
      </w:tabs>
    </w:pPr>
  </w:style>
  <w:style w:type="character" w:customStyle="1" w:styleId="HeaderChar">
    <w:name w:val="Header Char"/>
    <w:basedOn w:val="DefaultParagraphFont"/>
    <w:link w:val="Header"/>
    <w:rsid w:val="00275D3E"/>
    <w:rPr>
      <w:sz w:val="24"/>
      <w:szCs w:val="24"/>
    </w:rPr>
  </w:style>
  <w:style w:type="paragraph" w:styleId="Footer">
    <w:name w:val="footer"/>
    <w:basedOn w:val="Normal"/>
    <w:link w:val="FooterChar"/>
    <w:uiPriority w:val="99"/>
    <w:unhideWhenUsed/>
    <w:rsid w:val="00275D3E"/>
    <w:pPr>
      <w:tabs>
        <w:tab w:val="center" w:pos="4513"/>
        <w:tab w:val="right" w:pos="9026"/>
      </w:tabs>
    </w:pPr>
  </w:style>
  <w:style w:type="character" w:customStyle="1" w:styleId="FooterChar">
    <w:name w:val="Footer Char"/>
    <w:basedOn w:val="DefaultParagraphFont"/>
    <w:link w:val="Footer"/>
    <w:uiPriority w:val="99"/>
    <w:rsid w:val="00275D3E"/>
    <w:rPr>
      <w:sz w:val="24"/>
      <w:szCs w:val="24"/>
    </w:rPr>
  </w:style>
  <w:style w:type="paragraph" w:customStyle="1" w:styleId="Pagedecouverture">
    <w:name w:val="Page de couverture"/>
    <w:basedOn w:val="Normal"/>
    <w:next w:val="Normal"/>
    <w:rsid w:val="00275D3E"/>
    <w:pPr>
      <w:jc w:val="both"/>
    </w:pPr>
    <w:rPr>
      <w:rFonts w:eastAsiaTheme="minorHAnsi"/>
      <w:kern w:val="0"/>
      <w:szCs w:val="22"/>
      <w:lang w:eastAsia="en-US"/>
      <w14:ligatures w14:val="none"/>
    </w:rPr>
  </w:style>
  <w:style w:type="paragraph" w:customStyle="1" w:styleId="FooterCoverPage">
    <w:name w:val="Footer Cover Page"/>
    <w:basedOn w:val="Normal"/>
    <w:link w:val="FooterCoverPageChar"/>
    <w:rsid w:val="00275D3E"/>
    <w:pPr>
      <w:tabs>
        <w:tab w:val="center" w:pos="4535"/>
        <w:tab w:val="right" w:pos="9071"/>
        <w:tab w:val="right" w:pos="9921"/>
      </w:tabs>
      <w:spacing w:before="360"/>
      <w:ind w:left="-850" w:right="-850"/>
    </w:pPr>
  </w:style>
  <w:style w:type="character" w:customStyle="1" w:styleId="FooterCoverPageChar">
    <w:name w:val="Footer Cover Page Char"/>
    <w:basedOn w:val="DefaultParagraphFont"/>
    <w:link w:val="FooterCoverPage"/>
    <w:rsid w:val="00275D3E"/>
    <w:rPr>
      <w:sz w:val="24"/>
      <w:szCs w:val="24"/>
    </w:rPr>
  </w:style>
  <w:style w:type="paragraph" w:customStyle="1" w:styleId="FooterSensitivity">
    <w:name w:val="Footer Sensitivity"/>
    <w:basedOn w:val="Normal"/>
    <w:link w:val="FooterSensitivityChar"/>
    <w:rsid w:val="00275D3E"/>
    <w:pPr>
      <w:pBdr>
        <w:top w:val="single" w:sz="4" w:space="1" w:color="auto"/>
        <w:left w:val="single" w:sz="4" w:space="4" w:color="auto"/>
        <w:bottom w:val="single" w:sz="4" w:space="1" w:color="auto"/>
        <w:right w:val="single" w:sz="4" w:space="4" w:color="auto"/>
      </w:pBdr>
      <w:spacing w:before="360"/>
      <w:ind w:left="113" w:right="113"/>
      <w:jc w:val="center"/>
    </w:pPr>
    <w:rPr>
      <w:b/>
      <w:sz w:val="32"/>
    </w:rPr>
  </w:style>
  <w:style w:type="character" w:customStyle="1" w:styleId="FooterSensitivityChar">
    <w:name w:val="Footer Sensitivity Char"/>
    <w:basedOn w:val="DefaultParagraphFont"/>
    <w:link w:val="FooterSensitivity"/>
    <w:rsid w:val="00275D3E"/>
    <w:rPr>
      <w:b/>
      <w:sz w:val="32"/>
      <w:szCs w:val="24"/>
    </w:rPr>
  </w:style>
  <w:style w:type="paragraph" w:customStyle="1" w:styleId="HeaderCoverPage">
    <w:name w:val="Header Cover Page"/>
    <w:basedOn w:val="Normal"/>
    <w:link w:val="HeaderCoverPageChar"/>
    <w:rsid w:val="00275D3E"/>
    <w:pPr>
      <w:tabs>
        <w:tab w:val="center" w:pos="4535"/>
        <w:tab w:val="right" w:pos="9071"/>
      </w:tabs>
      <w:spacing w:after="120"/>
      <w:jc w:val="both"/>
    </w:pPr>
  </w:style>
  <w:style w:type="character" w:customStyle="1" w:styleId="HeaderCoverPageChar">
    <w:name w:val="Header Cover Page Char"/>
    <w:basedOn w:val="DefaultParagraphFont"/>
    <w:link w:val="HeaderCoverPage"/>
    <w:rsid w:val="00275D3E"/>
    <w:rPr>
      <w:sz w:val="24"/>
      <w:szCs w:val="24"/>
    </w:rPr>
  </w:style>
  <w:style w:type="paragraph" w:customStyle="1" w:styleId="HeaderSensitivity">
    <w:name w:val="Header Sensitivity"/>
    <w:basedOn w:val="Normal"/>
    <w:link w:val="HeaderSensitivityChar"/>
    <w:rsid w:val="00275D3E"/>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character" w:customStyle="1" w:styleId="HeaderSensitivityChar">
    <w:name w:val="Header Sensitivity Char"/>
    <w:basedOn w:val="DefaultParagraphFont"/>
    <w:link w:val="HeaderSensitivity"/>
    <w:rsid w:val="00275D3E"/>
    <w:rPr>
      <w:b/>
      <w:sz w:val="32"/>
      <w:szCs w:val="24"/>
    </w:rPr>
  </w:style>
  <w:style w:type="paragraph" w:customStyle="1" w:styleId="HeaderSensitivityRight">
    <w:name w:val="Header Sensitivity Right"/>
    <w:basedOn w:val="Normal"/>
    <w:link w:val="HeaderSensitivityRightChar"/>
    <w:rsid w:val="00275D3E"/>
    <w:pPr>
      <w:spacing w:after="120"/>
      <w:jc w:val="right"/>
    </w:pPr>
    <w:rPr>
      <w:sz w:val="28"/>
    </w:rPr>
  </w:style>
  <w:style w:type="character" w:customStyle="1" w:styleId="HeaderSensitivityRightChar">
    <w:name w:val="Header Sensitivity Right Char"/>
    <w:basedOn w:val="DefaultParagraphFont"/>
    <w:link w:val="HeaderSensitivityRight"/>
    <w:rsid w:val="00275D3E"/>
    <w:rPr>
      <w:sz w:val="28"/>
      <w:szCs w:val="24"/>
    </w:rPr>
  </w:style>
  <w:style w:type="character" w:customStyle="1" w:styleId="BodyPlaceholderText">
    <w:name w:val="BodyPlaceholderText"/>
    <w:basedOn w:val="PlaceholderText"/>
    <w:uiPriority w:val="1"/>
    <w:semiHidden/>
    <w:rsid w:val="00275D3E"/>
    <w:rPr>
      <w:color w:val="3366CC"/>
    </w:rPr>
  </w:style>
  <w:style w:type="character" w:customStyle="1" w:styleId="CrossReference">
    <w:name w:val="Cross Reference"/>
    <w:basedOn w:val="DefaultParagraphFont"/>
    <w:uiPriority w:val="99"/>
    <w:rsid w:val="00275D3E"/>
    <w:rPr>
      <w:i/>
    </w:rPr>
  </w:style>
  <w:style w:type="character" w:customStyle="1" w:styleId="InstructionBlue">
    <w:name w:val="InstructionBlue"/>
    <w:rsid w:val="00275D3E"/>
    <w:rPr>
      <w:i/>
      <w:color w:val="3366CC"/>
    </w:rPr>
  </w:style>
  <w:style w:type="character" w:customStyle="1" w:styleId="InstructionPlaceholder">
    <w:name w:val="InstructionPlaceholder"/>
    <w:rsid w:val="00275D3E"/>
    <w:rPr>
      <w:color w:val="CB3535"/>
    </w:rPr>
  </w:style>
  <w:style w:type="character" w:customStyle="1" w:styleId="InstructionRed">
    <w:name w:val="InstructionRed"/>
    <w:rsid w:val="00275D3E"/>
    <w:rPr>
      <w:i/>
      <w:color w:val="CB3535"/>
    </w:rPr>
  </w:style>
  <w:style w:type="character" w:customStyle="1" w:styleId="MarkingLabel">
    <w:name w:val="MarkingLabel"/>
    <w:semiHidden/>
    <w:rsid w:val="00275D3E"/>
    <w:rPr>
      <w:b/>
      <w:caps/>
      <w:sz w:val="28"/>
    </w:rPr>
  </w:style>
  <w:style w:type="character" w:customStyle="1" w:styleId="MarkingText">
    <w:name w:val="MarkingText"/>
    <w:semiHidden/>
    <w:rsid w:val="00275D3E"/>
    <w:rPr>
      <w:i/>
      <w:sz w:val="28"/>
    </w:rPr>
  </w:style>
  <w:style w:type="character" w:styleId="PlaceholderText">
    <w:name w:val="Placeholder Text"/>
    <w:basedOn w:val="DefaultParagraphFont"/>
    <w:uiPriority w:val="99"/>
    <w:semiHidden/>
    <w:rsid w:val="00275D3E"/>
    <w:rPr>
      <w:color w:val="288061"/>
    </w:rPr>
  </w:style>
  <w:style w:type="paragraph" w:customStyle="1" w:styleId="AfterTable">
    <w:name w:val="After Table"/>
    <w:semiHidden/>
    <w:rsid w:val="00275D3E"/>
    <w:rPr>
      <w:kern w:val="0"/>
      <w:sz w:val="4"/>
      <w:lang w:eastAsia="en-IE"/>
      <w14:ligatures w14:val="none"/>
    </w:rPr>
  </w:style>
  <w:style w:type="paragraph" w:customStyle="1" w:styleId="AnnexTitle">
    <w:name w:val="AnnexTitle"/>
    <w:basedOn w:val="Normal"/>
    <w:next w:val="Normal"/>
    <w:uiPriority w:val="90"/>
    <w:qFormat/>
    <w:rsid w:val="00275D3E"/>
    <w:pPr>
      <w:pageBreakBefore/>
      <w:numPr>
        <w:numId w:val="18"/>
      </w:numPr>
      <w:spacing w:after="480"/>
      <w:jc w:val="both"/>
      <w:outlineLvl w:val="0"/>
    </w:pPr>
    <w:rPr>
      <w:b/>
      <w:kern w:val="0"/>
      <w:sz w:val="32"/>
      <w:szCs w:val="20"/>
      <w:lang w:eastAsia="en-IE"/>
      <w14:ligatures w14:val="none"/>
    </w:rPr>
  </w:style>
  <w:style w:type="paragraph" w:styleId="Caption">
    <w:name w:val="caption"/>
    <w:basedOn w:val="Normal"/>
    <w:next w:val="Normal"/>
    <w:rsid w:val="00275D3E"/>
    <w:pPr>
      <w:spacing w:before="160" w:after="240"/>
      <w:jc w:val="both"/>
    </w:pPr>
    <w:rPr>
      <w:i/>
      <w:kern w:val="0"/>
      <w:sz w:val="22"/>
      <w:szCs w:val="20"/>
      <w:lang w:eastAsia="en-IE"/>
      <w14:ligatures w14:val="none"/>
    </w:rPr>
  </w:style>
  <w:style w:type="paragraph" w:customStyle="1" w:styleId="ChapterTitle">
    <w:name w:val="ChapterTitle"/>
    <w:basedOn w:val="Normal"/>
    <w:next w:val="SectionTitle"/>
    <w:uiPriority w:val="90"/>
    <w:qFormat/>
    <w:rsid w:val="00275D3E"/>
    <w:pPr>
      <w:keepNext/>
      <w:spacing w:after="480"/>
      <w:jc w:val="center"/>
      <w:outlineLvl w:val="0"/>
    </w:pPr>
    <w:rPr>
      <w:b/>
      <w:kern w:val="0"/>
      <w:sz w:val="32"/>
      <w:szCs w:val="20"/>
      <w:lang w:eastAsia="en-IE"/>
      <w14:ligatures w14:val="none"/>
    </w:rPr>
  </w:style>
  <w:style w:type="paragraph" w:customStyle="1" w:styleId="ConfidentialUE">
    <w:name w:val="Confidential UE"/>
    <w:basedOn w:val="Normal"/>
    <w:rsid w:val="00275D3E"/>
    <w:pPr>
      <w:jc w:val="center"/>
    </w:pPr>
    <w:rPr>
      <w:b/>
      <w:caps/>
      <w:kern w:val="0"/>
      <w:sz w:val="32"/>
      <w:szCs w:val="20"/>
      <w:bdr w:val="single" w:sz="18" w:space="0" w:color="auto"/>
      <w:lang w:eastAsia="en-IE"/>
      <w14:ligatures w14:val="none"/>
    </w:rPr>
  </w:style>
  <w:style w:type="paragraph" w:customStyle="1" w:styleId="Contact">
    <w:name w:val="Contact"/>
    <w:basedOn w:val="Normal"/>
    <w:uiPriority w:val="99"/>
    <w:rsid w:val="00275D3E"/>
    <w:pPr>
      <w:spacing w:before="480"/>
      <w:ind w:left="567" w:hanging="567"/>
      <w:contextualSpacing/>
    </w:pPr>
    <w:rPr>
      <w:kern w:val="0"/>
      <w:szCs w:val="20"/>
      <w:lang w:eastAsia="en-IE"/>
      <w14:ligatures w14:val="none"/>
    </w:rPr>
  </w:style>
  <w:style w:type="paragraph" w:customStyle="1" w:styleId="ContNum">
    <w:name w:val="ContNum"/>
    <w:basedOn w:val="Normal"/>
    <w:uiPriority w:val="90"/>
    <w:qFormat/>
    <w:rsid w:val="00275D3E"/>
    <w:pPr>
      <w:numPr>
        <w:numId w:val="17"/>
      </w:numPr>
      <w:spacing w:after="240"/>
      <w:jc w:val="both"/>
    </w:pPr>
    <w:rPr>
      <w:kern w:val="0"/>
      <w:szCs w:val="20"/>
      <w:lang w:eastAsia="en-IE"/>
      <w14:ligatures w14:val="none"/>
    </w:rPr>
  </w:style>
  <w:style w:type="paragraph" w:customStyle="1" w:styleId="ContNumLevel2">
    <w:name w:val="ContNum (Level 2)"/>
    <w:basedOn w:val="Normal"/>
    <w:rsid w:val="00275D3E"/>
    <w:pPr>
      <w:numPr>
        <w:ilvl w:val="1"/>
        <w:numId w:val="17"/>
      </w:numPr>
      <w:spacing w:after="240"/>
      <w:jc w:val="both"/>
    </w:pPr>
    <w:rPr>
      <w:kern w:val="0"/>
      <w:szCs w:val="20"/>
      <w:lang w:eastAsia="en-IE"/>
      <w14:ligatures w14:val="none"/>
    </w:rPr>
  </w:style>
  <w:style w:type="paragraph" w:customStyle="1" w:styleId="ContNumLevel3">
    <w:name w:val="ContNum (Level 3)"/>
    <w:basedOn w:val="Normal"/>
    <w:rsid w:val="00275D3E"/>
    <w:pPr>
      <w:numPr>
        <w:ilvl w:val="2"/>
        <w:numId w:val="17"/>
      </w:numPr>
      <w:spacing w:after="240"/>
      <w:jc w:val="both"/>
    </w:pPr>
    <w:rPr>
      <w:kern w:val="0"/>
      <w:szCs w:val="20"/>
      <w:lang w:eastAsia="en-IE"/>
      <w14:ligatures w14:val="none"/>
    </w:rPr>
  </w:style>
  <w:style w:type="paragraph" w:styleId="Date">
    <w:name w:val="Date"/>
    <w:basedOn w:val="Normal"/>
    <w:next w:val="References"/>
    <w:link w:val="DateChar"/>
    <w:rsid w:val="00275D3E"/>
    <w:pPr>
      <w:ind w:left="5102" w:right="-567"/>
    </w:pPr>
    <w:rPr>
      <w:kern w:val="0"/>
      <w:szCs w:val="20"/>
      <w:lang w:eastAsia="en-IE"/>
      <w14:ligatures w14:val="none"/>
    </w:rPr>
  </w:style>
  <w:style w:type="character" w:customStyle="1" w:styleId="DateChar">
    <w:name w:val="Date Char"/>
    <w:basedOn w:val="DefaultParagraphFont"/>
    <w:link w:val="Date"/>
    <w:rsid w:val="00275D3E"/>
    <w:rPr>
      <w:kern w:val="0"/>
      <w:sz w:val="24"/>
      <w:lang w:eastAsia="en-IE"/>
      <w14:ligatures w14:val="none"/>
    </w:rPr>
  </w:style>
  <w:style w:type="paragraph" w:customStyle="1" w:styleId="Designator">
    <w:name w:val="Designator"/>
    <w:basedOn w:val="Normal"/>
    <w:rsid w:val="00275D3E"/>
    <w:pPr>
      <w:jc w:val="center"/>
    </w:pPr>
    <w:rPr>
      <w:b/>
      <w:caps/>
      <w:kern w:val="0"/>
      <w:sz w:val="32"/>
      <w:szCs w:val="20"/>
      <w:lang w:eastAsia="en-IE"/>
      <w14:ligatures w14:val="none"/>
    </w:rPr>
  </w:style>
  <w:style w:type="paragraph" w:customStyle="1" w:styleId="DoubSign">
    <w:name w:val="DoubSign"/>
    <w:basedOn w:val="Normal"/>
    <w:rsid w:val="00275D3E"/>
    <w:pPr>
      <w:spacing w:before="1200"/>
    </w:pPr>
    <w:rPr>
      <w:kern w:val="0"/>
      <w:szCs w:val="20"/>
      <w:lang w:eastAsia="en-IE"/>
      <w14:ligatures w14:val="none"/>
    </w:rPr>
  </w:style>
  <w:style w:type="paragraph" w:customStyle="1" w:styleId="EmptyParagraph">
    <w:name w:val="Empty Paragraph"/>
    <w:basedOn w:val="Normal"/>
    <w:next w:val="Normal"/>
    <w:semiHidden/>
    <w:rsid w:val="00275D3E"/>
    <w:pPr>
      <w:spacing w:before="240" w:after="240"/>
      <w:jc w:val="both"/>
    </w:pPr>
    <w:rPr>
      <w:kern w:val="0"/>
      <w:szCs w:val="20"/>
      <w:lang w:eastAsia="en-IE"/>
      <w14:ligatures w14:val="none"/>
    </w:rPr>
  </w:style>
  <w:style w:type="paragraph" w:styleId="EndnoteText">
    <w:name w:val="endnote text"/>
    <w:basedOn w:val="Normal"/>
    <w:link w:val="EndnoteTextChar"/>
    <w:semiHidden/>
    <w:unhideWhenUsed/>
    <w:rsid w:val="00275D3E"/>
    <w:pPr>
      <w:spacing w:after="240"/>
      <w:jc w:val="both"/>
    </w:pPr>
    <w:rPr>
      <w:kern w:val="0"/>
      <w:sz w:val="20"/>
      <w:szCs w:val="20"/>
      <w:lang w:eastAsia="en-IE"/>
      <w14:ligatures w14:val="none"/>
    </w:rPr>
  </w:style>
  <w:style w:type="character" w:customStyle="1" w:styleId="EndnoteTextChar">
    <w:name w:val="Endnote Text Char"/>
    <w:basedOn w:val="DefaultParagraphFont"/>
    <w:link w:val="EndnoteText"/>
    <w:semiHidden/>
    <w:rsid w:val="00275D3E"/>
    <w:rPr>
      <w:kern w:val="0"/>
      <w:lang w:eastAsia="en-IE"/>
      <w14:ligatures w14:val="none"/>
    </w:rPr>
  </w:style>
  <w:style w:type="paragraph" w:customStyle="1" w:styleId="FigureBody">
    <w:name w:val="Figure Body"/>
    <w:basedOn w:val="Normal"/>
    <w:next w:val="FigureSource"/>
    <w:uiPriority w:val="7"/>
    <w:rsid w:val="00275D3E"/>
    <w:pPr>
      <w:keepNext/>
      <w:spacing w:after="40"/>
      <w:jc w:val="both"/>
    </w:pPr>
    <w:rPr>
      <w:kern w:val="0"/>
      <w:szCs w:val="20"/>
      <w:lang w:eastAsia="en-IE"/>
      <w14:ligatures w14:val="none"/>
    </w:rPr>
  </w:style>
  <w:style w:type="paragraph" w:customStyle="1" w:styleId="FigureBody1">
    <w:name w:val="Figure Body 1"/>
    <w:basedOn w:val="Text1"/>
    <w:next w:val="FigureSource1"/>
    <w:uiPriority w:val="2"/>
    <w:rsid w:val="00275D3E"/>
    <w:pPr>
      <w:keepNext/>
      <w:spacing w:after="40"/>
    </w:pPr>
  </w:style>
  <w:style w:type="paragraph" w:customStyle="1" w:styleId="FigureBody2">
    <w:name w:val="Figure Body 2"/>
    <w:basedOn w:val="Text2"/>
    <w:next w:val="FigureSource2"/>
    <w:uiPriority w:val="2"/>
    <w:rsid w:val="00275D3E"/>
    <w:pPr>
      <w:keepNext/>
      <w:spacing w:after="40"/>
    </w:pPr>
  </w:style>
  <w:style w:type="paragraph" w:customStyle="1" w:styleId="FigureBody3">
    <w:name w:val="Figure Body 3"/>
    <w:basedOn w:val="Text3"/>
    <w:next w:val="FigureSource3"/>
    <w:uiPriority w:val="2"/>
    <w:rsid w:val="00275D3E"/>
    <w:pPr>
      <w:keepNext/>
      <w:spacing w:after="40"/>
    </w:pPr>
  </w:style>
  <w:style w:type="paragraph" w:customStyle="1" w:styleId="FigureBody4">
    <w:name w:val="Figure Body 4"/>
    <w:basedOn w:val="Text4"/>
    <w:next w:val="FigureSource4"/>
    <w:uiPriority w:val="2"/>
    <w:rsid w:val="00275D3E"/>
    <w:pPr>
      <w:keepNext/>
      <w:spacing w:after="40"/>
    </w:pPr>
  </w:style>
  <w:style w:type="paragraph" w:customStyle="1" w:styleId="FigureSource">
    <w:name w:val="Figure Source"/>
    <w:basedOn w:val="Normal"/>
    <w:next w:val="Normal"/>
    <w:uiPriority w:val="7"/>
    <w:rsid w:val="00275D3E"/>
    <w:pPr>
      <w:spacing w:after="240"/>
      <w:jc w:val="both"/>
    </w:pPr>
    <w:rPr>
      <w:kern w:val="0"/>
      <w:sz w:val="20"/>
      <w:szCs w:val="20"/>
      <w:lang w:eastAsia="en-IE"/>
      <w14:ligatures w14:val="none"/>
    </w:rPr>
  </w:style>
  <w:style w:type="paragraph" w:customStyle="1" w:styleId="FigureSource1">
    <w:name w:val="Figure Source 1"/>
    <w:basedOn w:val="Text1"/>
    <w:next w:val="Text1"/>
    <w:uiPriority w:val="2"/>
    <w:rsid w:val="00275D3E"/>
    <w:rPr>
      <w:sz w:val="20"/>
    </w:rPr>
  </w:style>
  <w:style w:type="paragraph" w:customStyle="1" w:styleId="FigureSource2">
    <w:name w:val="Figure Source 2"/>
    <w:basedOn w:val="Text2"/>
    <w:next w:val="Text2"/>
    <w:uiPriority w:val="2"/>
    <w:rsid w:val="00275D3E"/>
    <w:rPr>
      <w:sz w:val="20"/>
    </w:rPr>
  </w:style>
  <w:style w:type="paragraph" w:customStyle="1" w:styleId="FigureSource3">
    <w:name w:val="Figure Source 3"/>
    <w:basedOn w:val="Text3"/>
    <w:next w:val="Text3"/>
    <w:uiPriority w:val="2"/>
    <w:rsid w:val="00275D3E"/>
    <w:rPr>
      <w:sz w:val="20"/>
    </w:rPr>
  </w:style>
  <w:style w:type="paragraph" w:customStyle="1" w:styleId="FigureSource4">
    <w:name w:val="Figure Source 4"/>
    <w:basedOn w:val="Text4"/>
    <w:next w:val="Text4"/>
    <w:uiPriority w:val="2"/>
    <w:rsid w:val="00275D3E"/>
    <w:rPr>
      <w:sz w:val="20"/>
    </w:rPr>
  </w:style>
  <w:style w:type="paragraph" w:customStyle="1" w:styleId="FigureTitle">
    <w:name w:val="Figure Title"/>
    <w:basedOn w:val="Normal"/>
    <w:next w:val="FigureBody"/>
    <w:uiPriority w:val="6"/>
    <w:rsid w:val="00275D3E"/>
    <w:pPr>
      <w:keepNext/>
      <w:spacing w:after="120"/>
      <w:jc w:val="both"/>
    </w:pPr>
    <w:rPr>
      <w:b/>
      <w:i/>
      <w:kern w:val="0"/>
      <w:szCs w:val="20"/>
      <w:lang w:eastAsia="en-IE"/>
      <w14:ligatures w14:val="none"/>
    </w:rPr>
  </w:style>
  <w:style w:type="paragraph" w:customStyle="1" w:styleId="FigureTitle1">
    <w:name w:val="Figure Title 1"/>
    <w:basedOn w:val="Text1"/>
    <w:next w:val="FigureBody1"/>
    <w:uiPriority w:val="2"/>
    <w:rsid w:val="00275D3E"/>
    <w:pPr>
      <w:keepNext/>
      <w:spacing w:after="120"/>
    </w:pPr>
    <w:rPr>
      <w:b/>
      <w:i/>
    </w:rPr>
  </w:style>
  <w:style w:type="paragraph" w:customStyle="1" w:styleId="FigureTitle2">
    <w:name w:val="Figure Title 2"/>
    <w:basedOn w:val="Text2"/>
    <w:next w:val="FigureBody2"/>
    <w:uiPriority w:val="2"/>
    <w:rsid w:val="00275D3E"/>
    <w:pPr>
      <w:keepNext/>
      <w:spacing w:after="120"/>
    </w:pPr>
    <w:rPr>
      <w:b/>
      <w:i/>
    </w:rPr>
  </w:style>
  <w:style w:type="paragraph" w:customStyle="1" w:styleId="FigureTitle3">
    <w:name w:val="Figure Title 3"/>
    <w:basedOn w:val="Text3"/>
    <w:next w:val="FigureBody3"/>
    <w:uiPriority w:val="2"/>
    <w:rsid w:val="00275D3E"/>
    <w:pPr>
      <w:keepNext/>
      <w:spacing w:after="120"/>
    </w:pPr>
    <w:rPr>
      <w:b/>
      <w:i/>
    </w:rPr>
  </w:style>
  <w:style w:type="paragraph" w:customStyle="1" w:styleId="FigureTitle4">
    <w:name w:val="Figure Title 4"/>
    <w:basedOn w:val="Text4"/>
    <w:next w:val="FigureBody4"/>
    <w:uiPriority w:val="2"/>
    <w:rsid w:val="00275D3E"/>
    <w:pPr>
      <w:keepNext/>
      <w:spacing w:after="120"/>
    </w:pPr>
    <w:rPr>
      <w:b/>
      <w:i/>
    </w:rPr>
  </w:style>
  <w:style w:type="paragraph" w:customStyle="1" w:styleId="FooterLine">
    <w:name w:val="Footer Line"/>
    <w:basedOn w:val="Footer"/>
    <w:next w:val="Footer"/>
    <w:uiPriority w:val="99"/>
    <w:rsid w:val="00275D3E"/>
    <w:pPr>
      <w:tabs>
        <w:tab w:val="clear" w:pos="4513"/>
        <w:tab w:val="clear" w:pos="9026"/>
        <w:tab w:val="right" w:pos="8646"/>
      </w:tabs>
      <w:spacing w:before="120" w:line="264" w:lineRule="auto"/>
      <w:jc w:val="both"/>
    </w:pPr>
    <w:rPr>
      <w:kern w:val="0"/>
      <w:sz w:val="16"/>
      <w:szCs w:val="20"/>
      <w:lang w:eastAsia="en-IE"/>
      <w14:ligatures w14:val="none"/>
    </w:rPr>
  </w:style>
  <w:style w:type="paragraph" w:styleId="FootnoteText">
    <w:name w:val="footnote text"/>
    <w:aliases w:val="Footnote text, Char, Char1, Char1 Char, Char2, Char3, Char11, Char1 Char2, Char21, Char4, Char12, Char1 Char3, Char22, Char5, Char13, Char1 Char4, Char23, Char6, Char14, Char1 Char5, Char24, Char7, Char15, Char1 Char6, Char25, Char8,fn,ft"/>
    <w:basedOn w:val="Normal"/>
    <w:link w:val="FootnoteTextChar"/>
    <w:uiPriority w:val="99"/>
    <w:unhideWhenUsed/>
    <w:qFormat/>
    <w:rsid w:val="00275D3E"/>
    <w:pPr>
      <w:spacing w:after="120"/>
      <w:ind w:left="357" w:hanging="357"/>
      <w:jc w:val="both"/>
    </w:pPr>
    <w:rPr>
      <w:kern w:val="0"/>
      <w:sz w:val="20"/>
      <w:szCs w:val="20"/>
      <w:lang w:eastAsia="en-IE"/>
      <w14:ligatures w14:val="none"/>
    </w:rPr>
  </w:style>
  <w:style w:type="character" w:customStyle="1" w:styleId="FootnoteTextChar">
    <w:name w:val="Footnote Text Char"/>
    <w:aliases w:val="Footnote text Char, Char Char, Char1 Char1, Char1 Char Char, Char2 Char, Char3 Char, Char11 Char, Char1 Char2 Char, Char21 Char, Char4 Char, Char12 Char, Char1 Char3 Char, Char22 Char, Char5 Char, Char13 Char, Char1 Char4 Char,fn Char"/>
    <w:basedOn w:val="DefaultParagraphFont"/>
    <w:link w:val="FootnoteText"/>
    <w:uiPriority w:val="99"/>
    <w:qFormat/>
    <w:rsid w:val="00275D3E"/>
    <w:rPr>
      <w:kern w:val="0"/>
      <w:lang w:eastAsia="en-IE"/>
      <w14:ligatures w14:val="none"/>
    </w:rPr>
  </w:style>
  <w:style w:type="paragraph" w:customStyle="1" w:styleId="HistoryTable">
    <w:name w:val="HistoryTable"/>
    <w:basedOn w:val="Normal"/>
    <w:rsid w:val="00275D3E"/>
    <w:pPr>
      <w:spacing w:before="60" w:after="60"/>
    </w:pPr>
    <w:rPr>
      <w:kern w:val="0"/>
      <w:sz w:val="20"/>
      <w:szCs w:val="20"/>
      <w:lang w:eastAsia="en-IE"/>
      <w14:ligatures w14:val="none"/>
    </w:rPr>
  </w:style>
  <w:style w:type="paragraph" w:customStyle="1" w:styleId="HistTableHeading">
    <w:name w:val="HistTableHeading"/>
    <w:basedOn w:val="Normal"/>
    <w:next w:val="HistoryTable"/>
    <w:rsid w:val="00275D3E"/>
    <w:pPr>
      <w:spacing w:before="240" w:after="240"/>
      <w:jc w:val="center"/>
    </w:pPr>
    <w:rPr>
      <w:rFonts w:ascii="Times New Roman Bold" w:hAnsi="Times New Roman Bold"/>
      <w:b/>
      <w:caps/>
      <w:kern w:val="0"/>
      <w:szCs w:val="20"/>
      <w:lang w:eastAsia="en-IE"/>
      <w14:ligatures w14:val="none"/>
    </w:rPr>
  </w:style>
  <w:style w:type="paragraph" w:customStyle="1" w:styleId="LegalNumPar">
    <w:name w:val="LegalNumPar"/>
    <w:basedOn w:val="Normal"/>
    <w:link w:val="LegalNumParChar"/>
    <w:qFormat/>
    <w:rsid w:val="00275D3E"/>
    <w:pPr>
      <w:numPr>
        <w:numId w:val="16"/>
      </w:numPr>
      <w:spacing w:after="240" w:line="360" w:lineRule="auto"/>
      <w:jc w:val="both"/>
    </w:pPr>
    <w:rPr>
      <w:kern w:val="0"/>
      <w:szCs w:val="20"/>
      <w:lang w:eastAsia="en-IE"/>
      <w14:ligatures w14:val="none"/>
    </w:rPr>
  </w:style>
  <w:style w:type="paragraph" w:customStyle="1" w:styleId="LegalNumPar2">
    <w:name w:val="LegalNumPar2"/>
    <w:basedOn w:val="Normal"/>
    <w:rsid w:val="00275D3E"/>
    <w:pPr>
      <w:numPr>
        <w:ilvl w:val="1"/>
        <w:numId w:val="16"/>
      </w:numPr>
      <w:spacing w:after="240" w:line="360" w:lineRule="auto"/>
      <w:jc w:val="both"/>
    </w:pPr>
    <w:rPr>
      <w:kern w:val="0"/>
      <w:szCs w:val="20"/>
      <w:lang w:eastAsia="en-IE"/>
      <w14:ligatures w14:val="none"/>
    </w:rPr>
  </w:style>
  <w:style w:type="paragraph" w:customStyle="1" w:styleId="LegalNumPar3">
    <w:name w:val="LegalNumPar3"/>
    <w:basedOn w:val="Normal"/>
    <w:rsid w:val="00275D3E"/>
    <w:pPr>
      <w:numPr>
        <w:ilvl w:val="2"/>
        <w:numId w:val="16"/>
      </w:numPr>
      <w:spacing w:after="240" w:line="360" w:lineRule="auto"/>
      <w:jc w:val="both"/>
    </w:pPr>
    <w:rPr>
      <w:kern w:val="0"/>
      <w:szCs w:val="20"/>
      <w:lang w:eastAsia="en-IE"/>
      <w14:ligatures w14:val="none"/>
    </w:rPr>
  </w:style>
  <w:style w:type="paragraph" w:styleId="ListBullet">
    <w:name w:val="List Bullet"/>
    <w:basedOn w:val="Normal"/>
    <w:rsid w:val="00275D3E"/>
    <w:pPr>
      <w:numPr>
        <w:numId w:val="15"/>
      </w:numPr>
      <w:spacing w:after="240"/>
      <w:jc w:val="both"/>
    </w:pPr>
    <w:rPr>
      <w:kern w:val="0"/>
      <w:szCs w:val="20"/>
      <w:lang w:eastAsia="en-IE"/>
      <w14:ligatures w14:val="none"/>
    </w:rPr>
  </w:style>
  <w:style w:type="paragraph" w:customStyle="1" w:styleId="ListBulletLevel2">
    <w:name w:val="List Bullet (Level 2)"/>
    <w:basedOn w:val="Normal"/>
    <w:rsid w:val="00275D3E"/>
    <w:pPr>
      <w:numPr>
        <w:ilvl w:val="1"/>
        <w:numId w:val="15"/>
      </w:numPr>
      <w:spacing w:after="240"/>
      <w:jc w:val="both"/>
    </w:pPr>
    <w:rPr>
      <w:kern w:val="0"/>
      <w:szCs w:val="20"/>
      <w:lang w:eastAsia="en-IE"/>
      <w14:ligatures w14:val="none"/>
    </w:rPr>
  </w:style>
  <w:style w:type="paragraph" w:customStyle="1" w:styleId="ListBulletLevel3">
    <w:name w:val="List Bullet (Level 3)"/>
    <w:basedOn w:val="Normal"/>
    <w:semiHidden/>
    <w:unhideWhenUsed/>
    <w:rsid w:val="00275D3E"/>
    <w:pPr>
      <w:numPr>
        <w:ilvl w:val="2"/>
        <w:numId w:val="15"/>
      </w:numPr>
      <w:spacing w:after="240"/>
      <w:jc w:val="both"/>
    </w:pPr>
    <w:rPr>
      <w:kern w:val="0"/>
      <w:szCs w:val="20"/>
      <w:lang w:eastAsia="en-IE"/>
      <w14:ligatures w14:val="none"/>
    </w:rPr>
  </w:style>
  <w:style w:type="paragraph" w:customStyle="1" w:styleId="ListBulletLevel4">
    <w:name w:val="List Bullet (Level 4)"/>
    <w:basedOn w:val="Normal"/>
    <w:semiHidden/>
    <w:unhideWhenUsed/>
    <w:rsid w:val="00275D3E"/>
    <w:pPr>
      <w:numPr>
        <w:ilvl w:val="3"/>
        <w:numId w:val="15"/>
      </w:numPr>
      <w:spacing w:after="240"/>
      <w:jc w:val="both"/>
    </w:pPr>
    <w:rPr>
      <w:kern w:val="0"/>
      <w:szCs w:val="20"/>
      <w:lang w:eastAsia="en-IE"/>
      <w14:ligatures w14:val="none"/>
    </w:rPr>
  </w:style>
  <w:style w:type="paragraph" w:customStyle="1" w:styleId="ListBullet1">
    <w:name w:val="List Bullet 1"/>
    <w:basedOn w:val="Text1"/>
    <w:rsid w:val="00275D3E"/>
    <w:pPr>
      <w:numPr>
        <w:numId w:val="14"/>
      </w:numPr>
    </w:pPr>
  </w:style>
  <w:style w:type="paragraph" w:customStyle="1" w:styleId="ListBullet1Level2">
    <w:name w:val="List Bullet 1 (Level 2)"/>
    <w:basedOn w:val="Text1"/>
    <w:rsid w:val="00275D3E"/>
    <w:pPr>
      <w:numPr>
        <w:ilvl w:val="1"/>
        <w:numId w:val="14"/>
      </w:numPr>
    </w:pPr>
  </w:style>
  <w:style w:type="paragraph" w:customStyle="1" w:styleId="ListBullet1Level3">
    <w:name w:val="List Bullet 1 (Level 3)"/>
    <w:basedOn w:val="Text1"/>
    <w:semiHidden/>
    <w:unhideWhenUsed/>
    <w:rsid w:val="00275D3E"/>
    <w:pPr>
      <w:numPr>
        <w:ilvl w:val="2"/>
        <w:numId w:val="14"/>
      </w:numPr>
    </w:pPr>
  </w:style>
  <w:style w:type="paragraph" w:customStyle="1" w:styleId="ListBullet1Level4">
    <w:name w:val="List Bullet 1 (Level 4)"/>
    <w:basedOn w:val="Text1"/>
    <w:semiHidden/>
    <w:unhideWhenUsed/>
    <w:rsid w:val="00275D3E"/>
    <w:pPr>
      <w:numPr>
        <w:ilvl w:val="3"/>
        <w:numId w:val="14"/>
      </w:numPr>
    </w:pPr>
  </w:style>
  <w:style w:type="paragraph" w:styleId="ListBullet2">
    <w:name w:val="List Bullet 2"/>
    <w:basedOn w:val="Text2"/>
    <w:rsid w:val="00275D3E"/>
    <w:pPr>
      <w:numPr>
        <w:numId w:val="13"/>
      </w:numPr>
    </w:pPr>
  </w:style>
  <w:style w:type="paragraph" w:customStyle="1" w:styleId="ListBullet2Level2">
    <w:name w:val="List Bullet 2 (Level 2)"/>
    <w:basedOn w:val="Text2"/>
    <w:rsid w:val="00275D3E"/>
    <w:pPr>
      <w:numPr>
        <w:ilvl w:val="1"/>
        <w:numId w:val="13"/>
      </w:numPr>
    </w:pPr>
  </w:style>
  <w:style w:type="paragraph" w:customStyle="1" w:styleId="ListBullet2Level3">
    <w:name w:val="List Bullet 2 (Level 3)"/>
    <w:basedOn w:val="Text2"/>
    <w:semiHidden/>
    <w:unhideWhenUsed/>
    <w:rsid w:val="00275D3E"/>
    <w:pPr>
      <w:numPr>
        <w:ilvl w:val="2"/>
        <w:numId w:val="13"/>
      </w:numPr>
    </w:pPr>
  </w:style>
  <w:style w:type="paragraph" w:customStyle="1" w:styleId="ListBullet2Level4">
    <w:name w:val="List Bullet 2 (Level 4)"/>
    <w:basedOn w:val="Text2"/>
    <w:semiHidden/>
    <w:unhideWhenUsed/>
    <w:rsid w:val="00275D3E"/>
    <w:pPr>
      <w:numPr>
        <w:ilvl w:val="3"/>
        <w:numId w:val="13"/>
      </w:numPr>
    </w:pPr>
  </w:style>
  <w:style w:type="paragraph" w:styleId="ListBullet3">
    <w:name w:val="List Bullet 3"/>
    <w:basedOn w:val="Text3"/>
    <w:rsid w:val="00275D3E"/>
    <w:pPr>
      <w:numPr>
        <w:numId w:val="12"/>
      </w:numPr>
    </w:pPr>
  </w:style>
  <w:style w:type="paragraph" w:customStyle="1" w:styleId="ListBullet3Level2">
    <w:name w:val="List Bullet 3 (Level 2)"/>
    <w:basedOn w:val="Text3"/>
    <w:rsid w:val="00275D3E"/>
    <w:pPr>
      <w:numPr>
        <w:ilvl w:val="1"/>
        <w:numId w:val="12"/>
      </w:numPr>
    </w:pPr>
  </w:style>
  <w:style w:type="paragraph" w:customStyle="1" w:styleId="ListBullet3Level3">
    <w:name w:val="List Bullet 3 (Level 3)"/>
    <w:basedOn w:val="Text3"/>
    <w:semiHidden/>
    <w:unhideWhenUsed/>
    <w:rsid w:val="00275D3E"/>
    <w:pPr>
      <w:numPr>
        <w:ilvl w:val="2"/>
        <w:numId w:val="12"/>
      </w:numPr>
    </w:pPr>
  </w:style>
  <w:style w:type="paragraph" w:customStyle="1" w:styleId="ListBullet3Level4">
    <w:name w:val="List Bullet 3 (Level 4)"/>
    <w:basedOn w:val="Text3"/>
    <w:semiHidden/>
    <w:unhideWhenUsed/>
    <w:rsid w:val="00275D3E"/>
    <w:pPr>
      <w:numPr>
        <w:ilvl w:val="3"/>
        <w:numId w:val="12"/>
      </w:numPr>
    </w:pPr>
  </w:style>
  <w:style w:type="paragraph" w:styleId="ListBullet4">
    <w:name w:val="List Bullet 4"/>
    <w:basedOn w:val="Text4"/>
    <w:rsid w:val="00275D3E"/>
    <w:pPr>
      <w:numPr>
        <w:numId w:val="11"/>
      </w:numPr>
    </w:pPr>
  </w:style>
  <w:style w:type="paragraph" w:customStyle="1" w:styleId="ListBullet4Level2">
    <w:name w:val="List Bullet 4 (Level 2)"/>
    <w:basedOn w:val="Text4"/>
    <w:rsid w:val="00275D3E"/>
    <w:pPr>
      <w:numPr>
        <w:ilvl w:val="1"/>
        <w:numId w:val="11"/>
      </w:numPr>
    </w:pPr>
  </w:style>
  <w:style w:type="paragraph" w:customStyle="1" w:styleId="ListBullet4Level3">
    <w:name w:val="List Bullet 4 (Level 3)"/>
    <w:basedOn w:val="Text4"/>
    <w:semiHidden/>
    <w:unhideWhenUsed/>
    <w:rsid w:val="00275D3E"/>
    <w:pPr>
      <w:numPr>
        <w:ilvl w:val="2"/>
        <w:numId w:val="11"/>
      </w:numPr>
    </w:pPr>
  </w:style>
  <w:style w:type="paragraph" w:customStyle="1" w:styleId="ListBullet4Level4">
    <w:name w:val="List Bullet 4 (Level 4)"/>
    <w:basedOn w:val="Text4"/>
    <w:semiHidden/>
    <w:unhideWhenUsed/>
    <w:rsid w:val="00275D3E"/>
    <w:pPr>
      <w:numPr>
        <w:ilvl w:val="3"/>
        <w:numId w:val="11"/>
      </w:numPr>
    </w:pPr>
  </w:style>
  <w:style w:type="paragraph" w:customStyle="1" w:styleId="ListDash">
    <w:name w:val="List Dash"/>
    <w:basedOn w:val="Normal"/>
    <w:rsid w:val="00275D3E"/>
    <w:pPr>
      <w:numPr>
        <w:numId w:val="5"/>
      </w:numPr>
      <w:spacing w:after="240"/>
      <w:jc w:val="both"/>
    </w:pPr>
    <w:rPr>
      <w:kern w:val="0"/>
      <w:szCs w:val="20"/>
      <w:lang w:eastAsia="en-IE"/>
      <w14:ligatures w14:val="none"/>
    </w:rPr>
  </w:style>
  <w:style w:type="paragraph" w:customStyle="1" w:styleId="ListDashLevel2">
    <w:name w:val="List Dash (Level 2)"/>
    <w:basedOn w:val="Normal"/>
    <w:rsid w:val="00275D3E"/>
    <w:pPr>
      <w:numPr>
        <w:ilvl w:val="1"/>
        <w:numId w:val="5"/>
      </w:numPr>
      <w:spacing w:after="240"/>
      <w:jc w:val="both"/>
    </w:pPr>
    <w:rPr>
      <w:kern w:val="0"/>
      <w:szCs w:val="20"/>
      <w:lang w:eastAsia="en-IE"/>
      <w14:ligatures w14:val="none"/>
    </w:rPr>
  </w:style>
  <w:style w:type="paragraph" w:customStyle="1" w:styleId="ListDashLevel3">
    <w:name w:val="List Dash (Level 3)"/>
    <w:basedOn w:val="Normal"/>
    <w:semiHidden/>
    <w:unhideWhenUsed/>
    <w:rsid w:val="00275D3E"/>
    <w:pPr>
      <w:numPr>
        <w:ilvl w:val="2"/>
        <w:numId w:val="5"/>
      </w:numPr>
      <w:spacing w:after="240"/>
      <w:jc w:val="both"/>
    </w:pPr>
    <w:rPr>
      <w:kern w:val="0"/>
      <w:szCs w:val="20"/>
      <w:lang w:eastAsia="en-IE"/>
      <w14:ligatures w14:val="none"/>
    </w:rPr>
  </w:style>
  <w:style w:type="paragraph" w:customStyle="1" w:styleId="ListDashLevel4">
    <w:name w:val="List Dash (Level 4)"/>
    <w:basedOn w:val="Normal"/>
    <w:semiHidden/>
    <w:unhideWhenUsed/>
    <w:rsid w:val="00275D3E"/>
    <w:pPr>
      <w:numPr>
        <w:ilvl w:val="3"/>
        <w:numId w:val="5"/>
      </w:numPr>
      <w:spacing w:after="240"/>
      <w:jc w:val="both"/>
    </w:pPr>
    <w:rPr>
      <w:kern w:val="0"/>
      <w:szCs w:val="20"/>
      <w:lang w:eastAsia="en-IE"/>
      <w14:ligatures w14:val="none"/>
    </w:rPr>
  </w:style>
  <w:style w:type="paragraph" w:customStyle="1" w:styleId="ListDash1">
    <w:name w:val="List Dash 1"/>
    <w:basedOn w:val="Text1"/>
    <w:rsid w:val="00275D3E"/>
    <w:pPr>
      <w:numPr>
        <w:numId w:val="4"/>
      </w:numPr>
    </w:pPr>
  </w:style>
  <w:style w:type="paragraph" w:customStyle="1" w:styleId="ListDash1Level2">
    <w:name w:val="List Dash 1 (Level 2)"/>
    <w:basedOn w:val="Text1"/>
    <w:rsid w:val="00275D3E"/>
    <w:pPr>
      <w:numPr>
        <w:ilvl w:val="1"/>
        <w:numId w:val="4"/>
      </w:numPr>
    </w:pPr>
  </w:style>
  <w:style w:type="paragraph" w:customStyle="1" w:styleId="ListDash1Level3">
    <w:name w:val="List Dash 1 (Level 3)"/>
    <w:basedOn w:val="Text1"/>
    <w:semiHidden/>
    <w:unhideWhenUsed/>
    <w:rsid w:val="00275D3E"/>
    <w:pPr>
      <w:numPr>
        <w:ilvl w:val="2"/>
        <w:numId w:val="4"/>
      </w:numPr>
    </w:pPr>
  </w:style>
  <w:style w:type="paragraph" w:customStyle="1" w:styleId="ListDash1Level4">
    <w:name w:val="List Dash 1 (Level 4)"/>
    <w:basedOn w:val="Text1"/>
    <w:semiHidden/>
    <w:unhideWhenUsed/>
    <w:rsid w:val="00275D3E"/>
    <w:pPr>
      <w:numPr>
        <w:ilvl w:val="3"/>
        <w:numId w:val="4"/>
      </w:numPr>
    </w:pPr>
  </w:style>
  <w:style w:type="paragraph" w:customStyle="1" w:styleId="ListDash2">
    <w:name w:val="List Dash 2"/>
    <w:basedOn w:val="Text2"/>
    <w:rsid w:val="00275D3E"/>
    <w:pPr>
      <w:numPr>
        <w:numId w:val="3"/>
      </w:numPr>
    </w:pPr>
  </w:style>
  <w:style w:type="paragraph" w:customStyle="1" w:styleId="ListDash2Level2">
    <w:name w:val="List Dash 2 (Level 2)"/>
    <w:basedOn w:val="Text2"/>
    <w:rsid w:val="00275D3E"/>
    <w:pPr>
      <w:numPr>
        <w:ilvl w:val="1"/>
        <w:numId w:val="3"/>
      </w:numPr>
    </w:pPr>
  </w:style>
  <w:style w:type="paragraph" w:customStyle="1" w:styleId="ListDash2Level3">
    <w:name w:val="List Dash 2 (Level 3)"/>
    <w:basedOn w:val="Text2"/>
    <w:semiHidden/>
    <w:unhideWhenUsed/>
    <w:rsid w:val="00275D3E"/>
    <w:pPr>
      <w:numPr>
        <w:ilvl w:val="2"/>
        <w:numId w:val="3"/>
      </w:numPr>
    </w:pPr>
  </w:style>
  <w:style w:type="paragraph" w:customStyle="1" w:styleId="ListDash2Level4">
    <w:name w:val="List Dash 2 (Level 4)"/>
    <w:basedOn w:val="Text2"/>
    <w:semiHidden/>
    <w:unhideWhenUsed/>
    <w:rsid w:val="00275D3E"/>
    <w:pPr>
      <w:numPr>
        <w:ilvl w:val="3"/>
        <w:numId w:val="3"/>
      </w:numPr>
    </w:pPr>
  </w:style>
  <w:style w:type="paragraph" w:customStyle="1" w:styleId="ListDash3">
    <w:name w:val="List Dash 3"/>
    <w:basedOn w:val="Text3"/>
    <w:rsid w:val="00275D3E"/>
    <w:pPr>
      <w:numPr>
        <w:numId w:val="2"/>
      </w:numPr>
    </w:pPr>
  </w:style>
  <w:style w:type="paragraph" w:customStyle="1" w:styleId="ListDash3Level2">
    <w:name w:val="List Dash 3 (Level 2)"/>
    <w:basedOn w:val="Text3"/>
    <w:rsid w:val="00275D3E"/>
    <w:pPr>
      <w:numPr>
        <w:ilvl w:val="1"/>
        <w:numId w:val="2"/>
      </w:numPr>
    </w:pPr>
  </w:style>
  <w:style w:type="paragraph" w:customStyle="1" w:styleId="ListDash3Level3">
    <w:name w:val="List Dash 3 (Level 3)"/>
    <w:basedOn w:val="Text3"/>
    <w:semiHidden/>
    <w:unhideWhenUsed/>
    <w:rsid w:val="00275D3E"/>
    <w:pPr>
      <w:numPr>
        <w:ilvl w:val="2"/>
        <w:numId w:val="2"/>
      </w:numPr>
    </w:pPr>
  </w:style>
  <w:style w:type="paragraph" w:customStyle="1" w:styleId="ListDash3Level4">
    <w:name w:val="List Dash 3 (Level 4)"/>
    <w:basedOn w:val="Text3"/>
    <w:semiHidden/>
    <w:unhideWhenUsed/>
    <w:rsid w:val="00275D3E"/>
    <w:pPr>
      <w:numPr>
        <w:ilvl w:val="3"/>
        <w:numId w:val="2"/>
      </w:numPr>
    </w:pPr>
  </w:style>
  <w:style w:type="paragraph" w:customStyle="1" w:styleId="ListDash4">
    <w:name w:val="List Dash 4"/>
    <w:basedOn w:val="Text4"/>
    <w:rsid w:val="00275D3E"/>
    <w:pPr>
      <w:numPr>
        <w:numId w:val="1"/>
      </w:numPr>
    </w:pPr>
  </w:style>
  <w:style w:type="paragraph" w:customStyle="1" w:styleId="ListDash4Level2">
    <w:name w:val="List Dash 4 (Level 2)"/>
    <w:basedOn w:val="Text4"/>
    <w:rsid w:val="00275D3E"/>
    <w:pPr>
      <w:numPr>
        <w:ilvl w:val="1"/>
        <w:numId w:val="1"/>
      </w:numPr>
    </w:pPr>
  </w:style>
  <w:style w:type="paragraph" w:customStyle="1" w:styleId="ListDash4Level3">
    <w:name w:val="List Dash 4 (Level 3)"/>
    <w:basedOn w:val="Text4"/>
    <w:semiHidden/>
    <w:unhideWhenUsed/>
    <w:rsid w:val="00275D3E"/>
    <w:pPr>
      <w:numPr>
        <w:ilvl w:val="2"/>
        <w:numId w:val="1"/>
      </w:numPr>
    </w:pPr>
  </w:style>
  <w:style w:type="paragraph" w:customStyle="1" w:styleId="ListDash4Level4">
    <w:name w:val="List Dash 4 (Level 4)"/>
    <w:basedOn w:val="Text4"/>
    <w:semiHidden/>
    <w:unhideWhenUsed/>
    <w:rsid w:val="00275D3E"/>
    <w:pPr>
      <w:numPr>
        <w:ilvl w:val="3"/>
        <w:numId w:val="1"/>
      </w:numPr>
    </w:pPr>
  </w:style>
  <w:style w:type="paragraph" w:styleId="ListNumber">
    <w:name w:val="List Number"/>
    <w:basedOn w:val="Normal"/>
    <w:rsid w:val="00275D3E"/>
    <w:pPr>
      <w:numPr>
        <w:numId w:val="10"/>
      </w:numPr>
      <w:spacing w:after="240"/>
      <w:jc w:val="both"/>
    </w:pPr>
    <w:rPr>
      <w:kern w:val="0"/>
      <w:szCs w:val="20"/>
      <w:lang w:eastAsia="en-IE"/>
      <w14:ligatures w14:val="none"/>
    </w:rPr>
  </w:style>
  <w:style w:type="paragraph" w:customStyle="1" w:styleId="ListNumberLevel2">
    <w:name w:val="List Number (Level 2)"/>
    <w:basedOn w:val="Normal"/>
    <w:rsid w:val="00275D3E"/>
    <w:pPr>
      <w:numPr>
        <w:ilvl w:val="1"/>
        <w:numId w:val="10"/>
      </w:numPr>
      <w:spacing w:after="240"/>
      <w:jc w:val="both"/>
    </w:pPr>
    <w:rPr>
      <w:kern w:val="0"/>
      <w:szCs w:val="20"/>
      <w:lang w:eastAsia="en-IE"/>
      <w14:ligatures w14:val="none"/>
    </w:rPr>
  </w:style>
  <w:style w:type="paragraph" w:customStyle="1" w:styleId="ListNumberLevel3">
    <w:name w:val="List Number (Level 3)"/>
    <w:basedOn w:val="Normal"/>
    <w:semiHidden/>
    <w:unhideWhenUsed/>
    <w:rsid w:val="00275D3E"/>
    <w:pPr>
      <w:numPr>
        <w:ilvl w:val="2"/>
        <w:numId w:val="10"/>
      </w:numPr>
      <w:spacing w:after="240"/>
      <w:jc w:val="both"/>
    </w:pPr>
    <w:rPr>
      <w:kern w:val="0"/>
      <w:szCs w:val="20"/>
      <w:lang w:eastAsia="en-IE"/>
      <w14:ligatures w14:val="none"/>
    </w:rPr>
  </w:style>
  <w:style w:type="paragraph" w:customStyle="1" w:styleId="ListNumberLevel4">
    <w:name w:val="List Number (Level 4)"/>
    <w:basedOn w:val="Normal"/>
    <w:semiHidden/>
    <w:unhideWhenUsed/>
    <w:rsid w:val="00275D3E"/>
    <w:pPr>
      <w:numPr>
        <w:ilvl w:val="3"/>
        <w:numId w:val="10"/>
      </w:numPr>
      <w:spacing w:after="240"/>
      <w:jc w:val="both"/>
    </w:pPr>
    <w:rPr>
      <w:kern w:val="0"/>
      <w:szCs w:val="20"/>
      <w:lang w:eastAsia="en-IE"/>
      <w14:ligatures w14:val="none"/>
    </w:rPr>
  </w:style>
  <w:style w:type="paragraph" w:customStyle="1" w:styleId="ListNumber1">
    <w:name w:val="List Number 1"/>
    <w:basedOn w:val="Text1"/>
    <w:rsid w:val="00275D3E"/>
    <w:pPr>
      <w:numPr>
        <w:numId w:val="9"/>
      </w:numPr>
    </w:pPr>
  </w:style>
  <w:style w:type="paragraph" w:customStyle="1" w:styleId="ListNumber1Level2">
    <w:name w:val="List Number 1 (Level 2)"/>
    <w:basedOn w:val="Text1"/>
    <w:rsid w:val="00275D3E"/>
    <w:pPr>
      <w:numPr>
        <w:ilvl w:val="1"/>
        <w:numId w:val="9"/>
      </w:numPr>
    </w:pPr>
  </w:style>
  <w:style w:type="paragraph" w:customStyle="1" w:styleId="ListNumber1Level3">
    <w:name w:val="List Number 1 (Level 3)"/>
    <w:basedOn w:val="Text1"/>
    <w:semiHidden/>
    <w:unhideWhenUsed/>
    <w:rsid w:val="00275D3E"/>
    <w:pPr>
      <w:numPr>
        <w:ilvl w:val="2"/>
        <w:numId w:val="9"/>
      </w:numPr>
    </w:pPr>
  </w:style>
  <w:style w:type="paragraph" w:customStyle="1" w:styleId="ListNumber1Level4">
    <w:name w:val="List Number 1 (Level 4)"/>
    <w:basedOn w:val="Text1"/>
    <w:semiHidden/>
    <w:unhideWhenUsed/>
    <w:rsid w:val="00275D3E"/>
    <w:pPr>
      <w:numPr>
        <w:ilvl w:val="3"/>
        <w:numId w:val="9"/>
      </w:numPr>
    </w:pPr>
  </w:style>
  <w:style w:type="paragraph" w:styleId="ListNumber2">
    <w:name w:val="List Number 2"/>
    <w:basedOn w:val="Text2"/>
    <w:rsid w:val="00275D3E"/>
    <w:pPr>
      <w:numPr>
        <w:numId w:val="8"/>
      </w:numPr>
    </w:pPr>
  </w:style>
  <w:style w:type="paragraph" w:customStyle="1" w:styleId="ListNumber2Level2">
    <w:name w:val="List Number 2 (Level 2)"/>
    <w:basedOn w:val="Text2"/>
    <w:rsid w:val="00275D3E"/>
    <w:pPr>
      <w:numPr>
        <w:ilvl w:val="1"/>
        <w:numId w:val="8"/>
      </w:numPr>
    </w:pPr>
  </w:style>
  <w:style w:type="paragraph" w:customStyle="1" w:styleId="ListNumber2Level3">
    <w:name w:val="List Number 2 (Level 3)"/>
    <w:basedOn w:val="Text2"/>
    <w:semiHidden/>
    <w:unhideWhenUsed/>
    <w:rsid w:val="00275D3E"/>
    <w:pPr>
      <w:numPr>
        <w:ilvl w:val="2"/>
        <w:numId w:val="8"/>
      </w:numPr>
    </w:pPr>
  </w:style>
  <w:style w:type="paragraph" w:customStyle="1" w:styleId="ListNumber2Level4">
    <w:name w:val="List Number 2 (Level 4)"/>
    <w:basedOn w:val="Text2"/>
    <w:semiHidden/>
    <w:unhideWhenUsed/>
    <w:rsid w:val="00275D3E"/>
    <w:pPr>
      <w:numPr>
        <w:ilvl w:val="3"/>
        <w:numId w:val="8"/>
      </w:numPr>
    </w:pPr>
  </w:style>
  <w:style w:type="paragraph" w:styleId="ListNumber3">
    <w:name w:val="List Number 3"/>
    <w:basedOn w:val="Text3"/>
    <w:rsid w:val="00275D3E"/>
    <w:pPr>
      <w:numPr>
        <w:numId w:val="7"/>
      </w:numPr>
    </w:pPr>
  </w:style>
  <w:style w:type="paragraph" w:customStyle="1" w:styleId="ListNumber3Level2">
    <w:name w:val="List Number 3 (Level 2)"/>
    <w:basedOn w:val="Text3"/>
    <w:rsid w:val="00275D3E"/>
    <w:pPr>
      <w:numPr>
        <w:ilvl w:val="1"/>
        <w:numId w:val="7"/>
      </w:numPr>
    </w:pPr>
  </w:style>
  <w:style w:type="paragraph" w:customStyle="1" w:styleId="ListNumber3Level3">
    <w:name w:val="List Number 3 (Level 3)"/>
    <w:basedOn w:val="Text3"/>
    <w:semiHidden/>
    <w:unhideWhenUsed/>
    <w:rsid w:val="00275D3E"/>
    <w:pPr>
      <w:numPr>
        <w:ilvl w:val="2"/>
        <w:numId w:val="7"/>
      </w:numPr>
    </w:pPr>
  </w:style>
  <w:style w:type="paragraph" w:customStyle="1" w:styleId="ListNumber3Level4">
    <w:name w:val="List Number 3 (Level 4)"/>
    <w:basedOn w:val="Text3"/>
    <w:semiHidden/>
    <w:unhideWhenUsed/>
    <w:rsid w:val="00275D3E"/>
    <w:pPr>
      <w:numPr>
        <w:ilvl w:val="3"/>
        <w:numId w:val="7"/>
      </w:numPr>
    </w:pPr>
  </w:style>
  <w:style w:type="paragraph" w:styleId="ListNumber4">
    <w:name w:val="List Number 4"/>
    <w:basedOn w:val="Text4"/>
    <w:rsid w:val="00275D3E"/>
    <w:pPr>
      <w:numPr>
        <w:numId w:val="6"/>
      </w:numPr>
    </w:pPr>
  </w:style>
  <w:style w:type="paragraph" w:customStyle="1" w:styleId="ListNumber4Level2">
    <w:name w:val="List Number 4 (Level 2)"/>
    <w:basedOn w:val="Text4"/>
    <w:rsid w:val="00275D3E"/>
    <w:pPr>
      <w:numPr>
        <w:ilvl w:val="1"/>
        <w:numId w:val="6"/>
      </w:numPr>
    </w:pPr>
  </w:style>
  <w:style w:type="paragraph" w:customStyle="1" w:styleId="ListNumber4Level3">
    <w:name w:val="List Number 4 (Level 3)"/>
    <w:basedOn w:val="Text4"/>
    <w:semiHidden/>
    <w:unhideWhenUsed/>
    <w:rsid w:val="00275D3E"/>
    <w:pPr>
      <w:numPr>
        <w:ilvl w:val="2"/>
        <w:numId w:val="6"/>
      </w:numPr>
    </w:pPr>
  </w:style>
  <w:style w:type="paragraph" w:customStyle="1" w:styleId="ListNumber4Level4">
    <w:name w:val="List Number 4 (Level 4)"/>
    <w:basedOn w:val="Text4"/>
    <w:semiHidden/>
    <w:unhideWhenUsed/>
    <w:rsid w:val="00275D3E"/>
    <w:pPr>
      <w:numPr>
        <w:ilvl w:val="3"/>
        <w:numId w:val="6"/>
      </w:numPr>
    </w:pPr>
  </w:style>
  <w:style w:type="paragraph" w:styleId="MacroText">
    <w:name w:val="macro"/>
    <w:basedOn w:val="Normal"/>
    <w:link w:val="MacroTextChar"/>
    <w:uiPriority w:val="90"/>
    <w:qFormat/>
    <w:rsid w:val="00275D3E"/>
    <w:pPr>
      <w:tabs>
        <w:tab w:val="left" w:pos="482"/>
        <w:tab w:val="left" w:pos="958"/>
        <w:tab w:val="left" w:pos="1440"/>
        <w:tab w:val="left" w:pos="1922"/>
        <w:tab w:val="left" w:pos="2398"/>
        <w:tab w:val="left" w:pos="2880"/>
        <w:tab w:val="left" w:pos="3362"/>
        <w:tab w:val="left" w:pos="3838"/>
        <w:tab w:val="left" w:pos="4320"/>
      </w:tabs>
      <w:spacing w:after="240"/>
      <w:jc w:val="both"/>
    </w:pPr>
    <w:rPr>
      <w:rFonts w:ascii="Courier New" w:hAnsi="Courier New"/>
      <w:kern w:val="0"/>
      <w:sz w:val="22"/>
      <w:szCs w:val="20"/>
      <w:lang w:eastAsia="en-IE"/>
      <w14:ligatures w14:val="none"/>
    </w:rPr>
  </w:style>
  <w:style w:type="character" w:customStyle="1" w:styleId="MacroTextChar">
    <w:name w:val="Macro Text Char"/>
    <w:basedOn w:val="DefaultParagraphFont"/>
    <w:link w:val="MacroText"/>
    <w:uiPriority w:val="90"/>
    <w:rsid w:val="00275D3E"/>
    <w:rPr>
      <w:rFonts w:ascii="Courier New" w:hAnsi="Courier New"/>
      <w:kern w:val="0"/>
      <w:sz w:val="22"/>
      <w:lang w:eastAsia="en-IE"/>
      <w14:ligatures w14:val="none"/>
    </w:rPr>
  </w:style>
  <w:style w:type="paragraph" w:customStyle="1" w:styleId="Marking">
    <w:name w:val="Marking"/>
    <w:basedOn w:val="Normal"/>
    <w:rsid w:val="00275D3E"/>
    <w:pPr>
      <w:spacing w:after="240"/>
      <w:ind w:left="5102" w:right="-567"/>
      <w:contextualSpacing/>
    </w:pPr>
    <w:rPr>
      <w:kern w:val="0"/>
      <w:sz w:val="28"/>
      <w:szCs w:val="20"/>
      <w:lang w:eastAsia="en-IE"/>
      <w14:ligatures w14:val="none"/>
    </w:rPr>
  </w:style>
  <w:style w:type="paragraph" w:customStyle="1" w:styleId="NumPar1">
    <w:name w:val="NumPar 1"/>
    <w:basedOn w:val="Heading1"/>
    <w:uiPriority w:val="90"/>
    <w:qFormat/>
    <w:rsid w:val="00275D3E"/>
    <w:pPr>
      <w:keepNext w:val="0"/>
      <w:keepLines w:val="0"/>
      <w:tabs>
        <w:tab w:val="num" w:pos="482"/>
      </w:tabs>
      <w:spacing w:before="0" w:after="240"/>
      <w:ind w:left="482" w:hanging="482"/>
      <w:jc w:val="both"/>
      <w:outlineLvl w:val="9"/>
    </w:pPr>
    <w:rPr>
      <w:rFonts w:ascii="Times New Roman" w:eastAsia="Times New Roman" w:hAnsi="Times New Roman" w:cs="Times New Roman"/>
      <w:color w:val="auto"/>
      <w:kern w:val="0"/>
      <w:sz w:val="24"/>
      <w:szCs w:val="20"/>
      <w:lang w:eastAsia="en-IE"/>
      <w14:ligatures w14:val="none"/>
    </w:rPr>
  </w:style>
  <w:style w:type="paragraph" w:customStyle="1" w:styleId="NumPar2">
    <w:name w:val="NumPar 2"/>
    <w:basedOn w:val="Heading2"/>
    <w:uiPriority w:val="90"/>
    <w:qFormat/>
    <w:rsid w:val="00275D3E"/>
    <w:pPr>
      <w:keepNext w:val="0"/>
      <w:keepLines w:val="0"/>
      <w:numPr>
        <w:ilvl w:val="1"/>
      </w:numPr>
      <w:tabs>
        <w:tab w:val="num" w:pos="1202"/>
      </w:tabs>
      <w:spacing w:before="0" w:after="240"/>
      <w:ind w:left="1202" w:hanging="720"/>
      <w:jc w:val="both"/>
      <w:outlineLvl w:val="9"/>
    </w:pPr>
    <w:rPr>
      <w:rFonts w:ascii="Times New Roman" w:eastAsia="Times New Roman" w:hAnsi="Times New Roman" w:cs="Times New Roman"/>
      <w:color w:val="auto"/>
      <w:kern w:val="0"/>
      <w:sz w:val="24"/>
      <w:szCs w:val="20"/>
      <w:lang w:eastAsia="en-IE"/>
      <w14:ligatures w14:val="none"/>
    </w:rPr>
  </w:style>
  <w:style w:type="paragraph" w:customStyle="1" w:styleId="NumPar3">
    <w:name w:val="NumPar 3"/>
    <w:basedOn w:val="Heading3"/>
    <w:uiPriority w:val="90"/>
    <w:qFormat/>
    <w:rsid w:val="00275D3E"/>
    <w:pPr>
      <w:keepNext w:val="0"/>
      <w:keepLines w:val="0"/>
      <w:tabs>
        <w:tab w:val="num" w:pos="1922"/>
      </w:tabs>
      <w:spacing w:before="0" w:after="240"/>
      <w:ind w:left="1922"/>
      <w:jc w:val="both"/>
      <w:outlineLvl w:val="9"/>
    </w:pPr>
    <w:rPr>
      <w:rFonts w:ascii="Times New Roman" w:eastAsia="Times New Roman" w:hAnsi="Times New Roman" w:cs="Times New Roman"/>
      <w:color w:val="auto"/>
      <w:kern w:val="0"/>
      <w:sz w:val="24"/>
      <w:szCs w:val="20"/>
      <w:lang w:eastAsia="en-IE"/>
      <w14:ligatures w14:val="none"/>
    </w:rPr>
  </w:style>
  <w:style w:type="paragraph" w:customStyle="1" w:styleId="NumPar4">
    <w:name w:val="NumPar 4"/>
    <w:basedOn w:val="Heading4"/>
    <w:uiPriority w:val="90"/>
    <w:qFormat/>
    <w:rsid w:val="00275D3E"/>
    <w:pPr>
      <w:keepNext w:val="0"/>
      <w:keepLines w:val="0"/>
      <w:tabs>
        <w:tab w:val="num" w:pos="1922"/>
      </w:tabs>
      <w:spacing w:before="0" w:after="240"/>
      <w:ind w:left="1922" w:hanging="720"/>
      <w:jc w:val="both"/>
      <w:outlineLvl w:val="9"/>
    </w:pPr>
    <w:rPr>
      <w:rFonts w:ascii="Times New Roman" w:eastAsia="Times New Roman" w:hAnsi="Times New Roman" w:cs="Times New Roman"/>
      <w:i w:val="0"/>
      <w:iCs w:val="0"/>
      <w:color w:val="auto"/>
      <w:kern w:val="0"/>
      <w:szCs w:val="20"/>
      <w:lang w:eastAsia="en-IE"/>
      <w14:ligatures w14:val="none"/>
    </w:rPr>
  </w:style>
  <w:style w:type="paragraph" w:customStyle="1" w:styleId="PartTitle">
    <w:name w:val="PartTitle"/>
    <w:basedOn w:val="Normal"/>
    <w:next w:val="ChapterTitle"/>
    <w:uiPriority w:val="90"/>
    <w:qFormat/>
    <w:rsid w:val="00275D3E"/>
    <w:pPr>
      <w:keepNext/>
      <w:pageBreakBefore/>
      <w:spacing w:after="480"/>
      <w:jc w:val="center"/>
      <w:outlineLvl w:val="0"/>
    </w:pPr>
    <w:rPr>
      <w:b/>
      <w:kern w:val="0"/>
      <w:sz w:val="36"/>
      <w:szCs w:val="20"/>
      <w:lang w:eastAsia="en-IE"/>
      <w14:ligatures w14:val="none"/>
    </w:rPr>
  </w:style>
  <w:style w:type="paragraph" w:customStyle="1" w:styleId="References">
    <w:name w:val="References"/>
    <w:basedOn w:val="Normal"/>
    <w:rsid w:val="00275D3E"/>
    <w:pPr>
      <w:spacing w:after="240"/>
      <w:ind w:left="5102" w:right="-567"/>
      <w:contextualSpacing/>
    </w:pPr>
    <w:rPr>
      <w:kern w:val="0"/>
      <w:sz w:val="20"/>
      <w:szCs w:val="20"/>
      <w:lang w:eastAsia="en-IE"/>
      <w14:ligatures w14:val="none"/>
    </w:rPr>
  </w:style>
  <w:style w:type="paragraph" w:customStyle="1" w:styleId="Releasable">
    <w:name w:val="Releasable"/>
    <w:basedOn w:val="Normal"/>
    <w:rsid w:val="00275D3E"/>
    <w:pPr>
      <w:jc w:val="center"/>
    </w:pPr>
    <w:rPr>
      <w:b/>
      <w:caps/>
      <w:kern w:val="0"/>
      <w:sz w:val="32"/>
      <w:szCs w:val="20"/>
      <w:lang w:eastAsia="en-IE"/>
      <w14:ligatures w14:val="none"/>
    </w:rPr>
  </w:style>
  <w:style w:type="paragraph" w:customStyle="1" w:styleId="RUE">
    <w:name w:val="RUE"/>
    <w:basedOn w:val="Normal"/>
    <w:rsid w:val="00275D3E"/>
    <w:pPr>
      <w:jc w:val="center"/>
    </w:pPr>
    <w:rPr>
      <w:b/>
      <w:caps/>
      <w:kern w:val="0"/>
      <w:sz w:val="32"/>
      <w:szCs w:val="20"/>
      <w:bdr w:val="single" w:sz="18" w:space="0" w:color="auto"/>
      <w:lang w:eastAsia="en-IE"/>
      <w14:ligatures w14:val="none"/>
    </w:rPr>
  </w:style>
  <w:style w:type="paragraph" w:customStyle="1" w:styleId="SecretUE">
    <w:name w:val="Secret UE"/>
    <w:basedOn w:val="Normal"/>
    <w:rsid w:val="00275D3E"/>
    <w:pPr>
      <w:jc w:val="center"/>
    </w:pPr>
    <w:rPr>
      <w:b/>
      <w:caps/>
      <w:color w:val="FF0000"/>
      <w:kern w:val="0"/>
      <w:sz w:val="32"/>
      <w:szCs w:val="20"/>
      <w:bdr w:val="single" w:sz="18" w:space="0" w:color="FF0000"/>
      <w:lang w:eastAsia="en-IE"/>
      <w14:ligatures w14:val="none"/>
    </w:rPr>
  </w:style>
  <w:style w:type="paragraph" w:customStyle="1" w:styleId="SectionTitle">
    <w:name w:val="SectionTitle"/>
    <w:basedOn w:val="Normal"/>
    <w:next w:val="Heading1"/>
    <w:uiPriority w:val="90"/>
    <w:qFormat/>
    <w:rsid w:val="00275D3E"/>
    <w:pPr>
      <w:keepNext/>
      <w:spacing w:after="480"/>
      <w:jc w:val="center"/>
      <w:outlineLvl w:val="0"/>
    </w:pPr>
    <w:rPr>
      <w:b/>
      <w:smallCaps/>
      <w:kern w:val="0"/>
      <w:sz w:val="28"/>
      <w:szCs w:val="20"/>
      <w:lang w:eastAsia="en-IE"/>
      <w14:ligatures w14:val="none"/>
    </w:rPr>
  </w:style>
  <w:style w:type="paragraph" w:styleId="Signature">
    <w:name w:val="Signature"/>
    <w:basedOn w:val="Normal"/>
    <w:link w:val="SignatureChar"/>
    <w:rsid w:val="00275D3E"/>
    <w:pPr>
      <w:spacing w:before="1200"/>
      <w:ind w:left="5102"/>
      <w:jc w:val="center"/>
    </w:pPr>
    <w:rPr>
      <w:kern w:val="0"/>
      <w:szCs w:val="20"/>
      <w:lang w:eastAsia="en-IE"/>
      <w14:ligatures w14:val="none"/>
    </w:rPr>
  </w:style>
  <w:style w:type="character" w:customStyle="1" w:styleId="SignatureChar">
    <w:name w:val="Signature Char"/>
    <w:basedOn w:val="DefaultParagraphFont"/>
    <w:link w:val="Signature"/>
    <w:rsid w:val="00275D3E"/>
    <w:rPr>
      <w:kern w:val="0"/>
      <w:sz w:val="24"/>
      <w:lang w:eastAsia="en-IE"/>
      <w14:ligatures w14:val="none"/>
    </w:rPr>
  </w:style>
  <w:style w:type="paragraph" w:customStyle="1" w:styleId="SignatureL">
    <w:name w:val="SignatureL"/>
    <w:basedOn w:val="Normal"/>
    <w:rsid w:val="00275D3E"/>
    <w:pPr>
      <w:spacing w:before="1200"/>
    </w:pPr>
    <w:rPr>
      <w:kern w:val="0"/>
      <w:szCs w:val="20"/>
      <w:lang w:eastAsia="en-IE"/>
      <w14:ligatures w14:val="none"/>
    </w:rPr>
  </w:style>
  <w:style w:type="paragraph" w:customStyle="1" w:styleId="SubTitle1">
    <w:name w:val="SubTitle 1"/>
    <w:basedOn w:val="Normal"/>
    <w:next w:val="SubTitle2"/>
    <w:qFormat/>
    <w:rsid w:val="00275D3E"/>
    <w:pPr>
      <w:spacing w:after="240"/>
      <w:jc w:val="center"/>
    </w:pPr>
    <w:rPr>
      <w:b/>
      <w:kern w:val="0"/>
      <w:sz w:val="40"/>
      <w:szCs w:val="20"/>
      <w:lang w:eastAsia="en-IE"/>
      <w14:ligatures w14:val="none"/>
    </w:rPr>
  </w:style>
  <w:style w:type="paragraph" w:customStyle="1" w:styleId="SubTitle2">
    <w:name w:val="SubTitle 2"/>
    <w:basedOn w:val="Normal"/>
    <w:qFormat/>
    <w:rsid w:val="00275D3E"/>
    <w:pPr>
      <w:spacing w:after="240"/>
      <w:jc w:val="center"/>
    </w:pPr>
    <w:rPr>
      <w:b/>
      <w:kern w:val="0"/>
      <w:sz w:val="32"/>
      <w:szCs w:val="20"/>
      <w:lang w:eastAsia="en-IE"/>
      <w14:ligatures w14:val="none"/>
    </w:rPr>
  </w:style>
  <w:style w:type="paragraph" w:customStyle="1" w:styleId="TableListBullet">
    <w:name w:val="Table List Bullet"/>
    <w:basedOn w:val="TableText"/>
    <w:uiPriority w:val="1"/>
    <w:rsid w:val="00275D3E"/>
    <w:pPr>
      <w:numPr>
        <w:numId w:val="19"/>
      </w:numPr>
    </w:pPr>
  </w:style>
  <w:style w:type="paragraph" w:customStyle="1" w:styleId="TableListBulletLevel2">
    <w:name w:val="Table List Bullet (Level 2)"/>
    <w:basedOn w:val="TableText"/>
    <w:uiPriority w:val="1"/>
    <w:rsid w:val="00275D3E"/>
    <w:pPr>
      <w:numPr>
        <w:ilvl w:val="1"/>
        <w:numId w:val="19"/>
      </w:numPr>
    </w:pPr>
  </w:style>
  <w:style w:type="paragraph" w:customStyle="1" w:styleId="TableListBulletLevel3">
    <w:name w:val="Table List Bullet (Level 3)"/>
    <w:basedOn w:val="TableText"/>
    <w:uiPriority w:val="1"/>
    <w:semiHidden/>
    <w:unhideWhenUsed/>
    <w:rsid w:val="00275D3E"/>
    <w:pPr>
      <w:numPr>
        <w:ilvl w:val="2"/>
        <w:numId w:val="19"/>
      </w:numPr>
    </w:pPr>
  </w:style>
  <w:style w:type="paragraph" w:customStyle="1" w:styleId="TableListBulletLevel4">
    <w:name w:val="Table List Bullet (Level 4)"/>
    <w:basedOn w:val="TableText"/>
    <w:uiPriority w:val="1"/>
    <w:semiHidden/>
    <w:unhideWhenUsed/>
    <w:rsid w:val="00275D3E"/>
    <w:pPr>
      <w:numPr>
        <w:ilvl w:val="3"/>
        <w:numId w:val="19"/>
      </w:numPr>
    </w:pPr>
  </w:style>
  <w:style w:type="paragraph" w:customStyle="1" w:styleId="TableListDash">
    <w:name w:val="Table List Dash"/>
    <w:basedOn w:val="TableText"/>
    <w:uiPriority w:val="1"/>
    <w:rsid w:val="00275D3E"/>
    <w:pPr>
      <w:numPr>
        <w:numId w:val="20"/>
      </w:numPr>
    </w:pPr>
  </w:style>
  <w:style w:type="paragraph" w:customStyle="1" w:styleId="TableListDashLevel2">
    <w:name w:val="Table List Dash (Level 2)"/>
    <w:basedOn w:val="TableText"/>
    <w:uiPriority w:val="1"/>
    <w:rsid w:val="00275D3E"/>
    <w:pPr>
      <w:numPr>
        <w:ilvl w:val="1"/>
        <w:numId w:val="20"/>
      </w:numPr>
    </w:pPr>
  </w:style>
  <w:style w:type="paragraph" w:customStyle="1" w:styleId="TableListDashLevel3">
    <w:name w:val="Table List Dash (Level 3)"/>
    <w:basedOn w:val="TableText"/>
    <w:uiPriority w:val="1"/>
    <w:semiHidden/>
    <w:unhideWhenUsed/>
    <w:rsid w:val="00275D3E"/>
    <w:pPr>
      <w:numPr>
        <w:ilvl w:val="2"/>
        <w:numId w:val="20"/>
      </w:numPr>
    </w:pPr>
  </w:style>
  <w:style w:type="paragraph" w:customStyle="1" w:styleId="TableListDashLevel4">
    <w:name w:val="Table List Dash (Level 4)"/>
    <w:basedOn w:val="TableText"/>
    <w:uiPriority w:val="1"/>
    <w:semiHidden/>
    <w:unhideWhenUsed/>
    <w:rsid w:val="00275D3E"/>
    <w:pPr>
      <w:numPr>
        <w:ilvl w:val="3"/>
        <w:numId w:val="20"/>
      </w:numPr>
    </w:pPr>
  </w:style>
  <w:style w:type="paragraph" w:customStyle="1" w:styleId="TableListNumber">
    <w:name w:val="Table List Number"/>
    <w:basedOn w:val="TableText"/>
    <w:uiPriority w:val="1"/>
    <w:rsid w:val="00275D3E"/>
    <w:pPr>
      <w:numPr>
        <w:numId w:val="21"/>
      </w:numPr>
    </w:pPr>
  </w:style>
  <w:style w:type="paragraph" w:customStyle="1" w:styleId="TableListNumberLevel2">
    <w:name w:val="Table List Number (Level 2)"/>
    <w:basedOn w:val="TableText"/>
    <w:uiPriority w:val="1"/>
    <w:rsid w:val="00275D3E"/>
    <w:pPr>
      <w:numPr>
        <w:ilvl w:val="1"/>
        <w:numId w:val="21"/>
      </w:numPr>
    </w:pPr>
  </w:style>
  <w:style w:type="paragraph" w:customStyle="1" w:styleId="TableListNumberLevel3">
    <w:name w:val="Table List Number (Level 3)"/>
    <w:basedOn w:val="TableText"/>
    <w:uiPriority w:val="1"/>
    <w:semiHidden/>
    <w:unhideWhenUsed/>
    <w:rsid w:val="00275D3E"/>
    <w:pPr>
      <w:numPr>
        <w:ilvl w:val="2"/>
        <w:numId w:val="21"/>
      </w:numPr>
    </w:pPr>
  </w:style>
  <w:style w:type="paragraph" w:customStyle="1" w:styleId="TableListNumberLevel4">
    <w:name w:val="Table List Number (Level 4)"/>
    <w:basedOn w:val="TableText"/>
    <w:uiPriority w:val="1"/>
    <w:semiHidden/>
    <w:unhideWhenUsed/>
    <w:rsid w:val="00275D3E"/>
    <w:pPr>
      <w:numPr>
        <w:ilvl w:val="3"/>
        <w:numId w:val="21"/>
      </w:numPr>
    </w:pPr>
  </w:style>
  <w:style w:type="paragraph" w:customStyle="1" w:styleId="TableSource">
    <w:name w:val="Table Source"/>
    <w:basedOn w:val="Normal"/>
    <w:next w:val="Normal"/>
    <w:semiHidden/>
    <w:unhideWhenUsed/>
    <w:rsid w:val="00275D3E"/>
    <w:pPr>
      <w:spacing w:after="240"/>
      <w:jc w:val="both"/>
    </w:pPr>
    <w:rPr>
      <w:kern w:val="0"/>
      <w:sz w:val="20"/>
      <w:szCs w:val="20"/>
      <w:lang w:eastAsia="en-IE"/>
      <w14:ligatures w14:val="none"/>
    </w:rPr>
  </w:style>
  <w:style w:type="paragraph" w:customStyle="1" w:styleId="TableSource1">
    <w:name w:val="Table Source 1"/>
    <w:basedOn w:val="Text1"/>
    <w:next w:val="Text1"/>
    <w:semiHidden/>
    <w:unhideWhenUsed/>
    <w:rsid w:val="00275D3E"/>
    <w:rPr>
      <w:sz w:val="20"/>
    </w:rPr>
  </w:style>
  <w:style w:type="paragraph" w:customStyle="1" w:styleId="TableSource2">
    <w:name w:val="Table Source 2"/>
    <w:basedOn w:val="Text2"/>
    <w:next w:val="Text2"/>
    <w:semiHidden/>
    <w:unhideWhenUsed/>
    <w:rsid w:val="00275D3E"/>
    <w:rPr>
      <w:sz w:val="20"/>
    </w:rPr>
  </w:style>
  <w:style w:type="paragraph" w:customStyle="1" w:styleId="TableSource3">
    <w:name w:val="Table Source 3"/>
    <w:basedOn w:val="Text3"/>
    <w:next w:val="Text3"/>
    <w:semiHidden/>
    <w:unhideWhenUsed/>
    <w:rsid w:val="00275D3E"/>
    <w:rPr>
      <w:sz w:val="20"/>
    </w:rPr>
  </w:style>
  <w:style w:type="paragraph" w:customStyle="1" w:styleId="TableSource4">
    <w:name w:val="Table Source 4"/>
    <w:basedOn w:val="Text4"/>
    <w:next w:val="Text4"/>
    <w:semiHidden/>
    <w:unhideWhenUsed/>
    <w:rsid w:val="00275D3E"/>
    <w:rPr>
      <w:sz w:val="20"/>
    </w:rPr>
  </w:style>
  <w:style w:type="paragraph" w:customStyle="1" w:styleId="TableText">
    <w:name w:val="Table Text"/>
    <w:basedOn w:val="Normal"/>
    <w:uiPriority w:val="1"/>
    <w:qFormat/>
    <w:rsid w:val="00275D3E"/>
    <w:pPr>
      <w:spacing w:before="60" w:after="60"/>
    </w:pPr>
    <w:rPr>
      <w:kern w:val="0"/>
      <w:szCs w:val="20"/>
      <w:lang w:eastAsia="en-IE"/>
      <w14:ligatures w14:val="none"/>
    </w:rPr>
  </w:style>
  <w:style w:type="paragraph" w:customStyle="1" w:styleId="TableTitle">
    <w:name w:val="Table Title"/>
    <w:basedOn w:val="Normal"/>
    <w:uiPriority w:val="1"/>
    <w:semiHidden/>
    <w:unhideWhenUsed/>
    <w:rsid w:val="00275D3E"/>
    <w:pPr>
      <w:keepNext/>
      <w:spacing w:after="120"/>
      <w:jc w:val="both"/>
    </w:pPr>
    <w:rPr>
      <w:b/>
      <w:i/>
      <w:kern w:val="0"/>
      <w:szCs w:val="20"/>
      <w:lang w:eastAsia="en-IE"/>
      <w14:ligatures w14:val="none"/>
    </w:rPr>
  </w:style>
  <w:style w:type="paragraph" w:customStyle="1" w:styleId="TableTitle1">
    <w:name w:val="Table Title 1"/>
    <w:basedOn w:val="Text1"/>
    <w:uiPriority w:val="1"/>
    <w:semiHidden/>
    <w:unhideWhenUsed/>
    <w:rsid w:val="00275D3E"/>
    <w:pPr>
      <w:keepNext/>
      <w:spacing w:after="120"/>
    </w:pPr>
    <w:rPr>
      <w:b/>
      <w:i/>
    </w:rPr>
  </w:style>
  <w:style w:type="paragraph" w:customStyle="1" w:styleId="TableTitle2">
    <w:name w:val="Table Title 2"/>
    <w:basedOn w:val="Text2"/>
    <w:uiPriority w:val="1"/>
    <w:semiHidden/>
    <w:unhideWhenUsed/>
    <w:rsid w:val="00275D3E"/>
    <w:pPr>
      <w:keepNext/>
      <w:spacing w:after="120"/>
    </w:pPr>
    <w:rPr>
      <w:b/>
      <w:i/>
    </w:rPr>
  </w:style>
  <w:style w:type="paragraph" w:customStyle="1" w:styleId="TableTitle3">
    <w:name w:val="Table Title 3"/>
    <w:basedOn w:val="Text3"/>
    <w:uiPriority w:val="1"/>
    <w:semiHidden/>
    <w:unhideWhenUsed/>
    <w:rsid w:val="00275D3E"/>
    <w:pPr>
      <w:keepNext/>
      <w:spacing w:after="120"/>
    </w:pPr>
    <w:rPr>
      <w:b/>
      <w:i/>
    </w:rPr>
  </w:style>
  <w:style w:type="paragraph" w:customStyle="1" w:styleId="TableTitle4">
    <w:name w:val="Table Title 4"/>
    <w:basedOn w:val="Text4"/>
    <w:uiPriority w:val="1"/>
    <w:semiHidden/>
    <w:unhideWhenUsed/>
    <w:rsid w:val="00275D3E"/>
    <w:pPr>
      <w:keepNext/>
      <w:spacing w:after="120"/>
    </w:pPr>
    <w:rPr>
      <w:b/>
      <w:i/>
    </w:rPr>
  </w:style>
  <w:style w:type="paragraph" w:customStyle="1" w:styleId="Text1">
    <w:name w:val="Text 1"/>
    <w:basedOn w:val="Normal"/>
    <w:link w:val="Text1Char"/>
    <w:uiPriority w:val="90"/>
    <w:qFormat/>
    <w:rsid w:val="00275D3E"/>
    <w:pPr>
      <w:spacing w:after="240"/>
      <w:ind w:left="482"/>
      <w:jc w:val="both"/>
    </w:pPr>
    <w:rPr>
      <w:kern w:val="0"/>
      <w:szCs w:val="20"/>
      <w:lang w:eastAsia="en-IE"/>
      <w14:ligatures w14:val="none"/>
    </w:rPr>
  </w:style>
  <w:style w:type="paragraph" w:customStyle="1" w:styleId="Text2">
    <w:name w:val="Text 2"/>
    <w:basedOn w:val="Normal"/>
    <w:uiPriority w:val="90"/>
    <w:qFormat/>
    <w:rsid w:val="00275D3E"/>
    <w:pPr>
      <w:spacing w:after="240"/>
      <w:ind w:left="1202"/>
      <w:jc w:val="both"/>
    </w:pPr>
    <w:rPr>
      <w:kern w:val="0"/>
      <w:szCs w:val="20"/>
      <w:lang w:eastAsia="en-IE"/>
      <w14:ligatures w14:val="none"/>
    </w:rPr>
  </w:style>
  <w:style w:type="paragraph" w:customStyle="1" w:styleId="Text3">
    <w:name w:val="Text 3"/>
    <w:basedOn w:val="Normal"/>
    <w:uiPriority w:val="90"/>
    <w:qFormat/>
    <w:rsid w:val="00275D3E"/>
    <w:pPr>
      <w:spacing w:after="240"/>
      <w:ind w:left="1202"/>
      <w:jc w:val="both"/>
    </w:pPr>
    <w:rPr>
      <w:kern w:val="0"/>
      <w:szCs w:val="20"/>
      <w:lang w:eastAsia="en-IE"/>
      <w14:ligatures w14:val="none"/>
    </w:rPr>
  </w:style>
  <w:style w:type="paragraph" w:customStyle="1" w:styleId="Text4">
    <w:name w:val="Text 4"/>
    <w:basedOn w:val="Normal"/>
    <w:uiPriority w:val="90"/>
    <w:qFormat/>
    <w:rsid w:val="00275D3E"/>
    <w:pPr>
      <w:spacing w:after="240"/>
      <w:ind w:left="1202"/>
      <w:jc w:val="both"/>
    </w:pPr>
    <w:rPr>
      <w:kern w:val="0"/>
      <w:szCs w:val="20"/>
      <w:lang w:eastAsia="en-IE"/>
      <w14:ligatures w14:val="none"/>
    </w:rPr>
  </w:style>
  <w:style w:type="paragraph" w:styleId="TOC1">
    <w:name w:val="toc 1"/>
    <w:basedOn w:val="Normal"/>
    <w:next w:val="Normal"/>
    <w:uiPriority w:val="39"/>
    <w:rsid w:val="00275D3E"/>
    <w:pPr>
      <w:tabs>
        <w:tab w:val="right" w:leader="dot" w:pos="8640"/>
      </w:tabs>
      <w:spacing w:before="120" w:after="120"/>
      <w:ind w:left="482" w:right="720" w:hanging="482"/>
      <w:jc w:val="both"/>
    </w:pPr>
    <w:rPr>
      <w:kern w:val="0"/>
      <w:szCs w:val="20"/>
      <w:lang w:eastAsia="en-IE"/>
      <w14:ligatures w14:val="none"/>
    </w:rPr>
  </w:style>
  <w:style w:type="paragraph" w:styleId="TOC2">
    <w:name w:val="toc 2"/>
    <w:basedOn w:val="Normal"/>
    <w:next w:val="Normal"/>
    <w:uiPriority w:val="39"/>
    <w:rsid w:val="00275D3E"/>
    <w:pPr>
      <w:tabs>
        <w:tab w:val="right" w:leader="dot" w:pos="8640"/>
      </w:tabs>
      <w:spacing w:before="60" w:after="60"/>
      <w:ind w:left="1077" w:right="720" w:hanging="595"/>
      <w:jc w:val="both"/>
    </w:pPr>
    <w:rPr>
      <w:noProof/>
      <w:kern w:val="0"/>
      <w:szCs w:val="20"/>
      <w:lang w:eastAsia="en-IE"/>
      <w14:ligatures w14:val="none"/>
    </w:rPr>
  </w:style>
  <w:style w:type="paragraph" w:styleId="TOC3">
    <w:name w:val="toc 3"/>
    <w:basedOn w:val="Normal"/>
    <w:next w:val="Normal"/>
    <w:uiPriority w:val="39"/>
    <w:rsid w:val="00275D3E"/>
    <w:pPr>
      <w:tabs>
        <w:tab w:val="right" w:leader="dot" w:pos="8640"/>
      </w:tabs>
      <w:spacing w:before="60" w:after="60"/>
      <w:ind w:left="1916" w:right="720" w:hanging="839"/>
      <w:jc w:val="both"/>
    </w:pPr>
    <w:rPr>
      <w:kern w:val="0"/>
      <w:szCs w:val="20"/>
      <w:lang w:eastAsia="en-IE"/>
      <w14:ligatures w14:val="none"/>
    </w:rPr>
  </w:style>
  <w:style w:type="paragraph" w:styleId="TOC4">
    <w:name w:val="toc 4"/>
    <w:basedOn w:val="Normal"/>
    <w:next w:val="Normal"/>
    <w:uiPriority w:val="99"/>
    <w:semiHidden/>
    <w:rsid w:val="00275D3E"/>
    <w:pPr>
      <w:tabs>
        <w:tab w:val="right" w:leader="dot" w:pos="8640"/>
      </w:tabs>
      <w:spacing w:before="60" w:after="60"/>
      <w:ind w:left="2880" w:right="720" w:hanging="964"/>
      <w:jc w:val="both"/>
    </w:pPr>
    <w:rPr>
      <w:noProof/>
      <w:kern w:val="0"/>
      <w:szCs w:val="20"/>
      <w:lang w:eastAsia="en-IE"/>
      <w14:ligatures w14:val="none"/>
    </w:rPr>
  </w:style>
  <w:style w:type="paragraph" w:styleId="TOC5">
    <w:name w:val="toc 5"/>
    <w:basedOn w:val="Normal"/>
    <w:next w:val="Normal"/>
    <w:semiHidden/>
    <w:rsid w:val="00275D3E"/>
    <w:pPr>
      <w:tabs>
        <w:tab w:val="right" w:leader="dot" w:pos="8640"/>
      </w:tabs>
      <w:spacing w:before="240" w:after="120"/>
      <w:ind w:right="720"/>
      <w:jc w:val="both"/>
    </w:pPr>
    <w:rPr>
      <w:caps/>
      <w:kern w:val="0"/>
      <w:szCs w:val="20"/>
      <w:lang w:eastAsia="en-IE"/>
      <w14:ligatures w14:val="none"/>
    </w:rPr>
  </w:style>
  <w:style w:type="paragraph" w:styleId="TOC6">
    <w:name w:val="toc 6"/>
    <w:basedOn w:val="Normal"/>
    <w:next w:val="Normal"/>
    <w:semiHidden/>
    <w:rsid w:val="00275D3E"/>
    <w:pPr>
      <w:tabs>
        <w:tab w:val="right" w:leader="dot" w:pos="8640"/>
        <w:tab w:val="left" w:pos="2880"/>
      </w:tabs>
      <w:spacing w:before="120" w:after="120"/>
      <w:ind w:left="1916" w:right="720" w:hanging="1916"/>
      <w:jc w:val="both"/>
    </w:pPr>
    <w:rPr>
      <w:caps/>
      <w:kern w:val="0"/>
      <w:szCs w:val="20"/>
      <w:lang w:eastAsia="en-IE"/>
      <w14:ligatures w14:val="none"/>
    </w:rPr>
  </w:style>
  <w:style w:type="paragraph" w:styleId="TOC7">
    <w:name w:val="toc 7"/>
    <w:basedOn w:val="Normal"/>
    <w:next w:val="Normal"/>
    <w:semiHidden/>
    <w:rsid w:val="00275D3E"/>
    <w:pPr>
      <w:tabs>
        <w:tab w:val="right" w:leader="dot" w:pos="8640"/>
      </w:tabs>
      <w:spacing w:after="240"/>
      <w:jc w:val="both"/>
    </w:pPr>
    <w:rPr>
      <w:kern w:val="0"/>
      <w:szCs w:val="20"/>
      <w:lang w:eastAsia="en-IE"/>
      <w14:ligatures w14:val="none"/>
    </w:rPr>
  </w:style>
  <w:style w:type="paragraph" w:styleId="TOC8">
    <w:name w:val="toc 8"/>
    <w:basedOn w:val="Normal"/>
    <w:next w:val="Normal"/>
    <w:semiHidden/>
    <w:rsid w:val="00275D3E"/>
    <w:pPr>
      <w:tabs>
        <w:tab w:val="right" w:leader="dot" w:pos="8640"/>
      </w:tabs>
      <w:spacing w:after="240"/>
      <w:jc w:val="both"/>
    </w:pPr>
    <w:rPr>
      <w:kern w:val="0"/>
      <w:szCs w:val="20"/>
      <w:lang w:eastAsia="en-IE"/>
      <w14:ligatures w14:val="none"/>
    </w:rPr>
  </w:style>
  <w:style w:type="paragraph" w:styleId="TOC9">
    <w:name w:val="toc 9"/>
    <w:basedOn w:val="Normal"/>
    <w:next w:val="Normal"/>
    <w:semiHidden/>
    <w:rsid w:val="00275D3E"/>
    <w:pPr>
      <w:tabs>
        <w:tab w:val="right" w:leader="dot" w:pos="8640"/>
      </w:tabs>
      <w:spacing w:after="240"/>
      <w:jc w:val="both"/>
    </w:pPr>
    <w:rPr>
      <w:kern w:val="0"/>
      <w:szCs w:val="20"/>
      <w:lang w:eastAsia="en-IE"/>
      <w14:ligatures w14:val="none"/>
    </w:rPr>
  </w:style>
  <w:style w:type="paragraph" w:styleId="TOCHeading">
    <w:name w:val="TOC Heading"/>
    <w:basedOn w:val="Normal"/>
    <w:next w:val="Normal"/>
    <w:uiPriority w:val="39"/>
    <w:qFormat/>
    <w:rsid w:val="00275D3E"/>
    <w:pPr>
      <w:spacing w:before="240" w:after="240"/>
      <w:jc w:val="center"/>
    </w:pPr>
    <w:rPr>
      <w:rFonts w:ascii="Times New Roman Bold" w:hAnsi="Times New Roman Bold"/>
      <w:b/>
      <w:caps/>
      <w:kern w:val="0"/>
      <w:szCs w:val="20"/>
      <w:lang w:eastAsia="en-IE"/>
      <w14:ligatures w14:val="none"/>
    </w:rPr>
  </w:style>
  <w:style w:type="paragraph" w:customStyle="1" w:styleId="TrsSecretUE">
    <w:name w:val="Très Secret UE"/>
    <w:basedOn w:val="Normal"/>
    <w:rsid w:val="00275D3E"/>
    <w:pPr>
      <w:jc w:val="center"/>
    </w:pPr>
    <w:rPr>
      <w:b/>
      <w:caps/>
      <w:color w:val="FF0000"/>
      <w:kern w:val="0"/>
      <w:sz w:val="32"/>
      <w:szCs w:val="20"/>
      <w:bdr w:val="single" w:sz="18" w:space="0" w:color="FF0000"/>
      <w:lang w:eastAsia="en-IE"/>
      <w14:ligatures w14:val="none"/>
    </w:rPr>
  </w:style>
  <w:style w:type="paragraph" w:customStyle="1" w:styleId="ZCom">
    <w:name w:val="Z_Com"/>
    <w:basedOn w:val="Normal"/>
    <w:next w:val="Normal"/>
    <w:uiPriority w:val="99"/>
    <w:rsid w:val="00275D3E"/>
    <w:pPr>
      <w:widowControl w:val="0"/>
      <w:spacing w:before="90"/>
      <w:ind w:right="85"/>
    </w:pPr>
    <w:rPr>
      <w:kern w:val="0"/>
      <w:szCs w:val="20"/>
      <w:lang w:eastAsia="en-IE"/>
      <w14:ligatures w14:val="none"/>
    </w:rPr>
  </w:style>
  <w:style w:type="paragraph" w:customStyle="1" w:styleId="ZDGName">
    <w:name w:val="Z_DGName"/>
    <w:basedOn w:val="Normal"/>
    <w:uiPriority w:val="99"/>
    <w:rsid w:val="00275D3E"/>
    <w:pPr>
      <w:widowControl w:val="0"/>
      <w:ind w:right="85"/>
    </w:pPr>
    <w:rPr>
      <w:kern w:val="0"/>
      <w:sz w:val="16"/>
      <w:szCs w:val="20"/>
      <w:lang w:eastAsia="en-IE"/>
      <w14:ligatures w14:val="none"/>
    </w:rPr>
  </w:style>
  <w:style w:type="paragraph" w:customStyle="1" w:styleId="ZFlag">
    <w:name w:val="Z_Flag"/>
    <w:basedOn w:val="Normal"/>
    <w:next w:val="Normal"/>
    <w:uiPriority w:val="99"/>
    <w:rsid w:val="00275D3E"/>
    <w:pPr>
      <w:widowControl w:val="0"/>
      <w:ind w:right="85"/>
      <w:jc w:val="both"/>
    </w:pPr>
    <w:rPr>
      <w:kern w:val="0"/>
      <w:szCs w:val="20"/>
      <w:lang w:eastAsia="en-IE"/>
      <w14:ligatures w14:val="none"/>
    </w:rPr>
  </w:style>
  <w:style w:type="table" w:customStyle="1" w:styleId="EurolookClassicBlue">
    <w:name w:val="Eurolook Classic Blue"/>
    <w:basedOn w:val="TableNormal"/>
    <w:rsid w:val="00275D3E"/>
    <w:pPr>
      <w:spacing w:after="240"/>
    </w:pPr>
    <w:rPr>
      <w:kern w:val="0"/>
      <w:sz w:val="24"/>
      <w:lang w:eastAsia="en-IE"/>
      <w14:ligatures w14:val="none"/>
    </w:rPr>
    <w:tblPr/>
    <w:tblStylePr w:type="firstRow">
      <w:rPr>
        <w:color w:val="FFFFFF"/>
      </w:rPr>
    </w:tblStylePr>
    <w:tblStylePr w:type="firstCol">
      <w:rPr>
        <w:color w:val="004494"/>
      </w:rPr>
    </w:tblStylePr>
  </w:style>
  <w:style w:type="table" w:customStyle="1" w:styleId="EurolookClassicBlue1">
    <w:name w:val="Eurolook Classic Blue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2">
    <w:name w:val="Eurolook Classic Blue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3">
    <w:name w:val="Eurolook Classic Blue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4">
    <w:name w:val="Eurolook Classic Blue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Grey">
    <w:name w:val="Eurolook Classic Grey"/>
    <w:basedOn w:val="TableNormal"/>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Grey1">
    <w:name w:val="Eurolook Classic Grey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646567"/>
      </w:tcPr>
    </w:tblStylePr>
    <w:tblStylePr w:type="lastRow">
      <w:tblPr/>
      <w:tcPr>
        <w:shd w:val="clear" w:color="auto" w:fill="DADADA"/>
      </w:tcPr>
    </w:tblStylePr>
    <w:tblStylePr w:type="firstCol">
      <w:rPr>
        <w:color w:val="646567"/>
      </w:rPr>
    </w:tblStylePr>
    <w:tblStylePr w:type="band2Horz">
      <w:tblPr/>
      <w:tcPr>
        <w:shd w:val="clear" w:color="auto" w:fill="EBECED"/>
      </w:tcPr>
    </w:tblStylePr>
  </w:style>
  <w:style w:type="table" w:customStyle="1" w:styleId="EurolookClassicGrey2">
    <w:name w:val="Eurolook Classic Grey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Grey3">
    <w:name w:val="Eurolook Classic Grey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Grey4">
    <w:name w:val="Eurolook Classic Grey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Olive">
    <w:name w:val="Eurolook Classic Olive"/>
    <w:basedOn w:val="TableNormal"/>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1">
    <w:name w:val="Eurolook Classic Olive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2">
    <w:name w:val="Eurolook Classic Olive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3">
    <w:name w:val="Eurolook Classic Olive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4">
    <w:name w:val="Eurolook Classic Olive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Petrol">
    <w:name w:val="Eurolook Classic Petrol"/>
    <w:basedOn w:val="TableNormal"/>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1">
    <w:name w:val="Eurolook Classic Petrol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2">
    <w:name w:val="Eurolook Classic Petrol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3">
    <w:name w:val="Eurolook Classic Petrol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4">
    <w:name w:val="Eurolook Classic Petrol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urple">
    <w:name w:val="Eurolook Classic Purple"/>
    <w:basedOn w:val="TableNormal"/>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1">
    <w:name w:val="Eurolook Classic Purple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2">
    <w:name w:val="Eurolook Classic Purple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3">
    <w:name w:val="Eurolook Classic Purple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4">
    <w:name w:val="Eurolook Classic Purple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Rust">
    <w:name w:val="Eurolook Classic Rust"/>
    <w:basedOn w:val="TableNormal"/>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1">
    <w:name w:val="Eurolook Classic Rust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2">
    <w:name w:val="Eurolook Classic Rust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3">
    <w:name w:val="Eurolook Classic Rust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4">
    <w:name w:val="Eurolook Classic Rust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LightBlue">
    <w:name w:val="Eurolook Light Blue"/>
    <w:basedOn w:val="TableNormal"/>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1">
    <w:name w:val="Eurolook Light Blue 1"/>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2">
    <w:name w:val="Eurolook Light Blue 2"/>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3">
    <w:name w:val="Eurolook Light Blue 3"/>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4">
    <w:name w:val="Eurolook Light Blue 4"/>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Grey">
    <w:name w:val="Eurolook Light Grey"/>
    <w:basedOn w:val="TableNormal"/>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1">
    <w:name w:val="Eurolook Light Grey 1"/>
    <w:basedOn w:val="TableNormal"/>
    <w:semiHidden/>
    <w:unhideWhenUsed/>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2">
    <w:name w:val="Eurolook Light Grey 2"/>
    <w:basedOn w:val="TableNormal"/>
    <w:semiHidden/>
    <w:unhideWhenUsed/>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3">
    <w:name w:val="Eurolook Light Grey 3"/>
    <w:basedOn w:val="TableNormal"/>
    <w:semiHidden/>
    <w:unhideWhenUsed/>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4">
    <w:name w:val="Eurolook Light Grey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646567"/>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
    <w:name w:val="Eurolook Light Olive"/>
    <w:basedOn w:val="TableNormal"/>
    <w:rsid w:val="00275D3E"/>
    <w:pPr>
      <w:spacing w:after="240"/>
    </w:pPr>
    <w:rPr>
      <w:kern w:val="0"/>
      <w:sz w:val="24"/>
      <w:lang w:eastAsia="en-IE"/>
      <w14:ligatures w14:val="none"/>
    </w:rPr>
    <w:tblPr/>
    <w:tblStylePr w:type="firstRow">
      <w:rPr>
        <w:b w:val="0"/>
        <w:smallCaps/>
        <w:color w:val="4E7849"/>
      </w:rPr>
    </w:tblStylePr>
    <w:tblStylePr w:type="lastRow">
      <w:rPr>
        <w:b w:val="0"/>
      </w:rPr>
    </w:tblStylePr>
    <w:tblStylePr w:type="firstCol">
      <w:rPr>
        <w:color w:val="000000"/>
      </w:rPr>
    </w:tblStylePr>
  </w:style>
  <w:style w:type="table" w:customStyle="1" w:styleId="EurolookLightOlive1">
    <w:name w:val="Eurolook Light Olive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2">
    <w:name w:val="Eurolook Light Olive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3">
    <w:name w:val="Eurolook Light Olive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4">
    <w:name w:val="Eurolook Light Olive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
    <w:name w:val="Eurolook Light Petrol"/>
    <w:basedOn w:val="TableNormal"/>
    <w:rsid w:val="00275D3E"/>
    <w:pPr>
      <w:spacing w:after="240"/>
    </w:pPr>
    <w:rPr>
      <w:kern w:val="0"/>
      <w:sz w:val="24"/>
      <w:lang w:eastAsia="en-IE"/>
      <w14:ligatures w14:val="none"/>
    </w:rPr>
    <w:tblPr/>
    <w:tblStylePr w:type="firstRow">
      <w:rPr>
        <w:b w:val="0"/>
        <w:smallCaps/>
        <w:color w:val="007D98"/>
      </w:rPr>
    </w:tblStylePr>
    <w:tblStylePr w:type="lastRow">
      <w:rPr>
        <w:b w:val="0"/>
      </w:rPr>
    </w:tblStylePr>
    <w:tblStylePr w:type="firstCol">
      <w:rPr>
        <w:color w:val="000000"/>
      </w:rPr>
    </w:tblStylePr>
  </w:style>
  <w:style w:type="table" w:customStyle="1" w:styleId="EurolookLightPetrol1">
    <w:name w:val="Eurolook Light Petrol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2">
    <w:name w:val="Eurolook Light Petrol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3">
    <w:name w:val="Eurolook Light Petrol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4">
    <w:name w:val="Eurolook Light Petrol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
    <w:name w:val="Eurolook Light Purple"/>
    <w:basedOn w:val="TableNormal"/>
    <w:rsid w:val="00275D3E"/>
    <w:pPr>
      <w:spacing w:after="240"/>
    </w:pPr>
    <w:rPr>
      <w:kern w:val="0"/>
      <w:sz w:val="24"/>
      <w:lang w:eastAsia="en-IE"/>
      <w14:ligatures w14:val="none"/>
    </w:rPr>
    <w:tblPr/>
    <w:tblStylePr w:type="firstRow">
      <w:rPr>
        <w:b w:val="0"/>
        <w:smallCaps/>
        <w:color w:val="771D7B"/>
      </w:rPr>
    </w:tblStylePr>
    <w:tblStylePr w:type="lastRow">
      <w:rPr>
        <w:b w:val="0"/>
      </w:rPr>
    </w:tblStylePr>
    <w:tblStylePr w:type="firstCol">
      <w:rPr>
        <w:color w:val="000000"/>
      </w:rPr>
    </w:tblStylePr>
  </w:style>
  <w:style w:type="table" w:customStyle="1" w:styleId="EurolookLightPurple1">
    <w:name w:val="Eurolook Light Purple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2">
    <w:name w:val="Eurolook Light Purple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3">
    <w:name w:val="Eurolook Light Purple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4">
    <w:name w:val="Eurolook Light Purple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
    <w:name w:val="Eurolook Light Rust"/>
    <w:basedOn w:val="TableNormal"/>
    <w:rsid w:val="00275D3E"/>
    <w:pPr>
      <w:spacing w:after="240"/>
    </w:pPr>
    <w:rPr>
      <w:kern w:val="0"/>
      <w:sz w:val="24"/>
      <w:lang w:eastAsia="en-IE"/>
      <w14:ligatures w14:val="none"/>
    </w:rPr>
    <w:tblPr/>
    <w:tblStylePr w:type="firstRow">
      <w:rPr>
        <w:b w:val="0"/>
        <w:smallCaps/>
        <w:color w:val="BF4B36"/>
      </w:rPr>
    </w:tblStylePr>
    <w:tblStylePr w:type="lastRow">
      <w:rPr>
        <w:b w:val="0"/>
      </w:rPr>
    </w:tblStylePr>
    <w:tblStylePr w:type="firstCol">
      <w:rPr>
        <w:color w:val="000000"/>
      </w:rPr>
    </w:tblStylePr>
  </w:style>
  <w:style w:type="table" w:customStyle="1" w:styleId="EurolookLightRust1">
    <w:name w:val="Eurolook Light Rust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2">
    <w:name w:val="Eurolook Light Rust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3">
    <w:name w:val="Eurolook Light Rust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4">
    <w:name w:val="Eurolook Light Rust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Table">
    <w:name w:val="Eurolook Table"/>
    <w:semiHidden/>
    <w:unhideWhenUsed/>
    <w:rsid w:val="00275D3E"/>
    <w:rPr>
      <w:kern w:val="0"/>
      <w:sz w:val="24"/>
      <w:lang w:val="en-IE" w:eastAsia="en-IE" w:bidi="ne-NP"/>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rPr>
    </w:tblStylePr>
  </w:style>
  <w:style w:type="table" w:customStyle="1" w:styleId="EurolookTable1">
    <w:name w:val="Eurolook Table 1"/>
    <w:basedOn w:val="EurolookTable"/>
    <w:semiHidden/>
    <w:unhideWhenUsed/>
    <w:rsid w:val="00275D3E"/>
    <w:tblPr>
      <w:tblInd w:w="482" w:type="dxa"/>
    </w:tblPr>
    <w:tblStylePr w:type="firstRow">
      <w:rPr>
        <w:b/>
      </w:rPr>
    </w:tblStylePr>
  </w:style>
  <w:style w:type="table" w:customStyle="1" w:styleId="EurolookTable2">
    <w:name w:val="Eurolook Table 2"/>
    <w:basedOn w:val="EurolookTable"/>
    <w:semiHidden/>
    <w:unhideWhenUsed/>
    <w:rsid w:val="00275D3E"/>
    <w:tblPr>
      <w:tblInd w:w="1202" w:type="dxa"/>
    </w:tblPr>
    <w:tblStylePr w:type="firstRow">
      <w:rPr>
        <w:b/>
      </w:rPr>
    </w:tblStylePr>
  </w:style>
  <w:style w:type="table" w:customStyle="1" w:styleId="EurolookTable3">
    <w:name w:val="Eurolook Table 3"/>
    <w:basedOn w:val="EurolookTable"/>
    <w:semiHidden/>
    <w:unhideWhenUsed/>
    <w:rsid w:val="00275D3E"/>
    <w:tblPr>
      <w:tblInd w:w="1202" w:type="dxa"/>
    </w:tblPr>
    <w:tblStylePr w:type="firstRow">
      <w:rPr>
        <w:b/>
      </w:rPr>
    </w:tblStylePr>
  </w:style>
  <w:style w:type="table" w:customStyle="1" w:styleId="EurolookTable4">
    <w:name w:val="Eurolook Table 4"/>
    <w:basedOn w:val="EurolookTable"/>
    <w:semiHidden/>
    <w:unhideWhenUsed/>
    <w:rsid w:val="00275D3E"/>
    <w:tblPr>
      <w:tblInd w:w="1202" w:type="dxa"/>
    </w:tblPr>
    <w:tblStylePr w:type="firstRow">
      <w:rPr>
        <w:b/>
      </w:rPr>
    </w:tblStylePr>
  </w:style>
  <w:style w:type="table" w:customStyle="1" w:styleId="HelperTableBase">
    <w:name w:val="Helper Table Base"/>
    <w:semiHidden/>
    <w:rsid w:val="00275D3E"/>
    <w:rPr>
      <w:kern w:val="0"/>
      <w:sz w:val="24"/>
      <w:lang w:eastAsia="en-IE"/>
      <w14:ligatures w14:val="none"/>
    </w:rPr>
    <w:tblPr>
      <w:tblInd w:w="0" w:type="dxa"/>
      <w:tblCellMar>
        <w:top w:w="0" w:type="dxa"/>
        <w:left w:w="0" w:type="dxa"/>
        <w:bottom w:w="0" w:type="dxa"/>
        <w:right w:w="0" w:type="dxa"/>
      </w:tblCellMar>
    </w:tblPr>
  </w:style>
  <w:style w:type="table" w:customStyle="1" w:styleId="SignatureTable">
    <w:name w:val="Signature Table"/>
    <w:basedOn w:val="HelperTableBase"/>
    <w:semiHidden/>
    <w:rsid w:val="00275D3E"/>
    <w:tblPr/>
  </w:style>
  <w:style w:type="table" w:styleId="TableGrid">
    <w:name w:val="Table Grid"/>
    <w:uiPriority w:val="59"/>
    <w:rsid w:val="00275D3E"/>
    <w:rPr>
      <w:kern w:val="0"/>
      <w:sz w:val="24"/>
      <w:lang w:eastAsia="en-IE"/>
      <w14:ligatures w14:val="none"/>
    </w:rPr>
    <w:tblPr>
      <w:tblStyleRowBandSize w:val="1"/>
      <w:tblStyleColBandSize w:val="1"/>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History">
    <w:name w:val="Table History"/>
    <w:basedOn w:val="TableNormal"/>
    <w:uiPriority w:val="99"/>
    <w:rsid w:val="00275D3E"/>
    <w:pPr>
      <w:spacing w:before="60" w:after="60" w:line="264" w:lineRule="auto"/>
    </w:pPr>
    <w:rPr>
      <w:kern w:val="0"/>
      <w:sz w:val="22"/>
      <w:lang w:eastAsia="en-IE"/>
      <w14:ligatures w14:val="none"/>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uiPriority w:val="99"/>
    <w:rsid w:val="00275D3E"/>
    <w:rPr>
      <w:kern w:val="0"/>
      <w:sz w:val="24"/>
      <w:lang w:eastAsia="en-IE"/>
      <w14:ligatures w14:val="none"/>
    </w:rPr>
    <w:tblPr/>
  </w:style>
  <w:style w:type="character" w:styleId="FootnoteReference">
    <w:name w:val="footnote reference"/>
    <w:aliases w:val="Footnote symbol,IT Fußnotenzeichen,Footnote symboFußnotenzeichen,Footnote sign,-E Fußnotenzeichen,ESPON Footnote No,Footnote call,Footnote Reference Superscript,Footnote reference number,Times 10 Point,Exposant 3 Point,Ref,SUPERS,numb"/>
    <w:basedOn w:val="DefaultParagraphFont"/>
    <w:link w:val="CharCharChar"/>
    <w:uiPriority w:val="99"/>
    <w:qFormat/>
    <w:rsid w:val="00275D3E"/>
    <w:rPr>
      <w:vertAlign w:val="superscript"/>
    </w:rPr>
  </w:style>
  <w:style w:type="character" w:styleId="Hyperlink">
    <w:name w:val="Hyperlink"/>
    <w:basedOn w:val="DefaultParagraphFont"/>
    <w:uiPriority w:val="99"/>
    <w:rsid w:val="00275D3E"/>
    <w:rPr>
      <w:color w:val="0000FF" w:themeColor="hyperlink"/>
      <w:u w:val="single"/>
    </w:rPr>
  </w:style>
  <w:style w:type="paragraph" w:customStyle="1" w:styleId="CharCharChar">
    <w:name w:val="Char Char Char"/>
    <w:basedOn w:val="Normal"/>
    <w:link w:val="FootnoteReference"/>
    <w:uiPriority w:val="99"/>
    <w:rsid w:val="00275D3E"/>
    <w:pPr>
      <w:spacing w:after="160" w:line="240" w:lineRule="exact"/>
      <w:ind w:left="357" w:hanging="357"/>
      <w:jc w:val="both"/>
    </w:pPr>
    <w:rPr>
      <w:sz w:val="20"/>
      <w:szCs w:val="20"/>
      <w:vertAlign w:val="superscript"/>
    </w:rPr>
  </w:style>
  <w:style w:type="character" w:styleId="CommentReference">
    <w:name w:val="annotation reference"/>
    <w:basedOn w:val="DefaultParagraphFont"/>
    <w:uiPriority w:val="99"/>
    <w:rsid w:val="00275D3E"/>
    <w:rPr>
      <w:sz w:val="16"/>
      <w:szCs w:val="16"/>
    </w:rPr>
  </w:style>
  <w:style w:type="paragraph" w:styleId="CommentText">
    <w:name w:val="annotation text"/>
    <w:basedOn w:val="Normal"/>
    <w:link w:val="CommentTextChar"/>
    <w:uiPriority w:val="99"/>
    <w:rsid w:val="00275D3E"/>
    <w:pPr>
      <w:spacing w:after="240"/>
      <w:jc w:val="both"/>
    </w:pPr>
    <w:rPr>
      <w:kern w:val="0"/>
      <w:sz w:val="20"/>
      <w:szCs w:val="20"/>
      <w:lang w:eastAsia="en-IE"/>
      <w14:ligatures w14:val="none"/>
    </w:rPr>
  </w:style>
  <w:style w:type="character" w:customStyle="1" w:styleId="CommentTextChar">
    <w:name w:val="Comment Text Char"/>
    <w:basedOn w:val="DefaultParagraphFont"/>
    <w:link w:val="CommentText"/>
    <w:uiPriority w:val="99"/>
    <w:rsid w:val="00275D3E"/>
    <w:rPr>
      <w:kern w:val="0"/>
      <w:lang w:eastAsia="en-IE"/>
      <w14:ligatures w14:val="none"/>
    </w:rPr>
  </w:style>
  <w:style w:type="paragraph" w:styleId="CommentSubject">
    <w:name w:val="annotation subject"/>
    <w:basedOn w:val="CommentText"/>
    <w:next w:val="CommentText"/>
    <w:link w:val="CommentSubjectChar"/>
    <w:semiHidden/>
    <w:rsid w:val="00275D3E"/>
    <w:rPr>
      <w:b/>
      <w:bCs/>
    </w:rPr>
  </w:style>
  <w:style w:type="character" w:customStyle="1" w:styleId="CommentSubjectChar">
    <w:name w:val="Comment Subject Char"/>
    <w:basedOn w:val="CommentTextChar"/>
    <w:link w:val="CommentSubject"/>
    <w:semiHidden/>
    <w:rsid w:val="00275D3E"/>
    <w:rPr>
      <w:b/>
      <w:bCs/>
      <w:kern w:val="0"/>
      <w:lang w:eastAsia="en-IE"/>
      <w14:ligatures w14:val="none"/>
    </w:rPr>
  </w:style>
  <w:style w:type="paragraph" w:customStyle="1" w:styleId="JRCText">
    <w:name w:val="JRC_Text"/>
    <w:basedOn w:val="Normal"/>
    <w:autoRedefine/>
    <w:qFormat/>
    <w:rsid w:val="00275D3E"/>
    <w:pPr>
      <w:spacing w:before="120" w:after="120" w:line="259" w:lineRule="auto"/>
    </w:pPr>
    <w:rPr>
      <w:rFonts w:ascii="EC Square Sans Pro" w:eastAsia="Calibri" w:hAnsi="EC Square Sans Pro"/>
      <w:kern w:val="0"/>
      <w:sz w:val="20"/>
      <w:szCs w:val="22"/>
      <w:lang w:eastAsia="en-US"/>
      <w14:ligatures w14:val="none"/>
    </w:rPr>
  </w:style>
  <w:style w:type="table" w:styleId="GridTable4-Accent6">
    <w:name w:val="Grid Table 4 Accent 6"/>
    <w:basedOn w:val="TableNormal"/>
    <w:rsid w:val="00275D3E"/>
    <w:rPr>
      <w:kern w:val="0"/>
      <w:sz w:val="24"/>
      <w:lang w:eastAsia="en-IE"/>
      <w14:ligatures w14:val="none"/>
    </w:rPr>
    <w:tblPr>
      <w:tblStyleRowBandSize w:val="1"/>
      <w:tblStyleColBandSize w:val="1"/>
    </w:tblPr>
    <w:tcPr>
      <w:shd w:val="clear" w:color="auto" w:fill="FDE9D9" w:themeFill="accent6" w:themeFillTint="33"/>
    </w:tc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style>
  <w:style w:type="character" w:styleId="FollowedHyperlink">
    <w:name w:val="FollowedHyperlink"/>
    <w:basedOn w:val="DefaultParagraphFont"/>
    <w:semiHidden/>
    <w:rsid w:val="00275D3E"/>
    <w:rPr>
      <w:color w:val="800080" w:themeColor="followedHyperlink"/>
      <w:u w:val="single"/>
    </w:rPr>
  </w:style>
  <w:style w:type="character" w:customStyle="1" w:styleId="highlight">
    <w:name w:val="highlight"/>
    <w:basedOn w:val="DefaultParagraphFont"/>
    <w:rsid w:val="00275D3E"/>
  </w:style>
  <w:style w:type="paragraph" w:styleId="PlainText">
    <w:name w:val="Plain Text"/>
    <w:basedOn w:val="Normal"/>
    <w:link w:val="PlainTextChar"/>
    <w:uiPriority w:val="99"/>
    <w:unhideWhenUsed/>
    <w:rsid w:val="00275D3E"/>
    <w:rPr>
      <w:rFonts w:ascii="Calibri" w:eastAsiaTheme="minorHAnsi" w:hAnsi="Calibri" w:cstheme="minorBidi"/>
      <w:kern w:val="0"/>
      <w:sz w:val="22"/>
      <w:szCs w:val="21"/>
      <w:lang w:eastAsia="en-US"/>
      <w14:ligatures w14:val="none"/>
    </w:rPr>
  </w:style>
  <w:style w:type="character" w:customStyle="1" w:styleId="PlainTextChar">
    <w:name w:val="Plain Text Char"/>
    <w:basedOn w:val="DefaultParagraphFont"/>
    <w:link w:val="PlainText"/>
    <w:uiPriority w:val="99"/>
    <w:rsid w:val="00275D3E"/>
    <w:rPr>
      <w:rFonts w:ascii="Calibri" w:eastAsiaTheme="minorHAnsi" w:hAnsi="Calibri" w:cstheme="minorBidi"/>
      <w:kern w:val="0"/>
      <w:sz w:val="22"/>
      <w:szCs w:val="21"/>
      <w:lang w:val="lv-LV" w:eastAsia="en-US"/>
      <w14:ligatures w14:val="none"/>
    </w:rPr>
  </w:style>
  <w:style w:type="character" w:customStyle="1" w:styleId="ListParagraphChar">
    <w:name w:val="List Paragraph Char"/>
    <w:aliases w:val="Fiche List Paragraph Char,OBC Bullet Char,Dot pt Char,F5 List Paragraph Char,List Paragraph1 Char,No Spacing1 Char,List Paragraph Char Char Char Char,Indicator Text Char,Colorful List - Accent 11 Char,Numbered Para 1 Char,2 Char"/>
    <w:link w:val="ListParagraph"/>
    <w:uiPriority w:val="34"/>
    <w:qFormat/>
    <w:locked/>
    <w:rsid w:val="00275D3E"/>
    <w:rPr>
      <w:sz w:val="24"/>
      <w:szCs w:val="24"/>
    </w:rPr>
  </w:style>
  <w:style w:type="character" w:customStyle="1" w:styleId="UnresolvedMention1">
    <w:name w:val="Unresolved Mention1"/>
    <w:basedOn w:val="DefaultParagraphFont"/>
    <w:semiHidden/>
    <w:locked/>
    <w:rsid w:val="00275D3E"/>
    <w:rPr>
      <w:color w:val="605E5C"/>
      <w:shd w:val="clear" w:color="auto" w:fill="E1DFDD"/>
    </w:rPr>
  </w:style>
  <w:style w:type="character" w:customStyle="1" w:styleId="Mention1">
    <w:name w:val="Mention1"/>
    <w:basedOn w:val="DefaultParagraphFont"/>
    <w:uiPriority w:val="99"/>
    <w:unhideWhenUsed/>
    <w:rsid w:val="00275D3E"/>
    <w:rPr>
      <w:color w:val="2B579A"/>
      <w:shd w:val="clear" w:color="auto" w:fill="E6E6E6"/>
    </w:rPr>
  </w:style>
  <w:style w:type="paragraph" w:styleId="BalloonText">
    <w:name w:val="Balloon Text"/>
    <w:basedOn w:val="Normal"/>
    <w:link w:val="BalloonTextChar"/>
    <w:semiHidden/>
    <w:rsid w:val="00275D3E"/>
    <w:pPr>
      <w:jc w:val="both"/>
    </w:pPr>
    <w:rPr>
      <w:rFonts w:ascii="Segoe UI" w:hAnsi="Segoe UI" w:cs="Segoe UI"/>
      <w:kern w:val="0"/>
      <w:sz w:val="18"/>
      <w:szCs w:val="18"/>
      <w:lang w:eastAsia="en-IE"/>
      <w14:ligatures w14:val="none"/>
    </w:rPr>
  </w:style>
  <w:style w:type="character" w:customStyle="1" w:styleId="BalloonTextChar">
    <w:name w:val="Balloon Text Char"/>
    <w:basedOn w:val="DefaultParagraphFont"/>
    <w:link w:val="BalloonText"/>
    <w:semiHidden/>
    <w:rsid w:val="00275D3E"/>
    <w:rPr>
      <w:rFonts w:ascii="Segoe UI" w:hAnsi="Segoe UI" w:cs="Segoe UI"/>
      <w:kern w:val="0"/>
      <w:sz w:val="18"/>
      <w:szCs w:val="18"/>
      <w:lang w:eastAsia="en-IE"/>
      <w14:ligatures w14:val="none"/>
    </w:rPr>
  </w:style>
  <w:style w:type="character" w:customStyle="1" w:styleId="UnresolvedMention2">
    <w:name w:val="Unresolved Mention2"/>
    <w:basedOn w:val="DefaultParagraphFont"/>
    <w:uiPriority w:val="99"/>
    <w:semiHidden/>
    <w:unhideWhenUsed/>
    <w:rsid w:val="00275D3E"/>
    <w:rPr>
      <w:color w:val="605E5C"/>
      <w:shd w:val="clear" w:color="auto" w:fill="E1DFDD"/>
    </w:rPr>
  </w:style>
  <w:style w:type="character" w:customStyle="1" w:styleId="normaltextrun">
    <w:name w:val="normaltextrun"/>
    <w:basedOn w:val="DefaultParagraphFont"/>
    <w:rsid w:val="00275D3E"/>
  </w:style>
  <w:style w:type="character" w:customStyle="1" w:styleId="eop">
    <w:name w:val="eop"/>
    <w:basedOn w:val="DefaultParagraphFont"/>
    <w:rsid w:val="00275D3E"/>
  </w:style>
  <w:style w:type="paragraph" w:styleId="Revision">
    <w:name w:val="Revision"/>
    <w:hidden/>
    <w:semiHidden/>
    <w:rsid w:val="00275D3E"/>
    <w:rPr>
      <w:kern w:val="0"/>
      <w:sz w:val="24"/>
      <w:lang w:eastAsia="en-IE"/>
      <w14:ligatures w14:val="none"/>
    </w:rPr>
  </w:style>
  <w:style w:type="character" w:customStyle="1" w:styleId="UnresolvedMention3">
    <w:name w:val="Unresolved Mention3"/>
    <w:basedOn w:val="DefaultParagraphFont"/>
    <w:uiPriority w:val="99"/>
    <w:semiHidden/>
    <w:unhideWhenUsed/>
    <w:rsid w:val="00275D3E"/>
    <w:rPr>
      <w:color w:val="605E5C"/>
      <w:shd w:val="clear" w:color="auto" w:fill="E1DFDD"/>
    </w:rPr>
  </w:style>
  <w:style w:type="character" w:customStyle="1" w:styleId="UnresolvedMention4">
    <w:name w:val="Unresolved Mention4"/>
    <w:basedOn w:val="DefaultParagraphFont"/>
    <w:uiPriority w:val="99"/>
    <w:semiHidden/>
    <w:unhideWhenUsed/>
    <w:rsid w:val="00275D3E"/>
    <w:rPr>
      <w:color w:val="605E5C"/>
      <w:shd w:val="clear" w:color="auto" w:fill="E1DFDD"/>
    </w:rPr>
  </w:style>
  <w:style w:type="character" w:customStyle="1" w:styleId="UnresolvedMention5">
    <w:name w:val="Unresolved Mention5"/>
    <w:basedOn w:val="DefaultParagraphFont"/>
    <w:uiPriority w:val="99"/>
    <w:semiHidden/>
    <w:unhideWhenUsed/>
    <w:rsid w:val="00275D3E"/>
    <w:rPr>
      <w:color w:val="605E5C"/>
      <w:shd w:val="clear" w:color="auto" w:fill="E1DFDD"/>
    </w:rPr>
  </w:style>
  <w:style w:type="character" w:customStyle="1" w:styleId="UnresolvedMention6">
    <w:name w:val="Unresolved Mention6"/>
    <w:basedOn w:val="DefaultParagraphFont"/>
    <w:uiPriority w:val="99"/>
    <w:semiHidden/>
    <w:unhideWhenUsed/>
    <w:rsid w:val="00275D3E"/>
    <w:rPr>
      <w:color w:val="605E5C"/>
      <w:shd w:val="clear" w:color="auto" w:fill="E1DFDD"/>
    </w:rPr>
  </w:style>
  <w:style w:type="character" w:customStyle="1" w:styleId="UnresolvedMention7">
    <w:name w:val="Unresolved Mention7"/>
    <w:basedOn w:val="DefaultParagraphFont"/>
    <w:uiPriority w:val="99"/>
    <w:semiHidden/>
    <w:unhideWhenUsed/>
    <w:rsid w:val="00275D3E"/>
    <w:rPr>
      <w:color w:val="605E5C"/>
      <w:shd w:val="clear" w:color="auto" w:fill="E1DFDD"/>
    </w:rPr>
  </w:style>
  <w:style w:type="character" w:customStyle="1" w:styleId="Text1Char">
    <w:name w:val="Text 1 Char"/>
    <w:link w:val="Text1"/>
    <w:uiPriority w:val="90"/>
    <w:rsid w:val="00275D3E"/>
    <w:rPr>
      <w:kern w:val="0"/>
      <w:sz w:val="24"/>
      <w:lang w:eastAsia="en-IE"/>
      <w14:ligatures w14:val="none"/>
    </w:rPr>
  </w:style>
  <w:style w:type="paragraph" w:customStyle="1" w:styleId="FigureNote">
    <w:name w:val="Figure Note"/>
    <w:basedOn w:val="FigureSource"/>
    <w:next w:val="FigureSource"/>
    <w:uiPriority w:val="7"/>
    <w:rsid w:val="00275D3E"/>
    <w:rPr>
      <w:b/>
      <w:lang w:eastAsia="fr-BE"/>
    </w:rPr>
  </w:style>
  <w:style w:type="paragraph" w:customStyle="1" w:styleId="YReferences">
    <w:name w:val="YReferences"/>
    <w:basedOn w:val="Normal"/>
    <w:rsid w:val="00275D3E"/>
    <w:pPr>
      <w:spacing w:after="480"/>
      <w:ind w:left="3062" w:hanging="1531"/>
      <w:contextualSpacing/>
      <w:jc w:val="both"/>
    </w:pPr>
    <w:rPr>
      <w:kern w:val="0"/>
      <w:szCs w:val="20"/>
      <w:lang w:eastAsia="fr-BE"/>
      <w14:ligatures w14:val="none"/>
    </w:rPr>
  </w:style>
  <w:style w:type="paragraph" w:customStyle="1" w:styleId="Enclosures">
    <w:name w:val="Enclosures"/>
    <w:basedOn w:val="Normal"/>
    <w:rsid w:val="00275D3E"/>
    <w:pPr>
      <w:keepNext/>
      <w:keepLines/>
      <w:tabs>
        <w:tab w:val="left" w:pos="5641"/>
      </w:tabs>
      <w:spacing w:before="480"/>
      <w:ind w:left="2382" w:hanging="1191"/>
      <w:contextualSpacing/>
    </w:pPr>
    <w:rPr>
      <w:kern w:val="0"/>
      <w:szCs w:val="20"/>
      <w:lang w:eastAsia="fr-BE"/>
      <w14:ligatures w14:val="none"/>
    </w:rPr>
  </w:style>
  <w:style w:type="paragraph" w:customStyle="1" w:styleId="AddressTR">
    <w:name w:val="AddressTR"/>
    <w:basedOn w:val="Normal"/>
    <w:next w:val="Normal"/>
    <w:rsid w:val="00275D3E"/>
    <w:pPr>
      <w:spacing w:after="720"/>
      <w:ind w:left="5102"/>
    </w:pPr>
    <w:rPr>
      <w:kern w:val="0"/>
      <w:szCs w:val="20"/>
      <w:lang w:eastAsia="fr-BE"/>
      <w14:ligatures w14:val="none"/>
    </w:rPr>
  </w:style>
  <w:style w:type="paragraph" w:customStyle="1" w:styleId="AddressTL">
    <w:name w:val="AddressTL"/>
    <w:basedOn w:val="Normal"/>
    <w:next w:val="Normal"/>
    <w:rsid w:val="00275D3E"/>
    <w:pPr>
      <w:spacing w:after="720"/>
    </w:pPr>
    <w:rPr>
      <w:kern w:val="0"/>
      <w:szCs w:val="20"/>
      <w:lang w:eastAsia="fr-BE"/>
      <w14:ligatures w14:val="none"/>
    </w:rPr>
  </w:style>
  <w:style w:type="paragraph" w:customStyle="1" w:styleId="Address">
    <w:name w:val="Address"/>
    <w:basedOn w:val="Normal"/>
    <w:rsid w:val="00275D3E"/>
    <w:rPr>
      <w:kern w:val="0"/>
      <w:szCs w:val="20"/>
      <w:lang w:eastAsia="fr-BE"/>
      <w14:ligatures w14:val="none"/>
    </w:rPr>
  </w:style>
  <w:style w:type="paragraph" w:customStyle="1" w:styleId="Body">
    <w:name w:val="Body"/>
    <w:rsid w:val="00275D3E"/>
    <w:pPr>
      <w:pBdr>
        <w:top w:val="nil"/>
        <w:left w:val="nil"/>
        <w:bottom w:val="nil"/>
        <w:right w:val="nil"/>
        <w:between w:val="nil"/>
        <w:bar w:val="nil"/>
      </w:pBdr>
      <w:spacing w:before="160" w:line="288" w:lineRule="auto"/>
    </w:pPr>
    <w:rPr>
      <w:rFonts w:ascii="Helvetica Neue" w:eastAsia="Arial Unicode MS" w:hAnsi="Helvetica Neue" w:cs="Arial Unicode MS"/>
      <w:color w:val="000000"/>
      <w:kern w:val="0"/>
      <w:sz w:val="24"/>
      <w:szCs w:val="24"/>
      <w:bdr w:val="nil"/>
      <w:lang w:eastAsia="fr-BE"/>
      <w14:textOutline w14:w="0" w14:cap="flat" w14:cmpd="sng" w14:algn="ctr">
        <w14:noFill/>
        <w14:prstDash w14:val="solid"/>
        <w14:bevel/>
      </w14:textOutline>
      <w14:ligatures w14:val="none"/>
    </w:rPr>
  </w:style>
  <w:style w:type="paragraph" w:customStyle="1" w:styleId="TableStyle1">
    <w:name w:val="Table Style 1"/>
    <w:rsid w:val="00275D3E"/>
    <w:pPr>
      <w:pBdr>
        <w:top w:val="nil"/>
        <w:left w:val="nil"/>
        <w:bottom w:val="nil"/>
        <w:right w:val="nil"/>
        <w:between w:val="nil"/>
        <w:bar w:val="nil"/>
      </w:pBdr>
    </w:pPr>
    <w:rPr>
      <w:rFonts w:ascii="Helvetica Neue" w:eastAsia="Helvetica Neue" w:hAnsi="Helvetica Neue" w:cs="Helvetica Neue"/>
      <w:b/>
      <w:bCs/>
      <w:color w:val="000000"/>
      <w:kern w:val="0"/>
      <w:bdr w:val="nil"/>
      <w:lang w:eastAsia="fr-BE"/>
      <w14:textOutline w14:w="0" w14:cap="flat" w14:cmpd="sng" w14:algn="ctr">
        <w14:noFill/>
        <w14:prstDash w14:val="solid"/>
        <w14:bevel/>
      </w14:textOutline>
      <w14:ligatures w14:val="none"/>
    </w:rPr>
  </w:style>
  <w:style w:type="paragraph" w:customStyle="1" w:styleId="TableStyle2">
    <w:name w:val="Table Style 2"/>
    <w:rsid w:val="00275D3E"/>
    <w:pPr>
      <w:pBdr>
        <w:top w:val="nil"/>
        <w:left w:val="nil"/>
        <w:bottom w:val="nil"/>
        <w:right w:val="nil"/>
        <w:between w:val="nil"/>
        <w:bar w:val="nil"/>
      </w:pBdr>
    </w:pPr>
    <w:rPr>
      <w:rFonts w:ascii="Helvetica Neue" w:eastAsia="Helvetica Neue" w:hAnsi="Helvetica Neue" w:cs="Helvetica Neue"/>
      <w:color w:val="000000"/>
      <w:kern w:val="0"/>
      <w:bdr w:val="nil"/>
      <w:lang w:eastAsia="fr-BE"/>
      <w14:textOutline w14:w="0" w14:cap="flat" w14:cmpd="sng" w14:algn="ctr">
        <w14:noFill/>
        <w14:prstDash w14:val="solid"/>
        <w14:bevel/>
      </w14:textOutline>
      <w14:ligatures w14:val="none"/>
    </w:rPr>
  </w:style>
  <w:style w:type="paragraph" w:customStyle="1" w:styleId="paragraph">
    <w:name w:val="paragraph"/>
    <w:basedOn w:val="Normal"/>
    <w:rsid w:val="00275D3E"/>
    <w:pPr>
      <w:spacing w:before="100" w:beforeAutospacing="1" w:after="100" w:afterAutospacing="1"/>
    </w:pPr>
    <w:rPr>
      <w:kern w:val="0"/>
      <w:lang w:eastAsia="fr-BE"/>
      <w14:ligatures w14:val="none"/>
    </w:rPr>
  </w:style>
  <w:style w:type="character" w:customStyle="1" w:styleId="advancedproofingissue">
    <w:name w:val="advancedproofingissue"/>
    <w:basedOn w:val="DefaultParagraphFont"/>
    <w:rsid w:val="00275D3E"/>
  </w:style>
  <w:style w:type="paragraph" w:styleId="NormalWeb">
    <w:name w:val="Normal (Web)"/>
    <w:basedOn w:val="Normal"/>
    <w:uiPriority w:val="99"/>
    <w:unhideWhenUsed/>
    <w:rsid w:val="00275D3E"/>
    <w:pPr>
      <w:spacing w:before="100" w:beforeAutospacing="1" w:after="100" w:afterAutospacing="1"/>
    </w:pPr>
    <w:rPr>
      <w:rFonts w:eastAsiaTheme="minorEastAsia"/>
      <w:kern w:val="0"/>
      <w14:ligatures w14:val="none"/>
    </w:rPr>
  </w:style>
  <w:style w:type="paragraph" w:styleId="BodyText">
    <w:name w:val="Body Text"/>
    <w:basedOn w:val="Normal"/>
    <w:link w:val="BodyTextChar"/>
    <w:rsid w:val="00275D3E"/>
    <w:pPr>
      <w:spacing w:after="120"/>
      <w:jc w:val="both"/>
    </w:pPr>
    <w:rPr>
      <w:kern w:val="0"/>
      <w:szCs w:val="20"/>
      <w:lang w:eastAsia="en-US"/>
      <w14:ligatures w14:val="none"/>
    </w:rPr>
  </w:style>
  <w:style w:type="character" w:customStyle="1" w:styleId="BodyTextChar">
    <w:name w:val="Body Text Char"/>
    <w:basedOn w:val="DefaultParagraphFont"/>
    <w:link w:val="BodyText"/>
    <w:rsid w:val="00275D3E"/>
    <w:rPr>
      <w:kern w:val="0"/>
      <w:sz w:val="24"/>
      <w:lang w:eastAsia="en-US"/>
      <w14:ligatures w14:val="none"/>
    </w:rPr>
  </w:style>
  <w:style w:type="paragraph" w:customStyle="1" w:styleId="Para1">
    <w:name w:val="Para_1"/>
    <w:basedOn w:val="Normal"/>
    <w:link w:val="Para1Char"/>
    <w:qFormat/>
    <w:rsid w:val="00275D3E"/>
    <w:pPr>
      <w:tabs>
        <w:tab w:val="left" w:pos="454"/>
        <w:tab w:val="left" w:pos="567"/>
      </w:tabs>
      <w:spacing w:after="240" w:line="360" w:lineRule="auto"/>
    </w:pPr>
    <w:rPr>
      <w:rFonts w:ascii="Calibri" w:hAnsi="Calibri"/>
      <w:kern w:val="0"/>
      <w:sz w:val="22"/>
      <w:szCs w:val="20"/>
      <w14:ligatures w14:val="none"/>
    </w:rPr>
  </w:style>
  <w:style w:type="character" w:customStyle="1" w:styleId="Para1Char">
    <w:name w:val="Para_1 Char"/>
    <w:link w:val="Para1"/>
    <w:locked/>
    <w:rsid w:val="00275D3E"/>
    <w:rPr>
      <w:rFonts w:ascii="Calibri" w:hAnsi="Calibri"/>
      <w:kern w:val="0"/>
      <w:sz w:val="22"/>
      <w14:ligatures w14:val="none"/>
    </w:rPr>
  </w:style>
  <w:style w:type="character" w:customStyle="1" w:styleId="truncate">
    <w:name w:val="truncate"/>
    <w:basedOn w:val="DefaultParagraphFont"/>
    <w:rsid w:val="00275D3E"/>
  </w:style>
  <w:style w:type="character" w:customStyle="1" w:styleId="spellingerror">
    <w:name w:val="spellingerror"/>
    <w:basedOn w:val="DefaultParagraphFont"/>
    <w:rsid w:val="00275D3E"/>
  </w:style>
  <w:style w:type="paragraph" w:customStyle="1" w:styleId="Typedudocument">
    <w:name w:val="Type du document"/>
    <w:basedOn w:val="Normal"/>
    <w:next w:val="Normal"/>
    <w:link w:val="TypedudocumentChar"/>
    <w:rsid w:val="00275D3E"/>
    <w:pPr>
      <w:spacing w:before="360"/>
      <w:jc w:val="center"/>
    </w:pPr>
    <w:rPr>
      <w:rFonts w:eastAsiaTheme="minorHAnsi"/>
      <w:b/>
      <w:kern w:val="0"/>
      <w:szCs w:val="22"/>
      <w:lang w:eastAsia="en-US"/>
      <w14:ligatures w14:val="none"/>
    </w:rPr>
  </w:style>
  <w:style w:type="paragraph" w:customStyle="1" w:styleId="Titreobjet">
    <w:name w:val="Titre objet"/>
    <w:basedOn w:val="Normal"/>
    <w:next w:val="Normal"/>
    <w:rsid w:val="00275D3E"/>
    <w:pPr>
      <w:spacing w:before="360" w:after="360"/>
      <w:jc w:val="center"/>
    </w:pPr>
    <w:rPr>
      <w:rFonts w:eastAsiaTheme="minorHAnsi"/>
      <w:b/>
      <w:kern w:val="0"/>
      <w:szCs w:val="22"/>
      <w:lang w:eastAsia="en-US"/>
      <w14:ligatures w14:val="none"/>
    </w:rPr>
  </w:style>
  <w:style w:type="character" w:customStyle="1" w:styleId="TypedudocumentChar">
    <w:name w:val="Type du document Char"/>
    <w:basedOn w:val="DefaultParagraphFont"/>
    <w:link w:val="Typedudocument"/>
    <w:rsid w:val="00275D3E"/>
    <w:rPr>
      <w:rFonts w:eastAsiaTheme="minorHAnsi"/>
      <w:b/>
      <w:kern w:val="0"/>
      <w:sz w:val="24"/>
      <w:szCs w:val="22"/>
      <w:lang w:eastAsia="en-US"/>
      <w14:ligatures w14:val="none"/>
    </w:rPr>
  </w:style>
  <w:style w:type="character" w:styleId="Emphasis">
    <w:name w:val="Emphasis"/>
    <w:basedOn w:val="DefaultParagraphFont"/>
    <w:uiPriority w:val="20"/>
    <w:qFormat/>
    <w:rsid w:val="00275D3E"/>
    <w:rPr>
      <w:i/>
      <w:iCs/>
    </w:rPr>
  </w:style>
  <w:style w:type="paragraph" w:customStyle="1" w:styleId="Default">
    <w:name w:val="Default"/>
    <w:rsid w:val="00275D3E"/>
    <w:pPr>
      <w:autoSpaceDE w:val="0"/>
      <w:autoSpaceDN w:val="0"/>
      <w:adjustRightInd w:val="0"/>
    </w:pPr>
    <w:rPr>
      <w:color w:val="000000"/>
      <w:kern w:val="0"/>
      <w:sz w:val="24"/>
      <w:szCs w:val="24"/>
      <w:lang w:eastAsia="fr-BE"/>
      <w14:ligatures w14:val="none"/>
    </w:rPr>
  </w:style>
  <w:style w:type="character" w:styleId="Strong">
    <w:name w:val="Strong"/>
    <w:basedOn w:val="DefaultParagraphFont"/>
    <w:uiPriority w:val="22"/>
    <w:qFormat/>
    <w:rsid w:val="00275D3E"/>
    <w:rPr>
      <w:b/>
      <w:bCs/>
    </w:rPr>
  </w:style>
  <w:style w:type="character" w:customStyle="1" w:styleId="LegalNumParChar">
    <w:name w:val="LegalNumPar Char"/>
    <w:basedOn w:val="DefaultParagraphFont"/>
    <w:link w:val="LegalNumPar"/>
    <w:rsid w:val="00275D3E"/>
    <w:rPr>
      <w:kern w:val="0"/>
      <w:sz w:val="24"/>
      <w:lang w:eastAsia="en-IE"/>
      <w14:ligatures w14:val="none"/>
    </w:rPr>
  </w:style>
  <w:style w:type="paragraph" w:customStyle="1" w:styleId="Normal1">
    <w:name w:val="Normal1"/>
    <w:basedOn w:val="Normal"/>
    <w:rsid w:val="00275D3E"/>
    <w:pPr>
      <w:spacing w:before="100" w:beforeAutospacing="1" w:after="100" w:afterAutospacing="1"/>
    </w:pPr>
    <w:rPr>
      <w:kern w:val="0"/>
      <w:lang w:eastAsia="en-US"/>
      <w14:ligatures w14:val="none"/>
    </w:rPr>
  </w:style>
  <w:style w:type="character" w:customStyle="1" w:styleId="footnotereference0">
    <w:name w:val="footnotereference"/>
    <w:basedOn w:val="DefaultParagraphFont"/>
    <w:rsid w:val="00275D3E"/>
  </w:style>
  <w:style w:type="paragraph" w:styleId="List2">
    <w:name w:val="List 2"/>
    <w:basedOn w:val="Normal"/>
    <w:semiHidden/>
    <w:rsid w:val="00275D3E"/>
    <w:pPr>
      <w:spacing w:after="240"/>
      <w:ind w:left="566" w:hanging="283"/>
      <w:contextualSpacing/>
      <w:jc w:val="both"/>
    </w:pPr>
    <w:rPr>
      <w:kern w:val="0"/>
      <w:szCs w:val="20"/>
      <w:lang w:eastAsia="fr-BE"/>
      <w14:ligatures w14:val="none"/>
    </w:rPr>
  </w:style>
  <w:style w:type="paragraph" w:customStyle="1" w:styleId="Disclaimer">
    <w:name w:val="Disclaimer"/>
    <w:basedOn w:val="Normal"/>
    <w:rsid w:val="00275D3E"/>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jc w:val="both"/>
    </w:pPr>
    <w:rPr>
      <w:rFonts w:eastAsiaTheme="minorHAnsi"/>
      <w:kern w:val="0"/>
      <w:szCs w:val="22"/>
      <w:lang w:eastAsia="en-US"/>
      <w14:ligatures w14:val="none"/>
    </w:rPr>
  </w:style>
  <w:style w:type="paragraph" w:customStyle="1" w:styleId="SecurityMarking">
    <w:name w:val="SecurityMarking"/>
    <w:basedOn w:val="Normal"/>
    <w:rsid w:val="00275D3E"/>
    <w:pPr>
      <w:spacing w:line="276" w:lineRule="auto"/>
      <w:ind w:left="5103"/>
    </w:pPr>
    <w:rPr>
      <w:rFonts w:eastAsiaTheme="minorHAnsi"/>
      <w:kern w:val="0"/>
      <w:sz w:val="28"/>
      <w:szCs w:val="22"/>
      <w:lang w:eastAsia="en-US"/>
      <w14:ligatures w14:val="none"/>
    </w:rPr>
  </w:style>
  <w:style w:type="paragraph" w:customStyle="1" w:styleId="DateMarking">
    <w:name w:val="DateMarking"/>
    <w:basedOn w:val="Normal"/>
    <w:rsid w:val="00275D3E"/>
    <w:pPr>
      <w:spacing w:line="276" w:lineRule="auto"/>
      <w:ind w:left="5103"/>
    </w:pPr>
    <w:rPr>
      <w:rFonts w:eastAsiaTheme="minorHAnsi"/>
      <w:i/>
      <w:kern w:val="0"/>
      <w:sz w:val="28"/>
      <w:szCs w:val="22"/>
      <w:lang w:eastAsia="en-US"/>
      <w14:ligatures w14:val="none"/>
    </w:rPr>
  </w:style>
  <w:style w:type="paragraph" w:customStyle="1" w:styleId="ReleasableTo">
    <w:name w:val="ReleasableTo"/>
    <w:basedOn w:val="Normal"/>
    <w:rsid w:val="00275D3E"/>
    <w:pPr>
      <w:spacing w:line="276" w:lineRule="auto"/>
      <w:ind w:left="5103"/>
    </w:pPr>
    <w:rPr>
      <w:rFonts w:eastAsiaTheme="minorHAnsi"/>
      <w:i/>
      <w:kern w:val="0"/>
      <w:sz w:val="28"/>
      <w:szCs w:val="22"/>
      <w:lang w:eastAsia="en-US"/>
      <w14:ligatures w14:val="none"/>
    </w:rPr>
  </w:style>
  <w:style w:type="character" w:customStyle="1" w:styleId="UnresolvedMention">
    <w:name w:val="Unresolved Mention"/>
    <w:basedOn w:val="DefaultParagraphFont"/>
    <w:uiPriority w:val="99"/>
    <w:semiHidden/>
    <w:unhideWhenUsed/>
    <w:rsid w:val="00275D3E"/>
    <w:rPr>
      <w:color w:val="605E5C"/>
      <w:shd w:val="clear" w:color="auto" w:fill="E1DFDD"/>
    </w:rPr>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basedOn w:val="Normal"/>
    <w:uiPriority w:val="99"/>
    <w:rsid w:val="00275D3E"/>
    <w:pPr>
      <w:spacing w:before="120" w:after="200" w:line="240" w:lineRule="exact"/>
    </w:pPr>
    <w:rPr>
      <w:rFonts w:asciiTheme="minorHAnsi" w:eastAsiaTheme="minorHAnsi" w:hAnsiTheme="minorHAnsi" w:cstheme="minorBidi"/>
      <w:kern w:val="0"/>
      <w:sz w:val="22"/>
      <w:szCs w:val="22"/>
      <w:vertAlign w:val="superscript"/>
      <w:lang w:eastAsia="en-US"/>
      <w14:ligatures w14:val="none"/>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275D3E"/>
    <w:pPr>
      <w:spacing w:after="160" w:line="240" w:lineRule="exact"/>
      <w:jc w:val="both"/>
    </w:pPr>
    <w:rPr>
      <w:rFonts w:asciiTheme="minorHAnsi" w:eastAsiaTheme="minorHAnsi" w:hAnsiTheme="minorHAnsi" w:cstheme="minorBidi"/>
      <w:vertAlign w:val="superscript"/>
      <w:lang w:eastAsia="en-US"/>
    </w:rPr>
  </w:style>
  <w:style w:type="character" w:customStyle="1" w:styleId="Mention">
    <w:name w:val="Mention"/>
    <w:basedOn w:val="DefaultParagraphFont"/>
    <w:uiPriority w:val="99"/>
    <w:unhideWhenUsed/>
    <w:rsid w:val="00275D3E"/>
    <w:rPr>
      <w:color w:val="2B579A"/>
      <w:shd w:val="clear" w:color="auto" w:fill="E1DFDD"/>
    </w:rPr>
  </w:style>
  <w:style w:type="character" w:customStyle="1" w:styleId="trackchangetextinsertion">
    <w:name w:val="trackchangetextinsertion"/>
    <w:basedOn w:val="DefaultParagraphFont"/>
    <w:rsid w:val="00E06994"/>
  </w:style>
  <w:style w:type="paragraph" w:customStyle="1" w:styleId="Languesfaisantfoi">
    <w:name w:val="Langues faisant foi"/>
    <w:basedOn w:val="Normal"/>
    <w:next w:val="Normal"/>
    <w:rsid w:val="00405DAE"/>
    <w:pPr>
      <w:spacing w:before="360" w:after="240"/>
      <w:jc w:val="center"/>
    </w:pPr>
    <w:rPr>
      <w:rFonts w:eastAsiaTheme="minorHAnsi"/>
      <w:kern w:val="0"/>
      <w:szCs w:val="22"/>
      <w:lang w:eastAsia="en-US"/>
      <w14:ligatures w14:val="none"/>
    </w:rPr>
  </w:style>
  <w:style w:type="paragraph" w:customStyle="1" w:styleId="LanguesfaisantfoiPagedecouverture">
    <w:name w:val="Langues faisant foi (Page de couverture)"/>
    <w:basedOn w:val="Normal"/>
    <w:next w:val="Normal"/>
    <w:rsid w:val="00405DAE"/>
    <w:pPr>
      <w:spacing w:before="360" w:after="240"/>
      <w:jc w:val="center"/>
    </w:pPr>
    <w:rPr>
      <w:rFonts w:eastAsiaTheme="minorHAnsi"/>
      <w:kern w:val="0"/>
      <w:szCs w:val="22"/>
      <w:lang w:eastAsia="en-US"/>
      <w14:ligatures w14:val="none"/>
    </w:rPr>
  </w:style>
  <w:style w:type="paragraph" w:customStyle="1" w:styleId="IntrtEEE">
    <w:name w:val="Intérêt EEE"/>
    <w:basedOn w:val="Languesfaisantfoi"/>
    <w:next w:val="Normal"/>
    <w:rsid w:val="00405DAE"/>
    <w:pPr>
      <w:spacing w:after="0"/>
    </w:pPr>
  </w:style>
  <w:style w:type="paragraph" w:customStyle="1" w:styleId="IntrtEEEPagedecouverture">
    <w:name w:val="Intérêt EEE (Page de couverture)"/>
    <w:basedOn w:val="IntrtEEE"/>
    <w:next w:val="Normal"/>
    <w:rsid w:val="00405DAE"/>
  </w:style>
  <w:style w:type="character" w:styleId="EndnoteReference">
    <w:name w:val="endnote reference"/>
    <w:basedOn w:val="DefaultParagraphFont"/>
    <w:semiHidden/>
    <w:unhideWhenUsed/>
    <w:rsid w:val="00C51D5B"/>
    <w:rPr>
      <w:vertAlign w:val="superscript"/>
    </w:rPr>
  </w:style>
  <w:style w:type="paragraph" w:customStyle="1" w:styleId="JRCCovertextNospacingafter">
    <w:name w:val="JRC_Cover_text (No spacing after)"/>
    <w:basedOn w:val="Normal"/>
    <w:next w:val="Normal"/>
    <w:qFormat/>
    <w:rsid w:val="00FC5A0F"/>
    <w:pPr>
      <w:widowControl w:val="0"/>
      <w:suppressAutoHyphens/>
      <w:spacing w:before="240" w:line="264" w:lineRule="auto"/>
    </w:pPr>
    <w:rPr>
      <w:rFonts w:ascii="EC Square Sans Pro" w:hAnsi="EC Square Sans Pro"/>
      <w:bCs/>
      <w:kern w:val="0"/>
      <w:sz w:val="18"/>
      <w:szCs w:val="1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7778">
      <w:bodyDiv w:val="1"/>
      <w:marLeft w:val="0"/>
      <w:marRight w:val="0"/>
      <w:marTop w:val="0"/>
      <w:marBottom w:val="0"/>
      <w:divBdr>
        <w:top w:val="none" w:sz="0" w:space="0" w:color="auto"/>
        <w:left w:val="none" w:sz="0" w:space="0" w:color="auto"/>
        <w:bottom w:val="none" w:sz="0" w:space="0" w:color="auto"/>
        <w:right w:val="none" w:sz="0" w:space="0" w:color="auto"/>
      </w:divBdr>
    </w:div>
    <w:div w:id="315188741">
      <w:bodyDiv w:val="1"/>
      <w:marLeft w:val="0"/>
      <w:marRight w:val="0"/>
      <w:marTop w:val="0"/>
      <w:marBottom w:val="0"/>
      <w:divBdr>
        <w:top w:val="none" w:sz="0" w:space="0" w:color="auto"/>
        <w:left w:val="none" w:sz="0" w:space="0" w:color="auto"/>
        <w:bottom w:val="none" w:sz="0" w:space="0" w:color="auto"/>
        <w:right w:val="none" w:sz="0" w:space="0" w:color="auto"/>
      </w:divBdr>
    </w:div>
    <w:div w:id="348338883">
      <w:bodyDiv w:val="1"/>
      <w:marLeft w:val="0"/>
      <w:marRight w:val="0"/>
      <w:marTop w:val="0"/>
      <w:marBottom w:val="0"/>
      <w:divBdr>
        <w:top w:val="none" w:sz="0" w:space="0" w:color="auto"/>
        <w:left w:val="none" w:sz="0" w:space="0" w:color="auto"/>
        <w:bottom w:val="none" w:sz="0" w:space="0" w:color="auto"/>
        <w:right w:val="none" w:sz="0" w:space="0" w:color="auto"/>
      </w:divBdr>
    </w:div>
    <w:div w:id="427581124">
      <w:bodyDiv w:val="1"/>
      <w:marLeft w:val="0"/>
      <w:marRight w:val="0"/>
      <w:marTop w:val="0"/>
      <w:marBottom w:val="0"/>
      <w:divBdr>
        <w:top w:val="none" w:sz="0" w:space="0" w:color="auto"/>
        <w:left w:val="none" w:sz="0" w:space="0" w:color="auto"/>
        <w:bottom w:val="none" w:sz="0" w:space="0" w:color="auto"/>
        <w:right w:val="none" w:sz="0" w:space="0" w:color="auto"/>
      </w:divBdr>
    </w:div>
    <w:div w:id="434328860">
      <w:bodyDiv w:val="1"/>
      <w:marLeft w:val="0"/>
      <w:marRight w:val="0"/>
      <w:marTop w:val="0"/>
      <w:marBottom w:val="0"/>
      <w:divBdr>
        <w:top w:val="none" w:sz="0" w:space="0" w:color="auto"/>
        <w:left w:val="none" w:sz="0" w:space="0" w:color="auto"/>
        <w:bottom w:val="none" w:sz="0" w:space="0" w:color="auto"/>
        <w:right w:val="none" w:sz="0" w:space="0" w:color="auto"/>
      </w:divBdr>
    </w:div>
    <w:div w:id="828592270">
      <w:bodyDiv w:val="1"/>
      <w:marLeft w:val="0"/>
      <w:marRight w:val="0"/>
      <w:marTop w:val="0"/>
      <w:marBottom w:val="0"/>
      <w:divBdr>
        <w:top w:val="none" w:sz="0" w:space="0" w:color="auto"/>
        <w:left w:val="none" w:sz="0" w:space="0" w:color="auto"/>
        <w:bottom w:val="none" w:sz="0" w:space="0" w:color="auto"/>
        <w:right w:val="none" w:sz="0" w:space="0" w:color="auto"/>
      </w:divBdr>
    </w:div>
    <w:div w:id="1243415650">
      <w:bodyDiv w:val="1"/>
      <w:marLeft w:val="0"/>
      <w:marRight w:val="0"/>
      <w:marTop w:val="0"/>
      <w:marBottom w:val="0"/>
      <w:divBdr>
        <w:top w:val="none" w:sz="0" w:space="0" w:color="auto"/>
        <w:left w:val="none" w:sz="0" w:space="0" w:color="auto"/>
        <w:bottom w:val="none" w:sz="0" w:space="0" w:color="auto"/>
        <w:right w:val="none" w:sz="0" w:space="0" w:color="auto"/>
      </w:divBdr>
    </w:div>
    <w:div w:id="1380207728">
      <w:bodyDiv w:val="1"/>
      <w:marLeft w:val="0"/>
      <w:marRight w:val="0"/>
      <w:marTop w:val="0"/>
      <w:marBottom w:val="0"/>
      <w:divBdr>
        <w:top w:val="none" w:sz="0" w:space="0" w:color="auto"/>
        <w:left w:val="none" w:sz="0" w:space="0" w:color="auto"/>
        <w:bottom w:val="none" w:sz="0" w:space="0" w:color="auto"/>
        <w:right w:val="none" w:sz="0" w:space="0" w:color="auto"/>
      </w:divBdr>
    </w:div>
    <w:div w:id="1533037661">
      <w:bodyDiv w:val="1"/>
      <w:marLeft w:val="0"/>
      <w:marRight w:val="0"/>
      <w:marTop w:val="0"/>
      <w:marBottom w:val="0"/>
      <w:divBdr>
        <w:top w:val="none" w:sz="0" w:space="0" w:color="auto"/>
        <w:left w:val="none" w:sz="0" w:space="0" w:color="auto"/>
        <w:bottom w:val="none" w:sz="0" w:space="0" w:color="auto"/>
        <w:right w:val="none" w:sz="0" w:space="0" w:color="auto"/>
      </w:divBdr>
    </w:div>
    <w:div w:id="177806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op.europa.eu/lv/publication-detail/-/publication/075cf595-fe31-11ef-b7db-01aa75ed71a1/language-lv" TargetMode="External"/><Relationship Id="rId117" Type="http://schemas.openxmlformats.org/officeDocument/2006/relationships/hyperlink" Target="https://www.bund.net/themen/chemie/toxfox/" TargetMode="External"/><Relationship Id="rId21" Type="http://schemas.openxmlformats.org/officeDocument/2006/relationships/hyperlink" Target="https://greenlahti.fi/en/story" TargetMode="External"/><Relationship Id="rId42" Type="http://schemas.openxmlformats.org/officeDocument/2006/relationships/hyperlink" Target="https://freelitterat.eu/" TargetMode="External"/><Relationship Id="rId47" Type="http://schemas.openxmlformats.org/officeDocument/2006/relationships/hyperlink" Target="https://www.astral-project.eu/" TargetMode="External"/><Relationship Id="rId63" Type="http://schemas.openxmlformats.org/officeDocument/2006/relationships/hyperlink" Target="https://pharmadetox.eu/" TargetMode="External"/><Relationship Id="rId68" Type="http://schemas.openxmlformats.org/officeDocument/2006/relationships/hyperlink" Target="https://chromafora.com/insights/chromafora-to-tackle-widespread-chemical-pollution-with-22.5-million-eu-backing" TargetMode="External"/><Relationship Id="rId84" Type="http://schemas.openxmlformats.org/officeDocument/2006/relationships/hyperlink" Target="https://econutri-project.eu/" TargetMode="External"/><Relationship Id="rId89" Type="http://schemas.openxmlformats.org/officeDocument/2006/relationships/hyperlink" Target="https://www.recolab.se/)" TargetMode="External"/><Relationship Id="rId112" Type="http://schemas.openxmlformats.org/officeDocument/2006/relationships/hyperlink" Target="https://www.euspa.europa.eu/opportunities/horizon-europe/project-portfolio/edgar-egnss-dfmc-gbas-based-operations" TargetMode="External"/><Relationship Id="rId16" Type="http://schemas.openxmlformats.org/officeDocument/2006/relationships/header" Target="header3.xml"/><Relationship Id="rId107" Type="http://schemas.openxmlformats.org/officeDocument/2006/relationships/hyperlink" Target="https://www.euspa.europa.eu/newsroom-events/success-stories/azulfy-empowering-cities-fight-pollution-satellites" TargetMode="External"/><Relationship Id="rId11" Type="http://schemas.openxmlformats.org/officeDocument/2006/relationships/image" Target="media/image1.emf"/><Relationship Id="rId32" Type="http://schemas.openxmlformats.org/officeDocument/2006/relationships/hyperlink" Target="https://intodbp.eu/" TargetMode="External"/><Relationship Id="rId37" Type="http://schemas.openxmlformats.org/officeDocument/2006/relationships/hyperlink" Target="https://d4runoff.eu/" TargetMode="External"/><Relationship Id="rId53" Type="http://schemas.openxmlformats.org/officeDocument/2006/relationships/hyperlink" Target="https://civil-protection-knowledge-network.europa.eu/projects/imaros-2" TargetMode="External"/><Relationship Id="rId58" Type="http://schemas.openxmlformats.org/officeDocument/2006/relationships/hyperlink" Target="https://expanseproject.eu/" TargetMode="External"/><Relationship Id="rId74" Type="http://schemas.openxmlformats.org/officeDocument/2006/relationships/hyperlink" Target="https://cordis.europa.eu/project/id/101112723" TargetMode="External"/><Relationship Id="rId79" Type="http://schemas.openxmlformats.org/officeDocument/2006/relationships/hyperlink" Target="https://webgate.ec.europa.eu/life/publicWebsite/project/LIFE16-ENV-IT-000004/advanced-logistics-platform-with-road-pricing-and-access-criteria-to-improve-urban-environment-and-mobility-of-goods" TargetMode="External"/><Relationship Id="rId102" Type="http://schemas.openxmlformats.org/officeDocument/2006/relationships/hyperlink" Target="https://webgate.ec.europa.eu/life/publicWebsite/project/LIFE18-ENV-DE-000054/piloting-clean-power-supply-devices-in-construction-and-urban-green-care-to-reduce-emissions-from-portable-machines" TargetMode="External"/><Relationship Id="rId123" Type="http://schemas.openxmlformats.org/officeDocument/2006/relationships/header" Target="header4.xml"/><Relationship Id="rId128" Type="http://schemas.openxmlformats.org/officeDocument/2006/relationships/footer" Target="footer6.xml"/><Relationship Id="rId5" Type="http://schemas.openxmlformats.org/officeDocument/2006/relationships/numbering" Target="numbering.xml"/><Relationship Id="rId90" Type="http://schemas.openxmlformats.org/officeDocument/2006/relationships/hyperlink" Target="https://www.build-in-wood.eu/" TargetMode="External"/><Relationship Id="rId95" Type="http://schemas.openxmlformats.org/officeDocument/2006/relationships/hyperlink" Target="https://ec.europa.eu/regional_policy/en/projects/finland/tekide-technology-creates-sustainable-new-textiles-from-waste-cotton-in-helsinki-uusimaa" TargetMode="External"/><Relationship Id="rId19" Type="http://schemas.openxmlformats.org/officeDocument/2006/relationships/hyperlink" Target="https://environment.ec.europa.eu/publications/european-green-city-accords-report-progress-and-achievements-2020-2023_lv" TargetMode="External"/><Relationship Id="rId14" Type="http://schemas.openxmlformats.org/officeDocument/2006/relationships/footer" Target="footer1.xml"/><Relationship Id="rId22" Type="http://schemas.openxmlformats.org/officeDocument/2006/relationships/hyperlink" Target="https://webgate.ec.europa.eu/life/publicWebsite/project/LIFE18-PRE-IT-000003/vegetation-for-urban-green-air-quality-plans" TargetMode="External"/><Relationship Id="rId27" Type="http://schemas.openxmlformats.org/officeDocument/2006/relationships/hyperlink" Target="https://zeropollution4water.eu/wp-content/uploads/2025/02/ZP4W_Deliverable_Policy-Brief-1.pdf" TargetMode="External"/><Relationship Id="rId30" Type="http://schemas.openxmlformats.org/officeDocument/2006/relationships/hyperlink" Target="https://www.upwater.eu/" TargetMode="External"/><Relationship Id="rId35" Type="http://schemas.openxmlformats.org/officeDocument/2006/relationships/hyperlink" Target="https://cordis.europa.eu/project/id/727450" TargetMode="External"/><Relationship Id="rId43" Type="http://schemas.openxmlformats.org/officeDocument/2006/relationships/hyperlink" Target="https://circularoceanplastic.eu/" TargetMode="External"/><Relationship Id="rId48" Type="http://schemas.openxmlformats.org/officeDocument/2006/relationships/hyperlink" Target="https://webgate.ec.europa.eu/life/publicWebsite/project/LIFE16-ENV-IT-000343/remediation-of-marine-environment-and-development-of-innovative-aquaculture-exploitation-of-edible-not-edible-biomass" TargetMode="External"/><Relationship Id="rId56" Type="http://schemas.openxmlformats.org/officeDocument/2006/relationships/hyperlink" Target="https://lifesirius.eu/" TargetMode="External"/><Relationship Id="rId64" Type="http://schemas.openxmlformats.org/officeDocument/2006/relationships/hyperlink" Target="https://cordis.europa.eu/project/id/778266" TargetMode="External"/><Relationship Id="rId69" Type="http://schemas.openxmlformats.org/officeDocument/2006/relationships/hyperlink" Target="https://cordis.europa.eu/project/id/101036449" TargetMode="External"/><Relationship Id="rId77" Type="http://schemas.openxmlformats.org/officeDocument/2006/relationships/hyperlink" Target="https://cordis.europa.eu/project/id/860441" TargetMode="External"/><Relationship Id="rId100" Type="http://schemas.openxmlformats.org/officeDocument/2006/relationships/hyperlink" Target="https://environment.ec.europa.eu/topics/urban-environment/european-green-capital-award/implementing-circular-economy-nutrient-recovery-urban-wastewater-treatment-plants_lv" TargetMode="External"/><Relationship Id="rId105" Type="http://schemas.openxmlformats.org/officeDocument/2006/relationships/hyperlink" Target="https://www.copernicus.eu/lv" TargetMode="External"/><Relationship Id="rId113" Type="http://schemas.openxmlformats.org/officeDocument/2006/relationships/hyperlink" Target="https://www.euspa.europa.eu/opportunities/horizon-europe/project-portfolio/vitolmins-visual-and-instrument-take-and-landing" TargetMode="External"/><Relationship Id="rId118" Type="http://schemas.openxmlformats.org/officeDocument/2006/relationships/hyperlink" Target="https://www.norden.org/en/nominee/kemiluppen-danish-consumer-council-think-chemicals-denmark" TargetMode="External"/><Relationship Id="rId126" Type="http://schemas.openxmlformats.org/officeDocument/2006/relationships/footer" Target="footer5.xml"/><Relationship Id="rId8" Type="http://schemas.openxmlformats.org/officeDocument/2006/relationships/webSettings" Target="webSettings.xml"/><Relationship Id="rId51" Type="http://schemas.openxmlformats.org/officeDocument/2006/relationships/hyperlink" Target="https://eomap.com/" TargetMode="External"/><Relationship Id="rId72" Type="http://schemas.openxmlformats.org/officeDocument/2006/relationships/hyperlink" Target="https://webgate.ec.europa.eu/life/publicWebsite/project/LIFE18-ENV-CZ-000374/innovative-technology-based-on-constructed-wetlands-for-treatment-of-pesticide-contaminated-waters" TargetMode="External"/><Relationship Id="rId80" Type="http://schemas.openxmlformats.org/officeDocument/2006/relationships/hyperlink" Target="https://webgate.ec.europa.eu/life/publicWebsite/project/LIFE15-ENV-NL-000217/clean-inland-shipping" TargetMode="External"/><Relationship Id="rId85" Type="http://schemas.openxmlformats.org/officeDocument/2006/relationships/hyperlink" Target="https://cordis.europa.eu/project/id/727247" TargetMode="External"/><Relationship Id="rId93" Type="http://schemas.openxmlformats.org/officeDocument/2006/relationships/hyperlink" Target="https://cordis.europa.eu/project/id/720739" TargetMode="External"/><Relationship Id="rId98" Type="http://schemas.openxmlformats.org/officeDocument/2006/relationships/hyperlink" Target="https://cordis.europa.eu/project/id/689242" TargetMode="External"/><Relationship Id="rId121" Type="http://schemas.openxmlformats.org/officeDocument/2006/relationships/hyperlink" Target="https://ec.europa.eu/info/funding-tenders/opportunities/docs/2021-2027/horizon/wp-call/2026-2027/wp-9-food-bioeconomy-natural-resources-agriculture-and-environment_horizon-2026-2027_en.pdf"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zeropollution4water.eu/" TargetMode="External"/><Relationship Id="rId33" Type="http://schemas.openxmlformats.org/officeDocument/2006/relationships/hyperlink" Target="https://safecrew.org/" TargetMode="External"/><Relationship Id="rId38" Type="http://schemas.openxmlformats.org/officeDocument/2006/relationships/hyperlink" Target="https://elektralifeproject.eu/" TargetMode="External"/><Relationship Id="rId46" Type="http://schemas.openxmlformats.org/officeDocument/2006/relationships/hyperlink" Target="https://olamur.eu/" TargetMode="External"/><Relationship Id="rId59" Type="http://schemas.openxmlformats.org/officeDocument/2006/relationships/hyperlink" Target="https://longitools.org/" TargetMode="External"/><Relationship Id="rId67" Type="http://schemas.openxmlformats.org/officeDocument/2006/relationships/hyperlink" Target="https://webgate.ec.europa.eu/life/publicWebsite/project/LIFE20-ENV-ES-000880/demonstration-and-evaluation-of-sustainable-on-site-remediation-technologies-for-pfas-contaminated-groundwater" TargetMode="External"/><Relationship Id="rId103" Type="http://schemas.openxmlformats.org/officeDocument/2006/relationships/hyperlink" Target="https://www.hyimpulse.de/" TargetMode="External"/><Relationship Id="rId108" Type="http://schemas.openxmlformats.org/officeDocument/2006/relationships/hyperlink" Target="https://vimeo.com/1011802645" TargetMode="External"/><Relationship Id="rId116" Type="http://schemas.openxmlformats.org/officeDocument/2006/relationships/hyperlink" Target="https://yuka.io/en/" TargetMode="External"/><Relationship Id="rId124" Type="http://schemas.openxmlformats.org/officeDocument/2006/relationships/header" Target="header5.xml"/><Relationship Id="rId129" Type="http://schemas.openxmlformats.org/officeDocument/2006/relationships/fontTable" Target="fontTable.xml"/><Relationship Id="rId20" Type="http://schemas.openxmlformats.org/officeDocument/2006/relationships/hyperlink" Target="https://environment.ec.europa.eu/topics/urban-environment/green-city-accord/green-city-accord-good-practices/guimaraes-limpar_lv?prefLang=lv" TargetMode="External"/><Relationship Id="rId41" Type="http://schemas.openxmlformats.org/officeDocument/2006/relationships/hyperlink" Target="https://joint-research-centre.ec.europa.eu/jrc-news-and-updates/marine-litter-eu-coastline-down-almost-one-third-2025-02-04_lv" TargetMode="External"/><Relationship Id="rId54" Type="http://schemas.openxmlformats.org/officeDocument/2006/relationships/hyperlink" Target="https://powietrze.malopolska.pl/en/news/clean-air-for-malopolska-region/" TargetMode="External"/><Relationship Id="rId62" Type="http://schemas.openxmlformats.org/officeDocument/2006/relationships/hyperlink" Target="https://webgate.ec.europa.eu/life/publicWebsite/project/LIFE19-ENV-FR-000086/air-pollution-removal-by-forests-for-a-better-human-well-being" TargetMode="External"/><Relationship Id="rId70" Type="http://schemas.openxmlformats.org/officeDocument/2006/relationships/hyperlink" Target="https://webgate.ec.europa.eu/life/publicWebsite/project/LIFE18-ENV-BE-000286/nature-based-remediation-of-metal-pollutants-in-nature-areas-to-increase-water-storage-capacity-narmena" TargetMode="External"/><Relationship Id="rId75" Type="http://schemas.openxmlformats.org/officeDocument/2006/relationships/hyperlink" Target="https://www.edaphos.eu/" TargetMode="External"/><Relationship Id="rId83" Type="http://schemas.openxmlformats.org/officeDocument/2006/relationships/hyperlink" Target="https://webgate.ec.europa.eu/life/publicWebsite/project/LIFE17-GIE-DE-000610/reducing-ammonia-and-methane-emissions-from-agriculture-to-improve-air-quality-and-climate-protection" TargetMode="External"/><Relationship Id="rId88" Type="http://schemas.openxmlformats.org/officeDocument/2006/relationships/hyperlink" Target="https://minagris.eu/" TargetMode="External"/><Relationship Id="rId91" Type="http://schemas.openxmlformats.org/officeDocument/2006/relationships/hyperlink" Target="https://www.circpack.veolia.com/" TargetMode="External"/><Relationship Id="rId96" Type="http://schemas.openxmlformats.org/officeDocument/2006/relationships/hyperlink" Target="https://cordis.europa.eu/project/id/821087" TargetMode="External"/><Relationship Id="rId111" Type="http://schemas.openxmlformats.org/officeDocument/2006/relationships/hyperlink" Target="https://www.cassini.eu/hackathons/7th-cassini-hackathon-winners" TargetMode="External"/><Relationship Id="rId132"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cor.europa.eu/en/news/all-stories?country=All&amp;amp;member_id=&amp;amp;political_priorities=891&amp;amp;region=All" TargetMode="External"/><Relationship Id="rId28" Type="http://schemas.openxmlformats.org/officeDocument/2006/relationships/hyperlink" Target="https://mar2protect.eu/" TargetMode="External"/><Relationship Id="rId36" Type="http://schemas.openxmlformats.org/officeDocument/2006/relationships/hyperlink" Target="https://www.niagara-project.eu/" TargetMode="External"/><Relationship Id="rId49" Type="http://schemas.openxmlformats.org/officeDocument/2006/relationships/hyperlink" Target="https://www.euspa.europa.eu/eu-space-programme/copernicus/copernicus-demonstrators" TargetMode="External"/><Relationship Id="rId57" Type="http://schemas.openxmlformats.org/officeDocument/2006/relationships/hyperlink" Target="https://emotionalcities-h2020.eu/" TargetMode="External"/><Relationship Id="rId106" Type="http://schemas.openxmlformats.org/officeDocument/2006/relationships/hyperlink" Target="https://orbify.com/" TargetMode="External"/><Relationship Id="rId114" Type="http://schemas.openxmlformats.org/officeDocument/2006/relationships/hyperlink" Target="https://www.euspa.europa.eu/opportunities/horizon-europe/project-portfolio/mosmin-multiscale-observation-services-mining-related-deposits" TargetMode="External"/><Relationship Id="rId119" Type="http://schemas.openxmlformats.org/officeDocument/2006/relationships/hyperlink" Target="http://check-ed.eu/en/" TargetMode="External"/><Relationship Id="rId127" Type="http://schemas.openxmlformats.org/officeDocument/2006/relationships/header" Target="header6.xml"/><Relationship Id="rId10" Type="http://schemas.openxmlformats.org/officeDocument/2006/relationships/endnotes" Target="endnotes.xml"/><Relationship Id="rId31" Type="http://schemas.openxmlformats.org/officeDocument/2006/relationships/hyperlink" Target="https://h2oforall.eu/" TargetMode="External"/><Relationship Id="rId44" Type="http://schemas.openxmlformats.org/officeDocument/2006/relationships/hyperlink" Target="https://www.unep.org/unepmap/what-we-do/projects/MarineLitterMED-Plus" TargetMode="External"/><Relationship Id="rId52" Type="http://schemas.openxmlformats.org/officeDocument/2006/relationships/hyperlink" Target="https://civil-protection-knowledge-network.europa.eu/projects/brisk-ii" TargetMode="External"/><Relationship Id="rId60" Type="http://schemas.openxmlformats.org/officeDocument/2006/relationships/hyperlink" Target="https://cordis.europa.eu/article/id/448420-heatwaves-and-air-pollution-combined-europe-s-silent-killer" TargetMode="External"/><Relationship Id="rId65" Type="http://schemas.openxmlformats.org/officeDocument/2006/relationships/hyperlink" Target="https://cordis.europa.eu/project/id/101037509/reporting" TargetMode="External"/><Relationship Id="rId73" Type="http://schemas.openxmlformats.org/officeDocument/2006/relationships/hyperlink" Target="https://cordis.europa.eu/article/id/449988-dealing-with-europe-s-contaminated-soil?WT.mc_id=exp" TargetMode="External"/><Relationship Id="rId78" Type="http://schemas.openxmlformats.org/officeDocument/2006/relationships/hyperlink" Target="https://www.senatorproject.eu/" TargetMode="External"/><Relationship Id="rId81" Type="http://schemas.openxmlformats.org/officeDocument/2006/relationships/hyperlink" Target="https://webgate.ec.europa.eu/life/publicWebsite/project/LIFE16-ENV-NL-000363/life-cmcd-closing-the-mineral-cycle-in-dairy-farming-in-the-eu" TargetMode="External"/><Relationship Id="rId86" Type="http://schemas.openxmlformats.org/officeDocument/2006/relationships/hyperlink" Target="https://sprint-h2020.eu/" TargetMode="External"/><Relationship Id="rId94" Type="http://schemas.openxmlformats.org/officeDocument/2006/relationships/hyperlink" Target="https://webgate.ec.europa.eu/life/publicWebsite/project/LIFE22-ENV-ES-CLOOVER2-101113776/closed-loops-verification-of-reused-and-recycled-polyolefins-crates-drums-jerry-cans" TargetMode="External"/><Relationship Id="rId99" Type="http://schemas.openxmlformats.org/officeDocument/2006/relationships/hyperlink" Target="https://cordis.europa.eu/project/id/690323" TargetMode="External"/><Relationship Id="rId101" Type="http://schemas.openxmlformats.org/officeDocument/2006/relationships/hyperlink" Target="https://www.dutchwatersector.com/news/nx-filtration-to-lead-development-of-nanofiltration-to-make-drinking-water-free-of-drug" TargetMode="External"/><Relationship Id="rId122" Type="http://schemas.openxmlformats.org/officeDocument/2006/relationships/hyperlink" Target="https://minamataconvention.org/sites/default/files/documents/decision/UNEP-MC-COP.5-Dec.4_Amendments-Annex-A_English.pdf" TargetMode="External"/><Relationship Id="rId13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s://environment.ec.europa.eu/strategy/zero-pollution-action-plan/towards-zero-pollution-regions_lv" TargetMode="External"/><Relationship Id="rId39" Type="http://schemas.openxmlformats.org/officeDocument/2006/relationships/hyperlink" Target="https://www.acciona.com/projects/pristine" TargetMode="External"/><Relationship Id="rId109" Type="http://schemas.openxmlformats.org/officeDocument/2006/relationships/hyperlink" Target="https://www.euspa.europa.eu/opportunities/horizon-europe/project-portfolio/sqat-soil-quality-analysis-tool-implementing-smart" TargetMode="External"/><Relationship Id="rId34" Type="http://schemas.openxmlformats.org/officeDocument/2006/relationships/hyperlink" Target="https://todrinq.eu/" TargetMode="External"/><Relationship Id="rId50" Type="http://schemas.openxmlformats.org/officeDocument/2006/relationships/hyperlink" Target="https://seacras.com/" TargetMode="External"/><Relationship Id="rId55" Type="http://schemas.openxmlformats.org/officeDocument/2006/relationships/hyperlink" Target="https://www.lifeprepair.eu/?lang=en" TargetMode="External"/><Relationship Id="rId76" Type="http://schemas.openxmlformats.org/officeDocument/2006/relationships/hyperlink" Target="https://app.powerbi.com/view?r=eyJrIjoiNjJhYTFkY2YtNzdlOC00MmU2LWIxNGQtZDhmMjI5YzJjYzZiIiwidCI6ImIyNGM4YjA2LTUyMmMtNDZmZS05MDgwLTcwOTI2ZjhkZGRiMSIsImMiOjh9&amp;pageName=aa2a84e200d9c438827c" TargetMode="External"/><Relationship Id="rId97" Type="http://schemas.openxmlformats.org/officeDocument/2006/relationships/hyperlink" Target="https://afterlife-project.eu/" TargetMode="External"/><Relationship Id="rId104" Type="http://schemas.openxmlformats.org/officeDocument/2006/relationships/hyperlink" Target="https://www.pangeaaerospace.com/" TargetMode="External"/><Relationship Id="rId120" Type="http://schemas.openxmlformats.org/officeDocument/2006/relationships/hyperlink" Target="https://sinlist.chemsec.org/" TargetMode="External"/><Relationship Id="rId125" Type="http://schemas.openxmlformats.org/officeDocument/2006/relationships/footer" Target="footer4.xml"/><Relationship Id="rId7" Type="http://schemas.openxmlformats.org/officeDocument/2006/relationships/settings" Target="settings.xml"/><Relationship Id="rId71" Type="http://schemas.openxmlformats.org/officeDocument/2006/relationships/hyperlink" Target="https://webgate.ec.europa.eu/life/publicWebsite/project/LIFE15-IPE-BE-000014/belgian-initiative-for-making-a-leap-forward-towards-good-status-in-the-river-basin-of-the-scheldt" TargetMode="External"/><Relationship Id="rId92" Type="http://schemas.openxmlformats.org/officeDocument/2006/relationships/hyperlink" Target="https://www.embraced.eu/" TargetMode="External"/><Relationship Id="rId2" Type="http://schemas.openxmlformats.org/officeDocument/2006/relationships/customXml" Target="../customXml/item2.xml"/><Relationship Id="rId29" Type="http://schemas.openxmlformats.org/officeDocument/2006/relationships/hyperlink" Target="https://ninfa-project.eu/" TargetMode="External"/><Relationship Id="rId24" Type="http://schemas.openxmlformats.org/officeDocument/2006/relationships/hyperlink" Target="https://cor.europa.eu/en/news/all-stories?country=All&amp;amp;member_id=&amp;amp;political_priorities=891&amp;amp;region=All" TargetMode="External"/><Relationship Id="rId40" Type="http://schemas.openxmlformats.org/officeDocument/2006/relationships/hyperlink" Target="https://lifecascade.eu/" TargetMode="External"/><Relationship Id="rId45" Type="http://schemas.openxmlformats.org/officeDocument/2006/relationships/hyperlink" Target="https://balticmuppets.eu/" TargetMode="External"/><Relationship Id="rId66" Type="http://schemas.openxmlformats.org/officeDocument/2006/relationships/hyperlink" Target="https://cordis.europa.eu/project/id/101036756/reporting" TargetMode="External"/><Relationship Id="rId87" Type="http://schemas.openxmlformats.org/officeDocument/2006/relationships/hyperlink" Target="https://www.papillons-h2020.eu/the-project/papillons-atlas/" TargetMode="External"/><Relationship Id="rId110" Type="http://schemas.openxmlformats.org/officeDocument/2006/relationships/hyperlink" Target="https://www.euspa.europa.eu/opportunities/horizon-europe/project-portfolio/dinosar-diagnostic-tool-integrates-optical-infrared" TargetMode="External"/><Relationship Id="rId115" Type="http://schemas.openxmlformats.org/officeDocument/2006/relationships/hyperlink" Target="https://terraeye.co/" TargetMode="External"/><Relationship Id="rId131" Type="http://schemas.microsoft.com/office/2018/08/relationships/commentsExtensible" Target="commentsExtensible.xml"/><Relationship Id="rId61" Type="http://schemas.openxmlformats.org/officeDocument/2006/relationships/hyperlink" Target="https://www.100ktrees.eu/" TargetMode="External"/><Relationship Id="rId82" Type="http://schemas.openxmlformats.org/officeDocument/2006/relationships/hyperlink" Target="https://webgate.ec.europa.eu/life/publicWebsite/project/LIFE20-ENV-ES-000858/market-technology-based-on-membranes-for-the-reduction-of-ammonia-in-livestock-farms"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oecd.org/en/topics/economic-and-environmental-outcomes-of-innovation.html" TargetMode="External"/><Relationship Id="rId18" Type="http://schemas.openxmlformats.org/officeDocument/2006/relationships/hyperlink" Target="https://www.eea.europa.eu/en/analysis/publications/environmental-noise-in-europe-2025" TargetMode="External"/><Relationship Id="rId26" Type="http://schemas.openxmlformats.org/officeDocument/2006/relationships/hyperlink" Target="https://www.eea.europa.eu/en/newsroom/news/make-chemicals-safe-and-sustainable" TargetMode="External"/><Relationship Id="rId39" Type="http://schemas.openxmlformats.org/officeDocument/2006/relationships/hyperlink" Target="https://www.env-health.org/new-report-chemical-pollution-driving-mens-health-crisis/" TargetMode="External"/><Relationship Id="rId21" Type="http://schemas.openxmlformats.org/officeDocument/2006/relationships/hyperlink" Target="https://environment.ec.europa.eu/strategy/zero-pollution-stakeholder-platform/actions_lv" TargetMode="External"/><Relationship Id="rId34" Type="http://schemas.openxmlformats.org/officeDocument/2006/relationships/hyperlink" Target="https://transport.ec.europa.eu/news-events/news/commission-welcomes-political-agreement-new-rules-harmonise-transport-emissions-calculations-eu-2025-11-06_lv" TargetMode="External"/><Relationship Id="rId42" Type="http://schemas.openxmlformats.org/officeDocument/2006/relationships/hyperlink" Target="https://doi.org/10.1016/j.envint.2022.107608" TargetMode="External"/><Relationship Id="rId47" Type="http://schemas.openxmlformats.org/officeDocument/2006/relationships/hyperlink" Target="https://www.eea.europa.eu/en/european-zero-pollution-dashboards/indicators/pfas-contamination-and-soil-remediation-signal" TargetMode="External"/><Relationship Id="rId50" Type="http://schemas.openxmlformats.org/officeDocument/2006/relationships/hyperlink" Target="https://www.consilium.europa.eu/lv/press/press-releases/2025/09/23/water-pollution-council-and-parliament-reach-provisional-deal-to-update-priority-substances-in-surface-and-ground-waters/" TargetMode="External"/><Relationship Id="rId55" Type="http://schemas.openxmlformats.org/officeDocument/2006/relationships/hyperlink" Target="https://environment.ec.europa.eu/law-and-governance/environmental-implementation-review_lv" TargetMode="External"/><Relationship Id="rId63" Type="http://schemas.openxmlformats.org/officeDocument/2006/relationships/hyperlink" Target="https://commission.europa.eu/strategy-and-policy/eu-budget/performance-and-reporting/horizontal-priorities/green-budgeting/clean-air-tracking_lv" TargetMode="External"/><Relationship Id="rId68" Type="http://schemas.openxmlformats.org/officeDocument/2006/relationships/hyperlink" Target="https://finance.ec.europa.eu/sustainable-finance/tools-and-standards/eu-taxonomy-sustainable-activities/eu-taxonomys-uptake-ground_lv" TargetMode="External"/><Relationship Id="rId76" Type="http://schemas.openxmlformats.org/officeDocument/2006/relationships/hyperlink" Target="https://digital-strategy.ec.europa.eu/lv/policies/destination-earth" TargetMode="External"/><Relationship Id="rId84" Type="http://schemas.openxmlformats.org/officeDocument/2006/relationships/hyperlink" Target="https://doi.org/10.1787/28fa0bb5-en" TargetMode="External"/><Relationship Id="rId89" Type="http://schemas.openxmlformats.org/officeDocument/2006/relationships/hyperlink" Target="https://atmosphere.copernicus.eu/ghg-services/cams-methane-hotspot-explorer" TargetMode="External"/><Relationship Id="rId7" Type="http://schemas.openxmlformats.org/officeDocument/2006/relationships/hyperlink" Target="https://www.weforum.org/publications/global-risks-report-2025/in-full/" TargetMode="External"/><Relationship Id="rId71" Type="http://schemas.openxmlformats.org/officeDocument/2006/relationships/hyperlink" Target="https://research-and-innovation.ec.europa.eu/research-area/industrial-research-and-innovation/chemicals-and-advanced-materials/safe-and-sustainable-design_lv" TargetMode="External"/><Relationship Id="rId2" Type="http://schemas.openxmlformats.org/officeDocument/2006/relationships/hyperlink" Target="https://www.oecd.org/en/blogs/2025/06/want-stronger-growth-in-europe-start-with-the-air-we-breathe.html?adestraproject=Science%2C%20Technology%20and%20Innovation&amp;utm_campaign=STI%20News%201%20July%20-%20Air%20pollution&amp;utm_content=Read%20the%20blog%3A%20Want%20stronger%20growth%20in%20Europe%3F%20Start%20with%20the%20air%20we%20breathe&amp;utm_term=sti&amp;utm_medium=email&amp;utm_source=Adestra" TargetMode="External"/><Relationship Id="rId16" Type="http://schemas.openxmlformats.org/officeDocument/2006/relationships/hyperlink" Target="https://www.eea.europa.eu/en/analysis/publications/zero-pollution-monitoring-and-outlook-report" TargetMode="External"/><Relationship Id="rId29" Type="http://schemas.openxmlformats.org/officeDocument/2006/relationships/hyperlink" Target="https://www.eea.europa.eu/en/analysis/publications/zero-pollution-monitoring-and-outlook-report" TargetMode="External"/><Relationship Id="rId11" Type="http://schemas.openxmlformats.org/officeDocument/2006/relationships/hyperlink" Target="https://ec.europa.eu/eurostat/statistics-explained/index.php?title=Environmental_economy_%E2%80%93_statistics_on_employment_and_growth" TargetMode="External"/><Relationship Id="rId24" Type="http://schemas.openxmlformats.org/officeDocument/2006/relationships/hyperlink" Target="https://environment.ec.europa.eu/strategy/zero-pollution-action-plan/zero-pollution-targets_lv" TargetMode="External"/><Relationship Id="rId32" Type="http://schemas.openxmlformats.org/officeDocument/2006/relationships/hyperlink" Target="https://www.eea.europa.eu/en/analysis/publications/from-source-to-sea-the-untold-story-of-marine-litter" TargetMode="External"/><Relationship Id="rId37" Type="http://schemas.openxmlformats.org/officeDocument/2006/relationships/hyperlink" Target="https://scientificadvice.eu/advice/one-health-governance-in-the-european-union/" TargetMode="External"/><Relationship Id="rId40" Type="http://schemas.openxmlformats.org/officeDocument/2006/relationships/hyperlink" Target="https://www.env-health.org/new-report-chemical-pollution-driving-mens-health-crisis/" TargetMode="External"/><Relationship Id="rId45" Type="http://schemas.openxmlformats.org/officeDocument/2006/relationships/hyperlink" Target="https://www.eea.europa.eu/en/analysis/publications/zero-pollution-monitoring-and-outlook-report" TargetMode="External"/><Relationship Id="rId53" Type="http://schemas.openxmlformats.org/officeDocument/2006/relationships/hyperlink" Target="https://echa.europa.eu/hot-topics/perfluoroalkyl-chemicals-pfas" TargetMode="External"/><Relationship Id="rId58" Type="http://schemas.openxmlformats.org/officeDocument/2006/relationships/hyperlink" Target="https://environment.ec.europa.eu/law-and-governance/environmental-implementation-review/peer-2-peer_lv" TargetMode="External"/><Relationship Id="rId66" Type="http://schemas.openxmlformats.org/officeDocument/2006/relationships/hyperlink" Target="https://commission.europa.eu/publications/2024-european-semester-spring-package_lv" TargetMode="External"/><Relationship Id="rId74" Type="http://schemas.openxmlformats.org/officeDocument/2006/relationships/hyperlink" Target="https://www.eea.europa.eu/en/analysis/publications/zero-pollution-monitoring-and-outlook-report" TargetMode="External"/><Relationship Id="rId79" Type="http://schemas.openxmlformats.org/officeDocument/2006/relationships/hyperlink" Target="https://www.greatproject.eu/" TargetMode="External"/><Relationship Id="rId87" Type="http://schemas.openxmlformats.org/officeDocument/2006/relationships/hyperlink" Target="https://www.cbd.int/gbf/targets/7" TargetMode="External"/><Relationship Id="rId5" Type="http://schemas.openxmlformats.org/officeDocument/2006/relationships/hyperlink" Target="https://doi.org/10.1787/318cb85f-en" TargetMode="External"/><Relationship Id="rId61" Type="http://schemas.openxmlformats.org/officeDocument/2006/relationships/hyperlink" Target="https://ec.europa.eu/regional_policy/information-sources/publications/communications/2025/a-modernised-cohesion-policy-the-mid-term-review_en" TargetMode="External"/><Relationship Id="rId82" Type="http://schemas.openxmlformats.org/officeDocument/2006/relationships/hyperlink" Target="https://www.cedefop.europa.eu/lv/publications/4213" TargetMode="External"/><Relationship Id="rId90" Type="http://schemas.openxmlformats.org/officeDocument/2006/relationships/hyperlink" Target="https://doi.org/10.1016/j.jenvman.2022.115738" TargetMode="External"/><Relationship Id="rId19" Type="http://schemas.openxmlformats.org/officeDocument/2006/relationships/hyperlink" Target="https://www.eea.europa.eu/en/analysis/publications/environmental-noise-in-europe-2025" TargetMode="External"/><Relationship Id="rId14" Type="http://schemas.openxmlformats.org/officeDocument/2006/relationships/hyperlink" Target="https://www.eea.europa.eu/en/europe-environment-2025" TargetMode="External"/><Relationship Id="rId22" Type="http://schemas.openxmlformats.org/officeDocument/2006/relationships/hyperlink" Target="https://www.eea.europa.eu/en/analysis/publications/zero-pollution-monitoring-and-outlook-report" TargetMode="External"/><Relationship Id="rId27" Type="http://schemas.openxmlformats.org/officeDocument/2006/relationships/hyperlink" Target="https://www.eea.europa.eu/en/newsroom/news/make-chemicals-safe-and-sustainable" TargetMode="External"/><Relationship Id="rId30" Type="http://schemas.openxmlformats.org/officeDocument/2006/relationships/hyperlink" Target="https://publications.jrc.ec.europa.eu/repository/handle/JRC139655" TargetMode="External"/><Relationship Id="rId35" Type="http://schemas.openxmlformats.org/officeDocument/2006/relationships/hyperlink" Target="https://www.eca.europa.eu/lv/publications?ref=SR-2025-02" TargetMode="External"/><Relationship Id="rId43" Type="http://schemas.openxmlformats.org/officeDocument/2006/relationships/hyperlink" Target="https://doi.org/10.1016/j.envint.2022.107608" TargetMode="External"/><Relationship Id="rId48" Type="http://schemas.openxmlformats.org/officeDocument/2006/relationships/hyperlink" Target="https://www.eea.europa.eu/en/european-zero-pollution-dashboards/indicators/emission-from-waste-management-facilities" TargetMode="External"/><Relationship Id="rId56" Type="http://schemas.openxmlformats.org/officeDocument/2006/relationships/hyperlink" Target="https://cor.europa.eu/en/our-work/political-priorities/green-deal-going-local/zero-pollution-going-local" TargetMode="External"/><Relationship Id="rId64" Type="http://schemas.openxmlformats.org/officeDocument/2006/relationships/hyperlink" Target="https://commission.europa.eu/news-and-media/news/eu-budget-2028-2034-stronger-europe-2025-07-16_lv" TargetMode="External"/><Relationship Id="rId69" Type="http://schemas.openxmlformats.org/officeDocument/2006/relationships/hyperlink" Target="https://innovation-centre-for-industrial-transformation.ec.europa.eu/" TargetMode="External"/><Relationship Id="rId77" Type="http://schemas.openxmlformats.org/officeDocument/2006/relationships/hyperlink" Target="https://research-and-innovation.ec.europa.eu/funding/funding-opportunities/funding-programmes-and-open-calls/horizon-europe/eu-missions-horizon-europe/restore-our-ocean-and-waters/european-digital-twin-ocean-european-dto_lv" TargetMode="External"/><Relationship Id="rId8" Type="http://schemas.openxmlformats.org/officeDocument/2006/relationships/hyperlink" Target="https://environment.ec.europa.eu/strategy/zero-pollution-action-plan/zero-pollution-targets_lv" TargetMode="External"/><Relationship Id="rId51" Type="http://schemas.openxmlformats.org/officeDocument/2006/relationships/hyperlink" Target="https://www.consilium.europa.eu/lv/press/press-releases/2025/09/23/water-pollution-council-and-parliament-reach-provisional-deal-to-update-priority-substances-in-surface-and-ground-waters/" TargetMode="External"/><Relationship Id="rId72" Type="http://schemas.openxmlformats.org/officeDocument/2006/relationships/hyperlink" Target="https://research-and-innovation.ec.europa.eu/document/c9d4c0b5-f85e-4599-986d-e6b2438229fc_lv" TargetMode="External"/><Relationship Id="rId80" Type="http://schemas.openxmlformats.org/officeDocument/2006/relationships/hyperlink" Target="https://www.ds4sscc.eu/pilotoverview" TargetMode="External"/><Relationship Id="rId85" Type="http://schemas.openxmlformats.org/officeDocument/2006/relationships/hyperlink" Target="https://op.europa.eu/webpub/empl/esde-2024/" TargetMode="External"/><Relationship Id="rId3" Type="http://schemas.openxmlformats.org/officeDocument/2006/relationships/hyperlink" Target="https://www.oecd.org/en/blogs/2025/06/want-stronger-growth-in-europe-start-with-the-air-we-breathe.html?adestraproject=Science%2C%20Technology%20and%20Innovation&amp;utm_campaign=STI%20News%201%20July%20-%20Air%20pollution&amp;utm_content=Read%20the%20blog%3A%20Want%20stronger%20growth%20in%20Europe%3F%20Start%20with%20the%20air%20we%20breathe&amp;utm_term=sti&amp;utm_medium=email&amp;utm_source=Adestra" TargetMode="External"/><Relationship Id="rId12" Type="http://schemas.openxmlformats.org/officeDocument/2006/relationships/hyperlink" Target="https://ec.europa.eu/eurostat/statistics-explained/index.php?title=Environmental_economy_%E2%80%93_statistics_on_employment_and_growth" TargetMode="External"/><Relationship Id="rId17" Type="http://schemas.openxmlformats.org/officeDocument/2006/relationships/hyperlink" Target="https://environment.ec.europa.eu/topics/air/clean-air-outlook_lv" TargetMode="External"/><Relationship Id="rId25" Type="http://schemas.openxmlformats.org/officeDocument/2006/relationships/hyperlink" Target="https://environment.ec.europa.eu/topics/air/clean-air-outlook_lv" TargetMode="External"/><Relationship Id="rId33" Type="http://schemas.openxmlformats.org/officeDocument/2006/relationships/hyperlink" Target="https://ec.europa.eu/commission/presscorner/detail/en/ip_25_1083" TargetMode="External"/><Relationship Id="rId38" Type="http://schemas.openxmlformats.org/officeDocument/2006/relationships/hyperlink" Target="https://www.eea.europa.eu/en/european-zero-pollution-dashboards/indicators/risk-of-chemical-mixtures-in-humans?activeTab=265e2bee-7de3-46e8-b6ee-76005f3f434f" TargetMode="External"/><Relationship Id="rId46" Type="http://schemas.openxmlformats.org/officeDocument/2006/relationships/hyperlink" Target="https://www.eea.europa.eu/en/european-zero-pollution-dashboards/indicators/treatment-of-drinking-water-to-remove-pfas-signal" TargetMode="External"/><Relationship Id="rId59" Type="http://schemas.openxmlformats.org/officeDocument/2006/relationships/hyperlink" Target="https://environment.ec.europa.eu/app/eir-dashboard-on-environmental-investment-needs-and-gaps" TargetMode="External"/><Relationship Id="rId67" Type="http://schemas.openxmlformats.org/officeDocument/2006/relationships/hyperlink" Target="https://commission.europa.eu/publications/2024-european-semester-spring-package_lv" TargetMode="External"/><Relationship Id="rId20" Type="http://schemas.openxmlformats.org/officeDocument/2006/relationships/hyperlink" Target="https://environment.ec.europa.eu/strategy/zero-pollution-stakeholder-platform/actions_lv" TargetMode="External"/><Relationship Id="rId41" Type="http://schemas.openxmlformats.org/officeDocument/2006/relationships/hyperlink" Target="https://eceuropaeu-my.sharepoint.com/personal/joachim_d'eugenio_ec_europa_eu/Documents/0%20Dir%20C%20folder/0-zero%20pollution/Planning/2025_Review/Mixtures%20of%20chemicals%20in%20Europe&#8217;s%20rivers%20and%20lakes" TargetMode="External"/><Relationship Id="rId54" Type="http://schemas.openxmlformats.org/officeDocument/2006/relationships/hyperlink" Target="https://www.eea.europa.eu/en/european-zero-pollution-dashboards/chemicals-strategy-for-sustainability" TargetMode="External"/><Relationship Id="rId62" Type="http://schemas.openxmlformats.org/officeDocument/2006/relationships/hyperlink" Target="https://ec.europa.eu/regional_policy/information-sources/publications/communications/2025/a-modernised-cohesion-policy-the-mid-term-review_en" TargetMode="External"/><Relationship Id="rId70" Type="http://schemas.openxmlformats.org/officeDocument/2006/relationships/hyperlink" Target="https://innovation-centre-for-industrial-transformation.ec.europa.eu/" TargetMode="External"/><Relationship Id="rId75" Type="http://schemas.openxmlformats.org/officeDocument/2006/relationships/hyperlink" Target="https://environment.ec.europa.eu/document/download/6cb7a8f8-8974-4b08-9f5e-0585066cd973_en?filename=ENOLL_Recommendations_ZP_flagship_7_formatted.pdf" TargetMode="External"/><Relationship Id="rId83" Type="http://schemas.openxmlformats.org/officeDocument/2006/relationships/hyperlink" Target="https://doi.org/10.1787/28fa0bb5-en" TargetMode="External"/><Relationship Id="rId88" Type="http://schemas.openxmlformats.org/officeDocument/2006/relationships/hyperlink" Target="https://www.ccacoalition.org/news/factsheet-2024-global-methane-pledge-ministerial" TargetMode="External"/><Relationship Id="rId91" Type="http://schemas.openxmlformats.org/officeDocument/2006/relationships/hyperlink" Target="https://doi.org/10.1016/j.jenvman.2025.126280" TargetMode="External"/><Relationship Id="rId1" Type="http://schemas.openxmlformats.org/officeDocument/2006/relationships/hyperlink" Target="https://www.eea.europa.eu/en/europe-environment-2025/main-report" TargetMode="External"/><Relationship Id="rId6" Type="http://schemas.openxmlformats.org/officeDocument/2006/relationships/hyperlink" Target="https://www.weforum.org/publications/global-risks-report-2025/in-full/" TargetMode="External"/><Relationship Id="rId15" Type="http://schemas.openxmlformats.org/officeDocument/2006/relationships/hyperlink" Target="https://www.eea.europa.eu/en/europe-environment-2025" TargetMode="External"/><Relationship Id="rId23" Type="http://schemas.openxmlformats.org/officeDocument/2006/relationships/hyperlink" Target="https://eur-lex.europa.eu/legal-content/LV/TXT/?uri=COM:2022:674:FIN" TargetMode="External"/><Relationship Id="rId28" Type="http://schemas.openxmlformats.org/officeDocument/2006/relationships/hyperlink" Target="https://www.eea.europa.eu/en/european-zero-pollution-dashboards/chemicals-strategy-for-sustainability" TargetMode="External"/><Relationship Id="rId36" Type="http://schemas.openxmlformats.org/officeDocument/2006/relationships/hyperlink" Target="https://scientificadvice.eu/advice/one-health-governance-in-the-european-union/" TargetMode="External"/><Relationship Id="rId49" Type="http://schemas.openxmlformats.org/officeDocument/2006/relationships/hyperlink" Target="https://echa.europa.eu/registry-of-clh-intentions-until-outcome/-/dislist/details/0b0236e188e8d4b8" TargetMode="External"/><Relationship Id="rId57" Type="http://schemas.openxmlformats.org/officeDocument/2006/relationships/hyperlink" Target="https://cor.europa.eu/en/our-work/political-priorities/green-deal-going-local/zero-pollution-going-local" TargetMode="External"/><Relationship Id="rId10" Type="http://schemas.openxmlformats.org/officeDocument/2006/relationships/hyperlink" Target="https://environment.ec.europa.eu/strategy/chemicals-strategy/implementation_lv" TargetMode="External"/><Relationship Id="rId31" Type="http://schemas.openxmlformats.org/officeDocument/2006/relationships/hyperlink" Target="https://research-and-innovation.ec.europa.eu/research-area/environment/water_lv" TargetMode="External"/><Relationship Id="rId44" Type="http://schemas.openxmlformats.org/officeDocument/2006/relationships/hyperlink" Target="https://doi.org/10.1016/j.scitotenv.2022.157124" TargetMode="External"/><Relationship Id="rId52" Type="http://schemas.openxmlformats.org/officeDocument/2006/relationships/hyperlink" Target="https://ec.europa.eu/commission/presscorner/detail/lv/ip_25_2286" TargetMode="External"/><Relationship Id="rId60" Type="http://schemas.openxmlformats.org/officeDocument/2006/relationships/hyperlink" Target="https://data.europa.eu/doi/10.2779/7361333" TargetMode="External"/><Relationship Id="rId65" Type="http://schemas.openxmlformats.org/officeDocument/2006/relationships/hyperlink" Target="https://taxation-customs.ec.europa.eu/taxation/economic-analysis/annual-report-taxation_lv" TargetMode="External"/><Relationship Id="rId73" Type="http://schemas.openxmlformats.org/officeDocument/2006/relationships/hyperlink" Target="https://dashboard.tech.ec.europa.eu/qs_digit_dashboard_mt/public/sense/app/8298c020-48a6-4b84-91f4-f6f2665c0f99/sheet/d2820200-d4d9-4a26-b23b-58e323c803c2/state/analysis" TargetMode="External"/><Relationship Id="rId78" Type="http://schemas.openxmlformats.org/officeDocument/2006/relationships/hyperlink" Target="https://www.greendealdata.eu/" TargetMode="External"/><Relationship Id="rId81" Type="http://schemas.openxmlformats.org/officeDocument/2006/relationships/hyperlink" Target="https://ec.europa.eu/commission/presscorner/detail/lv/ip_23_6413" TargetMode="External"/><Relationship Id="rId86" Type="http://schemas.openxmlformats.org/officeDocument/2006/relationships/hyperlink" Target="https://education.ec.europa.eu/news/learning-for-the-green-transition-and-sustainable-development" TargetMode="External"/><Relationship Id="rId4" Type="http://schemas.openxmlformats.org/officeDocument/2006/relationships/hyperlink" Target="https://doi.org/10.1787/318cb85f-en" TargetMode="External"/><Relationship Id="rId9" Type="http://schemas.openxmlformats.org/officeDocument/2006/relationships/hyperlink" Target="https://environment.ec.europa.eu/strategy/zero-pollution-stakeholder-platform/actions_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fe9c91-5602-4bdb-b72c-69451971f68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2F05394DCE044693DCAA726179B598" ma:contentTypeVersion="15" ma:contentTypeDescription="Create a new document." ma:contentTypeScope="" ma:versionID="5f9533897e9abcefdb22867e693f6a1d">
  <xsd:schema xmlns:xsd="http://www.w3.org/2001/XMLSchema" xmlns:xs="http://www.w3.org/2001/XMLSchema" xmlns:p="http://schemas.microsoft.com/office/2006/metadata/properties" xmlns:ns3="71fe9c91-5602-4bdb-b72c-69451971f681" xmlns:ns4="ccf8ecc5-ce9f-4cc1-bb60-062c62b05209" targetNamespace="http://schemas.microsoft.com/office/2006/metadata/properties" ma:root="true" ma:fieldsID="7f04544771a9fc8f7e773fafee38300d" ns3:_="" ns4:_="">
    <xsd:import namespace="71fe9c91-5602-4bdb-b72c-69451971f681"/>
    <xsd:import namespace="ccf8ecc5-ce9f-4cc1-bb60-062c62b052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fe9c91-5602-4bdb-b72c-69451971f6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f8ecc5-ce9f-4cc1-bb60-062c62b0520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22DA4-B9F5-4245-BB8D-9118247B57C5}">
  <ds:schemaRefs>
    <ds:schemaRef ds:uri="http://schemas.microsoft.com/office/2006/metadata/properties"/>
    <ds:schemaRef ds:uri="http://schemas.microsoft.com/office/infopath/2007/PartnerControls"/>
    <ds:schemaRef ds:uri="71fe9c91-5602-4bdb-b72c-69451971f681"/>
  </ds:schemaRefs>
</ds:datastoreItem>
</file>

<file path=customXml/itemProps2.xml><?xml version="1.0" encoding="utf-8"?>
<ds:datastoreItem xmlns:ds="http://schemas.openxmlformats.org/officeDocument/2006/customXml" ds:itemID="{EFD584C2-79C2-4858-9E0B-F9CBE165D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fe9c91-5602-4bdb-b72c-69451971f681"/>
    <ds:schemaRef ds:uri="ccf8ecc5-ce9f-4cc1-bb60-062c62b052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04CE39-7605-4610-8002-784D6E27AB92}">
  <ds:schemaRefs>
    <ds:schemaRef ds:uri="http://schemas.microsoft.com/sharepoint/v3/contenttype/forms"/>
  </ds:schemaRefs>
</ds:datastoreItem>
</file>

<file path=customXml/itemProps4.xml><?xml version="1.0" encoding="utf-8"?>
<ds:datastoreItem xmlns:ds="http://schemas.openxmlformats.org/officeDocument/2006/customXml" ds:itemID="{D553E24B-5E61-4C7D-B69F-413483EC8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14</Pages>
  <Words>10931</Words>
  <Characters>62309</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73094</CharactersWithSpaces>
  <SharedDoc>false</SharedDoc>
  <HLinks>
    <vt:vector size="1080" baseType="variant">
      <vt:variant>
        <vt:i4>7995495</vt:i4>
      </vt:variant>
      <vt:variant>
        <vt:i4>300</vt:i4>
      </vt:variant>
      <vt:variant>
        <vt:i4>0</vt:i4>
      </vt:variant>
      <vt:variant>
        <vt:i4>5</vt:i4>
      </vt:variant>
      <vt:variant>
        <vt:lpwstr>https://minamataconvention.org/sites/default/files/documents/decision/UNEP-MC-COP.5-Dec.4_Amendments-Annex-A_English.pdf</vt:lpwstr>
      </vt:variant>
      <vt:variant>
        <vt:lpwstr/>
      </vt:variant>
      <vt:variant>
        <vt:i4>5898334</vt:i4>
      </vt:variant>
      <vt:variant>
        <vt:i4>297</vt:i4>
      </vt:variant>
      <vt:variant>
        <vt:i4>0</vt:i4>
      </vt:variant>
      <vt:variant>
        <vt:i4>5</vt:i4>
      </vt:variant>
      <vt:variant>
        <vt:lpwstr>https://sinlist.chemsec.org/</vt:lpwstr>
      </vt:variant>
      <vt:variant>
        <vt:lpwstr/>
      </vt:variant>
      <vt:variant>
        <vt:i4>3276911</vt:i4>
      </vt:variant>
      <vt:variant>
        <vt:i4>294</vt:i4>
      </vt:variant>
      <vt:variant>
        <vt:i4>0</vt:i4>
      </vt:variant>
      <vt:variant>
        <vt:i4>5</vt:i4>
      </vt:variant>
      <vt:variant>
        <vt:lpwstr>http://check-ed.eu/en/</vt:lpwstr>
      </vt:variant>
      <vt:variant>
        <vt:lpwstr/>
      </vt:variant>
      <vt:variant>
        <vt:i4>65565</vt:i4>
      </vt:variant>
      <vt:variant>
        <vt:i4>291</vt:i4>
      </vt:variant>
      <vt:variant>
        <vt:i4>0</vt:i4>
      </vt:variant>
      <vt:variant>
        <vt:i4>5</vt:i4>
      </vt:variant>
      <vt:variant>
        <vt:lpwstr>https://www.norden.org/en/nominee/kemiluppen-danish-consumer-council-think-chemicals-denmark</vt:lpwstr>
      </vt:variant>
      <vt:variant>
        <vt:lpwstr/>
      </vt:variant>
      <vt:variant>
        <vt:i4>3407986</vt:i4>
      </vt:variant>
      <vt:variant>
        <vt:i4>288</vt:i4>
      </vt:variant>
      <vt:variant>
        <vt:i4>0</vt:i4>
      </vt:variant>
      <vt:variant>
        <vt:i4>5</vt:i4>
      </vt:variant>
      <vt:variant>
        <vt:lpwstr>https://www.bund.net/themen/chemie/toxfox/</vt:lpwstr>
      </vt:variant>
      <vt:variant>
        <vt:lpwstr/>
      </vt:variant>
      <vt:variant>
        <vt:i4>2949238</vt:i4>
      </vt:variant>
      <vt:variant>
        <vt:i4>285</vt:i4>
      </vt:variant>
      <vt:variant>
        <vt:i4>0</vt:i4>
      </vt:variant>
      <vt:variant>
        <vt:i4>5</vt:i4>
      </vt:variant>
      <vt:variant>
        <vt:lpwstr>https://yuka.io/en/</vt:lpwstr>
      </vt:variant>
      <vt:variant>
        <vt:lpwstr/>
      </vt:variant>
      <vt:variant>
        <vt:i4>4849695</vt:i4>
      </vt:variant>
      <vt:variant>
        <vt:i4>282</vt:i4>
      </vt:variant>
      <vt:variant>
        <vt:i4>0</vt:i4>
      </vt:variant>
      <vt:variant>
        <vt:i4>5</vt:i4>
      </vt:variant>
      <vt:variant>
        <vt:lpwstr>https://terraeye.co/</vt:lpwstr>
      </vt:variant>
      <vt:variant>
        <vt:lpwstr/>
      </vt:variant>
      <vt:variant>
        <vt:i4>4522063</vt:i4>
      </vt:variant>
      <vt:variant>
        <vt:i4>279</vt:i4>
      </vt:variant>
      <vt:variant>
        <vt:i4>0</vt:i4>
      </vt:variant>
      <vt:variant>
        <vt:i4>5</vt:i4>
      </vt:variant>
      <vt:variant>
        <vt:lpwstr>https://www.euspa.europa.eu/opportunities/horizon-europe/project-portfolio/mosmin-multiscale-observation-services-mining-related-deposits</vt:lpwstr>
      </vt:variant>
      <vt:variant>
        <vt:lpwstr/>
      </vt:variant>
      <vt:variant>
        <vt:i4>2162739</vt:i4>
      </vt:variant>
      <vt:variant>
        <vt:i4>276</vt:i4>
      </vt:variant>
      <vt:variant>
        <vt:i4>0</vt:i4>
      </vt:variant>
      <vt:variant>
        <vt:i4>5</vt:i4>
      </vt:variant>
      <vt:variant>
        <vt:lpwstr>https://www.euspa.europa.eu/opportunities/horizon-europe/project-portfolio/vitolmins-visual-and-instrument-take-and-landing</vt:lpwstr>
      </vt:variant>
      <vt:variant>
        <vt:lpwstr/>
      </vt:variant>
      <vt:variant>
        <vt:i4>2031693</vt:i4>
      </vt:variant>
      <vt:variant>
        <vt:i4>273</vt:i4>
      </vt:variant>
      <vt:variant>
        <vt:i4>0</vt:i4>
      </vt:variant>
      <vt:variant>
        <vt:i4>5</vt:i4>
      </vt:variant>
      <vt:variant>
        <vt:lpwstr>https://www.euspa.europa.eu/opportunities/horizon-europe/project-portfolio/edgar-egnss-dfmc-gbas-based-operations</vt:lpwstr>
      </vt:variant>
      <vt:variant>
        <vt:lpwstr/>
      </vt:variant>
      <vt:variant>
        <vt:i4>7143463</vt:i4>
      </vt:variant>
      <vt:variant>
        <vt:i4>270</vt:i4>
      </vt:variant>
      <vt:variant>
        <vt:i4>0</vt:i4>
      </vt:variant>
      <vt:variant>
        <vt:i4>5</vt:i4>
      </vt:variant>
      <vt:variant>
        <vt:lpwstr>https://www.cassini.eu/hackathons/7th-cassini-hackathon-winners</vt:lpwstr>
      </vt:variant>
      <vt:variant>
        <vt:lpwstr/>
      </vt:variant>
      <vt:variant>
        <vt:i4>6488105</vt:i4>
      </vt:variant>
      <vt:variant>
        <vt:i4>267</vt:i4>
      </vt:variant>
      <vt:variant>
        <vt:i4>0</vt:i4>
      </vt:variant>
      <vt:variant>
        <vt:i4>5</vt:i4>
      </vt:variant>
      <vt:variant>
        <vt:lpwstr>https://www.euspa.europa.eu/opportunities/horizon-europe/project-portfolio/dinosar-diagnostic-tool-integrates-optical-infrared</vt:lpwstr>
      </vt:variant>
      <vt:variant>
        <vt:lpwstr/>
      </vt:variant>
      <vt:variant>
        <vt:i4>524314</vt:i4>
      </vt:variant>
      <vt:variant>
        <vt:i4>264</vt:i4>
      </vt:variant>
      <vt:variant>
        <vt:i4>0</vt:i4>
      </vt:variant>
      <vt:variant>
        <vt:i4>5</vt:i4>
      </vt:variant>
      <vt:variant>
        <vt:lpwstr>https://www.euspa.europa.eu/opportunities/horizon-europe/project-portfolio/sqat-soil-quality-analysis-tool-implementing-smart</vt:lpwstr>
      </vt:variant>
      <vt:variant>
        <vt:lpwstr/>
      </vt:variant>
      <vt:variant>
        <vt:i4>4259844</vt:i4>
      </vt:variant>
      <vt:variant>
        <vt:i4>261</vt:i4>
      </vt:variant>
      <vt:variant>
        <vt:i4>0</vt:i4>
      </vt:variant>
      <vt:variant>
        <vt:i4>5</vt:i4>
      </vt:variant>
      <vt:variant>
        <vt:lpwstr>https://vimeo.com/1011802645</vt:lpwstr>
      </vt:variant>
      <vt:variant>
        <vt:lpwstr/>
      </vt:variant>
      <vt:variant>
        <vt:i4>2752549</vt:i4>
      </vt:variant>
      <vt:variant>
        <vt:i4>258</vt:i4>
      </vt:variant>
      <vt:variant>
        <vt:i4>0</vt:i4>
      </vt:variant>
      <vt:variant>
        <vt:i4>5</vt:i4>
      </vt:variant>
      <vt:variant>
        <vt:lpwstr>https://www.euspa.europa.eu/newsroom-events/success-stories/azulfy-empowering-cities-fight-pollution-satellites</vt:lpwstr>
      </vt:variant>
      <vt:variant>
        <vt:lpwstr/>
      </vt:variant>
      <vt:variant>
        <vt:i4>8192106</vt:i4>
      </vt:variant>
      <vt:variant>
        <vt:i4>255</vt:i4>
      </vt:variant>
      <vt:variant>
        <vt:i4>0</vt:i4>
      </vt:variant>
      <vt:variant>
        <vt:i4>5</vt:i4>
      </vt:variant>
      <vt:variant>
        <vt:lpwstr>https://orbify.com/</vt:lpwstr>
      </vt:variant>
      <vt:variant>
        <vt:lpwstr/>
      </vt:variant>
      <vt:variant>
        <vt:i4>1572867</vt:i4>
      </vt:variant>
      <vt:variant>
        <vt:i4>252</vt:i4>
      </vt:variant>
      <vt:variant>
        <vt:i4>0</vt:i4>
      </vt:variant>
      <vt:variant>
        <vt:i4>5</vt:i4>
      </vt:variant>
      <vt:variant>
        <vt:lpwstr>https://www.copernicus.eu/en</vt:lpwstr>
      </vt:variant>
      <vt:variant>
        <vt:lpwstr/>
      </vt:variant>
      <vt:variant>
        <vt:i4>5767249</vt:i4>
      </vt:variant>
      <vt:variant>
        <vt:i4>249</vt:i4>
      </vt:variant>
      <vt:variant>
        <vt:i4>0</vt:i4>
      </vt:variant>
      <vt:variant>
        <vt:i4>5</vt:i4>
      </vt:variant>
      <vt:variant>
        <vt:lpwstr>https://www.pangeaaerospace.com/</vt:lpwstr>
      </vt:variant>
      <vt:variant>
        <vt:lpwstr/>
      </vt:variant>
      <vt:variant>
        <vt:i4>1114204</vt:i4>
      </vt:variant>
      <vt:variant>
        <vt:i4>246</vt:i4>
      </vt:variant>
      <vt:variant>
        <vt:i4>0</vt:i4>
      </vt:variant>
      <vt:variant>
        <vt:i4>5</vt:i4>
      </vt:variant>
      <vt:variant>
        <vt:lpwstr>https://www.hyimpulse.de/</vt:lpwstr>
      </vt:variant>
      <vt:variant>
        <vt:lpwstr/>
      </vt:variant>
      <vt:variant>
        <vt:i4>1048592</vt:i4>
      </vt:variant>
      <vt:variant>
        <vt:i4>243</vt:i4>
      </vt:variant>
      <vt:variant>
        <vt:i4>0</vt:i4>
      </vt:variant>
      <vt:variant>
        <vt:i4>5</vt:i4>
      </vt:variant>
      <vt:variant>
        <vt:lpwstr>https://webgate.ec.europa.eu/life/publicWebsite/project/LIFE18-ENV-DE-000054/piloting-clean-power-supply-devices-in-construction-and-urban-green-care-to-reduce-emissions-from-portable-machines</vt:lpwstr>
      </vt:variant>
      <vt:variant>
        <vt:lpwstr/>
      </vt:variant>
      <vt:variant>
        <vt:i4>1703941</vt:i4>
      </vt:variant>
      <vt:variant>
        <vt:i4>240</vt:i4>
      </vt:variant>
      <vt:variant>
        <vt:i4>0</vt:i4>
      </vt:variant>
      <vt:variant>
        <vt:i4>5</vt:i4>
      </vt:variant>
      <vt:variant>
        <vt:lpwstr>https://www.dutchwatersector.com/news/nx-filtration-to-lead-development-of-nanofiltration-to-make-drinking-water-free-of-drug</vt:lpwstr>
      </vt:variant>
      <vt:variant>
        <vt:lpwstr/>
      </vt:variant>
      <vt:variant>
        <vt:i4>3342362</vt:i4>
      </vt:variant>
      <vt:variant>
        <vt:i4>237</vt:i4>
      </vt:variant>
      <vt:variant>
        <vt:i4>0</vt:i4>
      </vt:variant>
      <vt:variant>
        <vt:i4>5</vt:i4>
      </vt:variant>
      <vt:variant>
        <vt:lpwstr>https://environment.ec.europa.eu/topics/urban-environment/european-green-capital-award/implementing-circular-economy-nutrient-recovery-urban-wastewater-treatment-plants_en</vt:lpwstr>
      </vt:variant>
      <vt:variant>
        <vt:lpwstr/>
      </vt:variant>
      <vt:variant>
        <vt:i4>2359331</vt:i4>
      </vt:variant>
      <vt:variant>
        <vt:i4>234</vt:i4>
      </vt:variant>
      <vt:variant>
        <vt:i4>0</vt:i4>
      </vt:variant>
      <vt:variant>
        <vt:i4>5</vt:i4>
      </vt:variant>
      <vt:variant>
        <vt:lpwstr>https://cordis.europa.eu/project/id/690323</vt:lpwstr>
      </vt:variant>
      <vt:variant>
        <vt:lpwstr/>
      </vt:variant>
      <vt:variant>
        <vt:i4>2424876</vt:i4>
      </vt:variant>
      <vt:variant>
        <vt:i4>231</vt:i4>
      </vt:variant>
      <vt:variant>
        <vt:i4>0</vt:i4>
      </vt:variant>
      <vt:variant>
        <vt:i4>5</vt:i4>
      </vt:variant>
      <vt:variant>
        <vt:lpwstr>https://cordis.europa.eu/project/id/689242</vt:lpwstr>
      </vt:variant>
      <vt:variant>
        <vt:lpwstr/>
      </vt:variant>
      <vt:variant>
        <vt:i4>1376320</vt:i4>
      </vt:variant>
      <vt:variant>
        <vt:i4>228</vt:i4>
      </vt:variant>
      <vt:variant>
        <vt:i4>0</vt:i4>
      </vt:variant>
      <vt:variant>
        <vt:i4>5</vt:i4>
      </vt:variant>
      <vt:variant>
        <vt:lpwstr>https://afterlife-project.eu/</vt:lpwstr>
      </vt:variant>
      <vt:variant>
        <vt:lpwstr/>
      </vt:variant>
      <vt:variant>
        <vt:i4>2621478</vt:i4>
      </vt:variant>
      <vt:variant>
        <vt:i4>225</vt:i4>
      </vt:variant>
      <vt:variant>
        <vt:i4>0</vt:i4>
      </vt:variant>
      <vt:variant>
        <vt:i4>5</vt:i4>
      </vt:variant>
      <vt:variant>
        <vt:lpwstr>https://cordis.europa.eu/project/id/821087</vt:lpwstr>
      </vt:variant>
      <vt:variant>
        <vt:lpwstr/>
      </vt:variant>
      <vt:variant>
        <vt:i4>3539035</vt:i4>
      </vt:variant>
      <vt:variant>
        <vt:i4>222</vt:i4>
      </vt:variant>
      <vt:variant>
        <vt:i4>0</vt:i4>
      </vt:variant>
      <vt:variant>
        <vt:i4>5</vt:i4>
      </vt:variant>
      <vt:variant>
        <vt:lpwstr>https://ec.europa.eu/regional_policy/en/projects/finland/tekide-technology-creates-sustainable-new-textiles-from-waste-cotton-in-helsinki-uusimaa</vt:lpwstr>
      </vt:variant>
      <vt:variant>
        <vt:lpwstr/>
      </vt:variant>
      <vt:variant>
        <vt:i4>983052</vt:i4>
      </vt:variant>
      <vt:variant>
        <vt:i4>219</vt:i4>
      </vt:variant>
      <vt:variant>
        <vt:i4>0</vt:i4>
      </vt:variant>
      <vt:variant>
        <vt:i4>5</vt:i4>
      </vt:variant>
      <vt:variant>
        <vt:lpwstr>https://webgate.ec.europa.eu/life/publicWebsite/project/LIFE22-ENV-ES-CLOOVER2-101113776/closed-loops-verification-of-reused-and-recycled-polyolefins-crates-drums-jerry-cans</vt:lpwstr>
      </vt:variant>
      <vt:variant>
        <vt:lpwstr/>
      </vt:variant>
      <vt:variant>
        <vt:i4>2162723</vt:i4>
      </vt:variant>
      <vt:variant>
        <vt:i4>216</vt:i4>
      </vt:variant>
      <vt:variant>
        <vt:i4>0</vt:i4>
      </vt:variant>
      <vt:variant>
        <vt:i4>5</vt:i4>
      </vt:variant>
      <vt:variant>
        <vt:lpwstr>https://cordis.europa.eu/project/id/720739</vt:lpwstr>
      </vt:variant>
      <vt:variant>
        <vt:lpwstr/>
      </vt:variant>
      <vt:variant>
        <vt:i4>1703960</vt:i4>
      </vt:variant>
      <vt:variant>
        <vt:i4>213</vt:i4>
      </vt:variant>
      <vt:variant>
        <vt:i4>0</vt:i4>
      </vt:variant>
      <vt:variant>
        <vt:i4>5</vt:i4>
      </vt:variant>
      <vt:variant>
        <vt:lpwstr>https://www.embraced.eu/</vt:lpwstr>
      </vt:variant>
      <vt:variant>
        <vt:lpwstr/>
      </vt:variant>
      <vt:variant>
        <vt:i4>5636106</vt:i4>
      </vt:variant>
      <vt:variant>
        <vt:i4>210</vt:i4>
      </vt:variant>
      <vt:variant>
        <vt:i4>0</vt:i4>
      </vt:variant>
      <vt:variant>
        <vt:i4>5</vt:i4>
      </vt:variant>
      <vt:variant>
        <vt:lpwstr>https://www.circpack.veolia.com/</vt:lpwstr>
      </vt:variant>
      <vt:variant>
        <vt:lpwstr/>
      </vt:variant>
      <vt:variant>
        <vt:i4>5308421</vt:i4>
      </vt:variant>
      <vt:variant>
        <vt:i4>207</vt:i4>
      </vt:variant>
      <vt:variant>
        <vt:i4>0</vt:i4>
      </vt:variant>
      <vt:variant>
        <vt:i4>5</vt:i4>
      </vt:variant>
      <vt:variant>
        <vt:lpwstr>https://www.build-in-wood.eu/</vt:lpwstr>
      </vt:variant>
      <vt:variant>
        <vt:lpwstr/>
      </vt:variant>
      <vt:variant>
        <vt:i4>4259843</vt:i4>
      </vt:variant>
      <vt:variant>
        <vt:i4>204</vt:i4>
      </vt:variant>
      <vt:variant>
        <vt:i4>0</vt:i4>
      </vt:variant>
      <vt:variant>
        <vt:i4>5</vt:i4>
      </vt:variant>
      <vt:variant>
        <vt:lpwstr>https://www.recolab.se/)</vt:lpwstr>
      </vt:variant>
      <vt:variant>
        <vt:lpwstr/>
      </vt:variant>
      <vt:variant>
        <vt:i4>5373974</vt:i4>
      </vt:variant>
      <vt:variant>
        <vt:i4>201</vt:i4>
      </vt:variant>
      <vt:variant>
        <vt:i4>0</vt:i4>
      </vt:variant>
      <vt:variant>
        <vt:i4>5</vt:i4>
      </vt:variant>
      <vt:variant>
        <vt:lpwstr>https://minagris.eu/</vt:lpwstr>
      </vt:variant>
      <vt:variant>
        <vt:lpwstr/>
      </vt:variant>
      <vt:variant>
        <vt:i4>2424881</vt:i4>
      </vt:variant>
      <vt:variant>
        <vt:i4>198</vt:i4>
      </vt:variant>
      <vt:variant>
        <vt:i4>0</vt:i4>
      </vt:variant>
      <vt:variant>
        <vt:i4>5</vt:i4>
      </vt:variant>
      <vt:variant>
        <vt:lpwstr>https://www.papillons-h2020.eu/the-project/papillons-atlas/</vt:lpwstr>
      </vt:variant>
      <vt:variant>
        <vt:lpwstr/>
      </vt:variant>
      <vt:variant>
        <vt:i4>6160473</vt:i4>
      </vt:variant>
      <vt:variant>
        <vt:i4>195</vt:i4>
      </vt:variant>
      <vt:variant>
        <vt:i4>0</vt:i4>
      </vt:variant>
      <vt:variant>
        <vt:i4>5</vt:i4>
      </vt:variant>
      <vt:variant>
        <vt:lpwstr>https://sprint-h2020.eu/</vt:lpwstr>
      </vt:variant>
      <vt:variant>
        <vt:lpwstr/>
      </vt:variant>
      <vt:variant>
        <vt:i4>2752547</vt:i4>
      </vt:variant>
      <vt:variant>
        <vt:i4>192</vt:i4>
      </vt:variant>
      <vt:variant>
        <vt:i4>0</vt:i4>
      </vt:variant>
      <vt:variant>
        <vt:i4>5</vt:i4>
      </vt:variant>
      <vt:variant>
        <vt:lpwstr>https://cordis.europa.eu/project/id/727247</vt:lpwstr>
      </vt:variant>
      <vt:variant>
        <vt:lpwstr/>
      </vt:variant>
      <vt:variant>
        <vt:i4>4522048</vt:i4>
      </vt:variant>
      <vt:variant>
        <vt:i4>189</vt:i4>
      </vt:variant>
      <vt:variant>
        <vt:i4>0</vt:i4>
      </vt:variant>
      <vt:variant>
        <vt:i4>5</vt:i4>
      </vt:variant>
      <vt:variant>
        <vt:lpwstr>https://econutri-project.eu/</vt:lpwstr>
      </vt:variant>
      <vt:variant>
        <vt:lpwstr/>
      </vt:variant>
      <vt:variant>
        <vt:i4>2883701</vt:i4>
      </vt:variant>
      <vt:variant>
        <vt:i4>186</vt:i4>
      </vt:variant>
      <vt:variant>
        <vt:i4>0</vt:i4>
      </vt:variant>
      <vt:variant>
        <vt:i4>5</vt:i4>
      </vt:variant>
      <vt:variant>
        <vt:lpwstr>https://webgate.ec.europa.eu/life/publicWebsite/project/LIFE17-GIE-DE-000610/reducing-ammonia-and-methane-emissions-from-agriculture-to-improve-air-quality-and-climate-protection</vt:lpwstr>
      </vt:variant>
      <vt:variant>
        <vt:lpwstr/>
      </vt:variant>
      <vt:variant>
        <vt:i4>2490482</vt:i4>
      </vt:variant>
      <vt:variant>
        <vt:i4>183</vt:i4>
      </vt:variant>
      <vt:variant>
        <vt:i4>0</vt:i4>
      </vt:variant>
      <vt:variant>
        <vt:i4>5</vt:i4>
      </vt:variant>
      <vt:variant>
        <vt:lpwstr>https://webgate.ec.europa.eu/life/publicWebsite/project/LIFE20-ENV-ES-000858/market-technology-based-on-membranes-for-the-reduction-of-ammonia-in-livestock-farms</vt:lpwstr>
      </vt:variant>
      <vt:variant>
        <vt:lpwstr>:~:text=The%20main%20objective%20of%20the%20LIFE%20Green%20Ammonia,the%20farm%20and%20in%20the%20manure%20storage%20tanks.</vt:lpwstr>
      </vt:variant>
      <vt:variant>
        <vt:i4>6291498</vt:i4>
      </vt:variant>
      <vt:variant>
        <vt:i4>180</vt:i4>
      </vt:variant>
      <vt:variant>
        <vt:i4>0</vt:i4>
      </vt:variant>
      <vt:variant>
        <vt:i4>5</vt:i4>
      </vt:variant>
      <vt:variant>
        <vt:lpwstr>https://webgate.ec.europa.eu/life/publicWebsite/project/LIFE16-ENV-NL-000363/life-cmcd-closing-the-mineral-cycle-in-dairy-farming-in-the-eu</vt:lpwstr>
      </vt:variant>
      <vt:variant>
        <vt:lpwstr/>
      </vt:variant>
      <vt:variant>
        <vt:i4>3407907</vt:i4>
      </vt:variant>
      <vt:variant>
        <vt:i4>177</vt:i4>
      </vt:variant>
      <vt:variant>
        <vt:i4>0</vt:i4>
      </vt:variant>
      <vt:variant>
        <vt:i4>5</vt:i4>
      </vt:variant>
      <vt:variant>
        <vt:lpwstr>https://webgate.ec.europa.eu/life/publicWebsite/project/LIFE15-ENV-NL-000217/clean-inland-shipping</vt:lpwstr>
      </vt:variant>
      <vt:variant>
        <vt:lpwstr/>
      </vt:variant>
      <vt:variant>
        <vt:i4>1638407</vt:i4>
      </vt:variant>
      <vt:variant>
        <vt:i4>174</vt:i4>
      </vt:variant>
      <vt:variant>
        <vt:i4>0</vt:i4>
      </vt:variant>
      <vt:variant>
        <vt:i4>5</vt:i4>
      </vt:variant>
      <vt:variant>
        <vt:lpwstr>https://webgate.ec.europa.eu/life/publicWebsite/project/LIFE16-ENV-IT-000004/advanced-logistics-platform-with-road-pricing-and-access-criteria-to-improve-urban-environment-and-mobility-of-goods</vt:lpwstr>
      </vt:variant>
      <vt:variant>
        <vt:lpwstr/>
      </vt:variant>
      <vt:variant>
        <vt:i4>6750331</vt:i4>
      </vt:variant>
      <vt:variant>
        <vt:i4>171</vt:i4>
      </vt:variant>
      <vt:variant>
        <vt:i4>0</vt:i4>
      </vt:variant>
      <vt:variant>
        <vt:i4>5</vt:i4>
      </vt:variant>
      <vt:variant>
        <vt:lpwstr>https://www.senatorproject.eu/</vt:lpwstr>
      </vt:variant>
      <vt:variant>
        <vt:lpwstr/>
      </vt:variant>
      <vt:variant>
        <vt:i4>3014699</vt:i4>
      </vt:variant>
      <vt:variant>
        <vt:i4>168</vt:i4>
      </vt:variant>
      <vt:variant>
        <vt:i4>0</vt:i4>
      </vt:variant>
      <vt:variant>
        <vt:i4>5</vt:i4>
      </vt:variant>
      <vt:variant>
        <vt:lpwstr>https://cordis.europa.eu/project/id/860441</vt:lpwstr>
      </vt:variant>
      <vt:variant>
        <vt:lpwstr/>
      </vt:variant>
      <vt:variant>
        <vt:i4>1310805</vt:i4>
      </vt:variant>
      <vt:variant>
        <vt:i4>165</vt:i4>
      </vt:variant>
      <vt:variant>
        <vt:i4>0</vt:i4>
      </vt:variant>
      <vt:variant>
        <vt:i4>5</vt:i4>
      </vt:variant>
      <vt:variant>
        <vt:lpwstr>https://app.powerbi.com/view?r=eyJrIjoiNjJhYTFkY2YtNzdlOC00MmU2LWIxNGQtZDhmMjI5YzJjYzZiIiwidCI6ImIyNGM4YjA2LTUyMmMtNDZmZS05MDgwLTcwOTI2ZjhkZGRiMSIsImMiOjh9&amp;pageName=aa2a84e200d9c438827c</vt:lpwstr>
      </vt:variant>
      <vt:variant>
        <vt:lpwstr/>
      </vt:variant>
      <vt:variant>
        <vt:i4>6815802</vt:i4>
      </vt:variant>
      <vt:variant>
        <vt:i4>162</vt:i4>
      </vt:variant>
      <vt:variant>
        <vt:i4>0</vt:i4>
      </vt:variant>
      <vt:variant>
        <vt:i4>5</vt:i4>
      </vt:variant>
      <vt:variant>
        <vt:lpwstr>https://www.edaphos.eu/</vt:lpwstr>
      </vt:variant>
      <vt:variant>
        <vt:lpwstr/>
      </vt:variant>
      <vt:variant>
        <vt:i4>1835025</vt:i4>
      </vt:variant>
      <vt:variant>
        <vt:i4>159</vt:i4>
      </vt:variant>
      <vt:variant>
        <vt:i4>0</vt:i4>
      </vt:variant>
      <vt:variant>
        <vt:i4>5</vt:i4>
      </vt:variant>
      <vt:variant>
        <vt:lpwstr>https://cordis.europa.eu/project/id/101112723</vt:lpwstr>
      </vt:variant>
      <vt:variant>
        <vt:lpwstr/>
      </vt:variant>
      <vt:variant>
        <vt:i4>2424901</vt:i4>
      </vt:variant>
      <vt:variant>
        <vt:i4>156</vt:i4>
      </vt:variant>
      <vt:variant>
        <vt:i4>0</vt:i4>
      </vt:variant>
      <vt:variant>
        <vt:i4>5</vt:i4>
      </vt:variant>
      <vt:variant>
        <vt:lpwstr>https://cordis.europa.eu/article/id/449988-dealing-with-europe-s-contaminated-soil?WT.mc_id=exp</vt:lpwstr>
      </vt:variant>
      <vt:variant>
        <vt:lpwstr/>
      </vt:variant>
      <vt:variant>
        <vt:i4>2228328</vt:i4>
      </vt:variant>
      <vt:variant>
        <vt:i4>153</vt:i4>
      </vt:variant>
      <vt:variant>
        <vt:i4>0</vt:i4>
      </vt:variant>
      <vt:variant>
        <vt:i4>5</vt:i4>
      </vt:variant>
      <vt:variant>
        <vt:lpwstr>https://webgate.ec.europa.eu/life/publicWebsite/project/LIFE18-ENV-CZ-000374/innovative-technology-based-on-constructed-wetlands-for-treatment-of-pesticide-contaminated-waters</vt:lpwstr>
      </vt:variant>
      <vt:variant>
        <vt:lpwstr/>
      </vt:variant>
      <vt:variant>
        <vt:i4>7274603</vt:i4>
      </vt:variant>
      <vt:variant>
        <vt:i4>150</vt:i4>
      </vt:variant>
      <vt:variant>
        <vt:i4>0</vt:i4>
      </vt:variant>
      <vt:variant>
        <vt:i4>5</vt:i4>
      </vt:variant>
      <vt:variant>
        <vt:lpwstr>https://webgate.ec.europa.eu/life/publicWebsite/project/LIFE15-IPE-BE-000014/belgian-initiative-for-making-a-leap-forward-towards-good-status-in-the-river-basin-of-the-scheldt</vt:lpwstr>
      </vt:variant>
      <vt:variant>
        <vt:lpwstr/>
      </vt:variant>
      <vt:variant>
        <vt:i4>5963861</vt:i4>
      </vt:variant>
      <vt:variant>
        <vt:i4>147</vt:i4>
      </vt:variant>
      <vt:variant>
        <vt:i4>0</vt:i4>
      </vt:variant>
      <vt:variant>
        <vt:i4>5</vt:i4>
      </vt:variant>
      <vt:variant>
        <vt:lpwstr>https://webgate.ec.europa.eu/life/publicWebsite/project/LIFE18-ENV-BE-000286/nature-based-remediation-of-metal-pollutants-in-nature-areas-to-increase-water-storage-capacity-narmena</vt:lpwstr>
      </vt:variant>
      <vt:variant>
        <vt:lpwstr/>
      </vt:variant>
      <vt:variant>
        <vt:i4>3538983</vt:i4>
      </vt:variant>
      <vt:variant>
        <vt:i4>144</vt:i4>
      </vt:variant>
      <vt:variant>
        <vt:i4>0</vt:i4>
      </vt:variant>
      <vt:variant>
        <vt:i4>5</vt:i4>
      </vt:variant>
      <vt:variant>
        <vt:lpwstr>https://chromafora.com/insights/chromafora-to-tackle-widespread-chemical-pollution-with-22.5-million-eu-backing</vt:lpwstr>
      </vt:variant>
      <vt:variant>
        <vt:lpwstr/>
      </vt:variant>
      <vt:variant>
        <vt:i4>2293816</vt:i4>
      </vt:variant>
      <vt:variant>
        <vt:i4>141</vt:i4>
      </vt:variant>
      <vt:variant>
        <vt:i4>0</vt:i4>
      </vt:variant>
      <vt:variant>
        <vt:i4>5</vt:i4>
      </vt:variant>
      <vt:variant>
        <vt:lpwstr>https://webgate.ec.europa.eu/life/publicWebsite/project/LIFE20-ENV-ES-000880/demonstration-and-evaluation-of-sustainable-on-site-remediation-technologies-for-pfas-contaminated-groundwater</vt:lpwstr>
      </vt:variant>
      <vt:variant>
        <vt:lpwstr/>
      </vt:variant>
      <vt:variant>
        <vt:i4>2162748</vt:i4>
      </vt:variant>
      <vt:variant>
        <vt:i4>138</vt:i4>
      </vt:variant>
      <vt:variant>
        <vt:i4>0</vt:i4>
      </vt:variant>
      <vt:variant>
        <vt:i4>5</vt:i4>
      </vt:variant>
      <vt:variant>
        <vt:lpwstr>https://cordis.europa.eu/project/id/101036756/reporting</vt:lpwstr>
      </vt:variant>
      <vt:variant>
        <vt:lpwstr/>
      </vt:variant>
      <vt:variant>
        <vt:i4>2424881</vt:i4>
      </vt:variant>
      <vt:variant>
        <vt:i4>135</vt:i4>
      </vt:variant>
      <vt:variant>
        <vt:i4>0</vt:i4>
      </vt:variant>
      <vt:variant>
        <vt:i4>5</vt:i4>
      </vt:variant>
      <vt:variant>
        <vt:lpwstr>https://cordis.europa.eu/project/id/101037509/reporting</vt:lpwstr>
      </vt:variant>
      <vt:variant>
        <vt:lpwstr/>
      </vt:variant>
      <vt:variant>
        <vt:i4>3866673</vt:i4>
      </vt:variant>
      <vt:variant>
        <vt:i4>132</vt:i4>
      </vt:variant>
      <vt:variant>
        <vt:i4>0</vt:i4>
      </vt:variant>
      <vt:variant>
        <vt:i4>5</vt:i4>
      </vt:variant>
      <vt:variant>
        <vt:lpwstr>https://pharmadetox.eu/</vt:lpwstr>
      </vt:variant>
      <vt:variant>
        <vt:lpwstr/>
      </vt:variant>
      <vt:variant>
        <vt:i4>3473457</vt:i4>
      </vt:variant>
      <vt:variant>
        <vt:i4>129</vt:i4>
      </vt:variant>
      <vt:variant>
        <vt:i4>0</vt:i4>
      </vt:variant>
      <vt:variant>
        <vt:i4>5</vt:i4>
      </vt:variant>
      <vt:variant>
        <vt:lpwstr>https://webgate.ec.europa.eu/life/publicWebsite/project/LIFE19-ENV-FR-000086/air-pollution-removal-by-forests-for-a-better-human-well-being</vt:lpwstr>
      </vt:variant>
      <vt:variant>
        <vt:lpwstr/>
      </vt:variant>
      <vt:variant>
        <vt:i4>6225990</vt:i4>
      </vt:variant>
      <vt:variant>
        <vt:i4>126</vt:i4>
      </vt:variant>
      <vt:variant>
        <vt:i4>0</vt:i4>
      </vt:variant>
      <vt:variant>
        <vt:i4>5</vt:i4>
      </vt:variant>
      <vt:variant>
        <vt:lpwstr>https://www.100ktrees.eu/</vt:lpwstr>
      </vt:variant>
      <vt:variant>
        <vt:lpwstr/>
      </vt:variant>
      <vt:variant>
        <vt:i4>3866744</vt:i4>
      </vt:variant>
      <vt:variant>
        <vt:i4>123</vt:i4>
      </vt:variant>
      <vt:variant>
        <vt:i4>0</vt:i4>
      </vt:variant>
      <vt:variant>
        <vt:i4>5</vt:i4>
      </vt:variant>
      <vt:variant>
        <vt:lpwstr>https://cordis.europa.eu/article/id/448420-heatwaves-and-air-pollution-combined-europe-s-silent-killer</vt:lpwstr>
      </vt:variant>
      <vt:variant>
        <vt:lpwstr/>
      </vt:variant>
      <vt:variant>
        <vt:i4>2359397</vt:i4>
      </vt:variant>
      <vt:variant>
        <vt:i4>120</vt:i4>
      </vt:variant>
      <vt:variant>
        <vt:i4>0</vt:i4>
      </vt:variant>
      <vt:variant>
        <vt:i4>5</vt:i4>
      </vt:variant>
      <vt:variant>
        <vt:lpwstr>https://lifesirius.eu/</vt:lpwstr>
      </vt:variant>
      <vt:variant>
        <vt:lpwstr/>
      </vt:variant>
      <vt:variant>
        <vt:i4>2621497</vt:i4>
      </vt:variant>
      <vt:variant>
        <vt:i4>117</vt:i4>
      </vt:variant>
      <vt:variant>
        <vt:i4>0</vt:i4>
      </vt:variant>
      <vt:variant>
        <vt:i4>5</vt:i4>
      </vt:variant>
      <vt:variant>
        <vt:lpwstr>https://www.lifeprepair.eu/?lang=en</vt:lpwstr>
      </vt:variant>
      <vt:variant>
        <vt:lpwstr/>
      </vt:variant>
      <vt:variant>
        <vt:i4>4390923</vt:i4>
      </vt:variant>
      <vt:variant>
        <vt:i4>114</vt:i4>
      </vt:variant>
      <vt:variant>
        <vt:i4>0</vt:i4>
      </vt:variant>
      <vt:variant>
        <vt:i4>5</vt:i4>
      </vt:variant>
      <vt:variant>
        <vt:lpwstr>https://powietrze.malopolska.pl/en/news/clean-air-for-malopolska-region/</vt:lpwstr>
      </vt:variant>
      <vt:variant>
        <vt:lpwstr/>
      </vt:variant>
      <vt:variant>
        <vt:i4>7929972</vt:i4>
      </vt:variant>
      <vt:variant>
        <vt:i4>111</vt:i4>
      </vt:variant>
      <vt:variant>
        <vt:i4>0</vt:i4>
      </vt:variant>
      <vt:variant>
        <vt:i4>5</vt:i4>
      </vt:variant>
      <vt:variant>
        <vt:lpwstr>https://longitools.org/</vt:lpwstr>
      </vt:variant>
      <vt:variant>
        <vt:lpwstr/>
      </vt:variant>
      <vt:variant>
        <vt:i4>4128894</vt:i4>
      </vt:variant>
      <vt:variant>
        <vt:i4>108</vt:i4>
      </vt:variant>
      <vt:variant>
        <vt:i4>0</vt:i4>
      </vt:variant>
      <vt:variant>
        <vt:i4>5</vt:i4>
      </vt:variant>
      <vt:variant>
        <vt:lpwstr>https://expanseproject.eu/</vt:lpwstr>
      </vt:variant>
      <vt:variant>
        <vt:lpwstr/>
      </vt:variant>
      <vt:variant>
        <vt:i4>131167</vt:i4>
      </vt:variant>
      <vt:variant>
        <vt:i4>105</vt:i4>
      </vt:variant>
      <vt:variant>
        <vt:i4>0</vt:i4>
      </vt:variant>
      <vt:variant>
        <vt:i4>5</vt:i4>
      </vt:variant>
      <vt:variant>
        <vt:lpwstr>https://emotionalcities-h2020.eu/</vt:lpwstr>
      </vt:variant>
      <vt:variant>
        <vt:lpwstr/>
      </vt:variant>
      <vt:variant>
        <vt:i4>6946942</vt:i4>
      </vt:variant>
      <vt:variant>
        <vt:i4>102</vt:i4>
      </vt:variant>
      <vt:variant>
        <vt:i4>0</vt:i4>
      </vt:variant>
      <vt:variant>
        <vt:i4>5</vt:i4>
      </vt:variant>
      <vt:variant>
        <vt:lpwstr>https://civil-protection-knowledge-network.europa.eu/projects/imaros-2</vt:lpwstr>
      </vt:variant>
      <vt:variant>
        <vt:lpwstr/>
      </vt:variant>
      <vt:variant>
        <vt:i4>7405629</vt:i4>
      </vt:variant>
      <vt:variant>
        <vt:i4>99</vt:i4>
      </vt:variant>
      <vt:variant>
        <vt:i4>0</vt:i4>
      </vt:variant>
      <vt:variant>
        <vt:i4>5</vt:i4>
      </vt:variant>
      <vt:variant>
        <vt:lpwstr>https://civil-protection-knowledge-network.europa.eu/projects/brisk-ii</vt:lpwstr>
      </vt:variant>
      <vt:variant>
        <vt:lpwstr/>
      </vt:variant>
      <vt:variant>
        <vt:i4>7405622</vt:i4>
      </vt:variant>
      <vt:variant>
        <vt:i4>96</vt:i4>
      </vt:variant>
      <vt:variant>
        <vt:i4>0</vt:i4>
      </vt:variant>
      <vt:variant>
        <vt:i4>5</vt:i4>
      </vt:variant>
      <vt:variant>
        <vt:lpwstr>https://eomap.com/</vt:lpwstr>
      </vt:variant>
      <vt:variant>
        <vt:lpwstr/>
      </vt:variant>
      <vt:variant>
        <vt:i4>1572957</vt:i4>
      </vt:variant>
      <vt:variant>
        <vt:i4>93</vt:i4>
      </vt:variant>
      <vt:variant>
        <vt:i4>0</vt:i4>
      </vt:variant>
      <vt:variant>
        <vt:i4>5</vt:i4>
      </vt:variant>
      <vt:variant>
        <vt:lpwstr>https://seacras.com/</vt:lpwstr>
      </vt:variant>
      <vt:variant>
        <vt:lpwstr/>
      </vt:variant>
      <vt:variant>
        <vt:i4>8192098</vt:i4>
      </vt:variant>
      <vt:variant>
        <vt:i4>90</vt:i4>
      </vt:variant>
      <vt:variant>
        <vt:i4>0</vt:i4>
      </vt:variant>
      <vt:variant>
        <vt:i4>5</vt:i4>
      </vt:variant>
      <vt:variant>
        <vt:lpwstr>https://www.euspa.europa.eu/eu-space-programme/copernicus/copernicus-demonstrators</vt:lpwstr>
      </vt:variant>
      <vt:variant>
        <vt:lpwstr/>
      </vt:variant>
      <vt:variant>
        <vt:i4>3342396</vt:i4>
      </vt:variant>
      <vt:variant>
        <vt:i4>87</vt:i4>
      </vt:variant>
      <vt:variant>
        <vt:i4>0</vt:i4>
      </vt:variant>
      <vt:variant>
        <vt:i4>5</vt:i4>
      </vt:variant>
      <vt:variant>
        <vt:lpwstr>https://webgate.ec.europa.eu/life/publicWebsite/project/LIFE16-ENV-IT-000343/remediation-of-marine-environment-and-development-of-innovative-aquaculture-exploitation-of-edible-not-edible-biomass</vt:lpwstr>
      </vt:variant>
      <vt:variant>
        <vt:lpwstr/>
      </vt:variant>
      <vt:variant>
        <vt:i4>6357049</vt:i4>
      </vt:variant>
      <vt:variant>
        <vt:i4>84</vt:i4>
      </vt:variant>
      <vt:variant>
        <vt:i4>0</vt:i4>
      </vt:variant>
      <vt:variant>
        <vt:i4>5</vt:i4>
      </vt:variant>
      <vt:variant>
        <vt:lpwstr>https://www.astral-project.eu/</vt:lpwstr>
      </vt:variant>
      <vt:variant>
        <vt:lpwstr/>
      </vt:variant>
      <vt:variant>
        <vt:i4>2621536</vt:i4>
      </vt:variant>
      <vt:variant>
        <vt:i4>81</vt:i4>
      </vt:variant>
      <vt:variant>
        <vt:i4>0</vt:i4>
      </vt:variant>
      <vt:variant>
        <vt:i4>5</vt:i4>
      </vt:variant>
      <vt:variant>
        <vt:lpwstr>https://olamur.eu/</vt:lpwstr>
      </vt:variant>
      <vt:variant>
        <vt:lpwstr/>
      </vt:variant>
      <vt:variant>
        <vt:i4>5046345</vt:i4>
      </vt:variant>
      <vt:variant>
        <vt:i4>78</vt:i4>
      </vt:variant>
      <vt:variant>
        <vt:i4>0</vt:i4>
      </vt:variant>
      <vt:variant>
        <vt:i4>5</vt:i4>
      </vt:variant>
      <vt:variant>
        <vt:lpwstr>https://balticmuppets.eu/</vt:lpwstr>
      </vt:variant>
      <vt:variant>
        <vt:lpwstr/>
      </vt:variant>
      <vt:variant>
        <vt:i4>5111901</vt:i4>
      </vt:variant>
      <vt:variant>
        <vt:i4>75</vt:i4>
      </vt:variant>
      <vt:variant>
        <vt:i4>0</vt:i4>
      </vt:variant>
      <vt:variant>
        <vt:i4>5</vt:i4>
      </vt:variant>
      <vt:variant>
        <vt:lpwstr>https://www.unep.org/unepmap/what-we-do/projects/MarineLitterMED-Plus</vt:lpwstr>
      </vt:variant>
      <vt:variant>
        <vt:lpwstr/>
      </vt:variant>
      <vt:variant>
        <vt:i4>4915212</vt:i4>
      </vt:variant>
      <vt:variant>
        <vt:i4>72</vt:i4>
      </vt:variant>
      <vt:variant>
        <vt:i4>0</vt:i4>
      </vt:variant>
      <vt:variant>
        <vt:i4>5</vt:i4>
      </vt:variant>
      <vt:variant>
        <vt:lpwstr>https://circularoceanplastic.eu/</vt:lpwstr>
      </vt:variant>
      <vt:variant>
        <vt:lpwstr/>
      </vt:variant>
      <vt:variant>
        <vt:i4>5701636</vt:i4>
      </vt:variant>
      <vt:variant>
        <vt:i4>69</vt:i4>
      </vt:variant>
      <vt:variant>
        <vt:i4>0</vt:i4>
      </vt:variant>
      <vt:variant>
        <vt:i4>5</vt:i4>
      </vt:variant>
      <vt:variant>
        <vt:lpwstr>https://freelitterat.eu/</vt:lpwstr>
      </vt:variant>
      <vt:variant>
        <vt:lpwstr/>
      </vt:variant>
      <vt:variant>
        <vt:i4>262188</vt:i4>
      </vt:variant>
      <vt:variant>
        <vt:i4>66</vt:i4>
      </vt:variant>
      <vt:variant>
        <vt:i4>0</vt:i4>
      </vt:variant>
      <vt:variant>
        <vt:i4>5</vt:i4>
      </vt:variant>
      <vt:variant>
        <vt:lpwstr>https://joint-research-centre.ec.europa.eu/jrc-news-and-updates/marine-litter-eu-coastline-down-almost-one-third-2025-02-04_en</vt:lpwstr>
      </vt:variant>
      <vt:variant>
        <vt:lpwstr>:~:text=The%20newly-published%20EU%20Coastline%20Macro%20Litter%20Trend%20report,baseline%20period%20%282015-2016%29%20and%20the%20assessment%20period%20%282020-2021%29.</vt:lpwstr>
      </vt:variant>
      <vt:variant>
        <vt:i4>2097211</vt:i4>
      </vt:variant>
      <vt:variant>
        <vt:i4>63</vt:i4>
      </vt:variant>
      <vt:variant>
        <vt:i4>0</vt:i4>
      </vt:variant>
      <vt:variant>
        <vt:i4>5</vt:i4>
      </vt:variant>
      <vt:variant>
        <vt:lpwstr>https://lifecascade.eu/</vt:lpwstr>
      </vt:variant>
      <vt:variant>
        <vt:lpwstr/>
      </vt:variant>
      <vt:variant>
        <vt:i4>4784139</vt:i4>
      </vt:variant>
      <vt:variant>
        <vt:i4>60</vt:i4>
      </vt:variant>
      <vt:variant>
        <vt:i4>0</vt:i4>
      </vt:variant>
      <vt:variant>
        <vt:i4>5</vt:i4>
      </vt:variant>
      <vt:variant>
        <vt:lpwstr>https://www.acciona.com/projects/pristine</vt:lpwstr>
      </vt:variant>
      <vt:variant>
        <vt:lpwstr/>
      </vt:variant>
      <vt:variant>
        <vt:i4>2752633</vt:i4>
      </vt:variant>
      <vt:variant>
        <vt:i4>57</vt:i4>
      </vt:variant>
      <vt:variant>
        <vt:i4>0</vt:i4>
      </vt:variant>
      <vt:variant>
        <vt:i4>5</vt:i4>
      </vt:variant>
      <vt:variant>
        <vt:lpwstr>https://elektralifeproject.eu/</vt:lpwstr>
      </vt:variant>
      <vt:variant>
        <vt:lpwstr/>
      </vt:variant>
      <vt:variant>
        <vt:i4>1245189</vt:i4>
      </vt:variant>
      <vt:variant>
        <vt:i4>54</vt:i4>
      </vt:variant>
      <vt:variant>
        <vt:i4>0</vt:i4>
      </vt:variant>
      <vt:variant>
        <vt:i4>5</vt:i4>
      </vt:variant>
      <vt:variant>
        <vt:lpwstr>https://d4runoff.eu/</vt:lpwstr>
      </vt:variant>
      <vt:variant>
        <vt:lpwstr/>
      </vt:variant>
      <vt:variant>
        <vt:i4>3735588</vt:i4>
      </vt:variant>
      <vt:variant>
        <vt:i4>51</vt:i4>
      </vt:variant>
      <vt:variant>
        <vt:i4>0</vt:i4>
      </vt:variant>
      <vt:variant>
        <vt:i4>5</vt:i4>
      </vt:variant>
      <vt:variant>
        <vt:lpwstr>https://www.niagara-project.eu/</vt:lpwstr>
      </vt:variant>
      <vt:variant>
        <vt:lpwstr/>
      </vt:variant>
      <vt:variant>
        <vt:i4>2818082</vt:i4>
      </vt:variant>
      <vt:variant>
        <vt:i4>48</vt:i4>
      </vt:variant>
      <vt:variant>
        <vt:i4>0</vt:i4>
      </vt:variant>
      <vt:variant>
        <vt:i4>5</vt:i4>
      </vt:variant>
      <vt:variant>
        <vt:lpwstr>https://cordis.europa.eu/project/id/727450</vt:lpwstr>
      </vt:variant>
      <vt:variant>
        <vt:lpwstr/>
      </vt:variant>
      <vt:variant>
        <vt:i4>3735597</vt:i4>
      </vt:variant>
      <vt:variant>
        <vt:i4>45</vt:i4>
      </vt:variant>
      <vt:variant>
        <vt:i4>0</vt:i4>
      </vt:variant>
      <vt:variant>
        <vt:i4>5</vt:i4>
      </vt:variant>
      <vt:variant>
        <vt:lpwstr>https://todrinq.eu/</vt:lpwstr>
      </vt:variant>
      <vt:variant>
        <vt:lpwstr/>
      </vt:variant>
      <vt:variant>
        <vt:i4>1572879</vt:i4>
      </vt:variant>
      <vt:variant>
        <vt:i4>42</vt:i4>
      </vt:variant>
      <vt:variant>
        <vt:i4>0</vt:i4>
      </vt:variant>
      <vt:variant>
        <vt:i4>5</vt:i4>
      </vt:variant>
      <vt:variant>
        <vt:lpwstr>https://safecrew.org/</vt:lpwstr>
      </vt:variant>
      <vt:variant>
        <vt:lpwstr/>
      </vt:variant>
      <vt:variant>
        <vt:i4>2687020</vt:i4>
      </vt:variant>
      <vt:variant>
        <vt:i4>39</vt:i4>
      </vt:variant>
      <vt:variant>
        <vt:i4>0</vt:i4>
      </vt:variant>
      <vt:variant>
        <vt:i4>5</vt:i4>
      </vt:variant>
      <vt:variant>
        <vt:lpwstr>https://intodbp.eu/</vt:lpwstr>
      </vt:variant>
      <vt:variant>
        <vt:lpwstr/>
      </vt:variant>
      <vt:variant>
        <vt:i4>64</vt:i4>
      </vt:variant>
      <vt:variant>
        <vt:i4>36</vt:i4>
      </vt:variant>
      <vt:variant>
        <vt:i4>0</vt:i4>
      </vt:variant>
      <vt:variant>
        <vt:i4>5</vt:i4>
      </vt:variant>
      <vt:variant>
        <vt:lpwstr>https://h2oforall.eu/</vt:lpwstr>
      </vt:variant>
      <vt:variant>
        <vt:lpwstr/>
      </vt:variant>
      <vt:variant>
        <vt:i4>6750241</vt:i4>
      </vt:variant>
      <vt:variant>
        <vt:i4>33</vt:i4>
      </vt:variant>
      <vt:variant>
        <vt:i4>0</vt:i4>
      </vt:variant>
      <vt:variant>
        <vt:i4>5</vt:i4>
      </vt:variant>
      <vt:variant>
        <vt:lpwstr>https://www.upwater.eu/</vt:lpwstr>
      </vt:variant>
      <vt:variant>
        <vt:lpwstr/>
      </vt:variant>
      <vt:variant>
        <vt:i4>1245258</vt:i4>
      </vt:variant>
      <vt:variant>
        <vt:i4>30</vt:i4>
      </vt:variant>
      <vt:variant>
        <vt:i4>0</vt:i4>
      </vt:variant>
      <vt:variant>
        <vt:i4>5</vt:i4>
      </vt:variant>
      <vt:variant>
        <vt:lpwstr>https://ninfa-project.eu/</vt:lpwstr>
      </vt:variant>
      <vt:variant>
        <vt:lpwstr/>
      </vt:variant>
      <vt:variant>
        <vt:i4>8126516</vt:i4>
      </vt:variant>
      <vt:variant>
        <vt:i4>27</vt:i4>
      </vt:variant>
      <vt:variant>
        <vt:i4>0</vt:i4>
      </vt:variant>
      <vt:variant>
        <vt:i4>5</vt:i4>
      </vt:variant>
      <vt:variant>
        <vt:lpwstr>https://mar2protect.eu/</vt:lpwstr>
      </vt:variant>
      <vt:variant>
        <vt:lpwstr/>
      </vt:variant>
      <vt:variant>
        <vt:i4>524318</vt:i4>
      </vt:variant>
      <vt:variant>
        <vt:i4>24</vt:i4>
      </vt:variant>
      <vt:variant>
        <vt:i4>0</vt:i4>
      </vt:variant>
      <vt:variant>
        <vt:i4>5</vt:i4>
      </vt:variant>
      <vt:variant>
        <vt:lpwstr>https://zeropollution4water.eu/wp-content/uploads/2025/02/ZP4W_Deliverable_Policy-Brief-1.pdf</vt:lpwstr>
      </vt:variant>
      <vt:variant>
        <vt:lpwstr/>
      </vt:variant>
      <vt:variant>
        <vt:i4>1114136</vt:i4>
      </vt:variant>
      <vt:variant>
        <vt:i4>21</vt:i4>
      </vt:variant>
      <vt:variant>
        <vt:i4>0</vt:i4>
      </vt:variant>
      <vt:variant>
        <vt:i4>5</vt:i4>
      </vt:variant>
      <vt:variant>
        <vt:lpwstr>https://op.europa.eu/en/publication-detail/-/publication/075cf595-fe31-11ef-b7db-01aa75ed71a1/language-en</vt:lpwstr>
      </vt:variant>
      <vt:variant>
        <vt:lpwstr/>
      </vt:variant>
      <vt:variant>
        <vt:i4>6815794</vt:i4>
      </vt:variant>
      <vt:variant>
        <vt:i4>18</vt:i4>
      </vt:variant>
      <vt:variant>
        <vt:i4>0</vt:i4>
      </vt:variant>
      <vt:variant>
        <vt:i4>5</vt:i4>
      </vt:variant>
      <vt:variant>
        <vt:lpwstr>https://zeropollution4water.eu/</vt:lpwstr>
      </vt:variant>
      <vt:variant>
        <vt:lpwstr/>
      </vt:variant>
      <vt:variant>
        <vt:i4>4194335</vt:i4>
      </vt:variant>
      <vt:variant>
        <vt:i4>15</vt:i4>
      </vt:variant>
      <vt:variant>
        <vt:i4>0</vt:i4>
      </vt:variant>
      <vt:variant>
        <vt:i4>5</vt:i4>
      </vt:variant>
      <vt:variant>
        <vt:lpwstr>https://cor.europa.eu/en/news/all-stories?country=All&amp;amp;member_id=&amp;amp;political_priorities=891&amp;amp;region=All</vt:lpwstr>
      </vt:variant>
      <vt:variant>
        <vt:lpwstr/>
      </vt:variant>
      <vt:variant>
        <vt:i4>1376268</vt:i4>
      </vt:variant>
      <vt:variant>
        <vt:i4>12</vt:i4>
      </vt:variant>
      <vt:variant>
        <vt:i4>0</vt:i4>
      </vt:variant>
      <vt:variant>
        <vt:i4>5</vt:i4>
      </vt:variant>
      <vt:variant>
        <vt:lpwstr>https://webgate.ec.europa.eu/life/publicWebsite/project/LIFE18-PRE-IT-000003/vegetation-for-urban-green-air-quality-plans</vt:lpwstr>
      </vt:variant>
      <vt:variant>
        <vt:lpwstr/>
      </vt:variant>
      <vt:variant>
        <vt:i4>2687026</vt:i4>
      </vt:variant>
      <vt:variant>
        <vt:i4>9</vt:i4>
      </vt:variant>
      <vt:variant>
        <vt:i4>0</vt:i4>
      </vt:variant>
      <vt:variant>
        <vt:i4>5</vt:i4>
      </vt:variant>
      <vt:variant>
        <vt:lpwstr>https://greenlahti.fi/en/story</vt:lpwstr>
      </vt:variant>
      <vt:variant>
        <vt:lpwstr/>
      </vt:variant>
      <vt:variant>
        <vt:i4>2949189</vt:i4>
      </vt:variant>
      <vt:variant>
        <vt:i4>6</vt:i4>
      </vt:variant>
      <vt:variant>
        <vt:i4>0</vt:i4>
      </vt:variant>
      <vt:variant>
        <vt:i4>5</vt:i4>
      </vt:variant>
      <vt:variant>
        <vt:lpwstr>https://environment.ec.europa.eu/topics/urban-environment/green-city-accord/green-city-accord-good-practices/guimaraes-limpar_en?prefLang=en</vt:lpwstr>
      </vt:variant>
      <vt:variant>
        <vt:lpwstr/>
      </vt:variant>
      <vt:variant>
        <vt:i4>7471109</vt:i4>
      </vt:variant>
      <vt:variant>
        <vt:i4>3</vt:i4>
      </vt:variant>
      <vt:variant>
        <vt:i4>0</vt:i4>
      </vt:variant>
      <vt:variant>
        <vt:i4>5</vt:i4>
      </vt:variant>
      <vt:variant>
        <vt:lpwstr>https://environment.ec.europa.eu/publications/european-green-city-accords-report-progress-and-achievements-2020-2023_en</vt:lpwstr>
      </vt:variant>
      <vt:variant>
        <vt:lpwstr/>
      </vt:variant>
      <vt:variant>
        <vt:i4>4587560</vt:i4>
      </vt:variant>
      <vt:variant>
        <vt:i4>0</vt:i4>
      </vt:variant>
      <vt:variant>
        <vt:i4>0</vt:i4>
      </vt:variant>
      <vt:variant>
        <vt:i4>5</vt:i4>
      </vt:variant>
      <vt:variant>
        <vt:lpwstr>https://environment.ec.europa.eu/strategy/zero-pollution-action-plan/towards-zero-pollution-regions_en</vt:lpwstr>
      </vt:variant>
      <vt:variant>
        <vt:lpwstr/>
      </vt:variant>
      <vt:variant>
        <vt:i4>5898271</vt:i4>
      </vt:variant>
      <vt:variant>
        <vt:i4>246</vt:i4>
      </vt:variant>
      <vt:variant>
        <vt:i4>0</vt:i4>
      </vt:variant>
      <vt:variant>
        <vt:i4>5</vt:i4>
      </vt:variant>
      <vt:variant>
        <vt:lpwstr>https://doi.org/10.1016/j.jenvman.2025.126280</vt:lpwstr>
      </vt:variant>
      <vt:variant>
        <vt:lpwstr/>
      </vt:variant>
      <vt:variant>
        <vt:i4>5570585</vt:i4>
      </vt:variant>
      <vt:variant>
        <vt:i4>243</vt:i4>
      </vt:variant>
      <vt:variant>
        <vt:i4>0</vt:i4>
      </vt:variant>
      <vt:variant>
        <vt:i4>5</vt:i4>
      </vt:variant>
      <vt:variant>
        <vt:lpwstr>https://doi.org/10.1016/j.jenvman.2022.115738</vt:lpwstr>
      </vt:variant>
      <vt:variant>
        <vt:lpwstr/>
      </vt:variant>
      <vt:variant>
        <vt:i4>7733286</vt:i4>
      </vt:variant>
      <vt:variant>
        <vt:i4>240</vt:i4>
      </vt:variant>
      <vt:variant>
        <vt:i4>0</vt:i4>
      </vt:variant>
      <vt:variant>
        <vt:i4>5</vt:i4>
      </vt:variant>
      <vt:variant>
        <vt:lpwstr>https://atmosphere.copernicus.eu/ghg-services/cams-methane-hotspot-explorer</vt:lpwstr>
      </vt:variant>
      <vt:variant>
        <vt:lpwstr/>
      </vt:variant>
      <vt:variant>
        <vt:i4>4128818</vt:i4>
      </vt:variant>
      <vt:variant>
        <vt:i4>237</vt:i4>
      </vt:variant>
      <vt:variant>
        <vt:i4>0</vt:i4>
      </vt:variant>
      <vt:variant>
        <vt:i4>5</vt:i4>
      </vt:variant>
      <vt:variant>
        <vt:lpwstr>https://www.ccacoalition.org/news/factsheet-2024-global-methane-pledge-ministerial</vt:lpwstr>
      </vt:variant>
      <vt:variant>
        <vt:lpwstr/>
      </vt:variant>
      <vt:variant>
        <vt:i4>5570635</vt:i4>
      </vt:variant>
      <vt:variant>
        <vt:i4>234</vt:i4>
      </vt:variant>
      <vt:variant>
        <vt:i4>0</vt:i4>
      </vt:variant>
      <vt:variant>
        <vt:i4>5</vt:i4>
      </vt:variant>
      <vt:variant>
        <vt:lpwstr>https://www.cbd.int/gbf/targets/7</vt:lpwstr>
      </vt:variant>
      <vt:variant>
        <vt:lpwstr/>
      </vt:variant>
      <vt:variant>
        <vt:i4>852051</vt:i4>
      </vt:variant>
      <vt:variant>
        <vt:i4>231</vt:i4>
      </vt:variant>
      <vt:variant>
        <vt:i4>0</vt:i4>
      </vt:variant>
      <vt:variant>
        <vt:i4>5</vt:i4>
      </vt:variant>
      <vt:variant>
        <vt:lpwstr>https://education.ec.europa.eu/news/learning-for-the-green-transition-and-sustainable-development</vt:lpwstr>
      </vt:variant>
      <vt:variant>
        <vt:lpwstr/>
      </vt:variant>
      <vt:variant>
        <vt:i4>7536737</vt:i4>
      </vt:variant>
      <vt:variant>
        <vt:i4>228</vt:i4>
      </vt:variant>
      <vt:variant>
        <vt:i4>0</vt:i4>
      </vt:variant>
      <vt:variant>
        <vt:i4>5</vt:i4>
      </vt:variant>
      <vt:variant>
        <vt:lpwstr>https://op.europa.eu/webpub/empl/esde-2024/</vt:lpwstr>
      </vt:variant>
      <vt:variant>
        <vt:lpwstr>inline-nav-2</vt:lpwstr>
      </vt:variant>
      <vt:variant>
        <vt:i4>7340145</vt:i4>
      </vt:variant>
      <vt:variant>
        <vt:i4>225</vt:i4>
      </vt:variant>
      <vt:variant>
        <vt:i4>0</vt:i4>
      </vt:variant>
      <vt:variant>
        <vt:i4>5</vt:i4>
      </vt:variant>
      <vt:variant>
        <vt:lpwstr>https://doi.org/10.1787/28fa0bb5-en</vt:lpwstr>
      </vt:variant>
      <vt:variant>
        <vt:lpwstr/>
      </vt:variant>
      <vt:variant>
        <vt:i4>8323132</vt:i4>
      </vt:variant>
      <vt:variant>
        <vt:i4>222</vt:i4>
      </vt:variant>
      <vt:variant>
        <vt:i4>0</vt:i4>
      </vt:variant>
      <vt:variant>
        <vt:i4>5</vt:i4>
      </vt:variant>
      <vt:variant>
        <vt:lpwstr>https://www.cedefop.europa.eu/it/publications/4213</vt:lpwstr>
      </vt:variant>
      <vt:variant>
        <vt:lpwstr/>
      </vt:variant>
      <vt:variant>
        <vt:i4>7864419</vt:i4>
      </vt:variant>
      <vt:variant>
        <vt:i4>219</vt:i4>
      </vt:variant>
      <vt:variant>
        <vt:i4>0</vt:i4>
      </vt:variant>
      <vt:variant>
        <vt:i4>5</vt:i4>
      </vt:variant>
      <vt:variant>
        <vt:lpwstr>https://ec.europa.eu/commission/presscorner/detail/en/ip_23_6413</vt:lpwstr>
      </vt:variant>
      <vt:variant>
        <vt:lpwstr/>
      </vt:variant>
      <vt:variant>
        <vt:i4>131157</vt:i4>
      </vt:variant>
      <vt:variant>
        <vt:i4>216</vt:i4>
      </vt:variant>
      <vt:variant>
        <vt:i4>0</vt:i4>
      </vt:variant>
      <vt:variant>
        <vt:i4>5</vt:i4>
      </vt:variant>
      <vt:variant>
        <vt:lpwstr>https://www.ds4sscc.eu/pilotoverview</vt:lpwstr>
      </vt:variant>
      <vt:variant>
        <vt:lpwstr/>
      </vt:variant>
      <vt:variant>
        <vt:i4>2031638</vt:i4>
      </vt:variant>
      <vt:variant>
        <vt:i4>213</vt:i4>
      </vt:variant>
      <vt:variant>
        <vt:i4>0</vt:i4>
      </vt:variant>
      <vt:variant>
        <vt:i4>5</vt:i4>
      </vt:variant>
      <vt:variant>
        <vt:lpwstr>https://www.greatproject.eu/</vt:lpwstr>
      </vt:variant>
      <vt:variant>
        <vt:lpwstr/>
      </vt:variant>
      <vt:variant>
        <vt:i4>1114176</vt:i4>
      </vt:variant>
      <vt:variant>
        <vt:i4>210</vt:i4>
      </vt:variant>
      <vt:variant>
        <vt:i4>0</vt:i4>
      </vt:variant>
      <vt:variant>
        <vt:i4>5</vt:i4>
      </vt:variant>
      <vt:variant>
        <vt:lpwstr>https://www.greendealdata.eu/</vt:lpwstr>
      </vt:variant>
      <vt:variant>
        <vt:lpwstr/>
      </vt:variant>
      <vt:variant>
        <vt:i4>7208981</vt:i4>
      </vt:variant>
      <vt:variant>
        <vt:i4>207</vt:i4>
      </vt:variant>
      <vt:variant>
        <vt:i4>0</vt:i4>
      </vt:variant>
      <vt:variant>
        <vt:i4>5</vt:i4>
      </vt:variant>
      <vt:variant>
        <vt:lpwstr>https://research-and-innovation.ec.europa.eu/funding/funding-opportunities/funding-programmes-and-open-calls/horizon-europe/eu-missions-horizon-europe/restore-our-ocean-and-waters/european-digital-twin-ocean-european-dto_en</vt:lpwstr>
      </vt:variant>
      <vt:variant>
        <vt:lpwstr/>
      </vt:variant>
      <vt:variant>
        <vt:i4>2687073</vt:i4>
      </vt:variant>
      <vt:variant>
        <vt:i4>204</vt:i4>
      </vt:variant>
      <vt:variant>
        <vt:i4>0</vt:i4>
      </vt:variant>
      <vt:variant>
        <vt:i4>5</vt:i4>
      </vt:variant>
      <vt:variant>
        <vt:lpwstr>https://digital-strategy.ec.europa.eu/en/policies/destination-earth</vt:lpwstr>
      </vt:variant>
      <vt:variant>
        <vt:lpwstr/>
      </vt:variant>
      <vt:variant>
        <vt:i4>7471225</vt:i4>
      </vt:variant>
      <vt:variant>
        <vt:i4>201</vt:i4>
      </vt:variant>
      <vt:variant>
        <vt:i4>0</vt:i4>
      </vt:variant>
      <vt:variant>
        <vt:i4>5</vt:i4>
      </vt:variant>
      <vt:variant>
        <vt:lpwstr>https://environment.ec.europa.eu/document/download/6cb7a8f8-8974-4b08-9f5e-0585066cd973_en?filename=ENOLL_Recommendations_ZP_flagship_7_formatted.pdf</vt:lpwstr>
      </vt:variant>
      <vt:variant>
        <vt:lpwstr/>
      </vt:variant>
      <vt:variant>
        <vt:i4>7077938</vt:i4>
      </vt:variant>
      <vt:variant>
        <vt:i4>198</vt:i4>
      </vt:variant>
      <vt:variant>
        <vt:i4>0</vt:i4>
      </vt:variant>
      <vt:variant>
        <vt:i4>5</vt:i4>
      </vt:variant>
      <vt:variant>
        <vt:lpwstr>https://www.eea.europa.eu/en/analysis/publications/zero-pollution-monitoring-and-outlook-report</vt:lpwstr>
      </vt:variant>
      <vt:variant>
        <vt:lpwstr/>
      </vt:variant>
      <vt:variant>
        <vt:i4>4915252</vt:i4>
      </vt:variant>
      <vt:variant>
        <vt:i4>195</vt:i4>
      </vt:variant>
      <vt:variant>
        <vt:i4>0</vt:i4>
      </vt:variant>
      <vt:variant>
        <vt:i4>5</vt:i4>
      </vt:variant>
      <vt:variant>
        <vt:lpwstr>https://dashboard.tech.ec.europa.eu/qs_digit_dashboard_mt/public/sense/app/8298c020-48a6-4b84-91f4-f6f2665c0f99/sheet/d2820200-d4d9-4a26-b23b-58e323c803c2/state/analysis</vt:lpwstr>
      </vt:variant>
      <vt:variant>
        <vt:lpwstr/>
      </vt:variant>
      <vt:variant>
        <vt:i4>6029361</vt:i4>
      </vt:variant>
      <vt:variant>
        <vt:i4>192</vt:i4>
      </vt:variant>
      <vt:variant>
        <vt:i4>0</vt:i4>
      </vt:variant>
      <vt:variant>
        <vt:i4>5</vt:i4>
      </vt:variant>
      <vt:variant>
        <vt:lpwstr>https://research-and-innovation.ec.europa.eu/document/c9d4c0b5-f85e-4599-986d-e6b2438229fc_en</vt:lpwstr>
      </vt:variant>
      <vt:variant>
        <vt:lpwstr/>
      </vt:variant>
      <vt:variant>
        <vt:i4>1638432</vt:i4>
      </vt:variant>
      <vt:variant>
        <vt:i4>189</vt:i4>
      </vt:variant>
      <vt:variant>
        <vt:i4>0</vt:i4>
      </vt:variant>
      <vt:variant>
        <vt:i4>5</vt:i4>
      </vt:variant>
      <vt:variant>
        <vt:lpwstr>https://research-and-innovation.ec.europa.eu/research-area/industrial-research-and-innovation/chemicals-and-advanced-materials/safe-and-sustainable-design_en</vt:lpwstr>
      </vt:variant>
      <vt:variant>
        <vt:lpwstr/>
      </vt:variant>
      <vt:variant>
        <vt:i4>131100</vt:i4>
      </vt:variant>
      <vt:variant>
        <vt:i4>186</vt:i4>
      </vt:variant>
      <vt:variant>
        <vt:i4>0</vt:i4>
      </vt:variant>
      <vt:variant>
        <vt:i4>5</vt:i4>
      </vt:variant>
      <vt:variant>
        <vt:lpwstr>https://innovation-centre-for-industrial-transformation.ec.europa.eu/</vt:lpwstr>
      </vt:variant>
      <vt:variant>
        <vt:lpwstr/>
      </vt:variant>
      <vt:variant>
        <vt:i4>5701694</vt:i4>
      </vt:variant>
      <vt:variant>
        <vt:i4>183</vt:i4>
      </vt:variant>
      <vt:variant>
        <vt:i4>0</vt:i4>
      </vt:variant>
      <vt:variant>
        <vt:i4>5</vt:i4>
      </vt:variant>
      <vt:variant>
        <vt:lpwstr>https://finance.ec.europa.eu/sustainable-finance/tools-and-standards/eu-taxonomy-sustainable-activities/eu-taxonomys-uptake-ground_en</vt:lpwstr>
      </vt:variant>
      <vt:variant>
        <vt:lpwstr/>
      </vt:variant>
      <vt:variant>
        <vt:i4>6160419</vt:i4>
      </vt:variant>
      <vt:variant>
        <vt:i4>180</vt:i4>
      </vt:variant>
      <vt:variant>
        <vt:i4>0</vt:i4>
      </vt:variant>
      <vt:variant>
        <vt:i4>5</vt:i4>
      </vt:variant>
      <vt:variant>
        <vt:lpwstr>https://commission.europa.eu/publications/2024-european-semester-spring-package_en</vt:lpwstr>
      </vt:variant>
      <vt:variant>
        <vt:lpwstr/>
      </vt:variant>
      <vt:variant>
        <vt:i4>6225963</vt:i4>
      </vt:variant>
      <vt:variant>
        <vt:i4>177</vt:i4>
      </vt:variant>
      <vt:variant>
        <vt:i4>0</vt:i4>
      </vt:variant>
      <vt:variant>
        <vt:i4>5</vt:i4>
      </vt:variant>
      <vt:variant>
        <vt:lpwstr>https://taxation-customs.ec.europa.eu/taxation/economic-analysis/annual-report-taxation_en</vt:lpwstr>
      </vt:variant>
      <vt:variant>
        <vt:lpwstr/>
      </vt:variant>
      <vt:variant>
        <vt:i4>6029433</vt:i4>
      </vt:variant>
      <vt:variant>
        <vt:i4>174</vt:i4>
      </vt:variant>
      <vt:variant>
        <vt:i4>0</vt:i4>
      </vt:variant>
      <vt:variant>
        <vt:i4>5</vt:i4>
      </vt:variant>
      <vt:variant>
        <vt:lpwstr>https://commission.europa.eu/news-and-media/news/eu-budget-2028-2034-stronger-europe-2025-07-16_en</vt:lpwstr>
      </vt:variant>
      <vt:variant>
        <vt:lpwstr/>
      </vt:variant>
      <vt:variant>
        <vt:i4>7405636</vt:i4>
      </vt:variant>
      <vt:variant>
        <vt:i4>171</vt:i4>
      </vt:variant>
      <vt:variant>
        <vt:i4>0</vt:i4>
      </vt:variant>
      <vt:variant>
        <vt:i4>5</vt:i4>
      </vt:variant>
      <vt:variant>
        <vt:lpwstr>https://commission.europa.eu/strategy-and-policy/eu-budget/performance-and-reporting/horizontal-priorities/green-budgeting/clean-air-tracking_en</vt:lpwstr>
      </vt:variant>
      <vt:variant>
        <vt:lpwstr/>
      </vt:variant>
      <vt:variant>
        <vt:i4>3407990</vt:i4>
      </vt:variant>
      <vt:variant>
        <vt:i4>168</vt:i4>
      </vt:variant>
      <vt:variant>
        <vt:i4>0</vt:i4>
      </vt:variant>
      <vt:variant>
        <vt:i4>5</vt:i4>
      </vt:variant>
      <vt:variant>
        <vt:lpwstr>https://ec.europa.eu/regional_policy/information-sources/publications/communications/2025/a-modernised-cohesion-policy-the-mid-term-review_en</vt:lpwstr>
      </vt:variant>
      <vt:variant>
        <vt:lpwstr/>
      </vt:variant>
      <vt:variant>
        <vt:i4>3932217</vt:i4>
      </vt:variant>
      <vt:variant>
        <vt:i4>165</vt:i4>
      </vt:variant>
      <vt:variant>
        <vt:i4>0</vt:i4>
      </vt:variant>
      <vt:variant>
        <vt:i4>5</vt:i4>
      </vt:variant>
      <vt:variant>
        <vt:lpwstr>https://op.europa.eu/en/publication-detail/-/publication/4dead000-263d-11f0-8a44-01aa75ed71a1/language-en</vt:lpwstr>
      </vt:variant>
      <vt:variant>
        <vt:lpwstr>:~:text=This%20study%20has%20estimated%20the%20costs%20%28foregone%20benefits%29,et%20al.%20%282019%29%2C%20and%20COWI%20et%20al.%20%282011%29%29.</vt:lpwstr>
      </vt:variant>
      <vt:variant>
        <vt:i4>1835094</vt:i4>
      </vt:variant>
      <vt:variant>
        <vt:i4>162</vt:i4>
      </vt:variant>
      <vt:variant>
        <vt:i4>0</vt:i4>
      </vt:variant>
      <vt:variant>
        <vt:i4>5</vt:i4>
      </vt:variant>
      <vt:variant>
        <vt:lpwstr>https://environment.ec.europa.eu/app/eir-dashboard-on-environmental-investment-needs-and-gaps</vt:lpwstr>
      </vt:variant>
      <vt:variant>
        <vt:lpwstr/>
      </vt:variant>
      <vt:variant>
        <vt:i4>5701745</vt:i4>
      </vt:variant>
      <vt:variant>
        <vt:i4>159</vt:i4>
      </vt:variant>
      <vt:variant>
        <vt:i4>0</vt:i4>
      </vt:variant>
      <vt:variant>
        <vt:i4>5</vt:i4>
      </vt:variant>
      <vt:variant>
        <vt:lpwstr>https://environment.ec.europa.eu/law-and-governance/environmental-implementation-review/peer-2-peer_en</vt:lpwstr>
      </vt:variant>
      <vt:variant>
        <vt:lpwstr/>
      </vt:variant>
      <vt:variant>
        <vt:i4>5374018</vt:i4>
      </vt:variant>
      <vt:variant>
        <vt:i4>156</vt:i4>
      </vt:variant>
      <vt:variant>
        <vt:i4>0</vt:i4>
      </vt:variant>
      <vt:variant>
        <vt:i4>5</vt:i4>
      </vt:variant>
      <vt:variant>
        <vt:lpwstr>https://cor.europa.eu/en/our-work/political-priorities/green-deal-going-local/zero-pollution-going-local</vt:lpwstr>
      </vt:variant>
      <vt:variant>
        <vt:lpwstr/>
      </vt:variant>
      <vt:variant>
        <vt:i4>4718707</vt:i4>
      </vt:variant>
      <vt:variant>
        <vt:i4>153</vt:i4>
      </vt:variant>
      <vt:variant>
        <vt:i4>0</vt:i4>
      </vt:variant>
      <vt:variant>
        <vt:i4>5</vt:i4>
      </vt:variant>
      <vt:variant>
        <vt:lpwstr>https://environment.ec.europa.eu/law-and-governance/environmental-implementation-review_en</vt:lpwstr>
      </vt:variant>
      <vt:variant>
        <vt:lpwstr/>
      </vt:variant>
      <vt:variant>
        <vt:i4>196701</vt:i4>
      </vt:variant>
      <vt:variant>
        <vt:i4>150</vt:i4>
      </vt:variant>
      <vt:variant>
        <vt:i4>0</vt:i4>
      </vt:variant>
      <vt:variant>
        <vt:i4>5</vt:i4>
      </vt:variant>
      <vt:variant>
        <vt:lpwstr>https://www.eea.europa.eu/en/european-zero-pollution-dashboards/chemicals-strategy-for-sustainability</vt:lpwstr>
      </vt:variant>
      <vt:variant>
        <vt:lpwstr/>
      </vt:variant>
      <vt:variant>
        <vt:i4>7667826</vt:i4>
      </vt:variant>
      <vt:variant>
        <vt:i4>147</vt:i4>
      </vt:variant>
      <vt:variant>
        <vt:i4>0</vt:i4>
      </vt:variant>
      <vt:variant>
        <vt:i4>5</vt:i4>
      </vt:variant>
      <vt:variant>
        <vt:lpwstr>https://echa.europa.eu/hot-topics/perfluoroalkyl-chemicals-pfas</vt:lpwstr>
      </vt:variant>
      <vt:variant>
        <vt:lpwstr/>
      </vt:variant>
      <vt:variant>
        <vt:i4>8061032</vt:i4>
      </vt:variant>
      <vt:variant>
        <vt:i4>144</vt:i4>
      </vt:variant>
      <vt:variant>
        <vt:i4>0</vt:i4>
      </vt:variant>
      <vt:variant>
        <vt:i4>5</vt:i4>
      </vt:variant>
      <vt:variant>
        <vt:lpwstr>https://ec.europa.eu/commission/presscorner/detail/en/ip_25_2286</vt:lpwstr>
      </vt:variant>
      <vt:variant>
        <vt:lpwstr/>
      </vt:variant>
      <vt:variant>
        <vt:i4>2031693</vt:i4>
      </vt:variant>
      <vt:variant>
        <vt:i4>141</vt:i4>
      </vt:variant>
      <vt:variant>
        <vt:i4>0</vt:i4>
      </vt:variant>
      <vt:variant>
        <vt:i4>5</vt:i4>
      </vt:variant>
      <vt:variant>
        <vt:lpwstr>https://www.consilium.europa.eu/en/press/press-releases/2025/09/23/water-pollution-council-and-parliament-reach-provisional-deal-to-update-priority-substances-in-surface-and-ground-waters/</vt:lpwstr>
      </vt:variant>
      <vt:variant>
        <vt:lpwstr/>
      </vt:variant>
      <vt:variant>
        <vt:i4>3539055</vt:i4>
      </vt:variant>
      <vt:variant>
        <vt:i4>138</vt:i4>
      </vt:variant>
      <vt:variant>
        <vt:i4>0</vt:i4>
      </vt:variant>
      <vt:variant>
        <vt:i4>5</vt:i4>
      </vt:variant>
      <vt:variant>
        <vt:lpwstr>https://echa.europa.eu/registry-of-clh-intentions-until-outcome/-/dislist/details/0b0236e188e8d4b8</vt:lpwstr>
      </vt:variant>
      <vt:variant>
        <vt:lpwstr/>
      </vt:variant>
      <vt:variant>
        <vt:i4>4456474</vt:i4>
      </vt:variant>
      <vt:variant>
        <vt:i4>135</vt:i4>
      </vt:variant>
      <vt:variant>
        <vt:i4>0</vt:i4>
      </vt:variant>
      <vt:variant>
        <vt:i4>5</vt:i4>
      </vt:variant>
      <vt:variant>
        <vt:lpwstr>https://www.eea.europa.eu/en/european-zero-pollution-dashboards/indicators/emission-from-waste-management-facilities</vt:lpwstr>
      </vt:variant>
      <vt:variant>
        <vt:lpwstr/>
      </vt:variant>
      <vt:variant>
        <vt:i4>786447</vt:i4>
      </vt:variant>
      <vt:variant>
        <vt:i4>132</vt:i4>
      </vt:variant>
      <vt:variant>
        <vt:i4>0</vt:i4>
      </vt:variant>
      <vt:variant>
        <vt:i4>5</vt:i4>
      </vt:variant>
      <vt:variant>
        <vt:lpwstr>https://www.eea.europa.eu/en/european-zero-pollution-dashboards/indicators/pfas-contamination-and-soil-remediation-signal</vt:lpwstr>
      </vt:variant>
      <vt:variant>
        <vt:lpwstr/>
      </vt:variant>
      <vt:variant>
        <vt:i4>131087</vt:i4>
      </vt:variant>
      <vt:variant>
        <vt:i4>129</vt:i4>
      </vt:variant>
      <vt:variant>
        <vt:i4>0</vt:i4>
      </vt:variant>
      <vt:variant>
        <vt:i4>5</vt:i4>
      </vt:variant>
      <vt:variant>
        <vt:lpwstr>https://www.eea.europa.eu/en/european-zero-pollution-dashboards/indicators/treatment-of-drinking-water-to-remove-pfas-signal</vt:lpwstr>
      </vt:variant>
      <vt:variant>
        <vt:lpwstr/>
      </vt:variant>
      <vt:variant>
        <vt:i4>7077938</vt:i4>
      </vt:variant>
      <vt:variant>
        <vt:i4>126</vt:i4>
      </vt:variant>
      <vt:variant>
        <vt:i4>0</vt:i4>
      </vt:variant>
      <vt:variant>
        <vt:i4>5</vt:i4>
      </vt:variant>
      <vt:variant>
        <vt:lpwstr>https://www.eea.europa.eu/en/analysis/publications/zero-pollution-monitoring-and-outlook-report</vt:lpwstr>
      </vt:variant>
      <vt:variant>
        <vt:lpwstr/>
      </vt:variant>
      <vt:variant>
        <vt:i4>3866627</vt:i4>
      </vt:variant>
      <vt:variant>
        <vt:i4>123</vt:i4>
      </vt:variant>
      <vt:variant>
        <vt:i4>0</vt:i4>
      </vt:variant>
      <vt:variant>
        <vt:i4>5</vt:i4>
      </vt:variant>
      <vt:variant>
        <vt:lpwstr>https://health.ec.europa.eu/medicinal-products/legal-framework-governing-medicinal-products-human-use-eu/reform-eu-pharmaceutical-legislation_en</vt:lpwstr>
      </vt:variant>
      <vt:variant>
        <vt:lpwstr/>
      </vt:variant>
      <vt:variant>
        <vt:i4>3473493</vt:i4>
      </vt:variant>
      <vt:variant>
        <vt:i4>120</vt:i4>
      </vt:variant>
      <vt:variant>
        <vt:i4>0</vt:i4>
      </vt:variant>
      <vt:variant>
        <vt:i4>5</vt:i4>
      </vt:variant>
      <vt:variant>
        <vt:lpwstr>https://health.ec.europa.eu/medicinal-products/pharmaceutical-strategy-europe_en</vt:lpwstr>
      </vt:variant>
      <vt:variant>
        <vt:lpwstr/>
      </vt:variant>
      <vt:variant>
        <vt:i4>2687098</vt:i4>
      </vt:variant>
      <vt:variant>
        <vt:i4>117</vt:i4>
      </vt:variant>
      <vt:variant>
        <vt:i4>0</vt:i4>
      </vt:variant>
      <vt:variant>
        <vt:i4>5</vt:i4>
      </vt:variant>
      <vt:variant>
        <vt:lpwstr>https://doi.org/10.1016/j.scitotenv.2022.157124</vt:lpwstr>
      </vt:variant>
      <vt:variant>
        <vt:lpwstr/>
      </vt:variant>
      <vt:variant>
        <vt:i4>6226001</vt:i4>
      </vt:variant>
      <vt:variant>
        <vt:i4>114</vt:i4>
      </vt:variant>
      <vt:variant>
        <vt:i4>0</vt:i4>
      </vt:variant>
      <vt:variant>
        <vt:i4>5</vt:i4>
      </vt:variant>
      <vt:variant>
        <vt:lpwstr>https://doi.org/10.1016/j.envint.2022.107608</vt:lpwstr>
      </vt:variant>
      <vt:variant>
        <vt:lpwstr/>
      </vt:variant>
      <vt:variant>
        <vt:i4>544800873</vt:i4>
      </vt:variant>
      <vt:variant>
        <vt:i4>111</vt:i4>
      </vt:variant>
      <vt:variant>
        <vt:i4>0</vt:i4>
      </vt:variant>
      <vt:variant>
        <vt:i4>5</vt:i4>
      </vt:variant>
      <vt:variant>
        <vt:lpwstr>https://eceuropaeu-my.sharepoint.com/personal/joachim_d'eugenio_ec_europa_eu/Documents/0 Dir C folder/0-zero pollution/Planning/2025_Review/Mixtures of chemicals in Europe’s rivers and lakes</vt:lpwstr>
      </vt:variant>
      <vt:variant>
        <vt:lpwstr/>
      </vt:variant>
      <vt:variant>
        <vt:i4>4325390</vt:i4>
      </vt:variant>
      <vt:variant>
        <vt:i4>108</vt:i4>
      </vt:variant>
      <vt:variant>
        <vt:i4>0</vt:i4>
      </vt:variant>
      <vt:variant>
        <vt:i4>5</vt:i4>
      </vt:variant>
      <vt:variant>
        <vt:lpwstr>https://www.env-health.org/new-report-chemical-pollution-driving-mens-health-crisis/</vt:lpwstr>
      </vt:variant>
      <vt:variant>
        <vt:lpwstr/>
      </vt:variant>
      <vt:variant>
        <vt:i4>1114178</vt:i4>
      </vt:variant>
      <vt:variant>
        <vt:i4>105</vt:i4>
      </vt:variant>
      <vt:variant>
        <vt:i4>0</vt:i4>
      </vt:variant>
      <vt:variant>
        <vt:i4>5</vt:i4>
      </vt:variant>
      <vt:variant>
        <vt:lpwstr>https://www.eea.europa.eu/en/european-zero-pollution-dashboards/indicators/risk-of-chemical-mixtures-in-humans?activeTab=265e2bee-7de3-46e8-b6ee-76005f3f434f</vt:lpwstr>
      </vt:variant>
      <vt:variant>
        <vt:lpwstr/>
      </vt:variant>
      <vt:variant>
        <vt:i4>5046367</vt:i4>
      </vt:variant>
      <vt:variant>
        <vt:i4>102</vt:i4>
      </vt:variant>
      <vt:variant>
        <vt:i4>0</vt:i4>
      </vt:variant>
      <vt:variant>
        <vt:i4>5</vt:i4>
      </vt:variant>
      <vt:variant>
        <vt:lpwstr>https://www.eca.europa.eu/en/publications?ref=SR-2025-02</vt:lpwstr>
      </vt:variant>
      <vt:variant>
        <vt:lpwstr/>
      </vt:variant>
      <vt:variant>
        <vt:i4>6357001</vt:i4>
      </vt:variant>
      <vt:variant>
        <vt:i4>99</vt:i4>
      </vt:variant>
      <vt:variant>
        <vt:i4>0</vt:i4>
      </vt:variant>
      <vt:variant>
        <vt:i4>5</vt:i4>
      </vt:variant>
      <vt:variant>
        <vt:lpwstr>https://transport.ec.europa.eu/news-events/news/commission-welcomes-political-agreement-new-rules-harmonise-transport-emissions-calculations-eu-2025-11-06_en</vt:lpwstr>
      </vt:variant>
      <vt:variant>
        <vt:lpwstr>:~:text=The%20European%20Commission%20welcomes%20the%20political%20agreement%20reached,calculating%20greenhouse%E2%80%91gas%20emissions%20from%20freight%20and%20passenger%20transport.</vt:lpwstr>
      </vt:variant>
      <vt:variant>
        <vt:i4>8126571</vt:i4>
      </vt:variant>
      <vt:variant>
        <vt:i4>93</vt:i4>
      </vt:variant>
      <vt:variant>
        <vt:i4>0</vt:i4>
      </vt:variant>
      <vt:variant>
        <vt:i4>5</vt:i4>
      </vt:variant>
      <vt:variant>
        <vt:lpwstr>https://ec.europa.eu/commission/presscorner/detail/en/ip_25_1083</vt:lpwstr>
      </vt:variant>
      <vt:variant>
        <vt:lpwstr/>
      </vt:variant>
      <vt:variant>
        <vt:i4>2818165</vt:i4>
      </vt:variant>
      <vt:variant>
        <vt:i4>90</vt:i4>
      </vt:variant>
      <vt:variant>
        <vt:i4>0</vt:i4>
      </vt:variant>
      <vt:variant>
        <vt:i4>5</vt:i4>
      </vt:variant>
      <vt:variant>
        <vt:lpwstr>https://www.eea.europa.eu/en/analysis/publications/from-source-to-sea-the-untold-story-of-marine-litter</vt:lpwstr>
      </vt:variant>
      <vt:variant>
        <vt:lpwstr/>
      </vt:variant>
      <vt:variant>
        <vt:i4>983108</vt:i4>
      </vt:variant>
      <vt:variant>
        <vt:i4>87</vt:i4>
      </vt:variant>
      <vt:variant>
        <vt:i4>0</vt:i4>
      </vt:variant>
      <vt:variant>
        <vt:i4>5</vt:i4>
      </vt:variant>
      <vt:variant>
        <vt:lpwstr>https://publications.jrc.ec.europa.eu/repository/handle/JRC139655</vt:lpwstr>
      </vt:variant>
      <vt:variant>
        <vt:lpwstr/>
      </vt:variant>
      <vt:variant>
        <vt:i4>7077938</vt:i4>
      </vt:variant>
      <vt:variant>
        <vt:i4>84</vt:i4>
      </vt:variant>
      <vt:variant>
        <vt:i4>0</vt:i4>
      </vt:variant>
      <vt:variant>
        <vt:i4>5</vt:i4>
      </vt:variant>
      <vt:variant>
        <vt:lpwstr>https://www.eea.europa.eu/en/analysis/publications/zero-pollution-monitoring-and-outlook-report</vt:lpwstr>
      </vt:variant>
      <vt:variant>
        <vt:lpwstr/>
      </vt:variant>
      <vt:variant>
        <vt:i4>196701</vt:i4>
      </vt:variant>
      <vt:variant>
        <vt:i4>81</vt:i4>
      </vt:variant>
      <vt:variant>
        <vt:i4>0</vt:i4>
      </vt:variant>
      <vt:variant>
        <vt:i4>5</vt:i4>
      </vt:variant>
      <vt:variant>
        <vt:lpwstr>https://www.eea.europa.eu/en/european-zero-pollution-dashboards/chemicals-strategy-for-sustainability</vt:lpwstr>
      </vt:variant>
      <vt:variant>
        <vt:lpwstr/>
      </vt:variant>
      <vt:variant>
        <vt:i4>6553719</vt:i4>
      </vt:variant>
      <vt:variant>
        <vt:i4>78</vt:i4>
      </vt:variant>
      <vt:variant>
        <vt:i4>0</vt:i4>
      </vt:variant>
      <vt:variant>
        <vt:i4>5</vt:i4>
      </vt:variant>
      <vt:variant>
        <vt:lpwstr>https://www.eea.europa.eu/en/newsroom/news/make-chemicals-safe-and-sustainable</vt:lpwstr>
      </vt:variant>
      <vt:variant>
        <vt:lpwstr/>
      </vt:variant>
      <vt:variant>
        <vt:i4>2490435</vt:i4>
      </vt:variant>
      <vt:variant>
        <vt:i4>75</vt:i4>
      </vt:variant>
      <vt:variant>
        <vt:i4>0</vt:i4>
      </vt:variant>
      <vt:variant>
        <vt:i4>5</vt:i4>
      </vt:variant>
      <vt:variant>
        <vt:lpwstr>https://environment.ec.europa.eu/topics/air/clean-air-outlook_en</vt:lpwstr>
      </vt:variant>
      <vt:variant>
        <vt:lpwstr/>
      </vt:variant>
      <vt:variant>
        <vt:i4>5505142</vt:i4>
      </vt:variant>
      <vt:variant>
        <vt:i4>72</vt:i4>
      </vt:variant>
      <vt:variant>
        <vt:i4>0</vt:i4>
      </vt:variant>
      <vt:variant>
        <vt:i4>5</vt:i4>
      </vt:variant>
      <vt:variant>
        <vt:lpwstr>https://environment.ec.europa.eu/strategy/zero-pollution-action-plan/zero-pollution-targets_en</vt:lpwstr>
      </vt:variant>
      <vt:variant>
        <vt:lpwstr/>
      </vt:variant>
      <vt:variant>
        <vt:i4>196693</vt:i4>
      </vt:variant>
      <vt:variant>
        <vt:i4>69</vt:i4>
      </vt:variant>
      <vt:variant>
        <vt:i4>0</vt:i4>
      </vt:variant>
      <vt:variant>
        <vt:i4>5</vt:i4>
      </vt:variant>
      <vt:variant>
        <vt:lpwstr>https://eur-lex.europa.eu/legal-content/EN/TXT/?uri=COM:2022:674:FIN</vt:lpwstr>
      </vt:variant>
      <vt:variant>
        <vt:lpwstr/>
      </vt:variant>
      <vt:variant>
        <vt:i4>7077938</vt:i4>
      </vt:variant>
      <vt:variant>
        <vt:i4>66</vt:i4>
      </vt:variant>
      <vt:variant>
        <vt:i4>0</vt:i4>
      </vt:variant>
      <vt:variant>
        <vt:i4>5</vt:i4>
      </vt:variant>
      <vt:variant>
        <vt:lpwstr>https://www.eea.europa.eu/en/analysis/publications/zero-pollution-monitoring-and-outlook-report</vt:lpwstr>
      </vt:variant>
      <vt:variant>
        <vt:lpwstr/>
      </vt:variant>
      <vt:variant>
        <vt:i4>2293784</vt:i4>
      </vt:variant>
      <vt:variant>
        <vt:i4>63</vt:i4>
      </vt:variant>
      <vt:variant>
        <vt:i4>0</vt:i4>
      </vt:variant>
      <vt:variant>
        <vt:i4>5</vt:i4>
      </vt:variant>
      <vt:variant>
        <vt:lpwstr>https://environment.ec.europa.eu/strategy/zero-pollution-stakeholder-platform/actions_en</vt:lpwstr>
      </vt:variant>
      <vt:variant>
        <vt:lpwstr/>
      </vt:variant>
      <vt:variant>
        <vt:i4>2293784</vt:i4>
      </vt:variant>
      <vt:variant>
        <vt:i4>60</vt:i4>
      </vt:variant>
      <vt:variant>
        <vt:i4>0</vt:i4>
      </vt:variant>
      <vt:variant>
        <vt:i4>5</vt:i4>
      </vt:variant>
      <vt:variant>
        <vt:lpwstr>https://environment.ec.europa.eu/strategy/zero-pollution-stakeholder-platform/actions_en</vt:lpwstr>
      </vt:variant>
      <vt:variant>
        <vt:lpwstr/>
      </vt:variant>
      <vt:variant>
        <vt:i4>5898240</vt:i4>
      </vt:variant>
      <vt:variant>
        <vt:i4>57</vt:i4>
      </vt:variant>
      <vt:variant>
        <vt:i4>0</vt:i4>
      </vt:variant>
      <vt:variant>
        <vt:i4>5</vt:i4>
      </vt:variant>
      <vt:variant>
        <vt:lpwstr>https://www.eea.europa.eu/en/analysis/publications/environmental-noise-in-europe-2025</vt:lpwstr>
      </vt:variant>
      <vt:variant>
        <vt:lpwstr/>
      </vt:variant>
      <vt:variant>
        <vt:i4>5898240</vt:i4>
      </vt:variant>
      <vt:variant>
        <vt:i4>54</vt:i4>
      </vt:variant>
      <vt:variant>
        <vt:i4>0</vt:i4>
      </vt:variant>
      <vt:variant>
        <vt:i4>5</vt:i4>
      </vt:variant>
      <vt:variant>
        <vt:lpwstr>https://www.eea.europa.eu/en/analysis/publications/environmental-noise-in-europe-2025</vt:lpwstr>
      </vt:variant>
      <vt:variant>
        <vt:lpwstr/>
      </vt:variant>
      <vt:variant>
        <vt:i4>2490435</vt:i4>
      </vt:variant>
      <vt:variant>
        <vt:i4>51</vt:i4>
      </vt:variant>
      <vt:variant>
        <vt:i4>0</vt:i4>
      </vt:variant>
      <vt:variant>
        <vt:i4>5</vt:i4>
      </vt:variant>
      <vt:variant>
        <vt:lpwstr>https://environment.ec.europa.eu/topics/air/clean-air-outlook_en</vt:lpwstr>
      </vt:variant>
      <vt:variant>
        <vt:lpwstr/>
      </vt:variant>
      <vt:variant>
        <vt:i4>7077938</vt:i4>
      </vt:variant>
      <vt:variant>
        <vt:i4>48</vt:i4>
      </vt:variant>
      <vt:variant>
        <vt:i4>0</vt:i4>
      </vt:variant>
      <vt:variant>
        <vt:i4>5</vt:i4>
      </vt:variant>
      <vt:variant>
        <vt:lpwstr>https://www.eea.europa.eu/en/analysis/publications/zero-pollution-monitoring-and-outlook-report</vt:lpwstr>
      </vt:variant>
      <vt:variant>
        <vt:lpwstr/>
      </vt:variant>
      <vt:variant>
        <vt:i4>5570643</vt:i4>
      </vt:variant>
      <vt:variant>
        <vt:i4>45</vt:i4>
      </vt:variant>
      <vt:variant>
        <vt:i4>0</vt:i4>
      </vt:variant>
      <vt:variant>
        <vt:i4>5</vt:i4>
      </vt:variant>
      <vt:variant>
        <vt:lpwstr>https://www.eea.europa.eu/en/europe-environment-2025</vt:lpwstr>
      </vt:variant>
      <vt:variant>
        <vt:lpwstr/>
      </vt:variant>
      <vt:variant>
        <vt:i4>1245205</vt:i4>
      </vt:variant>
      <vt:variant>
        <vt:i4>42</vt:i4>
      </vt:variant>
      <vt:variant>
        <vt:i4>0</vt:i4>
      </vt:variant>
      <vt:variant>
        <vt:i4>5</vt:i4>
      </vt:variant>
      <vt:variant>
        <vt:lpwstr>https://eur-lex.europa.eu/legal-content/EN/TXT/?uri=CELEX:52022SC0345</vt:lpwstr>
      </vt:variant>
      <vt:variant>
        <vt:lpwstr/>
      </vt:variant>
      <vt:variant>
        <vt:i4>1245205</vt:i4>
      </vt:variant>
      <vt:variant>
        <vt:i4>39</vt:i4>
      </vt:variant>
      <vt:variant>
        <vt:i4>0</vt:i4>
      </vt:variant>
      <vt:variant>
        <vt:i4>5</vt:i4>
      </vt:variant>
      <vt:variant>
        <vt:lpwstr>https://eur-lex.europa.eu/legal-content/EN/TXT/?uri=CELEX:52022SC0345</vt:lpwstr>
      </vt:variant>
      <vt:variant>
        <vt:lpwstr/>
      </vt:variant>
      <vt:variant>
        <vt:i4>1245191</vt:i4>
      </vt:variant>
      <vt:variant>
        <vt:i4>30</vt:i4>
      </vt:variant>
      <vt:variant>
        <vt:i4>0</vt:i4>
      </vt:variant>
      <vt:variant>
        <vt:i4>5</vt:i4>
      </vt:variant>
      <vt:variant>
        <vt:lpwstr>https://www.oecd.org/en/topics/economic-and-environmental-outcomes-of-innovation.html</vt:lpwstr>
      </vt:variant>
      <vt:variant>
        <vt:lpwstr/>
      </vt:variant>
      <vt:variant>
        <vt:i4>1245225</vt:i4>
      </vt:variant>
      <vt:variant>
        <vt:i4>27</vt:i4>
      </vt:variant>
      <vt:variant>
        <vt:i4>0</vt:i4>
      </vt:variant>
      <vt:variant>
        <vt:i4>5</vt:i4>
      </vt:variant>
      <vt:variant>
        <vt:lpwstr>https://ec.europa.eu/eurostat/statistics-explained/index.php?title=Environmental_economy_%E2%80%93_statistics_on_employment_and_growth</vt:lpwstr>
      </vt:variant>
      <vt:variant>
        <vt:lpwstr/>
      </vt:variant>
      <vt:variant>
        <vt:i4>1245225</vt:i4>
      </vt:variant>
      <vt:variant>
        <vt:i4>24</vt:i4>
      </vt:variant>
      <vt:variant>
        <vt:i4>0</vt:i4>
      </vt:variant>
      <vt:variant>
        <vt:i4>5</vt:i4>
      </vt:variant>
      <vt:variant>
        <vt:lpwstr>https://ec.europa.eu/eurostat/statistics-explained/index.php?title=Environmental_economy_%E2%80%93_statistics_on_employment_and_growth</vt:lpwstr>
      </vt:variant>
      <vt:variant>
        <vt:lpwstr/>
      </vt:variant>
      <vt:variant>
        <vt:i4>6226028</vt:i4>
      </vt:variant>
      <vt:variant>
        <vt:i4>18</vt:i4>
      </vt:variant>
      <vt:variant>
        <vt:i4>0</vt:i4>
      </vt:variant>
      <vt:variant>
        <vt:i4>5</vt:i4>
      </vt:variant>
      <vt:variant>
        <vt:lpwstr>https://environment.ec.europa.eu/strategy/chemicals-strategy/implementation_en</vt:lpwstr>
      </vt:variant>
      <vt:variant>
        <vt:lpwstr/>
      </vt:variant>
      <vt:variant>
        <vt:i4>2293784</vt:i4>
      </vt:variant>
      <vt:variant>
        <vt:i4>15</vt:i4>
      </vt:variant>
      <vt:variant>
        <vt:i4>0</vt:i4>
      </vt:variant>
      <vt:variant>
        <vt:i4>5</vt:i4>
      </vt:variant>
      <vt:variant>
        <vt:lpwstr>https://environment.ec.europa.eu/strategy/zero-pollution-stakeholder-platform/actions_en</vt:lpwstr>
      </vt:variant>
      <vt:variant>
        <vt:lpwstr/>
      </vt:variant>
      <vt:variant>
        <vt:i4>5505142</vt:i4>
      </vt:variant>
      <vt:variant>
        <vt:i4>12</vt:i4>
      </vt:variant>
      <vt:variant>
        <vt:i4>0</vt:i4>
      </vt:variant>
      <vt:variant>
        <vt:i4>5</vt:i4>
      </vt:variant>
      <vt:variant>
        <vt:lpwstr>https://environment.ec.europa.eu/strategy/zero-pollution-action-plan/zero-pollution-targets_en</vt:lpwstr>
      </vt:variant>
      <vt:variant>
        <vt:lpwstr/>
      </vt:variant>
      <vt:variant>
        <vt:i4>2556001</vt:i4>
      </vt:variant>
      <vt:variant>
        <vt:i4>9</vt:i4>
      </vt:variant>
      <vt:variant>
        <vt:i4>0</vt:i4>
      </vt:variant>
      <vt:variant>
        <vt:i4>5</vt:i4>
      </vt:variant>
      <vt:variant>
        <vt:lpwstr>https://www.weforum.org/publications/global-risks-report-2025/in-full/</vt:lpwstr>
      </vt:variant>
      <vt:variant>
        <vt:lpwstr/>
      </vt:variant>
      <vt:variant>
        <vt:i4>7471147</vt:i4>
      </vt:variant>
      <vt:variant>
        <vt:i4>6</vt:i4>
      </vt:variant>
      <vt:variant>
        <vt:i4>0</vt:i4>
      </vt:variant>
      <vt:variant>
        <vt:i4>5</vt:i4>
      </vt:variant>
      <vt:variant>
        <vt:lpwstr>https://doi.org/10.1787/318cb85f-en</vt:lpwstr>
      </vt:variant>
      <vt:variant>
        <vt:lpwstr/>
      </vt:variant>
      <vt:variant>
        <vt:i4>65628</vt:i4>
      </vt:variant>
      <vt:variant>
        <vt:i4>3</vt:i4>
      </vt:variant>
      <vt:variant>
        <vt:i4>0</vt:i4>
      </vt:variant>
      <vt:variant>
        <vt:i4>5</vt:i4>
      </vt:variant>
      <vt:variant>
        <vt:lpwstr>https://www.oecd.org/en/blogs/2025/06/want-stronger-growth-in-europe-start-with-the-air-we-breathe.html?adestraproject=Science%2C%20Technology%20and%20Innovation&amp;utm_campaign=STI%20News%201%20July%20-%20Air%20pollution&amp;utm_content=Read%20the%20blog%3A%20Want%20stronger%20growth%20in%20Europe%3F%20Start%20with%20the%20air%20we%20breathe&amp;utm_term=sti&amp;utm_medium=email&amp;utm_source=Adestra</vt:lpwstr>
      </vt:variant>
      <vt:variant>
        <vt:lpwstr/>
      </vt:variant>
      <vt:variant>
        <vt:i4>131075</vt:i4>
      </vt:variant>
      <vt:variant>
        <vt:i4>0</vt:i4>
      </vt:variant>
      <vt:variant>
        <vt:i4>0</vt:i4>
      </vt:variant>
      <vt:variant>
        <vt:i4>5</vt:i4>
      </vt:variant>
      <vt:variant>
        <vt:lpwstr>https://www.eea.europa.eu/en/europe-environment-2025/main-report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dcterms:created xsi:type="dcterms:W3CDTF">2026-01-28T13:33:00Z</dcterms:created>
  <dcterms:modified xsi:type="dcterms:W3CDTF">2026-01-29T16:03:00Z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CP-008</vt:lpwstr>
  </property>
  <property fmtid="{D5CDD505-2E9C-101B-9397-08002B2CF9AE}" pid="7" name="Last edited using">
    <vt:lpwstr>LW 9.2, Build 20250828</vt:lpwstr>
  </property>
  <property fmtid="{D5CDD505-2E9C-101B-9397-08002B2CF9AE}" pid="8" name="Created using">
    <vt:lpwstr>LW 9.1, Build 20240808</vt:lpwstr>
  </property>
  <property fmtid="{D5CDD505-2E9C-101B-9397-08002B2CF9AE}" pid="9" name="MSIP_Label_6bd9ddd1-4d20-43f6-abfa-fc3c07406f94_Enabled">
    <vt:lpwstr>true</vt:lpwstr>
  </property>
  <property fmtid="{D5CDD505-2E9C-101B-9397-08002B2CF9AE}" pid="10" name="MSIP_Label_6bd9ddd1-4d20-43f6-abfa-fc3c07406f94_SetDate">
    <vt:lpwstr>2025-10-30T08:05:25Z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90ef09cf-cdd5-4c1d-b3c1-70fe03729069</vt:lpwstr>
  </property>
  <property fmtid="{D5CDD505-2E9C-101B-9397-08002B2CF9AE}" pid="15" name="MSIP_Label_6bd9ddd1-4d20-43f6-abfa-fc3c07406f94_ContentBits">
    <vt:lpwstr>0</vt:lpwstr>
  </property>
  <property fmtid="{D5CDD505-2E9C-101B-9397-08002B2CF9AE}" pid="16" name="MSIP_Label_6bd9ddd1-4d20-43f6-abfa-fc3c07406f94_Tag">
    <vt:lpwstr>10, 3, 0, 1</vt:lpwstr>
  </property>
  <property fmtid="{D5CDD505-2E9C-101B-9397-08002B2CF9AE}" pid="17" name="ContentTypeId">
    <vt:lpwstr>0x0101005C2F05394DCE044693DCAA726179B598</vt:lpwstr>
  </property>
  <property fmtid="{D5CDD505-2E9C-101B-9397-08002B2CF9AE}" pid="18" name="MediaServiceImageTags">
    <vt:lpwstr/>
  </property>
</Properties>
</file>