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33F" w:rsidRPr="00DC18A7" w:rsidRDefault="00D02E91" w:rsidP="00D02E91">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42240B5D-A4E1-4FAE-B76A-D65E81C103B5" style="width:455.25pt;height:381pt">
            <v:imagedata r:id="rId11" o:title=""/>
          </v:shape>
        </w:pict>
      </w:r>
    </w:p>
    <w:p w:rsidR="00CC6B9B" w:rsidRPr="00DC18A7" w:rsidRDefault="00CC6B9B">
      <w:pPr>
        <w:rPr>
          <w:noProof/>
        </w:rPr>
        <w:sectPr w:rsidR="00CC6B9B" w:rsidRPr="00DC18A7" w:rsidSect="00D02E91">
          <w:footerReference w:type="even" r:id="rId12"/>
          <w:footerReference w:type="default" r:id="rId13"/>
          <w:pgSz w:w="11907" w:h="16839"/>
          <w:pgMar w:top="1134" w:right="1417" w:bottom="1134" w:left="1417" w:header="709" w:footer="709" w:gutter="0"/>
          <w:pgNumType w:start="0"/>
          <w:cols w:space="720"/>
          <w:docGrid w:linePitch="360"/>
        </w:sectPr>
      </w:pPr>
    </w:p>
    <w:p w:rsidR="002C6ABE" w:rsidRPr="00DC18A7" w:rsidRDefault="00DC18A7" w:rsidP="00DC18A7">
      <w:pPr>
        <w:pStyle w:val="Rfrenceinterinstitutionnelle"/>
        <w:rPr>
          <w:noProof/>
        </w:rPr>
      </w:pPr>
      <w:bookmarkStart w:id="0" w:name="_GoBack"/>
      <w:bookmarkEnd w:id="0"/>
      <w:r>
        <w:rPr>
          <w:noProof/>
        </w:rPr>
        <w:lastRenderedPageBreak/>
        <w:t>2023/0124 (COD)</w:t>
      </w:r>
    </w:p>
    <w:p w:rsidR="00CC6B9B" w:rsidRPr="00DC18A7" w:rsidRDefault="00DC18A7" w:rsidP="00DC18A7">
      <w:pPr>
        <w:pStyle w:val="Typedudocument"/>
        <w:rPr>
          <w:noProof/>
        </w:rPr>
      </w:pPr>
      <w:r w:rsidRPr="00DC18A7">
        <w:rPr>
          <w:noProof/>
        </w:rPr>
        <w:t>KOMISIJAS PAZIŅOJUMS EIROPAS PARLAMENTAM,</w:t>
      </w:r>
      <w:r w:rsidRPr="00DC18A7">
        <w:rPr>
          <w:noProof/>
        </w:rPr>
        <w:br/>
      </w:r>
      <w:r w:rsidRPr="00DC18A7">
        <w:rPr>
          <w:noProof/>
        </w:rPr>
        <w:br/>
        <w:t>ko izstrādā atbilstīgi Līguma par Eiropas Savienības darbību 294. panta 6. punktam,</w:t>
      </w:r>
      <w:r w:rsidRPr="00DC18A7">
        <w:rPr>
          <w:noProof/>
        </w:rPr>
        <w:br/>
      </w:r>
      <w:r w:rsidRPr="00DC18A7">
        <w:rPr>
          <w:noProof/>
        </w:rPr>
        <w:br/>
        <w:t>par</w:t>
      </w:r>
    </w:p>
    <w:p w:rsidR="00CC6B9B" w:rsidRPr="00DC18A7" w:rsidRDefault="00DC18A7" w:rsidP="00DC18A7">
      <w:pPr>
        <w:pStyle w:val="Titreobjet"/>
        <w:rPr>
          <w:noProof/>
        </w:rPr>
      </w:pPr>
      <w:r w:rsidRPr="00DC18A7">
        <w:rPr>
          <w:noProof/>
        </w:rPr>
        <w:t>Padomes nostāju attiecībā uz to, vai jāpieņem priekšlikums Eiropas Parlamenta un Padomes regulai par mazgāšanas līdzekļiem un virsmaktīvajām vielām, ar ko groza Regulu (ES) 2019/1020 un atceļ Regulu (EK) Nr. 648/2004</w:t>
      </w:r>
    </w:p>
    <w:p w:rsidR="00CC6B9B" w:rsidRPr="00DC18A7" w:rsidRDefault="00CC6B9B">
      <w:pPr>
        <w:pStyle w:val="ManualHeading1"/>
        <w:rPr>
          <w:noProof/>
          <w:sz w:val="22"/>
        </w:rPr>
      </w:pPr>
      <w:r w:rsidRPr="00DC18A7">
        <w:rPr>
          <w:noProof/>
        </w:rPr>
        <w:t>1.</w:t>
      </w:r>
      <w:r w:rsidRPr="00DC18A7">
        <w:rPr>
          <w:noProof/>
        </w:rPr>
        <w:tab/>
        <w:t>Vispārīga informācija</w:t>
      </w:r>
    </w:p>
    <w:tbl>
      <w:tblPr>
        <w:tblW w:w="0" w:type="auto"/>
        <w:tblLayout w:type="fixed"/>
        <w:tblLook w:val="0000" w:firstRow="0" w:lastRow="0" w:firstColumn="0" w:lastColumn="0" w:noHBand="0" w:noVBand="0"/>
      </w:tblPr>
      <w:tblGrid>
        <w:gridCol w:w="6804"/>
        <w:gridCol w:w="2483"/>
      </w:tblGrid>
      <w:tr w:rsidR="00874E86" w:rsidRPr="00DC18A7">
        <w:tc>
          <w:tcPr>
            <w:tcW w:w="6804" w:type="dxa"/>
          </w:tcPr>
          <w:p w:rsidR="00CC6B9B" w:rsidRPr="00DC18A7" w:rsidRDefault="00CC6B9B">
            <w:pPr>
              <w:jc w:val="left"/>
              <w:rPr>
                <w:noProof/>
              </w:rPr>
            </w:pPr>
            <w:r w:rsidRPr="00DC18A7">
              <w:rPr>
                <w:noProof/>
              </w:rPr>
              <w:t>Datums, kurā priekšlikums nosūtīts Eiropas Parlamentam un Padomei (dokuments COM(2023) 217 – 2023/0124 COD):</w:t>
            </w:r>
          </w:p>
        </w:tc>
        <w:tc>
          <w:tcPr>
            <w:tcW w:w="2483" w:type="dxa"/>
          </w:tcPr>
          <w:p w:rsidR="00CC6B9B" w:rsidRPr="00DC18A7" w:rsidRDefault="00244148">
            <w:pPr>
              <w:jc w:val="left"/>
              <w:rPr>
                <w:noProof/>
              </w:rPr>
            </w:pPr>
            <w:r w:rsidRPr="00DC18A7">
              <w:rPr>
                <w:noProof/>
              </w:rPr>
              <w:t>2023. gada 28. aprīlis</w:t>
            </w:r>
          </w:p>
        </w:tc>
      </w:tr>
      <w:tr w:rsidR="00874E86" w:rsidRPr="00DC18A7">
        <w:tc>
          <w:tcPr>
            <w:tcW w:w="6804" w:type="dxa"/>
          </w:tcPr>
          <w:p w:rsidR="00CC6B9B" w:rsidRPr="00DC18A7" w:rsidRDefault="00CC6B9B">
            <w:pPr>
              <w:rPr>
                <w:noProof/>
              </w:rPr>
            </w:pPr>
            <w:r w:rsidRPr="00DC18A7">
              <w:rPr>
                <w:noProof/>
              </w:rPr>
              <w:t>Eiropas Ekonomikas un sociālo lietu komitejas atzinuma datums:</w:t>
            </w:r>
          </w:p>
        </w:tc>
        <w:tc>
          <w:tcPr>
            <w:tcW w:w="2483" w:type="dxa"/>
          </w:tcPr>
          <w:p w:rsidR="00CC6B9B" w:rsidRPr="00DC18A7" w:rsidRDefault="00D86ADB">
            <w:pPr>
              <w:jc w:val="left"/>
              <w:rPr>
                <w:noProof/>
              </w:rPr>
            </w:pPr>
            <w:r w:rsidRPr="00DC18A7">
              <w:rPr>
                <w:noProof/>
              </w:rPr>
              <w:t>2023. gada 12. jūlijs</w:t>
            </w:r>
          </w:p>
        </w:tc>
      </w:tr>
      <w:tr w:rsidR="00874E86" w:rsidRPr="00DC18A7">
        <w:tc>
          <w:tcPr>
            <w:tcW w:w="6804" w:type="dxa"/>
          </w:tcPr>
          <w:p w:rsidR="00CC6B9B" w:rsidRPr="00DC18A7" w:rsidRDefault="00CC6B9B">
            <w:pPr>
              <w:rPr>
                <w:noProof/>
              </w:rPr>
            </w:pPr>
            <w:r w:rsidRPr="00DC18A7">
              <w:rPr>
                <w:noProof/>
              </w:rPr>
              <w:t>Eiropas Parlamenta nostājas datums (pirmais lasījums):</w:t>
            </w:r>
          </w:p>
        </w:tc>
        <w:tc>
          <w:tcPr>
            <w:tcW w:w="2483" w:type="dxa"/>
          </w:tcPr>
          <w:p w:rsidR="00CC6B9B" w:rsidRPr="00DC18A7" w:rsidRDefault="00571611">
            <w:pPr>
              <w:jc w:val="left"/>
              <w:rPr>
                <w:noProof/>
              </w:rPr>
            </w:pPr>
            <w:r w:rsidRPr="00DC18A7">
              <w:rPr>
                <w:noProof/>
              </w:rPr>
              <w:t>2024. gada 27. februāris</w:t>
            </w:r>
          </w:p>
        </w:tc>
      </w:tr>
      <w:tr w:rsidR="00874E86" w:rsidRPr="00DC18A7">
        <w:tc>
          <w:tcPr>
            <w:tcW w:w="6804" w:type="dxa"/>
          </w:tcPr>
          <w:p w:rsidR="00CC6B9B" w:rsidRPr="00DC18A7" w:rsidRDefault="00CC6B9B">
            <w:pPr>
              <w:rPr>
                <w:noProof/>
              </w:rPr>
            </w:pPr>
            <w:r w:rsidRPr="00DC18A7">
              <w:rPr>
                <w:noProof/>
              </w:rPr>
              <w:t>Grozītā priekšlikuma nosūtīšanas datums:</w:t>
            </w:r>
          </w:p>
        </w:tc>
        <w:tc>
          <w:tcPr>
            <w:tcW w:w="2483" w:type="dxa"/>
          </w:tcPr>
          <w:p w:rsidR="00CC6B9B" w:rsidRPr="00DC18A7" w:rsidRDefault="006C6F44">
            <w:pPr>
              <w:jc w:val="left"/>
              <w:rPr>
                <w:noProof/>
              </w:rPr>
            </w:pPr>
            <w:r w:rsidRPr="00DC18A7">
              <w:rPr>
                <w:noProof/>
              </w:rPr>
              <w:t>n.p.</w:t>
            </w:r>
          </w:p>
        </w:tc>
      </w:tr>
      <w:tr w:rsidR="00874E86" w:rsidRPr="00DC18A7">
        <w:tc>
          <w:tcPr>
            <w:tcW w:w="6804" w:type="dxa"/>
          </w:tcPr>
          <w:p w:rsidR="00CC6B9B" w:rsidRPr="00DC18A7" w:rsidRDefault="00CC6B9B">
            <w:pPr>
              <w:rPr>
                <w:noProof/>
              </w:rPr>
            </w:pPr>
            <w:r w:rsidRPr="00DC18A7">
              <w:rPr>
                <w:noProof/>
              </w:rPr>
              <w:t>Padomes nostājas pieņemšanas datums:</w:t>
            </w:r>
          </w:p>
        </w:tc>
        <w:tc>
          <w:tcPr>
            <w:tcW w:w="2483" w:type="dxa"/>
          </w:tcPr>
          <w:p w:rsidR="00CC6B9B" w:rsidRPr="00DC18A7" w:rsidRDefault="00563896">
            <w:pPr>
              <w:jc w:val="left"/>
              <w:rPr>
                <w:noProof/>
              </w:rPr>
            </w:pPr>
            <w:r w:rsidRPr="00DC18A7">
              <w:rPr>
                <w:noProof/>
              </w:rPr>
              <w:t>2025. gada 8. decembris</w:t>
            </w:r>
          </w:p>
        </w:tc>
      </w:tr>
    </w:tbl>
    <w:p w:rsidR="00CC6B9B" w:rsidRPr="00DC18A7" w:rsidRDefault="00CC6B9B">
      <w:pPr>
        <w:pStyle w:val="ManualHeading1"/>
        <w:rPr>
          <w:noProof/>
        </w:rPr>
      </w:pPr>
      <w:r w:rsidRPr="00DC18A7">
        <w:rPr>
          <w:noProof/>
        </w:rPr>
        <w:t>2.</w:t>
      </w:r>
      <w:r w:rsidRPr="00DC18A7">
        <w:rPr>
          <w:noProof/>
        </w:rPr>
        <w:tab/>
        <w:t>Komisijas priekšlikuma mērķis</w:t>
      </w:r>
    </w:p>
    <w:p w:rsidR="005E7B73" w:rsidRPr="00DC18A7" w:rsidRDefault="004500FA" w:rsidP="005E7B73">
      <w:pPr>
        <w:rPr>
          <w:noProof/>
        </w:rPr>
      </w:pPr>
      <w:r w:rsidRPr="00DC18A7">
        <w:rPr>
          <w:noProof/>
        </w:rPr>
        <w:t>Komisijas priekšlikuma nolūks ir vienkāršot un modernizēt spēkā esošos noteikumus par mazgāšanas līdzekļiem un virsmaktīvajām vielām. Priekšlikuma mērķi ir atvieglot šādu produktu brīvu apriti iekšējā tirgū un nodrošināt augstu cilvēka veselības un vides aizsardzības līmeni.</w:t>
      </w:r>
    </w:p>
    <w:p w:rsidR="00CC6B9B" w:rsidRPr="00DC18A7" w:rsidRDefault="00CC6B9B" w:rsidP="007D3B15">
      <w:pPr>
        <w:pStyle w:val="ManualHeading1"/>
        <w:rPr>
          <w:noProof/>
        </w:rPr>
      </w:pPr>
      <w:r w:rsidRPr="00DC18A7">
        <w:rPr>
          <w:noProof/>
        </w:rPr>
        <w:t>3.</w:t>
      </w:r>
      <w:r w:rsidRPr="00DC18A7">
        <w:rPr>
          <w:noProof/>
        </w:rPr>
        <w:tab/>
        <w:t>Komentāri par Padomes nostāju</w:t>
      </w:r>
    </w:p>
    <w:p w:rsidR="00DE2A95" w:rsidRPr="00DC18A7" w:rsidRDefault="003860BA" w:rsidP="00E80589">
      <w:pPr>
        <w:widowControl w:val="0"/>
        <w:rPr>
          <w:noProof/>
        </w:rPr>
      </w:pPr>
      <w:r w:rsidRPr="00DC18A7">
        <w:rPr>
          <w:noProof/>
        </w:rPr>
        <w:t>Padomes nostāja, kas pieņemta pirmajā lasījumā, pilnībā atspoguļo starp Eiropas Parlamentu un Padomi 2025. gada 10. jūnijā panākto politisko vienošanos. Komisija šo vienošanos atbalsta, un tālāk ir izklāstīti galvenie vienošanās punkti.</w:t>
      </w:r>
    </w:p>
    <w:p w:rsidR="004A4551" w:rsidRPr="00DC18A7" w:rsidRDefault="004A4551" w:rsidP="004A4551">
      <w:pPr>
        <w:pStyle w:val="Tiret0"/>
        <w:numPr>
          <w:ilvl w:val="0"/>
          <w:numId w:val="5"/>
        </w:numPr>
        <w:spacing w:before="0" w:after="240"/>
        <w:rPr>
          <w:rStyle w:val="Hyperlink"/>
          <w:noProof/>
          <w:color w:val="auto"/>
          <w:u w:val="none"/>
        </w:rPr>
      </w:pPr>
      <w:r w:rsidRPr="00DC18A7">
        <w:rPr>
          <w:rStyle w:val="Hyperlink"/>
          <w:noProof/>
          <w:color w:val="auto"/>
        </w:rPr>
        <w:t>Fosfora satura robežvērtības.</w:t>
      </w:r>
      <w:r w:rsidRPr="00DC18A7">
        <w:rPr>
          <w:rStyle w:val="Hyperlink"/>
          <w:noProof/>
          <w:color w:val="auto"/>
          <w:u w:val="none"/>
        </w:rPr>
        <w:t xml:space="preserve"> Likumdevēji vienojās, ka fosfors ir būtisks ķīmiskais elements un Komisijai nevajadzētu piešķirt pilnvaras ar deleģēto aktu pielāgot robežvērtības tehnikas un zinātnes progresam. Paredzams, ka divu gadu laikā pēc regulas stāšanās spēkā Komisija novērtēs, vai ir iespējams: i) samazināt spēkā esošās robežvērtības attiecībā uz plaša patēriņa veļas mazgāšanas līdzekļiem un automātiskajās trauku mazgājamajās mašīnās lietojamiem mazgāšanas līdzekļiem un ii) ieviest jaunas robežvērtības citām produktu kategorijām. Attiecīgā gadījumā Komisijai būtu jānāk klajā ar tiesību akta priekšlikumu. Turklāt regulas visaptverošajā pārskatīšanā, kas Komisijai jāveic septiņu gadu laikā pēc tās stāšanās spēkā, būtu jāizvērtē iespēja pakāpeniski atteikties no fosfora izmantošanas. Iepriekš minētais Komisijai ir pieņemams.</w:t>
      </w:r>
    </w:p>
    <w:p w:rsidR="004A4551" w:rsidRPr="00DC18A7" w:rsidRDefault="004A4551" w:rsidP="004A4551">
      <w:pPr>
        <w:pStyle w:val="Tiret0"/>
        <w:numPr>
          <w:ilvl w:val="0"/>
          <w:numId w:val="5"/>
        </w:numPr>
        <w:spacing w:before="0" w:after="240"/>
        <w:rPr>
          <w:rStyle w:val="Hyperlink"/>
          <w:noProof/>
          <w:color w:val="auto"/>
          <w:u w:val="none"/>
        </w:rPr>
      </w:pPr>
      <w:r w:rsidRPr="00DC18A7">
        <w:rPr>
          <w:rStyle w:val="Hyperlink"/>
          <w:noProof/>
          <w:color w:val="auto"/>
        </w:rPr>
        <w:t>Sastāvdaļu bionoārdāmība.</w:t>
      </w:r>
      <w:r w:rsidRPr="00DC18A7">
        <w:rPr>
          <w:rStyle w:val="Hyperlink"/>
          <w:noProof/>
          <w:color w:val="auto"/>
          <w:u w:val="none"/>
        </w:rPr>
        <w:t xml:space="preserve"> Paredzams, ka Komisija ar deleģēto aktu, ar ko groza regulas I pielikumu, noteiks bionoārdāmības kritērijus: i) trīs gadu laikā pēc regulas stāšanās spēkā – attiecībā uz plēvēm, ko izmanto mazgāšanas līdzekļu kapsulām, un šādās plēvēs esošajiem polimēriem; un ii) piecu gadu laikā pēc regulas stāšanās spēkā – attiecībā uz citām organiskajām vielām, ko izmanto augstā koncentrācijā. Būtu jāprasa, lai ražotāji atbilstību jaunajiem kritērijiem nodrošinātu sešu gadu laikā pēc stāšanās spēkā attiecībā uz mazgāšanas līdzekļu kapsulām un astoņu gadu laikā pēc regulas stāšanās spēkā attiecībā uz organiskajām vielām, ko izmanto augstā koncentrācijā. Regulas pārskatīšanā būtu jāizskata iespēja ieviest noteikumus arī par zemākā koncentrācijā izmantotu organisko vielu bionoārdāmību. Iepriekš minētais Komisijai ir pieņemams.</w:t>
      </w:r>
    </w:p>
    <w:p w:rsidR="004A4551" w:rsidRPr="00DC18A7" w:rsidRDefault="004A4551" w:rsidP="004A4551">
      <w:pPr>
        <w:pStyle w:val="Tiret0"/>
        <w:numPr>
          <w:ilvl w:val="0"/>
          <w:numId w:val="5"/>
        </w:numPr>
        <w:spacing w:before="0" w:after="240"/>
        <w:rPr>
          <w:rStyle w:val="Hyperlink"/>
          <w:noProof/>
          <w:color w:val="auto"/>
          <w:u w:val="none"/>
        </w:rPr>
      </w:pPr>
      <w:r w:rsidRPr="00DC18A7">
        <w:rPr>
          <w:rStyle w:val="Hyperlink"/>
          <w:noProof/>
          <w:color w:val="auto"/>
        </w:rPr>
        <w:t>Mazgāšanas līdzekļi, kas satur mikroorganismus.</w:t>
      </w:r>
      <w:r w:rsidRPr="00DC18A7">
        <w:rPr>
          <w:rStyle w:val="Hyperlink"/>
          <w:noProof/>
          <w:color w:val="auto"/>
          <w:u w:val="none"/>
        </w:rPr>
        <w:t xml:space="preserve"> Likumdevēji vienojās dažas no stingrajām prasībām Komisijas priekšlikumā aizstāt ar vispārīgiem drošības kritērijiem. Paredzams, ka 30 mēnešu laikā pēc regulas stāšanās spēkā Komisija ar deleģēto aktu, ar ko groza regulas II pielikumu, izstrādās riska novērtēšanas metodiku, kura aptvers visus potenciālos riskus, vienlaikus izslēdzot testus ar dzīvniekiem. Komisijai šāda pieeja ir pieņemama, jo tā nodrošina elastīgāku tiesisko regulējumu inovatīviem produktiem.</w:t>
      </w:r>
    </w:p>
    <w:p w:rsidR="004A4551" w:rsidRPr="00DC18A7" w:rsidRDefault="004A4551" w:rsidP="004A4551">
      <w:pPr>
        <w:pStyle w:val="Tiret0"/>
        <w:numPr>
          <w:ilvl w:val="0"/>
          <w:numId w:val="5"/>
        </w:numPr>
        <w:spacing w:before="0" w:after="240"/>
        <w:rPr>
          <w:rStyle w:val="Hyperlink"/>
          <w:noProof/>
          <w:color w:val="auto"/>
          <w:u w:val="none"/>
        </w:rPr>
      </w:pPr>
      <w:r w:rsidRPr="00DC18A7">
        <w:rPr>
          <w:rStyle w:val="Hyperlink"/>
          <w:noProof/>
          <w:color w:val="auto"/>
        </w:rPr>
        <w:t>Testi ar dzīvniekiem</w:t>
      </w:r>
      <w:r w:rsidRPr="00DC18A7">
        <w:rPr>
          <w:rStyle w:val="Hyperlink"/>
          <w:noProof/>
          <w:color w:val="auto"/>
          <w:u w:val="none"/>
        </w:rPr>
        <w:t>. Likumdevēji vienojās ieviest vispārēju aizliegumu veikt testus ar dzīvniekiem, lai pierādītu atbilstību regulai, vienlaikus atļaujot Komisijai izņēmuma gadījumos ar īstenošanas lēmumu šādu testēšanu atļaut. Iepriekš minētais Komisijai ir pieņemams.</w:t>
      </w:r>
    </w:p>
    <w:p w:rsidR="004A4551" w:rsidRPr="00DC18A7" w:rsidRDefault="004A4551" w:rsidP="004A4551">
      <w:pPr>
        <w:pStyle w:val="Tiret0"/>
        <w:numPr>
          <w:ilvl w:val="0"/>
          <w:numId w:val="5"/>
        </w:numPr>
        <w:spacing w:before="0" w:after="240"/>
        <w:rPr>
          <w:rStyle w:val="Hyperlink"/>
          <w:noProof/>
          <w:color w:val="auto"/>
          <w:u w:val="none"/>
        </w:rPr>
      </w:pPr>
      <w:r w:rsidRPr="00DC18A7">
        <w:rPr>
          <w:rStyle w:val="Hyperlink"/>
          <w:noProof/>
          <w:color w:val="auto"/>
        </w:rPr>
        <w:t>Pilnvarotais pārstāvis</w:t>
      </w:r>
      <w:r w:rsidRPr="00DC18A7">
        <w:rPr>
          <w:rStyle w:val="Hyperlink"/>
          <w:noProof/>
          <w:color w:val="auto"/>
          <w:u w:val="none"/>
        </w:rPr>
        <w:t>. Likumdevēji vienojās ieviest noteikumus, ar ko paplašina to pilnvaroto pārstāvju pilnvaras, kurus ārpussavienības ražotāji iecēluši konkrētu atbilstības pārbaužu izpildei. Komisijai tas ir pieņemami, jo tiek uzlabota tirgus uzraudzība.</w:t>
      </w:r>
    </w:p>
    <w:p w:rsidR="000A7294" w:rsidRPr="00DC18A7" w:rsidRDefault="00363A5B" w:rsidP="004A4551">
      <w:pPr>
        <w:pStyle w:val="Tiret0"/>
        <w:numPr>
          <w:ilvl w:val="0"/>
          <w:numId w:val="5"/>
        </w:numPr>
        <w:spacing w:before="0" w:after="240"/>
        <w:rPr>
          <w:rStyle w:val="Hyperlink"/>
          <w:noProof/>
          <w:color w:val="auto"/>
          <w:u w:val="none"/>
        </w:rPr>
      </w:pPr>
      <w:r w:rsidRPr="00DC18A7">
        <w:rPr>
          <w:rStyle w:val="Hyperlink"/>
          <w:noProof/>
          <w:color w:val="auto"/>
        </w:rPr>
        <w:t>Administratīvais slogs.</w:t>
      </w:r>
      <w:r w:rsidRPr="00DC18A7">
        <w:rPr>
          <w:rStyle w:val="Hyperlink"/>
          <w:noProof/>
          <w:color w:val="auto"/>
          <w:u w:val="none"/>
        </w:rPr>
        <w:t xml:space="preserve"> Likumdevēji vienojās nošķirt virsmaktīvās vielas, kas darītas pieejamas mazgāšanas līdzekļu ražotājiem, no virsmaktīvajām vielām, kas darītas pieejamas tieši galalietotājiem, un vienkāršot noteikumus attiecībā uz ražotājiem. Turklāt digitālās produkta pases būtu jāizveido produktu modeļiem, nevis katrai viena modeļa partijai. Šīs izmaiņas Komisijai ir pieņemamas, jo tās ievērojami samazina administratīvo slogu uzņēmējiem, neapdraudot cilvēka veselības vai vides aizsardzību.</w:t>
      </w:r>
    </w:p>
    <w:p w:rsidR="004A4551" w:rsidRPr="00DC18A7" w:rsidRDefault="004A4551" w:rsidP="004A4551">
      <w:pPr>
        <w:pStyle w:val="Tiret0"/>
        <w:numPr>
          <w:ilvl w:val="0"/>
          <w:numId w:val="5"/>
        </w:numPr>
        <w:spacing w:before="0" w:after="240"/>
        <w:rPr>
          <w:rStyle w:val="Hyperlink"/>
          <w:noProof/>
          <w:color w:val="auto"/>
          <w:u w:val="none"/>
        </w:rPr>
      </w:pPr>
      <w:r w:rsidRPr="00DC18A7">
        <w:rPr>
          <w:rStyle w:val="Hyperlink"/>
          <w:noProof/>
          <w:color w:val="auto"/>
        </w:rPr>
        <w:t>Cilvēka veselībai nebīstamu mazgāšanas līdzekļu sastāvdaļu datu lapas</w:t>
      </w:r>
      <w:r w:rsidRPr="00DC18A7">
        <w:rPr>
          <w:rStyle w:val="Hyperlink"/>
          <w:noProof/>
          <w:color w:val="auto"/>
          <w:u w:val="none"/>
        </w:rPr>
        <w:t>. Likumdevēji vienojās, ka šādas datu lapas pirms produktu laišanas tirgū būtu jāpaziņo valstu toksikoloģijas centriem, izmantojot Eiropas Ķimikāliju aģentūras izstrādāto formātu. Komisija ir pilnvarota ar deleģēto aktu, ar ko groza regulas IV pielikumu, noteikt sīkāku informāciju par to, kā datu lapas iesniedzamas. Komisijai tas ir pieņemami, jo tiek nodrošināts, ka saindēšanās gadījumā medicīniskajam personālam ir pieejama informācija par mazgāšanas līdzekļiem.</w:t>
      </w:r>
    </w:p>
    <w:p w:rsidR="004A4551" w:rsidRPr="00DC18A7" w:rsidRDefault="00700E33" w:rsidP="000A7294">
      <w:pPr>
        <w:pStyle w:val="Tiret0"/>
        <w:numPr>
          <w:ilvl w:val="0"/>
          <w:numId w:val="5"/>
        </w:numPr>
        <w:spacing w:before="0" w:after="240"/>
        <w:rPr>
          <w:noProof/>
        </w:rPr>
      </w:pPr>
      <w:r w:rsidRPr="00DC18A7">
        <w:rPr>
          <w:rStyle w:val="Hyperlink"/>
          <w:noProof/>
          <w:color w:val="auto"/>
        </w:rPr>
        <w:t>Piemērošanas atlikšana.</w:t>
      </w:r>
      <w:r w:rsidRPr="00DC18A7">
        <w:rPr>
          <w:rStyle w:val="Hyperlink"/>
          <w:noProof/>
          <w:color w:val="auto"/>
          <w:u w:val="none"/>
        </w:rPr>
        <w:t xml:space="preserve"> Likumdevēji vienojās uz 42 mēnešiem atlikt jaunās regulas piemērošanu. Iepriekš minētais Komisijai ir pieņemams. </w:t>
      </w:r>
    </w:p>
    <w:p w:rsidR="00CC6B9B" w:rsidRPr="00DC18A7" w:rsidRDefault="00CC6B9B" w:rsidP="4EC19BF3">
      <w:pPr>
        <w:pStyle w:val="ManualHeading1"/>
        <w:rPr>
          <w:noProof/>
          <w:u w:val="single"/>
        </w:rPr>
      </w:pPr>
      <w:r w:rsidRPr="00DC18A7">
        <w:rPr>
          <w:noProof/>
        </w:rPr>
        <w:t>4.</w:t>
      </w:r>
      <w:r w:rsidRPr="00DC18A7">
        <w:rPr>
          <w:noProof/>
        </w:rPr>
        <w:tab/>
        <w:t>Secinājums</w:t>
      </w:r>
    </w:p>
    <w:p w:rsidR="00BE7B4B" w:rsidRDefault="004A2A14" w:rsidP="00333FE2">
      <w:pPr>
        <w:rPr>
          <w:noProof/>
        </w:rPr>
      </w:pPr>
      <w:r w:rsidRPr="00DC18A7">
        <w:rPr>
          <w:noProof/>
        </w:rPr>
        <w:t>Komisija atbalsta iestāžu sarunu iznākumu un līdz ar to var akceptēt Padomes nostāju pirmajā lasījumā.</w:t>
      </w:r>
    </w:p>
    <w:p w:rsidR="00CC6B9B" w:rsidRPr="00DC18A7" w:rsidRDefault="00CC6B9B" w:rsidP="00333FE2">
      <w:pPr>
        <w:rPr>
          <w:noProof/>
        </w:rPr>
      </w:pPr>
    </w:p>
    <w:sectPr w:rsidR="00CC6B9B" w:rsidRPr="00DC18A7" w:rsidSect="00D02E91">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226" w:rsidRDefault="00E12226" w:rsidP="00CC6B9B">
      <w:pPr>
        <w:spacing w:before="0" w:after="0"/>
      </w:pPr>
      <w:r>
        <w:separator/>
      </w:r>
    </w:p>
  </w:endnote>
  <w:endnote w:type="continuationSeparator" w:id="0">
    <w:p w:rsidR="00E12226" w:rsidRDefault="00E12226" w:rsidP="00CC6B9B">
      <w:pPr>
        <w:spacing w:before="0" w:after="0"/>
      </w:pPr>
      <w:r>
        <w:continuationSeparator/>
      </w:r>
    </w:p>
  </w:endnote>
  <w:endnote w:type="continuationNotice" w:id="1">
    <w:p w:rsidR="00E12226" w:rsidRDefault="00E1222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E91" w:rsidRPr="00D02E91" w:rsidRDefault="00D02E91" w:rsidP="00D02E91">
    <w:pPr>
      <w:pStyle w:val="Footer"/>
      <w:rPr>
        <w:rFonts w:ascii="Arial" w:hAnsi="Arial" w:cs="Arial"/>
        <w:b/>
        <w:sz w:val="48"/>
      </w:rPr>
    </w:pPr>
    <w:r w:rsidRPr="00D02E91">
      <w:rPr>
        <w:rFonts w:ascii="Arial" w:hAnsi="Arial" w:cs="Arial"/>
        <w:b/>
        <w:sz w:val="48"/>
      </w:rPr>
      <w:t>LV</w:t>
    </w:r>
    <w:r w:rsidRPr="00D02E91">
      <w:rPr>
        <w:rFonts w:ascii="Arial" w:hAnsi="Arial" w:cs="Arial"/>
        <w:b/>
        <w:sz w:val="48"/>
      </w:rPr>
      <w:tab/>
    </w:r>
    <w:r w:rsidRPr="00D02E91">
      <w:rPr>
        <w:rFonts w:ascii="Arial" w:hAnsi="Arial" w:cs="Arial"/>
        <w:b/>
        <w:sz w:val="48"/>
      </w:rPr>
      <w:tab/>
    </w:r>
    <w:r w:rsidRPr="00D02E91">
      <w:tab/>
    </w:r>
    <w:r w:rsidRPr="00D02E91">
      <w:rPr>
        <w:rFonts w:ascii="Arial" w:hAnsi="Arial" w:cs="Arial"/>
        <w:b/>
        <w:sz w:val="48"/>
      </w:rPr>
      <w:t>LV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E91" w:rsidRPr="00D02E91" w:rsidRDefault="00D02E91" w:rsidP="00D02E91">
    <w:pPr>
      <w:pStyle w:val="Footer"/>
      <w:rPr>
        <w:rFonts w:ascii="Arial" w:hAnsi="Arial" w:cs="Arial"/>
        <w:b/>
        <w:sz w:val="48"/>
      </w:rPr>
    </w:pPr>
    <w:r w:rsidRPr="00D02E91">
      <w:rPr>
        <w:rFonts w:ascii="Arial" w:hAnsi="Arial" w:cs="Arial"/>
        <w:b/>
        <w:sz w:val="48"/>
      </w:rPr>
      <w:t>LV</w:t>
    </w:r>
    <w:r w:rsidRPr="00D02E91">
      <w:rPr>
        <w:rFonts w:ascii="Arial" w:hAnsi="Arial" w:cs="Arial"/>
        <w:b/>
        <w:sz w:val="48"/>
      </w:rPr>
      <w:tab/>
    </w:r>
    <w:r w:rsidRPr="00D02E91">
      <w:rPr>
        <w:rFonts w:ascii="Arial" w:hAnsi="Arial" w:cs="Arial"/>
        <w:b/>
        <w:sz w:val="48"/>
      </w:rPr>
      <w:tab/>
    </w:r>
    <w:r w:rsidRPr="00D02E91">
      <w:tab/>
    </w:r>
    <w:r w:rsidRPr="00D02E91">
      <w:rPr>
        <w:rFonts w:ascii="Arial" w:hAnsi="Arial" w:cs="Arial"/>
        <w:b/>
        <w:sz w:val="48"/>
      </w:rPr>
      <w:t>LV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E91" w:rsidRDefault="00D02E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E91" w:rsidRPr="00D02E91" w:rsidRDefault="00D02E91" w:rsidP="00D02E91">
    <w:pPr>
      <w:pStyle w:val="Footer"/>
      <w:rPr>
        <w:rFonts w:ascii="Arial" w:hAnsi="Arial" w:cs="Arial"/>
        <w:b/>
        <w:sz w:val="48"/>
      </w:rPr>
    </w:pPr>
    <w:r w:rsidRPr="00D02E91">
      <w:rPr>
        <w:rFonts w:ascii="Arial" w:hAnsi="Arial" w:cs="Arial"/>
        <w:b/>
        <w:sz w:val="48"/>
      </w:rPr>
      <w:t>LV</w:t>
    </w:r>
    <w:r w:rsidRPr="00D02E91">
      <w:rPr>
        <w:rFonts w:ascii="Arial" w:hAnsi="Arial" w:cs="Arial"/>
        <w:b/>
        <w:sz w:val="48"/>
      </w:rPr>
      <w:tab/>
    </w:r>
    <w:r>
      <w:fldChar w:fldCharType="begin"/>
    </w:r>
    <w:r>
      <w:instrText xml:space="preserve"> PAGE  \* MERGEFORMAT </w:instrText>
    </w:r>
    <w:r>
      <w:fldChar w:fldCharType="separate"/>
    </w:r>
    <w:r w:rsidR="00D80D60">
      <w:rPr>
        <w:noProof/>
      </w:rPr>
      <w:t>2</w:t>
    </w:r>
    <w:r>
      <w:fldChar w:fldCharType="end"/>
    </w:r>
    <w:r>
      <w:tab/>
    </w:r>
    <w:r w:rsidRPr="00D02E91">
      <w:tab/>
    </w:r>
    <w:r w:rsidRPr="00D02E91">
      <w:rPr>
        <w:rFonts w:ascii="Arial" w:hAnsi="Arial" w:cs="Arial"/>
        <w:b/>
        <w:sz w:val="48"/>
      </w:rPr>
      <w:t>LV</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E91" w:rsidRDefault="00D02E91" w:rsidP="00D02E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226" w:rsidRDefault="00E12226" w:rsidP="00CC6B9B">
      <w:pPr>
        <w:spacing w:before="0" w:after="0"/>
      </w:pPr>
      <w:r>
        <w:separator/>
      </w:r>
    </w:p>
  </w:footnote>
  <w:footnote w:type="continuationSeparator" w:id="0">
    <w:p w:rsidR="00E12226" w:rsidRDefault="00E12226" w:rsidP="00CC6B9B">
      <w:pPr>
        <w:spacing w:before="0" w:after="0"/>
      </w:pPr>
      <w:r>
        <w:continuationSeparator/>
      </w:r>
    </w:p>
  </w:footnote>
  <w:footnote w:type="continuationNotice" w:id="1">
    <w:p w:rsidR="00E12226" w:rsidRDefault="00E1222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E91" w:rsidRDefault="00D02E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E91" w:rsidRDefault="00D02E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63E25ED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460366E"/>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05EEDAEC"/>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2CBED53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5"/>
    <w:lvlOverride w:ilvl="0">
      <w:startOverride w:val="1"/>
    </w:lvlOverride>
  </w:num>
  <w:num w:numId="6">
    <w:abstractNumId w:val="15"/>
  </w:num>
  <w:num w:numId="7">
    <w:abstractNumId w:val="8"/>
  </w:num>
  <w:num w:numId="8">
    <w:abstractNumId w:val="17"/>
  </w:num>
  <w:num w:numId="9">
    <w:abstractNumId w:val="7"/>
  </w:num>
  <w:num w:numId="10">
    <w:abstractNumId w:val="9"/>
  </w:num>
  <w:num w:numId="11">
    <w:abstractNumId w:val="10"/>
  </w:num>
  <w:num w:numId="12">
    <w:abstractNumId w:val="5"/>
  </w:num>
  <w:num w:numId="13">
    <w:abstractNumId w:val="16"/>
  </w:num>
  <w:num w:numId="14">
    <w:abstractNumId w:val="4"/>
  </w:num>
  <w:num w:numId="15">
    <w:abstractNumId w:val="11"/>
  </w:num>
  <w:num w:numId="16">
    <w:abstractNumId w:val="13"/>
  </w:num>
  <w:num w:numId="17">
    <w:abstractNumId w:val="14"/>
  </w:num>
  <w:num w:numId="18">
    <w:abstractNumId w:val="6"/>
  </w:num>
  <w:num w:numId="19">
    <w:abstractNumId w:val="12"/>
  </w:num>
  <w:num w:numId="20">
    <w:abstractNumId w:val="18"/>
  </w:num>
  <w:num w:numId="21">
    <w:abstractNumId w:val="15"/>
  </w:num>
  <w:num w:numId="22">
    <w:abstractNumId w:val="8"/>
  </w:num>
  <w:num w:numId="23">
    <w:abstractNumId w:val="17"/>
  </w:num>
  <w:num w:numId="24">
    <w:abstractNumId w:val="7"/>
  </w:num>
  <w:num w:numId="25">
    <w:abstractNumId w:val="9"/>
  </w:num>
  <w:num w:numId="26">
    <w:abstractNumId w:val="10"/>
  </w:num>
  <w:num w:numId="27">
    <w:abstractNumId w:val="5"/>
  </w:num>
  <w:num w:numId="28">
    <w:abstractNumId w:val="16"/>
  </w:num>
  <w:num w:numId="29">
    <w:abstractNumId w:val="4"/>
  </w:num>
  <w:num w:numId="30">
    <w:abstractNumId w:val="11"/>
  </w:num>
  <w:num w:numId="31">
    <w:abstractNumId w:val="13"/>
  </w:num>
  <w:num w:numId="32">
    <w:abstractNumId w:val="14"/>
  </w:num>
  <w:num w:numId="33">
    <w:abstractNumId w:val="6"/>
  </w:num>
  <w:num w:numId="34">
    <w:abstractNumId w:val="12"/>
  </w:num>
  <w:num w:numId="35">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12-09 09:22:01"/>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42240B5D-A4E1-4FAE-B76A-D65E81C103B5"/>
    <w:docVar w:name="LW_COVERPAGE_TYPE" w:val="1"/>
    <w:docVar w:name="LW_CreatedUtc" w:val="2025-02-26T10:12:53.8848244Z"/>
    <w:docVar w:name="LW_CROSSREFERENCE" w:val="&lt;UNUSED&gt;"/>
    <w:docVar w:name="LW_DocType" w:val="COM"/>
    <w:docVar w:name="LW_EMISSION" w:val="9.12.2025"/>
    <w:docVar w:name="LW_EMISSION_ISODATE" w:val="2025-12-09"/>
    <w:docVar w:name="LW_EMISSION_LOCATION" w:val="BRX"/>
    <w:docVar w:name="LW_EMISSION_PREFIX" w:val="Brisel\u275?, "/>
    <w:docVar w:name="LW_EMISSION_SUFFIX" w:val="."/>
    <w:docVar w:name="LW_ID_DOCMODEL" w:val="SJ-028"/>
    <w:docVar w:name="LW_ID_DOCSTRUCTURE" w:val="COM/PL/CODEC"/>
    <w:docVar w:name="LW_ID_DOCTYPE" w:val="SJ-028"/>
    <w:docVar w:name="LW_INTERETEEE.CP" w:val="&lt;UNUSED&gt;"/>
    <w:docVar w:name="LW_LANGUE" w:val="LV"/>
    <w:docVar w:name="LW_LEVEL_OF_SENSITIVITY" w:val="Standard treatment"/>
    <w:docVar w:name="LW_NOM.INST" w:val="EIROPAS KOMISIJA"/>
    <w:docVar w:name="LW_NOM.INST_JOINTDOC" w:val="&lt;EMPTY&gt;"/>
    <w:docVar w:name="LW_PART_NBR" w:val="1"/>
    <w:docVar w:name="LW_PART_NBR_TOTAL" w:val="1"/>
    <w:docVar w:name="LW_REF.II.NEW.CP" w:val="COD"/>
    <w:docVar w:name="LW_REF.II.NEW.CP_NUMBER" w:val="0124"/>
    <w:docVar w:name="LW_REF.II.NEW.CP_YEAR" w:val="2023"/>
    <w:docVar w:name="LW_REF.INST.NEW" w:val="COM"/>
    <w:docVar w:name="LW_REF.INST.NEW_ADOPTED" w:val="final"/>
    <w:docVar w:name="LW_REF.INST.NEW_TEXT" w:val="(2025) 691"/>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Padomes nost\u257?ju attiec\u299?b\u257? uz to, vai j\u257?pie\u326?em priek\u353?likums Eiropas Parlamenta un Padomes regulai par mazg\u257?\u353?anas l\u299?dzek\u316?iem un virsmakt\u299?vaj\u257?m viel\u257?m, ar ko groza Regulu (ES) 2019/1020 un atce\u316? Regulu (EK) Nr. 648/2004"/>
    <w:docVar w:name="LW_TYPE.DOC.CP" w:val="KOMISIJAS PAZI\u325?OJUMS EIROPAS PARLAMENTAM,_x000b__x000b_ko izstr\u257?d\u257? atbilst\u299?gi L\u299?guma par Eiropas Savien\u299?bas darb\u299?bu 294. panta 6. punktam,_x000b__x000b_par"/>
    <w:docVar w:name="LwApiVersions" w:val="LW4CoDe 1.24.5.0; LW 9.2, Build 20251112"/>
  </w:docVars>
  <w:rsids>
    <w:rsidRoot w:val="00CC6B9B"/>
    <w:rsid w:val="00001465"/>
    <w:rsid w:val="00004CFB"/>
    <w:rsid w:val="00015CF3"/>
    <w:rsid w:val="00017E16"/>
    <w:rsid w:val="0003564B"/>
    <w:rsid w:val="00035E16"/>
    <w:rsid w:val="00036FC2"/>
    <w:rsid w:val="000406A5"/>
    <w:rsid w:val="0004123B"/>
    <w:rsid w:val="00041E15"/>
    <w:rsid w:val="00043FDF"/>
    <w:rsid w:val="000511CC"/>
    <w:rsid w:val="00053CEF"/>
    <w:rsid w:val="00057EBB"/>
    <w:rsid w:val="0006088F"/>
    <w:rsid w:val="00060FA7"/>
    <w:rsid w:val="00071BE0"/>
    <w:rsid w:val="00074385"/>
    <w:rsid w:val="00075519"/>
    <w:rsid w:val="0007744C"/>
    <w:rsid w:val="00081A4C"/>
    <w:rsid w:val="000904C3"/>
    <w:rsid w:val="00093198"/>
    <w:rsid w:val="00093342"/>
    <w:rsid w:val="00097DB8"/>
    <w:rsid w:val="000A35C3"/>
    <w:rsid w:val="000A398B"/>
    <w:rsid w:val="000A7294"/>
    <w:rsid w:val="000B019B"/>
    <w:rsid w:val="000B4481"/>
    <w:rsid w:val="000C2587"/>
    <w:rsid w:val="000D1885"/>
    <w:rsid w:val="000D2E43"/>
    <w:rsid w:val="000E274C"/>
    <w:rsid w:val="000E58A2"/>
    <w:rsid w:val="000E72B8"/>
    <w:rsid w:val="000F2562"/>
    <w:rsid w:val="000F3624"/>
    <w:rsid w:val="000F5B47"/>
    <w:rsid w:val="000F6B95"/>
    <w:rsid w:val="001065F5"/>
    <w:rsid w:val="00113333"/>
    <w:rsid w:val="00115AD3"/>
    <w:rsid w:val="001238EF"/>
    <w:rsid w:val="00130D06"/>
    <w:rsid w:val="001339C4"/>
    <w:rsid w:val="00133DEC"/>
    <w:rsid w:val="00134B8E"/>
    <w:rsid w:val="001372D6"/>
    <w:rsid w:val="0014155D"/>
    <w:rsid w:val="00147D70"/>
    <w:rsid w:val="0015339A"/>
    <w:rsid w:val="001622B7"/>
    <w:rsid w:val="00164330"/>
    <w:rsid w:val="00166BB5"/>
    <w:rsid w:val="001708D4"/>
    <w:rsid w:val="0018372C"/>
    <w:rsid w:val="00184DBF"/>
    <w:rsid w:val="00186205"/>
    <w:rsid w:val="001958C5"/>
    <w:rsid w:val="00197613"/>
    <w:rsid w:val="001A0E0B"/>
    <w:rsid w:val="001A5E44"/>
    <w:rsid w:val="001B0765"/>
    <w:rsid w:val="001B4209"/>
    <w:rsid w:val="001B53CC"/>
    <w:rsid w:val="001C4E71"/>
    <w:rsid w:val="001D18CC"/>
    <w:rsid w:val="001D579C"/>
    <w:rsid w:val="001E6CE8"/>
    <w:rsid w:val="001F2B67"/>
    <w:rsid w:val="001F2FC7"/>
    <w:rsid w:val="001F3553"/>
    <w:rsid w:val="002002B7"/>
    <w:rsid w:val="00200EB8"/>
    <w:rsid w:val="00206B74"/>
    <w:rsid w:val="00212880"/>
    <w:rsid w:val="0021556F"/>
    <w:rsid w:val="00220ACA"/>
    <w:rsid w:val="00220C84"/>
    <w:rsid w:val="002219F8"/>
    <w:rsid w:val="00231E92"/>
    <w:rsid w:val="002325BF"/>
    <w:rsid w:val="0023360C"/>
    <w:rsid w:val="00233DC7"/>
    <w:rsid w:val="00240790"/>
    <w:rsid w:val="00240918"/>
    <w:rsid w:val="00244148"/>
    <w:rsid w:val="00247779"/>
    <w:rsid w:val="00250EB2"/>
    <w:rsid w:val="002537AB"/>
    <w:rsid w:val="002569E5"/>
    <w:rsid w:val="002646BF"/>
    <w:rsid w:val="00265E90"/>
    <w:rsid w:val="00283783"/>
    <w:rsid w:val="00285BEE"/>
    <w:rsid w:val="00294327"/>
    <w:rsid w:val="0029533F"/>
    <w:rsid w:val="00296201"/>
    <w:rsid w:val="002B1182"/>
    <w:rsid w:val="002B30AF"/>
    <w:rsid w:val="002B66BC"/>
    <w:rsid w:val="002B6D75"/>
    <w:rsid w:val="002B71CD"/>
    <w:rsid w:val="002C32A3"/>
    <w:rsid w:val="002C6ABE"/>
    <w:rsid w:val="002D5430"/>
    <w:rsid w:val="002E1F79"/>
    <w:rsid w:val="002F2C63"/>
    <w:rsid w:val="00300D37"/>
    <w:rsid w:val="003048E4"/>
    <w:rsid w:val="00330FE7"/>
    <w:rsid w:val="00332D7D"/>
    <w:rsid w:val="003333A6"/>
    <w:rsid w:val="0033344A"/>
    <w:rsid w:val="00333FE2"/>
    <w:rsid w:val="00336EDE"/>
    <w:rsid w:val="0035252E"/>
    <w:rsid w:val="0035690F"/>
    <w:rsid w:val="00363A5B"/>
    <w:rsid w:val="0036624D"/>
    <w:rsid w:val="00373FDA"/>
    <w:rsid w:val="003845A2"/>
    <w:rsid w:val="0038540C"/>
    <w:rsid w:val="003860BA"/>
    <w:rsid w:val="00391424"/>
    <w:rsid w:val="00394F69"/>
    <w:rsid w:val="003953AB"/>
    <w:rsid w:val="00395DB0"/>
    <w:rsid w:val="003A6DE2"/>
    <w:rsid w:val="003A7993"/>
    <w:rsid w:val="003C0008"/>
    <w:rsid w:val="003C5DD3"/>
    <w:rsid w:val="003C735C"/>
    <w:rsid w:val="003D6B2F"/>
    <w:rsid w:val="003E7743"/>
    <w:rsid w:val="00404C77"/>
    <w:rsid w:val="00423C59"/>
    <w:rsid w:val="0042648E"/>
    <w:rsid w:val="00426C13"/>
    <w:rsid w:val="00435CEC"/>
    <w:rsid w:val="00436344"/>
    <w:rsid w:val="004419B6"/>
    <w:rsid w:val="004500FA"/>
    <w:rsid w:val="004620C9"/>
    <w:rsid w:val="00464AA1"/>
    <w:rsid w:val="00475007"/>
    <w:rsid w:val="00477F73"/>
    <w:rsid w:val="004916E2"/>
    <w:rsid w:val="004936D2"/>
    <w:rsid w:val="004942D8"/>
    <w:rsid w:val="00496336"/>
    <w:rsid w:val="00497581"/>
    <w:rsid w:val="004A2A14"/>
    <w:rsid w:val="004A4551"/>
    <w:rsid w:val="004B0826"/>
    <w:rsid w:val="004B45C7"/>
    <w:rsid w:val="004B6304"/>
    <w:rsid w:val="004B6B4D"/>
    <w:rsid w:val="004C7374"/>
    <w:rsid w:val="004E2D9F"/>
    <w:rsid w:val="004E4014"/>
    <w:rsid w:val="004F3D39"/>
    <w:rsid w:val="005019AE"/>
    <w:rsid w:val="00504BE1"/>
    <w:rsid w:val="00512090"/>
    <w:rsid w:val="00513D6A"/>
    <w:rsid w:val="00515B4A"/>
    <w:rsid w:val="00515E8B"/>
    <w:rsid w:val="00517C92"/>
    <w:rsid w:val="00524AAB"/>
    <w:rsid w:val="00533403"/>
    <w:rsid w:val="005362C4"/>
    <w:rsid w:val="00540DF8"/>
    <w:rsid w:val="00542908"/>
    <w:rsid w:val="00545A14"/>
    <w:rsid w:val="00547109"/>
    <w:rsid w:val="005474FB"/>
    <w:rsid w:val="00547761"/>
    <w:rsid w:val="0055095D"/>
    <w:rsid w:val="00550D97"/>
    <w:rsid w:val="0055225D"/>
    <w:rsid w:val="00557CDA"/>
    <w:rsid w:val="0056358C"/>
    <w:rsid w:val="00563896"/>
    <w:rsid w:val="0056464A"/>
    <w:rsid w:val="00571611"/>
    <w:rsid w:val="005757F2"/>
    <w:rsid w:val="0058188F"/>
    <w:rsid w:val="00584712"/>
    <w:rsid w:val="005904BF"/>
    <w:rsid w:val="00594464"/>
    <w:rsid w:val="00594D25"/>
    <w:rsid w:val="00595B14"/>
    <w:rsid w:val="005A3AFF"/>
    <w:rsid w:val="005B00E5"/>
    <w:rsid w:val="005B177A"/>
    <w:rsid w:val="005B1EB6"/>
    <w:rsid w:val="005B384C"/>
    <w:rsid w:val="005B45B9"/>
    <w:rsid w:val="005B5515"/>
    <w:rsid w:val="005C0A2C"/>
    <w:rsid w:val="005C6641"/>
    <w:rsid w:val="005D2B01"/>
    <w:rsid w:val="005D2DCF"/>
    <w:rsid w:val="005E3527"/>
    <w:rsid w:val="005E7B73"/>
    <w:rsid w:val="006039A5"/>
    <w:rsid w:val="0060449D"/>
    <w:rsid w:val="006046BF"/>
    <w:rsid w:val="00630661"/>
    <w:rsid w:val="00631CB2"/>
    <w:rsid w:val="00632983"/>
    <w:rsid w:val="00640E29"/>
    <w:rsid w:val="00641398"/>
    <w:rsid w:val="006528C0"/>
    <w:rsid w:val="00655709"/>
    <w:rsid w:val="00660096"/>
    <w:rsid w:val="00660125"/>
    <w:rsid w:val="00670EA6"/>
    <w:rsid w:val="00681267"/>
    <w:rsid w:val="00685992"/>
    <w:rsid w:val="0069676E"/>
    <w:rsid w:val="006971DB"/>
    <w:rsid w:val="0069735E"/>
    <w:rsid w:val="006B4EDE"/>
    <w:rsid w:val="006C033C"/>
    <w:rsid w:val="006C2305"/>
    <w:rsid w:val="006C36B2"/>
    <w:rsid w:val="006C5244"/>
    <w:rsid w:val="006C6389"/>
    <w:rsid w:val="006C6F44"/>
    <w:rsid w:val="006D266E"/>
    <w:rsid w:val="006D5153"/>
    <w:rsid w:val="006E477B"/>
    <w:rsid w:val="006E7D47"/>
    <w:rsid w:val="006F28EB"/>
    <w:rsid w:val="007003D3"/>
    <w:rsid w:val="00700E33"/>
    <w:rsid w:val="00713EA7"/>
    <w:rsid w:val="00731D8A"/>
    <w:rsid w:val="00734F65"/>
    <w:rsid w:val="007471A8"/>
    <w:rsid w:val="00750D63"/>
    <w:rsid w:val="007546E6"/>
    <w:rsid w:val="0075564F"/>
    <w:rsid w:val="007607B0"/>
    <w:rsid w:val="007627B5"/>
    <w:rsid w:val="0077026F"/>
    <w:rsid w:val="00773331"/>
    <w:rsid w:val="0077534B"/>
    <w:rsid w:val="00792E41"/>
    <w:rsid w:val="007932EF"/>
    <w:rsid w:val="00794A59"/>
    <w:rsid w:val="007A2EC7"/>
    <w:rsid w:val="007A4AD2"/>
    <w:rsid w:val="007A5217"/>
    <w:rsid w:val="007A7AAF"/>
    <w:rsid w:val="007B4582"/>
    <w:rsid w:val="007B52C2"/>
    <w:rsid w:val="007B5C00"/>
    <w:rsid w:val="007B79DE"/>
    <w:rsid w:val="007B7E93"/>
    <w:rsid w:val="007C1804"/>
    <w:rsid w:val="007C1B7D"/>
    <w:rsid w:val="007C2009"/>
    <w:rsid w:val="007C29EB"/>
    <w:rsid w:val="007C464B"/>
    <w:rsid w:val="007C4CDB"/>
    <w:rsid w:val="007D130F"/>
    <w:rsid w:val="007D3B15"/>
    <w:rsid w:val="007D3E15"/>
    <w:rsid w:val="007D4F5F"/>
    <w:rsid w:val="007E05B0"/>
    <w:rsid w:val="007E0B1A"/>
    <w:rsid w:val="007E7D9F"/>
    <w:rsid w:val="007F0878"/>
    <w:rsid w:val="007F39C0"/>
    <w:rsid w:val="00812B19"/>
    <w:rsid w:val="0081652F"/>
    <w:rsid w:val="008278D9"/>
    <w:rsid w:val="008331EB"/>
    <w:rsid w:val="00835FBE"/>
    <w:rsid w:val="00850EF1"/>
    <w:rsid w:val="00853AA9"/>
    <w:rsid w:val="008542B8"/>
    <w:rsid w:val="00863D91"/>
    <w:rsid w:val="008640B0"/>
    <w:rsid w:val="00866D32"/>
    <w:rsid w:val="00874D22"/>
    <w:rsid w:val="00874E86"/>
    <w:rsid w:val="00875307"/>
    <w:rsid w:val="00883130"/>
    <w:rsid w:val="00885146"/>
    <w:rsid w:val="0088597F"/>
    <w:rsid w:val="00897961"/>
    <w:rsid w:val="008A2914"/>
    <w:rsid w:val="008A44E9"/>
    <w:rsid w:val="008A569F"/>
    <w:rsid w:val="008A5D81"/>
    <w:rsid w:val="008A73A9"/>
    <w:rsid w:val="008B0316"/>
    <w:rsid w:val="008B542F"/>
    <w:rsid w:val="008C2E50"/>
    <w:rsid w:val="008C3211"/>
    <w:rsid w:val="008C4AA1"/>
    <w:rsid w:val="008C7ACF"/>
    <w:rsid w:val="008D00F2"/>
    <w:rsid w:val="008D01F8"/>
    <w:rsid w:val="008E0558"/>
    <w:rsid w:val="008E1D39"/>
    <w:rsid w:val="008E4D8E"/>
    <w:rsid w:val="008E7F10"/>
    <w:rsid w:val="008F65D6"/>
    <w:rsid w:val="00903D6E"/>
    <w:rsid w:val="00912B83"/>
    <w:rsid w:val="00913707"/>
    <w:rsid w:val="00915D92"/>
    <w:rsid w:val="00921CE8"/>
    <w:rsid w:val="00931F90"/>
    <w:rsid w:val="009367E3"/>
    <w:rsid w:val="009465A5"/>
    <w:rsid w:val="00947CFB"/>
    <w:rsid w:val="0095393D"/>
    <w:rsid w:val="00954204"/>
    <w:rsid w:val="00955A03"/>
    <w:rsid w:val="00956BC8"/>
    <w:rsid w:val="0096094C"/>
    <w:rsid w:val="00962B52"/>
    <w:rsid w:val="00970C23"/>
    <w:rsid w:val="00971EAF"/>
    <w:rsid w:val="00973B2C"/>
    <w:rsid w:val="0097504D"/>
    <w:rsid w:val="00982B2F"/>
    <w:rsid w:val="00985AF8"/>
    <w:rsid w:val="00987037"/>
    <w:rsid w:val="0099104C"/>
    <w:rsid w:val="00991A8C"/>
    <w:rsid w:val="009942AB"/>
    <w:rsid w:val="009A0252"/>
    <w:rsid w:val="009A30ED"/>
    <w:rsid w:val="009B4A1E"/>
    <w:rsid w:val="009B7620"/>
    <w:rsid w:val="009C1971"/>
    <w:rsid w:val="009C2258"/>
    <w:rsid w:val="009D0B9A"/>
    <w:rsid w:val="009D345E"/>
    <w:rsid w:val="009D4BF6"/>
    <w:rsid w:val="009E0CDA"/>
    <w:rsid w:val="009E171A"/>
    <w:rsid w:val="009E2AE4"/>
    <w:rsid w:val="009E4F41"/>
    <w:rsid w:val="009F1EA4"/>
    <w:rsid w:val="009F3534"/>
    <w:rsid w:val="009F72AB"/>
    <w:rsid w:val="00A01F68"/>
    <w:rsid w:val="00A1440E"/>
    <w:rsid w:val="00A150C8"/>
    <w:rsid w:val="00A15379"/>
    <w:rsid w:val="00A344E7"/>
    <w:rsid w:val="00A35296"/>
    <w:rsid w:val="00A40D6E"/>
    <w:rsid w:val="00A416A7"/>
    <w:rsid w:val="00A52E9C"/>
    <w:rsid w:val="00A547E8"/>
    <w:rsid w:val="00A552E1"/>
    <w:rsid w:val="00A572F1"/>
    <w:rsid w:val="00A61F00"/>
    <w:rsid w:val="00A768A1"/>
    <w:rsid w:val="00A92442"/>
    <w:rsid w:val="00A928A8"/>
    <w:rsid w:val="00A9721A"/>
    <w:rsid w:val="00AA481B"/>
    <w:rsid w:val="00AA72AA"/>
    <w:rsid w:val="00AA72C1"/>
    <w:rsid w:val="00AB2544"/>
    <w:rsid w:val="00AB27CD"/>
    <w:rsid w:val="00AB3977"/>
    <w:rsid w:val="00AB3F05"/>
    <w:rsid w:val="00AB6EC2"/>
    <w:rsid w:val="00AC02F6"/>
    <w:rsid w:val="00AC475B"/>
    <w:rsid w:val="00AC51C1"/>
    <w:rsid w:val="00AC788C"/>
    <w:rsid w:val="00AD6757"/>
    <w:rsid w:val="00AD7065"/>
    <w:rsid w:val="00AE050B"/>
    <w:rsid w:val="00AE0D5E"/>
    <w:rsid w:val="00AE62AD"/>
    <w:rsid w:val="00AF0804"/>
    <w:rsid w:val="00AF09C3"/>
    <w:rsid w:val="00B05B6A"/>
    <w:rsid w:val="00B21E01"/>
    <w:rsid w:val="00B32D94"/>
    <w:rsid w:val="00B36BFA"/>
    <w:rsid w:val="00B453CA"/>
    <w:rsid w:val="00B52242"/>
    <w:rsid w:val="00B77092"/>
    <w:rsid w:val="00B81F24"/>
    <w:rsid w:val="00B83955"/>
    <w:rsid w:val="00B83EDE"/>
    <w:rsid w:val="00B94FA2"/>
    <w:rsid w:val="00B9664F"/>
    <w:rsid w:val="00BA444F"/>
    <w:rsid w:val="00BB22CB"/>
    <w:rsid w:val="00BB56B8"/>
    <w:rsid w:val="00BB7BA3"/>
    <w:rsid w:val="00BC1EAD"/>
    <w:rsid w:val="00BC3E2A"/>
    <w:rsid w:val="00BD4367"/>
    <w:rsid w:val="00BE4B57"/>
    <w:rsid w:val="00BE7176"/>
    <w:rsid w:val="00BE7B4B"/>
    <w:rsid w:val="00BF1A1F"/>
    <w:rsid w:val="00BF5A47"/>
    <w:rsid w:val="00C00068"/>
    <w:rsid w:val="00C00EBD"/>
    <w:rsid w:val="00C05FCD"/>
    <w:rsid w:val="00C1155A"/>
    <w:rsid w:val="00C12301"/>
    <w:rsid w:val="00C20664"/>
    <w:rsid w:val="00C2148F"/>
    <w:rsid w:val="00C21ABC"/>
    <w:rsid w:val="00C24434"/>
    <w:rsid w:val="00C25165"/>
    <w:rsid w:val="00C2540F"/>
    <w:rsid w:val="00C42840"/>
    <w:rsid w:val="00C435A3"/>
    <w:rsid w:val="00C60526"/>
    <w:rsid w:val="00C629E6"/>
    <w:rsid w:val="00C72CB4"/>
    <w:rsid w:val="00C9098C"/>
    <w:rsid w:val="00C945B3"/>
    <w:rsid w:val="00CA02A5"/>
    <w:rsid w:val="00CA4201"/>
    <w:rsid w:val="00CA53CA"/>
    <w:rsid w:val="00CB41F7"/>
    <w:rsid w:val="00CB555F"/>
    <w:rsid w:val="00CC012B"/>
    <w:rsid w:val="00CC2EA1"/>
    <w:rsid w:val="00CC6B9B"/>
    <w:rsid w:val="00CD196C"/>
    <w:rsid w:val="00CE5017"/>
    <w:rsid w:val="00CE5C29"/>
    <w:rsid w:val="00CF3974"/>
    <w:rsid w:val="00CF3F38"/>
    <w:rsid w:val="00D01959"/>
    <w:rsid w:val="00D02E91"/>
    <w:rsid w:val="00D1211F"/>
    <w:rsid w:val="00D20381"/>
    <w:rsid w:val="00D20543"/>
    <w:rsid w:val="00D22672"/>
    <w:rsid w:val="00D25B7B"/>
    <w:rsid w:val="00D3001B"/>
    <w:rsid w:val="00D31D5A"/>
    <w:rsid w:val="00D32666"/>
    <w:rsid w:val="00D366A9"/>
    <w:rsid w:val="00D5195D"/>
    <w:rsid w:val="00D57DEC"/>
    <w:rsid w:val="00D606A4"/>
    <w:rsid w:val="00D6363F"/>
    <w:rsid w:val="00D637C0"/>
    <w:rsid w:val="00D6790C"/>
    <w:rsid w:val="00D70841"/>
    <w:rsid w:val="00D747E6"/>
    <w:rsid w:val="00D80D60"/>
    <w:rsid w:val="00D85510"/>
    <w:rsid w:val="00D855CF"/>
    <w:rsid w:val="00D86ADB"/>
    <w:rsid w:val="00D9259F"/>
    <w:rsid w:val="00D94AC9"/>
    <w:rsid w:val="00D96D93"/>
    <w:rsid w:val="00D970F3"/>
    <w:rsid w:val="00D97332"/>
    <w:rsid w:val="00DA3C09"/>
    <w:rsid w:val="00DA67F2"/>
    <w:rsid w:val="00DA7350"/>
    <w:rsid w:val="00DB54E4"/>
    <w:rsid w:val="00DC18A7"/>
    <w:rsid w:val="00DC223E"/>
    <w:rsid w:val="00DC795F"/>
    <w:rsid w:val="00DD36FA"/>
    <w:rsid w:val="00DD7722"/>
    <w:rsid w:val="00DE2A95"/>
    <w:rsid w:val="00DE50A6"/>
    <w:rsid w:val="00DE687B"/>
    <w:rsid w:val="00DF1B45"/>
    <w:rsid w:val="00DF2E15"/>
    <w:rsid w:val="00DF3FC4"/>
    <w:rsid w:val="00E04B23"/>
    <w:rsid w:val="00E07526"/>
    <w:rsid w:val="00E10E1A"/>
    <w:rsid w:val="00E12226"/>
    <w:rsid w:val="00E12B6E"/>
    <w:rsid w:val="00E17FFA"/>
    <w:rsid w:val="00E202F4"/>
    <w:rsid w:val="00E22806"/>
    <w:rsid w:val="00E2280B"/>
    <w:rsid w:val="00E230A3"/>
    <w:rsid w:val="00E23873"/>
    <w:rsid w:val="00E46CA0"/>
    <w:rsid w:val="00E52278"/>
    <w:rsid w:val="00E56470"/>
    <w:rsid w:val="00E575C9"/>
    <w:rsid w:val="00E63932"/>
    <w:rsid w:val="00E654AA"/>
    <w:rsid w:val="00E80589"/>
    <w:rsid w:val="00EC38AB"/>
    <w:rsid w:val="00EC5B57"/>
    <w:rsid w:val="00EE7904"/>
    <w:rsid w:val="00EF2F2D"/>
    <w:rsid w:val="00EF45C9"/>
    <w:rsid w:val="00F03710"/>
    <w:rsid w:val="00F03F26"/>
    <w:rsid w:val="00F04843"/>
    <w:rsid w:val="00F25307"/>
    <w:rsid w:val="00F34754"/>
    <w:rsid w:val="00F34D65"/>
    <w:rsid w:val="00F40067"/>
    <w:rsid w:val="00F40856"/>
    <w:rsid w:val="00F43FCC"/>
    <w:rsid w:val="00F50375"/>
    <w:rsid w:val="00F569F7"/>
    <w:rsid w:val="00F63FB6"/>
    <w:rsid w:val="00F657BA"/>
    <w:rsid w:val="00F73476"/>
    <w:rsid w:val="00F754F8"/>
    <w:rsid w:val="00F75F18"/>
    <w:rsid w:val="00F91F0D"/>
    <w:rsid w:val="00F91F43"/>
    <w:rsid w:val="00F94241"/>
    <w:rsid w:val="00F97D75"/>
    <w:rsid w:val="00FA543A"/>
    <w:rsid w:val="00FA5473"/>
    <w:rsid w:val="00FB0E1C"/>
    <w:rsid w:val="00FB19E6"/>
    <w:rsid w:val="00FB2A67"/>
    <w:rsid w:val="00FB6BED"/>
    <w:rsid w:val="00FC1838"/>
    <w:rsid w:val="00FC226B"/>
    <w:rsid w:val="00FC38F8"/>
    <w:rsid w:val="00FC6D9E"/>
    <w:rsid w:val="00FC6E8B"/>
    <w:rsid w:val="00FC76D6"/>
    <w:rsid w:val="00FD5C7E"/>
    <w:rsid w:val="00FE1AD6"/>
    <w:rsid w:val="00FE4F94"/>
    <w:rsid w:val="00FE6092"/>
    <w:rsid w:val="00FE615A"/>
    <w:rsid w:val="00FF20AC"/>
    <w:rsid w:val="00FF5FB8"/>
    <w:rsid w:val="00FF6A2A"/>
    <w:rsid w:val="4EC19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7AEEF677-A234-48AA-ADC2-8DA08426F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lv-LV"/>
    </w:rPr>
  </w:style>
  <w:style w:type="paragraph" w:styleId="Heading1">
    <w:name w:val="heading 1"/>
    <w:basedOn w:val="Normal"/>
    <w:next w:val="Text1"/>
    <w:link w:val="Heading1Char"/>
    <w:uiPriority w:val="9"/>
    <w:qFormat/>
    <w:pPr>
      <w:keepNext/>
      <w:numPr>
        <w:numId w:val="2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8"/>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28"/>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28"/>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28"/>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4A2A14"/>
    <w:rPr>
      <w:b/>
      <w:bCs/>
    </w:rPr>
  </w:style>
  <w:style w:type="paragraph" w:styleId="ListBullet">
    <w:name w:val="List Bullet"/>
    <w:basedOn w:val="Normal"/>
    <w:uiPriority w:val="99"/>
    <w:semiHidden/>
    <w:unhideWhenUsed/>
    <w:rsid w:val="004500FA"/>
    <w:pPr>
      <w:numPr>
        <w:numId w:val="1"/>
      </w:numPr>
      <w:contextualSpacing/>
    </w:pPr>
  </w:style>
  <w:style w:type="paragraph" w:styleId="ListBullet2">
    <w:name w:val="List Bullet 2"/>
    <w:basedOn w:val="Normal"/>
    <w:uiPriority w:val="99"/>
    <w:semiHidden/>
    <w:unhideWhenUsed/>
    <w:rsid w:val="004500FA"/>
    <w:pPr>
      <w:numPr>
        <w:numId w:val="2"/>
      </w:numPr>
      <w:contextualSpacing/>
    </w:pPr>
  </w:style>
  <w:style w:type="paragraph" w:styleId="ListBullet3">
    <w:name w:val="List Bullet 3"/>
    <w:basedOn w:val="Normal"/>
    <w:uiPriority w:val="99"/>
    <w:semiHidden/>
    <w:unhideWhenUsed/>
    <w:rsid w:val="004500FA"/>
    <w:pPr>
      <w:numPr>
        <w:numId w:val="3"/>
      </w:numPr>
      <w:contextualSpacing/>
    </w:pPr>
  </w:style>
  <w:style w:type="paragraph" w:styleId="ListBullet4">
    <w:name w:val="List Bullet 4"/>
    <w:basedOn w:val="Normal"/>
    <w:uiPriority w:val="99"/>
    <w:semiHidden/>
    <w:unhideWhenUsed/>
    <w:rsid w:val="004500FA"/>
    <w:pPr>
      <w:numPr>
        <w:numId w:val="4"/>
      </w:numPr>
      <w:contextualSpacing/>
    </w:pPr>
  </w:style>
  <w:style w:type="paragraph" w:styleId="ListParagraph">
    <w:name w:val="List Paragraph"/>
    <w:basedOn w:val="Normal"/>
    <w:uiPriority w:val="34"/>
    <w:qFormat/>
    <w:rsid w:val="00E80589"/>
    <w:pPr>
      <w:spacing w:before="0" w:after="0" w:line="360" w:lineRule="auto"/>
      <w:ind w:left="720"/>
      <w:contextualSpacing/>
      <w:jc w:val="left"/>
    </w:pPr>
    <w:rPr>
      <w:rFonts w:cstheme="minorBidi"/>
    </w:rPr>
  </w:style>
  <w:style w:type="paragraph" w:styleId="Revision">
    <w:name w:val="Revision"/>
    <w:hidden/>
    <w:uiPriority w:val="99"/>
    <w:semiHidden/>
    <w:rsid w:val="007D4F5F"/>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DF2E15"/>
    <w:rPr>
      <w:sz w:val="16"/>
      <w:szCs w:val="16"/>
    </w:rPr>
  </w:style>
  <w:style w:type="paragraph" w:styleId="CommentText">
    <w:name w:val="annotation text"/>
    <w:basedOn w:val="Normal"/>
    <w:link w:val="CommentTextChar"/>
    <w:uiPriority w:val="99"/>
    <w:unhideWhenUsed/>
    <w:rsid w:val="00DF2E15"/>
    <w:rPr>
      <w:sz w:val="20"/>
      <w:szCs w:val="20"/>
    </w:rPr>
  </w:style>
  <w:style w:type="character" w:customStyle="1" w:styleId="CommentTextChar">
    <w:name w:val="Comment Text Char"/>
    <w:basedOn w:val="DefaultParagraphFont"/>
    <w:link w:val="CommentText"/>
    <w:uiPriority w:val="99"/>
    <w:rsid w:val="00DF2E15"/>
    <w:rPr>
      <w:rFonts w:ascii="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DF2E15"/>
    <w:rPr>
      <w:b/>
      <w:bCs/>
    </w:rPr>
  </w:style>
  <w:style w:type="character" w:customStyle="1" w:styleId="CommentSubjectChar">
    <w:name w:val="Comment Subject Char"/>
    <w:basedOn w:val="CommentTextChar"/>
    <w:link w:val="CommentSubject"/>
    <w:uiPriority w:val="99"/>
    <w:semiHidden/>
    <w:rsid w:val="00DF2E15"/>
    <w:rPr>
      <w:rFonts w:ascii="Times New Roman" w:hAnsi="Times New Roman" w:cs="Times New Roman"/>
      <w:b/>
      <w:bCs/>
      <w:sz w:val="20"/>
      <w:szCs w:val="20"/>
      <w:lang w:val="lv-LV"/>
    </w:rPr>
  </w:style>
  <w:style w:type="character" w:styleId="Hyperlink">
    <w:name w:val="Hyperlink"/>
    <w:basedOn w:val="DefaultParagraphFont"/>
    <w:uiPriority w:val="99"/>
    <w:unhideWhenUsed/>
    <w:rsid w:val="00C72CB4"/>
    <w:rPr>
      <w:color w:val="0000FF" w:themeColor="hyperlink"/>
      <w:u w:val="single"/>
    </w:rPr>
  </w:style>
  <w:style w:type="character" w:customStyle="1" w:styleId="Text1Char">
    <w:name w:val="Text 1 Char"/>
    <w:rsid w:val="004A4551"/>
    <w:rPr>
      <w:rFonts w:ascii="Times New Roman" w:hAnsi="Times New Roman" w:cs="Times New Roman"/>
      <w:sz w:val="24"/>
      <w:lang w:val="lv-LV"/>
    </w:rPr>
  </w:style>
  <w:style w:type="character" w:customStyle="1" w:styleId="UnresolvedMention">
    <w:name w:val="Unresolved Mention"/>
    <w:basedOn w:val="DefaultParagraphFont"/>
    <w:uiPriority w:val="99"/>
    <w:semiHidden/>
    <w:unhideWhenUsed/>
    <w:rsid w:val="00D57DEC"/>
    <w:rPr>
      <w:color w:val="605E5C"/>
      <w:shd w:val="clear" w:color="auto" w:fill="E1DFDD"/>
    </w:rPr>
  </w:style>
  <w:style w:type="character" w:customStyle="1" w:styleId="HeaderChar">
    <w:name w:val="Header Char"/>
    <w:basedOn w:val="DefaultParagraphFont"/>
    <w:link w:val="Header"/>
    <w:uiPriority w:val="99"/>
    <w:rsid w:val="00D02E91"/>
    <w:rPr>
      <w:rFonts w:ascii="Times New Roman" w:hAnsi="Times New Roman" w:cs="Times New Roman"/>
      <w:sz w:val="24"/>
      <w:lang w:val="lv-LV"/>
    </w:rPr>
  </w:style>
  <w:style w:type="character" w:customStyle="1" w:styleId="FooterChar">
    <w:name w:val="Footer Char"/>
    <w:basedOn w:val="DefaultParagraphFont"/>
    <w:link w:val="Footer"/>
    <w:uiPriority w:val="99"/>
    <w:rsid w:val="00D02E91"/>
    <w:rPr>
      <w:rFonts w:ascii="Times New Roman" w:hAnsi="Times New Roman" w:cs="Times New Roman"/>
      <w:sz w:val="24"/>
      <w:lang w:val="lv-LV"/>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D02E91"/>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D02E91"/>
    <w:pPr>
      <w:spacing w:before="0"/>
      <w:jc w:val="right"/>
    </w:pPr>
    <w:rPr>
      <w:sz w:val="28"/>
    </w:rPr>
  </w:style>
  <w:style w:type="paragraph" w:customStyle="1" w:styleId="FooterSensitivity">
    <w:name w:val="Footer Sensitivity"/>
    <w:basedOn w:val="Normal"/>
    <w:rsid w:val="00D02E91"/>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1"/>
      </w:numPr>
    </w:pPr>
  </w:style>
  <w:style w:type="paragraph" w:customStyle="1" w:styleId="Tiret1">
    <w:name w:val="Tiret 1"/>
    <w:basedOn w:val="Point1"/>
    <w:pPr>
      <w:numPr>
        <w:numId w:val="22"/>
      </w:numPr>
    </w:pPr>
  </w:style>
  <w:style w:type="paragraph" w:customStyle="1" w:styleId="Tiret2">
    <w:name w:val="Tiret 2"/>
    <w:basedOn w:val="Point2"/>
    <w:pPr>
      <w:numPr>
        <w:numId w:val="23"/>
      </w:numPr>
    </w:pPr>
  </w:style>
  <w:style w:type="paragraph" w:customStyle="1" w:styleId="Tiret3">
    <w:name w:val="Tiret 3"/>
    <w:basedOn w:val="Point3"/>
    <w:pPr>
      <w:numPr>
        <w:numId w:val="24"/>
      </w:numPr>
    </w:pPr>
  </w:style>
  <w:style w:type="paragraph" w:customStyle="1" w:styleId="Tiret4">
    <w:name w:val="Tiret 4"/>
    <w:basedOn w:val="Point4"/>
    <w:pPr>
      <w:numPr>
        <w:numId w:val="25"/>
      </w:numPr>
    </w:pPr>
  </w:style>
  <w:style w:type="paragraph" w:customStyle="1" w:styleId="Tiret5">
    <w:name w:val="Tiret 5"/>
    <w:basedOn w:val="Point5"/>
    <w:pPr>
      <w:numPr>
        <w:numId w:val="2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7"/>
      </w:numPr>
    </w:pPr>
  </w:style>
  <w:style w:type="paragraph" w:customStyle="1" w:styleId="NumPar2">
    <w:name w:val="NumPar 2"/>
    <w:basedOn w:val="Normal"/>
    <w:next w:val="Text1"/>
    <w:pPr>
      <w:numPr>
        <w:ilvl w:val="1"/>
        <w:numId w:val="27"/>
      </w:numPr>
    </w:pPr>
  </w:style>
  <w:style w:type="paragraph" w:customStyle="1" w:styleId="NumPar3">
    <w:name w:val="NumPar 3"/>
    <w:basedOn w:val="Normal"/>
    <w:next w:val="Text1"/>
    <w:pPr>
      <w:numPr>
        <w:ilvl w:val="2"/>
        <w:numId w:val="27"/>
      </w:numPr>
    </w:pPr>
  </w:style>
  <w:style w:type="paragraph" w:customStyle="1" w:styleId="NumPar4">
    <w:name w:val="NumPar 4"/>
    <w:basedOn w:val="Normal"/>
    <w:next w:val="Text1"/>
    <w:pPr>
      <w:numPr>
        <w:ilvl w:val="3"/>
        <w:numId w:val="27"/>
      </w:numPr>
    </w:pPr>
  </w:style>
  <w:style w:type="paragraph" w:customStyle="1" w:styleId="NumPar5">
    <w:name w:val="NumPar 5"/>
    <w:basedOn w:val="Normal"/>
    <w:next w:val="Text2"/>
    <w:pPr>
      <w:numPr>
        <w:ilvl w:val="4"/>
        <w:numId w:val="27"/>
      </w:numPr>
    </w:pPr>
  </w:style>
  <w:style w:type="paragraph" w:customStyle="1" w:styleId="NumPar6">
    <w:name w:val="NumPar 6"/>
    <w:basedOn w:val="Normal"/>
    <w:next w:val="Text2"/>
    <w:pPr>
      <w:numPr>
        <w:ilvl w:val="5"/>
        <w:numId w:val="27"/>
      </w:numPr>
    </w:pPr>
  </w:style>
  <w:style w:type="paragraph" w:customStyle="1" w:styleId="NumPar7">
    <w:name w:val="NumPar 7"/>
    <w:basedOn w:val="Normal"/>
    <w:next w:val="Text2"/>
    <w:pPr>
      <w:numPr>
        <w:ilvl w:val="6"/>
        <w:numId w:val="2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9"/>
      </w:numPr>
    </w:pPr>
  </w:style>
  <w:style w:type="paragraph" w:customStyle="1" w:styleId="Point1number">
    <w:name w:val="Point 1 (number)"/>
    <w:basedOn w:val="Normal"/>
    <w:pPr>
      <w:numPr>
        <w:ilvl w:val="2"/>
        <w:numId w:val="29"/>
      </w:numPr>
    </w:pPr>
  </w:style>
  <w:style w:type="paragraph" w:customStyle="1" w:styleId="Point2number">
    <w:name w:val="Point 2 (number)"/>
    <w:basedOn w:val="Normal"/>
    <w:pPr>
      <w:numPr>
        <w:ilvl w:val="4"/>
        <w:numId w:val="29"/>
      </w:numPr>
    </w:pPr>
  </w:style>
  <w:style w:type="paragraph" w:customStyle="1" w:styleId="Point3number">
    <w:name w:val="Point 3 (number)"/>
    <w:basedOn w:val="Normal"/>
    <w:pPr>
      <w:numPr>
        <w:ilvl w:val="6"/>
        <w:numId w:val="29"/>
      </w:numPr>
    </w:pPr>
  </w:style>
  <w:style w:type="paragraph" w:customStyle="1" w:styleId="Point0letter">
    <w:name w:val="Point 0 (letter)"/>
    <w:basedOn w:val="Normal"/>
    <w:pPr>
      <w:numPr>
        <w:ilvl w:val="1"/>
        <w:numId w:val="29"/>
      </w:numPr>
    </w:pPr>
  </w:style>
  <w:style w:type="paragraph" w:customStyle="1" w:styleId="Point1letter">
    <w:name w:val="Point 1 (letter)"/>
    <w:basedOn w:val="Normal"/>
    <w:pPr>
      <w:numPr>
        <w:ilvl w:val="3"/>
        <w:numId w:val="29"/>
      </w:numPr>
    </w:pPr>
  </w:style>
  <w:style w:type="paragraph" w:customStyle="1" w:styleId="Point2letter">
    <w:name w:val="Point 2 (letter)"/>
    <w:basedOn w:val="Normal"/>
    <w:pPr>
      <w:numPr>
        <w:ilvl w:val="5"/>
        <w:numId w:val="29"/>
      </w:numPr>
    </w:pPr>
  </w:style>
  <w:style w:type="paragraph" w:customStyle="1" w:styleId="Point3letter">
    <w:name w:val="Point 3 (letter)"/>
    <w:basedOn w:val="Normal"/>
    <w:pPr>
      <w:numPr>
        <w:ilvl w:val="7"/>
        <w:numId w:val="29"/>
      </w:numPr>
    </w:pPr>
  </w:style>
  <w:style w:type="paragraph" w:customStyle="1" w:styleId="Point4letter">
    <w:name w:val="Point 4 (letter)"/>
    <w:basedOn w:val="Normal"/>
    <w:pPr>
      <w:numPr>
        <w:ilvl w:val="8"/>
        <w:numId w:val="29"/>
      </w:numPr>
    </w:pPr>
  </w:style>
  <w:style w:type="paragraph" w:customStyle="1" w:styleId="Bullet0">
    <w:name w:val="Bullet 0"/>
    <w:basedOn w:val="Normal"/>
    <w:pPr>
      <w:numPr>
        <w:numId w:val="30"/>
      </w:numPr>
    </w:pPr>
  </w:style>
  <w:style w:type="paragraph" w:customStyle="1" w:styleId="Bullet1">
    <w:name w:val="Bullet 1"/>
    <w:basedOn w:val="Normal"/>
    <w:pPr>
      <w:numPr>
        <w:numId w:val="31"/>
      </w:numPr>
    </w:pPr>
  </w:style>
  <w:style w:type="paragraph" w:customStyle="1" w:styleId="Bullet2">
    <w:name w:val="Bullet 2"/>
    <w:basedOn w:val="Normal"/>
    <w:pPr>
      <w:numPr>
        <w:numId w:val="32"/>
      </w:numPr>
    </w:pPr>
  </w:style>
  <w:style w:type="paragraph" w:customStyle="1" w:styleId="Bullet3">
    <w:name w:val="Bullet 3"/>
    <w:basedOn w:val="Normal"/>
    <w:pPr>
      <w:numPr>
        <w:numId w:val="33"/>
      </w:numPr>
    </w:pPr>
  </w:style>
  <w:style w:type="paragraph" w:customStyle="1" w:styleId="Bullet4">
    <w:name w:val="Bullet 4"/>
    <w:basedOn w:val="Normal"/>
    <w:pPr>
      <w:numPr>
        <w:numId w:val="3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 w:type="paragraph" w:styleId="Header">
    <w:name w:val="header"/>
    <w:basedOn w:val="Normal"/>
    <w:link w:val="HeaderChar"/>
    <w:uiPriority w:val="99"/>
    <w:unhideWhenUsed/>
    <w:rsid w:val="00D02E91"/>
    <w:pPr>
      <w:tabs>
        <w:tab w:val="center" w:pos="4535"/>
        <w:tab w:val="right" w:pos="9071"/>
      </w:tabs>
      <w:spacing w:before="0"/>
    </w:pPr>
  </w:style>
  <w:style w:type="paragraph" w:customStyle="1" w:styleId="HeaderLandscape">
    <w:name w:val="HeaderLandscape"/>
    <w:basedOn w:val="Normal"/>
    <w:rsid w:val="00D02E91"/>
    <w:pPr>
      <w:tabs>
        <w:tab w:val="center" w:pos="7285"/>
        <w:tab w:val="right" w:pos="14003"/>
      </w:tabs>
      <w:spacing w:before="0"/>
    </w:pPr>
  </w:style>
  <w:style w:type="paragraph" w:styleId="Footer">
    <w:name w:val="footer"/>
    <w:basedOn w:val="Normal"/>
    <w:link w:val="FooterChar"/>
    <w:uiPriority w:val="99"/>
    <w:unhideWhenUsed/>
    <w:rsid w:val="00D02E91"/>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D02E91"/>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99A588E0F14746BFAC081FD6A566B8" ma:contentTypeVersion="8" ma:contentTypeDescription="Create a new document." ma:contentTypeScope="" ma:versionID="c8e1697298a3a34dc8e34c25b4cc69bf">
  <xsd:schema xmlns:xsd="http://www.w3.org/2001/XMLSchema" xmlns:xs="http://www.w3.org/2001/XMLSchema" xmlns:p="http://schemas.microsoft.com/office/2006/metadata/properties" xmlns:ns2="a280f3ed-f921-4226-9525-27fa6d577539" xmlns:ns3="278287c8-5be4-4613-8138-480f9be48247" targetNamespace="http://schemas.microsoft.com/office/2006/metadata/properties" ma:root="true" ma:fieldsID="b58e4958572a48cf0718712e15f95bf7" ns2:_="" ns3:_="">
    <xsd:import namespace="a280f3ed-f921-4226-9525-27fa6d577539"/>
    <xsd:import namespace="278287c8-5be4-4613-8138-480f9be482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80f3ed-f921-4226-9525-27fa6d5775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8287c8-5be4-4613-8138-480f9be482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268A0-61B4-4F16-84EC-30E736F707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80f3ed-f921-4226-9525-27fa6d577539"/>
    <ds:schemaRef ds:uri="278287c8-5be4-4613-8138-480f9be48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E36A15-0EB5-401D-B109-6631558ED4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E2F165-37E7-4753-8A42-C09BF33D3E46}">
  <ds:schemaRefs>
    <ds:schemaRef ds:uri="http://schemas.microsoft.com/sharepoint/v3/contenttype/forms"/>
  </ds:schemaRefs>
</ds:datastoreItem>
</file>

<file path=customXml/itemProps4.xml><?xml version="1.0" encoding="utf-8"?>
<ds:datastoreItem xmlns:ds="http://schemas.openxmlformats.org/officeDocument/2006/customXml" ds:itemID="{04BE5225-AA13-49EC-96C7-054348A46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141</TotalTime>
  <Pages>4</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88</cp:revision>
  <dcterms:created xsi:type="dcterms:W3CDTF">2025-10-22T14:16:00Z</dcterms:created>
  <dcterms:modified xsi:type="dcterms:W3CDTF">2025-12-09T08:22:00Z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COM/PL/CODEC</vt:lpwstr>
  </property>
  <property fmtid="{D5CDD505-2E9C-101B-9397-08002B2CF9AE}" pid="3" name="Version">
    <vt:lpwstr>8.0.25.0</vt:lpwstr>
  </property>
  <property fmtid="{D5CDD505-2E9C-101B-9397-08002B2CF9AE}" pid="4" name="Last edited using">
    <vt:lpwstr>LW 9.2, Build 20250828</vt:lpwstr>
  </property>
  <property fmtid="{D5CDD505-2E9C-101B-9397-08002B2CF9AE}" pid="5" name="Created using">
    <vt:lpwstr>LW 9.1, Build 20240808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SJ-028</vt:lpwstr>
  </property>
  <property fmtid="{D5CDD505-2E9C-101B-9397-08002B2CF9AE}" pid="10" name="ContentTypeId">
    <vt:lpwstr>0x010100F099A588E0F14746BFAC081FD6A566B8</vt:lpwstr>
  </property>
  <property fmtid="{D5CDD505-2E9C-101B-9397-08002B2CF9AE}" pid="11" name="MSIP_Label_6bd9ddd1-4d20-43f6-abfa-fc3c07406f94_Enabled">
    <vt:lpwstr>true</vt:lpwstr>
  </property>
  <property fmtid="{D5CDD505-2E9C-101B-9397-08002B2CF9AE}" pid="12" name="MSIP_Label_6bd9ddd1-4d20-43f6-abfa-fc3c07406f94_SetDate">
    <vt:lpwstr>2025-02-26T10:13:32Z</vt:lpwstr>
  </property>
  <property fmtid="{D5CDD505-2E9C-101B-9397-08002B2CF9AE}" pid="13" name="MSIP_Label_6bd9ddd1-4d20-43f6-abfa-fc3c07406f94_Method">
    <vt:lpwstr>Standard</vt:lpwstr>
  </property>
  <property fmtid="{D5CDD505-2E9C-101B-9397-08002B2CF9AE}" pid="14" name="MSIP_Label_6bd9ddd1-4d20-43f6-abfa-fc3c07406f94_Name">
    <vt:lpwstr>Commission Use</vt:lpwstr>
  </property>
  <property fmtid="{D5CDD505-2E9C-101B-9397-08002B2CF9AE}" pid="15" name="MSIP_Label_6bd9ddd1-4d20-43f6-abfa-fc3c07406f94_SiteId">
    <vt:lpwstr>b24c8b06-522c-46fe-9080-70926f8dddb1</vt:lpwstr>
  </property>
  <property fmtid="{D5CDD505-2E9C-101B-9397-08002B2CF9AE}" pid="16" name="MSIP_Label_6bd9ddd1-4d20-43f6-abfa-fc3c07406f94_ActionId">
    <vt:lpwstr>f1a4ce71-416b-4590-9e33-1d583b012085</vt:lpwstr>
  </property>
  <property fmtid="{D5CDD505-2E9C-101B-9397-08002B2CF9AE}" pid="17" name="MSIP_Label_6bd9ddd1-4d20-43f6-abfa-fc3c07406f94_ContentBits">
    <vt:lpwstr>0</vt:lpwstr>
  </property>
  <property fmtid="{D5CDD505-2E9C-101B-9397-08002B2CF9AE}" pid="18" name="MediaServiceImageTags">
    <vt:lpwstr/>
  </property>
  <property fmtid="{D5CDD505-2E9C-101B-9397-08002B2CF9AE}" pid="19" name="DQCStatus">
    <vt:lpwstr>Green (DQC version 03)</vt:lpwstr>
  </property>
</Properties>
</file>