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33F" w:rsidRPr="003C6343" w:rsidRDefault="00625380" w:rsidP="0062538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60520B3-1481-49F0-AFB6-126E3EA264B0" style="width:455.25pt;height:393pt">
            <v:imagedata r:id="rId10" o:title=""/>
          </v:shape>
        </w:pict>
      </w:r>
    </w:p>
    <w:p w:rsidR="007C0F5F" w:rsidRPr="003C6343" w:rsidRDefault="007C0F5F">
      <w:pPr>
        <w:rPr>
          <w:noProof/>
        </w:rPr>
        <w:sectPr w:rsidR="007C0F5F" w:rsidRPr="003C6343" w:rsidSect="00625380">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rsidR="005D03BB" w:rsidRPr="003C6343" w:rsidRDefault="003C6343" w:rsidP="003C6343">
      <w:pPr>
        <w:pStyle w:val="Rfrenceinterinstitutionnelle"/>
        <w:rPr>
          <w:noProof/>
        </w:rPr>
      </w:pPr>
      <w:bookmarkStart w:id="0" w:name="_GoBack"/>
      <w:bookmarkEnd w:id="0"/>
      <w:r>
        <w:rPr>
          <w:noProof/>
        </w:rPr>
        <w:lastRenderedPageBreak/>
        <w:t>2023/0373 (COD)</w:t>
      </w:r>
    </w:p>
    <w:p w:rsidR="007C0F5F" w:rsidRPr="003C6343" w:rsidRDefault="003C6343" w:rsidP="003C6343">
      <w:pPr>
        <w:pStyle w:val="Typedudocument"/>
        <w:rPr>
          <w:noProof/>
        </w:rPr>
      </w:pPr>
      <w:r w:rsidRPr="003C6343">
        <w:rPr>
          <w:noProof/>
        </w:rPr>
        <w:t>KOMISIJAS PAZIŅOJUMS EIROPAS PARLAMENTAM,</w:t>
      </w:r>
      <w:r w:rsidRPr="003C6343">
        <w:rPr>
          <w:noProof/>
        </w:rPr>
        <w:br/>
      </w:r>
      <w:r w:rsidRPr="003C6343">
        <w:rPr>
          <w:noProof/>
        </w:rPr>
        <w:br/>
        <w:t>ko izstrādā atbilstīgi Līguma par Eiropas Savienības darbību 294. panta 6. punktam,</w:t>
      </w:r>
      <w:r w:rsidRPr="003C6343">
        <w:rPr>
          <w:noProof/>
        </w:rPr>
        <w:br/>
      </w:r>
      <w:r w:rsidRPr="003C6343">
        <w:rPr>
          <w:noProof/>
        </w:rPr>
        <w:br/>
        <w:t>par</w:t>
      </w:r>
    </w:p>
    <w:p w:rsidR="007C0F5F" w:rsidRPr="003C6343" w:rsidRDefault="003C6343" w:rsidP="003C6343">
      <w:pPr>
        <w:pStyle w:val="Titreobjet"/>
        <w:rPr>
          <w:noProof/>
        </w:rPr>
      </w:pPr>
      <w:r w:rsidRPr="003C6343">
        <w:rPr>
          <w:noProof/>
        </w:rPr>
        <w:t>Padomes nostāju attiecībā uz Eiropas Parlamenta un Padomes regulas pieņemšanu par plastmasas granulu zudumu novēršanu nolūkā samazināt piesārņotību ar mikroplastmasu</w:t>
      </w:r>
    </w:p>
    <w:p w:rsidR="007C0F5F" w:rsidRPr="003C6343" w:rsidRDefault="007C0F5F" w:rsidP="001704B9">
      <w:pPr>
        <w:pStyle w:val="ManualHeading1"/>
        <w:rPr>
          <w:noProof/>
          <w:sz w:val="22"/>
        </w:rPr>
      </w:pPr>
      <w:r w:rsidRPr="003C6343">
        <w:rPr>
          <w:noProof/>
        </w:rPr>
        <w:t>1.</w:t>
      </w:r>
      <w:r w:rsidRPr="003C6343">
        <w:rPr>
          <w:noProof/>
        </w:rPr>
        <w:tab/>
        <w:t>Priekšvēsture</w:t>
      </w:r>
    </w:p>
    <w:tbl>
      <w:tblPr>
        <w:tblW w:w="0" w:type="auto"/>
        <w:tblLayout w:type="fixed"/>
        <w:tblLook w:val="0000" w:firstRow="0" w:lastRow="0" w:firstColumn="0" w:lastColumn="0" w:noHBand="0" w:noVBand="0"/>
      </w:tblPr>
      <w:tblGrid>
        <w:gridCol w:w="6804"/>
        <w:gridCol w:w="2483"/>
      </w:tblGrid>
      <w:tr w:rsidR="007C0F5F" w:rsidRPr="003C6343" w:rsidTr="00FC48CE">
        <w:tc>
          <w:tcPr>
            <w:tcW w:w="6804" w:type="dxa"/>
          </w:tcPr>
          <w:p w:rsidR="007C0F5F" w:rsidRPr="003C6343" w:rsidRDefault="007C0F5F" w:rsidP="00FC48CE">
            <w:pPr>
              <w:jc w:val="left"/>
              <w:rPr>
                <w:noProof/>
              </w:rPr>
            </w:pPr>
            <w:r w:rsidRPr="003C6343">
              <w:rPr>
                <w:noProof/>
              </w:rPr>
              <w:t xml:space="preserve">Datums, kad priekšlikums nosūtīts Eiropas Parlamentam un Padomei </w:t>
            </w:r>
            <w:r w:rsidRPr="003C6343">
              <w:rPr>
                <w:noProof/>
              </w:rPr>
              <w:br/>
              <w:t>(dokuments COM(2023) 645 final – 2023/0373 COD):</w:t>
            </w:r>
          </w:p>
        </w:tc>
        <w:tc>
          <w:tcPr>
            <w:tcW w:w="2483" w:type="dxa"/>
          </w:tcPr>
          <w:p w:rsidR="007C0F5F" w:rsidRPr="003C6343" w:rsidRDefault="0083460F" w:rsidP="00FC48CE">
            <w:pPr>
              <w:jc w:val="left"/>
              <w:rPr>
                <w:noProof/>
              </w:rPr>
            </w:pPr>
            <w:r w:rsidRPr="003C6343">
              <w:rPr>
                <w:noProof/>
              </w:rPr>
              <w:t>2023. gada 16. oktobris</w:t>
            </w:r>
          </w:p>
        </w:tc>
      </w:tr>
      <w:tr w:rsidR="007C0F5F" w:rsidRPr="003C6343" w:rsidTr="00FC48CE">
        <w:tc>
          <w:tcPr>
            <w:tcW w:w="6804" w:type="dxa"/>
          </w:tcPr>
          <w:p w:rsidR="007C0F5F" w:rsidRPr="003C6343" w:rsidRDefault="007C0F5F" w:rsidP="00FC48CE">
            <w:pPr>
              <w:rPr>
                <w:noProof/>
              </w:rPr>
            </w:pPr>
            <w:r w:rsidRPr="003C6343">
              <w:rPr>
                <w:noProof/>
              </w:rPr>
              <w:t>Eiropas Ekonomikas un sociālo lietu komitejas atzinuma datums:</w:t>
            </w:r>
          </w:p>
        </w:tc>
        <w:tc>
          <w:tcPr>
            <w:tcW w:w="2483" w:type="dxa"/>
          </w:tcPr>
          <w:p w:rsidR="007C0F5F" w:rsidRPr="003C6343" w:rsidRDefault="00D079CC" w:rsidP="00FC48CE">
            <w:pPr>
              <w:jc w:val="left"/>
              <w:rPr>
                <w:noProof/>
              </w:rPr>
            </w:pPr>
            <w:r w:rsidRPr="003C6343">
              <w:rPr>
                <w:noProof/>
              </w:rPr>
              <w:t>2024. gada 14. februāris</w:t>
            </w:r>
          </w:p>
        </w:tc>
      </w:tr>
      <w:tr w:rsidR="007C0F5F" w:rsidRPr="003C6343" w:rsidTr="00FC48CE">
        <w:tc>
          <w:tcPr>
            <w:tcW w:w="6804" w:type="dxa"/>
          </w:tcPr>
          <w:p w:rsidR="007C0F5F" w:rsidRPr="003C6343" w:rsidRDefault="007C0F5F" w:rsidP="00FC48CE">
            <w:pPr>
              <w:rPr>
                <w:noProof/>
              </w:rPr>
            </w:pPr>
            <w:r w:rsidRPr="003C6343">
              <w:rPr>
                <w:noProof/>
              </w:rPr>
              <w:t>Eiropas Parlamenta nostājas datums (pirmais lasījums):</w:t>
            </w:r>
          </w:p>
        </w:tc>
        <w:tc>
          <w:tcPr>
            <w:tcW w:w="2483" w:type="dxa"/>
          </w:tcPr>
          <w:p w:rsidR="007C0F5F" w:rsidRPr="003C6343" w:rsidRDefault="00D079CC" w:rsidP="00FC48CE">
            <w:pPr>
              <w:jc w:val="left"/>
              <w:rPr>
                <w:noProof/>
              </w:rPr>
            </w:pPr>
            <w:r w:rsidRPr="003C6343">
              <w:rPr>
                <w:noProof/>
              </w:rPr>
              <w:t>2024. gada 23. aprīlis</w:t>
            </w:r>
          </w:p>
        </w:tc>
      </w:tr>
      <w:tr w:rsidR="007C0F5F" w:rsidRPr="003C6343" w:rsidTr="00FC48CE">
        <w:tc>
          <w:tcPr>
            <w:tcW w:w="6804" w:type="dxa"/>
          </w:tcPr>
          <w:p w:rsidR="007C0F5F" w:rsidRPr="003C6343" w:rsidRDefault="007C0F5F" w:rsidP="00FC48CE">
            <w:pPr>
              <w:rPr>
                <w:noProof/>
              </w:rPr>
            </w:pPr>
            <w:r w:rsidRPr="003C6343">
              <w:rPr>
                <w:noProof/>
              </w:rPr>
              <w:t>Grozītā priekšlikuma nosūtīšanas datums:</w:t>
            </w:r>
          </w:p>
        </w:tc>
        <w:tc>
          <w:tcPr>
            <w:tcW w:w="2483" w:type="dxa"/>
          </w:tcPr>
          <w:p w:rsidR="007C0F5F" w:rsidRPr="003C6343" w:rsidRDefault="00D079CC" w:rsidP="00FC48CE">
            <w:pPr>
              <w:jc w:val="left"/>
              <w:rPr>
                <w:noProof/>
              </w:rPr>
            </w:pPr>
            <w:r w:rsidRPr="003C6343">
              <w:rPr>
                <w:noProof/>
              </w:rPr>
              <w:t>Neattiecas</w:t>
            </w:r>
          </w:p>
        </w:tc>
      </w:tr>
      <w:tr w:rsidR="007C0F5F" w:rsidRPr="003C6343" w:rsidTr="00FC48CE">
        <w:tc>
          <w:tcPr>
            <w:tcW w:w="6804" w:type="dxa"/>
          </w:tcPr>
          <w:p w:rsidR="007C0F5F" w:rsidRPr="003C6343" w:rsidRDefault="007C0F5F" w:rsidP="00FC48CE">
            <w:pPr>
              <w:rPr>
                <w:noProof/>
              </w:rPr>
            </w:pPr>
            <w:r w:rsidRPr="003C6343">
              <w:rPr>
                <w:noProof/>
              </w:rPr>
              <w:t>Padomes nostājas pieņemšanas datums:</w:t>
            </w:r>
          </w:p>
        </w:tc>
        <w:tc>
          <w:tcPr>
            <w:tcW w:w="2483" w:type="dxa"/>
          </w:tcPr>
          <w:p w:rsidR="007C0F5F" w:rsidRPr="003C6343" w:rsidRDefault="00E34440" w:rsidP="00FC48CE">
            <w:pPr>
              <w:jc w:val="left"/>
              <w:rPr>
                <w:noProof/>
              </w:rPr>
            </w:pPr>
            <w:r w:rsidRPr="003C6343">
              <w:rPr>
                <w:noProof/>
              </w:rPr>
              <w:t>2025. gada 22. septembrī</w:t>
            </w:r>
          </w:p>
        </w:tc>
      </w:tr>
    </w:tbl>
    <w:p w:rsidR="007C0F5F" w:rsidRPr="003C6343" w:rsidRDefault="007C0F5F" w:rsidP="001704B9">
      <w:pPr>
        <w:pStyle w:val="ManualHeading1"/>
        <w:rPr>
          <w:noProof/>
        </w:rPr>
      </w:pPr>
      <w:r w:rsidRPr="003C6343">
        <w:rPr>
          <w:noProof/>
        </w:rPr>
        <w:t>2.</w:t>
      </w:r>
      <w:r w:rsidRPr="003C6343">
        <w:rPr>
          <w:noProof/>
        </w:rPr>
        <w:tab/>
        <w:t>Komisijas priekšlikuma mērķis</w:t>
      </w:r>
    </w:p>
    <w:p w:rsidR="0038220E" w:rsidRPr="003C6343" w:rsidRDefault="0038220E" w:rsidP="001704B9">
      <w:pPr>
        <w:rPr>
          <w:noProof/>
        </w:rPr>
      </w:pPr>
      <w:r w:rsidRPr="003C6343">
        <w:rPr>
          <w:noProof/>
        </w:rPr>
        <w:t>Priekšlikuma mērķis ir nodrošināt, ka ekonomikas dalībnieki un pārvadātāji, kas rīkojas ar plastmasas granulām, veic nepieciešamos piesardzības pasākumus, lai nepieļautu zudumus vidē, tādējādi palīdzot samazināt piesārņotību ar mikroplastmasu. Šajā nolūkā priekšlikumā ir noteiktas prasības attiecībā uz labāko apstrādes praksi, obligātu sertifikāciju un pašdeklarāciju un paredzēta saskaņotas metodika izstrāde zudumu aprēķināšanai.</w:t>
      </w:r>
    </w:p>
    <w:p w:rsidR="007C0F5F" w:rsidRPr="003C6343" w:rsidRDefault="007C0F5F" w:rsidP="001704B9">
      <w:pPr>
        <w:pStyle w:val="ManualHeading1"/>
        <w:rPr>
          <w:noProof/>
        </w:rPr>
      </w:pPr>
      <w:r w:rsidRPr="003C6343">
        <w:rPr>
          <w:noProof/>
        </w:rPr>
        <w:t>3.</w:t>
      </w:r>
      <w:r w:rsidRPr="003C6343">
        <w:rPr>
          <w:noProof/>
        </w:rPr>
        <w:tab/>
        <w:t>Komentāri par Padomes nostāju</w:t>
      </w:r>
    </w:p>
    <w:p w:rsidR="00A7188B" w:rsidRPr="003C6343" w:rsidRDefault="00A7188B" w:rsidP="00A7188B">
      <w:pPr>
        <w:pBdr>
          <w:top w:val="nil"/>
          <w:left w:val="nil"/>
          <w:bottom w:val="nil"/>
          <w:right w:val="nil"/>
          <w:between w:val="nil"/>
          <w:bar w:val="nil"/>
        </w:pBdr>
        <w:rPr>
          <w:rFonts w:eastAsia="Times New Roman"/>
          <w:b/>
          <w:bCs/>
          <w:noProof/>
          <w:szCs w:val="24"/>
          <w:bdr w:val="nil"/>
          <w14:ligatures w14:val="standardContextual"/>
        </w:rPr>
      </w:pPr>
    </w:p>
    <w:p w:rsidR="00A7188B" w:rsidRPr="003C6343" w:rsidRDefault="00A7188B" w:rsidP="00A7188B">
      <w:pPr>
        <w:widowControl w:val="0"/>
        <w:rPr>
          <w:noProof/>
        </w:rPr>
      </w:pPr>
      <w:r w:rsidRPr="003C6343">
        <w:rPr>
          <w:noProof/>
        </w:rPr>
        <w:t>Padomes nostāja, kas pieņemta pirmajā lasījumā, pilnībā atspoguļo starp Eiropas Parlamentu un Padomi trešdiena, 2025. gada 9. aprīlī panākto provizorisko politisko vienošanos. Komisija atbalsta šo vienošanos, kuras galvenie punkti ir izklāstīti turpmāk.</w:t>
      </w:r>
    </w:p>
    <w:p w:rsidR="00A7188B" w:rsidRPr="003C6343" w:rsidRDefault="00A7188B" w:rsidP="00A7188B">
      <w:pPr>
        <w:pBdr>
          <w:top w:val="nil"/>
          <w:left w:val="nil"/>
          <w:bottom w:val="nil"/>
          <w:right w:val="nil"/>
          <w:between w:val="nil"/>
          <w:bar w:val="nil"/>
        </w:pBdr>
        <w:rPr>
          <w:rFonts w:eastAsia="Times New Roman"/>
          <w:b/>
          <w:bCs/>
          <w:noProof/>
          <w:szCs w:val="24"/>
          <w:bdr w:val="nil"/>
          <w14:ligatures w14:val="standardContextual"/>
        </w:rPr>
      </w:pPr>
    </w:p>
    <w:p w:rsidR="00A7188B" w:rsidRPr="003C6343" w:rsidRDefault="00A7188B" w:rsidP="0002189D">
      <w:pPr>
        <w:pStyle w:val="Bullet0"/>
        <w:numPr>
          <w:ilvl w:val="0"/>
          <w:numId w:val="13"/>
        </w:numPr>
        <w:rPr>
          <w:noProof/>
          <w:bdr w:val="nil"/>
        </w:rPr>
      </w:pPr>
      <w:r w:rsidRPr="003C6343">
        <w:rPr>
          <w:b/>
          <w:noProof/>
          <w:bdr w:val="nil"/>
        </w:rPr>
        <w:t xml:space="preserve">Vēlamais mērķis — nekādi plastmasas granulu zudumi. </w:t>
      </w:r>
      <w:r w:rsidRPr="003C6343">
        <w:rPr>
          <w:noProof/>
          <w:bdr w:val="nil"/>
        </w:rPr>
        <w:t xml:space="preserve">Likumdevēji ir vienojušies gan 1. panta 1. punktā, gan 13. apsvērumā iekļaut atsauci uz mērķi panākt, ka plastmasas granulu zudumi ir nulle, jo formulējums skaidri atspoguļo tā vēlamo raksturu. </w:t>
      </w:r>
    </w:p>
    <w:p w:rsidR="00A7188B" w:rsidRPr="003C6343" w:rsidRDefault="00A7188B" w:rsidP="00280030">
      <w:pPr>
        <w:pStyle w:val="Bullet0"/>
        <w:numPr>
          <w:ilvl w:val="0"/>
          <w:numId w:val="5"/>
        </w:numPr>
        <w:rPr>
          <w:noProof/>
          <w:bdr w:val="nil"/>
        </w:rPr>
      </w:pPr>
      <w:bookmarkStart w:id="1" w:name="_Hlk191986698"/>
      <w:r w:rsidRPr="003C6343">
        <w:rPr>
          <w:b/>
          <w:noProof/>
          <w:bdr w:val="nil"/>
        </w:rPr>
        <w:t>To mazo uzņēmumu sertifikācija, kuri veic darbības, kas pārsniedz noteiktu robežvērtību.</w:t>
      </w:r>
      <w:bookmarkEnd w:id="1"/>
      <w:r w:rsidRPr="003C6343">
        <w:rPr>
          <w:b/>
          <w:noProof/>
          <w:bdr w:val="nil"/>
        </w:rPr>
        <w:t xml:space="preserve"> </w:t>
      </w:r>
      <w:r w:rsidRPr="003C6343">
        <w:rPr>
          <w:noProof/>
          <w:bdr w:val="nil"/>
        </w:rPr>
        <w:t>Likumdevēji panāca vienošanos, kas pamatojas tikai uz vienreizēju sertifikāciju 60 mēnešus pēc regulas stāšanās spēkā, bez pienākuma to atjaunot. Turklāt tie vienojās palielināt granulu daudzuma robežvērtību, ar ko uzņēmumi gadā rīkojas, no sākotnēji ierosinātajām 1000 tonnām līdz 1500 tonnām. Kopā šie divi noteikumi joprojām nodrošinās vieglāku režīmu mazajiem uzņēmumiem un samazinās to uzņēmumu skaitu, kuri jāsertificē trešām personām.</w:t>
      </w:r>
    </w:p>
    <w:p w:rsidR="000426F2" w:rsidRPr="003C6343" w:rsidRDefault="00760837" w:rsidP="00280030">
      <w:pPr>
        <w:pStyle w:val="Bullet0"/>
        <w:numPr>
          <w:ilvl w:val="0"/>
          <w:numId w:val="6"/>
        </w:numPr>
        <w:rPr>
          <w:noProof/>
          <w:bdr w:val="nil"/>
        </w:rPr>
      </w:pPr>
      <w:r w:rsidRPr="003C6343">
        <w:rPr>
          <w:b/>
          <w:noProof/>
          <w:bdr w:val="nil"/>
        </w:rPr>
        <w:t>Pienākumi attiecībā uz plastmasas granulu pārvadāšanu pa jūru.</w:t>
      </w:r>
      <w:r w:rsidRPr="003C6343">
        <w:rPr>
          <w:noProof/>
          <w:bdr w:val="nil"/>
        </w:rPr>
        <w:t xml:space="preserve"> Likumdevēji ir vienojušies ieviest noteikumus, kas uzliek pienākumus dalībniekiem, kuri iesaistīti granulu pārvadāšanā pa jūru kravas konteineros. Šo noteikumu pamatā lielā mērā ir ieteikumi, ko šajā pašā jomā 2024. gadā apstiprināja Starptautiskās Jūrniecības organizācijas Jūras vides aizsardzības, un to mērķis ir padarīt minētos ieteikumus juridiski saistošus Savienībā.  </w:t>
      </w:r>
    </w:p>
    <w:p w:rsidR="00A7188B" w:rsidRPr="003C6343" w:rsidRDefault="00A7188B" w:rsidP="00280030">
      <w:pPr>
        <w:pStyle w:val="Bullet0"/>
        <w:numPr>
          <w:ilvl w:val="0"/>
          <w:numId w:val="7"/>
        </w:numPr>
        <w:rPr>
          <w:noProof/>
          <w:bdr w:val="nil"/>
        </w:rPr>
      </w:pPr>
      <w:r w:rsidRPr="003C6343">
        <w:rPr>
          <w:b/>
          <w:noProof/>
          <w:bdr w:val="nil"/>
        </w:rPr>
        <w:t xml:space="preserve">Dalībvalstu palīdzība ieinteresētajām personām. </w:t>
      </w:r>
      <w:r w:rsidRPr="003C6343">
        <w:rPr>
          <w:noProof/>
          <w:bdr w:val="nil"/>
        </w:rPr>
        <w:t xml:space="preserve">Likumdevēji ir vienojušies pievērst lielāku uzmanību mazākiem un vidējiem uzņēmumiem (MVU), punktā par dalībvalstu finansiālo atbalstu pievienojot atsauci uz “mazo uzņēmumu sertifikāciju”. </w:t>
      </w:r>
    </w:p>
    <w:p w:rsidR="00A7188B" w:rsidRPr="003C6343" w:rsidRDefault="00A7188B" w:rsidP="00280030">
      <w:pPr>
        <w:pStyle w:val="Bullet0"/>
        <w:numPr>
          <w:ilvl w:val="0"/>
          <w:numId w:val="8"/>
        </w:numPr>
        <w:rPr>
          <w:noProof/>
        </w:rPr>
      </w:pPr>
      <w:r w:rsidRPr="003C6343">
        <w:rPr>
          <w:b/>
          <w:noProof/>
          <w:bdr w:val="nil"/>
        </w:rPr>
        <w:t xml:space="preserve">Informācijas sniegšana piktogrammas veidā. </w:t>
      </w:r>
      <w:r w:rsidRPr="003C6343">
        <w:rPr>
          <w:noProof/>
          <w:bdr w:val="nil"/>
        </w:rPr>
        <w:t>Likumdevēji</w:t>
      </w:r>
      <w:r w:rsidRPr="003C6343">
        <w:rPr>
          <w:noProof/>
        </w:rPr>
        <w:t xml:space="preserve"> ir vienojušies ieviest pienākumu ražotājiem, importētājiem, pakārtotiem lietotājiem un izplatītājiem, kas laiž tirgū plastmasas granulas, sniegt informāciju piktogrammas un paziņojuma veidā. Saskaņotajā tekstā ir precizēts, ka šā pienākuma adresāti var to izpildīt, sniedzot Regulas (EK) Nr. 1907/2006 (</w:t>
      </w:r>
      <w:r w:rsidRPr="003C6343">
        <w:rPr>
          <w:i/>
          <w:noProof/>
        </w:rPr>
        <w:t>REACH</w:t>
      </w:r>
      <w:r w:rsidRPr="003C6343">
        <w:rPr>
          <w:noProof/>
        </w:rPr>
        <w:t xml:space="preserve"> regula) XVII pielikuma 78. ierakstā prasīto informāciju.</w:t>
      </w:r>
    </w:p>
    <w:p w:rsidR="00A7188B" w:rsidRPr="003C6343" w:rsidRDefault="00A7188B" w:rsidP="00280030">
      <w:pPr>
        <w:pStyle w:val="Bullet0"/>
        <w:numPr>
          <w:ilvl w:val="0"/>
          <w:numId w:val="9"/>
        </w:numPr>
        <w:rPr>
          <w:noProof/>
          <w:bdr w:val="nil"/>
        </w:rPr>
      </w:pPr>
      <w:bookmarkStart w:id="2" w:name="_Hlk195548554"/>
      <w:bookmarkStart w:id="3" w:name="_Hlk191986720"/>
      <w:r w:rsidRPr="003C6343">
        <w:rPr>
          <w:noProof/>
          <w:bdr w:val="nil"/>
        </w:rPr>
        <w:t>Iespēja dalībvalstīm izmantot atļaujas un vidiskās pārvaldības sistēmas (VPS), nevis pašdeklarāciju vai sertifikāciju</w:t>
      </w:r>
      <w:bookmarkEnd w:id="2"/>
      <w:r w:rsidRPr="003C6343">
        <w:rPr>
          <w:noProof/>
          <w:bdr w:val="nil"/>
        </w:rPr>
        <w:t xml:space="preserve"> Likumdevēji saskaņā ar Padomes pilnvarojumu ir vienojušies iekļaut noteikumus, kas ļauj dalībvalstīm pašdeklarācijas, sertifikācijas vai </w:t>
      </w:r>
      <w:r w:rsidRPr="003C6343">
        <w:rPr>
          <w:i/>
          <w:noProof/>
          <w:bdr w:val="nil"/>
        </w:rPr>
        <w:t>EMAS</w:t>
      </w:r>
      <w:r w:rsidRPr="003C6343">
        <w:rPr>
          <w:noProof/>
          <w:bdr w:val="nil"/>
        </w:rPr>
        <w:t xml:space="preserve"> vietā izmantot atļaujas un verificētas vidiskās pārvaldības sistēmas (VPS), kas ir vērtīgs vienkāršošanas piemērs, vienlaikus ļaujot sasniegt tādu pašu atbilstības līmeni. </w:t>
      </w:r>
    </w:p>
    <w:p w:rsidR="00A7188B" w:rsidRPr="003C6343" w:rsidRDefault="00A7188B" w:rsidP="00280030">
      <w:pPr>
        <w:pStyle w:val="Bullet0"/>
        <w:numPr>
          <w:ilvl w:val="0"/>
          <w:numId w:val="10"/>
        </w:numPr>
        <w:rPr>
          <w:noProof/>
          <w:bdr w:val="nil"/>
        </w:rPr>
      </w:pPr>
      <w:r w:rsidRPr="003C6343">
        <w:rPr>
          <w:b/>
          <w:noProof/>
          <w:bdr w:val="nil"/>
        </w:rPr>
        <w:t xml:space="preserve">Incidenti un avārijas. </w:t>
      </w:r>
      <w:r w:rsidRPr="003C6343">
        <w:rPr>
          <w:noProof/>
          <w:bdr w:val="nil"/>
        </w:rPr>
        <w:t xml:space="preserve">Likumdevēji ir vienojušies 9. panta 1. punktā iekļaut papildu noteikumus par to, ka i) attiecīgā gadījumā nekavējoties jāinformē neatliekamās palīdzības dienesti; ii) nekavējoties jāveic visi iespējamie pasākumi kaitējuma ierobežošanai un iii) ne vēlāk kā 30 dienas pēc notikuma jāsniedz informācija par aplēstajiem zudumu daudzumiem, zuduma cēloņiem un veiktajiem pasākumiem. </w:t>
      </w:r>
    </w:p>
    <w:bookmarkEnd w:id="3"/>
    <w:p w:rsidR="00A7188B" w:rsidRPr="003C6343" w:rsidRDefault="00A7188B" w:rsidP="00280030">
      <w:pPr>
        <w:pStyle w:val="Bullet0"/>
        <w:numPr>
          <w:ilvl w:val="0"/>
          <w:numId w:val="11"/>
        </w:numPr>
        <w:rPr>
          <w:noProof/>
          <w:bdr w:val="nil"/>
        </w:rPr>
      </w:pPr>
      <w:r w:rsidRPr="003C6343">
        <w:rPr>
          <w:b/>
          <w:noProof/>
          <w:bdr w:val="nil"/>
        </w:rPr>
        <w:t xml:space="preserve">Pārvadātāju pienākumi. </w:t>
      </w:r>
      <w:r w:rsidRPr="003C6343">
        <w:rPr>
          <w:noProof/>
          <w:bdr w:val="nil"/>
        </w:rPr>
        <w:t>Likumdevēji ir vienojušies arī uz trešo valstu pārvadātājiem attiecināt pienākumus, kas sākotnēji tika ierosināti tikai attiecībā uz ES pārvadātājiem, proti, personāla apmācība un uzskaites veikšana par aplēstajiem zudumu daudzumiem un plastmasas granulu kopējais daudzums, ar kurām veiktas darbības. Attiecīgi tie ir vienojušies ieviest papildu pienākumu trešo valstu pārvadātājiem iecelt pilnvarotu pārstāvi, lai nodrošinātu regulas efektīvu izpildi, un svītrot pienākumu veikt uzskaiti par darbībām, kas veiktas attiecībā uz visiem pārvadātājiem.</w:t>
      </w:r>
    </w:p>
    <w:p w:rsidR="00A7188B" w:rsidRPr="003C6343" w:rsidRDefault="00A7188B" w:rsidP="00280030">
      <w:pPr>
        <w:pStyle w:val="Bullet0"/>
        <w:numPr>
          <w:ilvl w:val="0"/>
          <w:numId w:val="12"/>
        </w:numPr>
        <w:rPr>
          <w:noProof/>
          <w:bdr w:val="nil"/>
        </w:rPr>
      </w:pPr>
      <w:r w:rsidRPr="003C6343">
        <w:rPr>
          <w:b/>
          <w:noProof/>
          <w:bdr w:val="nil"/>
        </w:rPr>
        <w:t xml:space="preserve">Piemērošanas sākuma datumi. </w:t>
      </w:r>
      <w:r w:rsidRPr="003C6343">
        <w:rPr>
          <w:noProof/>
          <w:bdr w:val="nil"/>
        </w:rPr>
        <w:t>Likumdevēji ir vienojušies, ka lielākajai daļai regulas noteikumu jākļūst piemērojamiem 24 mēnešu laikposmā pēc tās stāšanās spēkā, kā arī par pagarinātu 36 mēnešu laikposmu noteikumiem, kas saistīti ar plastmasas granulu pārvadāšanu pa jūru.</w:t>
      </w:r>
    </w:p>
    <w:p w:rsidR="007C0F5F" w:rsidRPr="003C6343" w:rsidRDefault="007C0F5F" w:rsidP="001704B9">
      <w:pPr>
        <w:pStyle w:val="ManualHeading1"/>
        <w:rPr>
          <w:noProof/>
        </w:rPr>
      </w:pPr>
      <w:r w:rsidRPr="003C6343">
        <w:rPr>
          <w:noProof/>
        </w:rPr>
        <w:t>4.</w:t>
      </w:r>
      <w:r w:rsidRPr="003C6343">
        <w:rPr>
          <w:noProof/>
        </w:rPr>
        <w:tab/>
        <w:t>Secinājums</w:t>
      </w:r>
    </w:p>
    <w:p w:rsidR="00F55EDE" w:rsidRPr="003C6343" w:rsidRDefault="00F55EDE" w:rsidP="00F55EDE">
      <w:pPr>
        <w:rPr>
          <w:noProof/>
        </w:rPr>
      </w:pPr>
      <w:r w:rsidRPr="003C6343">
        <w:rPr>
          <w:noProof/>
        </w:rPr>
        <w:t>Komisija atbalsta iestāžu sarunu rezultātus un līdz ar to var akceptēt Padomes nostāju pirmajā lasījumā.</w:t>
      </w:r>
    </w:p>
    <w:p w:rsidR="003550BD" w:rsidRDefault="003550BD" w:rsidP="00F55EDE">
      <w:pPr>
        <w:rPr>
          <w:noProof/>
        </w:rPr>
      </w:pPr>
    </w:p>
    <w:p w:rsidR="007C0F5F" w:rsidRPr="003C6343" w:rsidRDefault="007C0F5F" w:rsidP="00F55EDE">
      <w:pPr>
        <w:rPr>
          <w:noProof/>
        </w:rPr>
      </w:pPr>
    </w:p>
    <w:sectPr w:rsidR="007C0F5F" w:rsidRPr="003C6343" w:rsidSect="00625380">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784F" w:rsidRDefault="00E4784F" w:rsidP="007C0F5F">
      <w:pPr>
        <w:spacing w:before="0" w:after="0"/>
      </w:pPr>
      <w:r>
        <w:separator/>
      </w:r>
    </w:p>
  </w:endnote>
  <w:endnote w:type="continuationSeparator" w:id="0">
    <w:p w:rsidR="00E4784F" w:rsidRDefault="00E4784F" w:rsidP="007C0F5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380" w:rsidRPr="00625380" w:rsidRDefault="00625380" w:rsidP="00625380">
    <w:pPr>
      <w:pStyle w:val="Footer"/>
      <w:rPr>
        <w:rFonts w:ascii="Arial" w:hAnsi="Arial" w:cs="Arial"/>
        <w:b/>
        <w:sz w:val="48"/>
      </w:rPr>
    </w:pPr>
    <w:r w:rsidRPr="00625380">
      <w:rPr>
        <w:rFonts w:ascii="Arial" w:hAnsi="Arial" w:cs="Arial"/>
        <w:b/>
        <w:sz w:val="48"/>
      </w:rPr>
      <w:t>LV</w:t>
    </w:r>
    <w:r w:rsidRPr="00625380">
      <w:rPr>
        <w:rFonts w:ascii="Arial" w:hAnsi="Arial" w:cs="Arial"/>
        <w:b/>
        <w:sz w:val="48"/>
      </w:rPr>
      <w:tab/>
    </w:r>
    <w:r w:rsidRPr="00625380">
      <w:rPr>
        <w:rFonts w:ascii="Arial" w:hAnsi="Arial" w:cs="Arial"/>
        <w:b/>
        <w:sz w:val="48"/>
      </w:rPr>
      <w:tab/>
    </w:r>
    <w:r w:rsidRPr="00625380">
      <w:tab/>
    </w:r>
    <w:r w:rsidRPr="00625380">
      <w:rPr>
        <w:rFonts w:ascii="Arial" w:hAnsi="Arial" w:cs="Arial"/>
        <w:b/>
        <w:sz w:val="48"/>
      </w:rPr>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380" w:rsidRPr="00625380" w:rsidRDefault="00625380" w:rsidP="00625380">
    <w:pPr>
      <w:pStyle w:val="Footer"/>
      <w:rPr>
        <w:rFonts w:ascii="Arial" w:hAnsi="Arial" w:cs="Arial"/>
        <w:b/>
        <w:sz w:val="48"/>
      </w:rPr>
    </w:pPr>
    <w:r w:rsidRPr="00625380">
      <w:rPr>
        <w:rFonts w:ascii="Arial" w:hAnsi="Arial" w:cs="Arial"/>
        <w:b/>
        <w:sz w:val="48"/>
      </w:rPr>
      <w:t>LV</w:t>
    </w:r>
    <w:r w:rsidRPr="00625380">
      <w:rPr>
        <w:rFonts w:ascii="Arial" w:hAnsi="Arial" w:cs="Arial"/>
        <w:b/>
        <w:sz w:val="48"/>
      </w:rPr>
      <w:tab/>
    </w:r>
    <w:r w:rsidRPr="00625380">
      <w:rPr>
        <w:rFonts w:ascii="Arial" w:hAnsi="Arial" w:cs="Arial"/>
        <w:b/>
        <w:sz w:val="48"/>
      </w:rPr>
      <w:tab/>
    </w:r>
    <w:r w:rsidRPr="00625380">
      <w:tab/>
    </w:r>
    <w:r w:rsidRPr="00625380">
      <w:rPr>
        <w:rFonts w:ascii="Arial" w:hAnsi="Arial" w:cs="Arial"/>
        <w:b/>
        <w:sz w:val="48"/>
      </w:rPr>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380" w:rsidRPr="00625380" w:rsidRDefault="00625380" w:rsidP="006253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380" w:rsidRDefault="0062538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380" w:rsidRPr="00625380" w:rsidRDefault="00625380" w:rsidP="00625380">
    <w:pPr>
      <w:pStyle w:val="Footer"/>
      <w:rPr>
        <w:rFonts w:ascii="Arial" w:hAnsi="Arial" w:cs="Arial"/>
        <w:b/>
        <w:sz w:val="48"/>
      </w:rPr>
    </w:pPr>
    <w:r w:rsidRPr="00625380">
      <w:rPr>
        <w:rFonts w:ascii="Arial" w:hAnsi="Arial" w:cs="Arial"/>
        <w:b/>
        <w:sz w:val="48"/>
      </w:rPr>
      <w:t>LV</w:t>
    </w:r>
    <w:r w:rsidRPr="00625380">
      <w:rPr>
        <w:rFonts w:ascii="Arial" w:hAnsi="Arial" w:cs="Arial"/>
        <w:b/>
        <w:sz w:val="48"/>
      </w:rPr>
      <w:tab/>
    </w:r>
    <w:r>
      <w:fldChar w:fldCharType="begin"/>
    </w:r>
    <w:r>
      <w:instrText xml:space="preserve"> PAGE  \* MERGEFORMAT </w:instrText>
    </w:r>
    <w:r>
      <w:fldChar w:fldCharType="separate"/>
    </w:r>
    <w:r w:rsidR="003550BD">
      <w:rPr>
        <w:noProof/>
      </w:rPr>
      <w:t>3</w:t>
    </w:r>
    <w:r>
      <w:fldChar w:fldCharType="end"/>
    </w:r>
    <w:r>
      <w:tab/>
    </w:r>
    <w:r w:rsidRPr="00625380">
      <w:tab/>
    </w:r>
    <w:r w:rsidRPr="00625380">
      <w:rPr>
        <w:rFonts w:ascii="Arial" w:hAnsi="Arial" w:cs="Arial"/>
        <w:b/>
        <w:sz w:val="48"/>
      </w:rPr>
      <w:t>LV</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380" w:rsidRDefault="00625380" w:rsidP="00625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784F" w:rsidRDefault="00E4784F" w:rsidP="007C0F5F">
      <w:pPr>
        <w:spacing w:before="0" w:after="0"/>
      </w:pPr>
      <w:r>
        <w:separator/>
      </w:r>
    </w:p>
  </w:footnote>
  <w:footnote w:type="continuationSeparator" w:id="0">
    <w:p w:rsidR="00E4784F" w:rsidRDefault="00E4784F" w:rsidP="007C0F5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380" w:rsidRPr="00625380" w:rsidRDefault="00625380" w:rsidP="006253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380" w:rsidRPr="00625380" w:rsidRDefault="00625380" w:rsidP="006253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380" w:rsidRPr="00625380" w:rsidRDefault="00625380" w:rsidP="006253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380" w:rsidRDefault="006253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380" w:rsidRDefault="006253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7B68C9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EBACFC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E9C39A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F96F88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1"/>
    <w:lvlOverride w:ilvl="0">
      <w:startOverride w:val="1"/>
    </w:lvlOverride>
  </w:num>
  <w:num w:numId="6">
    <w:abstractNumId w:val="11"/>
    <w:lvlOverride w:ilvl="0">
      <w:startOverride w:val="1"/>
    </w:lvlOverride>
  </w:num>
  <w:num w:numId="7">
    <w:abstractNumId w:val="11"/>
    <w:lvlOverride w:ilvl="0">
      <w:startOverride w:val="1"/>
    </w:lvlOverride>
  </w:num>
  <w:num w:numId="8">
    <w:abstractNumId w:val="11"/>
    <w:lvlOverride w:ilvl="0">
      <w:startOverride w:val="1"/>
    </w:lvlOverride>
  </w:num>
  <w:num w:numId="9">
    <w:abstractNumId w:val="11"/>
    <w:lvlOverride w:ilvl="0">
      <w:startOverride w:val="1"/>
    </w:lvlOverride>
  </w:num>
  <w:num w:numId="10">
    <w:abstractNumId w:val="11"/>
    <w:lvlOverride w:ilvl="0">
      <w:startOverride w:val="1"/>
    </w:lvlOverride>
  </w:num>
  <w:num w:numId="11">
    <w:abstractNumId w:val="11"/>
    <w:lvlOverride w:ilvl="0">
      <w:startOverride w:val="1"/>
    </w:lvlOverride>
  </w:num>
  <w:num w:numId="12">
    <w:abstractNumId w:val="11"/>
    <w:lvlOverride w:ilvl="0">
      <w:startOverride w:val="1"/>
    </w:lvlOverride>
  </w:num>
  <w:num w:numId="13">
    <w:abstractNumId w:val="11"/>
    <w:lvlOverride w:ilvl="0">
      <w:startOverride w:val="1"/>
    </w:lvlOverride>
  </w:num>
  <w:num w:numId="14">
    <w:abstractNumId w:val="15"/>
  </w:num>
  <w:num w:numId="15">
    <w:abstractNumId w:val="8"/>
  </w:num>
  <w:num w:numId="16">
    <w:abstractNumId w:val="17"/>
  </w:num>
  <w:num w:numId="17">
    <w:abstractNumId w:val="7"/>
  </w:num>
  <w:num w:numId="18">
    <w:abstractNumId w:val="9"/>
  </w:num>
  <w:num w:numId="19">
    <w:abstractNumId w:val="10"/>
  </w:num>
  <w:num w:numId="20">
    <w:abstractNumId w:val="5"/>
  </w:num>
  <w:num w:numId="21">
    <w:abstractNumId w:val="16"/>
  </w:num>
  <w:num w:numId="22">
    <w:abstractNumId w:val="4"/>
  </w:num>
  <w:num w:numId="23">
    <w:abstractNumId w:val="11"/>
  </w:num>
  <w:num w:numId="24">
    <w:abstractNumId w:val="13"/>
  </w:num>
  <w:num w:numId="25">
    <w:abstractNumId w:val="14"/>
  </w:num>
  <w:num w:numId="26">
    <w:abstractNumId w:val="6"/>
  </w:num>
  <w:num w:numId="27">
    <w:abstractNumId w:val="12"/>
  </w:num>
  <w:num w:numId="28">
    <w:abstractNumId w:val="18"/>
  </w:num>
  <w:num w:numId="29">
    <w:abstractNumId w:val="15"/>
  </w:num>
  <w:num w:numId="30">
    <w:abstractNumId w:val="8"/>
  </w:num>
  <w:num w:numId="31">
    <w:abstractNumId w:val="17"/>
  </w:num>
  <w:num w:numId="32">
    <w:abstractNumId w:val="7"/>
  </w:num>
  <w:num w:numId="33">
    <w:abstractNumId w:val="9"/>
  </w:num>
  <w:num w:numId="34">
    <w:abstractNumId w:val="10"/>
  </w:num>
  <w:num w:numId="35">
    <w:abstractNumId w:val="5"/>
  </w:num>
  <w:num w:numId="36">
    <w:abstractNumId w:val="16"/>
  </w:num>
  <w:num w:numId="37">
    <w:abstractNumId w:val="4"/>
  </w:num>
  <w:num w:numId="38">
    <w:abstractNumId w:val="11"/>
  </w:num>
  <w:num w:numId="39">
    <w:abstractNumId w:val="13"/>
  </w:num>
  <w:num w:numId="40">
    <w:abstractNumId w:val="14"/>
  </w:num>
  <w:num w:numId="41">
    <w:abstractNumId w:val="6"/>
  </w:num>
  <w:num w:numId="42">
    <w:abstractNumId w:val="12"/>
  </w:num>
  <w:num w:numId="43">
    <w:abstractNumId w:val="1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5-09-22 12:29: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60520B3-1481-49F0-AFB6-126E3EA264B0"/>
    <w:docVar w:name="LW_COVERPAGE_TYPE" w:val="1"/>
    <w:docVar w:name="LW_CreatedUtc" w:val="2025-06-30T12:21:49.8238628Z"/>
    <w:docVar w:name="LW_CROSSREFERENCE" w:val="&lt;UNUSED&gt;"/>
    <w:docVar w:name="LW_DocType" w:val="COM"/>
    <w:docVar w:name="LW_EMISSION" w:val="23.9.2025"/>
    <w:docVar w:name="LW_EMISSION_ISODATE" w:val="2025-09-23"/>
    <w:docVar w:name="LW_EMISSION_LOCATION" w:val="BRX"/>
    <w:docVar w:name="LW_EMISSION_PREFIX" w:val="Brisel\u275?, "/>
    <w:docVar w:name="LW_EMISSION_SUFFIX" w:val="."/>
    <w:docVar w:name="LW_ID_DOCMODEL" w:val="SJ-028"/>
    <w:docVar w:name="LW_ID_DOCSTRUCTURE" w:val="COM/PL/CODEC"/>
    <w:docVar w:name="LW_ID_DOCTYPE" w:val="SJ-028"/>
    <w:docVar w:name="LW_INTERETEEE.CP" w:val="&lt;UNUSED&gt;"/>
    <w:docVar w:name="LW_LANGUE" w:val="LV"/>
    <w:docVar w:name="LW_LEVEL_OF_SENSITIVITY" w:val="Standard treatment"/>
    <w:docVar w:name="LW_NOM.INST" w:val="EIROPAS KOMISIJA"/>
    <w:docVar w:name="LW_NOM.INST_JOINTDOC" w:val="&lt;EMPTY&gt;"/>
    <w:docVar w:name="LW_PART_NBR" w:val="1"/>
    <w:docVar w:name="LW_PART_NBR_TOTAL" w:val="1"/>
    <w:docVar w:name="LW_REF.II.NEW.CP" w:val="COD"/>
    <w:docVar w:name="LW_REF.II.NEW.CP_NUMBER" w:val="0373"/>
    <w:docVar w:name="LW_REF.II.NEW.CP_YEAR" w:val="2023"/>
    <w:docVar w:name="LW_REF.INST.NEW" w:val="COM"/>
    <w:docVar w:name="LW_REF.INST.NEW_ADOPTED" w:val="final"/>
    <w:docVar w:name="LW_REF.INST.NEW_TEXT" w:val="(2025) 56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adomes nost\u257?ju attiec\u299?b\u257? uz Eiropas Parlamenta un Padomes regulas pie\u326?em\u353?anu par plastmasas granulu zudumu nov\u275?r\u353?anu nol\u363?k\u257? samazin\u257?t pies\u257?r\u326?ot\u299?bu ar mikroplastmasu"/>
    <w:docVar w:name="LW_TYPE.DOC.CP" w:val="KOMISIJAS PAZI\u325?OJUMS EIROPAS PARLAMENTAM,_x000b__x000b_ko izstr\u257?d\u257? atbilst\u299?gi L\u299?guma par Eiropas Savien\u299?bas darb\u299?bu 294. panta 6. punktam,_x000b__x000b_par"/>
    <w:docVar w:name="LwApiVersions" w:val="LW4CoDe 1.24.5.0; LW 9.0, Build 20240221"/>
  </w:docVars>
  <w:rsids>
    <w:rsidRoot w:val="007C0F5F"/>
    <w:rsid w:val="00005F41"/>
    <w:rsid w:val="0002189D"/>
    <w:rsid w:val="000426F2"/>
    <w:rsid w:val="00076D5B"/>
    <w:rsid w:val="0008150D"/>
    <w:rsid w:val="00082BEA"/>
    <w:rsid w:val="00104B70"/>
    <w:rsid w:val="00105C61"/>
    <w:rsid w:val="001065F5"/>
    <w:rsid w:val="001238EF"/>
    <w:rsid w:val="0014095B"/>
    <w:rsid w:val="001929B5"/>
    <w:rsid w:val="00197613"/>
    <w:rsid w:val="00223F39"/>
    <w:rsid w:val="00233DC7"/>
    <w:rsid w:val="00247779"/>
    <w:rsid w:val="00272D3F"/>
    <w:rsid w:val="00280030"/>
    <w:rsid w:val="00285BEE"/>
    <w:rsid w:val="00291E09"/>
    <w:rsid w:val="0029533F"/>
    <w:rsid w:val="002B30AF"/>
    <w:rsid w:val="002C2304"/>
    <w:rsid w:val="002D5B06"/>
    <w:rsid w:val="00322BA8"/>
    <w:rsid w:val="0033344A"/>
    <w:rsid w:val="00352055"/>
    <w:rsid w:val="003550BD"/>
    <w:rsid w:val="00363065"/>
    <w:rsid w:val="0038220E"/>
    <w:rsid w:val="003B7CF5"/>
    <w:rsid w:val="003C6343"/>
    <w:rsid w:val="003D6019"/>
    <w:rsid w:val="003E7EF0"/>
    <w:rsid w:val="003F3C39"/>
    <w:rsid w:val="00412BE3"/>
    <w:rsid w:val="004140D8"/>
    <w:rsid w:val="004250AA"/>
    <w:rsid w:val="0042648E"/>
    <w:rsid w:val="004936D2"/>
    <w:rsid w:val="005B1EB6"/>
    <w:rsid w:val="005D03BB"/>
    <w:rsid w:val="005F340D"/>
    <w:rsid w:val="005F57C7"/>
    <w:rsid w:val="006026DC"/>
    <w:rsid w:val="00625380"/>
    <w:rsid w:val="006372CA"/>
    <w:rsid w:val="00696BA1"/>
    <w:rsid w:val="006C1896"/>
    <w:rsid w:val="006C6889"/>
    <w:rsid w:val="006D291F"/>
    <w:rsid w:val="006D2DDE"/>
    <w:rsid w:val="007111F7"/>
    <w:rsid w:val="007517D0"/>
    <w:rsid w:val="00760837"/>
    <w:rsid w:val="007613CF"/>
    <w:rsid w:val="00773331"/>
    <w:rsid w:val="00773E31"/>
    <w:rsid w:val="00791010"/>
    <w:rsid w:val="007932EF"/>
    <w:rsid w:val="007A77BC"/>
    <w:rsid w:val="007C0F5F"/>
    <w:rsid w:val="007C67FF"/>
    <w:rsid w:val="007E05B0"/>
    <w:rsid w:val="007F3FEB"/>
    <w:rsid w:val="007F7335"/>
    <w:rsid w:val="00806D4A"/>
    <w:rsid w:val="00815AF2"/>
    <w:rsid w:val="0081698A"/>
    <w:rsid w:val="00821E12"/>
    <w:rsid w:val="0083460F"/>
    <w:rsid w:val="00870CE8"/>
    <w:rsid w:val="00874D22"/>
    <w:rsid w:val="008A2914"/>
    <w:rsid w:val="008C6238"/>
    <w:rsid w:val="008E4D8E"/>
    <w:rsid w:val="009637B6"/>
    <w:rsid w:val="009A1E21"/>
    <w:rsid w:val="009B2575"/>
    <w:rsid w:val="009B2C49"/>
    <w:rsid w:val="009B4145"/>
    <w:rsid w:val="009B5745"/>
    <w:rsid w:val="00A42CB3"/>
    <w:rsid w:val="00A57258"/>
    <w:rsid w:val="00A57CB8"/>
    <w:rsid w:val="00A60B1A"/>
    <w:rsid w:val="00A7188B"/>
    <w:rsid w:val="00A75BEA"/>
    <w:rsid w:val="00AA5341"/>
    <w:rsid w:val="00AC3B06"/>
    <w:rsid w:val="00AE5202"/>
    <w:rsid w:val="00AF531C"/>
    <w:rsid w:val="00B114E3"/>
    <w:rsid w:val="00BA28E4"/>
    <w:rsid w:val="00BB4BCE"/>
    <w:rsid w:val="00BD0B99"/>
    <w:rsid w:val="00BD324F"/>
    <w:rsid w:val="00BF1AF2"/>
    <w:rsid w:val="00C12301"/>
    <w:rsid w:val="00C631E7"/>
    <w:rsid w:val="00C67B17"/>
    <w:rsid w:val="00C67CB1"/>
    <w:rsid w:val="00C76271"/>
    <w:rsid w:val="00CA5695"/>
    <w:rsid w:val="00CF02B9"/>
    <w:rsid w:val="00D079CC"/>
    <w:rsid w:val="00D20381"/>
    <w:rsid w:val="00D65A08"/>
    <w:rsid w:val="00E0317A"/>
    <w:rsid w:val="00E05C58"/>
    <w:rsid w:val="00E34440"/>
    <w:rsid w:val="00E4784F"/>
    <w:rsid w:val="00EA359A"/>
    <w:rsid w:val="00ED520A"/>
    <w:rsid w:val="00EE2A4B"/>
    <w:rsid w:val="00F55EDE"/>
    <w:rsid w:val="00F92011"/>
    <w:rsid w:val="00FC38F8"/>
    <w:rsid w:val="00FD3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5:docId w15:val="{63E9FDC5-4926-4F6E-B686-A3BC8CFE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lv-LV"/>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83460F"/>
    <w:pPr>
      <w:numPr>
        <w:numId w:val="1"/>
      </w:numPr>
      <w:contextualSpacing/>
    </w:pPr>
  </w:style>
  <w:style w:type="paragraph" w:styleId="ListBullet2">
    <w:name w:val="List Bullet 2"/>
    <w:basedOn w:val="Normal"/>
    <w:uiPriority w:val="99"/>
    <w:semiHidden/>
    <w:unhideWhenUsed/>
    <w:rsid w:val="0083460F"/>
    <w:pPr>
      <w:numPr>
        <w:numId w:val="2"/>
      </w:numPr>
      <w:contextualSpacing/>
    </w:pPr>
  </w:style>
  <w:style w:type="paragraph" w:styleId="ListBullet3">
    <w:name w:val="List Bullet 3"/>
    <w:basedOn w:val="Normal"/>
    <w:uiPriority w:val="99"/>
    <w:semiHidden/>
    <w:unhideWhenUsed/>
    <w:rsid w:val="0083460F"/>
    <w:pPr>
      <w:numPr>
        <w:numId w:val="3"/>
      </w:numPr>
      <w:contextualSpacing/>
    </w:pPr>
  </w:style>
  <w:style w:type="paragraph" w:styleId="ListBullet4">
    <w:name w:val="List Bullet 4"/>
    <w:basedOn w:val="Normal"/>
    <w:uiPriority w:val="99"/>
    <w:semiHidden/>
    <w:unhideWhenUsed/>
    <w:rsid w:val="0083460F"/>
    <w:pPr>
      <w:numPr>
        <w:numId w:val="4"/>
      </w:numPr>
      <w:contextualSpacing/>
    </w:pPr>
  </w:style>
  <w:style w:type="character" w:styleId="CommentReference">
    <w:name w:val="annotation reference"/>
    <w:basedOn w:val="DefaultParagraphFont"/>
    <w:uiPriority w:val="99"/>
    <w:semiHidden/>
    <w:unhideWhenUsed/>
    <w:rsid w:val="00A7188B"/>
    <w:rPr>
      <w:sz w:val="16"/>
      <w:szCs w:val="16"/>
    </w:rPr>
  </w:style>
  <w:style w:type="paragraph" w:styleId="CommentText">
    <w:name w:val="annotation text"/>
    <w:basedOn w:val="Normal"/>
    <w:link w:val="CommentTextChar"/>
    <w:uiPriority w:val="99"/>
    <w:unhideWhenUsed/>
    <w:rsid w:val="00A7188B"/>
    <w:pPr>
      <w:pBdr>
        <w:top w:val="nil"/>
        <w:left w:val="nil"/>
        <w:bottom w:val="nil"/>
        <w:right w:val="nil"/>
        <w:between w:val="nil"/>
        <w:bar w:val="nil"/>
      </w:pBdr>
      <w:spacing w:before="0" w:after="0"/>
      <w:jc w:val="left"/>
    </w:pPr>
    <w:rPr>
      <w:rFonts w:eastAsia="Arial Unicode MS"/>
      <w:sz w:val="20"/>
      <w:szCs w:val="20"/>
      <w:bdr w:val="nil"/>
      <w14:ligatures w14:val="standardContextual"/>
    </w:rPr>
  </w:style>
  <w:style w:type="character" w:customStyle="1" w:styleId="CommentTextChar">
    <w:name w:val="Comment Text Char"/>
    <w:basedOn w:val="DefaultParagraphFont"/>
    <w:link w:val="CommentText"/>
    <w:uiPriority w:val="99"/>
    <w:rsid w:val="00A7188B"/>
    <w:rPr>
      <w:rFonts w:ascii="Times New Roman" w:eastAsia="Arial Unicode MS" w:hAnsi="Times New Roman" w:cs="Times New Roman"/>
      <w:sz w:val="20"/>
      <w:szCs w:val="20"/>
      <w:bdr w:val="nil"/>
      <w:lang w:val="lv-LV"/>
      <w14:ligatures w14:val="standardContextual"/>
    </w:rPr>
  </w:style>
  <w:style w:type="paragraph" w:styleId="ListParagraph">
    <w:name w:val="List Paragraph"/>
    <w:basedOn w:val="Normal"/>
    <w:uiPriority w:val="34"/>
    <w:qFormat/>
    <w:rsid w:val="007111F7"/>
    <w:pPr>
      <w:ind w:left="720"/>
      <w:contextualSpacing/>
    </w:pPr>
  </w:style>
  <w:style w:type="paragraph" w:styleId="CommentSubject">
    <w:name w:val="annotation subject"/>
    <w:basedOn w:val="CommentText"/>
    <w:next w:val="CommentText"/>
    <w:link w:val="CommentSubjectChar"/>
    <w:uiPriority w:val="99"/>
    <w:semiHidden/>
    <w:unhideWhenUsed/>
    <w:rsid w:val="007613CF"/>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eastAsiaTheme="minorHAnsi"/>
      <w:b/>
      <w:bCs/>
      <w:bdr w:val="none" w:sz="0" w:space="0" w:color="auto"/>
      <w14:ligatures w14:val="none"/>
    </w:rPr>
  </w:style>
  <w:style w:type="character" w:customStyle="1" w:styleId="CommentSubjectChar">
    <w:name w:val="Comment Subject Char"/>
    <w:basedOn w:val="CommentTextChar"/>
    <w:link w:val="CommentSubject"/>
    <w:uiPriority w:val="99"/>
    <w:semiHidden/>
    <w:rsid w:val="007613CF"/>
    <w:rPr>
      <w:rFonts w:ascii="Times New Roman" w:eastAsia="Arial Unicode MS" w:hAnsi="Times New Roman" w:cs="Times New Roman"/>
      <w:b/>
      <w:bCs/>
      <w:sz w:val="20"/>
      <w:szCs w:val="20"/>
      <w:bdr w:val="nil"/>
      <w:lang w:val="lv-LV"/>
      <w14:ligatures w14:val="standardContextual"/>
    </w:rPr>
  </w:style>
  <w:style w:type="character" w:styleId="Hyperlink">
    <w:name w:val="Hyperlink"/>
    <w:basedOn w:val="DefaultParagraphFont"/>
    <w:uiPriority w:val="99"/>
    <w:semiHidden/>
    <w:unhideWhenUsed/>
    <w:rsid w:val="00696BA1"/>
    <w:rPr>
      <w:color w:val="0000FF" w:themeColor="hyperlink"/>
      <w:u w:val="single"/>
    </w:rPr>
  </w:style>
  <w:style w:type="character" w:customStyle="1" w:styleId="HeaderChar">
    <w:name w:val="Header Char"/>
    <w:basedOn w:val="DefaultParagraphFont"/>
    <w:link w:val="Header"/>
    <w:uiPriority w:val="99"/>
    <w:rsid w:val="00625380"/>
    <w:rPr>
      <w:rFonts w:ascii="Times New Roman" w:hAnsi="Times New Roman" w:cs="Times New Roman"/>
      <w:sz w:val="24"/>
      <w:lang w:val="lv-LV"/>
    </w:rPr>
  </w:style>
  <w:style w:type="character" w:customStyle="1" w:styleId="FooterChar">
    <w:name w:val="Footer Char"/>
    <w:basedOn w:val="DefaultParagraphFont"/>
    <w:link w:val="Footer"/>
    <w:uiPriority w:val="99"/>
    <w:rsid w:val="00625380"/>
    <w:rPr>
      <w:rFonts w:ascii="Times New Roman" w:hAnsi="Times New Roman" w:cs="Times New Roman"/>
      <w:sz w:val="24"/>
      <w:lang w:val="lv-LV"/>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2538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25380"/>
    <w:pPr>
      <w:spacing w:before="0"/>
      <w:jc w:val="right"/>
    </w:pPr>
    <w:rPr>
      <w:sz w:val="28"/>
    </w:rPr>
  </w:style>
  <w:style w:type="paragraph" w:customStyle="1" w:styleId="FooterSensitivity">
    <w:name w:val="Footer Sensitivity"/>
    <w:basedOn w:val="Normal"/>
    <w:rsid w:val="0062538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625380"/>
    <w:pPr>
      <w:tabs>
        <w:tab w:val="center" w:pos="4535"/>
        <w:tab w:val="right" w:pos="9071"/>
      </w:tabs>
      <w:spacing w:before="0"/>
    </w:pPr>
  </w:style>
  <w:style w:type="paragraph" w:customStyle="1" w:styleId="HeaderLandscape">
    <w:name w:val="HeaderLandscape"/>
    <w:basedOn w:val="Normal"/>
    <w:rsid w:val="00625380"/>
    <w:pPr>
      <w:tabs>
        <w:tab w:val="center" w:pos="7285"/>
        <w:tab w:val="right" w:pos="14003"/>
      </w:tabs>
      <w:spacing w:before="0"/>
    </w:pPr>
  </w:style>
  <w:style w:type="paragraph" w:styleId="Footer">
    <w:name w:val="footer"/>
    <w:basedOn w:val="Normal"/>
    <w:link w:val="FooterChar"/>
    <w:uiPriority w:val="99"/>
    <w:unhideWhenUsed/>
    <w:rsid w:val="0062538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2538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928FE9C2A74F4FA7A962F70CB25E30" ma:contentTypeVersion="6" ma:contentTypeDescription="Create a new document." ma:contentTypeScope="" ma:versionID="d6d6e07bd08fc7f7e3b726158e530153">
  <xsd:schema xmlns:xsd="http://www.w3.org/2001/XMLSchema" xmlns:xs="http://www.w3.org/2001/XMLSchema" xmlns:p="http://schemas.microsoft.com/office/2006/metadata/properties" xmlns:ns2="0387f280-e8c7-4908-8682-2c85241c93a9" xmlns:ns3="055f33d8-fc69-43e2-9a56-7cb7b8c76612" targetNamespace="http://schemas.microsoft.com/office/2006/metadata/properties" ma:root="true" ma:fieldsID="32017f1754f880acc275dce4e644aa6b" ns2:_="" ns3:_="">
    <xsd:import namespace="0387f280-e8c7-4908-8682-2c85241c93a9"/>
    <xsd:import namespace="055f33d8-fc69-43e2-9a56-7cb7b8c766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7f280-e8c7-4908-8682-2c85241c93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5f33d8-fc69-43e2-9a56-7cb7b8c766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9A3201-B026-43F9-8A99-C50EB1BB05A7}">
  <ds:schemaRefs>
    <ds:schemaRef ds:uri="http://schemas.microsoft.com/sharepoint/v3/contenttype/forms"/>
  </ds:schemaRefs>
</ds:datastoreItem>
</file>

<file path=customXml/itemProps2.xml><?xml version="1.0" encoding="utf-8"?>
<ds:datastoreItem xmlns:ds="http://schemas.openxmlformats.org/officeDocument/2006/customXml" ds:itemID="{BF932553-6ED0-4BDD-AE72-B1A1F4110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7f280-e8c7-4908-8682-2c85241c93a9"/>
    <ds:schemaRef ds:uri="055f33d8-fc69-43e2-9a56-7cb7b8c76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A879BA-DEA0-46BC-BDCB-3B30783C40A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COM.dotm</Template>
  <TotalTime>111</TotalTime>
  <Pages>4</Pages>
  <Words>774</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21</cp:revision>
  <dcterms:created xsi:type="dcterms:W3CDTF">2025-09-18T09:45:00Z</dcterms:created>
  <dcterms:modified xsi:type="dcterms:W3CDTF">2025-09-22T10:29:00Z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9.1, Build 20240808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2025-06-30T12:23:00Z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25638894-e9aa-4156-b5e3-a4bc571faaa3</vt:lpwstr>
  </property>
  <property fmtid="{D5CDD505-2E9C-101B-9397-08002B2CF9AE}" pid="16" name="MSIP_Label_6bd9ddd1-4d20-43f6-abfa-fc3c07406f94_ContentBits">
    <vt:lpwstr>0</vt:lpwstr>
  </property>
  <property fmtid="{D5CDD505-2E9C-101B-9397-08002B2CF9AE}" pid="17" name="ContentTypeId">
    <vt:lpwstr>0x01010094928FE9C2A74F4FA7A962F70CB25E30</vt:lpwstr>
  </property>
  <property fmtid="{D5CDD505-2E9C-101B-9397-08002B2CF9AE}" pid="18" name="DQCStatus">
    <vt:lpwstr>Green (DQC version 03)</vt:lpwstr>
  </property>
</Properties>
</file>