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7B6736" w14:textId="7DFA53E3" w:rsidR="002436EF" w:rsidRDefault="00907E72" w:rsidP="00907E72">
      <w:pPr>
        <w:pStyle w:val="Pagedecouverture"/>
        <w:rPr>
          <w:noProof/>
        </w:rPr>
      </w:pPr>
      <w:bookmarkStart w:id="0" w:name="LW_BM_COVERPAGE"/>
      <w:r>
        <w:rPr>
          <w:noProof/>
        </w:rPr>
        <w:pict w14:anchorId="3DE9F5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2A33C38-BCAA-47A8-AE9E-1EE6D262C90E" style="width:455.25pt;height:336.75pt">
            <v:imagedata r:id="rId8" o:title=""/>
          </v:shape>
        </w:pict>
      </w:r>
    </w:p>
    <w:bookmarkEnd w:id="0"/>
    <w:p w14:paraId="3533611A" w14:textId="77777777" w:rsidR="002436EF" w:rsidRDefault="002436EF" w:rsidP="004C252D">
      <w:pPr>
        <w:rPr>
          <w:noProof/>
        </w:rPr>
        <w:sectPr w:rsidR="002436EF" w:rsidSect="00907E7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8DE1D12" w14:textId="77777777" w:rsidR="00B70B73" w:rsidRDefault="00B70B73" w:rsidP="00B70B73">
      <w:pPr>
        <w:jc w:val="center"/>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KOMISIJAS ZIŅOJUMS EIROPAS PARLAMENTAM UN PADOMEI</w:t>
      </w:r>
    </w:p>
    <w:p w14:paraId="2C0E293C" w14:textId="77777777" w:rsidR="002E2A6A" w:rsidRDefault="00B70B73" w:rsidP="00B70B73">
      <w:pPr>
        <w:jc w:val="center"/>
        <w:rPr>
          <w:rFonts w:ascii="Times New Roman" w:hAnsi="Times New Roman" w:cs="Times New Roman"/>
          <w:b/>
          <w:noProof/>
          <w:sz w:val="24"/>
          <w:szCs w:val="24"/>
        </w:rPr>
      </w:pPr>
      <w:r>
        <w:rPr>
          <w:rFonts w:ascii="Times New Roman" w:hAnsi="Times New Roman"/>
          <w:b/>
          <w:noProof/>
          <w:sz w:val="24"/>
        </w:rPr>
        <w:t>par to deleģēto pilnvaru īstenošanu, kas Komisijai piešķirtas saskaņā ar Regulu (ES) Nr. 609/2013 par zīdaiņiem un maziem bērniem paredzētu pārtiku, īpašiem medicīniskiem nolūkiem paredzētu pārtiku un par pilnīgiem uztura aizstājējiem svara kontrolei</w:t>
      </w:r>
    </w:p>
    <w:p w14:paraId="51EE900F" w14:textId="1B9A1056" w:rsidR="00B70B73" w:rsidRDefault="00B70B73" w:rsidP="00E07750">
      <w:pPr>
        <w:pStyle w:val="Default"/>
        <w:numPr>
          <w:ilvl w:val="0"/>
          <w:numId w:val="3"/>
        </w:numPr>
        <w:rPr>
          <w:b/>
          <w:bCs/>
          <w:noProof/>
        </w:rPr>
      </w:pPr>
      <w:r>
        <w:rPr>
          <w:b/>
          <w:noProof/>
        </w:rPr>
        <w:t xml:space="preserve">Ievads </w:t>
      </w:r>
    </w:p>
    <w:p w14:paraId="4819743A" w14:textId="77777777" w:rsidR="00B70B73" w:rsidRPr="00B70B73" w:rsidRDefault="00B70B73" w:rsidP="00B70B73">
      <w:pPr>
        <w:pStyle w:val="Default"/>
        <w:rPr>
          <w:noProof/>
        </w:rPr>
      </w:pPr>
    </w:p>
    <w:p w14:paraId="26DC3D18" w14:textId="677870FB" w:rsidR="002436EF" w:rsidRDefault="00B70B73" w:rsidP="00B70B73">
      <w:pPr>
        <w:jc w:val="both"/>
        <w:rPr>
          <w:rFonts w:ascii="Times New Roman" w:hAnsi="Times New Roman" w:cs="Times New Roman"/>
          <w:noProof/>
          <w:sz w:val="24"/>
          <w:szCs w:val="24"/>
        </w:rPr>
      </w:pPr>
      <w:r>
        <w:rPr>
          <w:rFonts w:ascii="Times New Roman" w:hAnsi="Times New Roman"/>
          <w:noProof/>
          <w:sz w:val="24"/>
        </w:rPr>
        <w:t>Ar šo ziņojumu tiek izpildīts pienākums, kas Komisijai noteikts Eiropas Parlamenta un Padomes 2013. gada 12. jūnija Regulas (ES) Nr. 609/2013 par zīdaiņiem un maziem bērniem paredzētu pārtiku, īpašiem medicīniskiem nolūkiem paredzētu pārtiku un par pilnīgiem uztura aizstājējiem svara kontrolei (turpmāk “Regula par pārtiku īpašām patērētāju grupām”)</w:t>
      </w:r>
      <w:r w:rsidR="00326033">
        <w:rPr>
          <w:rStyle w:val="FootnoteReference"/>
          <w:rFonts w:ascii="Times New Roman" w:hAnsi="Times New Roman" w:cs="Times New Roman"/>
          <w:noProof/>
          <w:sz w:val="24"/>
          <w:szCs w:val="24"/>
        </w:rPr>
        <w:footnoteReference w:id="1"/>
      </w:r>
      <w:r>
        <w:rPr>
          <w:rFonts w:ascii="Times New Roman" w:hAnsi="Times New Roman"/>
          <w:noProof/>
          <w:sz w:val="24"/>
        </w:rPr>
        <w:t xml:space="preserve"> 18. panta 2. punktā. Regulā par pārtiku īpašām patērētāju grupām ir noteiktas sastāva un informācijas prasības attiecībā uz a) maisījumiem zīdaiņiem un papildu ēdināšanas maisījumiem zīdaiņiem; b) apstrādātu graudaugu pārtiku un bērnu pārtiku; c) īpašiem medicīniskiem nolūkiem paredzētu pārtiku un d) pilnīgiem uztura aizstājējiem svara kontrolei. Ar minēto regulu izveido arī Savienības sarakstu ar vielām, kuras drīkst pievienot vienai vai vairākām no šīm pārtikas kategorijām, un paredz noteikumus, kas piemērojami minētā saraksta atjaunināšanai. </w:t>
      </w:r>
    </w:p>
    <w:p w14:paraId="138CBAAD" w14:textId="320938FE" w:rsidR="00B70B73" w:rsidRDefault="00B70B73" w:rsidP="00B70B73">
      <w:pPr>
        <w:jc w:val="both"/>
        <w:rPr>
          <w:rFonts w:ascii="Times New Roman" w:hAnsi="Times New Roman" w:cs="Times New Roman"/>
          <w:noProof/>
          <w:sz w:val="24"/>
          <w:szCs w:val="24"/>
        </w:rPr>
      </w:pPr>
      <w:r>
        <w:rPr>
          <w:rFonts w:ascii="Times New Roman" w:hAnsi="Times New Roman"/>
          <w:noProof/>
          <w:sz w:val="24"/>
        </w:rPr>
        <w:t xml:space="preserve">Regulas par pārtiku īpašām patērētāju grupām 18. panta 2. punktā ir noteikts, ka Komisijai ir jāiesniedz Eiropas Parlamentam un Padomei ziņojums par to deleģēto pilnvaru īstenošanu, kas Komisijai piešķirtas saskaņā ar minēto regulu. Saskaņā ar 18. panta 2. punktu pilnvaras pieņemt deleģētos aktus Komisijai sākotnēji tika piešķirtas uz pieciem gadiem no 2013. gada 19. jūlija. Ne vēlāk kā deviņus mēnešus pirms minētā piecu gadu perioda beigām Komisijai bija jāsagatavo ziņojums par to pilnvaru deleģēšanas īstenošanu, kas tai piešķirtas ar Regulu par pārtiku īpašām patērētāju grupām. Pilnvaru deleģēšana automātiski jāpagarina uz piecu gadu periodiem, ja vien Eiropas Parlaments vai Padome neiebilst pret šādu pagarināšanu vēlākais trīs mēnešus pirms katra perioda beigām. </w:t>
      </w:r>
    </w:p>
    <w:p w14:paraId="75AD5F2E" w14:textId="0BB84E76" w:rsidR="00372E3D" w:rsidRDefault="00372E3D" w:rsidP="00B70B73">
      <w:pPr>
        <w:jc w:val="both"/>
        <w:rPr>
          <w:rFonts w:ascii="Times New Roman" w:hAnsi="Times New Roman" w:cs="Times New Roman"/>
          <w:noProof/>
          <w:sz w:val="24"/>
          <w:szCs w:val="24"/>
        </w:rPr>
      </w:pPr>
      <w:r>
        <w:rPr>
          <w:rFonts w:ascii="Times New Roman" w:hAnsi="Times New Roman"/>
          <w:noProof/>
          <w:sz w:val="24"/>
        </w:rPr>
        <w:t>Pirmo ziņojumu par pilnvaru deleģēšanas īstenošanu saskaņā ar Regulu par pārtiku īpašām patērētāju grupām Komisija pieņēma 2017. gada 22. augustā</w:t>
      </w:r>
      <w:r w:rsidRPr="00E60D4A">
        <w:rPr>
          <w:rStyle w:val="FootnoteReference"/>
          <w:rFonts w:ascii="Times New Roman" w:hAnsi="Times New Roman" w:cs="Times New Roman"/>
          <w:noProof/>
          <w:sz w:val="24"/>
          <w:szCs w:val="24"/>
        </w:rPr>
        <w:footnoteReference w:id="2"/>
      </w:r>
      <w:r>
        <w:rPr>
          <w:rFonts w:ascii="Times New Roman" w:hAnsi="Times New Roman"/>
          <w:noProof/>
          <w:sz w:val="24"/>
        </w:rPr>
        <w:t xml:space="preserve">. </w:t>
      </w:r>
    </w:p>
    <w:p w14:paraId="355FC7B9" w14:textId="733DD8B6" w:rsidR="00C47095" w:rsidRPr="00D926DB" w:rsidRDefault="00C47095" w:rsidP="00E07750">
      <w:pPr>
        <w:pStyle w:val="Default"/>
        <w:numPr>
          <w:ilvl w:val="0"/>
          <w:numId w:val="3"/>
        </w:numPr>
        <w:rPr>
          <w:b/>
          <w:bCs/>
          <w:noProof/>
        </w:rPr>
      </w:pPr>
      <w:r>
        <w:rPr>
          <w:b/>
          <w:noProof/>
        </w:rPr>
        <w:t xml:space="preserve">Juridiskais pamats </w:t>
      </w:r>
    </w:p>
    <w:p w14:paraId="47A3718B" w14:textId="77777777" w:rsidR="00C47095" w:rsidRPr="00D926DB" w:rsidRDefault="00C47095" w:rsidP="00C47095">
      <w:pPr>
        <w:pStyle w:val="Default"/>
        <w:rPr>
          <w:b/>
          <w:bCs/>
          <w:noProof/>
        </w:rPr>
      </w:pPr>
    </w:p>
    <w:p w14:paraId="0F37C97B" w14:textId="3E67061F" w:rsidR="00C47095" w:rsidRPr="00D926DB" w:rsidRDefault="00C47095" w:rsidP="00C47095">
      <w:pPr>
        <w:jc w:val="both"/>
        <w:rPr>
          <w:rFonts w:ascii="Times New Roman" w:hAnsi="Times New Roman" w:cs="Times New Roman"/>
          <w:noProof/>
          <w:sz w:val="24"/>
          <w:szCs w:val="24"/>
        </w:rPr>
      </w:pPr>
      <w:r>
        <w:rPr>
          <w:rFonts w:ascii="Times New Roman" w:hAnsi="Times New Roman"/>
          <w:noProof/>
          <w:sz w:val="24"/>
        </w:rPr>
        <w:t xml:space="preserve">Regulas par pārtiku īpašām patērētāju grupām 18. panta 2. punktā ir paredzēti nosacījumi attiecībā uz pilnvarām pieņemt deleģētos aktus, kas Komisijai piešķirtas ar regulas 11. pantu, 15. panta 6. punktu un 16. panta 1. punktu. </w:t>
      </w:r>
    </w:p>
    <w:p w14:paraId="44F263F1" w14:textId="650C64D0" w:rsidR="00C47095" w:rsidRPr="00D926DB" w:rsidRDefault="00C47095" w:rsidP="00DA068F">
      <w:pPr>
        <w:jc w:val="both"/>
        <w:rPr>
          <w:rFonts w:ascii="Times New Roman" w:hAnsi="Times New Roman" w:cs="Times New Roman"/>
          <w:noProof/>
          <w:sz w:val="24"/>
          <w:szCs w:val="24"/>
        </w:rPr>
      </w:pPr>
      <w:r>
        <w:rPr>
          <w:rFonts w:ascii="Times New Roman" w:hAnsi="Times New Roman"/>
          <w:noProof/>
          <w:sz w:val="24"/>
        </w:rPr>
        <w:t xml:space="preserve">Regulas par pārtiku īpašām patērētāju grupām 11. panta 2. punktā Komisija ir pilnvarota pieņemt deleģētos aktus, lai noteiktu īpašas sastāva un informācijas prasības attiecībā uz īpašām patērētāju grupām paredzētas pārtikas dažādajām kategorijām. Minētās prasības pašlaik ir noteiktas šādās regulās: </w:t>
      </w:r>
    </w:p>
    <w:p w14:paraId="24AAD716" w14:textId="53DB736A" w:rsidR="00C47095" w:rsidRPr="00D926DB" w:rsidRDefault="00C47095" w:rsidP="00C47095">
      <w:pPr>
        <w:pStyle w:val="ListParagraph"/>
        <w:numPr>
          <w:ilvl w:val="0"/>
          <w:numId w:val="12"/>
        </w:numPr>
        <w:jc w:val="both"/>
        <w:rPr>
          <w:rFonts w:ascii="Times New Roman" w:hAnsi="Times New Roman" w:cs="Times New Roman"/>
          <w:noProof/>
          <w:sz w:val="24"/>
          <w:szCs w:val="24"/>
        </w:rPr>
      </w:pPr>
      <w:r>
        <w:rPr>
          <w:rFonts w:ascii="Times New Roman" w:hAnsi="Times New Roman"/>
          <w:noProof/>
          <w:sz w:val="24"/>
        </w:rPr>
        <w:t>Komisijas Deleģētā regula (ES) 2016/127, ar ko attiecībā uz īpašām sastāva un informācijas prasībām, kuras piemēro maisījumiem zīdaiņiem un papildu ēdināšanas maisījumiem zīdaiņiem, un attiecībā uz informācijas prasībām saistībā ar zīdaiņu un mazu bērnu ēdināšanu papildina Regulu par pārtiku īpašām patērētāju grupām</w:t>
      </w:r>
      <w:r w:rsidRPr="00D926DB">
        <w:rPr>
          <w:rStyle w:val="FootnoteReference"/>
          <w:rFonts w:ascii="Times New Roman" w:hAnsi="Times New Roman" w:cs="Times New Roman"/>
          <w:noProof/>
          <w:sz w:val="24"/>
          <w:szCs w:val="24"/>
        </w:rPr>
        <w:footnoteReference w:id="3"/>
      </w:r>
      <w:r>
        <w:rPr>
          <w:rFonts w:ascii="Times New Roman" w:hAnsi="Times New Roman"/>
          <w:noProof/>
          <w:sz w:val="24"/>
        </w:rPr>
        <w:t xml:space="preserve">, </w:t>
      </w:r>
    </w:p>
    <w:p w14:paraId="30F3B3CD" w14:textId="77777777" w:rsidR="00C47095" w:rsidRPr="00D926DB" w:rsidRDefault="00C47095" w:rsidP="00C47095">
      <w:pPr>
        <w:pStyle w:val="ListParagraph"/>
        <w:numPr>
          <w:ilvl w:val="0"/>
          <w:numId w:val="12"/>
        </w:numPr>
        <w:jc w:val="both"/>
        <w:rPr>
          <w:rFonts w:ascii="Times New Roman" w:hAnsi="Times New Roman" w:cs="Times New Roman"/>
          <w:noProof/>
          <w:sz w:val="24"/>
          <w:szCs w:val="24"/>
        </w:rPr>
      </w:pPr>
      <w:r>
        <w:rPr>
          <w:rFonts w:ascii="Times New Roman" w:hAnsi="Times New Roman"/>
          <w:noProof/>
          <w:sz w:val="24"/>
        </w:rPr>
        <w:t>Komisijas Deleģētā regula (ES) 2016/128, ar ko attiecībā uz īpašām sastāva un informācijas prasībām, kuras piemēro īpašiem medicīniskiem nolūkiem paredzētai pārtikai, papildina Regulu par pārtiku īpašām patērētāju grupām</w:t>
      </w:r>
      <w:r w:rsidRPr="00D926DB">
        <w:rPr>
          <w:rStyle w:val="FootnoteReference"/>
          <w:rFonts w:ascii="Times New Roman" w:hAnsi="Times New Roman" w:cs="Times New Roman"/>
          <w:noProof/>
          <w:sz w:val="24"/>
          <w:szCs w:val="24"/>
        </w:rPr>
        <w:footnoteReference w:id="4"/>
      </w:r>
      <w:r>
        <w:rPr>
          <w:rFonts w:ascii="Times New Roman" w:hAnsi="Times New Roman"/>
          <w:noProof/>
          <w:sz w:val="24"/>
        </w:rPr>
        <w:t>, un</w:t>
      </w:r>
    </w:p>
    <w:p w14:paraId="25A6AE65" w14:textId="3CC762A7" w:rsidR="00C47095" w:rsidRPr="00D926DB" w:rsidRDefault="00C47095" w:rsidP="00C47095">
      <w:pPr>
        <w:pStyle w:val="ListParagraph"/>
        <w:numPr>
          <w:ilvl w:val="0"/>
          <w:numId w:val="12"/>
        </w:numPr>
        <w:jc w:val="both"/>
        <w:rPr>
          <w:rFonts w:ascii="Times New Roman" w:hAnsi="Times New Roman" w:cs="Times New Roman"/>
          <w:noProof/>
          <w:sz w:val="24"/>
          <w:szCs w:val="24"/>
        </w:rPr>
      </w:pPr>
      <w:r>
        <w:rPr>
          <w:rFonts w:ascii="Times New Roman" w:hAnsi="Times New Roman"/>
          <w:noProof/>
          <w:sz w:val="24"/>
        </w:rPr>
        <w:t>Komisijas Deleģētā regula (ES) 2017/1798, ar ko attiecībā uz īpašām sastāva un informācijas prasībām, kuras piemēro svara kontrolei paredzētiem pilnīgiem uztura aizstājējiem, papildina Regulu par pārtiku īpašām patērētāju grupām</w:t>
      </w:r>
      <w:r w:rsidRPr="00D926DB">
        <w:rPr>
          <w:rStyle w:val="FootnoteReference"/>
          <w:rFonts w:ascii="Times New Roman" w:hAnsi="Times New Roman" w:cs="Times New Roman"/>
          <w:noProof/>
          <w:sz w:val="24"/>
          <w:szCs w:val="24"/>
        </w:rPr>
        <w:footnoteReference w:id="5"/>
      </w:r>
      <w:r>
        <w:rPr>
          <w:rFonts w:ascii="Times New Roman" w:hAnsi="Times New Roman"/>
          <w:noProof/>
          <w:sz w:val="24"/>
        </w:rPr>
        <w:t>.</w:t>
      </w:r>
    </w:p>
    <w:p w14:paraId="647A2520" w14:textId="77777777" w:rsidR="00C47095" w:rsidRPr="00D926DB" w:rsidRDefault="00C47095" w:rsidP="004C252D">
      <w:pPr>
        <w:pStyle w:val="Default"/>
        <w:rPr>
          <w:b/>
          <w:bCs/>
          <w:noProof/>
        </w:rPr>
      </w:pPr>
    </w:p>
    <w:p w14:paraId="42D7E775" w14:textId="77777777" w:rsidR="009D5DBC" w:rsidRDefault="009D5DBC" w:rsidP="00DA068F">
      <w:pPr>
        <w:pStyle w:val="Default"/>
        <w:spacing w:line="276" w:lineRule="auto"/>
        <w:jc w:val="both"/>
        <w:rPr>
          <w:noProof/>
        </w:rPr>
      </w:pPr>
      <w:r>
        <w:rPr>
          <w:noProof/>
        </w:rPr>
        <w:t xml:space="preserve">Regulas par pārtiku īpašām patērētāju grupām 15. panta 6. punktā Komisija ir pilnvarota pievienot kādu vielu kategoriju regulas pielikumam, </w:t>
      </w:r>
      <w:r>
        <w:rPr>
          <w:noProof/>
          <w:color w:val="auto"/>
        </w:rPr>
        <w:t>kurā noteikts Savienības saraksts ar vielām, kuras drīkst pievienot konkrētām pārtikas kategorijām,</w:t>
      </w:r>
      <w:r>
        <w:rPr>
          <w:noProof/>
        </w:rPr>
        <w:t xml:space="preserve"> vai kādu vielu kategoriju no tā svītrot, lai ņemtu vērā tehnisko progresu, zinātnes attīstību vai patērētāju veselības aizsardzību.</w:t>
      </w:r>
    </w:p>
    <w:p w14:paraId="12FA6BBD" w14:textId="77777777" w:rsidR="009D5DBC" w:rsidRDefault="009D5DBC" w:rsidP="00DA068F">
      <w:pPr>
        <w:pStyle w:val="Default"/>
        <w:spacing w:line="276" w:lineRule="auto"/>
        <w:jc w:val="both"/>
        <w:rPr>
          <w:noProof/>
        </w:rPr>
      </w:pPr>
    </w:p>
    <w:p w14:paraId="4826B1DA" w14:textId="2D0F67AA" w:rsidR="00C47095" w:rsidRPr="00D926DB" w:rsidRDefault="00C47095" w:rsidP="00E362B9">
      <w:pPr>
        <w:pStyle w:val="Default"/>
        <w:spacing w:line="276" w:lineRule="auto"/>
        <w:jc w:val="both"/>
        <w:rPr>
          <w:noProof/>
        </w:rPr>
      </w:pPr>
      <w:r>
        <w:rPr>
          <w:noProof/>
          <w:color w:val="auto"/>
        </w:rPr>
        <w:t>Regulas par pārtiku īpašām patērētāju grupām 16. panta 1. punktā Komisija ir pilnvarota pieņemt deleģētos aktus saskaņā ar minētās regulas 18. pantu, lai grozītu regulas pielikumu, kurā noteikts Savienības saraksts ar vielām, kuras drīkst pievienot konkrētām pārtikas kategorijām.</w:t>
      </w:r>
    </w:p>
    <w:p w14:paraId="64E73550" w14:textId="12ACB68A" w:rsidR="00C47095" w:rsidRPr="00D926DB" w:rsidRDefault="00C47095" w:rsidP="00DA068F">
      <w:pPr>
        <w:pStyle w:val="Default"/>
        <w:spacing w:line="276" w:lineRule="auto"/>
        <w:jc w:val="both"/>
        <w:rPr>
          <w:b/>
          <w:bCs/>
          <w:noProof/>
        </w:rPr>
      </w:pPr>
    </w:p>
    <w:p w14:paraId="7239A854" w14:textId="77777777" w:rsidR="00C47095" w:rsidRPr="00D926DB" w:rsidRDefault="00C47095" w:rsidP="004C252D">
      <w:pPr>
        <w:pStyle w:val="Default"/>
        <w:ind w:left="360"/>
        <w:rPr>
          <w:b/>
          <w:bCs/>
          <w:noProof/>
        </w:rPr>
      </w:pPr>
    </w:p>
    <w:p w14:paraId="18E23E04" w14:textId="44420FAA" w:rsidR="00326033" w:rsidRPr="00D926DB" w:rsidRDefault="00326033" w:rsidP="00E07750">
      <w:pPr>
        <w:pStyle w:val="Default"/>
        <w:numPr>
          <w:ilvl w:val="0"/>
          <w:numId w:val="3"/>
        </w:numPr>
        <w:rPr>
          <w:b/>
          <w:bCs/>
          <w:noProof/>
        </w:rPr>
      </w:pPr>
      <w:r>
        <w:rPr>
          <w:b/>
          <w:noProof/>
        </w:rPr>
        <w:t xml:space="preserve">Deleģēšanas īstenošana </w:t>
      </w:r>
    </w:p>
    <w:p w14:paraId="3A71D7A6" w14:textId="77777777" w:rsidR="00326033" w:rsidRPr="00D926DB" w:rsidRDefault="00326033" w:rsidP="00326033">
      <w:pPr>
        <w:pStyle w:val="Default"/>
        <w:rPr>
          <w:noProof/>
        </w:rPr>
      </w:pPr>
    </w:p>
    <w:p w14:paraId="6AD2EEDA" w14:textId="3CBEE58A" w:rsidR="00326033" w:rsidRPr="00D926DB" w:rsidRDefault="001954AC" w:rsidP="001954AC">
      <w:pPr>
        <w:ind w:left="426" w:hanging="426"/>
        <w:jc w:val="both"/>
        <w:rPr>
          <w:rFonts w:ascii="Times New Roman" w:hAnsi="Times New Roman" w:cs="Times New Roman"/>
          <w:noProof/>
          <w:sz w:val="24"/>
          <w:szCs w:val="24"/>
        </w:rPr>
      </w:pPr>
      <w:r>
        <w:rPr>
          <w:rFonts w:ascii="Times New Roman" w:hAnsi="Times New Roman"/>
          <w:noProof/>
          <w:sz w:val="24"/>
        </w:rPr>
        <w:t xml:space="preserve">3.1. No </w:t>
      </w:r>
      <w:bookmarkStart w:id="2" w:name="_Hlk163813632"/>
      <w:r>
        <w:rPr>
          <w:rFonts w:ascii="Times New Roman" w:hAnsi="Times New Roman"/>
          <w:noProof/>
          <w:sz w:val="24"/>
        </w:rPr>
        <w:t>2017. gada 22. augusta līdz šim brīdim Komisija saskaņā ar Regulas par pārtiku īpašām patērētāju grupām 11. panta 2. punktu ir pieņēmusi šādus deviņus deleģētos aktus:</w:t>
      </w:r>
    </w:p>
    <w:bookmarkEnd w:id="2"/>
    <w:p w14:paraId="39220706" w14:textId="36924FE0" w:rsidR="00E05064" w:rsidRPr="00E362B9" w:rsidRDefault="00055D27" w:rsidP="00B33DD9">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rPr>
        <w:t>Komisijas Deleģētā regula (ES) 2019/828, ar ko attiecībā uz prasībām, kuras izvirza D vitamīna saturam maisījumos zīdaiņiem un erukskābes saturam maisījumos zīdaiņiem un papildu ēdināšanas maisījumos zīdaiņiem, groza Deleģēto regulu (ES) 2016/127</w:t>
      </w:r>
      <w:r w:rsidRPr="00D926DB">
        <w:rPr>
          <w:rStyle w:val="FootnoteReference"/>
          <w:rFonts w:ascii="Times New Roman" w:hAnsi="Times New Roman" w:cs="Times New Roman"/>
          <w:noProof/>
          <w:sz w:val="24"/>
          <w:szCs w:val="24"/>
        </w:rPr>
        <w:footnoteReference w:id="6"/>
      </w:r>
      <w:r>
        <w:rPr>
          <w:rFonts w:ascii="Times New Roman" w:hAnsi="Times New Roman"/>
          <w:noProof/>
          <w:sz w:val="24"/>
        </w:rPr>
        <w:t>.</w:t>
      </w:r>
    </w:p>
    <w:p w14:paraId="1B3C8D83" w14:textId="77777777" w:rsidR="006C669B" w:rsidRPr="00D926DB" w:rsidRDefault="006C669B" w:rsidP="00E362B9">
      <w:pPr>
        <w:pStyle w:val="ListParagraph"/>
        <w:ind w:left="437"/>
        <w:jc w:val="both"/>
        <w:rPr>
          <w:rFonts w:ascii="Times New Roman" w:hAnsi="Times New Roman" w:cs="Times New Roman"/>
          <w:noProof/>
          <w:sz w:val="24"/>
          <w:szCs w:val="24"/>
        </w:rPr>
      </w:pPr>
    </w:p>
    <w:p w14:paraId="53A2F1EF" w14:textId="46877FA3" w:rsidR="00F661DD" w:rsidRPr="00D926DB" w:rsidRDefault="00601801" w:rsidP="00F13BCE">
      <w:pPr>
        <w:pStyle w:val="ListParagraph"/>
        <w:ind w:left="437"/>
        <w:jc w:val="both"/>
        <w:rPr>
          <w:rFonts w:ascii="Times New Roman" w:hAnsi="Times New Roman" w:cs="Times New Roman"/>
          <w:noProof/>
          <w:sz w:val="24"/>
          <w:szCs w:val="24"/>
        </w:rPr>
      </w:pPr>
      <w:r>
        <w:rPr>
          <w:rFonts w:ascii="Times New Roman" w:hAnsi="Times New Roman"/>
          <w:noProof/>
          <w:sz w:val="24"/>
        </w:rPr>
        <w:t xml:space="preserve">Šis tiesību akts tika pieņemts 2019. gada 14. martā ar mērķi nodrošināt zīdaiņu aizsardzības visaugstāko līmeni, samazinot maksimālo pieļaujamo D vitamīna saturu maisījumos zīdaiņiem un maksimālo erukskābes saturu </w:t>
      </w:r>
      <w:r>
        <w:rPr>
          <w:rStyle w:val="white-space"/>
          <w:rFonts w:ascii="Times New Roman" w:hAnsi="Times New Roman"/>
          <w:noProof/>
          <w:sz w:val="24"/>
        </w:rPr>
        <w:t>maisījumos zīdaiņiem un papildu ēdināšanas maisījumos zīdaiņiem,</w:t>
      </w:r>
      <w:r>
        <w:rPr>
          <w:rFonts w:ascii="Times New Roman" w:hAnsi="Times New Roman"/>
          <w:noProof/>
          <w:sz w:val="24"/>
        </w:rPr>
        <w:t xml:space="preserve"> pamatojoties uz Eiropas Pārtikas nekaitīguma iestādes (</w:t>
      </w:r>
      <w:r>
        <w:rPr>
          <w:rFonts w:ascii="Times New Roman" w:hAnsi="Times New Roman"/>
          <w:i/>
          <w:iCs/>
          <w:noProof/>
          <w:sz w:val="24"/>
        </w:rPr>
        <w:t>EFSA</w:t>
      </w:r>
      <w:r>
        <w:rPr>
          <w:rFonts w:ascii="Times New Roman" w:hAnsi="Times New Roman"/>
          <w:noProof/>
          <w:sz w:val="24"/>
        </w:rPr>
        <w:t>) zinātniskajiem atzinumiem</w:t>
      </w:r>
      <w:r w:rsidR="00C33392" w:rsidRPr="00D926DB">
        <w:rPr>
          <w:rStyle w:val="FootnoteReference"/>
          <w:rFonts w:ascii="Times New Roman" w:hAnsi="Times New Roman" w:cs="Times New Roman"/>
          <w:noProof/>
          <w:sz w:val="24"/>
          <w:szCs w:val="24"/>
        </w:rPr>
        <w:footnoteReference w:id="7"/>
      </w:r>
      <w:r>
        <w:rPr>
          <w:rFonts w:ascii="Times New Roman" w:hAnsi="Times New Roman"/>
          <w:noProof/>
          <w:sz w:val="24"/>
        </w:rPr>
        <w:t>,</w:t>
      </w:r>
      <w:r w:rsidR="00E853A4" w:rsidRPr="00D926DB">
        <w:rPr>
          <w:rStyle w:val="FootnoteReference"/>
          <w:rFonts w:ascii="Times New Roman" w:hAnsi="Times New Roman" w:cs="Times New Roman"/>
          <w:noProof/>
          <w:sz w:val="24"/>
          <w:szCs w:val="24"/>
        </w:rPr>
        <w:footnoteReference w:id="8"/>
      </w:r>
      <w:r>
        <w:rPr>
          <w:rFonts w:ascii="Times New Roman" w:hAnsi="Times New Roman"/>
          <w:noProof/>
          <w:sz w:val="24"/>
        </w:rPr>
        <w:t>;</w:t>
      </w:r>
    </w:p>
    <w:p w14:paraId="6191614A" w14:textId="77777777" w:rsidR="00F13BCE" w:rsidRPr="00D926DB" w:rsidRDefault="00F13BCE" w:rsidP="00F13BCE">
      <w:pPr>
        <w:pStyle w:val="ListParagraph"/>
        <w:ind w:left="437"/>
        <w:jc w:val="both"/>
        <w:rPr>
          <w:rFonts w:ascii="Times New Roman" w:hAnsi="Times New Roman" w:cs="Times New Roman"/>
          <w:noProof/>
          <w:sz w:val="24"/>
          <w:szCs w:val="24"/>
        </w:rPr>
      </w:pPr>
    </w:p>
    <w:p w14:paraId="2684237B" w14:textId="37CE1C88" w:rsidR="00771078" w:rsidRPr="00D926DB" w:rsidRDefault="00921B59" w:rsidP="00771078">
      <w:pPr>
        <w:pStyle w:val="ListParagraph"/>
        <w:numPr>
          <w:ilvl w:val="0"/>
          <w:numId w:val="2"/>
        </w:numPr>
        <w:jc w:val="both"/>
        <w:rPr>
          <w:rFonts w:ascii="Times New Roman" w:hAnsi="Times New Roman" w:cs="Times New Roman"/>
          <w:noProof/>
          <w:sz w:val="24"/>
          <w:szCs w:val="24"/>
        </w:rPr>
      </w:pPr>
      <w:bookmarkStart w:id="3" w:name="_Hlk159507754"/>
      <w:r>
        <w:rPr>
          <w:rFonts w:ascii="Times New Roman" w:hAnsi="Times New Roman"/>
          <w:noProof/>
          <w:sz w:val="24"/>
        </w:rPr>
        <w:t>Komisijas Deleģētā regula (ES) 2018/561, ar ko attiecībā uz prasībām par olbaltumvielām papildu ēdināšanas maisījumos zīdaiņiem groza Deleģēto regulu (ES) 2016/127</w:t>
      </w:r>
      <w:r w:rsidR="007F50E0" w:rsidRPr="00D926DB">
        <w:rPr>
          <w:rStyle w:val="FootnoteReference"/>
          <w:rFonts w:ascii="Times New Roman" w:hAnsi="Times New Roman" w:cs="Times New Roman"/>
          <w:noProof/>
          <w:sz w:val="24"/>
          <w:szCs w:val="24"/>
        </w:rPr>
        <w:footnoteReference w:id="9"/>
      </w:r>
      <w:r>
        <w:rPr>
          <w:noProof/>
        </w:rPr>
        <w:t>.</w:t>
      </w:r>
      <w:bookmarkEnd w:id="3"/>
    </w:p>
    <w:p w14:paraId="0F0E35DB" w14:textId="77777777" w:rsidR="006E2414" w:rsidRPr="00D926DB" w:rsidRDefault="006E2414" w:rsidP="006E2414">
      <w:pPr>
        <w:pStyle w:val="ListParagraph"/>
        <w:ind w:left="437"/>
        <w:jc w:val="both"/>
        <w:rPr>
          <w:rFonts w:ascii="Times New Roman" w:hAnsi="Times New Roman" w:cs="Times New Roman"/>
          <w:noProof/>
          <w:sz w:val="24"/>
          <w:szCs w:val="24"/>
        </w:rPr>
      </w:pPr>
    </w:p>
    <w:p w14:paraId="190DDCE1" w14:textId="78EAD514" w:rsidR="006E2414" w:rsidRPr="00D926DB" w:rsidRDefault="006E2414" w:rsidP="006E2414">
      <w:pPr>
        <w:pStyle w:val="ListParagraph"/>
        <w:ind w:left="437"/>
        <w:jc w:val="both"/>
        <w:rPr>
          <w:rFonts w:ascii="Times New Roman" w:hAnsi="Times New Roman" w:cs="Times New Roman"/>
          <w:noProof/>
          <w:sz w:val="24"/>
          <w:szCs w:val="24"/>
        </w:rPr>
      </w:pPr>
      <w:r>
        <w:rPr>
          <w:rFonts w:ascii="Times New Roman" w:hAnsi="Times New Roman"/>
          <w:noProof/>
          <w:sz w:val="24"/>
        </w:rPr>
        <w:t xml:space="preserve">Šī deleģētā regula tika pieņemta 2018. gada 12. aprīlī ar mērķi ļaut uzņēmējiem, kas iesaistīti pārtikas apritē, pielāgot papildu ēdināšanas maisījumu zīdaiņiem sastāvu, ieviešot lielāku elastību un vienlaikus nodrošinot zīdaiņu veselības aizsardzības augstu līmeni. Pamatojoties uz </w:t>
      </w:r>
      <w:r>
        <w:rPr>
          <w:rFonts w:ascii="Times New Roman" w:hAnsi="Times New Roman"/>
          <w:i/>
          <w:iCs/>
          <w:noProof/>
          <w:sz w:val="24"/>
        </w:rPr>
        <w:t>EFSA</w:t>
      </w:r>
      <w:r>
        <w:rPr>
          <w:rFonts w:ascii="Times New Roman" w:hAnsi="Times New Roman"/>
          <w:noProof/>
          <w:sz w:val="24"/>
        </w:rPr>
        <w:t xml:space="preserve"> zinātnisko atzinumu</w:t>
      </w:r>
      <w:r w:rsidR="00045F8E" w:rsidRPr="00D926DB">
        <w:rPr>
          <w:rStyle w:val="FootnoteReference"/>
          <w:rFonts w:ascii="Times New Roman" w:hAnsi="Times New Roman" w:cs="Times New Roman"/>
          <w:noProof/>
          <w:sz w:val="24"/>
          <w:szCs w:val="24"/>
        </w:rPr>
        <w:footnoteReference w:id="10"/>
      </w:r>
      <w:r>
        <w:rPr>
          <w:rFonts w:ascii="Times New Roman" w:hAnsi="Times New Roman"/>
          <w:noProof/>
          <w:sz w:val="24"/>
        </w:rPr>
        <w:t xml:space="preserve">, ar to tika ieviesti tehniski pielāgojumi jau spēkā esošajās prasībās par olbaltumvielām papildu ēdināšanas maisījumos zīdaiņiem; </w:t>
      </w:r>
    </w:p>
    <w:p w14:paraId="56C3826B" w14:textId="77777777" w:rsidR="00921B59" w:rsidRPr="00D926DB" w:rsidRDefault="00921B59" w:rsidP="006E2414">
      <w:pPr>
        <w:pStyle w:val="ListParagraph"/>
        <w:ind w:left="437"/>
        <w:jc w:val="both"/>
        <w:rPr>
          <w:rFonts w:ascii="Times New Roman" w:hAnsi="Times New Roman" w:cs="Times New Roman"/>
          <w:noProof/>
          <w:sz w:val="24"/>
          <w:szCs w:val="24"/>
        </w:rPr>
      </w:pPr>
    </w:p>
    <w:p w14:paraId="0D02F986" w14:textId="17950C70" w:rsidR="00045F8E" w:rsidRPr="00D926DB" w:rsidRDefault="00C56754" w:rsidP="00045F8E">
      <w:pPr>
        <w:pStyle w:val="ListParagraph"/>
        <w:numPr>
          <w:ilvl w:val="0"/>
          <w:numId w:val="2"/>
        </w:numPr>
        <w:jc w:val="both"/>
        <w:rPr>
          <w:rFonts w:ascii="Times New Roman" w:hAnsi="Times New Roman" w:cs="Times New Roman"/>
          <w:noProof/>
          <w:sz w:val="24"/>
          <w:szCs w:val="24"/>
        </w:rPr>
      </w:pPr>
      <w:bookmarkStart w:id="4" w:name="_Hlk159510460"/>
      <w:r>
        <w:rPr>
          <w:rFonts w:ascii="Times New Roman" w:hAnsi="Times New Roman"/>
          <w:noProof/>
          <w:sz w:val="24"/>
        </w:rPr>
        <w:t>Komisijas Deleģētā regula (ES) 2021/572</w:t>
      </w:r>
      <w:bookmarkEnd w:id="4"/>
      <w:r>
        <w:rPr>
          <w:rFonts w:ascii="Times New Roman" w:hAnsi="Times New Roman"/>
          <w:noProof/>
          <w:sz w:val="24"/>
        </w:rPr>
        <w:t>, ar ko attiecībā uz dažu noteikumu piemērošanas datumu groza Deleģēto regulu (ES) 2016/127</w:t>
      </w:r>
      <w:r w:rsidR="00045F8E" w:rsidRPr="00D926DB">
        <w:rPr>
          <w:rStyle w:val="FootnoteReference"/>
          <w:rFonts w:ascii="Times New Roman" w:hAnsi="Times New Roman" w:cs="Times New Roman"/>
          <w:noProof/>
          <w:sz w:val="24"/>
          <w:szCs w:val="24"/>
        </w:rPr>
        <w:footnoteReference w:id="11"/>
      </w:r>
      <w:r>
        <w:rPr>
          <w:rFonts w:ascii="Times New Roman" w:hAnsi="Times New Roman"/>
          <w:noProof/>
          <w:sz w:val="24"/>
        </w:rPr>
        <w:t>.</w:t>
      </w:r>
    </w:p>
    <w:p w14:paraId="4A3FB5ED" w14:textId="77777777" w:rsidR="001F6A63" w:rsidRPr="00D926DB" w:rsidRDefault="001F6A63" w:rsidP="001F6A63">
      <w:pPr>
        <w:pStyle w:val="ListParagraph"/>
        <w:ind w:left="437"/>
        <w:jc w:val="both"/>
        <w:rPr>
          <w:rFonts w:ascii="Times New Roman" w:hAnsi="Times New Roman" w:cs="Times New Roman"/>
          <w:noProof/>
          <w:sz w:val="24"/>
          <w:szCs w:val="24"/>
        </w:rPr>
      </w:pPr>
    </w:p>
    <w:p w14:paraId="117FDDF9" w14:textId="4A976338" w:rsidR="009677B5" w:rsidRPr="00D926DB" w:rsidRDefault="00936824" w:rsidP="001B1825">
      <w:pPr>
        <w:pStyle w:val="ListParagraph"/>
        <w:spacing w:after="120"/>
        <w:ind w:left="437"/>
        <w:jc w:val="both"/>
        <w:rPr>
          <w:rFonts w:ascii="Times New Roman" w:hAnsi="Times New Roman" w:cs="Times New Roman"/>
          <w:noProof/>
          <w:sz w:val="24"/>
          <w:szCs w:val="24"/>
        </w:rPr>
      </w:pPr>
      <w:r>
        <w:rPr>
          <w:rFonts w:ascii="Times New Roman" w:hAnsi="Times New Roman"/>
          <w:noProof/>
          <w:sz w:val="24"/>
        </w:rPr>
        <w:t xml:space="preserve">Regulā (ES) 2016/127 ir noteikts, ka no olbaltumvielu hidrolizātiem ražotus maisījumus var laist tirgū tikai pēc tam, kad </w:t>
      </w:r>
      <w:r>
        <w:rPr>
          <w:rFonts w:ascii="Times New Roman" w:hAnsi="Times New Roman"/>
          <w:i/>
          <w:iCs/>
          <w:noProof/>
          <w:sz w:val="24"/>
        </w:rPr>
        <w:t>EFSA</w:t>
      </w:r>
      <w:r>
        <w:rPr>
          <w:rFonts w:ascii="Times New Roman" w:hAnsi="Times New Roman"/>
          <w:noProof/>
          <w:sz w:val="24"/>
        </w:rPr>
        <w:t xml:space="preserve"> ir katrā atsevišķā gadījumā izvērtējusi to nekaitīgumu un piemērotību. Saskaņā ar iepriekšējo Komisijas Direktīvu 2006/141/EK par mākslīgajiem maisījumiem zīdaiņiem un mākslīgajiem papildu ēdināšanas maisījumiem zīdaiņiem</w:t>
      </w:r>
      <w:r w:rsidR="008B7AD0" w:rsidRPr="00D926DB">
        <w:rPr>
          <w:rStyle w:val="FootnoteReference"/>
          <w:rFonts w:ascii="Times New Roman" w:hAnsi="Times New Roman" w:cs="Times New Roman"/>
          <w:noProof/>
          <w:sz w:val="24"/>
          <w:szCs w:val="24"/>
        </w:rPr>
        <w:footnoteReference w:id="12"/>
      </w:r>
      <w:r>
        <w:rPr>
          <w:rFonts w:ascii="Times New Roman" w:hAnsi="Times New Roman"/>
          <w:noProof/>
          <w:sz w:val="24"/>
        </w:rPr>
        <w:t xml:space="preserve"> šāds novērtējums nebija vajadzīgs. Komisijas Deleģētā regula (ES) 2021/572 tika pieņemta 2021. gada 20. janvārī ar mērķi izvairīties no iespējamiem tirgus traucējumiem, atliekot Deleģētajā regulā (ES) 2016/127 noteiktās jaunās prasības — hidrolizētu maisījumu zīdaiņiem un papildu ēdināšanas maisījumu zīdaiņiem novērtēšanu katrā gadījumā atsevišķi — piemērošanas sākšanu. Faktiski </w:t>
      </w:r>
      <w:r>
        <w:rPr>
          <w:rFonts w:ascii="Times New Roman" w:hAnsi="Times New Roman"/>
          <w:i/>
          <w:iCs/>
          <w:noProof/>
          <w:sz w:val="24"/>
        </w:rPr>
        <w:t>EFSA</w:t>
      </w:r>
      <w:r>
        <w:rPr>
          <w:rFonts w:ascii="Times New Roman" w:hAnsi="Times New Roman"/>
          <w:noProof/>
          <w:sz w:val="24"/>
        </w:rPr>
        <w:t xml:space="preserve"> veikto maisījumu zinātnisko novērtēšanu negaidīti aizkavēja Covid-19 pandēmija un ar to saistītā sabiedrības veselības krīze. Jauno prasību piemērošanas sākuma atlikšana uz vienu gadu novērsa to, ka produkti, kuri likumīgi laisti tirgū saskaņā ar Komisijas Direktīvu 2006/141/EK un par kuriem nav ziņots, ka tie nelabvēlīgi ietekmētu veselību, neatbilst jaunajām prasībām; </w:t>
      </w:r>
    </w:p>
    <w:p w14:paraId="411428A1" w14:textId="77777777" w:rsidR="004733F6" w:rsidRPr="00D926DB" w:rsidRDefault="004733F6" w:rsidP="001B1825">
      <w:pPr>
        <w:pStyle w:val="ListParagraph"/>
        <w:spacing w:after="120"/>
        <w:ind w:left="437"/>
        <w:jc w:val="both"/>
        <w:rPr>
          <w:rFonts w:ascii="Times New Roman" w:hAnsi="Times New Roman" w:cs="Times New Roman"/>
          <w:noProof/>
          <w:sz w:val="24"/>
          <w:szCs w:val="24"/>
        </w:rPr>
      </w:pPr>
    </w:p>
    <w:p w14:paraId="4F9E4261" w14:textId="185F02BC" w:rsidR="004733F6" w:rsidRPr="00D926DB" w:rsidRDefault="004733F6" w:rsidP="004733F6">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rPr>
        <w:t xml:space="preserve">Komisijas Deleģētās regulas </w:t>
      </w:r>
      <w:r>
        <w:rPr>
          <w:rFonts w:ascii="Times New Roman" w:hAnsi="Times New Roman"/>
          <w:noProof/>
        </w:rPr>
        <w:t xml:space="preserve">(ES) 2022/519, (ES) 2023/589 un (ES) …/…, </w:t>
      </w:r>
      <w:r>
        <w:rPr>
          <w:rFonts w:ascii="Times New Roman" w:hAnsi="Times New Roman"/>
          <w:noProof/>
          <w:sz w:val="24"/>
        </w:rPr>
        <w:t>ar ko attiecībā uz prasībām, ko olbaltumvielu sakarā izvirza zīdaiņiem paredzētiem, no olbaltumvielu hidrolizātiem ražotiem maisījumiem un papildu ēdināšanas maisījumiem, groza Deleģēto regulu (ES) 2016/127</w:t>
      </w:r>
      <w:r w:rsidR="00E858FB" w:rsidRPr="00D926DB">
        <w:rPr>
          <w:rStyle w:val="FootnoteReference"/>
          <w:rFonts w:ascii="Times New Roman" w:hAnsi="Times New Roman" w:cs="Times New Roman"/>
          <w:noProof/>
          <w:sz w:val="24"/>
          <w:szCs w:val="24"/>
        </w:rPr>
        <w:footnoteReference w:id="13"/>
      </w:r>
      <w:r>
        <w:rPr>
          <w:rFonts w:ascii="Times New Roman" w:hAnsi="Times New Roman"/>
          <w:noProof/>
          <w:sz w:val="24"/>
          <w:vertAlign w:val="superscript"/>
        </w:rPr>
        <w:t>,</w:t>
      </w:r>
      <w:r w:rsidR="00E858FB" w:rsidRPr="00D926DB">
        <w:rPr>
          <w:rStyle w:val="FootnoteReference"/>
          <w:rFonts w:ascii="Times New Roman" w:hAnsi="Times New Roman" w:cs="Times New Roman"/>
          <w:noProof/>
          <w:sz w:val="24"/>
          <w:szCs w:val="24"/>
        </w:rPr>
        <w:footnoteReference w:id="14"/>
      </w:r>
      <w:r>
        <w:rPr>
          <w:rFonts w:ascii="Times New Roman" w:hAnsi="Times New Roman"/>
          <w:noProof/>
          <w:sz w:val="24"/>
          <w:vertAlign w:val="superscript"/>
        </w:rPr>
        <w:t>,</w:t>
      </w:r>
      <w:r w:rsidR="00A5195A" w:rsidRPr="00D926DB">
        <w:rPr>
          <w:rStyle w:val="FootnoteReference"/>
          <w:rFonts w:ascii="Times New Roman" w:hAnsi="Times New Roman" w:cs="Times New Roman"/>
          <w:noProof/>
          <w:sz w:val="24"/>
          <w:szCs w:val="24"/>
        </w:rPr>
        <w:footnoteReference w:id="15"/>
      </w:r>
      <w:r>
        <w:rPr>
          <w:rFonts w:ascii="Times New Roman" w:hAnsi="Times New Roman"/>
          <w:noProof/>
          <w:sz w:val="24"/>
        </w:rPr>
        <w:t>.</w:t>
      </w:r>
    </w:p>
    <w:p w14:paraId="7B45626B" w14:textId="77777777" w:rsidR="00727814" w:rsidRPr="00D926DB" w:rsidRDefault="00727814" w:rsidP="00B33DD9">
      <w:pPr>
        <w:pStyle w:val="ListParagraph"/>
        <w:ind w:left="437"/>
        <w:jc w:val="both"/>
        <w:rPr>
          <w:rFonts w:ascii="Times New Roman" w:hAnsi="Times New Roman" w:cs="Times New Roman"/>
          <w:noProof/>
          <w:sz w:val="24"/>
          <w:szCs w:val="24"/>
        </w:rPr>
      </w:pPr>
    </w:p>
    <w:p w14:paraId="760834C7" w14:textId="6E141898" w:rsidR="001B1825" w:rsidRDefault="00C12C14" w:rsidP="001F0967">
      <w:pPr>
        <w:pStyle w:val="ListParagraph"/>
        <w:ind w:left="437"/>
        <w:jc w:val="both"/>
        <w:rPr>
          <w:rFonts w:ascii="Times New Roman" w:hAnsi="Times New Roman" w:cs="Times New Roman"/>
          <w:noProof/>
          <w:sz w:val="24"/>
          <w:szCs w:val="24"/>
        </w:rPr>
      </w:pPr>
      <w:bookmarkStart w:id="5" w:name="_Hlk165988100"/>
      <w:r>
        <w:rPr>
          <w:rFonts w:ascii="Times New Roman" w:hAnsi="Times New Roman"/>
          <w:noProof/>
          <w:sz w:val="24"/>
        </w:rPr>
        <w:t xml:space="preserve">Deleģētajā regulā (ES) 2016/127 tiek atgādināts </w:t>
      </w:r>
      <w:r>
        <w:rPr>
          <w:rFonts w:ascii="Times New Roman" w:hAnsi="Times New Roman"/>
          <w:i/>
          <w:iCs/>
          <w:noProof/>
          <w:sz w:val="24"/>
        </w:rPr>
        <w:t>EFSA</w:t>
      </w:r>
      <w:r>
        <w:rPr>
          <w:rFonts w:ascii="Times New Roman" w:hAnsi="Times New Roman"/>
          <w:noProof/>
          <w:sz w:val="24"/>
        </w:rPr>
        <w:t xml:space="preserve"> uzskats, ka ikviena konkrētā maisījuma, kas ražots no olbaltumvielu hidrolizātiem, nekaitīgums un piemērotība ir jānoskaidro klīniskā izvērtēšanā un ka tirgū var laist maisījumus, kurus </w:t>
      </w:r>
      <w:r>
        <w:rPr>
          <w:rFonts w:ascii="Times New Roman" w:hAnsi="Times New Roman"/>
          <w:i/>
          <w:iCs/>
          <w:noProof/>
          <w:sz w:val="24"/>
        </w:rPr>
        <w:t>EFSA</w:t>
      </w:r>
      <w:r>
        <w:rPr>
          <w:rFonts w:ascii="Times New Roman" w:hAnsi="Times New Roman"/>
          <w:noProof/>
          <w:sz w:val="24"/>
        </w:rPr>
        <w:t xml:space="preserve"> ir novērtējusi pozitīvi</w:t>
      </w:r>
      <w:bookmarkEnd w:id="5"/>
      <w:r>
        <w:rPr>
          <w:rFonts w:ascii="Times New Roman" w:hAnsi="Times New Roman"/>
          <w:noProof/>
          <w:sz w:val="24"/>
        </w:rPr>
        <w:t xml:space="preserve">. </w:t>
      </w:r>
      <w:bookmarkStart w:id="6" w:name="_Hlk159944182"/>
      <w:r>
        <w:rPr>
          <w:rFonts w:ascii="Times New Roman" w:hAnsi="Times New Roman"/>
          <w:noProof/>
          <w:sz w:val="24"/>
        </w:rPr>
        <w:t xml:space="preserve">Komisija 2022. gada 14. janvārī, 2023. gada 10. janvārī un 2024. gada 2. februārī pieņēma trīs deleģētos aktus, </w:t>
      </w:r>
      <w:bookmarkEnd w:id="6"/>
      <w:r>
        <w:rPr>
          <w:rFonts w:ascii="Times New Roman" w:hAnsi="Times New Roman"/>
          <w:noProof/>
          <w:sz w:val="24"/>
        </w:rPr>
        <w:t xml:space="preserve">kuru mērķis ir atļaut tādu no olbaltumvielu hidrolizātiem ražotu maisījumu zīdaiņiem un papildu ēdināšanas maisījumu zīdaiņiem laišanu tirgū, ko </w:t>
      </w:r>
      <w:r>
        <w:rPr>
          <w:rFonts w:ascii="Times New Roman" w:hAnsi="Times New Roman"/>
          <w:i/>
          <w:iCs/>
          <w:noProof/>
          <w:sz w:val="24"/>
        </w:rPr>
        <w:t>EFSA</w:t>
      </w:r>
      <w:r>
        <w:rPr>
          <w:rFonts w:ascii="Times New Roman" w:hAnsi="Times New Roman"/>
          <w:noProof/>
          <w:sz w:val="24"/>
        </w:rPr>
        <w:t xml:space="preserve"> laikposmā no 2020. līdz 2023. gadam ir novērtējusi</w:t>
      </w:r>
      <w:r w:rsidR="00C82018" w:rsidRPr="00D926DB">
        <w:rPr>
          <w:rStyle w:val="FootnoteReference"/>
          <w:rFonts w:ascii="Times New Roman" w:hAnsi="Times New Roman" w:cs="Times New Roman"/>
          <w:noProof/>
          <w:sz w:val="24"/>
          <w:szCs w:val="24"/>
        </w:rPr>
        <w:footnoteReference w:id="16"/>
      </w:r>
      <w:r>
        <w:rPr>
          <w:rFonts w:ascii="Times New Roman" w:hAnsi="Times New Roman"/>
          <w:noProof/>
          <w:sz w:val="24"/>
          <w:vertAlign w:val="superscript"/>
        </w:rPr>
        <w:t>,</w:t>
      </w:r>
      <w:r w:rsidR="00C82018" w:rsidRPr="00D926DB">
        <w:rPr>
          <w:rStyle w:val="FootnoteReference"/>
          <w:rFonts w:ascii="Times New Roman" w:hAnsi="Times New Roman" w:cs="Times New Roman"/>
          <w:noProof/>
          <w:sz w:val="24"/>
          <w:szCs w:val="24"/>
        </w:rPr>
        <w:footnoteReference w:id="17"/>
      </w:r>
      <w:r>
        <w:rPr>
          <w:rFonts w:ascii="Times New Roman" w:hAnsi="Times New Roman"/>
          <w:noProof/>
          <w:sz w:val="24"/>
          <w:vertAlign w:val="superscript"/>
        </w:rPr>
        <w:t>,</w:t>
      </w:r>
      <w:r w:rsidR="00493E25" w:rsidRPr="00D926DB">
        <w:rPr>
          <w:rStyle w:val="FootnoteReference"/>
          <w:rFonts w:ascii="Times New Roman" w:hAnsi="Times New Roman" w:cs="Times New Roman"/>
          <w:noProof/>
          <w:sz w:val="24"/>
          <w:szCs w:val="24"/>
        </w:rPr>
        <w:footnoteReference w:id="18"/>
      </w:r>
      <w:r>
        <w:rPr>
          <w:rFonts w:ascii="Times New Roman" w:hAnsi="Times New Roman"/>
          <w:noProof/>
          <w:sz w:val="24"/>
        </w:rPr>
        <w:t xml:space="preserve"> kā uzturvielu ziņā nekaitīgus un piemērotus zīdaiņiem; </w:t>
      </w:r>
    </w:p>
    <w:p w14:paraId="22CDF535" w14:textId="77777777" w:rsidR="00B32396" w:rsidRDefault="00B32396" w:rsidP="001F0967">
      <w:pPr>
        <w:pStyle w:val="ListParagraph"/>
        <w:ind w:left="437"/>
        <w:jc w:val="both"/>
        <w:rPr>
          <w:rFonts w:ascii="Times New Roman" w:hAnsi="Times New Roman" w:cs="Times New Roman"/>
          <w:noProof/>
          <w:sz w:val="24"/>
          <w:szCs w:val="24"/>
        </w:rPr>
      </w:pPr>
    </w:p>
    <w:p w14:paraId="78666F7C" w14:textId="64D56D16" w:rsidR="00E05064" w:rsidRPr="00D926DB" w:rsidRDefault="007C04BA" w:rsidP="001F0967">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rPr>
        <w:t>Komisijas Deleģētā regula (ES) 2022/2182, ar ko attiecībā uz prasībām par lipīdu un magniju svara kontrolei paredzētos pilnīgos uztura aizstājējos groza Deleģēto regulu (ES) 2017/1798</w:t>
      </w:r>
      <w:r w:rsidR="00217F18" w:rsidRPr="00D926DB">
        <w:rPr>
          <w:rStyle w:val="FootnoteReference"/>
          <w:rFonts w:ascii="Times New Roman" w:hAnsi="Times New Roman" w:cs="Times New Roman"/>
          <w:noProof/>
          <w:sz w:val="24"/>
          <w:szCs w:val="24"/>
        </w:rPr>
        <w:footnoteReference w:id="19"/>
      </w:r>
      <w:r>
        <w:rPr>
          <w:rFonts w:ascii="Times New Roman" w:hAnsi="Times New Roman"/>
          <w:noProof/>
          <w:sz w:val="24"/>
        </w:rPr>
        <w:t>.</w:t>
      </w:r>
    </w:p>
    <w:p w14:paraId="0CCFDCA4" w14:textId="77777777" w:rsidR="00DC5A26" w:rsidRPr="00D926DB" w:rsidRDefault="00DC5A26" w:rsidP="00B33DD9">
      <w:pPr>
        <w:pStyle w:val="ListParagraph"/>
        <w:ind w:left="437"/>
        <w:jc w:val="both"/>
        <w:rPr>
          <w:rFonts w:ascii="Times New Roman" w:hAnsi="Times New Roman" w:cs="Times New Roman"/>
          <w:noProof/>
          <w:sz w:val="24"/>
          <w:szCs w:val="24"/>
        </w:rPr>
      </w:pPr>
    </w:p>
    <w:p w14:paraId="4C5C6B58" w14:textId="241F353E" w:rsidR="00A92FDA" w:rsidRPr="00D926DB" w:rsidRDefault="00193BB8" w:rsidP="00A92FDA">
      <w:pPr>
        <w:pStyle w:val="ListParagraph"/>
        <w:ind w:left="437"/>
        <w:jc w:val="both"/>
        <w:rPr>
          <w:rFonts w:ascii="Times New Roman" w:hAnsi="Times New Roman" w:cs="Times New Roman"/>
          <w:noProof/>
          <w:sz w:val="24"/>
          <w:szCs w:val="24"/>
        </w:rPr>
      </w:pPr>
      <w:r>
        <w:rPr>
          <w:rFonts w:ascii="Times New Roman" w:hAnsi="Times New Roman"/>
          <w:noProof/>
          <w:sz w:val="24"/>
        </w:rPr>
        <w:t xml:space="preserve">Šis tiesību akts tika pieņemts 2022. gada 30. augustā ar mērķi atjaunināt dažas sastāva prasības attiecībā uz pilnīgiem uztura aizstājējiem svara kontrolei, pamatojoties uz </w:t>
      </w:r>
      <w:r>
        <w:rPr>
          <w:rFonts w:ascii="Times New Roman" w:hAnsi="Times New Roman"/>
          <w:i/>
          <w:iCs/>
          <w:noProof/>
          <w:sz w:val="24"/>
        </w:rPr>
        <w:t>EFSA</w:t>
      </w:r>
      <w:r>
        <w:rPr>
          <w:rFonts w:ascii="Times New Roman" w:hAnsi="Times New Roman"/>
          <w:noProof/>
          <w:sz w:val="24"/>
        </w:rPr>
        <w:t xml:space="preserve"> zinātnisko atzinumu</w:t>
      </w:r>
      <w:r w:rsidR="005E3250" w:rsidRPr="00D926DB">
        <w:rPr>
          <w:rStyle w:val="FootnoteReference"/>
          <w:rFonts w:ascii="Times New Roman" w:hAnsi="Times New Roman" w:cs="Times New Roman"/>
          <w:noProof/>
          <w:sz w:val="24"/>
          <w:szCs w:val="24"/>
        </w:rPr>
        <w:footnoteReference w:id="20"/>
      </w:r>
      <w:r>
        <w:rPr>
          <w:rFonts w:ascii="Times New Roman" w:hAnsi="Times New Roman"/>
          <w:noProof/>
          <w:sz w:val="24"/>
        </w:rPr>
        <w:t xml:space="preserve"> un ņemot vērā attiecīgo tehnikas un zinātnes attīstību, arī ieinteresēto personu sniegtos datus; </w:t>
      </w:r>
    </w:p>
    <w:p w14:paraId="7F044A19" w14:textId="77777777" w:rsidR="00A92FDA" w:rsidRPr="00D926DB" w:rsidRDefault="00A92FDA" w:rsidP="00A92FDA">
      <w:pPr>
        <w:pStyle w:val="ListParagraph"/>
        <w:ind w:left="437"/>
        <w:jc w:val="both"/>
        <w:rPr>
          <w:rFonts w:ascii="Times New Roman" w:hAnsi="Times New Roman" w:cs="Times New Roman"/>
          <w:noProof/>
          <w:sz w:val="24"/>
          <w:szCs w:val="24"/>
        </w:rPr>
      </w:pPr>
    </w:p>
    <w:p w14:paraId="6DF5CDD6" w14:textId="725E6CE6" w:rsidR="00E125D1" w:rsidRPr="00D926DB" w:rsidRDefault="00A92FDA" w:rsidP="00E125D1">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rPr>
        <w:t>Komisijas Deleģētā regula, ar ko attiecībā uz pesticīdiem un to atliekām īpašiem medicīniskiem nolūkiem paredzētā pārtikā, kas izstrādāta zīdaiņu un mazu bērnu uztura vajadzību apmierināšanai, groza Deleģēto regulu (ES) 2016/128</w:t>
      </w:r>
      <w:r w:rsidR="00E125D1" w:rsidRPr="00D926DB">
        <w:rPr>
          <w:rStyle w:val="FootnoteReference"/>
          <w:rFonts w:ascii="Times New Roman" w:hAnsi="Times New Roman" w:cs="Times New Roman"/>
          <w:noProof/>
          <w:sz w:val="24"/>
          <w:szCs w:val="24"/>
        </w:rPr>
        <w:footnoteReference w:id="21"/>
      </w:r>
      <w:r>
        <w:rPr>
          <w:rFonts w:ascii="Times New Roman" w:hAnsi="Times New Roman"/>
          <w:noProof/>
          <w:sz w:val="24"/>
        </w:rPr>
        <w:t>, un Komisijas Deleģētā regula, ar ko attiecībā uz prasībām saistībā ar pesticīdiem maisījumos zīdaiņiem un papildu ēdināšanas maisījumos zīdaiņiem groza Deleģēto regulu (ES) 2016/127</w:t>
      </w:r>
      <w:r w:rsidR="00E125D1" w:rsidRPr="00D926DB">
        <w:rPr>
          <w:rStyle w:val="FootnoteReference"/>
          <w:rFonts w:ascii="Times New Roman" w:hAnsi="Times New Roman" w:cs="Times New Roman"/>
          <w:noProof/>
          <w:sz w:val="24"/>
          <w:szCs w:val="24"/>
        </w:rPr>
        <w:footnoteReference w:id="22"/>
      </w:r>
      <w:r>
        <w:rPr>
          <w:rFonts w:ascii="Times New Roman" w:hAnsi="Times New Roman"/>
          <w:noProof/>
          <w:sz w:val="24"/>
        </w:rPr>
        <w:t>.</w:t>
      </w:r>
    </w:p>
    <w:p w14:paraId="1852582F" w14:textId="77777777" w:rsidR="00A92FDA" w:rsidRPr="00D926DB" w:rsidRDefault="00A92FDA" w:rsidP="00A92FDA">
      <w:pPr>
        <w:pStyle w:val="ListParagraph"/>
        <w:ind w:left="437"/>
        <w:jc w:val="both"/>
        <w:rPr>
          <w:rFonts w:ascii="Times New Roman" w:hAnsi="Times New Roman" w:cs="Times New Roman"/>
          <w:noProof/>
          <w:sz w:val="24"/>
          <w:szCs w:val="24"/>
        </w:rPr>
      </w:pPr>
    </w:p>
    <w:p w14:paraId="00A12AFA" w14:textId="7E9399CA" w:rsidR="0085338F" w:rsidRPr="00D926DB" w:rsidRDefault="00A06C67" w:rsidP="00B5074F">
      <w:pPr>
        <w:pStyle w:val="ListParagraph"/>
        <w:ind w:left="437"/>
        <w:jc w:val="both"/>
        <w:rPr>
          <w:rFonts w:ascii="Times New Roman" w:hAnsi="Times New Roman" w:cs="Times New Roman"/>
          <w:noProof/>
          <w:sz w:val="24"/>
          <w:szCs w:val="24"/>
        </w:rPr>
      </w:pPr>
      <w:r>
        <w:rPr>
          <w:rFonts w:ascii="Times New Roman" w:hAnsi="Times New Roman"/>
          <w:noProof/>
          <w:sz w:val="24"/>
        </w:rPr>
        <w:t>Šos divus deleģētos aktus Komisija pieņēma 2021. gada 16. aprīlī ar mērķi Deleģētajā regulā (ES) 2016/128 un Deleģētajā regulā (ES) 2016/127 noteikto “pesticīdu atlieku” definīciju saskaņot ar precīzāku definīciju, kura sniegta Regulā (EK) Nr. 396/2005</w:t>
      </w:r>
      <w:r w:rsidRPr="000469AC">
        <w:rPr>
          <w:rStyle w:val="FootnoteReference"/>
          <w:rFonts w:ascii="Times New Roman" w:hAnsi="Times New Roman" w:cs="Times New Roman"/>
          <w:noProof/>
          <w:sz w:val="24"/>
          <w:szCs w:val="24"/>
        </w:rPr>
        <w:footnoteReference w:id="23"/>
      </w:r>
      <w:r>
        <w:rPr>
          <w:rFonts w:ascii="Times New Roman" w:hAnsi="Times New Roman"/>
          <w:noProof/>
          <w:sz w:val="24"/>
        </w:rPr>
        <w:t xml:space="preserve">, ar ko paredz maksimāli pieļaujamos pesticīdu atlieku līmeņus. </w:t>
      </w:r>
    </w:p>
    <w:p w14:paraId="4B01C298" w14:textId="335E75A8" w:rsidR="006C669B" w:rsidRDefault="00DA068F" w:rsidP="00BF50E6">
      <w:pPr>
        <w:ind w:left="426" w:hanging="426"/>
        <w:jc w:val="both"/>
        <w:rPr>
          <w:rFonts w:ascii="Times New Roman" w:hAnsi="Times New Roman" w:cs="Times New Roman"/>
          <w:noProof/>
          <w:sz w:val="24"/>
          <w:szCs w:val="24"/>
        </w:rPr>
      </w:pPr>
      <w:r>
        <w:rPr>
          <w:rFonts w:ascii="Times New Roman" w:hAnsi="Times New Roman"/>
          <w:noProof/>
          <w:sz w:val="24"/>
        </w:rPr>
        <w:t>3.2. Līdz šim Komisija vēl nav izmantojusi Regulas par pārtiku īpašām patērētāju grupām 15. panta 6. punkta juridisko pamatu, jo vēl nav izpildīti nosacījumi kādas vielu kategorijas iekļaušanai regulas pielikumā vai svītrošanai no tā.</w:t>
      </w:r>
    </w:p>
    <w:p w14:paraId="2BDC29F4" w14:textId="594733C2" w:rsidR="00A24618" w:rsidRPr="00D926DB" w:rsidRDefault="006C669B" w:rsidP="00BF50E6">
      <w:pPr>
        <w:ind w:left="426" w:hanging="426"/>
        <w:jc w:val="both"/>
        <w:rPr>
          <w:rFonts w:ascii="Times New Roman" w:hAnsi="Times New Roman" w:cs="Times New Roman"/>
          <w:noProof/>
          <w:sz w:val="24"/>
          <w:szCs w:val="24"/>
        </w:rPr>
      </w:pPr>
      <w:r>
        <w:rPr>
          <w:rFonts w:ascii="Times New Roman" w:hAnsi="Times New Roman"/>
          <w:noProof/>
          <w:sz w:val="24"/>
        </w:rPr>
        <w:t>3.3</w:t>
      </w:r>
      <w:r>
        <w:rPr>
          <w:rFonts w:ascii="Times New Roman" w:hAnsi="Times New Roman"/>
          <w:noProof/>
          <w:sz w:val="24"/>
        </w:rPr>
        <w:tab/>
        <w:t>No 2017. gada 22. augusta līdz šim brīdim Komisija ir pieņēmusi šādus trīs deleģētos aktus saskaņā ar Regulas par pārtiku īpašām patērētāju grupām 16. panta 1. punktu:</w:t>
      </w:r>
    </w:p>
    <w:p w14:paraId="3A96BEA3" w14:textId="195ED45A" w:rsidR="00E945E1" w:rsidRPr="00D926DB" w:rsidRDefault="00A23328" w:rsidP="00E945E1">
      <w:pPr>
        <w:pStyle w:val="ListParagraph"/>
        <w:numPr>
          <w:ilvl w:val="0"/>
          <w:numId w:val="11"/>
        </w:numPr>
        <w:jc w:val="both"/>
        <w:rPr>
          <w:rFonts w:ascii="Times New Roman" w:hAnsi="Times New Roman" w:cs="Times New Roman"/>
          <w:noProof/>
          <w:sz w:val="24"/>
          <w:szCs w:val="24"/>
        </w:rPr>
      </w:pPr>
      <w:r>
        <w:rPr>
          <w:rFonts w:ascii="Times New Roman" w:hAnsi="Times New Roman"/>
          <w:noProof/>
          <w:sz w:val="24"/>
        </w:rPr>
        <w:t>Komisijas Deleģētā regula (ES) 2021/571, ar ko attiecībā uz tādu vielu sarakstu, kuras drīkst pievienot maisījumiem zīdaiņiem un papildu ēdināšanas maisījumiem zīdaiņiem, bērnu pārtikai un apstrādātu graudaugu pārtikai, groza Regulas par pārtiku īpašām patērētāju grupām pielikumu</w:t>
      </w:r>
      <w:r w:rsidR="00FB078D" w:rsidRPr="00D926DB">
        <w:rPr>
          <w:rStyle w:val="FootnoteReference"/>
          <w:rFonts w:ascii="Times New Roman" w:hAnsi="Times New Roman" w:cs="Times New Roman"/>
          <w:noProof/>
          <w:sz w:val="24"/>
          <w:szCs w:val="24"/>
        </w:rPr>
        <w:footnoteReference w:id="24"/>
      </w:r>
      <w:r>
        <w:rPr>
          <w:rFonts w:ascii="Times New Roman" w:hAnsi="Times New Roman"/>
          <w:noProof/>
          <w:sz w:val="24"/>
        </w:rPr>
        <w:t>.</w:t>
      </w:r>
    </w:p>
    <w:p w14:paraId="1CD17645" w14:textId="77777777" w:rsidR="00E945E1" w:rsidRPr="00D926DB" w:rsidRDefault="00E945E1" w:rsidP="00E945E1">
      <w:pPr>
        <w:pStyle w:val="ListParagraph"/>
        <w:ind w:left="360"/>
        <w:jc w:val="both"/>
        <w:rPr>
          <w:rFonts w:ascii="Times New Roman" w:hAnsi="Times New Roman" w:cs="Times New Roman"/>
          <w:noProof/>
          <w:sz w:val="24"/>
          <w:szCs w:val="24"/>
        </w:rPr>
      </w:pPr>
    </w:p>
    <w:p w14:paraId="1C002CA0" w14:textId="62339EB3" w:rsidR="00B33DD9" w:rsidRPr="00D926DB" w:rsidRDefault="00A64BF6" w:rsidP="00BF50E6">
      <w:pPr>
        <w:pStyle w:val="ListParagraph"/>
        <w:ind w:left="426"/>
        <w:jc w:val="both"/>
        <w:rPr>
          <w:rFonts w:ascii="Times New Roman" w:hAnsi="Times New Roman" w:cs="Times New Roman"/>
          <w:noProof/>
          <w:sz w:val="24"/>
          <w:szCs w:val="24"/>
        </w:rPr>
      </w:pPr>
      <w:r>
        <w:rPr>
          <w:rFonts w:ascii="Times New Roman" w:hAnsi="Times New Roman"/>
          <w:noProof/>
          <w:sz w:val="24"/>
        </w:rPr>
        <w:t xml:space="preserve">Šo deleģēto aktu Komisija pieņēma 2021. gada 20. janvārī ar mērķi atjaunināt Savienības sarakstu ar vielām, kuras drīkst pievienot konkrētām pārtikas kategorijām, lai, pamatojoties uz </w:t>
      </w:r>
      <w:r>
        <w:rPr>
          <w:rFonts w:ascii="Times New Roman" w:hAnsi="Times New Roman"/>
          <w:i/>
          <w:iCs/>
          <w:noProof/>
          <w:sz w:val="24"/>
        </w:rPr>
        <w:t>EFSA</w:t>
      </w:r>
      <w:r>
        <w:rPr>
          <w:rFonts w:ascii="Times New Roman" w:hAnsi="Times New Roman"/>
          <w:noProof/>
          <w:sz w:val="24"/>
        </w:rPr>
        <w:t xml:space="preserve"> zinātnisko atzinumu</w:t>
      </w:r>
      <w:r w:rsidR="00C3659B" w:rsidRPr="00D926DB">
        <w:rPr>
          <w:rStyle w:val="FootnoteReference"/>
          <w:rFonts w:ascii="Times New Roman" w:hAnsi="Times New Roman" w:cs="Times New Roman"/>
          <w:noProof/>
          <w:sz w:val="24"/>
          <w:szCs w:val="24"/>
        </w:rPr>
        <w:footnoteReference w:id="25"/>
      </w:r>
      <w:r>
        <w:rPr>
          <w:rFonts w:ascii="Times New Roman" w:hAnsi="Times New Roman"/>
          <w:noProof/>
          <w:sz w:val="24"/>
        </w:rPr>
        <w:t>, maisījumiem zīdaiņiem, papildu ēdināšanas maisījumiem zīdaiņiem, apstrādātu graudaugu pārtikai un bērnu pārtikai atļautu pievienot kalcija L-metilfolātu kā folāta avotu;</w:t>
      </w:r>
    </w:p>
    <w:p w14:paraId="1C0EF2A5" w14:textId="77777777" w:rsidR="00E945E1" w:rsidRPr="00D926DB" w:rsidRDefault="00E945E1" w:rsidP="00BF50E6">
      <w:pPr>
        <w:pStyle w:val="ListParagraph"/>
        <w:ind w:left="426"/>
        <w:jc w:val="both"/>
        <w:rPr>
          <w:rFonts w:ascii="Times New Roman" w:hAnsi="Times New Roman" w:cs="Times New Roman"/>
          <w:noProof/>
          <w:sz w:val="24"/>
          <w:szCs w:val="24"/>
        </w:rPr>
      </w:pPr>
    </w:p>
    <w:p w14:paraId="2EE01387" w14:textId="660540D5" w:rsidR="00E945E1" w:rsidRPr="00D926DB" w:rsidRDefault="00E945E1" w:rsidP="00E945E1">
      <w:pPr>
        <w:pStyle w:val="ListParagraph"/>
        <w:numPr>
          <w:ilvl w:val="0"/>
          <w:numId w:val="11"/>
        </w:numPr>
        <w:jc w:val="both"/>
        <w:rPr>
          <w:rFonts w:ascii="Times New Roman" w:hAnsi="Times New Roman" w:cs="Times New Roman"/>
          <w:noProof/>
          <w:sz w:val="24"/>
          <w:szCs w:val="24"/>
        </w:rPr>
      </w:pPr>
      <w:r>
        <w:rPr>
          <w:rFonts w:ascii="Times New Roman" w:hAnsi="Times New Roman"/>
          <w:noProof/>
          <w:sz w:val="24"/>
        </w:rPr>
        <w:t>Komisijas Deleģētā regula (ES) 2023/439, ar ko nolūkā atļaut nikotīnamīda ribozīda hlorīdu izmantot par niacīna avotu īpašiem medicīniskiem nolūkiem paredzētā pārtikā un svara kontrolei paredzētos pilnīgos uztura aizstājējos groza Regulas par pārtiku īpašām patērētāju grupām pielikumu</w:t>
      </w:r>
      <w:r w:rsidR="00C47864" w:rsidRPr="00D926DB">
        <w:rPr>
          <w:rStyle w:val="FootnoteReference"/>
          <w:rFonts w:ascii="Times New Roman" w:hAnsi="Times New Roman" w:cs="Times New Roman"/>
          <w:noProof/>
          <w:sz w:val="24"/>
          <w:szCs w:val="24"/>
        </w:rPr>
        <w:footnoteReference w:id="26"/>
      </w:r>
      <w:r>
        <w:rPr>
          <w:rFonts w:ascii="Times New Roman" w:hAnsi="Times New Roman"/>
          <w:noProof/>
          <w:sz w:val="24"/>
        </w:rPr>
        <w:t>.</w:t>
      </w:r>
    </w:p>
    <w:p w14:paraId="2298F29F" w14:textId="66605CE9" w:rsidR="00E945E1" w:rsidRPr="00D926DB" w:rsidRDefault="00E945E1" w:rsidP="00E945E1">
      <w:pPr>
        <w:ind w:left="360"/>
        <w:jc w:val="both"/>
        <w:rPr>
          <w:rFonts w:ascii="Times New Roman" w:hAnsi="Times New Roman" w:cs="Times New Roman"/>
          <w:noProof/>
          <w:sz w:val="24"/>
          <w:szCs w:val="24"/>
        </w:rPr>
      </w:pPr>
      <w:r>
        <w:rPr>
          <w:rFonts w:ascii="Times New Roman" w:hAnsi="Times New Roman"/>
          <w:noProof/>
          <w:sz w:val="24"/>
        </w:rPr>
        <w:t xml:space="preserve">Šo tiesību aktu Komisija pieņēma 2022. gada 16. decembrī ar mērķi atjaunināt Savienības sarakstu ar vielām, kuras drīkst pievienot konkrētām pārtikas kategorijām, lai, pamatojoties uz </w:t>
      </w:r>
      <w:r>
        <w:rPr>
          <w:rFonts w:ascii="Times New Roman" w:hAnsi="Times New Roman"/>
          <w:i/>
          <w:iCs/>
          <w:noProof/>
          <w:sz w:val="24"/>
        </w:rPr>
        <w:t>EFSA</w:t>
      </w:r>
      <w:r>
        <w:rPr>
          <w:rFonts w:ascii="Times New Roman" w:hAnsi="Times New Roman"/>
          <w:noProof/>
          <w:sz w:val="24"/>
        </w:rPr>
        <w:t xml:space="preserve"> zinātnisko atzinumu</w:t>
      </w:r>
      <w:r w:rsidR="00C47864" w:rsidRPr="00D926DB">
        <w:rPr>
          <w:rStyle w:val="FootnoteReference"/>
          <w:rFonts w:ascii="Times New Roman" w:hAnsi="Times New Roman" w:cs="Times New Roman"/>
          <w:noProof/>
          <w:sz w:val="24"/>
          <w:szCs w:val="24"/>
        </w:rPr>
        <w:footnoteReference w:id="27"/>
      </w:r>
      <w:r>
        <w:rPr>
          <w:rFonts w:ascii="Times New Roman" w:hAnsi="Times New Roman"/>
          <w:noProof/>
          <w:sz w:val="24"/>
        </w:rPr>
        <w:t>, īpašiem medicīniskiem nolūkiem paredzētai pārtikai un pilnīgiem uztura aizstājējiem svara kontrolei atļautu pievienot nikotīnamīda ribozīda hlorīdu kā niacīna avotu;</w:t>
      </w:r>
    </w:p>
    <w:p w14:paraId="63FD2E39" w14:textId="729517CC" w:rsidR="000B7695" w:rsidRPr="00D926DB" w:rsidRDefault="000B7695" w:rsidP="000B7695">
      <w:pPr>
        <w:pStyle w:val="ListParagraph"/>
        <w:numPr>
          <w:ilvl w:val="0"/>
          <w:numId w:val="11"/>
        </w:numPr>
        <w:jc w:val="both"/>
        <w:rPr>
          <w:rFonts w:ascii="Times New Roman" w:hAnsi="Times New Roman" w:cs="Times New Roman"/>
          <w:noProof/>
          <w:sz w:val="24"/>
          <w:szCs w:val="24"/>
        </w:rPr>
      </w:pPr>
      <w:r>
        <w:rPr>
          <w:rFonts w:ascii="Times New Roman" w:hAnsi="Times New Roman"/>
          <w:noProof/>
          <w:sz w:val="24"/>
        </w:rPr>
        <w:t>Komisijas Deleģētā regula, ar ko nolūkā atļaut dzelzs piena kazeinātu izmantot par dzelzs avotu svara kontrolei paredzētos pilnīgos uztura aizstājējos un īpašiem medicīniskiem nolūkiem paredzētā pārtikā, izņemot pārtiku zīdaiņiem un maziem bērniem, groza Regulas par pārtiku īpašām patērētāju grupām pielikumu</w:t>
      </w:r>
      <w:r w:rsidR="002877D1" w:rsidRPr="00D926DB">
        <w:rPr>
          <w:rStyle w:val="FootnoteReference"/>
          <w:rFonts w:ascii="Times New Roman" w:hAnsi="Times New Roman" w:cs="Times New Roman"/>
          <w:noProof/>
          <w:sz w:val="24"/>
          <w:szCs w:val="24"/>
        </w:rPr>
        <w:footnoteReference w:id="28"/>
      </w:r>
      <w:r>
        <w:rPr>
          <w:rFonts w:ascii="Times New Roman" w:hAnsi="Times New Roman"/>
          <w:noProof/>
          <w:sz w:val="24"/>
        </w:rPr>
        <w:t xml:space="preserve">. </w:t>
      </w:r>
    </w:p>
    <w:p w14:paraId="4DBCC8FF" w14:textId="77777777" w:rsidR="00BF50E6" w:rsidRPr="00D926DB" w:rsidRDefault="00BF50E6" w:rsidP="00BF50E6">
      <w:pPr>
        <w:pStyle w:val="ListParagraph"/>
        <w:ind w:left="426"/>
        <w:jc w:val="both"/>
        <w:rPr>
          <w:rFonts w:ascii="Times New Roman" w:hAnsi="Times New Roman" w:cs="Times New Roman"/>
          <w:noProof/>
          <w:sz w:val="24"/>
          <w:szCs w:val="24"/>
        </w:rPr>
      </w:pPr>
    </w:p>
    <w:p w14:paraId="1D0AA0AF" w14:textId="58E81D47" w:rsidR="000B7695" w:rsidRPr="00D926DB" w:rsidRDefault="000B7695" w:rsidP="00896586">
      <w:pPr>
        <w:pStyle w:val="ListParagraph"/>
        <w:ind w:left="360"/>
        <w:jc w:val="both"/>
        <w:rPr>
          <w:rFonts w:ascii="Times New Roman" w:hAnsi="Times New Roman" w:cs="Times New Roman"/>
          <w:noProof/>
          <w:sz w:val="24"/>
          <w:szCs w:val="24"/>
        </w:rPr>
      </w:pPr>
      <w:r>
        <w:rPr>
          <w:rFonts w:ascii="Times New Roman" w:hAnsi="Times New Roman"/>
          <w:noProof/>
          <w:sz w:val="24"/>
        </w:rPr>
        <w:t xml:space="preserve">Šis deleģētais akts tika pieņemts 2024. gada 29. janvārī ar mērķi atjaunināt Savienības sarakstu ar vielām, kuras drīkst pievienot konkrētām pārtikas kategorijām, lai, pamatojoties uz </w:t>
      </w:r>
      <w:r>
        <w:rPr>
          <w:rFonts w:ascii="Times New Roman" w:hAnsi="Times New Roman"/>
          <w:i/>
          <w:iCs/>
          <w:noProof/>
          <w:sz w:val="24"/>
        </w:rPr>
        <w:t>EFSA</w:t>
      </w:r>
      <w:r>
        <w:rPr>
          <w:rFonts w:ascii="Times New Roman" w:hAnsi="Times New Roman"/>
          <w:noProof/>
          <w:sz w:val="24"/>
        </w:rPr>
        <w:t xml:space="preserve"> zinātnisko atzinumu</w:t>
      </w:r>
      <w:r w:rsidR="002877D1" w:rsidRPr="00D926DB">
        <w:rPr>
          <w:rStyle w:val="FootnoteReference"/>
          <w:rFonts w:ascii="Times New Roman" w:hAnsi="Times New Roman" w:cs="Times New Roman"/>
          <w:noProof/>
          <w:sz w:val="24"/>
          <w:szCs w:val="24"/>
        </w:rPr>
        <w:footnoteReference w:id="29"/>
      </w:r>
      <w:r>
        <w:rPr>
          <w:rFonts w:ascii="Times New Roman" w:hAnsi="Times New Roman"/>
          <w:noProof/>
          <w:sz w:val="24"/>
        </w:rPr>
        <w:t>, pilnīgiem uztura aizstājējiem svara kontrolei un īpašiem medicīniskiem nolūkiem paredzētai pārtikai, izņemot zīdaiņiem un maziem bērniem paredzētu pārtiku, atļautu pievienot dzelzs piena kazeinātu kā dzelzs avotu.</w:t>
      </w:r>
    </w:p>
    <w:p w14:paraId="5E77B46E" w14:textId="2B849BEE" w:rsidR="007C5805" w:rsidRPr="00D926DB" w:rsidRDefault="00606C51" w:rsidP="00BF50E6">
      <w:pPr>
        <w:ind w:left="426" w:hanging="426"/>
        <w:jc w:val="both"/>
        <w:rPr>
          <w:rFonts w:ascii="Times New Roman" w:hAnsi="Times New Roman" w:cs="Times New Roman"/>
          <w:noProof/>
          <w:sz w:val="24"/>
          <w:szCs w:val="24"/>
        </w:rPr>
      </w:pPr>
      <w:r>
        <w:rPr>
          <w:rFonts w:ascii="Times New Roman" w:hAnsi="Times New Roman"/>
          <w:noProof/>
          <w:sz w:val="24"/>
        </w:rPr>
        <w:t xml:space="preserve"> </w:t>
      </w:r>
    </w:p>
    <w:p w14:paraId="3151B8FA" w14:textId="77777777" w:rsidR="00326033" w:rsidRPr="00D926DB" w:rsidRDefault="00326033" w:rsidP="00E07750">
      <w:pPr>
        <w:pStyle w:val="Default"/>
        <w:numPr>
          <w:ilvl w:val="0"/>
          <w:numId w:val="3"/>
        </w:numPr>
        <w:rPr>
          <w:b/>
          <w:bCs/>
          <w:noProof/>
        </w:rPr>
      </w:pPr>
      <w:r>
        <w:rPr>
          <w:b/>
          <w:noProof/>
        </w:rPr>
        <w:t xml:space="preserve">Secinājums </w:t>
      </w:r>
    </w:p>
    <w:p w14:paraId="27322092" w14:textId="77777777" w:rsidR="00326033" w:rsidRPr="00D926DB" w:rsidRDefault="00326033" w:rsidP="00326033">
      <w:pPr>
        <w:pStyle w:val="Default"/>
        <w:rPr>
          <w:noProof/>
        </w:rPr>
      </w:pPr>
    </w:p>
    <w:p w14:paraId="3D4D5BBC" w14:textId="1126D80B" w:rsidR="00673157" w:rsidRPr="00047D72" w:rsidRDefault="00673157" w:rsidP="00047D72">
      <w:pPr>
        <w:jc w:val="both"/>
        <w:rPr>
          <w:rFonts w:ascii="Times New Roman" w:hAnsi="Times New Roman" w:cs="Times New Roman"/>
          <w:noProof/>
          <w:sz w:val="24"/>
          <w:szCs w:val="24"/>
        </w:rPr>
      </w:pPr>
      <w:r>
        <w:rPr>
          <w:rFonts w:ascii="Times New Roman" w:hAnsi="Times New Roman"/>
          <w:noProof/>
          <w:sz w:val="24"/>
        </w:rPr>
        <w:t xml:space="preserve">Kopš 2017. gada 22. augusta Komisija ir regulāri īstenojusi deleģētās pilnvaras, kas tai piešķirtas ar Regulu par pārtiku īpašām patērētāju grupām. Pamatojoties uz </w:t>
      </w:r>
      <w:r>
        <w:rPr>
          <w:rFonts w:ascii="Times New Roman" w:hAnsi="Times New Roman"/>
          <w:i/>
          <w:iCs/>
          <w:noProof/>
          <w:sz w:val="24"/>
        </w:rPr>
        <w:t>EFSA</w:t>
      </w:r>
      <w:r>
        <w:rPr>
          <w:rFonts w:ascii="Times New Roman" w:hAnsi="Times New Roman"/>
          <w:noProof/>
          <w:sz w:val="24"/>
        </w:rPr>
        <w:t xml:space="preserve"> atzinumiem un ņemot vērā attiecīgo tehnikas un zinātnes attīstību, Komisija ir pieņēmusi deleģētos aktus, lai atjauninātu īpašas sastāva prasības attiecībā uz maisījumiem zīdaiņiem un papildu ēdināšanas maisījumiem zīdaiņiem, kā arī pilnīgiem uztura aizstājējiem svara kontrolei. Turklāt, pamatojoties uz </w:t>
      </w:r>
      <w:r>
        <w:rPr>
          <w:rFonts w:ascii="Times New Roman" w:hAnsi="Times New Roman"/>
          <w:i/>
          <w:iCs/>
          <w:noProof/>
          <w:sz w:val="24"/>
        </w:rPr>
        <w:t>EFSA</w:t>
      </w:r>
      <w:r>
        <w:rPr>
          <w:rFonts w:ascii="Times New Roman" w:hAnsi="Times New Roman"/>
          <w:noProof/>
          <w:sz w:val="24"/>
        </w:rPr>
        <w:t xml:space="preserve"> ieteikumiem un ņemot vērā tehnikas attīstību, zinātnes attīstību un patērētāju veselības aizsardzību, Komisija atjaunināja Savienības sarakstu ar vielām, kuras drīkst pievienot konkrētām pārtikas kategorijām. Komisija aicina Eiropas Parlamentu un Padomi ņemt vērā šo ziņojumu.</w:t>
      </w:r>
    </w:p>
    <w:p w14:paraId="49183B09" w14:textId="5BC50D1E" w:rsidR="00BF1A05" w:rsidRPr="00E04C00" w:rsidRDefault="00BF1A05" w:rsidP="00326033">
      <w:pPr>
        <w:jc w:val="both"/>
        <w:rPr>
          <w:rFonts w:ascii="Times New Roman" w:hAnsi="Times New Roman" w:cs="Times New Roman"/>
          <w:noProof/>
          <w:sz w:val="24"/>
          <w:szCs w:val="24"/>
        </w:rPr>
      </w:pPr>
    </w:p>
    <w:sectPr w:rsidR="00BF1A05" w:rsidRPr="00E04C00" w:rsidSect="004573BF">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838B0C" w14:textId="77777777" w:rsidR="0075757E" w:rsidRDefault="0075757E" w:rsidP="00B70B73">
      <w:pPr>
        <w:spacing w:after="0" w:line="240" w:lineRule="auto"/>
      </w:pPr>
      <w:r>
        <w:separator/>
      </w:r>
    </w:p>
  </w:endnote>
  <w:endnote w:type="continuationSeparator" w:id="0">
    <w:p w14:paraId="4D9848AE" w14:textId="77777777" w:rsidR="0075757E" w:rsidRDefault="0075757E" w:rsidP="00B70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44A6D" w14:textId="48DED2C8" w:rsidR="00907E72" w:rsidRPr="00907E72" w:rsidRDefault="00907E72" w:rsidP="00907E72">
    <w:pPr>
      <w:pStyle w:val="FooterCoverPage"/>
      <w:rPr>
        <w:rFonts w:ascii="Arial" w:hAnsi="Arial" w:cs="Arial"/>
        <w:b/>
        <w:sz w:val="48"/>
      </w:rPr>
    </w:pPr>
    <w:r w:rsidRPr="00907E72">
      <w:rPr>
        <w:rFonts w:ascii="Arial" w:hAnsi="Arial" w:cs="Arial"/>
        <w:b/>
        <w:sz w:val="48"/>
      </w:rPr>
      <w:t>LV</w:t>
    </w:r>
    <w:r w:rsidRPr="00907E72">
      <w:rPr>
        <w:rFonts w:ascii="Arial" w:hAnsi="Arial" w:cs="Arial"/>
        <w:b/>
        <w:sz w:val="48"/>
      </w:rPr>
      <w:tab/>
    </w:r>
    <w:r w:rsidRPr="00907E72">
      <w:rPr>
        <w:rFonts w:ascii="Arial" w:hAnsi="Arial" w:cs="Arial"/>
        <w:b/>
        <w:sz w:val="48"/>
      </w:rPr>
      <w:tab/>
    </w:r>
    <w:r w:rsidRPr="00907E72">
      <w:tab/>
    </w:r>
    <w:r w:rsidRPr="00907E72">
      <w:rPr>
        <w:rFonts w:ascii="Arial" w:hAnsi="Arial" w:cs="Arial"/>
        <w:b/>
        <w:sz w:val="48"/>
      </w:rPr>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5D5E7" w14:textId="4A081DCB" w:rsidR="00907E72" w:rsidRPr="00907E72" w:rsidRDefault="00907E72" w:rsidP="00907E72">
    <w:pPr>
      <w:pStyle w:val="FooterCoverPage"/>
      <w:rPr>
        <w:rFonts w:ascii="Arial" w:hAnsi="Arial" w:cs="Arial"/>
        <w:b/>
        <w:sz w:val="48"/>
      </w:rPr>
    </w:pPr>
    <w:r w:rsidRPr="00907E72">
      <w:rPr>
        <w:rFonts w:ascii="Arial" w:hAnsi="Arial" w:cs="Arial"/>
        <w:b/>
        <w:sz w:val="48"/>
      </w:rPr>
      <w:t>LV</w:t>
    </w:r>
    <w:r w:rsidRPr="00907E72">
      <w:rPr>
        <w:rFonts w:ascii="Arial" w:hAnsi="Arial" w:cs="Arial"/>
        <w:b/>
        <w:sz w:val="48"/>
      </w:rPr>
      <w:tab/>
    </w:r>
    <w:r w:rsidRPr="00907E72">
      <w:rPr>
        <w:rFonts w:ascii="Arial" w:hAnsi="Arial" w:cs="Arial"/>
        <w:b/>
        <w:sz w:val="48"/>
      </w:rPr>
      <w:tab/>
    </w:r>
    <w:r w:rsidRPr="00907E72">
      <w:tab/>
    </w:r>
    <w:r w:rsidRPr="00907E72">
      <w:rPr>
        <w:rFonts w:ascii="Arial" w:hAnsi="Arial" w:cs="Arial"/>
        <w:b/>
        <w:sz w:val="48"/>
      </w:rPr>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281EF" w14:textId="77777777" w:rsidR="00907E72" w:rsidRPr="00907E72" w:rsidRDefault="00907E72" w:rsidP="00907E7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4EEF8" w14:textId="77777777" w:rsidR="004573BF" w:rsidRDefault="004573B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7601540"/>
      <w:docPartObj>
        <w:docPartGallery w:val="Page Numbers (Bottom of Page)"/>
        <w:docPartUnique/>
      </w:docPartObj>
    </w:sdtPr>
    <w:sdtEndPr>
      <w:rPr>
        <w:noProof/>
      </w:rPr>
    </w:sdtEndPr>
    <w:sdtContent>
      <w:p w14:paraId="4B9404BC" w14:textId="6B0BAC6A" w:rsidR="004573BF" w:rsidRPr="00D77F23" w:rsidRDefault="004573BF" w:rsidP="00D77F23">
        <w:pPr>
          <w:pStyle w:val="Footer"/>
          <w:jc w:val="center"/>
        </w:pPr>
        <w:r>
          <w:fldChar w:fldCharType="begin"/>
        </w:r>
        <w:r>
          <w:instrText xml:space="preserve"> PAGE   \* MERGEFORMAT </w:instrText>
        </w:r>
        <w:r>
          <w:fldChar w:fldCharType="separate"/>
        </w:r>
        <w:r w:rsidR="00907E72">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278BD" w14:textId="77777777" w:rsidR="004573BF" w:rsidRDefault="004573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144DC1" w14:textId="77777777" w:rsidR="0075757E" w:rsidRDefault="0075757E" w:rsidP="00B70B73">
      <w:pPr>
        <w:spacing w:after="0" w:line="240" w:lineRule="auto"/>
      </w:pPr>
      <w:r>
        <w:separator/>
      </w:r>
    </w:p>
  </w:footnote>
  <w:footnote w:type="continuationSeparator" w:id="0">
    <w:p w14:paraId="6CFE43FC" w14:textId="77777777" w:rsidR="0075757E" w:rsidRDefault="0075757E" w:rsidP="00B70B73">
      <w:pPr>
        <w:spacing w:after="0" w:line="240" w:lineRule="auto"/>
      </w:pPr>
      <w:r>
        <w:continuationSeparator/>
      </w:r>
    </w:p>
  </w:footnote>
  <w:footnote w:id="1">
    <w:p w14:paraId="5CC0B3B8" w14:textId="77777777" w:rsidR="00326033" w:rsidRPr="00DA068F" w:rsidRDefault="00326033" w:rsidP="00A64BF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OV L 181, 29.6.2013., 35. lpp.</w:t>
      </w:r>
    </w:p>
  </w:footnote>
  <w:footnote w:id="2">
    <w:p w14:paraId="29D7D584" w14:textId="603823B3" w:rsidR="00372E3D" w:rsidRPr="004170B1" w:rsidRDefault="00372E3D" w:rsidP="00A84F2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Komisijas ziņojums Eiropas Parlamentam un Padomei par to deleģēto pilnvaru īstenošanu, kas Komisijai piešķirtas saskaņā ar Regulu (ES) Nr. 609/2013 par zīdaiņiem un maziem bērniem paredzētu pārtiku, īpašiem medicīniskiem nolūkiem paredzētu pārtiku un par pilnīgiem uztura aizstājējiem svara kontrolei, COM(2017) 438 </w:t>
      </w:r>
      <w:r>
        <w:rPr>
          <w:rFonts w:ascii="Times New Roman" w:hAnsi="Times New Roman"/>
          <w:i/>
          <w:iCs/>
        </w:rPr>
        <w:t>final</w:t>
      </w:r>
      <w:r>
        <w:rPr>
          <w:rFonts w:ascii="Times New Roman" w:hAnsi="Times New Roman"/>
        </w:rPr>
        <w:t xml:space="preserve">. </w:t>
      </w:r>
    </w:p>
  </w:footnote>
  <w:footnote w:id="3">
    <w:p w14:paraId="55F22F5C" w14:textId="77777777" w:rsidR="00C47095" w:rsidRPr="00DA068F" w:rsidRDefault="00C47095" w:rsidP="00DA068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Komisijas Deleģētā regula (ES) 2016/127 (2015. gada 25. septembris), ar ko attiecībā uz īpašām sastāva un informācijas prasībām, kuras piemēro maisījumiem zīdaiņiem un papildu ēdināšanas maisījumiem zīdaiņiem, un attiecībā uz informācijas prasībām saistībā ar zīdaiņu un mazu bērnu ēdināšanu papildina Eiropas Parlamenta un Padomes Regulu (ES) Nr. 609/2013, OV L 25, 2.2.2016., 1. lpp.</w:t>
      </w:r>
    </w:p>
  </w:footnote>
  <w:footnote w:id="4">
    <w:p w14:paraId="470FCD30" w14:textId="77777777" w:rsidR="00C47095" w:rsidRPr="00DA068F" w:rsidRDefault="00C47095" w:rsidP="00DA068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Komisijas Deleģētā regula (ES) 2016/128 (2015. gada 25. septembris), ar ko attiecībā uz īpašām sastāva un informācijas prasībām, kuras piemēro īpašiem medicīniskiem nolūkiem paredzētai pārtikai, papildina Eiropas Parlamenta un Padomes Regulu (ES) Nr. 609/2013, OV L 25, 2.2.2016., 30. lpp.</w:t>
      </w:r>
    </w:p>
  </w:footnote>
  <w:footnote w:id="5">
    <w:p w14:paraId="443F9270" w14:textId="77777777" w:rsidR="00C47095" w:rsidRPr="005D0EF9" w:rsidRDefault="00C47095" w:rsidP="00DA068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Komisijas Deleģētā regula (ES) 2017/1798 (2017. gada 2. jūnijs), ar ko attiecībā uz īpašām sastāva un informācijas prasībām, kuras piemēro svara kontrolei paredzētiem pilnīgiem uztura aizstājējiem, papildina Eiropas Parlamenta un Padomes Regulu (ES) Nr. 609/2013, OV L 259, 7.10.2017., 2. lpp.</w:t>
      </w:r>
    </w:p>
  </w:footnote>
  <w:footnote w:id="6">
    <w:p w14:paraId="12A9AFCE" w14:textId="22927480" w:rsidR="00055D27" w:rsidRPr="00DA068F" w:rsidRDefault="00055D27" w:rsidP="00DA068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Komisijas Deleģētā regula (ES) 2019/828 (2019. gada 14. marts), ar ko attiecībā uz prasībām, kuras izvirza D vitamīna saturam maisījumos zīdaiņiem un erukskābes saturam maisījumos zīdaiņiem un papildu ēdināšanas maisījumos zīdaiņiem, groza Deleģēto regulu (ES) 2016/127, OV L 137, 23.5.2019., 12. lpp.</w:t>
      </w:r>
    </w:p>
  </w:footnote>
  <w:footnote w:id="7">
    <w:p w14:paraId="3EC983CF" w14:textId="7E8F456C" w:rsidR="00C33392" w:rsidRPr="00DA068F" w:rsidRDefault="00C33392" w:rsidP="00DA068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Zinātniskais atzinums par erukskābi barībā un pārtikā, </w:t>
      </w:r>
      <w:hyperlink r:id="rId1" w:history="1">
        <w:r>
          <w:rPr>
            <w:rStyle w:val="Hyperlink"/>
            <w:rFonts w:ascii="Times New Roman" w:hAnsi="Times New Roman"/>
            <w:i/>
            <w:iCs/>
          </w:rPr>
          <w:t>Erucic acid in feed and food</w:t>
        </w:r>
        <w:r>
          <w:rPr>
            <w:rStyle w:val="Hyperlink"/>
            <w:rFonts w:ascii="Times New Roman" w:hAnsi="Times New Roman"/>
          </w:rPr>
          <w:t>,</w:t>
        </w:r>
      </w:hyperlink>
      <w:hyperlink r:id="rId2" w:history="1">
        <w:r>
          <w:rPr>
            <w:rStyle w:val="Hyperlink"/>
            <w:rFonts w:ascii="Times New Roman" w:hAnsi="Times New Roman"/>
          </w:rPr>
          <w:t xml:space="preserve"> </w:t>
        </w:r>
        <w:r>
          <w:rPr>
            <w:rStyle w:val="Hyperlink"/>
            <w:rFonts w:ascii="Times New Roman" w:hAnsi="Times New Roman"/>
            <w:i/>
            <w:iCs/>
          </w:rPr>
          <w:t>EFSA</w:t>
        </w:r>
        <w:r>
          <w:rPr>
            <w:rStyle w:val="Hyperlink"/>
            <w:rFonts w:ascii="Times New Roman" w:hAnsi="Times New Roman"/>
          </w:rPr>
          <w:t xml:space="preserve"> (europa.eu)</w:t>
        </w:r>
      </w:hyperlink>
      <w:r>
        <w:t>.</w:t>
      </w:r>
    </w:p>
  </w:footnote>
  <w:footnote w:id="8">
    <w:p w14:paraId="423ADD8A" w14:textId="2E60BB96" w:rsidR="00E853A4" w:rsidRPr="00DA068F" w:rsidRDefault="00E853A4" w:rsidP="00DA068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Zinātniskais atzinums par D vitamīna maksimālās pieļaujamās devas zīdaiņiem atjaunināšanu, </w:t>
      </w:r>
      <w:hyperlink r:id="rId3" w:history="1">
        <w:r>
          <w:rPr>
            <w:rStyle w:val="Hyperlink"/>
            <w:rFonts w:ascii="Times New Roman" w:hAnsi="Times New Roman"/>
            <w:i/>
            <w:iCs/>
          </w:rPr>
          <w:t>Update of the tolerable upper intake level for vitamin D for infants - - 2018 - EFSA Journal - Wiley Online Library</w:t>
        </w:r>
      </w:hyperlink>
      <w:r>
        <w:t>.</w:t>
      </w:r>
    </w:p>
  </w:footnote>
  <w:footnote w:id="9">
    <w:p w14:paraId="6BDE6AE8" w14:textId="0E778EF8" w:rsidR="007F50E0" w:rsidRPr="00DA068F" w:rsidRDefault="007F50E0" w:rsidP="00DA068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Komisijas Deleģētā regula (ES) 2018/561, ar ko attiecībā uz prasībām par olbaltumvielām papildu ēdināšanas maisījumos zīdaiņiem groza Deleģēto regulu (ES) 2016/127, OV L 94, 12.4.2018., 1. lpp.</w:t>
      </w:r>
    </w:p>
  </w:footnote>
  <w:footnote w:id="10">
    <w:p w14:paraId="7F0E81C1" w14:textId="3F377952" w:rsidR="00045F8E" w:rsidRPr="00DA068F" w:rsidRDefault="00045F8E" w:rsidP="00DA068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Zinātniskais atzinums par papildu ēdināšanas maisījuma zīdaiņiem, kurā olbaltumvielu saturs ir vismaz 1,6 g/100 kcal, nekaitīgumu un piemērotību lietošanai zīdaiņiem, </w:t>
      </w:r>
      <w:hyperlink r:id="rId4" w:history="1">
        <w:r>
          <w:rPr>
            <w:rStyle w:val="Hyperlink"/>
            <w:rFonts w:ascii="Times New Roman" w:hAnsi="Times New Roman"/>
            <w:i/>
            <w:iCs/>
          </w:rPr>
          <w:t>Scientific Opinion on the safety and suitability for use by infants of follow‐on formulae with a protein content of at least 1.6 g/100 kcal</w:t>
        </w:r>
        <w:r>
          <w:rPr>
            <w:rStyle w:val="Hyperlink"/>
            <w:rFonts w:ascii="Times New Roman" w:hAnsi="Times New Roman"/>
          </w:rPr>
          <w:t>,</w:t>
        </w:r>
      </w:hyperlink>
      <w:hyperlink r:id="rId5" w:history="1">
        <w:r>
          <w:rPr>
            <w:rStyle w:val="Hyperlink"/>
            <w:rFonts w:ascii="Times New Roman" w:hAnsi="Times New Roman"/>
          </w:rPr>
          <w:t xml:space="preserve"> </w:t>
        </w:r>
        <w:r>
          <w:rPr>
            <w:rStyle w:val="Hyperlink"/>
            <w:rFonts w:ascii="Times New Roman" w:hAnsi="Times New Roman"/>
            <w:i/>
            <w:iCs/>
          </w:rPr>
          <w:t>EFSA</w:t>
        </w:r>
        <w:r>
          <w:rPr>
            <w:rStyle w:val="Hyperlink"/>
            <w:rFonts w:ascii="Times New Roman" w:hAnsi="Times New Roman"/>
          </w:rPr>
          <w:t xml:space="preserve"> (europa.eu)</w:t>
        </w:r>
      </w:hyperlink>
      <w:r>
        <w:t>.</w:t>
      </w:r>
    </w:p>
  </w:footnote>
  <w:footnote w:id="11">
    <w:p w14:paraId="04741218" w14:textId="42CEB3B4" w:rsidR="00045F8E" w:rsidRPr="00DA068F" w:rsidRDefault="00045F8E" w:rsidP="00DA068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Komisijas Deleģētā regula (ES) 2021/572 (2021. gada 20. janvāris), ar ko attiecībā uz dažu noteikumu piemērošanas datumu groza Deleģēto regulu (ES) 2016/127, OV L 120, 8.4.2021., 4. lpp.</w:t>
      </w:r>
    </w:p>
  </w:footnote>
  <w:footnote w:id="12">
    <w:p w14:paraId="54376E77" w14:textId="10E52C4D" w:rsidR="008B7AD0" w:rsidRPr="008B7AD0" w:rsidRDefault="008B7AD0" w:rsidP="00DA068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Komisijas Direktīva 2006/141/EK (2006. gada 22. decembris) par mākslīgajiem maisījumiem zīdaiņiem un mākslīgajiem papildu ēdināšanas maisījumiem zīdaiņiem, un ar ko groza Direktīvu 1999/21/EK, OV L 401, 30.12.2006., 1. lpp.</w:t>
      </w:r>
    </w:p>
  </w:footnote>
  <w:footnote w:id="13">
    <w:p w14:paraId="430D89E1" w14:textId="007F7ECD" w:rsidR="00E858FB" w:rsidRPr="00E858FB" w:rsidRDefault="00E858FB" w:rsidP="00A5195A">
      <w:pPr>
        <w:pStyle w:val="FootnoteText"/>
        <w:jc w:val="both"/>
        <w:rPr>
          <w:rFonts w:ascii="Times New Roman" w:hAnsi="Times New Roman" w:cs="Times New Roman"/>
        </w:rPr>
      </w:pPr>
      <w:r>
        <w:rPr>
          <w:rStyle w:val="FootnoteReference"/>
        </w:rPr>
        <w:footnoteRef/>
      </w:r>
      <w:r>
        <w:rPr>
          <w:rFonts w:ascii="Times New Roman" w:hAnsi="Times New Roman"/>
        </w:rPr>
        <w:t xml:space="preserve"> Komisijas Deleģētā regula (ES) 2022/519 (2022. gada 14. janvāris), ar ko attiecībā uz prasībām, ko olbaltumvielu sakarā izvirza zīdaiņiem paredzētiem, no olbaltumvielu hidrolizātiem ražotiem maisījumiem un papildu ēdināšanas maisījumiem, groza Deleģēto regulu (ES) 2016/127, OV L 104, 1.4.2022., 58. lpp.</w:t>
      </w:r>
    </w:p>
  </w:footnote>
  <w:footnote w:id="14">
    <w:p w14:paraId="73D3539C" w14:textId="36404AED" w:rsidR="00E858FB" w:rsidRPr="00E858FB" w:rsidRDefault="00E858FB" w:rsidP="00A5195A">
      <w:pPr>
        <w:pStyle w:val="FootnoteText"/>
        <w:jc w:val="both"/>
        <w:rPr>
          <w:rFonts w:ascii="Times New Roman" w:hAnsi="Times New Roman" w:cs="Times New Roman"/>
        </w:rPr>
      </w:pPr>
      <w:r>
        <w:rPr>
          <w:rStyle w:val="FootnoteReference"/>
        </w:rPr>
        <w:footnoteRef/>
      </w:r>
      <w:r>
        <w:rPr>
          <w:rFonts w:ascii="Times New Roman" w:hAnsi="Times New Roman"/>
        </w:rPr>
        <w:t xml:space="preserve"> Komisijas Deleģētā regula (ES) 2023/589 (2023. gada 10. janvāris), ar ko attiecībā uz prasībām, ko olbaltumvielu sakarā izvirza tādiem maisījumiem zīdaiņiem un papildu ēdināšanas maisījumiem, kuri ražoti no olbaltumvielu hidrolizātiem, groza Deleģēto regulu (ES) 2016/127, OV L 79, 17.3.2023., 40. lpp.</w:t>
      </w:r>
    </w:p>
  </w:footnote>
  <w:footnote w:id="15">
    <w:p w14:paraId="79B8BD25" w14:textId="393423D7" w:rsidR="00A5195A" w:rsidRPr="00A5195A" w:rsidRDefault="00A5195A" w:rsidP="00A5195A">
      <w:pPr>
        <w:pStyle w:val="FootnoteText"/>
        <w:jc w:val="both"/>
        <w:rPr>
          <w:rFonts w:ascii="Times New Roman" w:hAnsi="Times New Roman" w:cs="Times New Roman"/>
        </w:rPr>
      </w:pPr>
      <w:r>
        <w:rPr>
          <w:rStyle w:val="FootnoteReference"/>
        </w:rPr>
        <w:footnoteRef/>
      </w:r>
      <w:r>
        <w:rPr>
          <w:rFonts w:ascii="Times New Roman" w:hAnsi="Times New Roman"/>
        </w:rPr>
        <w:t xml:space="preserve"> Komisijas Deleģētā regula (ES) …/..., ar ko attiecībā uz prasībām, ko olbaltumvielu sakarā izvirza tādiem maisījumiem zīdaiņiem un papildu ēdināšanas maisījumiem, kuri ražoti no olbaltumvielu hidrolizātiem, groza Deleģēto regulu (ES) 2016/127.</w:t>
      </w:r>
    </w:p>
  </w:footnote>
  <w:footnote w:id="16">
    <w:p w14:paraId="0C8DF992" w14:textId="73ADB401" w:rsidR="00C82018" w:rsidRPr="00C82018" w:rsidRDefault="00C82018">
      <w:pPr>
        <w:pStyle w:val="FootnoteText"/>
      </w:pPr>
      <w:r>
        <w:rPr>
          <w:rFonts w:ascii="Times New Roman" w:hAnsi="Times New Roman" w:cs="Times New Roman"/>
          <w:vertAlign w:val="superscript"/>
        </w:rPr>
        <w:footnoteRef/>
      </w:r>
      <w:r>
        <w:rPr>
          <w:rFonts w:ascii="Times New Roman" w:hAnsi="Times New Roman"/>
        </w:rPr>
        <w:t xml:space="preserve"> </w:t>
      </w:r>
      <w:r>
        <w:rPr>
          <w:rFonts w:ascii="Times New Roman" w:hAnsi="Times New Roman"/>
          <w:i/>
          <w:iCs/>
        </w:rPr>
        <w:t>Nutritional safety and suitability of a specific protein hydrolysate derived from whey protein concentrate and used in an infant and follow‐on formula manufactured from hydrolysed protein by Danone Trading ELN B.V.</w:t>
      </w:r>
      <w:r>
        <w:rPr>
          <w:rFonts w:ascii="Times New Roman" w:hAnsi="Times New Roman"/>
        </w:rPr>
        <w:t xml:space="preserve"> [Tāda konkrēta no sūkalu olbaltumvielu koncentrāta iegūta olbaltumvielu hidrolizāta nekaitīgums uzturvielu ziņā un piemērotība, ko izmanto tādos maisījumos zīdaiņiem un zīdaiņiem paredzētospapildu ēdināšanas maisījumos, kurus no hidrolizētām olbaltumvielām ražo uzņēmums </w:t>
      </w:r>
      <w:r>
        <w:rPr>
          <w:rFonts w:ascii="Times New Roman" w:hAnsi="Times New Roman"/>
          <w:i/>
          <w:iCs/>
        </w:rPr>
        <w:t>Danone Trading ELN B.V.</w:t>
      </w:r>
      <w:r>
        <w:rPr>
          <w:rFonts w:ascii="Times New Roman" w:hAnsi="Times New Roman"/>
        </w:rPr>
        <w:t xml:space="preserve">], </w:t>
      </w:r>
      <w:hyperlink r:id="rId6" w:history="1">
        <w:r>
          <w:rPr>
            <w:rStyle w:val="Hyperlink"/>
            <w:rFonts w:ascii="Times New Roman" w:hAnsi="Times New Roman"/>
          </w:rPr>
          <w:t>https://www.efsa.europa.eu/en/efsajournal/pub/6304</w:t>
        </w:r>
      </w:hyperlink>
      <w:r>
        <w:t>.</w:t>
      </w:r>
      <w:r>
        <w:rPr>
          <w:rFonts w:ascii="Times New Roman" w:hAnsi="Times New Roman"/>
        </w:rPr>
        <w:t xml:space="preserve"> </w:t>
      </w:r>
    </w:p>
  </w:footnote>
  <w:footnote w:id="17">
    <w:p w14:paraId="77502626" w14:textId="7BB4BCFC" w:rsidR="00C82018" w:rsidRPr="00C82018" w:rsidRDefault="00C82018" w:rsidP="00C82018">
      <w:pPr>
        <w:pStyle w:val="FootnoteText"/>
        <w:jc w:val="both"/>
        <w:rPr>
          <w:rFonts w:ascii="Times New Roman" w:hAnsi="Times New Roman" w:cs="Times New Roman"/>
        </w:rPr>
      </w:pPr>
      <w:r>
        <w:rPr>
          <w:rStyle w:val="FootnoteReference"/>
        </w:rPr>
        <w:footnoteRef/>
      </w:r>
      <w:r>
        <w:t xml:space="preserve"> </w:t>
      </w:r>
      <w:r>
        <w:rPr>
          <w:rFonts w:ascii="Times New Roman" w:hAnsi="Times New Roman"/>
          <w:i/>
          <w:iCs/>
        </w:rPr>
        <w:t>Nutritional safety and suitability of a specific protein hydrolysate derived from whey protein concentrate and used in an infant and follow-on formula manufactured from hydrolysed protein by HIPP-Werk Georg Hipp OHG</w:t>
      </w:r>
      <w:r>
        <w:rPr>
          <w:rFonts w:ascii="Times New Roman" w:hAnsi="Times New Roman"/>
        </w:rPr>
        <w:t xml:space="preserve"> [Tāda konkrēta no sūkalu olbaltumvielu koncentrāta iegūta olbaltumvielu hidrolizāta nekaitīgums uzturvielu ziņā un piemērotība, ko izmanto maisījumos zīdaiņiem un papildu ēdināšanas maisījumos, kurus no hidrolizētām olbaltumvielām ražo uzņēmums </w:t>
      </w:r>
      <w:r>
        <w:rPr>
          <w:rFonts w:ascii="Times New Roman" w:hAnsi="Times New Roman"/>
          <w:i/>
          <w:iCs/>
        </w:rPr>
        <w:t>HIPP-Werk Georg Hipp OHG</w:t>
      </w:r>
      <w:r>
        <w:rPr>
          <w:rFonts w:ascii="Times New Roman" w:hAnsi="Times New Roman"/>
        </w:rPr>
        <w:t xml:space="preserve">], </w:t>
      </w:r>
      <w:hyperlink r:id="rId7" w:history="1">
        <w:r>
          <w:rPr>
            <w:rStyle w:val="Hyperlink"/>
            <w:rFonts w:ascii="Times New Roman" w:hAnsi="Times New Roman"/>
          </w:rPr>
          <w:t>https://efsa.onlinelibrary.wiley.com/doi/full/10.2903/j.efsa.2022.7141</w:t>
        </w:r>
      </w:hyperlink>
      <w:r>
        <w:t>.</w:t>
      </w:r>
      <w:r>
        <w:rPr>
          <w:rFonts w:ascii="Times New Roman" w:hAnsi="Times New Roman"/>
        </w:rPr>
        <w:t xml:space="preserve"> </w:t>
      </w:r>
    </w:p>
  </w:footnote>
  <w:footnote w:id="18">
    <w:p w14:paraId="6FB6820E" w14:textId="58E9CE60" w:rsidR="00493E25" w:rsidRPr="00493E25" w:rsidRDefault="00493E25" w:rsidP="00493E25">
      <w:pPr>
        <w:pStyle w:val="FootnoteText"/>
        <w:jc w:val="both"/>
        <w:rPr>
          <w:rFonts w:ascii="Times New Roman" w:hAnsi="Times New Roman" w:cs="Times New Roman"/>
        </w:rPr>
      </w:pPr>
      <w:r>
        <w:rPr>
          <w:rStyle w:val="FootnoteReference"/>
        </w:rPr>
        <w:footnoteRef/>
      </w:r>
      <w:r>
        <w:t xml:space="preserve"> </w:t>
      </w:r>
      <w:r>
        <w:rPr>
          <w:rFonts w:ascii="Times New Roman" w:hAnsi="Times New Roman"/>
          <w:i/>
          <w:iCs/>
        </w:rPr>
        <w:t>Nutritional safety and suitability of a specific protein hydrolysate derived from a whey protein concentrate and used in an infant formula and follow-on formula manufactured from hydrolysed protein by FrieslandCampina Nederland B.V.</w:t>
      </w:r>
      <w:r>
        <w:rPr>
          <w:rFonts w:ascii="Times New Roman" w:hAnsi="Times New Roman"/>
        </w:rPr>
        <w:t xml:space="preserve"> [Tāda konkrēta no sūkalu olbaltumvielu koncentrāta iegūta olbaltumvielu hidrolizāta nekaitīgums uzturvielu ziņā un piemērotība, ko izmanto maisījumos zīdaiņiem un papildu ēdināšanas maisījumos, kurus no hidrolizētām olbaltumvielām ražo uzņēmums </w:t>
      </w:r>
      <w:r>
        <w:rPr>
          <w:rFonts w:ascii="Times New Roman" w:hAnsi="Times New Roman"/>
          <w:i/>
          <w:iCs/>
        </w:rPr>
        <w:t>FrieslandCampina Nederland B.V.</w:t>
      </w:r>
      <w:r>
        <w:rPr>
          <w:rFonts w:ascii="Times New Roman" w:hAnsi="Times New Roman"/>
        </w:rPr>
        <w:t xml:space="preserve">], </w:t>
      </w:r>
      <w:hyperlink r:id="rId8" w:history="1">
        <w:r>
          <w:rPr>
            <w:rStyle w:val="Hyperlink"/>
            <w:rFonts w:ascii="Times New Roman" w:hAnsi="Times New Roman"/>
          </w:rPr>
          <w:t>https://efsa.onlinelibrary.wiley.com/doi/10.2903/j.efsa.2023.8063</w:t>
        </w:r>
      </w:hyperlink>
      <w:r>
        <w:t>.</w:t>
      </w:r>
      <w:r>
        <w:rPr>
          <w:rFonts w:ascii="Times New Roman" w:hAnsi="Times New Roman"/>
        </w:rPr>
        <w:t xml:space="preserve"> </w:t>
      </w:r>
    </w:p>
  </w:footnote>
  <w:footnote w:id="19">
    <w:p w14:paraId="29C1885D" w14:textId="109313C5" w:rsidR="00217F18" w:rsidRPr="00217F18" w:rsidRDefault="00217F18" w:rsidP="00217F18">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Komisijas Deleģētā regula (ES) 2022/2182 (2022. gada 30. augusts), ar ko attiecībā uz prasībām par lipīdu un magniju svara kontrolei paredzētos pilnīgos uztura aizstājējos groza Deleģēto regulu (ES) 2017/1798, OV L 288, 9.11.2022., 18. lpp.</w:t>
      </w:r>
    </w:p>
  </w:footnote>
  <w:footnote w:id="20">
    <w:p w14:paraId="46EBC47A" w14:textId="14896D1A" w:rsidR="005E3250" w:rsidRPr="005E3250" w:rsidRDefault="005E3250" w:rsidP="00DA068F">
      <w:pPr>
        <w:pStyle w:val="FootnoteText"/>
        <w:jc w:val="both"/>
        <w:rPr>
          <w:rFonts w:ascii="Times New Roman" w:hAnsi="Times New Roman" w:cs="Times New Roman"/>
        </w:rPr>
      </w:pPr>
      <w:r>
        <w:rPr>
          <w:rStyle w:val="FootnoteReference"/>
        </w:rPr>
        <w:footnoteRef/>
      </w:r>
      <w:r>
        <w:t xml:space="preserve"> </w:t>
      </w:r>
      <w:r>
        <w:rPr>
          <w:rFonts w:ascii="Times New Roman" w:hAnsi="Times New Roman"/>
          <w:i/>
          <w:iCs/>
        </w:rPr>
        <w:t>Statement on additional scientific evidence in relation to the essential composition of total diet replacement for weight control</w:t>
      </w:r>
      <w:r>
        <w:rPr>
          <w:rFonts w:ascii="Times New Roman" w:hAnsi="Times New Roman"/>
        </w:rPr>
        <w:t xml:space="preserve"> [Paziņojums par papildu zinātniskiem pierādījumiem attiecībā uz svara kontrolei paredzētu pilnīgu uztura aizstājēju neaizstājamo sastāvu], </w:t>
      </w:r>
      <w:hyperlink r:id="rId9" w:history="1">
        <w:r>
          <w:rPr>
            <w:rStyle w:val="Hyperlink"/>
            <w:rFonts w:ascii="Times New Roman" w:hAnsi="Times New Roman"/>
          </w:rPr>
          <w:t>https://www.efsa.europa.eu/en/efsajournal/pub/6494</w:t>
        </w:r>
      </w:hyperlink>
      <w:r>
        <w:t>.</w:t>
      </w:r>
      <w:r>
        <w:rPr>
          <w:rFonts w:ascii="Times New Roman" w:hAnsi="Times New Roman"/>
        </w:rPr>
        <w:t xml:space="preserve"> </w:t>
      </w:r>
    </w:p>
  </w:footnote>
  <w:footnote w:id="21">
    <w:p w14:paraId="7AB58050" w14:textId="363465B9" w:rsidR="00E125D1" w:rsidRPr="00A06C67" w:rsidRDefault="00E125D1" w:rsidP="00A06C6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bookmarkStart w:id="7" w:name="_Hlk159944028"/>
      <w:r>
        <w:rPr>
          <w:rFonts w:ascii="Times New Roman" w:hAnsi="Times New Roman"/>
        </w:rPr>
        <w:t xml:space="preserve">Komisijas Deleģētā regula (ES) 2021/1040 (2021. gada 16. aprīlis), </w:t>
      </w:r>
      <w:bookmarkEnd w:id="7"/>
      <w:r>
        <w:rPr>
          <w:rFonts w:ascii="Times New Roman" w:hAnsi="Times New Roman"/>
        </w:rPr>
        <w:t>ar ko attiecībā uz pesticīdiem un to atliekām īpašiem medicīniskiem nolūkiem paredzētā pārtikā, kas izstrādāta zīdaiņu un mazu bērnu uztura vajadzību apmierināšanai, groza Deleģēto regulu (ES) 2016/128, OV L 225, 25.6.2021, 1. lpp.</w:t>
      </w:r>
    </w:p>
  </w:footnote>
  <w:footnote w:id="22">
    <w:p w14:paraId="4E3603DC" w14:textId="5CBEE6F1" w:rsidR="00E125D1" w:rsidRPr="00A06C67" w:rsidRDefault="00E125D1" w:rsidP="00A06C67">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Komisijas Deleģētā regula (ES) 2021/1041 (2021. gada 16. aprīlis), ar ko attiecībā uz prasībām saistībā ar pesticīdiem maisījumos zīdaiņiem un papildu ēdināšanas maisījumos zīdaiņiem groza Deleģēto regulu (ES) 2016/127, OV L 225, 25.6.2021., 4. lpp.</w:t>
      </w:r>
    </w:p>
  </w:footnote>
  <w:footnote w:id="23">
    <w:p w14:paraId="2C7DC6C2" w14:textId="17987B7A" w:rsidR="00A06C67" w:rsidRPr="00A06C67" w:rsidRDefault="00A06C67" w:rsidP="00A06C67">
      <w:pPr>
        <w:pStyle w:val="FootnoteText"/>
        <w:jc w:val="both"/>
      </w:pPr>
      <w:r>
        <w:rPr>
          <w:rStyle w:val="FootnoteReference"/>
          <w:rFonts w:ascii="Times New Roman" w:hAnsi="Times New Roman" w:cs="Times New Roman"/>
        </w:rPr>
        <w:footnoteRef/>
      </w:r>
      <w:r>
        <w:rPr>
          <w:rFonts w:ascii="Times New Roman" w:hAnsi="Times New Roman"/>
        </w:rPr>
        <w:t xml:space="preserve"> Eiropas Parlamenta un Padomes Regula (EK) Nr. 396/2005 (2005. gada 23. februāris), ar ko paredz maksimāli pieļaujamos pesticīdu atlieku līmeņus augu un dzīvnieku izcelsmes pārtikā un barībā un ar ko groza Padomes Direktīvu 91/414/EEK, OV L 70, 16.3.2005., 1. lpp.</w:t>
      </w:r>
      <w:r>
        <w:t xml:space="preserve"> </w:t>
      </w:r>
    </w:p>
  </w:footnote>
  <w:footnote w:id="24">
    <w:p w14:paraId="782449A6" w14:textId="410D5E2C" w:rsidR="00FB078D" w:rsidRPr="00DA068F" w:rsidRDefault="00FB078D" w:rsidP="0013402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Komisijas Deleģētā regula (ES) 2021/571 (2021. gada 20. janvāris), ar ko attiecībā uz tādu vielu sarakstu, kuras drīkst pievienot maisījumiem zīdaiņiem un papildu ēdināšanas maisījumiem zīdaiņiem, bērnu pārtikai un apstrādātu graudaugu pārtikai, groza Eiropas Parlamenta un Padomes Regulas (ES) Nr. 609/2013 pielikumu, OV L 120, 8.4.2021., 1. lpp.</w:t>
      </w:r>
    </w:p>
  </w:footnote>
  <w:footnote w:id="25">
    <w:p w14:paraId="559A2701" w14:textId="5A8E4A0E" w:rsidR="00C3659B" w:rsidRPr="00DA068F" w:rsidRDefault="00C3659B" w:rsidP="00DA068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i/>
          <w:iCs/>
        </w:rPr>
        <w:t xml:space="preserve"> Calcium l-methylfolate as a source of folate added for nutritional purposes to infant and follow-on formula, baby food and processed cereal-based food</w:t>
      </w:r>
      <w:r>
        <w:rPr>
          <w:rFonts w:ascii="Times New Roman" w:hAnsi="Times New Roman"/>
        </w:rPr>
        <w:t xml:space="preserve"> [Kalcija l-metilfolāts kā folāta avots, ko uzturvērtības nolūkā pievieno maisījumiem zīdaiņiem un papildu ēdināšanas maisījumiem zīdaiņiem, bērnu pārtikai un apstrādātu graudaugu pārtikai], </w:t>
      </w:r>
      <w:hyperlink r:id="rId10" w:history="1">
        <w:r>
          <w:rPr>
            <w:rStyle w:val="Hyperlink"/>
            <w:rFonts w:ascii="Times New Roman" w:hAnsi="Times New Roman"/>
          </w:rPr>
          <w:t>https://efsa.onlinelibrary.wiley.com/doi/full/10.2903/j.efsa.2020.5947</w:t>
        </w:r>
      </w:hyperlink>
      <w:r>
        <w:t>.</w:t>
      </w:r>
      <w:r>
        <w:rPr>
          <w:rFonts w:ascii="Times New Roman" w:hAnsi="Times New Roman"/>
        </w:rPr>
        <w:t xml:space="preserve"> </w:t>
      </w:r>
    </w:p>
  </w:footnote>
  <w:footnote w:id="26">
    <w:p w14:paraId="76DADB90" w14:textId="38E28DA2" w:rsidR="00C47864" w:rsidRPr="00DA068F" w:rsidRDefault="00C47864" w:rsidP="0013402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Komisijas Deleģētā regula (ES) 2023/439 (2022. gada 16. decembris), ar ko nolūkā atļaut nikotīnamīda ribozīda hlorīdu izmantot par niacīna avotu īpašiem medicīniskiem nolūkiem paredzētā pārtikā un svara kontrolei paredzētos pilnīgos uztura aizstājējos groza Eiropas Parlamenta un Padomes Regulas (ES) Nr. 609/2013 pielikumu, OV L 64, 1.3.2023, 1. lpp.</w:t>
      </w:r>
    </w:p>
  </w:footnote>
  <w:footnote w:id="27">
    <w:p w14:paraId="11326BCE" w14:textId="218EDD6A" w:rsidR="00C47864" w:rsidRPr="00DA068F" w:rsidRDefault="00C47864" w:rsidP="0013402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i/>
          <w:iCs/>
        </w:rPr>
        <w:t xml:space="preserve">Extension of use of nicotinamide riboside chloride as a novel food pursuant to Regulation (EU) 2015/2283 </w:t>
      </w:r>
      <w:r>
        <w:rPr>
          <w:rFonts w:ascii="Times New Roman" w:hAnsi="Times New Roman"/>
        </w:rPr>
        <w:t xml:space="preserve">[Nikotīnamīda ribozīda hlorīda kā jauna pārtikas produkta lietojuma paplašināšana saskaņā ar Regulu (ES) 2015/2283], </w:t>
      </w:r>
      <w:hyperlink r:id="rId11" w:history="1">
        <w:r>
          <w:rPr>
            <w:rStyle w:val="Hyperlink"/>
            <w:rFonts w:ascii="Times New Roman" w:hAnsi="Times New Roman"/>
          </w:rPr>
          <w:t>https://efsa.onlinelibrary.wiley.com/doi/full/10.2903/j.efsa.2021.6843</w:t>
        </w:r>
      </w:hyperlink>
      <w:r>
        <w:t>.</w:t>
      </w:r>
      <w:r>
        <w:rPr>
          <w:rFonts w:ascii="Times New Roman" w:hAnsi="Times New Roman"/>
        </w:rPr>
        <w:t xml:space="preserve"> </w:t>
      </w:r>
    </w:p>
  </w:footnote>
  <w:footnote w:id="28">
    <w:p w14:paraId="148BF3DD" w14:textId="1C9F21C7" w:rsidR="002877D1" w:rsidRPr="002877D1" w:rsidRDefault="002877D1" w:rsidP="002877D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Komisijas Deleģētā regula (ES) …/..., ar ko nolūkā atļaut dzelzs piena kazeinātu izmantot par dzelzs avotu svara kontrolei paredzētos pilnīgos uztura aizstājējos un īpašiem medicīniskiem nolūkiem paredzētā pārtikā groza Eiropas Parlamenta un Padomes Regulas (ES) Nr. 609/2013 pielikumu.</w:t>
      </w:r>
    </w:p>
  </w:footnote>
  <w:footnote w:id="29">
    <w:p w14:paraId="5BB81936" w14:textId="2A3883C0" w:rsidR="002877D1" w:rsidRPr="00DA068F" w:rsidRDefault="002877D1" w:rsidP="002877D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i/>
          <w:iCs/>
        </w:rPr>
        <w:t>Safety of iron milk proteinate as a novel food pursuant to Regulation (EU) 2015/2283 and bioavailability of iron from this source in the context of Directive 2002/46/EC</w:t>
      </w:r>
      <w:r>
        <w:rPr>
          <w:rFonts w:ascii="Times New Roman" w:hAnsi="Times New Roman"/>
        </w:rPr>
        <w:t xml:space="preserve"> [Dzelzs piena proteināta kā jauna pārtikas produkta nekaitīgums saskaņā ar Regulu (ES) 2015/2283 un dzelzs biopieejamība no šā avota Direktīvas 2002/46/EK kontekstā], </w:t>
      </w:r>
      <w:hyperlink r:id="rId12" w:history="1">
        <w:r>
          <w:rPr>
            <w:rStyle w:val="Hyperlink"/>
            <w:rFonts w:ascii="Times New Roman" w:hAnsi="Times New Roman"/>
          </w:rPr>
          <w:t>https://www.efsa.europa.eu/en/efsajournal/pub/7549</w:t>
        </w:r>
      </w:hyperlink>
      <w:r>
        <w:t>.</w:t>
      </w:r>
      <w:r>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51B59" w14:textId="77777777" w:rsidR="00907E72" w:rsidRPr="00907E72" w:rsidRDefault="00907E72" w:rsidP="00907E7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6D395" w14:textId="77777777" w:rsidR="00907E72" w:rsidRPr="00907E72" w:rsidRDefault="00907E72" w:rsidP="00907E7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35E29" w14:textId="77777777" w:rsidR="00907E72" w:rsidRPr="00907E72" w:rsidRDefault="00907E72" w:rsidP="00907E7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E8922" w14:textId="77777777" w:rsidR="004573BF" w:rsidRDefault="004573B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E92C6" w14:textId="77777777" w:rsidR="004573BF" w:rsidRDefault="004573B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DF69F" w14:textId="77777777" w:rsidR="004573BF" w:rsidRDefault="004573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22911"/>
    <w:multiLevelType w:val="hybridMultilevel"/>
    <w:tmpl w:val="9B4427CC"/>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2F812B7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68726B6"/>
    <w:multiLevelType w:val="hybridMultilevel"/>
    <w:tmpl w:val="66F2D576"/>
    <w:lvl w:ilvl="0" w:tplc="EE9A45CE">
      <w:start w:val="1"/>
      <w:numFmt w:val="lowerLetter"/>
      <w:lvlText w:val="%1)"/>
      <w:lvlJc w:val="left"/>
      <w:pPr>
        <w:ind w:left="437" w:hanging="437"/>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277067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486155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57C72B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6DE0212"/>
    <w:multiLevelType w:val="hybridMultilevel"/>
    <w:tmpl w:val="3B36D5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9F1AA1"/>
    <w:multiLevelType w:val="hybridMultilevel"/>
    <w:tmpl w:val="666CD802"/>
    <w:lvl w:ilvl="0" w:tplc="F426FA98">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5E953BA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49D19CE"/>
    <w:multiLevelType w:val="hybridMultilevel"/>
    <w:tmpl w:val="0C5684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B3201D"/>
    <w:multiLevelType w:val="hybridMultilevel"/>
    <w:tmpl w:val="7A1E6128"/>
    <w:lvl w:ilvl="0" w:tplc="18090017">
      <w:start w:val="1"/>
      <w:numFmt w:val="lowerLetter"/>
      <w:lvlText w:val="%1)"/>
      <w:lvlJc w:val="left"/>
      <w:pPr>
        <w:ind w:left="1157" w:hanging="360"/>
      </w:pPr>
    </w:lvl>
    <w:lvl w:ilvl="1" w:tplc="18090019" w:tentative="1">
      <w:start w:val="1"/>
      <w:numFmt w:val="lowerLetter"/>
      <w:lvlText w:val="%2."/>
      <w:lvlJc w:val="left"/>
      <w:pPr>
        <w:ind w:left="1877" w:hanging="360"/>
      </w:pPr>
    </w:lvl>
    <w:lvl w:ilvl="2" w:tplc="1809001B" w:tentative="1">
      <w:start w:val="1"/>
      <w:numFmt w:val="lowerRoman"/>
      <w:lvlText w:val="%3."/>
      <w:lvlJc w:val="right"/>
      <w:pPr>
        <w:ind w:left="2597" w:hanging="180"/>
      </w:pPr>
    </w:lvl>
    <w:lvl w:ilvl="3" w:tplc="1809000F" w:tentative="1">
      <w:start w:val="1"/>
      <w:numFmt w:val="decimal"/>
      <w:lvlText w:val="%4."/>
      <w:lvlJc w:val="left"/>
      <w:pPr>
        <w:ind w:left="3317" w:hanging="360"/>
      </w:pPr>
    </w:lvl>
    <w:lvl w:ilvl="4" w:tplc="18090019" w:tentative="1">
      <w:start w:val="1"/>
      <w:numFmt w:val="lowerLetter"/>
      <w:lvlText w:val="%5."/>
      <w:lvlJc w:val="left"/>
      <w:pPr>
        <w:ind w:left="4037" w:hanging="360"/>
      </w:pPr>
    </w:lvl>
    <w:lvl w:ilvl="5" w:tplc="1809001B" w:tentative="1">
      <w:start w:val="1"/>
      <w:numFmt w:val="lowerRoman"/>
      <w:lvlText w:val="%6."/>
      <w:lvlJc w:val="right"/>
      <w:pPr>
        <w:ind w:left="4757" w:hanging="180"/>
      </w:pPr>
    </w:lvl>
    <w:lvl w:ilvl="6" w:tplc="1809000F" w:tentative="1">
      <w:start w:val="1"/>
      <w:numFmt w:val="decimal"/>
      <w:lvlText w:val="%7."/>
      <w:lvlJc w:val="left"/>
      <w:pPr>
        <w:ind w:left="5477" w:hanging="360"/>
      </w:pPr>
    </w:lvl>
    <w:lvl w:ilvl="7" w:tplc="18090019" w:tentative="1">
      <w:start w:val="1"/>
      <w:numFmt w:val="lowerLetter"/>
      <w:lvlText w:val="%8."/>
      <w:lvlJc w:val="left"/>
      <w:pPr>
        <w:ind w:left="6197" w:hanging="360"/>
      </w:pPr>
    </w:lvl>
    <w:lvl w:ilvl="8" w:tplc="1809001B" w:tentative="1">
      <w:start w:val="1"/>
      <w:numFmt w:val="lowerRoman"/>
      <w:lvlText w:val="%9."/>
      <w:lvlJc w:val="right"/>
      <w:pPr>
        <w:ind w:left="6917" w:hanging="180"/>
      </w:pPr>
    </w:lvl>
  </w:abstractNum>
  <w:abstractNum w:abstractNumId="11" w15:restartNumberingAfterBreak="0">
    <w:nsid w:val="7542232C"/>
    <w:multiLevelType w:val="hybridMultilevel"/>
    <w:tmpl w:val="4FD4FA20"/>
    <w:lvl w:ilvl="0" w:tplc="B3D0CC0A">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D40492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2"/>
  </w:num>
  <w:num w:numId="3">
    <w:abstractNumId w:val="5"/>
  </w:num>
  <w:num w:numId="4">
    <w:abstractNumId w:val="9"/>
  </w:num>
  <w:num w:numId="5">
    <w:abstractNumId w:val="12"/>
  </w:num>
  <w:num w:numId="6">
    <w:abstractNumId w:val="3"/>
  </w:num>
  <w:num w:numId="7">
    <w:abstractNumId w:val="8"/>
  </w:num>
  <w:num w:numId="8">
    <w:abstractNumId w:val="4"/>
  </w:num>
  <w:num w:numId="9">
    <w:abstractNumId w:val="1"/>
  </w:num>
  <w:num w:numId="10">
    <w:abstractNumId w:val="11"/>
  </w:num>
  <w:num w:numId="11">
    <w:abstractNumId w:val="0"/>
  </w:num>
  <w:num w:numId="12">
    <w:abstractNumId w:val="7"/>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
  <w:docVars>
    <w:docVar w:name="DocStatus" w:val="Green"/>
    <w:docVar w:name="LW_CORRIGENDUM" w:val="&lt;UNUSED&gt;"/>
    <w:docVar w:name="LW_COVERPAGE_EXISTS" w:val="True"/>
    <w:docVar w:name="LW_COVERPAGE_GUID" w:val="B2A33C38-BCAA-47A8-AE9E-1EE6D262C90E"/>
    <w:docVar w:name="LW_COVERPAGE_TYPE" w:val="1"/>
    <w:docVar w:name="LW_CROSSREFERENCE" w:val="&lt;UNUSED&gt;"/>
    <w:docVar w:name="LW_DocType" w:val="NORMAL"/>
    <w:docVar w:name="LW_EMISSION" w:val="30.7.2024"/>
    <w:docVar w:name="LW_EMISSION_ISODATE" w:val="2024-07-30"/>
    <w:docVar w:name="LW_EMISSION_LOCATION" w:val="BRX"/>
    <w:docVar w:name="LW_EMISSION_PREFIX" w:val="Brisel\u275?, "/>
    <w:docVar w:name="LW_EMISSION_SUFFIX" w:val="."/>
    <w:docVar w:name="LW_ID_DOCTYPE_NONLW" w:val="CP-006"/>
    <w:docVar w:name="LW_LANGUE" w:val="LV"/>
    <w:docVar w:name="LW_LEVEL_OF_SENSITIVITY" w:val="Standard treatment"/>
    <w:docVar w:name="LW_NOM.INST" w:val="EIROPAS KOMISIJA"/>
    <w:docVar w:name="LW_NOM.INST_JOINTDOC" w:val="&lt;EMPTY&gt;"/>
    <w:docVar w:name="LW_PART_NBR" w:val="1"/>
    <w:docVar w:name="LW_PART_NBR_TOTAL" w:val="1"/>
    <w:docVar w:name="LW_REF.INST.NEW" w:val="COM"/>
    <w:docVar w:name="LW_REF.INST.NEW_ADOPTED" w:val="final"/>
    <w:docVar w:name="LW_REF.INST.NEW_TEXT" w:val="(2024) 34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ar to dele\u291?\u275?to pilnvaru \u299?steno\u353?anu, kas Komisijai pie\u353?\u311?irtas saska\u326?\u257? ar Regulu (ES) Nr. 609/2013 par z\u299?dai\u326?iem un maziem b\u275?rniem paredz\u275?tu p\u257?rtiku, \u299?pa\u353?iem medic\u299?niskiem nol\u363?kiem paredz\u275?tu p\u257?rtiku un par piln\u299?giem uztura aizst\u257?j\u275?jiem svara kontrolei&lt;/FMT&gt;"/>
    <w:docVar w:name="LW_TYPE.DOC.CP" w:val="KOMISIJAS ZI\u325?OJUMS EIROPAS PARLAMENTAM UN PADOMEI"/>
    <w:docVar w:name="LwApiVersions" w:val="LW4CoDe 1.24.5.0; LW 9.0, Build 20240221"/>
  </w:docVars>
  <w:rsids>
    <w:rsidRoot w:val="00E51C42"/>
    <w:rsid w:val="0000587F"/>
    <w:rsid w:val="00010C98"/>
    <w:rsid w:val="00032F6A"/>
    <w:rsid w:val="00045F8E"/>
    <w:rsid w:val="000469AC"/>
    <w:rsid w:val="00047D72"/>
    <w:rsid w:val="00051838"/>
    <w:rsid w:val="00055D27"/>
    <w:rsid w:val="00056A05"/>
    <w:rsid w:val="00073920"/>
    <w:rsid w:val="000848B1"/>
    <w:rsid w:val="000A0D97"/>
    <w:rsid w:val="000B6065"/>
    <w:rsid w:val="000B7695"/>
    <w:rsid w:val="000F683D"/>
    <w:rsid w:val="00111CB0"/>
    <w:rsid w:val="0011753D"/>
    <w:rsid w:val="00123D30"/>
    <w:rsid w:val="00132136"/>
    <w:rsid w:val="00134029"/>
    <w:rsid w:val="00163E86"/>
    <w:rsid w:val="0016700A"/>
    <w:rsid w:val="00170824"/>
    <w:rsid w:val="00174273"/>
    <w:rsid w:val="00177A9B"/>
    <w:rsid w:val="00182070"/>
    <w:rsid w:val="00187435"/>
    <w:rsid w:val="00193BB8"/>
    <w:rsid w:val="001954AC"/>
    <w:rsid w:val="001B1825"/>
    <w:rsid w:val="001D3A7E"/>
    <w:rsid w:val="001D50A9"/>
    <w:rsid w:val="001D6B6F"/>
    <w:rsid w:val="001E13E4"/>
    <w:rsid w:val="001E7476"/>
    <w:rsid w:val="001F0967"/>
    <w:rsid w:val="001F6A63"/>
    <w:rsid w:val="00206F8F"/>
    <w:rsid w:val="0021491B"/>
    <w:rsid w:val="00217545"/>
    <w:rsid w:val="00217F18"/>
    <w:rsid w:val="002256CE"/>
    <w:rsid w:val="002425B8"/>
    <w:rsid w:val="002436EF"/>
    <w:rsid w:val="00247D41"/>
    <w:rsid w:val="00263048"/>
    <w:rsid w:val="002708B4"/>
    <w:rsid w:val="00271F1B"/>
    <w:rsid w:val="00277AB5"/>
    <w:rsid w:val="002877D1"/>
    <w:rsid w:val="002929DB"/>
    <w:rsid w:val="00292CAA"/>
    <w:rsid w:val="00292EEA"/>
    <w:rsid w:val="002B2939"/>
    <w:rsid w:val="002B36B5"/>
    <w:rsid w:val="002B5D4A"/>
    <w:rsid w:val="002C2D10"/>
    <w:rsid w:val="002C61B3"/>
    <w:rsid w:val="002E2A6A"/>
    <w:rsid w:val="002E2CCF"/>
    <w:rsid w:val="002E47A4"/>
    <w:rsid w:val="0030536B"/>
    <w:rsid w:val="00315739"/>
    <w:rsid w:val="00326033"/>
    <w:rsid w:val="00327077"/>
    <w:rsid w:val="00347886"/>
    <w:rsid w:val="00355126"/>
    <w:rsid w:val="00356BBC"/>
    <w:rsid w:val="00372E3D"/>
    <w:rsid w:val="00382A1D"/>
    <w:rsid w:val="004170B1"/>
    <w:rsid w:val="00425078"/>
    <w:rsid w:val="00425F55"/>
    <w:rsid w:val="00431BBC"/>
    <w:rsid w:val="00431EA4"/>
    <w:rsid w:val="00444C31"/>
    <w:rsid w:val="004573BF"/>
    <w:rsid w:val="004656B9"/>
    <w:rsid w:val="004733F6"/>
    <w:rsid w:val="00493E25"/>
    <w:rsid w:val="004B695E"/>
    <w:rsid w:val="004C252D"/>
    <w:rsid w:val="004D16D6"/>
    <w:rsid w:val="004E0523"/>
    <w:rsid w:val="004E4224"/>
    <w:rsid w:val="004E5E3A"/>
    <w:rsid w:val="005301D9"/>
    <w:rsid w:val="00535AC6"/>
    <w:rsid w:val="0053740B"/>
    <w:rsid w:val="005630EE"/>
    <w:rsid w:val="00563ED0"/>
    <w:rsid w:val="00595BB8"/>
    <w:rsid w:val="005C4B8E"/>
    <w:rsid w:val="005D0ED7"/>
    <w:rsid w:val="005D0EF9"/>
    <w:rsid w:val="005D2952"/>
    <w:rsid w:val="005D2EC3"/>
    <w:rsid w:val="005D4A33"/>
    <w:rsid w:val="005E0B53"/>
    <w:rsid w:val="005E3250"/>
    <w:rsid w:val="005E4725"/>
    <w:rsid w:val="005F7E73"/>
    <w:rsid w:val="00601801"/>
    <w:rsid w:val="00606C51"/>
    <w:rsid w:val="00625F6F"/>
    <w:rsid w:val="00635CAB"/>
    <w:rsid w:val="00645C83"/>
    <w:rsid w:val="00661FA2"/>
    <w:rsid w:val="0066502D"/>
    <w:rsid w:val="00673157"/>
    <w:rsid w:val="00686A88"/>
    <w:rsid w:val="006C2722"/>
    <w:rsid w:val="006C669B"/>
    <w:rsid w:val="006C7D02"/>
    <w:rsid w:val="006E2414"/>
    <w:rsid w:val="006E4062"/>
    <w:rsid w:val="006F3ED7"/>
    <w:rsid w:val="00727814"/>
    <w:rsid w:val="00741242"/>
    <w:rsid w:val="0075757E"/>
    <w:rsid w:val="00763C6A"/>
    <w:rsid w:val="00771078"/>
    <w:rsid w:val="007737F3"/>
    <w:rsid w:val="007A04F1"/>
    <w:rsid w:val="007C04BA"/>
    <w:rsid w:val="007C08FB"/>
    <w:rsid w:val="007C5805"/>
    <w:rsid w:val="007C5FB6"/>
    <w:rsid w:val="007F50E0"/>
    <w:rsid w:val="007F51D8"/>
    <w:rsid w:val="007F7FBB"/>
    <w:rsid w:val="008139AC"/>
    <w:rsid w:val="0081511A"/>
    <w:rsid w:val="0082409D"/>
    <w:rsid w:val="00831C44"/>
    <w:rsid w:val="0085338F"/>
    <w:rsid w:val="0085597C"/>
    <w:rsid w:val="00865DB6"/>
    <w:rsid w:val="00870C3C"/>
    <w:rsid w:val="00887E16"/>
    <w:rsid w:val="00894AB3"/>
    <w:rsid w:val="00896290"/>
    <w:rsid w:val="00896586"/>
    <w:rsid w:val="008B7AD0"/>
    <w:rsid w:val="008C0A3C"/>
    <w:rsid w:val="008D331A"/>
    <w:rsid w:val="008E1230"/>
    <w:rsid w:val="008E313C"/>
    <w:rsid w:val="008F10D4"/>
    <w:rsid w:val="008F255B"/>
    <w:rsid w:val="009021EE"/>
    <w:rsid w:val="00907E72"/>
    <w:rsid w:val="00921B59"/>
    <w:rsid w:val="009278B2"/>
    <w:rsid w:val="0093387E"/>
    <w:rsid w:val="00936824"/>
    <w:rsid w:val="00964C50"/>
    <w:rsid w:val="009677B5"/>
    <w:rsid w:val="009758EA"/>
    <w:rsid w:val="009779F2"/>
    <w:rsid w:val="009955B6"/>
    <w:rsid w:val="009D5DBC"/>
    <w:rsid w:val="009F0696"/>
    <w:rsid w:val="00A06C67"/>
    <w:rsid w:val="00A23328"/>
    <w:rsid w:val="00A24618"/>
    <w:rsid w:val="00A5195A"/>
    <w:rsid w:val="00A64BF6"/>
    <w:rsid w:val="00A84F22"/>
    <w:rsid w:val="00A92FDA"/>
    <w:rsid w:val="00A95AD4"/>
    <w:rsid w:val="00AB59CB"/>
    <w:rsid w:val="00AB75B3"/>
    <w:rsid w:val="00AC4995"/>
    <w:rsid w:val="00AE7381"/>
    <w:rsid w:val="00AF4528"/>
    <w:rsid w:val="00AF4ABD"/>
    <w:rsid w:val="00AF64BF"/>
    <w:rsid w:val="00B05B0C"/>
    <w:rsid w:val="00B1148F"/>
    <w:rsid w:val="00B22558"/>
    <w:rsid w:val="00B32396"/>
    <w:rsid w:val="00B33DD9"/>
    <w:rsid w:val="00B5074F"/>
    <w:rsid w:val="00B51F92"/>
    <w:rsid w:val="00B5246D"/>
    <w:rsid w:val="00B70B73"/>
    <w:rsid w:val="00B771D4"/>
    <w:rsid w:val="00B80AEA"/>
    <w:rsid w:val="00B934B4"/>
    <w:rsid w:val="00BA7195"/>
    <w:rsid w:val="00BB49D3"/>
    <w:rsid w:val="00BB5784"/>
    <w:rsid w:val="00BD43F7"/>
    <w:rsid w:val="00BD7E32"/>
    <w:rsid w:val="00BF1A05"/>
    <w:rsid w:val="00BF31A3"/>
    <w:rsid w:val="00BF50E6"/>
    <w:rsid w:val="00C04217"/>
    <w:rsid w:val="00C12C14"/>
    <w:rsid w:val="00C33392"/>
    <w:rsid w:val="00C3659B"/>
    <w:rsid w:val="00C37D46"/>
    <w:rsid w:val="00C47095"/>
    <w:rsid w:val="00C472C1"/>
    <w:rsid w:val="00C47864"/>
    <w:rsid w:val="00C47E44"/>
    <w:rsid w:val="00C516CF"/>
    <w:rsid w:val="00C56754"/>
    <w:rsid w:val="00C567C8"/>
    <w:rsid w:val="00C66850"/>
    <w:rsid w:val="00C70ED5"/>
    <w:rsid w:val="00C75D2A"/>
    <w:rsid w:val="00C80FEF"/>
    <w:rsid w:val="00C82018"/>
    <w:rsid w:val="00CC6135"/>
    <w:rsid w:val="00CD25A5"/>
    <w:rsid w:val="00CE152D"/>
    <w:rsid w:val="00CF4C44"/>
    <w:rsid w:val="00D05161"/>
    <w:rsid w:val="00D0747B"/>
    <w:rsid w:val="00D27476"/>
    <w:rsid w:val="00D64D66"/>
    <w:rsid w:val="00D77F23"/>
    <w:rsid w:val="00D85362"/>
    <w:rsid w:val="00D926DB"/>
    <w:rsid w:val="00DA068F"/>
    <w:rsid w:val="00DA7B94"/>
    <w:rsid w:val="00DB0E22"/>
    <w:rsid w:val="00DB21B8"/>
    <w:rsid w:val="00DC5A26"/>
    <w:rsid w:val="00DD5826"/>
    <w:rsid w:val="00DE30AF"/>
    <w:rsid w:val="00E04C00"/>
    <w:rsid w:val="00E05064"/>
    <w:rsid w:val="00E07750"/>
    <w:rsid w:val="00E125D1"/>
    <w:rsid w:val="00E33914"/>
    <w:rsid w:val="00E362B9"/>
    <w:rsid w:val="00E40A46"/>
    <w:rsid w:val="00E41838"/>
    <w:rsid w:val="00E42AC1"/>
    <w:rsid w:val="00E51C42"/>
    <w:rsid w:val="00E551CC"/>
    <w:rsid w:val="00E61EE1"/>
    <w:rsid w:val="00E7483C"/>
    <w:rsid w:val="00E853A4"/>
    <w:rsid w:val="00E85671"/>
    <w:rsid w:val="00E858FB"/>
    <w:rsid w:val="00E945E1"/>
    <w:rsid w:val="00E94C3F"/>
    <w:rsid w:val="00EA5E7C"/>
    <w:rsid w:val="00EA77CA"/>
    <w:rsid w:val="00EA7B1F"/>
    <w:rsid w:val="00EA7D5E"/>
    <w:rsid w:val="00EB6AE5"/>
    <w:rsid w:val="00EB6E83"/>
    <w:rsid w:val="00EC0978"/>
    <w:rsid w:val="00EF0EF3"/>
    <w:rsid w:val="00EF2C9D"/>
    <w:rsid w:val="00EF500D"/>
    <w:rsid w:val="00F11821"/>
    <w:rsid w:val="00F13BCE"/>
    <w:rsid w:val="00F311A1"/>
    <w:rsid w:val="00F34395"/>
    <w:rsid w:val="00F37C9F"/>
    <w:rsid w:val="00F44451"/>
    <w:rsid w:val="00F52951"/>
    <w:rsid w:val="00F661DD"/>
    <w:rsid w:val="00F66DA1"/>
    <w:rsid w:val="00FB078D"/>
    <w:rsid w:val="00FB191F"/>
    <w:rsid w:val="00FC3F87"/>
    <w:rsid w:val="00FD50ED"/>
    <w:rsid w:val="00FE78D2"/>
    <w:rsid w:val="00FF0B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394A500"/>
  <w15:docId w15:val="{1EA562C6-D97D-4494-BE63-68C3B0774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36EF"/>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sid w:val="002436EF"/>
    <w:rPr>
      <w:rFonts w:ascii="Times New Roman" w:hAnsi="Times New Roman" w:cs="Times New Roman"/>
      <w:sz w:val="24"/>
    </w:rPr>
  </w:style>
  <w:style w:type="paragraph" w:styleId="Footer">
    <w:name w:val="footer"/>
    <w:basedOn w:val="Normal"/>
    <w:link w:val="FooterChar"/>
    <w:uiPriority w:val="99"/>
    <w:unhideWhenUsed/>
    <w:rsid w:val="002436E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2436EF"/>
    <w:rPr>
      <w:rFonts w:ascii="Times New Roman" w:hAnsi="Times New Roman" w:cs="Times New Roman"/>
      <w:sz w:val="24"/>
    </w:rPr>
  </w:style>
  <w:style w:type="paragraph" w:customStyle="1" w:styleId="Default">
    <w:name w:val="Default"/>
    <w:rsid w:val="00B70B73"/>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unhideWhenUsed/>
    <w:rsid w:val="00A84F22"/>
    <w:pPr>
      <w:spacing w:after="0" w:line="240" w:lineRule="auto"/>
    </w:pPr>
    <w:rPr>
      <w:sz w:val="20"/>
      <w:szCs w:val="20"/>
    </w:rPr>
  </w:style>
  <w:style w:type="character" w:customStyle="1" w:styleId="FootnoteTextChar">
    <w:name w:val="Footnote Text Char"/>
    <w:basedOn w:val="DefaultParagraphFont"/>
    <w:link w:val="FootnoteText"/>
    <w:uiPriority w:val="99"/>
    <w:rsid w:val="00326033"/>
    <w:rPr>
      <w:sz w:val="20"/>
      <w:szCs w:val="20"/>
    </w:rPr>
  </w:style>
  <w:style w:type="character" w:styleId="FootnoteReference">
    <w:name w:val="footnote reference"/>
    <w:basedOn w:val="DefaultParagraphFont"/>
    <w:uiPriority w:val="99"/>
    <w:semiHidden/>
    <w:unhideWhenUsed/>
    <w:rsid w:val="00326033"/>
    <w:rPr>
      <w:vertAlign w:val="superscript"/>
    </w:rPr>
  </w:style>
  <w:style w:type="paragraph" w:styleId="ListParagraph">
    <w:name w:val="List Paragraph"/>
    <w:basedOn w:val="Normal"/>
    <w:uiPriority w:val="34"/>
    <w:qFormat/>
    <w:rsid w:val="00E05064"/>
    <w:pPr>
      <w:ind w:left="720"/>
      <w:contextualSpacing/>
    </w:pPr>
  </w:style>
  <w:style w:type="paragraph" w:styleId="BalloonText">
    <w:name w:val="Balloon Text"/>
    <w:basedOn w:val="Normal"/>
    <w:link w:val="BalloonTextChar"/>
    <w:uiPriority w:val="99"/>
    <w:semiHidden/>
    <w:unhideWhenUsed/>
    <w:rsid w:val="00FC3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F87"/>
    <w:rPr>
      <w:rFonts w:ascii="Tahoma" w:hAnsi="Tahoma" w:cs="Tahoma"/>
      <w:sz w:val="16"/>
      <w:szCs w:val="16"/>
    </w:rPr>
  </w:style>
  <w:style w:type="character" w:styleId="CommentReference">
    <w:name w:val="annotation reference"/>
    <w:basedOn w:val="DefaultParagraphFont"/>
    <w:uiPriority w:val="99"/>
    <w:semiHidden/>
    <w:unhideWhenUsed/>
    <w:rsid w:val="00B934B4"/>
    <w:rPr>
      <w:sz w:val="16"/>
      <w:szCs w:val="16"/>
    </w:rPr>
  </w:style>
  <w:style w:type="paragraph" w:styleId="CommentText">
    <w:name w:val="annotation text"/>
    <w:basedOn w:val="Normal"/>
    <w:link w:val="CommentTextChar"/>
    <w:uiPriority w:val="99"/>
    <w:unhideWhenUsed/>
    <w:rsid w:val="00B934B4"/>
    <w:pPr>
      <w:spacing w:line="240" w:lineRule="auto"/>
    </w:pPr>
    <w:rPr>
      <w:sz w:val="20"/>
      <w:szCs w:val="20"/>
    </w:rPr>
  </w:style>
  <w:style w:type="character" w:customStyle="1" w:styleId="CommentTextChar">
    <w:name w:val="Comment Text Char"/>
    <w:basedOn w:val="DefaultParagraphFont"/>
    <w:link w:val="CommentText"/>
    <w:uiPriority w:val="99"/>
    <w:rsid w:val="00B934B4"/>
    <w:rPr>
      <w:sz w:val="20"/>
      <w:szCs w:val="20"/>
    </w:rPr>
  </w:style>
  <w:style w:type="paragraph" w:styleId="CommentSubject">
    <w:name w:val="annotation subject"/>
    <w:basedOn w:val="CommentText"/>
    <w:next w:val="CommentText"/>
    <w:link w:val="CommentSubjectChar"/>
    <w:uiPriority w:val="99"/>
    <w:semiHidden/>
    <w:unhideWhenUsed/>
    <w:rsid w:val="00B934B4"/>
    <w:rPr>
      <w:b/>
      <w:bCs/>
    </w:rPr>
  </w:style>
  <w:style w:type="character" w:customStyle="1" w:styleId="CommentSubjectChar">
    <w:name w:val="Comment Subject Char"/>
    <w:basedOn w:val="CommentTextChar"/>
    <w:link w:val="CommentSubject"/>
    <w:uiPriority w:val="99"/>
    <w:semiHidden/>
    <w:rsid w:val="00B934B4"/>
    <w:rPr>
      <w:b/>
      <w:bCs/>
      <w:sz w:val="20"/>
      <w:szCs w:val="20"/>
    </w:rPr>
  </w:style>
  <w:style w:type="character" w:customStyle="1" w:styleId="Marker">
    <w:name w:val="Marker"/>
    <w:basedOn w:val="DefaultParagraphFont"/>
    <w:rsid w:val="004573BF"/>
    <w:rPr>
      <w:color w:val="0000FF"/>
      <w:shd w:val="clear" w:color="auto" w:fill="auto"/>
    </w:rPr>
  </w:style>
  <w:style w:type="paragraph" w:customStyle="1" w:styleId="Pagedecouverture">
    <w:name w:val="Page de couverture"/>
    <w:basedOn w:val="Normal"/>
    <w:next w:val="Normal"/>
    <w:rsid w:val="004573BF"/>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4573B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573BF"/>
    <w:rPr>
      <w:rFonts w:ascii="Times New Roman" w:hAnsi="Times New Roman" w:cs="Times New Roman"/>
      <w:sz w:val="24"/>
    </w:rPr>
  </w:style>
  <w:style w:type="paragraph" w:customStyle="1" w:styleId="HeaderCoverPage">
    <w:name w:val="Header Cover Page"/>
    <w:basedOn w:val="Normal"/>
    <w:link w:val="HeaderCoverPageChar"/>
    <w:rsid w:val="004573B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573BF"/>
    <w:rPr>
      <w:rFonts w:ascii="Times New Roman" w:hAnsi="Times New Roman" w:cs="Times New Roman"/>
      <w:sz w:val="24"/>
    </w:rPr>
  </w:style>
  <w:style w:type="character" w:customStyle="1" w:styleId="white-space">
    <w:name w:val="white-space"/>
    <w:rsid w:val="00C33392"/>
  </w:style>
  <w:style w:type="character" w:styleId="Hyperlink">
    <w:name w:val="Hyperlink"/>
    <w:basedOn w:val="DefaultParagraphFont"/>
    <w:uiPriority w:val="99"/>
    <w:unhideWhenUsed/>
    <w:rsid w:val="00E853A4"/>
    <w:rPr>
      <w:color w:val="0000FF"/>
      <w:u w:val="single"/>
    </w:rPr>
  </w:style>
  <w:style w:type="character" w:customStyle="1" w:styleId="UnresolvedMention">
    <w:name w:val="Unresolved Mention"/>
    <w:basedOn w:val="DefaultParagraphFont"/>
    <w:uiPriority w:val="99"/>
    <w:semiHidden/>
    <w:unhideWhenUsed/>
    <w:rsid w:val="00C82018"/>
    <w:rPr>
      <w:color w:val="605E5C"/>
      <w:shd w:val="clear" w:color="auto" w:fill="E1DFDD"/>
    </w:rPr>
  </w:style>
  <w:style w:type="paragraph" w:styleId="Revision">
    <w:name w:val="Revision"/>
    <w:hidden/>
    <w:uiPriority w:val="99"/>
    <w:semiHidden/>
    <w:rsid w:val="00EC0978"/>
    <w:pPr>
      <w:spacing w:after="0" w:line="240" w:lineRule="auto"/>
    </w:pPr>
  </w:style>
  <w:style w:type="character" w:styleId="FollowedHyperlink">
    <w:name w:val="FollowedHyperlink"/>
    <w:basedOn w:val="DefaultParagraphFont"/>
    <w:uiPriority w:val="99"/>
    <w:semiHidden/>
    <w:unhideWhenUsed/>
    <w:rsid w:val="000A0D97"/>
    <w:rPr>
      <w:color w:val="800080" w:themeColor="followedHyperlink"/>
      <w:u w:val="single"/>
    </w:rPr>
  </w:style>
  <w:style w:type="paragraph" w:customStyle="1" w:styleId="Titreobjet">
    <w:name w:val="Titre objet"/>
    <w:basedOn w:val="Normal"/>
    <w:next w:val="Normal"/>
    <w:rsid w:val="002436EF"/>
    <w:pPr>
      <w:spacing w:before="360" w:after="360" w:line="240" w:lineRule="auto"/>
      <w:jc w:val="center"/>
    </w:pPr>
    <w:rPr>
      <w:rFonts w:ascii="Times New Roman" w:hAnsi="Times New Roman" w:cs="Times New Roman"/>
      <w:b/>
      <w:sz w:val="24"/>
    </w:rPr>
  </w:style>
  <w:style w:type="paragraph" w:customStyle="1" w:styleId="TitreobjetPagedecouverture">
    <w:name w:val="Titre objet (Page de couverture)"/>
    <w:basedOn w:val="Titreobjet"/>
    <w:next w:val="Normal"/>
    <w:rsid w:val="002436EF"/>
  </w:style>
  <w:style w:type="paragraph" w:customStyle="1" w:styleId="Declassification">
    <w:name w:val="Declassification"/>
    <w:basedOn w:val="Normal"/>
    <w:next w:val="Normal"/>
    <w:rsid w:val="002436EF"/>
    <w:pPr>
      <w:spacing w:after="0" w:line="240" w:lineRule="auto"/>
      <w:jc w:val="both"/>
    </w:pPr>
    <w:rPr>
      <w:rFonts w:ascii="Times New Roman" w:hAnsi="Times New Roman" w:cs="Times New Roman"/>
      <w:sz w:val="24"/>
    </w:rPr>
  </w:style>
  <w:style w:type="paragraph" w:customStyle="1" w:styleId="HeaderLandscape">
    <w:name w:val="HeaderLandscape"/>
    <w:basedOn w:val="Normal"/>
    <w:rsid w:val="002436EF"/>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rsid w:val="002436E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2436EF"/>
    <w:pPr>
      <w:spacing w:after="120" w:line="240" w:lineRule="auto"/>
      <w:jc w:val="right"/>
    </w:pPr>
    <w:rPr>
      <w:rFonts w:ascii="Times New Roman" w:hAnsi="Times New Roman" w:cs="Times New Roman"/>
      <w:sz w:val="28"/>
    </w:rPr>
  </w:style>
  <w:style w:type="paragraph" w:customStyle="1" w:styleId="FooterLandscape">
    <w:name w:val="FooterLandscape"/>
    <w:basedOn w:val="Normal"/>
    <w:rsid w:val="002436EF"/>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rsid w:val="002436E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isclaimer">
    <w:name w:val="Disclaimer"/>
    <w:basedOn w:val="Normal"/>
    <w:rsid w:val="002436E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2436EF"/>
    <w:pPr>
      <w:spacing w:after="0"/>
      <w:ind w:left="5103"/>
    </w:pPr>
    <w:rPr>
      <w:rFonts w:ascii="Times New Roman" w:hAnsi="Times New Roman" w:cs="Times New Roman"/>
      <w:sz w:val="28"/>
    </w:rPr>
  </w:style>
  <w:style w:type="paragraph" w:customStyle="1" w:styleId="DateMarking">
    <w:name w:val="DateMarking"/>
    <w:basedOn w:val="Normal"/>
    <w:rsid w:val="002436EF"/>
    <w:pPr>
      <w:spacing w:after="0"/>
      <w:ind w:left="5103"/>
    </w:pPr>
    <w:rPr>
      <w:rFonts w:ascii="Times New Roman" w:hAnsi="Times New Roman" w:cs="Times New Roman"/>
      <w:i/>
      <w:sz w:val="28"/>
    </w:rPr>
  </w:style>
  <w:style w:type="paragraph" w:customStyle="1" w:styleId="ReleasableTo">
    <w:name w:val="ReleasableTo"/>
    <w:basedOn w:val="Normal"/>
    <w:rsid w:val="002436EF"/>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098043">
      <w:bodyDiv w:val="1"/>
      <w:marLeft w:val="0"/>
      <w:marRight w:val="0"/>
      <w:marTop w:val="0"/>
      <w:marBottom w:val="0"/>
      <w:divBdr>
        <w:top w:val="none" w:sz="0" w:space="0" w:color="auto"/>
        <w:left w:val="none" w:sz="0" w:space="0" w:color="auto"/>
        <w:bottom w:val="none" w:sz="0" w:space="0" w:color="auto"/>
        <w:right w:val="none" w:sz="0" w:space="0" w:color="auto"/>
      </w:divBdr>
    </w:div>
    <w:div w:id="306593383">
      <w:bodyDiv w:val="1"/>
      <w:marLeft w:val="0"/>
      <w:marRight w:val="0"/>
      <w:marTop w:val="0"/>
      <w:marBottom w:val="0"/>
      <w:divBdr>
        <w:top w:val="none" w:sz="0" w:space="0" w:color="auto"/>
        <w:left w:val="none" w:sz="0" w:space="0" w:color="auto"/>
        <w:bottom w:val="none" w:sz="0" w:space="0" w:color="auto"/>
        <w:right w:val="none" w:sz="0" w:space="0" w:color="auto"/>
      </w:divBdr>
    </w:div>
    <w:div w:id="851799155">
      <w:bodyDiv w:val="1"/>
      <w:marLeft w:val="0"/>
      <w:marRight w:val="0"/>
      <w:marTop w:val="0"/>
      <w:marBottom w:val="0"/>
      <w:divBdr>
        <w:top w:val="none" w:sz="0" w:space="0" w:color="auto"/>
        <w:left w:val="none" w:sz="0" w:space="0" w:color="auto"/>
        <w:bottom w:val="none" w:sz="0" w:space="0" w:color="auto"/>
        <w:right w:val="none" w:sz="0" w:space="0" w:color="auto"/>
      </w:divBdr>
    </w:div>
    <w:div w:id="851846546">
      <w:bodyDiv w:val="1"/>
      <w:marLeft w:val="0"/>
      <w:marRight w:val="0"/>
      <w:marTop w:val="0"/>
      <w:marBottom w:val="0"/>
      <w:divBdr>
        <w:top w:val="none" w:sz="0" w:space="0" w:color="auto"/>
        <w:left w:val="none" w:sz="0" w:space="0" w:color="auto"/>
        <w:bottom w:val="none" w:sz="0" w:space="0" w:color="auto"/>
        <w:right w:val="none" w:sz="0" w:space="0" w:color="auto"/>
      </w:divBdr>
    </w:div>
    <w:div w:id="855926190">
      <w:bodyDiv w:val="1"/>
      <w:marLeft w:val="0"/>
      <w:marRight w:val="0"/>
      <w:marTop w:val="0"/>
      <w:marBottom w:val="0"/>
      <w:divBdr>
        <w:top w:val="none" w:sz="0" w:space="0" w:color="auto"/>
        <w:left w:val="none" w:sz="0" w:space="0" w:color="auto"/>
        <w:bottom w:val="none" w:sz="0" w:space="0" w:color="auto"/>
        <w:right w:val="none" w:sz="0" w:space="0" w:color="auto"/>
      </w:divBdr>
    </w:div>
    <w:div w:id="1075475291">
      <w:bodyDiv w:val="1"/>
      <w:marLeft w:val="0"/>
      <w:marRight w:val="0"/>
      <w:marTop w:val="0"/>
      <w:marBottom w:val="0"/>
      <w:divBdr>
        <w:top w:val="none" w:sz="0" w:space="0" w:color="auto"/>
        <w:left w:val="none" w:sz="0" w:space="0" w:color="auto"/>
        <w:bottom w:val="none" w:sz="0" w:space="0" w:color="auto"/>
        <w:right w:val="none" w:sz="0" w:space="0" w:color="auto"/>
      </w:divBdr>
      <w:divsChild>
        <w:div w:id="972636783">
          <w:marLeft w:val="0"/>
          <w:marRight w:val="0"/>
          <w:marTop w:val="0"/>
          <w:marBottom w:val="0"/>
          <w:divBdr>
            <w:top w:val="none" w:sz="0" w:space="0" w:color="auto"/>
            <w:left w:val="none" w:sz="0" w:space="0" w:color="auto"/>
            <w:bottom w:val="none" w:sz="0" w:space="0" w:color="auto"/>
            <w:right w:val="none" w:sz="0" w:space="0" w:color="auto"/>
          </w:divBdr>
          <w:divsChild>
            <w:div w:id="147015179">
              <w:marLeft w:val="0"/>
              <w:marRight w:val="0"/>
              <w:marTop w:val="0"/>
              <w:marBottom w:val="0"/>
              <w:divBdr>
                <w:top w:val="none" w:sz="0" w:space="0" w:color="auto"/>
                <w:left w:val="none" w:sz="0" w:space="0" w:color="auto"/>
                <w:bottom w:val="none" w:sz="0" w:space="0" w:color="auto"/>
                <w:right w:val="none" w:sz="0" w:space="0" w:color="auto"/>
              </w:divBdr>
              <w:divsChild>
                <w:div w:id="610863028">
                  <w:marLeft w:val="0"/>
                  <w:marRight w:val="0"/>
                  <w:marTop w:val="0"/>
                  <w:marBottom w:val="0"/>
                  <w:divBdr>
                    <w:top w:val="none" w:sz="0" w:space="0" w:color="auto"/>
                    <w:left w:val="none" w:sz="0" w:space="0" w:color="auto"/>
                    <w:bottom w:val="none" w:sz="0" w:space="0" w:color="auto"/>
                    <w:right w:val="none" w:sz="0" w:space="0" w:color="auto"/>
                  </w:divBdr>
                  <w:divsChild>
                    <w:div w:id="53937577">
                      <w:marLeft w:val="1"/>
                      <w:marRight w:val="1"/>
                      <w:marTop w:val="0"/>
                      <w:marBottom w:val="0"/>
                      <w:divBdr>
                        <w:top w:val="none" w:sz="0" w:space="0" w:color="auto"/>
                        <w:left w:val="none" w:sz="0" w:space="0" w:color="auto"/>
                        <w:bottom w:val="none" w:sz="0" w:space="0" w:color="auto"/>
                        <w:right w:val="none" w:sz="0" w:space="0" w:color="auto"/>
                      </w:divBdr>
                      <w:divsChild>
                        <w:div w:id="388723426">
                          <w:marLeft w:val="0"/>
                          <w:marRight w:val="0"/>
                          <w:marTop w:val="0"/>
                          <w:marBottom w:val="0"/>
                          <w:divBdr>
                            <w:top w:val="none" w:sz="0" w:space="0" w:color="auto"/>
                            <w:left w:val="none" w:sz="0" w:space="0" w:color="auto"/>
                            <w:bottom w:val="none" w:sz="0" w:space="0" w:color="auto"/>
                            <w:right w:val="none" w:sz="0" w:space="0" w:color="auto"/>
                          </w:divBdr>
                          <w:divsChild>
                            <w:div w:id="1307470082">
                              <w:marLeft w:val="0"/>
                              <w:marRight w:val="0"/>
                              <w:marTop w:val="0"/>
                              <w:marBottom w:val="0"/>
                              <w:divBdr>
                                <w:top w:val="none" w:sz="0" w:space="0" w:color="auto"/>
                                <w:left w:val="none" w:sz="0" w:space="0" w:color="auto"/>
                                <w:bottom w:val="none" w:sz="0" w:space="0" w:color="auto"/>
                                <w:right w:val="none" w:sz="0" w:space="0" w:color="auto"/>
                              </w:divBdr>
                              <w:divsChild>
                                <w:div w:id="1030492263">
                                  <w:marLeft w:val="0"/>
                                  <w:marRight w:val="0"/>
                                  <w:marTop w:val="0"/>
                                  <w:marBottom w:val="360"/>
                                  <w:divBdr>
                                    <w:top w:val="none" w:sz="0" w:space="0" w:color="auto"/>
                                    <w:left w:val="none" w:sz="0" w:space="0" w:color="auto"/>
                                    <w:bottom w:val="none" w:sz="0" w:space="0" w:color="auto"/>
                                    <w:right w:val="none" w:sz="0" w:space="0" w:color="auto"/>
                                  </w:divBdr>
                                  <w:divsChild>
                                    <w:div w:id="998076605">
                                      <w:marLeft w:val="0"/>
                                      <w:marRight w:val="0"/>
                                      <w:marTop w:val="0"/>
                                      <w:marBottom w:val="0"/>
                                      <w:divBdr>
                                        <w:top w:val="none" w:sz="0" w:space="0" w:color="auto"/>
                                        <w:left w:val="none" w:sz="0" w:space="0" w:color="auto"/>
                                        <w:bottom w:val="none" w:sz="0" w:space="0" w:color="auto"/>
                                        <w:right w:val="none" w:sz="0" w:space="0" w:color="auto"/>
                                      </w:divBdr>
                                      <w:divsChild>
                                        <w:div w:id="6908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6821543">
      <w:bodyDiv w:val="1"/>
      <w:marLeft w:val="0"/>
      <w:marRight w:val="0"/>
      <w:marTop w:val="0"/>
      <w:marBottom w:val="0"/>
      <w:divBdr>
        <w:top w:val="none" w:sz="0" w:space="0" w:color="auto"/>
        <w:left w:val="none" w:sz="0" w:space="0" w:color="auto"/>
        <w:bottom w:val="none" w:sz="0" w:space="0" w:color="auto"/>
        <w:right w:val="none" w:sz="0" w:space="0" w:color="auto"/>
      </w:divBdr>
    </w:div>
    <w:div w:id="1179661830">
      <w:bodyDiv w:val="1"/>
      <w:marLeft w:val="0"/>
      <w:marRight w:val="0"/>
      <w:marTop w:val="0"/>
      <w:marBottom w:val="0"/>
      <w:divBdr>
        <w:top w:val="none" w:sz="0" w:space="0" w:color="auto"/>
        <w:left w:val="none" w:sz="0" w:space="0" w:color="auto"/>
        <w:bottom w:val="none" w:sz="0" w:space="0" w:color="auto"/>
        <w:right w:val="none" w:sz="0" w:space="0" w:color="auto"/>
      </w:divBdr>
    </w:div>
    <w:div w:id="1415665059">
      <w:bodyDiv w:val="1"/>
      <w:marLeft w:val="0"/>
      <w:marRight w:val="0"/>
      <w:marTop w:val="0"/>
      <w:marBottom w:val="0"/>
      <w:divBdr>
        <w:top w:val="none" w:sz="0" w:space="0" w:color="auto"/>
        <w:left w:val="none" w:sz="0" w:space="0" w:color="auto"/>
        <w:bottom w:val="none" w:sz="0" w:space="0" w:color="auto"/>
        <w:right w:val="none" w:sz="0" w:space="0" w:color="auto"/>
      </w:divBdr>
    </w:div>
    <w:div w:id="1625312641">
      <w:bodyDiv w:val="1"/>
      <w:marLeft w:val="0"/>
      <w:marRight w:val="0"/>
      <w:marTop w:val="0"/>
      <w:marBottom w:val="0"/>
      <w:divBdr>
        <w:top w:val="none" w:sz="0" w:space="0" w:color="auto"/>
        <w:left w:val="none" w:sz="0" w:space="0" w:color="auto"/>
        <w:bottom w:val="none" w:sz="0" w:space="0" w:color="auto"/>
        <w:right w:val="none" w:sz="0" w:space="0" w:color="auto"/>
      </w:divBdr>
    </w:div>
    <w:div w:id="1796295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fsa.onlinelibrary.wiley.com/doi/10.2903/j.efsa.2023.8063" TargetMode="External"/><Relationship Id="rId3" Type="http://schemas.openxmlformats.org/officeDocument/2006/relationships/hyperlink" Target="https://efsa.onlinelibrary.wiley.com/doi/10.2903/j.efsa.2018.5365" TargetMode="External"/><Relationship Id="rId7" Type="http://schemas.openxmlformats.org/officeDocument/2006/relationships/hyperlink" Target="https://efsa.onlinelibrary.wiley.com/doi/full/10.2903/j.efsa.2022.7141" TargetMode="External"/><Relationship Id="rId12" Type="http://schemas.openxmlformats.org/officeDocument/2006/relationships/hyperlink" Target="https://www.efsa.europa.eu/en/efsajournal/pub/7549" TargetMode="External"/><Relationship Id="rId2" Type="http://schemas.openxmlformats.org/officeDocument/2006/relationships/hyperlink" Target="https://www.efsa.europa.eu/en/efsajournal/pub/4593" TargetMode="External"/><Relationship Id="rId1" Type="http://schemas.openxmlformats.org/officeDocument/2006/relationships/hyperlink" Target="https://www.efsa.europa.eu/en/efsajournal/pub/4593" TargetMode="External"/><Relationship Id="rId6" Type="http://schemas.openxmlformats.org/officeDocument/2006/relationships/hyperlink" Target="https://www.efsa.europa.eu/en/efsajournal/pub/6304" TargetMode="External"/><Relationship Id="rId11" Type="http://schemas.openxmlformats.org/officeDocument/2006/relationships/hyperlink" Target="https://efsa.onlinelibrary.wiley.com/doi/full/10.2903/j.efsa.2021.6843" TargetMode="External"/><Relationship Id="rId5" Type="http://schemas.openxmlformats.org/officeDocument/2006/relationships/hyperlink" Target="https://www.efsa.europa.eu/en/efsajournal/pub/4781" TargetMode="External"/><Relationship Id="rId10" Type="http://schemas.openxmlformats.org/officeDocument/2006/relationships/hyperlink" Target="https://efsa.onlinelibrary.wiley.com/doi/full/10.2903/j.efsa.2020.5947" TargetMode="External"/><Relationship Id="rId4" Type="http://schemas.openxmlformats.org/officeDocument/2006/relationships/hyperlink" Target="https://www.efsa.europa.eu/en/efsajournal/pub/4781" TargetMode="External"/><Relationship Id="rId9" Type="http://schemas.openxmlformats.org/officeDocument/2006/relationships/hyperlink" Target="https://www.efsa.europa.eu/en/efsajournal/pub/64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2BD125-9C7C-4D26-9C85-FB2A600F3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1821</Words>
  <Characters>10380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SANTE/10867/2017-EN</vt:lpstr>
    </vt:vector>
  </TitlesOfParts>
  <Manager/>
  <Company/>
  <LinksUpToDate>false</LinksUpToDate>
  <CharactersWithSpaces>12177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SANTE/10867/2017-EN</dc:title>
  <dc:subject>REPORT</dc:subject>
  <dc:creator/>
  <cp:keywords>10867</cp:keywords>
  <dc:description/>
  <cp:lastModifiedBy/>
  <cp:revision>7</cp:revision>
  <cp:lastPrinted>2024-04-26T10:29:00Z</cp:lastPrinted>
  <dcterms:created xsi:type="dcterms:W3CDTF">2024-05-28T12:28:00Z</dcterms:created>
  <dcterms:modified xsi:type="dcterms:W3CDTF">2024-07-23T07:05:00Z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MSIP_Label_6bd9ddd1-4d20-43f6-abfa-fc3c07406f94_Enabled">
    <vt:lpwstr>true</vt:lpwstr>
  </property>
  <property fmtid="{D5CDD505-2E9C-101B-9397-08002B2CF9AE}" pid="6" name="MSIP_Label_6bd9ddd1-4d20-43f6-abfa-fc3c07406f94_SetDate">
    <vt:lpwstr>2024-02-02T10:22:12Z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6b485362-ad98-4f49-a734-594bbe963531</vt:lpwstr>
  </property>
  <property fmtid="{D5CDD505-2E9C-101B-9397-08002B2CF9AE}" pid="11" name="MSIP_Label_6bd9ddd1-4d20-43f6-abfa-fc3c07406f94_ContentBits">
    <vt:lpwstr>0</vt:lpwstr>
  </property>
  <property fmtid="{D5CDD505-2E9C-101B-9397-08002B2CF9AE}" pid="12" name="Level of sensitivity">
    <vt:lpwstr>Standard treatment</vt:lpwstr>
  </property>
  <property fmtid="{D5CDD505-2E9C-101B-9397-08002B2CF9AE}" pid="13" name="Last edited using">
    <vt:lpwstr>LW 9.0, Build 20230317</vt:lpwstr>
  </property>
  <property fmtid="{D5CDD505-2E9C-101B-9397-08002B2CF9AE}" pid="14" name="CPTemplateID">
    <vt:lpwstr>CP-006</vt:lpwstr>
  </property>
  <property name="OP_sanitized" fmtid="{D5CDD505-2E9C-101B-9397-08002B2CF9AE}" pid="15">
    <vt:lpwstr>True</vt:lpwstr>
  </property>
</Properties>
</file>