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intelligence2.xml" ContentType="application/vnd.ms-office.intelligence2+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Override PartName="/word/theme/themeOverride5.xml" ContentType="application/vnd.openxmlformats-officedocument.themeOverrid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00FAEB" w14:textId="350FE2B3" w:rsidR="00A41E7C" w:rsidRDefault="008A75FD" w:rsidP="008A75FD">
      <w:pPr>
        <w:pStyle w:val="Pagedecouverture"/>
        <w:rPr>
          <w:noProof/>
        </w:rPr>
      </w:pPr>
      <w:bookmarkStart w:id="0" w:name="LW_BM_COVERPAGE"/>
      <w:r>
        <w:rPr>
          <w:noProof/>
        </w:rPr>
        <w:pict w14:anchorId="5271F6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alt="B5F163B0-5B37-4828-85C5-032FD64E6E0F" style="width:455.25pt;height:336.75pt">
            <v:imagedata r:id="rId11" o:title=""/>
          </v:shape>
        </w:pict>
      </w:r>
    </w:p>
    <w:bookmarkEnd w:id="0"/>
    <w:p w14:paraId="1DA6C4F1" w14:textId="77777777" w:rsidR="00A41E7C" w:rsidRDefault="00A41E7C" w:rsidP="00A41E7C">
      <w:pPr>
        <w:rPr>
          <w:noProof/>
        </w:rPr>
        <w:sectPr w:rsidR="00A41E7C" w:rsidSect="008A75F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3"/>
          <w:cols w:space="720"/>
          <w:docGrid w:linePitch="360"/>
        </w:sectPr>
      </w:pPr>
    </w:p>
    <w:p w14:paraId="21DE148A" w14:textId="77777777" w:rsidR="006D1404" w:rsidRPr="006D1404" w:rsidRDefault="006D1404" w:rsidP="006D1404">
      <w:pPr>
        <w:spacing w:before="100" w:beforeAutospacing="1" w:after="100" w:afterAutospacing="1" w:line="240" w:lineRule="auto"/>
        <w:rPr>
          <w:noProof/>
        </w:rPr>
      </w:pPr>
      <w:bookmarkStart w:id="1" w:name="_GoBack"/>
      <w:bookmarkEnd w:id="1"/>
    </w:p>
    <w:sdt>
      <w:sdtPr>
        <w:rPr>
          <w:noProof/>
        </w:rPr>
        <w:id w:val="68371494"/>
        <w:docPartObj>
          <w:docPartGallery w:val="Table of Contents"/>
          <w:docPartUnique/>
        </w:docPartObj>
      </w:sdtPr>
      <w:sdtEndPr/>
      <w:sdtContent>
        <w:p w14:paraId="5FC6BFF2" w14:textId="77777777" w:rsidR="006D1404" w:rsidRPr="006D1404" w:rsidRDefault="006D1404" w:rsidP="006D1404">
          <w:pPr>
            <w:tabs>
              <w:tab w:val="left" w:pos="851"/>
              <w:tab w:val="right" w:leader="dot" w:pos="9016"/>
            </w:tabs>
            <w:spacing w:after="100"/>
            <w:ind w:left="426" w:hanging="426"/>
            <w:jc w:val="center"/>
            <w:rPr>
              <w:rFonts w:ascii="Times New Roman" w:hAnsi="Times New Roman" w:cs="Times New Roman"/>
              <w:b/>
              <w:bCs/>
              <w:noProof/>
            </w:rPr>
          </w:pPr>
          <w:r>
            <w:rPr>
              <w:rFonts w:ascii="Times New Roman" w:hAnsi="Times New Roman"/>
              <w:b/>
              <w:noProof/>
            </w:rPr>
            <w:t>Saturs</w:t>
          </w:r>
        </w:p>
        <w:p w14:paraId="088EB5A1" w14:textId="036F6BDD" w:rsidR="00C1128C" w:rsidRDefault="006D1404">
          <w:pPr>
            <w:pStyle w:val="TOC1"/>
            <w:rPr>
              <w:rFonts w:eastAsiaTheme="minorEastAsia"/>
              <w:noProof/>
              <w:lang w:eastAsia="lv-LV"/>
            </w:rPr>
          </w:pPr>
          <w:r>
            <w:rPr>
              <w:rFonts w:ascii="Times New Roman" w:hAnsi="Times New Roman" w:cs="Times New Roman"/>
              <w:noProof/>
            </w:rPr>
            <w:fldChar w:fldCharType="begin"/>
          </w:r>
          <w:r>
            <w:rPr>
              <w:rFonts w:ascii="Times New Roman" w:hAnsi="Times New Roman" w:cs="Times New Roman"/>
              <w:noProof/>
            </w:rPr>
            <w:instrText>TOC \o "1-3" \h \z \u</w:instrText>
          </w:r>
          <w:r>
            <w:rPr>
              <w:rFonts w:ascii="Times New Roman" w:hAnsi="Times New Roman" w:cs="Times New Roman"/>
              <w:noProof/>
            </w:rPr>
            <w:fldChar w:fldCharType="separate"/>
          </w:r>
          <w:hyperlink w:anchor="_Toc129180040" w:history="1">
            <w:r w:rsidR="00C1128C" w:rsidRPr="0083637B">
              <w:rPr>
                <w:rStyle w:val="Hyperlink"/>
                <w:rFonts w:asciiTheme="majorHAnsi" w:eastAsiaTheme="majorEastAsia" w:hAnsiTheme="majorHAnsi" w:cstheme="majorBidi"/>
                <w:noProof/>
              </w:rPr>
              <w:t>1.</w:t>
            </w:r>
            <w:r w:rsidR="00C1128C">
              <w:rPr>
                <w:rFonts w:eastAsiaTheme="minorEastAsia"/>
                <w:noProof/>
                <w:lang w:eastAsia="lv-LV"/>
              </w:rPr>
              <w:tab/>
            </w:r>
            <w:r w:rsidR="00C1128C" w:rsidRPr="0083637B">
              <w:rPr>
                <w:rStyle w:val="Hyperlink"/>
                <w:rFonts w:asciiTheme="majorHAnsi" w:hAnsiTheme="majorHAnsi"/>
                <w:noProof/>
              </w:rPr>
              <w:t>Ievads</w:t>
            </w:r>
            <w:r w:rsidR="00C1128C">
              <w:rPr>
                <w:noProof/>
                <w:webHidden/>
              </w:rPr>
              <w:tab/>
            </w:r>
            <w:r w:rsidR="00C1128C">
              <w:rPr>
                <w:noProof/>
                <w:webHidden/>
              </w:rPr>
              <w:fldChar w:fldCharType="begin"/>
            </w:r>
            <w:r w:rsidR="00C1128C">
              <w:rPr>
                <w:noProof/>
                <w:webHidden/>
              </w:rPr>
              <w:instrText xml:space="preserve"> PAGEREF _Toc129180040 \h </w:instrText>
            </w:r>
            <w:r w:rsidR="00C1128C">
              <w:rPr>
                <w:noProof/>
                <w:webHidden/>
              </w:rPr>
            </w:r>
            <w:r w:rsidR="00C1128C">
              <w:rPr>
                <w:noProof/>
                <w:webHidden/>
              </w:rPr>
              <w:fldChar w:fldCharType="separate"/>
            </w:r>
            <w:r w:rsidR="00C1128C">
              <w:rPr>
                <w:noProof/>
                <w:webHidden/>
              </w:rPr>
              <w:t>2</w:t>
            </w:r>
            <w:r w:rsidR="00C1128C">
              <w:rPr>
                <w:noProof/>
                <w:webHidden/>
              </w:rPr>
              <w:fldChar w:fldCharType="end"/>
            </w:r>
          </w:hyperlink>
        </w:p>
        <w:p w14:paraId="65DA8FC1" w14:textId="4868C163" w:rsidR="00C1128C" w:rsidRDefault="008A75FD">
          <w:pPr>
            <w:pStyle w:val="TOC1"/>
            <w:rPr>
              <w:rFonts w:eastAsiaTheme="minorEastAsia"/>
              <w:noProof/>
              <w:lang w:eastAsia="lv-LV"/>
            </w:rPr>
          </w:pPr>
          <w:hyperlink w:anchor="_Toc129180041" w:history="1">
            <w:r w:rsidR="00C1128C" w:rsidRPr="0083637B">
              <w:rPr>
                <w:rStyle w:val="Hyperlink"/>
                <w:rFonts w:asciiTheme="majorHAnsi" w:eastAsiaTheme="majorEastAsia" w:hAnsiTheme="majorHAnsi" w:cstheme="majorBidi"/>
                <w:noProof/>
              </w:rPr>
              <w:t>2.</w:t>
            </w:r>
            <w:r w:rsidR="00C1128C">
              <w:rPr>
                <w:rFonts w:eastAsiaTheme="minorEastAsia"/>
                <w:noProof/>
                <w:lang w:eastAsia="lv-LV"/>
              </w:rPr>
              <w:tab/>
            </w:r>
            <w:r w:rsidR="00C1128C" w:rsidRPr="0083637B">
              <w:rPr>
                <w:rStyle w:val="Hyperlink"/>
                <w:rFonts w:asciiTheme="majorHAnsi" w:hAnsiTheme="majorHAnsi"/>
                <w:noProof/>
              </w:rPr>
              <w:t>Iestāžu sistēma, izpildes panākšanas instrumenti un strīdu izšķiršana</w:t>
            </w:r>
            <w:r w:rsidR="00C1128C">
              <w:rPr>
                <w:noProof/>
                <w:webHidden/>
              </w:rPr>
              <w:tab/>
            </w:r>
            <w:r w:rsidR="00C1128C">
              <w:rPr>
                <w:noProof/>
                <w:webHidden/>
              </w:rPr>
              <w:fldChar w:fldCharType="begin"/>
            </w:r>
            <w:r w:rsidR="00C1128C">
              <w:rPr>
                <w:noProof/>
                <w:webHidden/>
              </w:rPr>
              <w:instrText xml:space="preserve"> PAGEREF _Toc129180041 \h </w:instrText>
            </w:r>
            <w:r w:rsidR="00C1128C">
              <w:rPr>
                <w:noProof/>
                <w:webHidden/>
              </w:rPr>
            </w:r>
            <w:r w:rsidR="00C1128C">
              <w:rPr>
                <w:noProof/>
                <w:webHidden/>
              </w:rPr>
              <w:fldChar w:fldCharType="separate"/>
            </w:r>
            <w:r w:rsidR="00C1128C">
              <w:rPr>
                <w:noProof/>
                <w:webHidden/>
              </w:rPr>
              <w:t>2</w:t>
            </w:r>
            <w:r w:rsidR="00C1128C">
              <w:rPr>
                <w:noProof/>
                <w:webHidden/>
              </w:rPr>
              <w:fldChar w:fldCharType="end"/>
            </w:r>
          </w:hyperlink>
        </w:p>
        <w:p w14:paraId="0CC9D265" w14:textId="108EB2E5" w:rsidR="00C1128C" w:rsidRDefault="008A75FD">
          <w:pPr>
            <w:pStyle w:val="TOC1"/>
            <w:rPr>
              <w:rFonts w:eastAsiaTheme="minorEastAsia"/>
              <w:noProof/>
              <w:lang w:eastAsia="lv-LV"/>
            </w:rPr>
          </w:pPr>
          <w:hyperlink w:anchor="_Toc129180042" w:history="1">
            <w:r w:rsidR="00C1128C" w:rsidRPr="0083637B">
              <w:rPr>
                <w:rStyle w:val="Hyperlink"/>
                <w:rFonts w:asciiTheme="majorHAnsi" w:eastAsiaTheme="majorEastAsia" w:hAnsiTheme="majorHAnsi" w:cstheme="majorBidi"/>
                <w:noProof/>
              </w:rPr>
              <w:t>3.</w:t>
            </w:r>
            <w:r w:rsidR="00C1128C">
              <w:rPr>
                <w:rFonts w:eastAsiaTheme="minorEastAsia"/>
                <w:noProof/>
                <w:lang w:eastAsia="lv-LV"/>
              </w:rPr>
              <w:tab/>
            </w:r>
            <w:r w:rsidR="00C1128C" w:rsidRPr="0083637B">
              <w:rPr>
                <w:rStyle w:val="Hyperlink"/>
                <w:rFonts w:asciiTheme="majorHAnsi" w:hAnsiTheme="majorHAnsi"/>
                <w:noProof/>
              </w:rPr>
              <w:t>Īstenošana pa nozarēm</w:t>
            </w:r>
            <w:r w:rsidR="00C1128C">
              <w:rPr>
                <w:noProof/>
                <w:webHidden/>
              </w:rPr>
              <w:tab/>
            </w:r>
            <w:r w:rsidR="00C1128C">
              <w:rPr>
                <w:noProof/>
                <w:webHidden/>
              </w:rPr>
              <w:fldChar w:fldCharType="begin"/>
            </w:r>
            <w:r w:rsidR="00C1128C">
              <w:rPr>
                <w:noProof/>
                <w:webHidden/>
              </w:rPr>
              <w:instrText xml:space="preserve"> PAGEREF _Toc129180042 \h </w:instrText>
            </w:r>
            <w:r w:rsidR="00C1128C">
              <w:rPr>
                <w:noProof/>
                <w:webHidden/>
              </w:rPr>
            </w:r>
            <w:r w:rsidR="00C1128C">
              <w:rPr>
                <w:noProof/>
                <w:webHidden/>
              </w:rPr>
              <w:fldChar w:fldCharType="separate"/>
            </w:r>
            <w:r w:rsidR="00C1128C">
              <w:rPr>
                <w:noProof/>
                <w:webHidden/>
              </w:rPr>
              <w:t>3</w:t>
            </w:r>
            <w:r w:rsidR="00C1128C">
              <w:rPr>
                <w:noProof/>
                <w:webHidden/>
              </w:rPr>
              <w:fldChar w:fldCharType="end"/>
            </w:r>
          </w:hyperlink>
        </w:p>
        <w:p w14:paraId="35991E72" w14:textId="36682F46" w:rsidR="00C1128C" w:rsidRDefault="008A75FD">
          <w:pPr>
            <w:pStyle w:val="TOC2"/>
            <w:tabs>
              <w:tab w:val="left" w:pos="880"/>
              <w:tab w:val="right" w:leader="dot" w:pos="9016"/>
            </w:tabs>
            <w:rPr>
              <w:rFonts w:eastAsiaTheme="minorEastAsia"/>
              <w:noProof/>
              <w:lang w:eastAsia="lv-LV"/>
            </w:rPr>
          </w:pPr>
          <w:hyperlink w:anchor="_Toc129180043" w:history="1">
            <w:r w:rsidR="00C1128C" w:rsidRPr="0083637B">
              <w:rPr>
                <w:rStyle w:val="Hyperlink"/>
                <w:rFonts w:asciiTheme="majorHAnsi" w:eastAsiaTheme="majorEastAsia" w:hAnsiTheme="majorHAnsi" w:cstheme="majorBidi"/>
                <w:noProof/>
              </w:rPr>
              <w:t>3.1.</w:t>
            </w:r>
            <w:r w:rsidR="00C1128C">
              <w:rPr>
                <w:rFonts w:eastAsiaTheme="minorEastAsia"/>
                <w:noProof/>
                <w:lang w:eastAsia="lv-LV"/>
              </w:rPr>
              <w:tab/>
            </w:r>
            <w:r w:rsidR="00C1128C" w:rsidRPr="0083637B">
              <w:rPr>
                <w:rStyle w:val="Hyperlink"/>
                <w:rFonts w:asciiTheme="majorHAnsi" w:hAnsiTheme="majorHAnsi"/>
                <w:noProof/>
              </w:rPr>
              <w:t>Preču tirdzniecība</w:t>
            </w:r>
            <w:r w:rsidR="00C1128C">
              <w:rPr>
                <w:noProof/>
                <w:webHidden/>
              </w:rPr>
              <w:tab/>
            </w:r>
            <w:r w:rsidR="00C1128C">
              <w:rPr>
                <w:noProof/>
                <w:webHidden/>
              </w:rPr>
              <w:fldChar w:fldCharType="begin"/>
            </w:r>
            <w:r w:rsidR="00C1128C">
              <w:rPr>
                <w:noProof/>
                <w:webHidden/>
              </w:rPr>
              <w:instrText xml:space="preserve"> PAGEREF _Toc129180043 \h </w:instrText>
            </w:r>
            <w:r w:rsidR="00C1128C">
              <w:rPr>
                <w:noProof/>
                <w:webHidden/>
              </w:rPr>
            </w:r>
            <w:r w:rsidR="00C1128C">
              <w:rPr>
                <w:noProof/>
                <w:webHidden/>
              </w:rPr>
              <w:fldChar w:fldCharType="separate"/>
            </w:r>
            <w:r w:rsidR="00C1128C">
              <w:rPr>
                <w:noProof/>
                <w:webHidden/>
              </w:rPr>
              <w:t>4</w:t>
            </w:r>
            <w:r w:rsidR="00C1128C">
              <w:rPr>
                <w:noProof/>
                <w:webHidden/>
              </w:rPr>
              <w:fldChar w:fldCharType="end"/>
            </w:r>
          </w:hyperlink>
        </w:p>
        <w:p w14:paraId="4E31C644" w14:textId="6FC203A6" w:rsidR="00C1128C" w:rsidRDefault="008A75FD">
          <w:pPr>
            <w:pStyle w:val="TOC2"/>
            <w:tabs>
              <w:tab w:val="left" w:pos="880"/>
              <w:tab w:val="right" w:leader="dot" w:pos="9016"/>
            </w:tabs>
            <w:rPr>
              <w:rFonts w:eastAsiaTheme="minorEastAsia"/>
              <w:noProof/>
              <w:lang w:eastAsia="lv-LV"/>
            </w:rPr>
          </w:pPr>
          <w:hyperlink w:anchor="_Toc129180044" w:history="1">
            <w:r w:rsidR="00C1128C" w:rsidRPr="0083637B">
              <w:rPr>
                <w:rStyle w:val="Hyperlink"/>
                <w:rFonts w:asciiTheme="majorHAnsi" w:eastAsiaTheme="majorEastAsia" w:hAnsiTheme="majorHAnsi" w:cstheme="majorBidi"/>
                <w:noProof/>
              </w:rPr>
              <w:t>3.2.</w:t>
            </w:r>
            <w:r w:rsidR="00C1128C">
              <w:rPr>
                <w:rFonts w:eastAsiaTheme="minorEastAsia"/>
                <w:noProof/>
                <w:lang w:eastAsia="lv-LV"/>
              </w:rPr>
              <w:tab/>
            </w:r>
            <w:r w:rsidR="00C1128C" w:rsidRPr="0083637B">
              <w:rPr>
                <w:rStyle w:val="Hyperlink"/>
                <w:rFonts w:asciiTheme="majorHAnsi" w:hAnsiTheme="majorHAnsi"/>
                <w:noProof/>
              </w:rPr>
              <w:t>Pakalpojumi un investīcijas, digitālā tirdzniecība, intelektuālais īpašums, publiskais iepirkums un mazie un vidējie uzņēmumi</w:t>
            </w:r>
            <w:r w:rsidR="00C1128C">
              <w:rPr>
                <w:noProof/>
                <w:webHidden/>
              </w:rPr>
              <w:tab/>
            </w:r>
            <w:r w:rsidR="00C1128C">
              <w:rPr>
                <w:noProof/>
                <w:webHidden/>
              </w:rPr>
              <w:fldChar w:fldCharType="begin"/>
            </w:r>
            <w:r w:rsidR="00C1128C">
              <w:rPr>
                <w:noProof/>
                <w:webHidden/>
              </w:rPr>
              <w:instrText xml:space="preserve"> PAGEREF _Toc129180044 \h </w:instrText>
            </w:r>
            <w:r w:rsidR="00C1128C">
              <w:rPr>
                <w:noProof/>
                <w:webHidden/>
              </w:rPr>
            </w:r>
            <w:r w:rsidR="00C1128C">
              <w:rPr>
                <w:noProof/>
                <w:webHidden/>
              </w:rPr>
              <w:fldChar w:fldCharType="separate"/>
            </w:r>
            <w:r w:rsidR="00C1128C">
              <w:rPr>
                <w:noProof/>
                <w:webHidden/>
              </w:rPr>
              <w:t>5</w:t>
            </w:r>
            <w:r w:rsidR="00C1128C">
              <w:rPr>
                <w:noProof/>
                <w:webHidden/>
              </w:rPr>
              <w:fldChar w:fldCharType="end"/>
            </w:r>
          </w:hyperlink>
        </w:p>
        <w:p w14:paraId="66900A26" w14:textId="348EDE71" w:rsidR="00C1128C" w:rsidRDefault="008A75FD">
          <w:pPr>
            <w:pStyle w:val="TOC2"/>
            <w:tabs>
              <w:tab w:val="left" w:pos="880"/>
              <w:tab w:val="right" w:leader="dot" w:pos="9016"/>
            </w:tabs>
            <w:rPr>
              <w:rFonts w:eastAsiaTheme="minorEastAsia"/>
              <w:noProof/>
              <w:lang w:eastAsia="lv-LV"/>
            </w:rPr>
          </w:pPr>
          <w:hyperlink w:anchor="_Toc129180045" w:history="1">
            <w:r w:rsidR="00C1128C" w:rsidRPr="0083637B">
              <w:rPr>
                <w:rStyle w:val="Hyperlink"/>
                <w:rFonts w:asciiTheme="majorHAnsi" w:eastAsiaTheme="majorEastAsia" w:hAnsiTheme="majorHAnsi" w:cstheme="majorBidi"/>
                <w:noProof/>
              </w:rPr>
              <w:t>3.3.</w:t>
            </w:r>
            <w:r w:rsidR="00C1128C">
              <w:rPr>
                <w:rFonts w:eastAsiaTheme="minorEastAsia"/>
                <w:noProof/>
                <w:lang w:eastAsia="lv-LV"/>
              </w:rPr>
              <w:tab/>
            </w:r>
            <w:r w:rsidR="00C1128C" w:rsidRPr="0083637B">
              <w:rPr>
                <w:rStyle w:val="Hyperlink"/>
                <w:rFonts w:asciiTheme="majorHAnsi" w:hAnsiTheme="majorHAnsi"/>
                <w:noProof/>
              </w:rPr>
              <w:t>Enerģētika</w:t>
            </w:r>
            <w:r w:rsidR="00C1128C">
              <w:rPr>
                <w:noProof/>
                <w:webHidden/>
              </w:rPr>
              <w:tab/>
            </w:r>
            <w:r w:rsidR="00C1128C">
              <w:rPr>
                <w:noProof/>
                <w:webHidden/>
              </w:rPr>
              <w:fldChar w:fldCharType="begin"/>
            </w:r>
            <w:r w:rsidR="00C1128C">
              <w:rPr>
                <w:noProof/>
                <w:webHidden/>
              </w:rPr>
              <w:instrText xml:space="preserve"> PAGEREF _Toc129180045 \h </w:instrText>
            </w:r>
            <w:r w:rsidR="00C1128C">
              <w:rPr>
                <w:noProof/>
                <w:webHidden/>
              </w:rPr>
            </w:r>
            <w:r w:rsidR="00C1128C">
              <w:rPr>
                <w:noProof/>
                <w:webHidden/>
              </w:rPr>
              <w:fldChar w:fldCharType="separate"/>
            </w:r>
            <w:r w:rsidR="00C1128C">
              <w:rPr>
                <w:noProof/>
                <w:webHidden/>
              </w:rPr>
              <w:t>6</w:t>
            </w:r>
            <w:r w:rsidR="00C1128C">
              <w:rPr>
                <w:noProof/>
                <w:webHidden/>
              </w:rPr>
              <w:fldChar w:fldCharType="end"/>
            </w:r>
          </w:hyperlink>
        </w:p>
        <w:p w14:paraId="3EE23FC7" w14:textId="59B68D71" w:rsidR="00C1128C" w:rsidRDefault="008A75FD">
          <w:pPr>
            <w:pStyle w:val="TOC2"/>
            <w:tabs>
              <w:tab w:val="left" w:pos="880"/>
              <w:tab w:val="right" w:leader="dot" w:pos="9016"/>
            </w:tabs>
            <w:rPr>
              <w:rFonts w:eastAsiaTheme="minorEastAsia"/>
              <w:noProof/>
              <w:lang w:eastAsia="lv-LV"/>
            </w:rPr>
          </w:pPr>
          <w:hyperlink w:anchor="_Toc129180046" w:history="1">
            <w:r w:rsidR="00C1128C" w:rsidRPr="0083637B">
              <w:rPr>
                <w:rStyle w:val="Hyperlink"/>
                <w:rFonts w:asciiTheme="majorHAnsi" w:eastAsiaTheme="majorEastAsia" w:hAnsiTheme="majorHAnsi" w:cstheme="majorBidi"/>
                <w:noProof/>
              </w:rPr>
              <w:t>3.4.</w:t>
            </w:r>
            <w:r w:rsidR="00C1128C">
              <w:rPr>
                <w:rFonts w:eastAsiaTheme="minorEastAsia"/>
                <w:noProof/>
                <w:lang w:eastAsia="lv-LV"/>
              </w:rPr>
              <w:tab/>
            </w:r>
            <w:r w:rsidR="00C1128C" w:rsidRPr="0083637B">
              <w:rPr>
                <w:rStyle w:val="Hyperlink"/>
                <w:rFonts w:asciiTheme="majorHAnsi" w:hAnsiTheme="majorHAnsi"/>
                <w:noProof/>
              </w:rPr>
              <w:t>Transports</w:t>
            </w:r>
            <w:r w:rsidR="00C1128C">
              <w:rPr>
                <w:noProof/>
                <w:webHidden/>
              </w:rPr>
              <w:tab/>
            </w:r>
            <w:r w:rsidR="00C1128C">
              <w:rPr>
                <w:noProof/>
                <w:webHidden/>
              </w:rPr>
              <w:fldChar w:fldCharType="begin"/>
            </w:r>
            <w:r w:rsidR="00C1128C">
              <w:rPr>
                <w:noProof/>
                <w:webHidden/>
              </w:rPr>
              <w:instrText xml:space="preserve"> PAGEREF _Toc129180046 \h </w:instrText>
            </w:r>
            <w:r w:rsidR="00C1128C">
              <w:rPr>
                <w:noProof/>
                <w:webHidden/>
              </w:rPr>
            </w:r>
            <w:r w:rsidR="00C1128C">
              <w:rPr>
                <w:noProof/>
                <w:webHidden/>
              </w:rPr>
              <w:fldChar w:fldCharType="separate"/>
            </w:r>
            <w:r w:rsidR="00C1128C">
              <w:rPr>
                <w:noProof/>
                <w:webHidden/>
              </w:rPr>
              <w:t>7</w:t>
            </w:r>
            <w:r w:rsidR="00C1128C">
              <w:rPr>
                <w:noProof/>
                <w:webHidden/>
              </w:rPr>
              <w:fldChar w:fldCharType="end"/>
            </w:r>
          </w:hyperlink>
        </w:p>
        <w:p w14:paraId="08B58552" w14:textId="263A5E3D" w:rsidR="00C1128C" w:rsidRDefault="008A75FD">
          <w:pPr>
            <w:pStyle w:val="TOC2"/>
            <w:tabs>
              <w:tab w:val="left" w:pos="880"/>
              <w:tab w:val="right" w:leader="dot" w:pos="9016"/>
            </w:tabs>
            <w:rPr>
              <w:rFonts w:eastAsiaTheme="minorEastAsia"/>
              <w:noProof/>
              <w:lang w:eastAsia="lv-LV"/>
            </w:rPr>
          </w:pPr>
          <w:hyperlink w:anchor="_Toc129180047" w:history="1">
            <w:r w:rsidR="00C1128C" w:rsidRPr="0083637B">
              <w:rPr>
                <w:rStyle w:val="Hyperlink"/>
                <w:rFonts w:asciiTheme="majorHAnsi" w:eastAsiaTheme="majorEastAsia" w:hAnsiTheme="majorHAnsi" w:cstheme="majorBidi"/>
                <w:noProof/>
              </w:rPr>
              <w:t>3.5.</w:t>
            </w:r>
            <w:r w:rsidR="00C1128C">
              <w:rPr>
                <w:rFonts w:eastAsiaTheme="minorEastAsia"/>
                <w:noProof/>
                <w:lang w:eastAsia="lv-LV"/>
              </w:rPr>
              <w:tab/>
            </w:r>
            <w:r w:rsidR="00C1128C" w:rsidRPr="0083637B">
              <w:rPr>
                <w:rStyle w:val="Hyperlink"/>
                <w:rFonts w:asciiTheme="majorHAnsi" w:hAnsiTheme="majorHAnsi"/>
                <w:noProof/>
              </w:rPr>
              <w:t>Zvejniecība</w:t>
            </w:r>
            <w:r w:rsidR="00C1128C">
              <w:rPr>
                <w:noProof/>
                <w:webHidden/>
              </w:rPr>
              <w:tab/>
            </w:r>
            <w:r w:rsidR="00C1128C">
              <w:rPr>
                <w:noProof/>
                <w:webHidden/>
              </w:rPr>
              <w:fldChar w:fldCharType="begin"/>
            </w:r>
            <w:r w:rsidR="00C1128C">
              <w:rPr>
                <w:noProof/>
                <w:webHidden/>
              </w:rPr>
              <w:instrText xml:space="preserve"> PAGEREF _Toc129180047 \h </w:instrText>
            </w:r>
            <w:r w:rsidR="00C1128C">
              <w:rPr>
                <w:noProof/>
                <w:webHidden/>
              </w:rPr>
            </w:r>
            <w:r w:rsidR="00C1128C">
              <w:rPr>
                <w:noProof/>
                <w:webHidden/>
              </w:rPr>
              <w:fldChar w:fldCharType="separate"/>
            </w:r>
            <w:r w:rsidR="00C1128C">
              <w:rPr>
                <w:noProof/>
                <w:webHidden/>
              </w:rPr>
              <w:t>8</w:t>
            </w:r>
            <w:r w:rsidR="00C1128C">
              <w:rPr>
                <w:noProof/>
                <w:webHidden/>
              </w:rPr>
              <w:fldChar w:fldCharType="end"/>
            </w:r>
          </w:hyperlink>
        </w:p>
        <w:p w14:paraId="36C84DF7" w14:textId="0CF0494A" w:rsidR="00C1128C" w:rsidRDefault="008A75FD">
          <w:pPr>
            <w:pStyle w:val="TOC2"/>
            <w:tabs>
              <w:tab w:val="left" w:pos="880"/>
              <w:tab w:val="right" w:leader="dot" w:pos="9016"/>
            </w:tabs>
            <w:rPr>
              <w:rFonts w:eastAsiaTheme="minorEastAsia"/>
              <w:noProof/>
              <w:lang w:eastAsia="lv-LV"/>
            </w:rPr>
          </w:pPr>
          <w:hyperlink w:anchor="_Toc129180048" w:history="1">
            <w:r w:rsidR="00C1128C" w:rsidRPr="0083637B">
              <w:rPr>
                <w:rStyle w:val="Hyperlink"/>
                <w:rFonts w:asciiTheme="majorHAnsi" w:eastAsiaTheme="majorEastAsia" w:hAnsiTheme="majorHAnsi" w:cstheme="majorBidi"/>
                <w:noProof/>
              </w:rPr>
              <w:t>3.6.</w:t>
            </w:r>
            <w:r w:rsidR="00C1128C">
              <w:rPr>
                <w:rFonts w:eastAsiaTheme="minorEastAsia"/>
                <w:noProof/>
                <w:lang w:eastAsia="lv-LV"/>
              </w:rPr>
              <w:tab/>
            </w:r>
            <w:r w:rsidR="00C1128C" w:rsidRPr="0083637B">
              <w:rPr>
                <w:rStyle w:val="Hyperlink"/>
                <w:rFonts w:asciiTheme="majorHAnsi" w:hAnsiTheme="majorHAnsi"/>
                <w:noProof/>
              </w:rPr>
              <w:t>Sociālā nodrošinājuma koordinācija</w:t>
            </w:r>
            <w:r w:rsidR="00C1128C">
              <w:rPr>
                <w:noProof/>
                <w:webHidden/>
              </w:rPr>
              <w:tab/>
            </w:r>
            <w:r w:rsidR="00C1128C">
              <w:rPr>
                <w:noProof/>
                <w:webHidden/>
              </w:rPr>
              <w:fldChar w:fldCharType="begin"/>
            </w:r>
            <w:r w:rsidR="00C1128C">
              <w:rPr>
                <w:noProof/>
                <w:webHidden/>
              </w:rPr>
              <w:instrText xml:space="preserve"> PAGEREF _Toc129180048 \h </w:instrText>
            </w:r>
            <w:r w:rsidR="00C1128C">
              <w:rPr>
                <w:noProof/>
                <w:webHidden/>
              </w:rPr>
            </w:r>
            <w:r w:rsidR="00C1128C">
              <w:rPr>
                <w:noProof/>
                <w:webHidden/>
              </w:rPr>
              <w:fldChar w:fldCharType="separate"/>
            </w:r>
            <w:r w:rsidR="00C1128C">
              <w:rPr>
                <w:noProof/>
                <w:webHidden/>
              </w:rPr>
              <w:t>9</w:t>
            </w:r>
            <w:r w:rsidR="00C1128C">
              <w:rPr>
                <w:noProof/>
                <w:webHidden/>
              </w:rPr>
              <w:fldChar w:fldCharType="end"/>
            </w:r>
          </w:hyperlink>
        </w:p>
        <w:p w14:paraId="3D63D8E5" w14:textId="12919B5F" w:rsidR="00C1128C" w:rsidRDefault="008A75FD">
          <w:pPr>
            <w:pStyle w:val="TOC2"/>
            <w:tabs>
              <w:tab w:val="left" w:pos="880"/>
              <w:tab w:val="right" w:leader="dot" w:pos="9016"/>
            </w:tabs>
            <w:rPr>
              <w:rFonts w:eastAsiaTheme="minorEastAsia"/>
              <w:noProof/>
              <w:lang w:eastAsia="lv-LV"/>
            </w:rPr>
          </w:pPr>
          <w:hyperlink w:anchor="_Toc129180049" w:history="1">
            <w:r w:rsidR="00C1128C" w:rsidRPr="0083637B">
              <w:rPr>
                <w:rStyle w:val="Hyperlink"/>
                <w:rFonts w:asciiTheme="majorHAnsi" w:eastAsiaTheme="majorEastAsia" w:hAnsiTheme="majorHAnsi" w:cstheme="majorBidi"/>
                <w:noProof/>
              </w:rPr>
              <w:t>3.7.</w:t>
            </w:r>
            <w:r w:rsidR="00C1128C">
              <w:rPr>
                <w:rFonts w:eastAsiaTheme="minorEastAsia"/>
                <w:noProof/>
                <w:lang w:eastAsia="lv-LV"/>
              </w:rPr>
              <w:tab/>
            </w:r>
            <w:r w:rsidR="00C1128C" w:rsidRPr="0083637B">
              <w:rPr>
                <w:rStyle w:val="Hyperlink"/>
                <w:rFonts w:asciiTheme="majorHAnsi" w:hAnsiTheme="majorHAnsi"/>
                <w:noProof/>
              </w:rPr>
              <w:t>Tiesībaizsardzības un tiesu iestāžu sadarbība krimināllietās</w:t>
            </w:r>
            <w:r w:rsidR="00C1128C">
              <w:rPr>
                <w:noProof/>
                <w:webHidden/>
              </w:rPr>
              <w:tab/>
            </w:r>
            <w:r w:rsidR="00C1128C">
              <w:rPr>
                <w:noProof/>
                <w:webHidden/>
              </w:rPr>
              <w:fldChar w:fldCharType="begin"/>
            </w:r>
            <w:r w:rsidR="00C1128C">
              <w:rPr>
                <w:noProof/>
                <w:webHidden/>
              </w:rPr>
              <w:instrText xml:space="preserve"> PAGEREF _Toc129180049 \h </w:instrText>
            </w:r>
            <w:r w:rsidR="00C1128C">
              <w:rPr>
                <w:noProof/>
                <w:webHidden/>
              </w:rPr>
            </w:r>
            <w:r w:rsidR="00C1128C">
              <w:rPr>
                <w:noProof/>
                <w:webHidden/>
              </w:rPr>
              <w:fldChar w:fldCharType="separate"/>
            </w:r>
            <w:r w:rsidR="00C1128C">
              <w:rPr>
                <w:noProof/>
                <w:webHidden/>
              </w:rPr>
              <w:t>9</w:t>
            </w:r>
            <w:r w:rsidR="00C1128C">
              <w:rPr>
                <w:noProof/>
                <w:webHidden/>
              </w:rPr>
              <w:fldChar w:fldCharType="end"/>
            </w:r>
          </w:hyperlink>
        </w:p>
        <w:p w14:paraId="3A848CB4" w14:textId="42817E45" w:rsidR="00C1128C" w:rsidRDefault="008A75FD">
          <w:pPr>
            <w:pStyle w:val="TOC2"/>
            <w:tabs>
              <w:tab w:val="left" w:pos="880"/>
              <w:tab w:val="right" w:leader="dot" w:pos="9016"/>
            </w:tabs>
            <w:rPr>
              <w:rFonts w:eastAsiaTheme="minorEastAsia"/>
              <w:noProof/>
              <w:lang w:eastAsia="lv-LV"/>
            </w:rPr>
          </w:pPr>
          <w:hyperlink w:anchor="_Toc129180050" w:history="1">
            <w:r w:rsidR="00C1128C" w:rsidRPr="0083637B">
              <w:rPr>
                <w:rStyle w:val="Hyperlink"/>
                <w:rFonts w:asciiTheme="majorHAnsi" w:eastAsiaTheme="majorEastAsia" w:hAnsiTheme="majorHAnsi" w:cstheme="majorBidi"/>
                <w:noProof/>
              </w:rPr>
              <w:t>3.8.</w:t>
            </w:r>
            <w:r w:rsidR="00C1128C">
              <w:rPr>
                <w:rFonts w:eastAsiaTheme="minorEastAsia"/>
                <w:noProof/>
                <w:lang w:eastAsia="lv-LV"/>
              </w:rPr>
              <w:tab/>
            </w:r>
            <w:r w:rsidR="00C1128C" w:rsidRPr="0083637B">
              <w:rPr>
                <w:rStyle w:val="Hyperlink"/>
                <w:rFonts w:asciiTheme="majorHAnsi" w:hAnsiTheme="majorHAnsi"/>
                <w:noProof/>
              </w:rPr>
              <w:t>Dalība Savienības programmās</w:t>
            </w:r>
            <w:r w:rsidR="00C1128C">
              <w:rPr>
                <w:noProof/>
                <w:webHidden/>
              </w:rPr>
              <w:tab/>
            </w:r>
            <w:r w:rsidR="00C1128C">
              <w:rPr>
                <w:noProof/>
                <w:webHidden/>
              </w:rPr>
              <w:fldChar w:fldCharType="begin"/>
            </w:r>
            <w:r w:rsidR="00C1128C">
              <w:rPr>
                <w:noProof/>
                <w:webHidden/>
              </w:rPr>
              <w:instrText xml:space="preserve"> PAGEREF _Toc129180050 \h </w:instrText>
            </w:r>
            <w:r w:rsidR="00C1128C">
              <w:rPr>
                <w:noProof/>
                <w:webHidden/>
              </w:rPr>
            </w:r>
            <w:r w:rsidR="00C1128C">
              <w:rPr>
                <w:noProof/>
                <w:webHidden/>
              </w:rPr>
              <w:fldChar w:fldCharType="separate"/>
            </w:r>
            <w:r w:rsidR="00C1128C">
              <w:rPr>
                <w:noProof/>
                <w:webHidden/>
              </w:rPr>
              <w:t>10</w:t>
            </w:r>
            <w:r w:rsidR="00C1128C">
              <w:rPr>
                <w:noProof/>
                <w:webHidden/>
              </w:rPr>
              <w:fldChar w:fldCharType="end"/>
            </w:r>
          </w:hyperlink>
        </w:p>
        <w:p w14:paraId="0A16A21F" w14:textId="28231252" w:rsidR="00C1128C" w:rsidRDefault="008A75FD">
          <w:pPr>
            <w:pStyle w:val="TOC1"/>
            <w:rPr>
              <w:rFonts w:eastAsiaTheme="minorEastAsia"/>
              <w:noProof/>
              <w:lang w:eastAsia="lv-LV"/>
            </w:rPr>
          </w:pPr>
          <w:hyperlink w:anchor="_Toc129180051" w:history="1">
            <w:r w:rsidR="00C1128C" w:rsidRPr="0083637B">
              <w:rPr>
                <w:rStyle w:val="Hyperlink"/>
                <w:rFonts w:asciiTheme="majorHAnsi" w:eastAsiaTheme="majorEastAsia" w:hAnsiTheme="majorHAnsi" w:cstheme="majorBidi"/>
                <w:noProof/>
              </w:rPr>
              <w:t>4.</w:t>
            </w:r>
            <w:r w:rsidR="00C1128C">
              <w:rPr>
                <w:rFonts w:eastAsiaTheme="minorEastAsia"/>
                <w:noProof/>
                <w:lang w:eastAsia="lv-LV"/>
              </w:rPr>
              <w:tab/>
            </w:r>
            <w:r w:rsidR="00C1128C" w:rsidRPr="0083637B">
              <w:rPr>
                <w:rStyle w:val="Hyperlink"/>
                <w:rFonts w:asciiTheme="majorHAnsi" w:hAnsiTheme="majorHAnsi"/>
                <w:noProof/>
              </w:rPr>
              <w:t>Pārskats par sūdzībām</w:t>
            </w:r>
            <w:r w:rsidR="00C1128C">
              <w:rPr>
                <w:noProof/>
                <w:webHidden/>
              </w:rPr>
              <w:tab/>
            </w:r>
            <w:r w:rsidR="00C1128C">
              <w:rPr>
                <w:noProof/>
                <w:webHidden/>
              </w:rPr>
              <w:fldChar w:fldCharType="begin"/>
            </w:r>
            <w:r w:rsidR="00C1128C">
              <w:rPr>
                <w:noProof/>
                <w:webHidden/>
              </w:rPr>
              <w:instrText xml:space="preserve"> PAGEREF _Toc129180051 \h </w:instrText>
            </w:r>
            <w:r w:rsidR="00C1128C">
              <w:rPr>
                <w:noProof/>
                <w:webHidden/>
              </w:rPr>
            </w:r>
            <w:r w:rsidR="00C1128C">
              <w:rPr>
                <w:noProof/>
                <w:webHidden/>
              </w:rPr>
              <w:fldChar w:fldCharType="separate"/>
            </w:r>
            <w:r w:rsidR="00C1128C">
              <w:rPr>
                <w:noProof/>
                <w:webHidden/>
              </w:rPr>
              <w:t>10</w:t>
            </w:r>
            <w:r w:rsidR="00C1128C">
              <w:rPr>
                <w:noProof/>
                <w:webHidden/>
              </w:rPr>
              <w:fldChar w:fldCharType="end"/>
            </w:r>
          </w:hyperlink>
        </w:p>
        <w:p w14:paraId="215632BD" w14:textId="5E7A4A51" w:rsidR="00C1128C" w:rsidRDefault="008A75FD">
          <w:pPr>
            <w:pStyle w:val="TOC1"/>
            <w:rPr>
              <w:rFonts w:eastAsiaTheme="minorEastAsia"/>
              <w:noProof/>
              <w:lang w:eastAsia="lv-LV"/>
            </w:rPr>
          </w:pPr>
          <w:hyperlink w:anchor="_Toc129180052" w:history="1">
            <w:r w:rsidR="00C1128C" w:rsidRPr="0083637B">
              <w:rPr>
                <w:rStyle w:val="Hyperlink"/>
                <w:rFonts w:asciiTheme="majorHAnsi" w:eastAsiaTheme="majorEastAsia" w:hAnsiTheme="majorHAnsi" w:cstheme="majorBidi"/>
                <w:noProof/>
              </w:rPr>
              <w:t>5.</w:t>
            </w:r>
            <w:r w:rsidR="00C1128C">
              <w:rPr>
                <w:rFonts w:eastAsiaTheme="minorEastAsia"/>
                <w:noProof/>
                <w:lang w:eastAsia="lv-LV"/>
              </w:rPr>
              <w:tab/>
            </w:r>
            <w:r w:rsidR="00C1128C" w:rsidRPr="0083637B">
              <w:rPr>
                <w:rStyle w:val="Hyperlink"/>
                <w:rFonts w:asciiTheme="majorHAnsi" w:hAnsiTheme="majorHAnsi"/>
                <w:noProof/>
              </w:rPr>
              <w:t>Apvienotās Karalistes tiesību aktu attīstība</w:t>
            </w:r>
            <w:r w:rsidR="00C1128C">
              <w:rPr>
                <w:noProof/>
                <w:webHidden/>
              </w:rPr>
              <w:tab/>
            </w:r>
            <w:r w:rsidR="00C1128C">
              <w:rPr>
                <w:noProof/>
                <w:webHidden/>
              </w:rPr>
              <w:fldChar w:fldCharType="begin"/>
            </w:r>
            <w:r w:rsidR="00C1128C">
              <w:rPr>
                <w:noProof/>
                <w:webHidden/>
              </w:rPr>
              <w:instrText xml:space="preserve"> PAGEREF _Toc129180052 \h </w:instrText>
            </w:r>
            <w:r w:rsidR="00C1128C">
              <w:rPr>
                <w:noProof/>
                <w:webHidden/>
              </w:rPr>
            </w:r>
            <w:r w:rsidR="00C1128C">
              <w:rPr>
                <w:noProof/>
                <w:webHidden/>
              </w:rPr>
              <w:fldChar w:fldCharType="separate"/>
            </w:r>
            <w:r w:rsidR="00C1128C">
              <w:rPr>
                <w:noProof/>
                <w:webHidden/>
              </w:rPr>
              <w:t>10</w:t>
            </w:r>
            <w:r w:rsidR="00C1128C">
              <w:rPr>
                <w:noProof/>
                <w:webHidden/>
              </w:rPr>
              <w:fldChar w:fldCharType="end"/>
            </w:r>
          </w:hyperlink>
        </w:p>
        <w:p w14:paraId="02E54E56" w14:textId="58C93E3D" w:rsidR="00C1128C" w:rsidRDefault="008A75FD">
          <w:pPr>
            <w:pStyle w:val="TOC2"/>
            <w:tabs>
              <w:tab w:val="left" w:pos="880"/>
              <w:tab w:val="right" w:leader="dot" w:pos="9016"/>
            </w:tabs>
            <w:rPr>
              <w:rFonts w:eastAsiaTheme="minorEastAsia"/>
              <w:noProof/>
              <w:lang w:eastAsia="lv-LV"/>
            </w:rPr>
          </w:pPr>
          <w:hyperlink w:anchor="_Toc129180053" w:history="1">
            <w:r w:rsidR="00C1128C" w:rsidRPr="0083637B">
              <w:rPr>
                <w:rStyle w:val="Hyperlink"/>
                <w:rFonts w:asciiTheme="majorHAnsi" w:eastAsiaTheme="majorEastAsia" w:hAnsiTheme="majorHAnsi" w:cstheme="majorBidi"/>
                <w:noProof/>
              </w:rPr>
              <w:t>5.1.</w:t>
            </w:r>
            <w:r w:rsidR="00C1128C">
              <w:rPr>
                <w:rFonts w:eastAsiaTheme="minorEastAsia"/>
                <w:noProof/>
                <w:lang w:eastAsia="lv-LV"/>
              </w:rPr>
              <w:tab/>
            </w:r>
            <w:r w:rsidR="00C1128C" w:rsidRPr="0083637B">
              <w:rPr>
                <w:rStyle w:val="Hyperlink"/>
                <w:rFonts w:asciiTheme="majorHAnsi" w:hAnsiTheme="majorHAnsi"/>
                <w:noProof/>
              </w:rPr>
              <w:t>Transversālie jautājumi</w:t>
            </w:r>
            <w:r w:rsidR="00C1128C">
              <w:rPr>
                <w:noProof/>
                <w:webHidden/>
              </w:rPr>
              <w:tab/>
            </w:r>
            <w:r w:rsidR="00C1128C">
              <w:rPr>
                <w:noProof/>
                <w:webHidden/>
              </w:rPr>
              <w:fldChar w:fldCharType="begin"/>
            </w:r>
            <w:r w:rsidR="00C1128C">
              <w:rPr>
                <w:noProof/>
                <w:webHidden/>
              </w:rPr>
              <w:instrText xml:space="preserve"> PAGEREF _Toc129180053 \h </w:instrText>
            </w:r>
            <w:r w:rsidR="00C1128C">
              <w:rPr>
                <w:noProof/>
                <w:webHidden/>
              </w:rPr>
            </w:r>
            <w:r w:rsidR="00C1128C">
              <w:rPr>
                <w:noProof/>
                <w:webHidden/>
              </w:rPr>
              <w:fldChar w:fldCharType="separate"/>
            </w:r>
            <w:r w:rsidR="00C1128C">
              <w:rPr>
                <w:noProof/>
                <w:webHidden/>
              </w:rPr>
              <w:t>11</w:t>
            </w:r>
            <w:r w:rsidR="00C1128C">
              <w:rPr>
                <w:noProof/>
                <w:webHidden/>
              </w:rPr>
              <w:fldChar w:fldCharType="end"/>
            </w:r>
          </w:hyperlink>
        </w:p>
        <w:p w14:paraId="31FAEC45" w14:textId="0B85FB03" w:rsidR="00C1128C" w:rsidRDefault="008A75FD">
          <w:pPr>
            <w:pStyle w:val="TOC2"/>
            <w:tabs>
              <w:tab w:val="left" w:pos="880"/>
              <w:tab w:val="right" w:leader="dot" w:pos="9016"/>
            </w:tabs>
            <w:rPr>
              <w:rFonts w:eastAsiaTheme="minorEastAsia"/>
              <w:noProof/>
              <w:lang w:eastAsia="lv-LV"/>
            </w:rPr>
          </w:pPr>
          <w:hyperlink w:anchor="_Toc129180054" w:history="1">
            <w:r w:rsidR="00C1128C" w:rsidRPr="0083637B">
              <w:rPr>
                <w:rStyle w:val="Hyperlink"/>
                <w:rFonts w:asciiTheme="majorHAnsi" w:eastAsiaTheme="majorEastAsia" w:hAnsiTheme="majorHAnsi" w:cstheme="majorBidi"/>
                <w:noProof/>
              </w:rPr>
              <w:t>5.2.</w:t>
            </w:r>
            <w:r w:rsidR="00C1128C">
              <w:rPr>
                <w:rFonts w:eastAsiaTheme="minorEastAsia"/>
                <w:noProof/>
                <w:lang w:eastAsia="lv-LV"/>
              </w:rPr>
              <w:tab/>
            </w:r>
            <w:r w:rsidR="00C1128C" w:rsidRPr="0083637B">
              <w:rPr>
                <w:rStyle w:val="Hyperlink"/>
                <w:rFonts w:asciiTheme="majorHAnsi" w:hAnsiTheme="majorHAnsi"/>
                <w:noProof/>
              </w:rPr>
              <w:t>Vienlīdzīgi apstākļi atvērtai un godīgai konkurencei un ilgtspējīgai attīstībai</w:t>
            </w:r>
            <w:r w:rsidR="00C1128C">
              <w:rPr>
                <w:noProof/>
                <w:webHidden/>
              </w:rPr>
              <w:tab/>
            </w:r>
            <w:r w:rsidR="00C1128C">
              <w:rPr>
                <w:noProof/>
                <w:webHidden/>
              </w:rPr>
              <w:fldChar w:fldCharType="begin"/>
            </w:r>
            <w:r w:rsidR="00C1128C">
              <w:rPr>
                <w:noProof/>
                <w:webHidden/>
              </w:rPr>
              <w:instrText xml:space="preserve"> PAGEREF _Toc129180054 \h </w:instrText>
            </w:r>
            <w:r w:rsidR="00C1128C">
              <w:rPr>
                <w:noProof/>
                <w:webHidden/>
              </w:rPr>
            </w:r>
            <w:r w:rsidR="00C1128C">
              <w:rPr>
                <w:noProof/>
                <w:webHidden/>
              </w:rPr>
              <w:fldChar w:fldCharType="separate"/>
            </w:r>
            <w:r w:rsidR="00C1128C">
              <w:rPr>
                <w:noProof/>
                <w:webHidden/>
              </w:rPr>
              <w:t>12</w:t>
            </w:r>
            <w:r w:rsidR="00C1128C">
              <w:rPr>
                <w:noProof/>
                <w:webHidden/>
              </w:rPr>
              <w:fldChar w:fldCharType="end"/>
            </w:r>
          </w:hyperlink>
        </w:p>
        <w:p w14:paraId="0246E14C" w14:textId="6C0828D2" w:rsidR="00C1128C" w:rsidRDefault="008A75FD">
          <w:pPr>
            <w:pStyle w:val="TOC1"/>
            <w:rPr>
              <w:rFonts w:eastAsiaTheme="minorEastAsia"/>
              <w:noProof/>
              <w:lang w:eastAsia="lv-LV"/>
            </w:rPr>
          </w:pPr>
          <w:hyperlink w:anchor="_Toc129180055" w:history="1">
            <w:r w:rsidR="00C1128C" w:rsidRPr="0083637B">
              <w:rPr>
                <w:rStyle w:val="Hyperlink"/>
                <w:rFonts w:asciiTheme="majorHAnsi" w:eastAsiaTheme="majorEastAsia" w:hAnsiTheme="majorHAnsi" w:cstheme="majorBidi"/>
                <w:noProof/>
              </w:rPr>
              <w:t>6.</w:t>
            </w:r>
            <w:r w:rsidR="00C1128C">
              <w:rPr>
                <w:rFonts w:eastAsiaTheme="minorEastAsia"/>
                <w:noProof/>
                <w:lang w:eastAsia="lv-LV"/>
              </w:rPr>
              <w:tab/>
            </w:r>
            <w:r w:rsidR="00C1128C" w:rsidRPr="0083637B">
              <w:rPr>
                <w:rStyle w:val="Hyperlink"/>
                <w:rFonts w:asciiTheme="majorHAnsi" w:hAnsiTheme="majorHAnsi"/>
                <w:noProof/>
              </w:rPr>
              <w:t>Ietekme uz tirdzniecības plūsmām un personu pārvietošanos</w:t>
            </w:r>
            <w:r w:rsidR="00C1128C">
              <w:rPr>
                <w:noProof/>
                <w:webHidden/>
              </w:rPr>
              <w:tab/>
            </w:r>
            <w:r w:rsidR="00C1128C">
              <w:rPr>
                <w:noProof/>
                <w:webHidden/>
              </w:rPr>
              <w:fldChar w:fldCharType="begin"/>
            </w:r>
            <w:r w:rsidR="00C1128C">
              <w:rPr>
                <w:noProof/>
                <w:webHidden/>
              </w:rPr>
              <w:instrText xml:space="preserve"> PAGEREF _Toc129180055 \h </w:instrText>
            </w:r>
            <w:r w:rsidR="00C1128C">
              <w:rPr>
                <w:noProof/>
                <w:webHidden/>
              </w:rPr>
            </w:r>
            <w:r w:rsidR="00C1128C">
              <w:rPr>
                <w:noProof/>
                <w:webHidden/>
              </w:rPr>
              <w:fldChar w:fldCharType="separate"/>
            </w:r>
            <w:r w:rsidR="00C1128C">
              <w:rPr>
                <w:noProof/>
                <w:webHidden/>
              </w:rPr>
              <w:t>13</w:t>
            </w:r>
            <w:r w:rsidR="00C1128C">
              <w:rPr>
                <w:noProof/>
                <w:webHidden/>
              </w:rPr>
              <w:fldChar w:fldCharType="end"/>
            </w:r>
          </w:hyperlink>
        </w:p>
        <w:p w14:paraId="743DDD00" w14:textId="6CEE0FB3" w:rsidR="00C1128C" w:rsidRDefault="008A75FD">
          <w:pPr>
            <w:pStyle w:val="TOC2"/>
            <w:tabs>
              <w:tab w:val="left" w:pos="880"/>
              <w:tab w:val="right" w:leader="dot" w:pos="9016"/>
            </w:tabs>
            <w:rPr>
              <w:rFonts w:eastAsiaTheme="minorEastAsia"/>
              <w:noProof/>
              <w:lang w:eastAsia="lv-LV"/>
            </w:rPr>
          </w:pPr>
          <w:hyperlink w:anchor="_Toc129180056" w:history="1">
            <w:r w:rsidR="00C1128C" w:rsidRPr="0083637B">
              <w:rPr>
                <w:rStyle w:val="Hyperlink"/>
                <w:rFonts w:asciiTheme="majorHAnsi" w:eastAsiaTheme="majorEastAsia" w:hAnsiTheme="majorHAnsi" w:cstheme="majorBidi"/>
                <w:noProof/>
              </w:rPr>
              <w:t>6.1.</w:t>
            </w:r>
            <w:r w:rsidR="00C1128C">
              <w:rPr>
                <w:rFonts w:eastAsiaTheme="minorEastAsia"/>
                <w:noProof/>
                <w:lang w:eastAsia="lv-LV"/>
              </w:rPr>
              <w:tab/>
            </w:r>
            <w:r w:rsidR="00C1128C" w:rsidRPr="0083637B">
              <w:rPr>
                <w:rStyle w:val="Hyperlink"/>
                <w:rFonts w:asciiTheme="majorHAnsi" w:hAnsiTheme="majorHAnsi"/>
                <w:noProof/>
              </w:rPr>
              <w:t>Tirdzniecības plūsmas</w:t>
            </w:r>
            <w:r w:rsidR="00C1128C">
              <w:rPr>
                <w:noProof/>
                <w:webHidden/>
              </w:rPr>
              <w:tab/>
            </w:r>
            <w:r w:rsidR="00C1128C">
              <w:rPr>
                <w:noProof/>
                <w:webHidden/>
              </w:rPr>
              <w:fldChar w:fldCharType="begin"/>
            </w:r>
            <w:r w:rsidR="00C1128C">
              <w:rPr>
                <w:noProof/>
                <w:webHidden/>
              </w:rPr>
              <w:instrText xml:space="preserve"> PAGEREF _Toc129180056 \h </w:instrText>
            </w:r>
            <w:r w:rsidR="00C1128C">
              <w:rPr>
                <w:noProof/>
                <w:webHidden/>
              </w:rPr>
            </w:r>
            <w:r w:rsidR="00C1128C">
              <w:rPr>
                <w:noProof/>
                <w:webHidden/>
              </w:rPr>
              <w:fldChar w:fldCharType="separate"/>
            </w:r>
            <w:r w:rsidR="00C1128C">
              <w:rPr>
                <w:noProof/>
                <w:webHidden/>
              </w:rPr>
              <w:t>13</w:t>
            </w:r>
            <w:r w:rsidR="00C1128C">
              <w:rPr>
                <w:noProof/>
                <w:webHidden/>
              </w:rPr>
              <w:fldChar w:fldCharType="end"/>
            </w:r>
          </w:hyperlink>
        </w:p>
        <w:p w14:paraId="04543248" w14:textId="4FE8D1FB" w:rsidR="00C1128C" w:rsidRDefault="008A75FD">
          <w:pPr>
            <w:pStyle w:val="TOC2"/>
            <w:tabs>
              <w:tab w:val="left" w:pos="880"/>
              <w:tab w:val="right" w:leader="dot" w:pos="9016"/>
            </w:tabs>
            <w:rPr>
              <w:rFonts w:eastAsiaTheme="minorEastAsia"/>
              <w:noProof/>
              <w:lang w:eastAsia="lv-LV"/>
            </w:rPr>
          </w:pPr>
          <w:hyperlink w:anchor="_Toc129180057" w:history="1">
            <w:r w:rsidR="00C1128C" w:rsidRPr="0083637B">
              <w:rPr>
                <w:rStyle w:val="Hyperlink"/>
                <w:rFonts w:asciiTheme="majorHAnsi" w:eastAsiaTheme="majorEastAsia" w:hAnsiTheme="majorHAnsi" w:cstheme="majorBidi"/>
                <w:noProof/>
              </w:rPr>
              <w:t>6.2.</w:t>
            </w:r>
            <w:r w:rsidR="00C1128C">
              <w:rPr>
                <w:rFonts w:eastAsiaTheme="minorEastAsia"/>
                <w:noProof/>
                <w:lang w:eastAsia="lv-LV"/>
              </w:rPr>
              <w:tab/>
            </w:r>
            <w:r w:rsidR="00C1128C" w:rsidRPr="0083637B">
              <w:rPr>
                <w:rStyle w:val="Hyperlink"/>
                <w:rFonts w:asciiTheme="majorHAnsi" w:hAnsiTheme="majorHAnsi"/>
                <w:noProof/>
              </w:rPr>
              <w:t>Personu pārvietošanās</w:t>
            </w:r>
            <w:r w:rsidR="00C1128C">
              <w:rPr>
                <w:noProof/>
                <w:webHidden/>
              </w:rPr>
              <w:tab/>
            </w:r>
            <w:r w:rsidR="00C1128C">
              <w:rPr>
                <w:noProof/>
                <w:webHidden/>
              </w:rPr>
              <w:fldChar w:fldCharType="begin"/>
            </w:r>
            <w:r w:rsidR="00C1128C">
              <w:rPr>
                <w:noProof/>
                <w:webHidden/>
              </w:rPr>
              <w:instrText xml:space="preserve"> PAGEREF _Toc129180057 \h </w:instrText>
            </w:r>
            <w:r w:rsidR="00C1128C">
              <w:rPr>
                <w:noProof/>
                <w:webHidden/>
              </w:rPr>
            </w:r>
            <w:r w:rsidR="00C1128C">
              <w:rPr>
                <w:noProof/>
                <w:webHidden/>
              </w:rPr>
              <w:fldChar w:fldCharType="separate"/>
            </w:r>
            <w:r w:rsidR="00C1128C">
              <w:rPr>
                <w:noProof/>
                <w:webHidden/>
              </w:rPr>
              <w:t>17</w:t>
            </w:r>
            <w:r w:rsidR="00C1128C">
              <w:rPr>
                <w:noProof/>
                <w:webHidden/>
              </w:rPr>
              <w:fldChar w:fldCharType="end"/>
            </w:r>
          </w:hyperlink>
        </w:p>
        <w:p w14:paraId="2D19A024" w14:textId="14812506" w:rsidR="00C1128C" w:rsidRDefault="008A75FD">
          <w:pPr>
            <w:pStyle w:val="TOC1"/>
            <w:rPr>
              <w:rFonts w:eastAsiaTheme="minorEastAsia"/>
              <w:noProof/>
              <w:lang w:eastAsia="lv-LV"/>
            </w:rPr>
          </w:pPr>
          <w:hyperlink w:anchor="_Toc129180058" w:history="1">
            <w:r w:rsidR="00C1128C" w:rsidRPr="0083637B">
              <w:rPr>
                <w:rStyle w:val="Hyperlink"/>
                <w:rFonts w:asciiTheme="majorHAnsi" w:eastAsiaTheme="majorEastAsia" w:hAnsiTheme="majorHAnsi" w:cstheme="majorBidi"/>
                <w:noProof/>
              </w:rPr>
              <w:t>7.</w:t>
            </w:r>
            <w:r w:rsidR="00C1128C">
              <w:rPr>
                <w:rFonts w:eastAsiaTheme="minorEastAsia"/>
                <w:noProof/>
                <w:lang w:eastAsia="lv-LV"/>
              </w:rPr>
              <w:tab/>
            </w:r>
            <w:r w:rsidR="00C1128C" w:rsidRPr="0083637B">
              <w:rPr>
                <w:rStyle w:val="Hyperlink"/>
                <w:rFonts w:asciiTheme="majorHAnsi" w:hAnsiTheme="majorHAnsi"/>
                <w:noProof/>
              </w:rPr>
              <w:t>Secinājumi</w:t>
            </w:r>
            <w:r w:rsidR="00C1128C">
              <w:rPr>
                <w:noProof/>
                <w:webHidden/>
              </w:rPr>
              <w:tab/>
            </w:r>
            <w:r w:rsidR="00C1128C">
              <w:rPr>
                <w:noProof/>
                <w:webHidden/>
              </w:rPr>
              <w:fldChar w:fldCharType="begin"/>
            </w:r>
            <w:r w:rsidR="00C1128C">
              <w:rPr>
                <w:noProof/>
                <w:webHidden/>
              </w:rPr>
              <w:instrText xml:space="preserve"> PAGEREF _Toc129180058 \h </w:instrText>
            </w:r>
            <w:r w:rsidR="00C1128C">
              <w:rPr>
                <w:noProof/>
                <w:webHidden/>
              </w:rPr>
            </w:r>
            <w:r w:rsidR="00C1128C">
              <w:rPr>
                <w:noProof/>
                <w:webHidden/>
              </w:rPr>
              <w:fldChar w:fldCharType="separate"/>
            </w:r>
            <w:r w:rsidR="00C1128C">
              <w:rPr>
                <w:noProof/>
                <w:webHidden/>
              </w:rPr>
              <w:t>18</w:t>
            </w:r>
            <w:r w:rsidR="00C1128C">
              <w:rPr>
                <w:noProof/>
                <w:webHidden/>
              </w:rPr>
              <w:fldChar w:fldCharType="end"/>
            </w:r>
          </w:hyperlink>
        </w:p>
        <w:p w14:paraId="4B215075" w14:textId="7A1E4C1D" w:rsidR="00C1128C" w:rsidRDefault="008A75FD">
          <w:pPr>
            <w:pStyle w:val="TOC1"/>
            <w:rPr>
              <w:rFonts w:eastAsiaTheme="minorEastAsia"/>
              <w:noProof/>
              <w:lang w:eastAsia="lv-LV"/>
            </w:rPr>
          </w:pPr>
          <w:hyperlink w:anchor="_Toc129180059" w:history="1">
            <w:r w:rsidR="00C1128C" w:rsidRPr="0083637B">
              <w:rPr>
                <w:rStyle w:val="Hyperlink"/>
                <w:rFonts w:asciiTheme="majorHAnsi" w:hAnsiTheme="majorHAnsi"/>
                <w:noProof/>
              </w:rPr>
              <w:t>1. pielikums. Saskaņā ar TSN izveidoto kopīgo struktūru sanāksmes 2022. gadā</w:t>
            </w:r>
            <w:r w:rsidR="00C1128C">
              <w:rPr>
                <w:noProof/>
                <w:webHidden/>
              </w:rPr>
              <w:tab/>
            </w:r>
            <w:r w:rsidR="00C1128C">
              <w:rPr>
                <w:noProof/>
                <w:webHidden/>
              </w:rPr>
              <w:fldChar w:fldCharType="begin"/>
            </w:r>
            <w:r w:rsidR="00C1128C">
              <w:rPr>
                <w:noProof/>
                <w:webHidden/>
              </w:rPr>
              <w:instrText xml:space="preserve"> PAGEREF _Toc129180059 \h </w:instrText>
            </w:r>
            <w:r w:rsidR="00C1128C">
              <w:rPr>
                <w:noProof/>
                <w:webHidden/>
              </w:rPr>
            </w:r>
            <w:r w:rsidR="00C1128C">
              <w:rPr>
                <w:noProof/>
                <w:webHidden/>
              </w:rPr>
              <w:fldChar w:fldCharType="separate"/>
            </w:r>
            <w:r w:rsidR="00C1128C">
              <w:rPr>
                <w:noProof/>
                <w:webHidden/>
              </w:rPr>
              <w:t>19</w:t>
            </w:r>
            <w:r w:rsidR="00C1128C">
              <w:rPr>
                <w:noProof/>
                <w:webHidden/>
              </w:rPr>
              <w:fldChar w:fldCharType="end"/>
            </w:r>
          </w:hyperlink>
        </w:p>
        <w:p w14:paraId="6C3E362F" w14:textId="15FF91F2" w:rsidR="006D1404" w:rsidRPr="006D1404" w:rsidRDefault="006D1404" w:rsidP="006D1404">
          <w:pPr>
            <w:tabs>
              <w:tab w:val="left" w:pos="435"/>
              <w:tab w:val="left" w:pos="851"/>
              <w:tab w:val="right" w:leader="dot" w:pos="9015"/>
            </w:tabs>
            <w:ind w:left="426" w:hanging="426"/>
            <w:rPr>
              <w:noProof/>
            </w:rPr>
          </w:pPr>
          <w:r>
            <w:rPr>
              <w:rFonts w:ascii="Times New Roman" w:hAnsi="Times New Roman" w:cs="Times New Roman"/>
              <w:noProof/>
            </w:rPr>
            <w:fldChar w:fldCharType="end"/>
          </w:r>
        </w:p>
      </w:sdtContent>
    </w:sdt>
    <w:p w14:paraId="29B19F17" w14:textId="77777777" w:rsidR="006D1404" w:rsidRPr="006D1404" w:rsidRDefault="006D1404" w:rsidP="006D1404">
      <w:pPr>
        <w:spacing w:before="100" w:beforeAutospacing="1" w:after="100" w:afterAutospacing="1" w:line="240" w:lineRule="auto"/>
        <w:rPr>
          <w:noProof/>
        </w:rPr>
      </w:pPr>
    </w:p>
    <w:p w14:paraId="1E30EC21" w14:textId="77777777" w:rsidR="006D1404" w:rsidRPr="006D1404" w:rsidRDefault="006D1404" w:rsidP="006D1404">
      <w:pPr>
        <w:spacing w:before="100" w:beforeAutospacing="1" w:after="100" w:afterAutospacing="1" w:line="240" w:lineRule="auto"/>
        <w:rPr>
          <w:rFonts w:asciiTheme="majorHAnsi" w:eastAsiaTheme="majorEastAsia" w:hAnsiTheme="majorHAnsi" w:cstheme="majorBidi"/>
          <w:noProof/>
          <w:color w:val="2E74B5" w:themeColor="accent1" w:themeShade="BF"/>
          <w:sz w:val="32"/>
          <w:szCs w:val="32"/>
        </w:rPr>
        <w:sectPr w:rsidR="006D1404" w:rsidRPr="006D1404" w:rsidSect="000F4FB7">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pgNumType w:start="1"/>
          <w:cols w:space="720"/>
          <w:docGrid w:linePitch="360"/>
        </w:sectPr>
      </w:pPr>
      <w:bookmarkStart w:id="2" w:name="_Toc86061890"/>
      <w:bookmarkStart w:id="3" w:name="_Toc86154512"/>
    </w:p>
    <w:p w14:paraId="55DF7F5C" w14:textId="77777777" w:rsidR="006D1404" w:rsidRPr="006D1404" w:rsidRDefault="006D1404" w:rsidP="006D1404">
      <w:pPr>
        <w:keepNext/>
        <w:keepLines/>
        <w:numPr>
          <w:ilvl w:val="0"/>
          <w:numId w:val="9"/>
        </w:numPr>
        <w:spacing w:before="100" w:beforeAutospacing="1" w:after="100" w:afterAutospacing="1" w:line="240" w:lineRule="auto"/>
        <w:ind w:left="851" w:hanging="567"/>
        <w:jc w:val="both"/>
        <w:outlineLvl w:val="0"/>
        <w:rPr>
          <w:rFonts w:asciiTheme="majorHAnsi" w:eastAsiaTheme="majorEastAsia" w:hAnsiTheme="majorHAnsi" w:cstheme="majorBidi"/>
          <w:noProof/>
          <w:color w:val="2E74B5" w:themeColor="accent1" w:themeShade="BF"/>
          <w:sz w:val="32"/>
          <w:szCs w:val="32"/>
        </w:rPr>
      </w:pPr>
      <w:bookmarkStart w:id="4" w:name="_Toc129180040"/>
      <w:r>
        <w:rPr>
          <w:rFonts w:asciiTheme="majorHAnsi" w:hAnsiTheme="majorHAnsi"/>
          <w:noProof/>
          <w:color w:val="2E74B5" w:themeColor="accent1" w:themeShade="BF"/>
          <w:sz w:val="32"/>
        </w:rPr>
        <w:t>Ievads</w:t>
      </w:r>
      <w:bookmarkEnd w:id="2"/>
      <w:bookmarkEnd w:id="3"/>
      <w:bookmarkEnd w:id="4"/>
    </w:p>
    <w:p w14:paraId="7A25D04C" w14:textId="77777777" w:rsidR="006D1404" w:rsidRPr="006D1404" w:rsidRDefault="006D1404" w:rsidP="006D1404">
      <w:pPr>
        <w:spacing w:before="100" w:beforeAutospacing="1" w:after="100" w:afterAutospacing="1" w:line="240" w:lineRule="auto"/>
        <w:jc w:val="both"/>
        <w:rPr>
          <w:rFonts w:eastAsiaTheme="minorEastAsia"/>
          <w:noProof/>
          <w:sz w:val="24"/>
          <w:szCs w:val="24"/>
        </w:rPr>
      </w:pPr>
      <w:r>
        <w:rPr>
          <w:rFonts w:ascii="Times New Roman" w:hAnsi="Times New Roman"/>
          <w:noProof/>
          <w:sz w:val="24"/>
        </w:rPr>
        <w:t>Kopš 2021. gada 1. janvāra tirdzniecību un sadarbību starp Eiropas Savienību (ES) un Lielbritānijas un Ziemeļīrijas Apvienoto Karalisti (Apvienotā Karaliste) reglamentē 2020. gada 30. decembrī parakstītais Tirdzniecības un sadarbības nolīgums (TSN)</w:t>
      </w:r>
      <w:r>
        <w:rPr>
          <w:rFonts w:ascii="Times New Roman" w:hAnsi="Times New Roman" w:cs="Times New Roman"/>
          <w:noProof/>
          <w:sz w:val="24"/>
          <w:szCs w:val="24"/>
          <w:vertAlign w:val="superscript"/>
        </w:rPr>
        <w:footnoteReference w:id="2"/>
      </w:r>
      <w:r>
        <w:rPr>
          <w:rFonts w:ascii="Times New Roman" w:hAnsi="Times New Roman"/>
          <w:noProof/>
          <w:sz w:val="24"/>
        </w:rPr>
        <w:t>. TSN aptver plašu jomu loku, ieskaitot tirdzniecību, transportu, zvejniecību, enerģētiku, sociālā nodrošinājuma koordināciju, tiesībaizsardzības un tiesu iestāžu sadarbību krimināllietās, nodrošinot visaptverošu pamatu attiecībām starp pusēm un vienlīdzīgus apstākļus godīgai konkurencei un ilgtspējīgai attīstībai, kā arī pamattiesību ievērošanu.</w:t>
      </w:r>
    </w:p>
    <w:p w14:paraId="17B4F8AF"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Šis ir Komisijas otrais ziņojums par TSN īstenošanu un piemērošanu, kuru tā sagatavojusi atbilstoši Padomes 2021. gada 29. aprīļa Lēmuma (ES) 2021/689</w:t>
      </w:r>
      <w:r>
        <w:rPr>
          <w:rFonts w:ascii="Times New Roman" w:hAnsi="Times New Roman" w:cs="Times New Roman"/>
          <w:noProof/>
          <w:sz w:val="24"/>
          <w:szCs w:val="24"/>
          <w:vertAlign w:val="superscript"/>
        </w:rPr>
        <w:footnoteReference w:id="3"/>
      </w:r>
      <w:r>
        <w:rPr>
          <w:rFonts w:ascii="Times New Roman" w:hAnsi="Times New Roman"/>
          <w:noProof/>
          <w:sz w:val="24"/>
        </w:rPr>
        <w:t xml:space="preserve"> 2. panta 4. punkta prasībai. Tajā sniegts pārskats par galvenajām norisēm iestāžu sistēmas darbībā (2. iedaļa), kā arī vairākās jomās, kas ietilpst TSN darbības jomā (3. iedaļa), tostarp pārskats par 2022. gadā saņemtajām sūdzībām (4. iedaļa). Ziņojumā aplūkotas arī regulatīvās norises Apvienotajā Karalistē 2022. gadā (5. iedaļa). Visbeidzot, divus gadus pēc pārejas perioda beigām ziņojumā aplūkota ietekme, ko uz ES radījusi Apvienotās Karalistes izstāšanās no iekšējā tirgus, muitas savienības un dažādām Savienības politikas jomām (6. iedaļa).</w:t>
      </w:r>
    </w:p>
    <w:p w14:paraId="14B51BD5" w14:textId="77777777" w:rsidR="006D1404" w:rsidRPr="006D1404" w:rsidRDefault="006D1404" w:rsidP="006D1404">
      <w:pPr>
        <w:keepNext/>
        <w:keepLines/>
        <w:numPr>
          <w:ilvl w:val="0"/>
          <w:numId w:val="9"/>
        </w:numPr>
        <w:spacing w:before="100" w:beforeAutospacing="1" w:after="100" w:afterAutospacing="1" w:line="240" w:lineRule="auto"/>
        <w:ind w:left="851" w:hanging="567"/>
        <w:jc w:val="both"/>
        <w:outlineLvl w:val="0"/>
        <w:rPr>
          <w:rFonts w:asciiTheme="majorHAnsi" w:eastAsiaTheme="majorEastAsia" w:hAnsiTheme="majorHAnsi" w:cstheme="majorBidi"/>
          <w:noProof/>
          <w:color w:val="2E74B5" w:themeColor="accent1" w:themeShade="BF"/>
          <w:sz w:val="28"/>
          <w:szCs w:val="28"/>
        </w:rPr>
      </w:pPr>
      <w:bookmarkStart w:id="5" w:name="_Toc86061892"/>
      <w:bookmarkStart w:id="6" w:name="_Toc86154514"/>
      <w:bookmarkStart w:id="7" w:name="_Toc129180041"/>
      <w:r>
        <w:rPr>
          <w:rFonts w:asciiTheme="majorHAnsi" w:hAnsiTheme="majorHAnsi"/>
          <w:noProof/>
          <w:color w:val="2E74B5" w:themeColor="accent1" w:themeShade="BF"/>
          <w:sz w:val="28"/>
        </w:rPr>
        <w:t>Iestāžu sistēma</w:t>
      </w:r>
      <w:bookmarkEnd w:id="5"/>
      <w:bookmarkEnd w:id="6"/>
      <w:r>
        <w:rPr>
          <w:rFonts w:asciiTheme="majorHAnsi" w:hAnsiTheme="majorHAnsi"/>
          <w:noProof/>
          <w:color w:val="2E74B5" w:themeColor="accent1" w:themeShade="BF"/>
          <w:sz w:val="28"/>
        </w:rPr>
        <w:t>, izpildes panākšanas instrumenti un strīdu izšķiršana</w:t>
      </w:r>
      <w:bookmarkEnd w:id="7"/>
    </w:p>
    <w:p w14:paraId="02F96E15"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2022. gadā TSN iestāžu sistēma tika pabeigta un sāka darboties pilnībā</w:t>
      </w:r>
      <w:r>
        <w:rPr>
          <w:rFonts w:ascii="Times New Roman" w:hAnsi="Times New Roman" w:cs="Times New Roman"/>
          <w:noProof/>
          <w:sz w:val="24"/>
          <w:szCs w:val="24"/>
          <w:vertAlign w:val="superscript"/>
        </w:rPr>
        <w:footnoteReference w:id="4"/>
      </w:r>
      <w:r>
        <w:rPr>
          <w:rFonts w:ascii="Times New Roman" w:hAnsi="Times New Roman"/>
          <w:noProof/>
          <w:sz w:val="24"/>
        </w:rPr>
        <w:t>.</w:t>
      </w:r>
    </w:p>
    <w:p w14:paraId="3600DBD8"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Puses tikās ar TSN izveidotajās kopīgajās struktūrās, lai uzraudzītu un atvieglotu nolīguma īstenošanu. Sanāksmju saraksts ir ietverts 1. pielikumā. Komisija ir publicējusi sanāksmju darba kārtības un protokolus</w:t>
      </w:r>
      <w:r>
        <w:rPr>
          <w:rFonts w:ascii="Times New Roman" w:hAnsi="Times New Roman" w:cs="Times New Roman"/>
          <w:noProof/>
          <w:sz w:val="24"/>
          <w:szCs w:val="24"/>
          <w:vertAlign w:val="superscript"/>
        </w:rPr>
        <w:footnoteReference w:id="5"/>
      </w:r>
      <w:r>
        <w:rPr>
          <w:rFonts w:ascii="Times New Roman" w:hAnsi="Times New Roman"/>
          <w:noProof/>
          <w:sz w:val="24"/>
        </w:rPr>
        <w:t xml:space="preserve">. Eiropas Savienību kopīgo struktūru sanāksmēs pārstāvēja Eiropas Komisija, savukārt nostājas, kas jāieņem ES vārdā, tika saskaņotas ar Padomi. </w:t>
      </w:r>
    </w:p>
    <w:p w14:paraId="59FEBA7F" w14:textId="56732785"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2022. gadā ES un Apvienotā Karaliste izveidoja parlamentāro sadarbību saskaņā ar TSN 11. pantu. Parlamentāro partnerattiecību asambleja sastāv no 35</w:t>
      </w:r>
      <w:r w:rsidR="00C1128C">
        <w:rPr>
          <w:rFonts w:ascii="Times New Roman" w:hAnsi="Times New Roman"/>
          <w:noProof/>
          <w:sz w:val="24"/>
        </w:rPr>
        <w:t xml:space="preserve"> </w:t>
      </w:r>
      <w:r>
        <w:rPr>
          <w:rFonts w:ascii="Times New Roman" w:hAnsi="Times New Roman"/>
          <w:noProof/>
          <w:sz w:val="24"/>
        </w:rPr>
        <w:t>Eiropas Parlamenta deputātiem un 35 Apvienotās Karalistes parlamenta deputātiem. Tās atklāšanas sanāksme notika Briselē 12.</w:t>
      </w:r>
      <w:r w:rsidR="00C1128C">
        <w:rPr>
          <w:rFonts w:ascii="Times New Roman" w:hAnsi="Times New Roman"/>
          <w:noProof/>
          <w:sz w:val="24"/>
        </w:rPr>
        <w:t> </w:t>
      </w:r>
      <w:r>
        <w:rPr>
          <w:rFonts w:ascii="Times New Roman" w:hAnsi="Times New Roman"/>
          <w:noProof/>
          <w:sz w:val="24"/>
        </w:rPr>
        <w:t>un 13. maijā. Otrā sanāksme notika Londonā 7.</w:t>
      </w:r>
      <w:r w:rsidR="00C1128C">
        <w:rPr>
          <w:rFonts w:ascii="Times New Roman" w:hAnsi="Times New Roman"/>
          <w:noProof/>
          <w:sz w:val="24"/>
        </w:rPr>
        <w:t> </w:t>
      </w:r>
      <w:r>
        <w:rPr>
          <w:rFonts w:ascii="Times New Roman" w:hAnsi="Times New Roman"/>
          <w:noProof/>
          <w:sz w:val="24"/>
        </w:rPr>
        <w:t>un 8. novembrī</w:t>
      </w:r>
      <w:r>
        <w:rPr>
          <w:rFonts w:ascii="Times New Roman" w:hAnsi="Times New Roman" w:cs="Times New Roman"/>
          <w:noProof/>
          <w:sz w:val="24"/>
          <w:szCs w:val="24"/>
          <w:vertAlign w:val="superscript"/>
        </w:rPr>
        <w:footnoteReference w:id="6"/>
      </w:r>
      <w:r>
        <w:rPr>
          <w:rFonts w:ascii="Times New Roman" w:hAnsi="Times New Roman"/>
          <w:noProof/>
          <w:sz w:val="24"/>
        </w:rPr>
        <w:t>.</w:t>
      </w:r>
    </w:p>
    <w:p w14:paraId="1C45807E"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Turpinājās arī pilsoniskās sabiedrības iesaistīšana TSN īstenošanā. ES vietējā konsultantu grupa, kura izveidota saskaņā ar TSN 13. pantu un kuras sastāvā ir 24 pilsoniskās sabiedrības organizāciju pārstāvji un seši  Eiropas Ekonomikas un sociālo lietu komitejas pārstāvji</w:t>
      </w:r>
      <w:r>
        <w:rPr>
          <w:rFonts w:ascii="Times New Roman" w:hAnsi="Times New Roman" w:cs="Times New Roman"/>
          <w:noProof/>
          <w:sz w:val="24"/>
          <w:szCs w:val="24"/>
          <w:vertAlign w:val="superscript"/>
        </w:rPr>
        <w:footnoteReference w:id="7"/>
      </w:r>
      <w:r>
        <w:rPr>
          <w:rFonts w:ascii="Times New Roman" w:hAnsi="Times New Roman"/>
          <w:noProof/>
          <w:sz w:val="24"/>
        </w:rPr>
        <w:t>, vairākas reizes tikās, lai apspriestu TSN īstenošanu</w:t>
      </w:r>
      <w:r>
        <w:rPr>
          <w:rFonts w:ascii="Times New Roman" w:hAnsi="Times New Roman" w:cs="Times New Roman"/>
          <w:noProof/>
          <w:sz w:val="24"/>
          <w:szCs w:val="24"/>
          <w:vertAlign w:val="superscript"/>
        </w:rPr>
        <w:footnoteReference w:id="8"/>
      </w:r>
      <w:r>
        <w:rPr>
          <w:rFonts w:ascii="Times New Roman" w:hAnsi="Times New Roman"/>
          <w:noProof/>
          <w:sz w:val="24"/>
        </w:rPr>
        <w:t xml:space="preserve">. </w:t>
      </w:r>
    </w:p>
    <w:p w14:paraId="315F19E5"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Turklāt 2022. gada 4. oktobrī saskaņā ar TSN 14. pantu notika Pilsoniskās sabiedrības foruma</w:t>
      </w:r>
      <w:r>
        <w:rPr>
          <w:rFonts w:ascii="Times New Roman" w:hAnsi="Times New Roman" w:cs="Times New Roman"/>
          <w:noProof/>
          <w:sz w:val="24"/>
          <w:szCs w:val="24"/>
          <w:vertAlign w:val="superscript"/>
        </w:rPr>
        <w:footnoteReference w:id="9"/>
      </w:r>
      <w:r>
        <w:rPr>
          <w:rFonts w:ascii="Times New Roman" w:hAnsi="Times New Roman"/>
          <w:noProof/>
          <w:sz w:val="24"/>
        </w:rPr>
        <w:t xml:space="preserve"> pirmā sanāksme</w:t>
      </w:r>
      <w:r>
        <w:rPr>
          <w:rFonts w:ascii="Times New Roman" w:hAnsi="Times New Roman" w:cs="Times New Roman"/>
          <w:noProof/>
          <w:sz w:val="24"/>
          <w:szCs w:val="24"/>
          <w:vertAlign w:val="superscript"/>
        </w:rPr>
        <w:footnoteReference w:id="10"/>
      </w:r>
      <w:r>
        <w:rPr>
          <w:rFonts w:ascii="Times New Roman" w:hAnsi="Times New Roman"/>
          <w:noProof/>
          <w:sz w:val="24"/>
        </w:rPr>
        <w:t xml:space="preserve">, kurā piedalījās pilsoniskās sabiedrības pārstāvji no ES un Apvienotās Karalistes. ES pārstāvju vidū bija darba devēju un darba ņēmēju organizācijas, kā arī akadēmisko aprindu pārstāvji un nevalstiskās organizācijas. </w:t>
      </w:r>
    </w:p>
    <w:p w14:paraId="287141E8"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Attiecībā uz strīdu izšķiršanu Partnerības padome saskaņā ar TSN 752. pantu pieņēma to personu sarakstu, kurām ir īpašas zināšanas TSN aptvertajās nozarēs un kuras vēlas un spēj darboties kā šķīrējtiesas locekļi</w:t>
      </w:r>
      <w:r>
        <w:rPr>
          <w:rFonts w:ascii="Times New Roman" w:eastAsia="Times New Roman" w:hAnsi="Times New Roman" w:cs="Times New Roman"/>
          <w:noProof/>
          <w:sz w:val="24"/>
          <w:szCs w:val="24"/>
          <w:vertAlign w:val="superscript"/>
          <w:lang w:val="en-GB"/>
        </w:rPr>
        <w:footnoteReference w:id="11"/>
      </w:r>
      <w:r>
        <w:rPr>
          <w:rFonts w:ascii="Times New Roman" w:hAnsi="Times New Roman"/>
          <w:noProof/>
          <w:sz w:val="24"/>
        </w:rPr>
        <w:t xml:space="preserve">. </w:t>
      </w:r>
    </w:p>
    <w:p w14:paraId="1BFA2159"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Lai ES varētu iedarbīgi un laikus īstenot savas tiesības Izstāšanās līguma un TSN īstenošanā un izpildes panākšanā, Eiropas Parlaments un Padome panāca politisku vienošanos par regulu, kas aptver Izstāšanās līgumu un TSN attiecībā uz jautājumiem, kuri ietilpst Līguma par Eiropas Savienības darbību darbības jomā.  Sagaidāms, ka Padome 2023. gadā pieņems regulu par TSN attiecībā uz jautājumiem, kas ietilpst </w:t>
      </w:r>
      <w:r>
        <w:rPr>
          <w:rFonts w:ascii="Times New Roman" w:hAnsi="Times New Roman"/>
          <w:i/>
          <w:noProof/>
          <w:sz w:val="24"/>
        </w:rPr>
        <w:t>Euratom</w:t>
      </w:r>
      <w:r>
        <w:rPr>
          <w:rFonts w:ascii="Times New Roman" w:hAnsi="Times New Roman"/>
          <w:noProof/>
          <w:sz w:val="24"/>
        </w:rPr>
        <w:t xml:space="preserve"> līguma darbības jomā. </w:t>
      </w:r>
    </w:p>
    <w:p w14:paraId="65DE126B"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Šīs regulas nodrošinās juridisko pamatu, lai Komisija varētu pieņemt līgumā un nolīgumā paredzētos aizsardzības pasākumus. Konkrētāk, Komisija varēs apturēt pienākumus, kas noteikti TSN, ja Apvienotā Karaliste nepildīs saskaņā ar TSN vai Izstāšanās līgumu izveidotās šķīrējtiesas nolēmumu</w:t>
      </w:r>
      <w:r>
        <w:rPr>
          <w:rFonts w:ascii="Times New Roman" w:eastAsia="Times New Roman" w:hAnsi="Times New Roman" w:cs="Times New Roman"/>
          <w:noProof/>
          <w:sz w:val="24"/>
          <w:szCs w:val="24"/>
          <w:vertAlign w:val="superscript"/>
          <w:lang w:val="en-GB"/>
        </w:rPr>
        <w:footnoteReference w:id="12"/>
      </w:r>
      <w:r>
        <w:rPr>
          <w:rFonts w:ascii="Times New Roman" w:hAnsi="Times New Roman"/>
          <w:noProof/>
          <w:sz w:val="24"/>
        </w:rPr>
        <w:t>. Dažos gadījumos Komisija, lai aizsargātu ES intereses, varēs rīkoties vienpusēji, pirms tam neiesaistoties šķīrējtiesas procedūrā, piemēram, gadījumos, kad pastāv risks, ka subsīdija Apvienotajā Karalistē būtiski negatīvi ietekmēs tirdzniecību vai investīcijas starp pusēm</w:t>
      </w:r>
      <w:r>
        <w:rPr>
          <w:rFonts w:ascii="Times New Roman" w:eastAsia="Times New Roman" w:hAnsi="Times New Roman" w:cs="Times New Roman"/>
          <w:noProof/>
          <w:sz w:val="24"/>
          <w:szCs w:val="24"/>
          <w:vertAlign w:val="superscript"/>
          <w:lang w:val="en-GB"/>
        </w:rPr>
        <w:footnoteReference w:id="13"/>
      </w:r>
      <w:r>
        <w:rPr>
          <w:rFonts w:ascii="Times New Roman" w:hAnsi="Times New Roman"/>
          <w:noProof/>
          <w:sz w:val="24"/>
        </w:rPr>
        <w:t xml:space="preserve">. </w:t>
      </w:r>
    </w:p>
    <w:p w14:paraId="137590D4" w14:textId="77777777" w:rsidR="006D1404" w:rsidRPr="006D1404" w:rsidRDefault="006D1404" w:rsidP="006D1404">
      <w:pPr>
        <w:keepNext/>
        <w:keepLines/>
        <w:numPr>
          <w:ilvl w:val="0"/>
          <w:numId w:val="29"/>
        </w:numPr>
        <w:spacing w:before="240" w:beforeAutospacing="1" w:after="0" w:afterAutospacing="1" w:line="240" w:lineRule="auto"/>
        <w:jc w:val="both"/>
        <w:outlineLvl w:val="0"/>
        <w:rPr>
          <w:rFonts w:asciiTheme="majorHAnsi" w:eastAsiaTheme="majorEastAsia" w:hAnsiTheme="majorHAnsi" w:cstheme="majorBidi"/>
          <w:noProof/>
          <w:color w:val="2E74B5" w:themeColor="accent1" w:themeShade="BF"/>
          <w:sz w:val="28"/>
          <w:szCs w:val="28"/>
        </w:rPr>
      </w:pPr>
      <w:bookmarkStart w:id="8" w:name="_Toc129180042"/>
      <w:r>
        <w:rPr>
          <w:rFonts w:asciiTheme="majorHAnsi" w:hAnsiTheme="majorHAnsi"/>
          <w:noProof/>
          <w:color w:val="2E74B5" w:themeColor="accent1" w:themeShade="BF"/>
          <w:sz w:val="28"/>
        </w:rPr>
        <w:t>Īstenošana pa nozarēm</w:t>
      </w:r>
      <w:bookmarkEnd w:id="8"/>
    </w:p>
    <w:p w14:paraId="2041D575"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TSN īstenošanā pa nozarēm 2022. gadā neradās lielas grūtības. Ieinteresētās personas lielā mērā pielāgojās jaunajai tirdzniecības realitātei, kas izriet no Apvienotās Karalistes izstāšanās no iekšējā tirgus, muitas savienības un dažādām Savienības politikas jomām. Tomēr joprojām pastāv dažas problēmas, proti, TSN paredzētās elektroenerģijas tirdzniecības kārtības īstenošana izrādījās sarežģītāka, nekā gaidīts (sk. tālāk 3.3. iedaļu), un zvejniecības noteikumu pilnīga un pareiza īstenošana joprojām sagādāja grūtības (sk. tālāk 3.5. iedaļu). </w:t>
      </w:r>
    </w:p>
    <w:p w14:paraId="18A6A513" w14:textId="77777777" w:rsidR="006D1404" w:rsidRPr="006D1404" w:rsidRDefault="006D1404" w:rsidP="006D1404">
      <w:pPr>
        <w:keepNext/>
        <w:keepLines/>
        <w:numPr>
          <w:ilvl w:val="1"/>
          <w:numId w:val="29"/>
        </w:numPr>
        <w:spacing w:before="240" w:after="100" w:afterAutospacing="1"/>
        <w:ind w:left="1077"/>
        <w:outlineLvl w:val="1"/>
        <w:rPr>
          <w:rFonts w:asciiTheme="majorHAnsi" w:eastAsiaTheme="majorEastAsia" w:hAnsiTheme="majorHAnsi" w:cstheme="majorBidi"/>
          <w:noProof/>
          <w:color w:val="2E74B5" w:themeColor="accent1" w:themeShade="BF"/>
          <w:sz w:val="26"/>
          <w:szCs w:val="26"/>
        </w:rPr>
      </w:pPr>
      <w:bookmarkStart w:id="9" w:name="_Toc129180043"/>
      <w:r>
        <w:rPr>
          <w:rFonts w:asciiTheme="majorHAnsi" w:hAnsiTheme="majorHAnsi"/>
          <w:noProof/>
          <w:color w:val="2E74B5" w:themeColor="accent1" w:themeShade="BF"/>
          <w:sz w:val="26"/>
        </w:rPr>
        <w:t>Preču tirdzniecība</w:t>
      </w:r>
      <w:bookmarkEnd w:id="9"/>
    </w:p>
    <w:p w14:paraId="4C178CE3"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TSN īstenošana preču tirdzniecības jomā bija vērsta uz to, lai iedarbīgi piemērotu noteikumus, par kuriem puses vienojušās, un atrisinātu neatrisinātos jautājumus. Kopumā TSN noteiktā tirdzniecības kārtība darbojās labi, lai gan joprojām bija dažas īstenošanas grūtības. </w:t>
      </w:r>
    </w:p>
    <w:p w14:paraId="3E84C924"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Attiecībā uz </w:t>
      </w:r>
      <w:r>
        <w:rPr>
          <w:rFonts w:ascii="Times New Roman" w:hAnsi="Times New Roman"/>
          <w:noProof/>
          <w:sz w:val="24"/>
          <w:u w:val="single"/>
        </w:rPr>
        <w:t>fiskālajiem aspektiem</w:t>
      </w:r>
      <w:r>
        <w:rPr>
          <w:rFonts w:ascii="Times New Roman" w:hAnsi="Times New Roman"/>
          <w:noProof/>
          <w:sz w:val="24"/>
        </w:rPr>
        <w:t xml:space="preserve"> valstu muitas dienesti pauda bažas par uzņēmēju </w:t>
      </w:r>
      <w:r>
        <w:rPr>
          <w:rFonts w:ascii="Times New Roman" w:hAnsi="Times New Roman"/>
          <w:noProof/>
          <w:sz w:val="24"/>
          <w:u w:val="single"/>
        </w:rPr>
        <w:t>izcelsmes pašdeklarāciju</w:t>
      </w:r>
      <w:r>
        <w:rPr>
          <w:rFonts w:ascii="Times New Roman" w:hAnsi="Times New Roman"/>
          <w:noProof/>
          <w:sz w:val="24"/>
        </w:rPr>
        <w:t xml:space="preserve"> pareizību un Apvienotās Karalistes muitas dienestu sniegtajām atbildēm par izcelsmes pārbaudēm</w:t>
      </w:r>
      <w:r>
        <w:rPr>
          <w:rFonts w:ascii="Times New Roman" w:eastAsia="Times New Roman" w:hAnsi="Times New Roman" w:cs="Times New Roman"/>
          <w:noProof/>
          <w:sz w:val="24"/>
          <w:szCs w:val="24"/>
          <w:vertAlign w:val="superscript"/>
          <w:lang w:val="en-GB"/>
        </w:rPr>
        <w:footnoteReference w:id="14"/>
      </w:r>
      <w:r>
        <w:rPr>
          <w:rFonts w:ascii="Times New Roman" w:hAnsi="Times New Roman"/>
          <w:noProof/>
          <w:sz w:val="24"/>
        </w:rPr>
        <w:t>. Lai atbalstītu muitas dienestu darbu, Tirdzniecības specializētā komiteja muitas sadarbības un izcelsmes noteikumu jomā pieņēma lēmumu</w:t>
      </w:r>
      <w:r>
        <w:rPr>
          <w:rFonts w:ascii="Times New Roman" w:eastAsia="Times New Roman" w:hAnsi="Times New Roman" w:cs="Times New Roman"/>
          <w:noProof/>
          <w:sz w:val="24"/>
          <w:szCs w:val="24"/>
          <w:vertAlign w:val="superscript"/>
          <w:lang w:val="en-GB"/>
        </w:rPr>
        <w:footnoteReference w:id="15"/>
      </w:r>
      <w:r>
        <w:rPr>
          <w:rFonts w:ascii="Times New Roman" w:hAnsi="Times New Roman"/>
          <w:noProof/>
          <w:sz w:val="24"/>
        </w:rPr>
        <w:t>, kurā izklāstīta procedūra, kas izmantojama preferenciāla tarifa režīma atteikuma gadījumā. Saskaņotā procedūra palīdzēs dalībvalstu muitas dienestiem atteikt preferences, ja tas ir pamatoti, un tā vietā piemērot lielākās labvēlības tarifus, vienlaikus garantējot, ka preferences netiek atteiktas bez pienācīgas apspriešanās.</w:t>
      </w:r>
    </w:p>
    <w:p w14:paraId="07253A68"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Lai gan pareizo </w:t>
      </w:r>
      <w:r>
        <w:rPr>
          <w:rFonts w:ascii="Times New Roman" w:hAnsi="Times New Roman"/>
          <w:noProof/>
          <w:sz w:val="24"/>
          <w:u w:val="single"/>
        </w:rPr>
        <w:t>izcelsmes noteikumu</w:t>
      </w:r>
      <w:r>
        <w:rPr>
          <w:rFonts w:ascii="Times New Roman" w:hAnsi="Times New Roman"/>
          <w:noProof/>
          <w:sz w:val="24"/>
        </w:rPr>
        <w:t xml:space="preserve"> kontrole, tāpat kā visos tirdzniecības nolīgumos, ir problemātiska, TSN horizontālo noteikumu un konkrētiem ražojumiem piemērojamo noteikumu līdzsvars ir apmierinošs. Konkrētāk, Komisija neplāno pārskatīt konkrētiem ražojumiem piemērojamos noteikumus citādi,</w:t>
      </w:r>
      <w:r>
        <w:rPr>
          <w:noProof/>
        </w:rPr>
        <w:t xml:space="preserve"> </w:t>
      </w:r>
      <w:r>
        <w:rPr>
          <w:rFonts w:ascii="Times New Roman" w:hAnsi="Times New Roman"/>
          <w:noProof/>
          <w:sz w:val="24"/>
        </w:rPr>
        <w:t>kā vien veikt tehniskus pielāgojumus</w:t>
      </w:r>
      <w:r>
        <w:rPr>
          <w:rFonts w:ascii="Times New Roman" w:eastAsia="Times New Roman" w:hAnsi="Times New Roman" w:cs="Times New Roman"/>
          <w:noProof/>
          <w:sz w:val="24"/>
          <w:szCs w:val="24"/>
          <w:vertAlign w:val="superscript"/>
          <w:lang w:val="en-US"/>
        </w:rPr>
        <w:footnoteReference w:id="16"/>
      </w:r>
      <w:r>
        <w:rPr>
          <w:rFonts w:ascii="Times New Roman" w:hAnsi="Times New Roman"/>
          <w:noProof/>
          <w:sz w:val="24"/>
        </w:rPr>
        <w:t>. Komisija uzskata, ka šie noteikumi nodrošina taisnīgu līdzsvaru, vienlaikus palīdzot sasniegt Savienības vispārējo mērķi panākt stratēģisko autonomiju būtiskās nozarēs.</w:t>
      </w:r>
    </w:p>
    <w:p w14:paraId="3A3E5078"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Sanitārajā un fitosanitārajā</w:t>
      </w:r>
      <w:r>
        <w:rPr>
          <w:rFonts w:ascii="Times New Roman" w:hAnsi="Times New Roman"/>
          <w:noProof/>
          <w:sz w:val="24"/>
        </w:rPr>
        <w:t xml:space="preserve"> (SFS) jomā, neraugoties uz apņemšanos veicināt elektroniskās sertifikācijas izmantošanu, lai atvieglotu tirdzniecību</w:t>
      </w:r>
      <w:r>
        <w:rPr>
          <w:rFonts w:ascii="Times New Roman" w:eastAsia="Times New Roman" w:hAnsi="Times New Roman" w:cs="Times New Roman"/>
          <w:noProof/>
          <w:sz w:val="24"/>
          <w:szCs w:val="24"/>
          <w:vertAlign w:val="superscript"/>
          <w:lang w:val="en-US"/>
        </w:rPr>
        <w:footnoteReference w:id="17"/>
      </w:r>
      <w:r>
        <w:rPr>
          <w:rFonts w:ascii="Times New Roman" w:hAnsi="Times New Roman"/>
          <w:noProof/>
          <w:sz w:val="24"/>
        </w:rPr>
        <w:t>, bija tikai neliels progress ES digitālo sertifikātu pieņemšanā Apvienotajā Karalistē, lai gan ES piedāvātie pagaidu risinājumi ļāva situāciju uzlabot. Turklāt, neraugoties uz pienākumu saskaņot oficiālās sertifikācijas prasības ar starptautiskajiem standartiem</w:t>
      </w:r>
      <w:r>
        <w:rPr>
          <w:rFonts w:ascii="Times New Roman" w:eastAsia="Times New Roman" w:hAnsi="Times New Roman" w:cs="Times New Roman"/>
          <w:noProof/>
          <w:sz w:val="24"/>
          <w:szCs w:val="24"/>
          <w:vertAlign w:val="superscript"/>
          <w:lang w:val="en-US"/>
        </w:rPr>
        <w:footnoteReference w:id="18"/>
      </w:r>
      <w:r>
        <w:rPr>
          <w:rFonts w:ascii="Times New Roman" w:hAnsi="Times New Roman"/>
          <w:noProof/>
          <w:sz w:val="24"/>
        </w:rPr>
        <w:t>, Apvienotā Karaliste turpināja pieprasīt garantijas attiecībā uz dažām dzīvnieku slimībām, un tas neatbilst pašreizējiem Pasaules Dzīvnieku veselības organizācijas standartiem</w:t>
      </w:r>
      <w:r>
        <w:rPr>
          <w:rFonts w:ascii="Times New Roman" w:eastAsia="Times New Roman" w:hAnsi="Times New Roman" w:cs="Times New Roman"/>
          <w:noProof/>
          <w:sz w:val="24"/>
          <w:szCs w:val="24"/>
          <w:vertAlign w:val="superscript"/>
          <w:lang w:val="en-US"/>
        </w:rPr>
        <w:footnoteReference w:id="19"/>
      </w:r>
      <w:r>
        <w:rPr>
          <w:rFonts w:ascii="Times New Roman" w:hAnsi="Times New Roman"/>
          <w:noProof/>
          <w:sz w:val="24"/>
        </w:rPr>
        <w:t>. Tehniskās diskusijas ar Apvienoto Karalisti par tās sertifikācijas prasībām, arī par to saderību ar ES vienoto struktūru, 2022. gadā nedeva konkrētus rezultātus.</w:t>
      </w:r>
    </w:p>
    <w:p w14:paraId="03A1D746"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Turklāt Apvienotā Karaliste apšaubīja ES noteikumus, kas reglamentē konkrētu produktu, piemēram, sēklas kartupeļu un neattīrītu dzīvu gliemeņu, importu no trešām valstīm un lūdza īpašu režīmu to eksportam uz ES. Tomēr, tā kā Apvienotajai Karalistei tiek piemērots atsevišķs SFS regulatīvais režīms pēc tās izstāšanās no ES, uz Apvienoto Karalisti attiecas visi ES noteikumi, kas piemērojami trešām valstīm, kuras dinamiski nesaskaņo savus tiesību aktus ar ES tiesību aktiem. </w:t>
      </w:r>
    </w:p>
    <w:p w14:paraId="72CC5D70" w14:textId="77777777" w:rsidR="006D1404" w:rsidRPr="006D1404" w:rsidRDefault="006D1404" w:rsidP="006D1404">
      <w:pPr>
        <w:spacing w:before="100" w:beforeAutospacing="1" w:after="100" w:afterAutospacing="1" w:line="240" w:lineRule="auto"/>
        <w:jc w:val="both"/>
        <w:textAlignment w:val="baseline"/>
        <w:rPr>
          <w:rFonts w:ascii="Times New Roman" w:eastAsiaTheme="majorEastAsia" w:hAnsi="Times New Roman" w:cs="Times New Roman"/>
          <w:noProof/>
          <w:sz w:val="24"/>
          <w:szCs w:val="24"/>
        </w:rPr>
      </w:pPr>
      <w:r>
        <w:rPr>
          <w:rFonts w:ascii="Times New Roman" w:hAnsi="Times New Roman"/>
          <w:noProof/>
          <w:sz w:val="24"/>
        </w:rPr>
        <w:t>Komisija veica pasākumus PTO strīdu izšķiršanas mehānisma ietvaros attiecībā uz shēmu “Cenu starpības līgumi”</w:t>
      </w:r>
      <w:r>
        <w:rPr>
          <w:rFonts w:ascii="Times New Roman" w:eastAsiaTheme="majorEastAsia" w:hAnsi="Times New Roman" w:cs="Times New Roman"/>
          <w:noProof/>
          <w:sz w:val="24"/>
          <w:szCs w:val="24"/>
          <w:vertAlign w:val="superscript"/>
          <w:lang w:eastAsia="en-IE"/>
        </w:rPr>
        <w:footnoteReference w:id="20"/>
      </w:r>
      <w:r>
        <w:rPr>
          <w:rFonts w:ascii="Times New Roman" w:hAnsi="Times New Roman"/>
          <w:noProof/>
          <w:sz w:val="24"/>
        </w:rPr>
        <w:t>, kas ir galvenais mehānisms, kurš veicina mazoglekļa elektroenerģijas ražošanu Apvienotajā Karalistē. Komisija apstrīdēja shēmas vietējā satura kritērijus, kas dod priekšroku Apvienotās Karalistes saturam, nevis importētajam saturam, tādējādi pārkāpjot PTO nediskriminācijas noteikumus. ES un Apvienotā Karaliste 2022. gada jūlijā vienojās par turpmāko rīcību, lai kliedētu Komisijas bažas, un precizēja, ka shēmas saņēmējiem nav jāsasniedz konkrēts Apvienotās Karalistes satura līmenis, lai saņemtu maksājumus</w:t>
      </w:r>
      <w:r>
        <w:rPr>
          <w:rFonts w:ascii="Times New Roman" w:eastAsiaTheme="majorEastAsia" w:hAnsi="Times New Roman" w:cs="Times New Roman"/>
          <w:noProof/>
          <w:sz w:val="24"/>
          <w:szCs w:val="24"/>
          <w:vertAlign w:val="superscript"/>
          <w:lang w:eastAsia="en-IE"/>
        </w:rPr>
        <w:footnoteReference w:id="21"/>
      </w:r>
      <w:r>
        <w:rPr>
          <w:rFonts w:ascii="Times New Roman" w:hAnsi="Times New Roman"/>
          <w:noProof/>
          <w:sz w:val="24"/>
        </w:rPr>
        <w:t>. Tika publicēti papildu norādījumi, lai nodrošinātu, ka nozare pilnībā saprot šo nostāju</w:t>
      </w:r>
      <w:r>
        <w:rPr>
          <w:rFonts w:ascii="Times New Roman" w:eastAsiaTheme="majorEastAsia" w:hAnsi="Times New Roman" w:cs="Times New Roman"/>
          <w:noProof/>
          <w:sz w:val="24"/>
          <w:szCs w:val="24"/>
          <w:vertAlign w:val="superscript"/>
          <w:lang w:eastAsia="en-IE"/>
        </w:rPr>
        <w:footnoteReference w:id="22"/>
      </w:r>
      <w:r>
        <w:rPr>
          <w:rFonts w:ascii="Times New Roman" w:hAnsi="Times New Roman"/>
          <w:noProof/>
          <w:sz w:val="24"/>
        </w:rPr>
        <w:t>.</w:t>
      </w:r>
    </w:p>
    <w:p w14:paraId="252976B1"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Attiecībā uz </w:t>
      </w:r>
      <w:r>
        <w:rPr>
          <w:rFonts w:ascii="Times New Roman" w:hAnsi="Times New Roman"/>
          <w:noProof/>
          <w:sz w:val="24"/>
          <w:u w:val="single"/>
        </w:rPr>
        <w:t>norisēm Apvienotajā Karalistē</w:t>
      </w:r>
      <w:r>
        <w:rPr>
          <w:rFonts w:ascii="Times New Roman" w:hAnsi="Times New Roman"/>
          <w:noProof/>
          <w:sz w:val="24"/>
        </w:rPr>
        <w:t xml:space="preserve"> jānorāda, ka tika atkārtoti atlikta dažu importa procedūru un pārbaužu īstenošana, jo īpaši to procedūru un pārbaužu īstenošana, kas attiecas uz SFS prasībām, kuras piemēro ražojumiem no ES. Apvienotā Karaliste 2022. gada 28. aprīlī jau ceturto reizi paziņoja, ka atliek šo pārbaužu īstenošanu, ko šoreiz bija plānots sākt 2022. gada 1. jūlijā</w:t>
      </w:r>
      <w:r>
        <w:rPr>
          <w:rFonts w:ascii="Times New Roman" w:eastAsia="Times New Roman" w:hAnsi="Times New Roman" w:cs="Times New Roman"/>
          <w:noProof/>
          <w:sz w:val="24"/>
          <w:szCs w:val="24"/>
          <w:vertAlign w:val="superscript"/>
          <w:lang w:val="en-GB"/>
        </w:rPr>
        <w:footnoteReference w:id="23"/>
      </w:r>
      <w:r>
        <w:rPr>
          <w:rFonts w:ascii="Times New Roman" w:hAnsi="Times New Roman"/>
          <w:noProof/>
          <w:sz w:val="24"/>
        </w:rPr>
        <w:t xml:space="preserve">. Joprojām nav skaidrs datums, kad stāsies spēkā Apvienotās Karalistes jaunais importa robežkontroles režīms, ko piemēro precēm no ES.  </w:t>
      </w:r>
    </w:p>
    <w:p w14:paraId="42BB3872"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Atbilstības novērtēšanas jomā, reaģējot uz būtiskām nozares bažām par Apvienotās Karalistes atbilstības novērtēšanas (</w:t>
      </w:r>
      <w:r>
        <w:rPr>
          <w:rFonts w:ascii="Times New Roman" w:hAnsi="Times New Roman"/>
          <w:i/>
          <w:noProof/>
          <w:sz w:val="24"/>
        </w:rPr>
        <w:t>UKCA</w:t>
      </w:r>
      <w:r>
        <w:rPr>
          <w:rFonts w:ascii="Times New Roman" w:hAnsi="Times New Roman"/>
          <w:noProof/>
          <w:sz w:val="24"/>
        </w:rPr>
        <w:t>) marķējuma ieviešanu ražojumiem, kas laisti Lielbritānijas tirgū, 2022. gada novembrī tika paziņots par trešo tā ieviešanas termiņa pagarinājumu</w:t>
      </w:r>
      <w:r>
        <w:rPr>
          <w:rFonts w:ascii="Times New Roman" w:eastAsia="Times New Roman" w:hAnsi="Times New Roman" w:cs="Times New Roman"/>
          <w:noProof/>
          <w:sz w:val="24"/>
          <w:szCs w:val="24"/>
          <w:vertAlign w:val="superscript"/>
          <w:lang w:val="en-US"/>
        </w:rPr>
        <w:footnoteReference w:id="24"/>
      </w:r>
      <w:r>
        <w:rPr>
          <w:rFonts w:ascii="Times New Roman" w:hAnsi="Times New Roman"/>
          <w:noProof/>
          <w:sz w:val="24"/>
        </w:rPr>
        <w:t xml:space="preserve">. Tas nozīmē, ka Apvienotā Karaliste turpinās pieņemt ražojumus, kuru atbilstība ES prasībām ir panākta līdz 2024. gada 31. decembrim, un attiecīgie ES sertifikāti un </w:t>
      </w:r>
      <w:r>
        <w:rPr>
          <w:rFonts w:ascii="Times New Roman" w:hAnsi="Times New Roman"/>
          <w:i/>
          <w:noProof/>
          <w:sz w:val="24"/>
        </w:rPr>
        <w:t>CE</w:t>
      </w:r>
      <w:r>
        <w:rPr>
          <w:rFonts w:ascii="Times New Roman" w:hAnsi="Times New Roman"/>
          <w:noProof/>
          <w:sz w:val="24"/>
        </w:rPr>
        <w:t xml:space="preserve"> marķējums paliks spēkā līdz 2027. gada beigām, ieskaitot pašlaik piemērojamos marķēšanas noteikumus, informāciju par importētājiem un atbildīgajām personām. Ir gaidāmi atsevišķi paziņojumi par medicīniskām ierīcēm, gaisa kuģiem, dzelzceļa produktiem un jūras aprīkojumu.</w:t>
      </w:r>
    </w:p>
    <w:p w14:paraId="23714695" w14:textId="77777777" w:rsidR="006D1404" w:rsidRPr="006D1404" w:rsidRDefault="006D1404" w:rsidP="006D1404">
      <w:pPr>
        <w:keepNext/>
        <w:keepLines/>
        <w:numPr>
          <w:ilvl w:val="1"/>
          <w:numId w:val="29"/>
        </w:numPr>
        <w:spacing w:before="40" w:after="0"/>
        <w:outlineLvl w:val="1"/>
        <w:rPr>
          <w:rFonts w:asciiTheme="majorHAnsi" w:eastAsiaTheme="majorEastAsia" w:hAnsiTheme="majorHAnsi" w:cstheme="majorBidi"/>
          <w:noProof/>
          <w:color w:val="2E74B5" w:themeColor="accent1" w:themeShade="BF"/>
          <w:sz w:val="26"/>
          <w:szCs w:val="26"/>
        </w:rPr>
      </w:pPr>
      <w:bookmarkStart w:id="10" w:name="_Toc129180044"/>
      <w:r>
        <w:rPr>
          <w:rFonts w:asciiTheme="majorHAnsi" w:hAnsiTheme="majorHAnsi"/>
          <w:noProof/>
          <w:color w:val="2E74B5" w:themeColor="accent1" w:themeShade="BF"/>
          <w:sz w:val="26"/>
        </w:rPr>
        <w:t>Pakalpojumi un investīcijas, digitālā tirdzniecība, intelektuālais īpašums, publiskais iepirkums un mazie un vidējie uzņēmumi</w:t>
      </w:r>
      <w:bookmarkEnd w:id="10"/>
    </w:p>
    <w:p w14:paraId="4BAD7B73"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Pakalpojumu un investīciju, digitālās tirdzniecības, intelektuālā īpašuma, publiskā iepirkuma un mazo un vidējo uzņēmumu jomā būtisku īstenošanas problēmu nebija. Tomēr dažas problēmas joprojām pastāv.</w:t>
      </w:r>
    </w:p>
    <w:p w14:paraId="5965C2E4"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Joprojām bažas raisa Apvienotās Karalistes noteiktā kvalificētu darbinieku imigrācijas nodeva (</w:t>
      </w:r>
      <w:r>
        <w:rPr>
          <w:rFonts w:ascii="Times New Roman" w:hAnsi="Times New Roman"/>
          <w:i/>
          <w:noProof/>
          <w:sz w:val="24"/>
        </w:rPr>
        <w:t>immigration skills charge</w:t>
      </w:r>
      <w:r>
        <w:rPr>
          <w:rFonts w:ascii="Times New Roman" w:hAnsi="Times New Roman"/>
          <w:noProof/>
          <w:sz w:val="24"/>
        </w:rPr>
        <w:t>), ko piemēro attiecībā uz uzņēmuma ietvaros pārceltiem darbiniekiem. Saskaņā ar TSN</w:t>
      </w:r>
      <w:r>
        <w:rPr>
          <w:rFonts w:ascii="Times New Roman" w:eastAsia="Times New Roman" w:hAnsi="Times New Roman" w:cs="Times New Roman"/>
          <w:noProof/>
          <w:sz w:val="24"/>
          <w:szCs w:val="24"/>
          <w:vertAlign w:val="superscript"/>
        </w:rPr>
        <w:footnoteReference w:id="25"/>
      </w:r>
      <w:r>
        <w:rPr>
          <w:rFonts w:ascii="Times New Roman" w:hAnsi="Times New Roman"/>
          <w:noProof/>
          <w:sz w:val="24"/>
        </w:rPr>
        <w:t xml:space="preserve"> Komisija uzstāja, ka šī nodeva ir jāatceļ līdz 2022. gada beigām. Apvienotā Karaliste piekrita un izdarīja Noteikumu par kvalificētu darbinieku imigrācijas nodevas iekasēšanu (</w:t>
      </w:r>
      <w:r>
        <w:rPr>
          <w:rFonts w:ascii="Times New Roman" w:hAnsi="Times New Roman"/>
          <w:i/>
          <w:noProof/>
          <w:sz w:val="24"/>
        </w:rPr>
        <w:t>Immigration Skills Charge Regulations</w:t>
      </w:r>
      <w:r>
        <w:rPr>
          <w:rFonts w:ascii="Times New Roman" w:hAnsi="Times New Roman"/>
          <w:noProof/>
          <w:sz w:val="24"/>
        </w:rPr>
        <w:t>, 2017) grozījumus, kuri stājās spēkā 2023. gada 1. janvārī</w:t>
      </w:r>
      <w:r>
        <w:rPr>
          <w:rFonts w:ascii="Times New Roman" w:eastAsia="Times New Roman" w:hAnsi="Times New Roman" w:cs="Times New Roman"/>
          <w:noProof/>
          <w:sz w:val="24"/>
          <w:szCs w:val="24"/>
          <w:vertAlign w:val="superscript"/>
        </w:rPr>
        <w:footnoteReference w:id="26"/>
      </w:r>
      <w:r>
        <w:rPr>
          <w:rFonts w:ascii="Times New Roman" w:hAnsi="Times New Roman"/>
          <w:noProof/>
          <w:sz w:val="24"/>
        </w:rPr>
        <w:t xml:space="preserve">. Tā rezultātā kvalificētu darbinieku nodeva vairs neattiecas uz uzņēmuma ietvaros pārceltiem darbiniekiem no ES. </w:t>
      </w:r>
    </w:p>
    <w:p w14:paraId="2FF2960C"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highlight w:val="yellow"/>
        </w:rPr>
      </w:pPr>
      <w:r>
        <w:rPr>
          <w:rFonts w:ascii="Times New Roman" w:hAnsi="Times New Roman"/>
          <w:noProof/>
          <w:sz w:val="24"/>
        </w:rPr>
        <w:t>Ņemot vērā TSN noteikumus par fizisku personu ieceļošanu un pagaidu uzturēšanos darījumu nolūkos, bažas radīja jaunie Globālās uzņēmējdarbības mobilitātes noteikumi (</w:t>
      </w:r>
      <w:r>
        <w:rPr>
          <w:rFonts w:ascii="Times New Roman" w:hAnsi="Times New Roman"/>
          <w:i/>
          <w:noProof/>
          <w:sz w:val="24"/>
        </w:rPr>
        <w:t>Global Business Mobility rules</w:t>
      </w:r>
      <w:r>
        <w:rPr>
          <w:rFonts w:ascii="Times New Roman" w:hAnsi="Times New Roman"/>
          <w:noProof/>
          <w:sz w:val="24"/>
        </w:rPr>
        <w:t>)</w:t>
      </w:r>
      <w:r>
        <w:rPr>
          <w:rFonts w:ascii="Times New Roman" w:eastAsia="Times New Roman" w:hAnsi="Times New Roman" w:cs="Times New Roman"/>
          <w:noProof/>
          <w:sz w:val="24"/>
          <w:szCs w:val="24"/>
          <w:vertAlign w:val="superscript"/>
        </w:rPr>
        <w:footnoteReference w:id="27"/>
      </w:r>
      <w:r>
        <w:rPr>
          <w:rFonts w:ascii="Times New Roman" w:hAnsi="Times New Roman"/>
          <w:noProof/>
          <w:sz w:val="24"/>
        </w:rPr>
        <w:t>, ko Apvienotā Karaliste pieņēma 2022. gada aprīlī. Saskaņā ar jaunajiem noteikumiem uzņēmumiem un organizācijām Apvienotajā Karalistē ir jālūdz Iekšlietu ministrijai (</w:t>
      </w:r>
      <w:r>
        <w:rPr>
          <w:rFonts w:ascii="Times New Roman" w:hAnsi="Times New Roman"/>
          <w:i/>
          <w:noProof/>
          <w:sz w:val="24"/>
        </w:rPr>
        <w:t>Home Office</w:t>
      </w:r>
      <w:r>
        <w:rPr>
          <w:rFonts w:ascii="Times New Roman" w:hAnsi="Times New Roman"/>
          <w:noProof/>
          <w:sz w:val="24"/>
        </w:rPr>
        <w:t>) nodarbinātības atļauja, ja tie vēlas pieņemt darbā ES līgumpakalpojumu sniedzēju, neatkarīgu speciālistu vai uzņēmuma ietvaros pārceltu darbinieku.  Bez nodarbinātības atļaujas Apvienotās Karalistes uzņēmumi un organizācijas nevar izsniegt individuālas deklarācijas par finansiālu atbildību, kas ir nepieciešamas, lai nolīgtu ES pakalpojumu sniedzējus. Komisija uzskata, ka sponsorēšanas shēma var atturēt uzņēmumus Apvienotajā Karalistē no sadarbības ar ES uzņēmumiem vai neatkarīgiem speciālistiem tādu pakalpojumu sniegšanā, uz kuriem attiecas TSN.  Komisija šajā jautājumā sadarbojās ar Apvienoto Karalisti.</w:t>
      </w:r>
    </w:p>
    <w:p w14:paraId="08730F72"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Profesionālo kvalifikāciju</w:t>
      </w:r>
      <w:r>
        <w:rPr>
          <w:rFonts w:ascii="Times New Roman" w:hAnsi="Times New Roman"/>
          <w:noProof/>
          <w:sz w:val="24"/>
        </w:rPr>
        <w:t xml:space="preserve"> jomā ES un Apvienotās Karalistes profesionālās struktūras 2022. gada 3. oktobrī saskaņā ar TSN 158. pantu Partnerības padomei iesniedza pirmo kopīgo ieteikumu par arhitektu kvalifikāciju atzīšanu. Partnerības padome pārbaudīs kopīgā ieteikuma atbilstību TSN noteikumiem par pakalpojumiem un investīcijām. </w:t>
      </w:r>
    </w:p>
    <w:p w14:paraId="41244E06" w14:textId="77777777" w:rsidR="006D1404" w:rsidRPr="006D1404" w:rsidRDefault="006D1404" w:rsidP="006D1404">
      <w:pPr>
        <w:keepNext/>
        <w:keepLines/>
        <w:numPr>
          <w:ilvl w:val="1"/>
          <w:numId w:val="29"/>
        </w:numPr>
        <w:spacing w:before="40" w:after="0"/>
        <w:outlineLvl w:val="1"/>
        <w:rPr>
          <w:rFonts w:asciiTheme="majorHAnsi" w:eastAsiaTheme="majorEastAsia" w:hAnsiTheme="majorHAnsi" w:cstheme="majorBidi"/>
          <w:noProof/>
          <w:color w:val="2E74B5" w:themeColor="accent1" w:themeShade="BF"/>
          <w:sz w:val="26"/>
          <w:szCs w:val="26"/>
        </w:rPr>
      </w:pPr>
      <w:bookmarkStart w:id="11" w:name="_Toc129180045"/>
      <w:r>
        <w:rPr>
          <w:rFonts w:asciiTheme="majorHAnsi" w:hAnsiTheme="majorHAnsi"/>
          <w:noProof/>
          <w:color w:val="2E74B5" w:themeColor="accent1" w:themeShade="BF"/>
          <w:sz w:val="26"/>
        </w:rPr>
        <w:t>Enerģētika</w:t>
      </w:r>
      <w:bookmarkEnd w:id="11"/>
    </w:p>
    <w:p w14:paraId="28D20C34"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TSN īstenošana enerģētikas jomā bija vērsta uz to, lai stiprinātu sadarbību piegādes drošības jomā, izveidotu satvaru sadarbībai atkrastes atjaunīgās enerģijas jomā un izstrādātu jaunu elektroenerģijas tirdzniecības kārtību. Neraugoties uz izteikti tehnisko raksturu, dažās jomās tika panākts straujš progress, bet citās tas bija lēnāks. </w:t>
      </w:r>
    </w:p>
    <w:p w14:paraId="1D2B006F"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Elektroenerģijas un gāzes tirdzniecība starp Apvienoto Karalisti un ES 2022. gadā pieauga</w:t>
      </w:r>
      <w:r>
        <w:rPr>
          <w:rFonts w:ascii="Times New Roman" w:eastAsia="Times New Roman" w:hAnsi="Times New Roman" w:cs="Times New Roman"/>
          <w:noProof/>
          <w:sz w:val="24"/>
          <w:szCs w:val="24"/>
          <w:vertAlign w:val="superscript"/>
          <w:lang w:val="en-GB"/>
        </w:rPr>
        <w:footnoteReference w:id="28"/>
      </w:r>
      <w:r>
        <w:rPr>
          <w:rFonts w:ascii="Times New Roman" w:hAnsi="Times New Roman"/>
          <w:noProof/>
          <w:sz w:val="24"/>
        </w:rPr>
        <w:t xml:space="preserve"> saistībā ar enerģētikas krīzi, ko izraisīja Krievijas iebrukums Ukrainā, un elektroenerģijas ražošanas problēmām ES. </w:t>
      </w:r>
    </w:p>
    <w:p w14:paraId="15BC5820"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Saskaņā ar TSN noteikumiem par </w:t>
      </w:r>
      <w:r>
        <w:rPr>
          <w:rFonts w:ascii="Times New Roman" w:hAnsi="Times New Roman"/>
          <w:noProof/>
          <w:sz w:val="24"/>
          <w:u w:val="single"/>
        </w:rPr>
        <w:t>gāzes un elektroenerģijas piegādes drošību</w:t>
      </w:r>
      <w:r>
        <w:rPr>
          <w:rFonts w:ascii="Times New Roman" w:eastAsia="Times New Roman" w:hAnsi="Times New Roman" w:cs="Times New Roman"/>
          <w:noProof/>
          <w:sz w:val="24"/>
          <w:szCs w:val="24"/>
          <w:vertAlign w:val="superscript"/>
          <w:lang w:val="en-GB"/>
        </w:rPr>
        <w:footnoteReference w:id="29"/>
      </w:r>
      <w:r>
        <w:rPr>
          <w:rFonts w:ascii="Times New Roman" w:hAnsi="Times New Roman"/>
          <w:noProof/>
          <w:sz w:val="24"/>
        </w:rPr>
        <w:t xml:space="preserve"> Specializētās enerģētikas komitejas sanāksmē 2022. gada 28. septembrī ES apmainījās ar Apvienoto Karalisti ar vajadzīgo informāciju par elektroenerģijas un gāzes piegādes drošību.  Tomēr, lai gan šī informācijas apmaiņa ir noderīga, jāatgādina, ka Apvienotā Karaliste īsteno savu enerģētikas politiku, arī attiecībā uz piegādes drošību.</w:t>
      </w:r>
      <w:r>
        <w:rPr>
          <w:rFonts w:ascii="Times New Roman" w:hAnsi="Times New Roman"/>
          <w:noProof/>
          <w:sz w:val="24"/>
          <w:vertAlign w:val="superscript"/>
        </w:rPr>
        <w:t xml:space="preserve"> </w:t>
      </w:r>
      <w:r>
        <w:rPr>
          <w:rFonts w:ascii="Times New Roman" w:eastAsia="Times New Roman" w:hAnsi="Times New Roman" w:cs="Times New Roman"/>
          <w:noProof/>
          <w:sz w:val="24"/>
          <w:szCs w:val="24"/>
          <w:vertAlign w:val="superscript"/>
          <w:lang w:val="en-GB"/>
        </w:rPr>
        <w:footnoteReference w:id="30"/>
      </w:r>
      <w:r>
        <w:rPr>
          <w:rFonts w:ascii="Times New Roman" w:hAnsi="Times New Roman"/>
          <w:noProof/>
          <w:sz w:val="24"/>
        </w:rPr>
        <w:t xml:space="preserve"> </w:t>
      </w:r>
    </w:p>
    <w:p w14:paraId="758D8722"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Pamatojoties uz TSN 321. pantu, 2022. gada decembrī starp astoņām dalībvalstīm, Norvēģiju un Apvienoto Karalisti tika parakstīts saprašanās memorands par </w:t>
      </w:r>
      <w:r>
        <w:rPr>
          <w:rFonts w:ascii="Times New Roman" w:hAnsi="Times New Roman"/>
          <w:noProof/>
          <w:sz w:val="24"/>
          <w:u w:val="single"/>
        </w:rPr>
        <w:t>sadarbību atkrastes energoresursu enerģijas jomā</w:t>
      </w:r>
      <w:r>
        <w:rPr>
          <w:rFonts w:ascii="Times New Roman" w:hAnsi="Times New Roman"/>
          <w:noProof/>
          <w:sz w:val="24"/>
        </w:rPr>
        <w:t>, kas veicinās atjaunojamo energoresursu attīstību Ziemeļjūras reģionā un palīdzēs pusēm sasniegt to attiecīgos mērķus klimata pārmaiņu jomā</w:t>
      </w:r>
      <w:r>
        <w:rPr>
          <w:rFonts w:ascii="Times New Roman" w:eastAsia="Times New Roman" w:hAnsi="Times New Roman" w:cs="Times New Roman"/>
          <w:noProof/>
          <w:sz w:val="24"/>
          <w:szCs w:val="24"/>
          <w:vertAlign w:val="superscript"/>
          <w:lang w:val="en-GB"/>
        </w:rPr>
        <w:footnoteReference w:id="31"/>
      </w:r>
      <w:r>
        <w:rPr>
          <w:rFonts w:ascii="Times New Roman" w:hAnsi="Times New Roman"/>
          <w:noProof/>
          <w:sz w:val="24"/>
        </w:rPr>
        <w:t xml:space="preserve">. Ar šo saprašanās memorandu tiek izveidots forums tehniskām diskusijām ar Apvienoto Karalisti par atkrastes tīkla attīstīšanu un lielo atjaunīgās enerģijas potenciālu Ziemeļjūras reģionā.  </w:t>
      </w:r>
    </w:p>
    <w:p w14:paraId="51861671"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Attiecībā uz </w:t>
      </w:r>
      <w:r>
        <w:rPr>
          <w:rFonts w:ascii="Times New Roman" w:hAnsi="Times New Roman"/>
          <w:noProof/>
          <w:sz w:val="24"/>
          <w:u w:val="single"/>
        </w:rPr>
        <w:t>tirdzniecības kārtību elektroenerģijas plūsmām</w:t>
      </w:r>
      <w:r>
        <w:rPr>
          <w:rFonts w:ascii="Times New Roman" w:hAnsi="Times New Roman"/>
          <w:noProof/>
          <w:sz w:val="24"/>
        </w:rPr>
        <w:t xml:space="preserve"> starp ES un Apvienoto Karalisti, kas paredzēta TSN 312. pantā, Specializētā enerģētikas komiteja secināja, ka ir jāveic vēl vairāk darba, lai varētu pienācīgi analizēt iespējas izstrādāt šādu kārtību. Šajā nolūkā tā vienojās pieņemt ieteikumu, kurā abu pušu elektroenerģijas pārvades sistēmu operatoriem būtu lūgts sniegt papildu informāciju, lai varētu izveidot satvaru turpmākai elektroenerģijas tirdzniecībai. </w:t>
      </w:r>
    </w:p>
    <w:p w14:paraId="2017C6E4"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Turklāt saskaņā ar TSN 311. pantu Komisija apstiprināja daudzpusēju nolīgumu starp ES un Apvienotās Karalistes pārvades sistēmu operatoriem attiecībā uz kompensāciju par izmaksām, kas rodas, pārvadot pārrobežu elektroenerģijas plūsmas</w:t>
      </w:r>
      <w:r>
        <w:rPr>
          <w:rFonts w:ascii="Times New Roman" w:eastAsia="Times New Roman" w:hAnsi="Times New Roman" w:cs="Times New Roman"/>
          <w:noProof/>
          <w:sz w:val="24"/>
          <w:szCs w:val="24"/>
          <w:vertAlign w:val="superscript"/>
          <w:lang w:val="en-GB"/>
        </w:rPr>
        <w:footnoteReference w:id="32"/>
      </w:r>
      <w:r>
        <w:rPr>
          <w:rFonts w:ascii="Times New Roman" w:hAnsi="Times New Roman"/>
          <w:noProof/>
          <w:sz w:val="24"/>
        </w:rPr>
        <w:t>.</w:t>
      </w:r>
    </w:p>
    <w:p w14:paraId="4B35EA80" w14:textId="77777777" w:rsidR="006D1404" w:rsidRPr="006D1404" w:rsidRDefault="006D1404" w:rsidP="006D1404">
      <w:pPr>
        <w:keepNext/>
        <w:keepLines/>
        <w:numPr>
          <w:ilvl w:val="1"/>
          <w:numId w:val="29"/>
        </w:numPr>
        <w:spacing w:before="40" w:after="0"/>
        <w:outlineLvl w:val="1"/>
        <w:rPr>
          <w:rFonts w:asciiTheme="majorHAnsi" w:eastAsiaTheme="majorEastAsia" w:hAnsiTheme="majorHAnsi" w:cstheme="majorBidi"/>
          <w:noProof/>
          <w:color w:val="2E74B5" w:themeColor="accent1" w:themeShade="BF"/>
          <w:sz w:val="26"/>
          <w:szCs w:val="26"/>
        </w:rPr>
      </w:pPr>
      <w:bookmarkStart w:id="12" w:name="_Toc129180046"/>
      <w:r>
        <w:rPr>
          <w:rFonts w:asciiTheme="majorHAnsi" w:hAnsiTheme="majorHAnsi"/>
          <w:noProof/>
          <w:color w:val="2E74B5" w:themeColor="accent1" w:themeShade="BF"/>
          <w:sz w:val="26"/>
        </w:rPr>
        <w:t>Transports</w:t>
      </w:r>
      <w:bookmarkEnd w:id="12"/>
    </w:p>
    <w:p w14:paraId="6E7209E3" w14:textId="06815566" w:rsidR="006D1404" w:rsidRPr="006D1404" w:rsidRDefault="006D1404" w:rsidP="006D1404">
      <w:pPr>
        <w:spacing w:before="100" w:beforeAutospacing="1" w:after="100" w:afterAutospacing="1" w:line="240" w:lineRule="auto"/>
        <w:jc w:val="both"/>
        <w:rPr>
          <w:rFonts w:ascii="Times New Roman" w:eastAsia="Calibri" w:hAnsi="Times New Roman" w:cs="Times New Roman"/>
          <w:noProof/>
          <w:sz w:val="24"/>
          <w:szCs w:val="24"/>
        </w:rPr>
      </w:pPr>
      <w:r>
        <w:rPr>
          <w:rFonts w:ascii="Times New Roman" w:hAnsi="Times New Roman"/>
          <w:noProof/>
          <w:sz w:val="24"/>
        </w:rPr>
        <w:t xml:space="preserve">TSN īstenošana transporta, arī aviācijas, jomā bija vērsta uz pušu savstarpēji piešķirto tiesību iedarbīgu īstenošanu, un nekādu īstenošanas problēmu nebija. </w:t>
      </w:r>
    </w:p>
    <w:p w14:paraId="27F23E0E" w14:textId="77777777" w:rsidR="006D1404" w:rsidRPr="006D1404" w:rsidRDefault="006D1404" w:rsidP="006D1404">
      <w:pPr>
        <w:spacing w:before="100" w:beforeAutospacing="1" w:after="100" w:afterAutospacing="1" w:line="240" w:lineRule="auto"/>
        <w:jc w:val="both"/>
        <w:rPr>
          <w:rFonts w:ascii="Times New Roman" w:eastAsia="Calibri" w:hAnsi="Times New Roman" w:cs="Times New Roman"/>
          <w:noProof/>
          <w:sz w:val="24"/>
          <w:szCs w:val="24"/>
        </w:rPr>
      </w:pPr>
      <w:r>
        <w:rPr>
          <w:rFonts w:ascii="Times New Roman" w:hAnsi="Times New Roman"/>
          <w:noProof/>
          <w:sz w:val="24"/>
        </w:rPr>
        <w:t>Autotransporta jomā Specializētā autotransporta komiteja pieņēma lēmumu par tehniskajām un procesuālajām specifikācijām attiecībā uz to, kā Apvienotā Karaliste izmanto Iekšējā tirgus informācijas sistēmu</w:t>
      </w:r>
      <w:r>
        <w:rPr>
          <w:rFonts w:ascii="Times New Roman" w:eastAsia="Calibri" w:hAnsi="Times New Roman" w:cs="Times New Roman"/>
          <w:noProof/>
          <w:sz w:val="24"/>
          <w:szCs w:val="24"/>
          <w:vertAlign w:val="superscript"/>
          <w:lang w:val="en-GB"/>
        </w:rPr>
        <w:footnoteReference w:id="33"/>
      </w:r>
      <w:r>
        <w:rPr>
          <w:rFonts w:ascii="Times New Roman" w:hAnsi="Times New Roman"/>
          <w:noProof/>
          <w:sz w:val="24"/>
        </w:rPr>
        <w:t>. Šī sistēma ļauj elektroniski apstrādāt abu pušu pārvadātāju norīkojuma darbā deklarācijas. Apvienotā Karaliste veiks iemaksas budžetā IT rīka uzturēšanai.</w:t>
      </w:r>
    </w:p>
    <w:p w14:paraId="13436AD7" w14:textId="77777777" w:rsidR="006D1404" w:rsidRPr="006D1404" w:rsidRDefault="006D1404" w:rsidP="006D1404">
      <w:pPr>
        <w:spacing w:before="100" w:beforeAutospacing="1" w:after="100" w:afterAutospacing="1" w:line="240" w:lineRule="auto"/>
        <w:jc w:val="both"/>
        <w:rPr>
          <w:rFonts w:ascii="Times New Roman" w:eastAsia="Calibri" w:hAnsi="Times New Roman" w:cs="Times New Roman"/>
          <w:noProof/>
          <w:sz w:val="24"/>
          <w:szCs w:val="24"/>
        </w:rPr>
      </w:pPr>
      <w:r>
        <w:rPr>
          <w:rFonts w:ascii="Times New Roman" w:hAnsi="Times New Roman"/>
          <w:noProof/>
          <w:sz w:val="24"/>
        </w:rPr>
        <w:t>Gaisa transporta jomā sešas dalībvalstis (Beļģija, Ungārija, Īrija, Kipra, Grieķija un Francija) noslēdza divpusējus nolīgumus ar Apvienoto Karalisti saskaņā ar TSN 419. pantu. Turklāt Komisija apstiprināja nolīgumus starp Itāliju un Apvienoto Karalisti, kā arī Austriju un Apvienoto Karalisti, un paredzams, ka tie tiks noslēgti 2023. gadā.</w:t>
      </w:r>
    </w:p>
    <w:p w14:paraId="1C668616" w14:textId="77777777" w:rsidR="006D1404" w:rsidRPr="006D1404" w:rsidRDefault="006D1404" w:rsidP="006D1404">
      <w:pPr>
        <w:spacing w:before="100" w:beforeAutospacing="1" w:after="100" w:afterAutospacing="1" w:line="240" w:lineRule="auto"/>
        <w:jc w:val="both"/>
        <w:rPr>
          <w:rFonts w:ascii="Times New Roman" w:eastAsia="Calibri" w:hAnsi="Times New Roman" w:cs="Times New Roman"/>
          <w:noProof/>
          <w:sz w:val="24"/>
          <w:szCs w:val="24"/>
        </w:rPr>
      </w:pPr>
      <w:r>
        <w:rPr>
          <w:rFonts w:ascii="Times New Roman" w:hAnsi="Times New Roman"/>
          <w:noProof/>
          <w:sz w:val="24"/>
        </w:rPr>
        <w:t>Aviācijas drošuma jomā Eiropas Savienības Aviācijas drošības aģentūra apstiprināja 11 no 14 Apvienotās Karalistes Civilās aviācijas iestādes izdoto sertifikātu validēšanas pieteikumiem, pamatojoties uz TSN 446. pantu saistībā ar 30. pielikumu.  Apvienotās Karalistes iestādes validēja sešus no divpadsmit ES pieteikumu iesniedzēju iesniegtajiem projektiem attiecībā uz izmaiņām pastāvošajos dizainparaugos. Šie skaitļi atbilst paredzamajam validācijas darba apjomam.</w:t>
      </w:r>
    </w:p>
    <w:p w14:paraId="2432B483" w14:textId="77777777" w:rsidR="006D1404" w:rsidRPr="006D1404" w:rsidRDefault="006D1404" w:rsidP="006D1404">
      <w:pPr>
        <w:spacing w:before="100" w:beforeAutospacing="1" w:after="100" w:afterAutospacing="1" w:line="240" w:lineRule="auto"/>
        <w:jc w:val="both"/>
        <w:rPr>
          <w:rFonts w:ascii="Times New Roman" w:eastAsia="Calibri" w:hAnsi="Times New Roman" w:cs="Times New Roman"/>
          <w:noProof/>
          <w:sz w:val="24"/>
          <w:szCs w:val="24"/>
        </w:rPr>
      </w:pPr>
      <w:r>
        <w:rPr>
          <w:rFonts w:ascii="Times New Roman" w:hAnsi="Times New Roman"/>
          <w:noProof/>
          <w:sz w:val="24"/>
        </w:rPr>
        <w:t>Visbeidzot, lai gan tas nav tieši saistīts ar TSN, Komisija pieņēma Īstenošanas lēmumu</w:t>
      </w:r>
      <w:r>
        <w:rPr>
          <w:rFonts w:ascii="Times New Roman" w:eastAsia="Calibri" w:hAnsi="Times New Roman" w:cs="Times New Roman"/>
          <w:noProof/>
          <w:sz w:val="24"/>
          <w:szCs w:val="24"/>
          <w:vertAlign w:val="superscript"/>
          <w:lang w:val="en-GB"/>
        </w:rPr>
        <w:footnoteReference w:id="34"/>
      </w:r>
      <w:r>
        <w:rPr>
          <w:rFonts w:ascii="Times New Roman" w:hAnsi="Times New Roman"/>
          <w:noProof/>
          <w:sz w:val="24"/>
        </w:rPr>
        <w:t xml:space="preserve"> par Apvienotās Karalistes atzīšanu saskaņā ar Direktīvu (ES) 2022/993 attiecībā uz jūrnieku sagatavošanas un sertificēšanas sistēmu pēc tam, kad tā bija konstatējusi, ka ir izpildītas visas sagatavošanas un sertifikācijas prasības, kas noteiktas Starptautiskajā konvencijā par jūrnieku sagatavošanas, sertificēšanas un sardzes pildīšanas standartiem</w:t>
      </w:r>
      <w:r>
        <w:rPr>
          <w:rFonts w:ascii="Times New Roman" w:eastAsia="Calibri" w:hAnsi="Times New Roman" w:cs="Times New Roman"/>
          <w:noProof/>
          <w:sz w:val="24"/>
          <w:szCs w:val="24"/>
          <w:vertAlign w:val="superscript"/>
          <w:lang w:val="en-GB"/>
        </w:rPr>
        <w:footnoteReference w:id="35"/>
      </w:r>
      <w:r>
        <w:rPr>
          <w:rFonts w:ascii="Times New Roman" w:hAnsi="Times New Roman"/>
          <w:noProof/>
          <w:sz w:val="24"/>
        </w:rPr>
        <w:t>. Tā arī apstiprināja nolīgumu starp Franciju un Apvienoto Karalisti par drošības sertifikāciju attiecībā uz dzelzceļa transporta pakalpojumiem pa Eirotuneli (“Lamanša pastāvīgais savienojums”)</w:t>
      </w:r>
      <w:r>
        <w:rPr>
          <w:rFonts w:ascii="Times New Roman" w:hAnsi="Times New Roman" w:cs="Times New Roman"/>
          <w:noProof/>
          <w:sz w:val="24"/>
          <w:szCs w:val="24"/>
          <w:vertAlign w:val="superscript"/>
        </w:rPr>
        <w:footnoteReference w:id="36"/>
      </w:r>
      <w:r>
        <w:rPr>
          <w:rFonts w:ascii="Times New Roman" w:hAnsi="Times New Roman"/>
          <w:noProof/>
          <w:sz w:val="24"/>
        </w:rPr>
        <w:t xml:space="preserve">. </w:t>
      </w:r>
    </w:p>
    <w:p w14:paraId="4843DA1C" w14:textId="77777777" w:rsidR="006D1404" w:rsidRPr="006D1404" w:rsidRDefault="006D1404" w:rsidP="006D1404">
      <w:pPr>
        <w:keepNext/>
        <w:keepLines/>
        <w:numPr>
          <w:ilvl w:val="1"/>
          <w:numId w:val="29"/>
        </w:numPr>
        <w:spacing w:before="40" w:after="0"/>
        <w:outlineLvl w:val="1"/>
        <w:rPr>
          <w:rFonts w:asciiTheme="majorHAnsi" w:eastAsiaTheme="majorEastAsia" w:hAnsiTheme="majorHAnsi" w:cstheme="majorBidi"/>
          <w:noProof/>
          <w:color w:val="2E74B5" w:themeColor="accent1" w:themeShade="BF"/>
          <w:sz w:val="26"/>
          <w:szCs w:val="26"/>
        </w:rPr>
      </w:pPr>
      <w:bookmarkStart w:id="13" w:name="_Toc129180047"/>
      <w:r>
        <w:rPr>
          <w:rFonts w:asciiTheme="majorHAnsi" w:hAnsiTheme="majorHAnsi"/>
          <w:noProof/>
          <w:color w:val="2E74B5" w:themeColor="accent1" w:themeShade="BF"/>
          <w:sz w:val="26"/>
        </w:rPr>
        <w:t>Zvejniecība</w:t>
      </w:r>
      <w:bookmarkEnd w:id="13"/>
    </w:p>
    <w:p w14:paraId="6E1339D0"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Turpinājās centieni nodrošināt TSN pilnīgu īstenošanu zvejniecības nozarē. Lai gan dažās jomās ir panākts labs progress, daži svarīgi jautājumi joprojām nav atrisināti.</w:t>
      </w:r>
    </w:p>
    <w:p w14:paraId="729DD200"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Neraugoties uz būtiskām problēmām, Komisija ir guvusi nozīmīgus panākumus pieprasīto licenču ieguvē vairākiem atbilstīgajiem kuģiem, lai tie varētu zvejot Apvienotās Karalistes un kroņa teritoriju ūdeņos, saskaņā ar TSN 38. protokolu un 502. panta 1. punktu. 2022. gadā gandrīz 1600 ES kuģu turpināja piekļūt Apvienotās Karalistes ekskluzīvajai ekonomikas zonai un 151 ES kuģim bija piekļuve teritoriālajiem ūdeņiem. Turklāt 138 Francijas laivas bija licencētas zvejot ap Džērsiju un 44 laivas — ap Gērnsiju. Neskatoties uz šo progresu, joprojām pastāv būtiskas problēmas.  Proti, 2022. gada otrajā pusē ES, Apvienotā Karaliste, Džērsija un Gērnsija rīkoja intensīvas diskusijas par licencēto zvejas kuģu piekļuves līmeni. </w:t>
      </w:r>
    </w:p>
    <w:p w14:paraId="2B8E4A81" w14:textId="77777777" w:rsid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Komisija uzraudzīja pārvaldības pasākumus, par kuriem Apvienotā Karaliste bija paziņojusi saskaņā ar TSN 496. panta 3. punktu, ņemot vērā Apvienotās Karalistes saistības, kas tai noteiktas TSN. Lai gan Komisija atzīst katras puses regulatīvo autonomiju, tā pauž nožēlu, ka nepietiekamā saziņa par vairākiem pasākumiem radīja Komisijai grūtības rezultatīvi sadarboties ar Apvienotās Karalistes iestādēm, mazinot tās spēju sniegt piezīmes un lūgt paskaidrojumus saskaņā ar TSN.</w:t>
      </w:r>
    </w:p>
    <w:p w14:paraId="0CCCFE20"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Decembrī ES un Apvienotā Karaliste pabeidza ikgadējās apspriedes, kurās noteica kopējo pieļaujamo nozveju kopīgajiem krājumiem 2023. gadā. Puses panāca visaptverošu vienošanos, kas aptver visus krājumus, tādējādi nodrošinot ES flotei zvejas iespējas vairāk nekā 350 000 tonnu apmērā, kuru aplēstā vērtība ir aptuveni 1 miljards EUR, pamatojoties uz vēsturiskajām izkraušanas cenām, kas koriģētas, ņemot vērā inflāciju. </w:t>
      </w:r>
    </w:p>
    <w:p w14:paraId="2F3DBB23" w14:textId="77777777" w:rsidR="006D1404" w:rsidRPr="006D1404" w:rsidRDefault="006D1404" w:rsidP="006D1404">
      <w:pPr>
        <w:keepNext/>
        <w:keepLines/>
        <w:numPr>
          <w:ilvl w:val="1"/>
          <w:numId w:val="29"/>
        </w:numPr>
        <w:spacing w:before="40" w:after="0"/>
        <w:outlineLvl w:val="1"/>
        <w:rPr>
          <w:rFonts w:asciiTheme="majorHAnsi" w:eastAsiaTheme="majorEastAsia" w:hAnsiTheme="majorHAnsi" w:cstheme="majorBidi"/>
          <w:noProof/>
          <w:color w:val="2E74B5" w:themeColor="accent1" w:themeShade="BF"/>
          <w:sz w:val="26"/>
          <w:szCs w:val="26"/>
        </w:rPr>
      </w:pPr>
      <w:bookmarkStart w:id="14" w:name="_Toc129180048"/>
      <w:r>
        <w:rPr>
          <w:rFonts w:asciiTheme="majorHAnsi" w:hAnsiTheme="majorHAnsi"/>
          <w:noProof/>
          <w:color w:val="2E74B5" w:themeColor="accent1" w:themeShade="BF"/>
          <w:sz w:val="26"/>
        </w:rPr>
        <w:t>Sociālā nodrošinājuma koordinācija</w:t>
      </w:r>
      <w:bookmarkEnd w:id="14"/>
    </w:p>
    <w:p w14:paraId="6E40F951"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TSN īstenošana sociālā nodrošinājuma koordinācijas jomā problēmas nesagādāja. Strukturālas problēmas netika konstatētas.</w:t>
      </w:r>
    </w:p>
    <w:p w14:paraId="4DA97CD4"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Tika veikti sagatavošanās pasākumi, lai īstenotu finanšu noteikumus attiecībā uz tādu slimības pabalstu natūrā izmaksu atlīdzināšanu, kurus piešķīrusi valsts, kas nav kompetentā valsts. Puses arī pārbaudīja sociālā nodrošinājuma informācijas elektroniskās apmaiņas izmantošanu saistībā ar protokolu, kā arī to, vai ir piemērojami attiecīgie lēmumi un ieteikumi, ko pieņēmusi Administratīvā komisija sociālās nodrošināšanas sistēmu koordinācijai. </w:t>
      </w:r>
    </w:p>
    <w:p w14:paraId="7A26BA23" w14:textId="77777777" w:rsidR="006D1404" w:rsidRPr="006D1404" w:rsidRDefault="006D1404" w:rsidP="006D1404">
      <w:pPr>
        <w:keepNext/>
        <w:keepLines/>
        <w:numPr>
          <w:ilvl w:val="1"/>
          <w:numId w:val="29"/>
        </w:numPr>
        <w:spacing w:before="40" w:after="0"/>
        <w:outlineLvl w:val="1"/>
        <w:rPr>
          <w:rFonts w:asciiTheme="majorHAnsi" w:eastAsiaTheme="majorEastAsia" w:hAnsiTheme="majorHAnsi" w:cstheme="majorBidi"/>
          <w:noProof/>
          <w:color w:val="2E74B5" w:themeColor="accent1" w:themeShade="BF"/>
          <w:sz w:val="26"/>
          <w:szCs w:val="26"/>
        </w:rPr>
      </w:pPr>
      <w:bookmarkStart w:id="15" w:name="_Toc129180049"/>
      <w:r>
        <w:rPr>
          <w:rFonts w:asciiTheme="majorHAnsi" w:hAnsiTheme="majorHAnsi"/>
          <w:noProof/>
          <w:color w:val="2E74B5" w:themeColor="accent1" w:themeShade="BF"/>
          <w:sz w:val="26"/>
        </w:rPr>
        <w:t>Tiesībaizsardzības un tiesu iestāžu sadarbība krimināllietās</w:t>
      </w:r>
      <w:bookmarkEnd w:id="15"/>
    </w:p>
    <w:p w14:paraId="3ABFCAD9"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Tiesībaizsardzības un tiesu iestāžu sadarbības jomā TSN kopumā darbojās labi un tika panākts progress atlikušo īstenošanas jautājumu risināšanā. </w:t>
      </w:r>
    </w:p>
    <w:p w14:paraId="6AD5C3AA"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Pēc Apvienotās Karalistes izvērtēšanas ES paziņoja, ka no 2022. gada 30. jūnija dalībvalstis var sniegt Apvienotajai Karalistei personas datus, kas saistīti ar DNS profiliem un daktiloskopiskajiem datiem (t. i., pirkstu nospiedumiem), saskaņā ar TSN 530. un 534. pantu</w:t>
      </w:r>
      <w:r>
        <w:rPr>
          <w:rFonts w:ascii="Times New Roman" w:eastAsia="Times New Roman" w:hAnsi="Times New Roman" w:cs="Times New Roman"/>
          <w:noProof/>
          <w:sz w:val="24"/>
          <w:szCs w:val="24"/>
          <w:vertAlign w:val="superscript"/>
        </w:rPr>
        <w:footnoteReference w:id="37"/>
      </w:r>
      <w:r>
        <w:rPr>
          <w:rFonts w:ascii="Times New Roman" w:hAnsi="Times New Roman"/>
          <w:noProof/>
          <w:sz w:val="24"/>
        </w:rPr>
        <w:t>. Līdz 2022. gada beigām 15 dalībvalstis un Apvienotā Karaliste bija devušas viena otrai piekļuvi savām valsts DNS datubāzēm automatizētai meklēšanai, un 5 dalībvalstis un Apvienotā Karaliste tā rīkojās attiecībā uz pirkstu nospiedumiem.</w:t>
      </w:r>
    </w:p>
    <w:p w14:paraId="25C052FC"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Turklāt TSN ir juridiskais pamats gaisa pārvadātāju veiktai pasažieru datu reģistra (PDR) datu pārsūtīšanai Apvienotajai Karalistei attiecībā uz lidojumiem starp ES un Apvienoto Karalisti. Tas reglamentē PDR datu apstrādi un izmantošanu, ko veic Apvienotās Karalistes kompetentās iestādes, un pieprasa Apvienotajai Karalistei dzēst PDR datus pēc pasažieru izbraukšanas no valsts, ja vien riska novērtējumā nav norādīts, ka šādi dati ir jāsaglabā. Ņemot vērā īpašos apstākļus, kas liedza Apvienotajai Karalistei veikt nepieciešamās tehniskās korekcijas, Apvienotajai Karalistei tika atļauts atkāpties no šā pienākuma uz vienu gadu pēc TSN stāšanās spēkā, un šis pagaidu posms 2021. gada decembrī tika pagarināts par vienu gadu</w:t>
      </w:r>
      <w:r>
        <w:rPr>
          <w:rFonts w:ascii="Times New Roman" w:eastAsia="Times New Roman" w:hAnsi="Times New Roman" w:cs="Times New Roman"/>
          <w:noProof/>
          <w:sz w:val="24"/>
          <w:szCs w:val="24"/>
          <w:vertAlign w:val="superscript"/>
        </w:rPr>
        <w:footnoteReference w:id="38"/>
      </w:r>
      <w:r>
        <w:rPr>
          <w:rFonts w:ascii="Times New Roman" w:hAnsi="Times New Roman"/>
          <w:noProof/>
          <w:sz w:val="24"/>
        </w:rPr>
        <w:t>. Partnerības padome 2022. gada 21. decembrī, izskatījusi Apvienotās Karalistes sniegto informāciju par piemērojamajiem aizsardzības pasākumiem un darbībām, kas veiktas, lai varētu dzēst datus, nolēma pēdējo reizi pagarināt pagaidu posmu par vēl vienu gadu, pamatojoties uz TSN 552. panta 13. punktu</w:t>
      </w:r>
      <w:r>
        <w:rPr>
          <w:rFonts w:ascii="Times New Roman" w:eastAsia="Times New Roman" w:hAnsi="Times New Roman" w:cs="Times New Roman"/>
          <w:noProof/>
          <w:sz w:val="24"/>
          <w:szCs w:val="24"/>
          <w:vertAlign w:val="superscript"/>
        </w:rPr>
        <w:footnoteReference w:id="39"/>
      </w:r>
      <w:r>
        <w:rPr>
          <w:rFonts w:ascii="Times New Roman" w:hAnsi="Times New Roman"/>
          <w:noProof/>
          <w:sz w:val="24"/>
        </w:rPr>
        <w:t>.</w:t>
      </w:r>
    </w:p>
    <w:p w14:paraId="5E3C5BB2" w14:textId="77777777" w:rsidR="006D1404" w:rsidRPr="006D1404" w:rsidRDefault="006D1404" w:rsidP="006D1404">
      <w:pPr>
        <w:keepNext/>
        <w:keepLines/>
        <w:numPr>
          <w:ilvl w:val="1"/>
          <w:numId w:val="29"/>
        </w:numPr>
        <w:spacing w:before="40" w:after="0"/>
        <w:outlineLvl w:val="1"/>
        <w:rPr>
          <w:rFonts w:asciiTheme="majorHAnsi" w:eastAsiaTheme="majorEastAsia" w:hAnsiTheme="majorHAnsi" w:cstheme="majorBidi"/>
          <w:noProof/>
          <w:color w:val="2E74B5" w:themeColor="accent1" w:themeShade="BF"/>
          <w:sz w:val="26"/>
          <w:szCs w:val="26"/>
        </w:rPr>
      </w:pPr>
      <w:bookmarkStart w:id="16" w:name="_Toc129180050"/>
      <w:r>
        <w:rPr>
          <w:rFonts w:asciiTheme="majorHAnsi" w:hAnsiTheme="majorHAnsi"/>
          <w:noProof/>
          <w:color w:val="2E74B5" w:themeColor="accent1" w:themeShade="BF"/>
          <w:sz w:val="26"/>
        </w:rPr>
        <w:t>Dalība Savienības programmās</w:t>
      </w:r>
      <w:bookmarkEnd w:id="16"/>
    </w:p>
    <w:p w14:paraId="4C96A6D0"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TSN ļauj Apvienotajai Karalistei kā asociētajai valstij piedalīties konkrētās Savienības programmās, ieskaitot pamatprogrammu “Apvārsnis Eiropa”, ar nosacījumu, ka tiek pieņemti divpusēji protokoli un tiek veiktas finanšu iemaksas. Tomēr TSN nav paredzēts saistošs laikposms vai precīzs termiņš Apvienotās Karalistes kļūšanai par asociēto valsti.</w:t>
      </w:r>
    </w:p>
    <w:p w14:paraId="4A8A49A9"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Lai gan ES atzīst ieguvumus, ko sniedz sadarbība zinātnes, pētniecības un inovācijas jomā ar trešām valstīm, Apvienotās Karalistes kļūšanai par asociēto valsti nepieciešamos protokolus 2022. gadā nevarēja pieņemt, ņemot vērā ievērojamās grūtības Izstāšanās līguma īstenošanā. Saskaņā ar TSN reglamentu Apvienotā Karaliste pieprasīja apspriešanos, kas notika Specializētās komitejas par dalību Savienības programmās sanāksmē, kura notika 2022. gada 22. septembrī. Saskaņā ar TSN īstenotais apspriešanās process tika pabeigts šajā posmā.</w:t>
      </w:r>
    </w:p>
    <w:p w14:paraId="3638B8E7"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Tā kā Apvienotā Karaliste nav asociētā valsts, tās subjekti varēja piedalīties dažās programmās, nebūdami tiesīgi saņemt Savienības finansējumu. Turklāt minētie subjekti varēja gūt labumu no Komisijas ieviestajiem “pārejas pasākumiem”, ko piemēro potenciālajiem dalībniekiem no trešām valstīm (piemēram, Apvienotās Karalistes), kuras ir kandidāti kļūšanai par konkrētu programmu, tostarp pamatprogrammas “Apvārsnis Eiropa”, asociētajām valstīm. Tāpēc uzaicinājumos iesniegt priekšlikumus priekšlikumi tika izvērtēti saskaņā ar tādiem pašiem nosacījumiem kā attiecībā uz asociētajām valstīm. Tomēr, lai varētu parakstīt dotāciju nolīgumus un finansēt Apvienotās Karalistes subjektus, Apvienotajai Karalistei ir jākļūst par pamatprogrammas “Apvārsnis Eiropa” asociēto valsti. Apvienotajā Karalistē reģistrēto subjektu pieteikumi veidoja 6,53 % no atbalsttiesīgajiem pieteikumiem, kas saņemti līdz 2022. gada 5. decembrim. </w:t>
      </w:r>
    </w:p>
    <w:p w14:paraId="391A4DF6"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Komisija cer, ka grūtības tiks novērstas un Apvienotā Karaliste varēs kļūt par asociēto valsti konkrētās Savienības programmās.</w:t>
      </w:r>
    </w:p>
    <w:p w14:paraId="412D9A41" w14:textId="77777777" w:rsidR="006D1404" w:rsidRPr="006D1404" w:rsidRDefault="006D1404" w:rsidP="006D1404">
      <w:pPr>
        <w:keepNext/>
        <w:keepLines/>
        <w:numPr>
          <w:ilvl w:val="0"/>
          <w:numId w:val="29"/>
        </w:numPr>
        <w:spacing w:before="240" w:beforeAutospacing="1" w:after="0" w:afterAutospacing="1" w:line="240" w:lineRule="auto"/>
        <w:jc w:val="both"/>
        <w:outlineLvl w:val="0"/>
        <w:rPr>
          <w:rFonts w:asciiTheme="majorHAnsi" w:eastAsiaTheme="majorEastAsia" w:hAnsiTheme="majorHAnsi" w:cstheme="majorBidi"/>
          <w:noProof/>
          <w:color w:val="2E74B5" w:themeColor="accent1" w:themeShade="BF"/>
          <w:sz w:val="28"/>
          <w:szCs w:val="28"/>
        </w:rPr>
      </w:pPr>
      <w:bookmarkStart w:id="17" w:name="_Toc129180051"/>
      <w:r>
        <w:rPr>
          <w:rFonts w:asciiTheme="majorHAnsi" w:hAnsiTheme="majorHAnsi"/>
          <w:noProof/>
          <w:color w:val="2E74B5" w:themeColor="accent1" w:themeShade="BF"/>
          <w:sz w:val="28"/>
        </w:rPr>
        <w:t>Pārskats par sūdzībām</w:t>
      </w:r>
      <w:r>
        <w:rPr>
          <w:rFonts w:asciiTheme="majorHAnsi" w:eastAsiaTheme="majorEastAsia" w:hAnsiTheme="majorHAnsi" w:cstheme="majorBidi"/>
          <w:noProof/>
          <w:color w:val="2E74B5" w:themeColor="accent1" w:themeShade="BF"/>
          <w:sz w:val="28"/>
          <w:szCs w:val="28"/>
          <w:vertAlign w:val="superscript"/>
        </w:rPr>
        <w:footnoteReference w:id="40"/>
      </w:r>
      <w:bookmarkEnd w:id="17"/>
    </w:p>
    <w:p w14:paraId="0D8378D2"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TSN noslēgšanas brīdī Komisija apņēmās izveidot centralizētus rīkus sūdzību iesniegšanai, ņemot vērā TSN aptvertās jomas. Lai izpildītu šo apņemšanos, 2021. gadā tika izstrādāta centrālā sūdzību anketa, kas darbojas visās ES oficiālajās valodās</w:t>
      </w:r>
      <w:r>
        <w:rPr>
          <w:rFonts w:ascii="Times New Roman" w:eastAsia="Times New Roman" w:hAnsi="Times New Roman" w:cs="Times New Roman"/>
          <w:noProof/>
          <w:sz w:val="24"/>
          <w:szCs w:val="24"/>
          <w:vertAlign w:val="superscript"/>
        </w:rPr>
        <w:footnoteReference w:id="41"/>
      </w:r>
      <w:r>
        <w:rPr>
          <w:rFonts w:ascii="Times New Roman" w:hAnsi="Times New Roman"/>
          <w:noProof/>
          <w:sz w:val="24"/>
        </w:rPr>
        <w:t xml:space="preserve">. </w:t>
      </w:r>
    </w:p>
    <w:p w14:paraId="07BED587"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2022. gadā ar iepriekš minētā rīka starpniecību netika saņemta neviena sūdzība. Komisija gan reģistrēja piecus iesniegumus, taču tie nebija saistīti ar TSN īstenošanu. Komisijas dienesti sazinājās ar iesniegumu sūtītājiem un sniedza vajadzīgo informāciju. </w:t>
      </w:r>
    </w:p>
    <w:p w14:paraId="3F12493A" w14:textId="77777777" w:rsidR="006D1404" w:rsidRPr="006D1404" w:rsidRDefault="006D1404" w:rsidP="006D1404">
      <w:pPr>
        <w:keepNext/>
        <w:keepLines/>
        <w:numPr>
          <w:ilvl w:val="0"/>
          <w:numId w:val="29"/>
        </w:numPr>
        <w:spacing w:before="100" w:beforeAutospacing="1" w:after="100" w:afterAutospacing="1" w:line="240" w:lineRule="auto"/>
        <w:ind w:left="851" w:hanging="567"/>
        <w:outlineLvl w:val="0"/>
        <w:rPr>
          <w:rFonts w:asciiTheme="majorHAnsi" w:eastAsiaTheme="majorEastAsia" w:hAnsiTheme="majorHAnsi" w:cstheme="majorBidi"/>
          <w:noProof/>
          <w:color w:val="2E74B5" w:themeColor="accent1" w:themeShade="BF"/>
          <w:sz w:val="28"/>
          <w:szCs w:val="28"/>
        </w:rPr>
      </w:pPr>
      <w:bookmarkStart w:id="18" w:name="_Toc86154517"/>
      <w:bookmarkStart w:id="19" w:name="_Toc129180052"/>
      <w:r>
        <w:rPr>
          <w:rFonts w:asciiTheme="majorHAnsi" w:hAnsiTheme="majorHAnsi"/>
          <w:noProof/>
          <w:color w:val="2E74B5" w:themeColor="accent1" w:themeShade="BF"/>
          <w:sz w:val="28"/>
        </w:rPr>
        <w:t>Apvienotās Karalistes</w:t>
      </w:r>
      <w:bookmarkEnd w:id="18"/>
      <w:r>
        <w:rPr>
          <w:rFonts w:asciiTheme="majorHAnsi" w:hAnsiTheme="majorHAnsi"/>
          <w:noProof/>
          <w:color w:val="2E74B5" w:themeColor="accent1" w:themeShade="BF"/>
          <w:sz w:val="28"/>
        </w:rPr>
        <w:t xml:space="preserve"> tiesību aktu attīstība</w:t>
      </w:r>
      <w:bookmarkEnd w:id="19"/>
    </w:p>
    <w:p w14:paraId="3B8FFDDA"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Brīvība atkāpties no ES noteikumiem un politikas nostādnēm bija viens no iemesliem, kāpēc Apvienotā Karaliste izstājās no ES. Pēc izstāšanās Apvienotā Karaliste paziņoja par plašu regulējuma reformu. Kabineta birojs (</w:t>
      </w:r>
      <w:r>
        <w:rPr>
          <w:rFonts w:ascii="Times New Roman" w:hAnsi="Times New Roman"/>
          <w:i/>
          <w:noProof/>
          <w:sz w:val="24"/>
        </w:rPr>
        <w:t>Cabinet Office</w:t>
      </w:r>
      <w:r>
        <w:rPr>
          <w:rFonts w:ascii="Times New Roman" w:hAnsi="Times New Roman"/>
          <w:noProof/>
          <w:sz w:val="24"/>
        </w:rPr>
        <w:t>) 2022. gada janvārī publicēja ziņojumu, kurā noteikti turpmākās regulatīvās politikas pamatprincipi</w:t>
      </w:r>
      <w:r>
        <w:rPr>
          <w:rFonts w:ascii="Times New Roman" w:eastAsia="Times New Roman" w:hAnsi="Times New Roman" w:cs="Times New Roman"/>
          <w:noProof/>
          <w:sz w:val="24"/>
          <w:szCs w:val="24"/>
          <w:vertAlign w:val="superscript"/>
        </w:rPr>
        <w:footnoteReference w:id="42"/>
      </w:r>
      <w:r>
        <w:rPr>
          <w:rFonts w:ascii="Times New Roman" w:hAnsi="Times New Roman"/>
          <w:noProof/>
          <w:sz w:val="24"/>
        </w:rPr>
        <w:t>.</w:t>
      </w:r>
    </w:p>
    <w:p w14:paraId="1E0A6E7C"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Komisijas dienesti visu 2022. gadu uzraudzīja regulatīvās norises Apvienotajā Karalistē, lai noteiktu, vai tās rada neatbilstības Tirdzniecības un sadarbības nolīgumam risku, jo īpaši jomās, kas attiecas uz vienlīdzīgiem apstākļiem. </w:t>
      </w:r>
    </w:p>
    <w:p w14:paraId="113D602B"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Lai gan Apvienotā Karaliste 2022. gadā nāca klajā ar vairākiem paziņojumiem, tika pieņemti tikai daži tiesību akti. ES tiesību aktu un standartu aizstāšana ar vietējiem tiesību aktiem un standartiem praksē ir patiesi sarežģīts uzdevums, kā to ir atzinis Apvienotās Karalistes Valsts revīzijas birojs (</w:t>
      </w:r>
      <w:r>
        <w:rPr>
          <w:rFonts w:ascii="Times New Roman" w:hAnsi="Times New Roman"/>
          <w:i/>
          <w:iCs/>
          <w:noProof/>
          <w:sz w:val="24"/>
        </w:rPr>
        <w:t>National Audit Office</w:t>
      </w:r>
      <w:r>
        <w:rPr>
          <w:rFonts w:ascii="Times New Roman" w:hAnsi="Times New Roman"/>
          <w:noProof/>
          <w:sz w:val="24"/>
        </w:rPr>
        <w:t>)</w:t>
      </w:r>
      <w:r>
        <w:rPr>
          <w:rFonts w:ascii="Times New Roman" w:eastAsia="Times New Roman" w:hAnsi="Times New Roman" w:cs="Times New Roman"/>
          <w:noProof/>
          <w:sz w:val="24"/>
          <w:szCs w:val="24"/>
          <w:vertAlign w:val="superscript"/>
        </w:rPr>
        <w:footnoteReference w:id="43"/>
      </w:r>
      <w:r>
        <w:rPr>
          <w:rFonts w:ascii="Times New Roman" w:hAnsi="Times New Roman"/>
          <w:noProof/>
          <w:sz w:val="24"/>
        </w:rPr>
        <w:t xml:space="preserve"> un Pārstāvju palātas Publisko finanšu komisija (</w:t>
      </w:r>
      <w:r>
        <w:rPr>
          <w:rFonts w:ascii="Times New Roman" w:hAnsi="Times New Roman"/>
          <w:i/>
          <w:iCs/>
          <w:noProof/>
          <w:sz w:val="24"/>
        </w:rPr>
        <w:t>House of Commons Committee of Public Accounts</w:t>
      </w:r>
      <w:r>
        <w:rPr>
          <w:rFonts w:ascii="Times New Roman" w:hAnsi="Times New Roman"/>
          <w:noProof/>
          <w:sz w:val="24"/>
        </w:rPr>
        <w:t>)</w:t>
      </w:r>
      <w:r>
        <w:rPr>
          <w:rFonts w:ascii="Times New Roman" w:eastAsia="Times New Roman" w:hAnsi="Times New Roman" w:cs="Times New Roman"/>
          <w:noProof/>
          <w:sz w:val="24"/>
          <w:szCs w:val="24"/>
          <w:vertAlign w:val="superscript"/>
        </w:rPr>
        <w:footnoteReference w:id="44"/>
      </w:r>
      <w:r>
        <w:rPr>
          <w:rFonts w:ascii="Times New Roman" w:hAnsi="Times New Roman"/>
          <w:noProof/>
          <w:sz w:val="24"/>
        </w:rPr>
        <w:t xml:space="preserve">. Izvērtējot dažu regulatīvo aģentūru ilgtermiņa regulatīvo stratēģiju un darbības spējas, abas struktūras secināja, ka izstāšanās no ES ir būtiski ietekmējusi Apvienotās Karalistes regulatorus, kuri ir uzņēmušies jaunus pienākumus, ko iepriekš veica ES iestādes, un vienlaikus zaudējuši piekļuvi ES datu apmaiņas un sadarbības mehānismiem. </w:t>
      </w:r>
    </w:p>
    <w:p w14:paraId="7A9F1248"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Nākamajā iedaļā ir apkopotas izmaiņas attiecīgajos Apvienotās Karalistes transversāla rakstura tiesību aktos (5.1. iedaļa) un tiesību aktos, kas attiecas uz vienlīdzīgiem apstākļiem (5.2. iedaļa), aplūkojot svarīgākos tiesību aktu priekšlikumus (likumprojektus) un pieņemtos tiesību aktus. Attiecībā uz pieņemtajiem tiesību aktiem ziņojumā uzsvērta to nozīme no TSN viedokļa. Ministru paziņojumi par plānoto politiku, kā arī sabiedriskās apspriešanas netiek izskatītas. Lai gan tie var norādīt politikas virzienu, būtu pāragri izdarīt secinājumus, pamatojoties uz tiem.  </w:t>
      </w:r>
    </w:p>
    <w:p w14:paraId="438D4AFE" w14:textId="77777777" w:rsidR="006D1404" w:rsidRPr="006D1404" w:rsidRDefault="006D1404" w:rsidP="006D1404">
      <w:pPr>
        <w:keepNext/>
        <w:keepLines/>
        <w:numPr>
          <w:ilvl w:val="1"/>
          <w:numId w:val="29"/>
        </w:numPr>
        <w:spacing w:before="40" w:after="0"/>
        <w:outlineLvl w:val="1"/>
        <w:rPr>
          <w:rFonts w:asciiTheme="majorHAnsi" w:eastAsiaTheme="majorEastAsia" w:hAnsiTheme="majorHAnsi" w:cstheme="majorBidi"/>
          <w:noProof/>
          <w:color w:val="2E74B5" w:themeColor="accent1" w:themeShade="BF"/>
          <w:sz w:val="26"/>
          <w:szCs w:val="26"/>
        </w:rPr>
      </w:pPr>
      <w:bookmarkStart w:id="20" w:name="_Toc129180053"/>
      <w:r>
        <w:rPr>
          <w:rFonts w:asciiTheme="majorHAnsi" w:hAnsiTheme="majorHAnsi"/>
          <w:noProof/>
          <w:color w:val="2E74B5" w:themeColor="accent1" w:themeShade="BF"/>
          <w:sz w:val="26"/>
        </w:rPr>
        <w:t>Transversālie jautājumi</w:t>
      </w:r>
      <w:bookmarkEnd w:id="20"/>
    </w:p>
    <w:p w14:paraId="1E82CF69"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Apvienotās Karalistes valdība 2022. gadā iesniedza trīs svarīgus likumprojektus, kas var ietekmēt TSN darbību daudzās jomās.</w:t>
      </w:r>
    </w:p>
    <w:p w14:paraId="1B5BC085"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2022. gada jūnijā tika iesniegts Tiesību hartas likumprojekts (</w:t>
      </w:r>
      <w:r>
        <w:rPr>
          <w:rFonts w:ascii="Times New Roman" w:hAnsi="Times New Roman"/>
          <w:i/>
          <w:noProof/>
          <w:sz w:val="24"/>
        </w:rPr>
        <w:t>The Bill of Rights Bill</w:t>
      </w:r>
      <w:r>
        <w:rPr>
          <w:rFonts w:ascii="Times New Roman" w:hAnsi="Times New Roman"/>
          <w:noProof/>
          <w:sz w:val="24"/>
        </w:rPr>
        <w:t>)</w:t>
      </w:r>
      <w:r>
        <w:rPr>
          <w:rFonts w:ascii="Times New Roman" w:hAnsi="Times New Roman" w:cs="Times New Roman"/>
          <w:noProof/>
          <w:sz w:val="24"/>
          <w:szCs w:val="24"/>
          <w:vertAlign w:val="superscript"/>
        </w:rPr>
        <w:footnoteReference w:id="45"/>
      </w:r>
      <w:r>
        <w:rPr>
          <w:rFonts w:ascii="Times New Roman" w:hAnsi="Times New Roman"/>
          <w:noProof/>
          <w:sz w:val="24"/>
        </w:rPr>
        <w:t xml:space="preserve"> ar mērķi atcelt un aizstāt 1998. gada Cilvēktiesību aktu (</w:t>
      </w:r>
      <w:r>
        <w:rPr>
          <w:rFonts w:ascii="Times New Roman" w:hAnsi="Times New Roman"/>
          <w:i/>
          <w:noProof/>
          <w:sz w:val="24"/>
        </w:rPr>
        <w:t>Human Rights Act 1998</w:t>
      </w:r>
      <w:r>
        <w:rPr>
          <w:rFonts w:ascii="Times New Roman" w:hAnsi="Times New Roman"/>
          <w:noProof/>
          <w:sz w:val="24"/>
        </w:rPr>
        <w:t>), ar ko Apvienotās Karalistes tiesību aktos iekļauj Eiropas Cilvēktiesību konvenciju. Saskaņā ar likumprojekta 1. panta 2. punktu likumprojekts “atjauno līdzsvaru” attiecībās starp Apvienotās Karalistes tiesām, Eiropas Cilvēktiesību tiesu un Apvienotās Karalistes parlamentu. Proti, Apvienotās Karalistes Augstākā tiesa noteiks konvencijas tiesību nozīmi un iedarbību valsts tiesību aktu vajadzībām. Apvienotās Karalistes tiesām un valsts iestādēm vairs nebūs jāinterpretē un jāīsteno Apvienotās Karalistes tiesību akti, ciktāl tas ir iespējams, tādā veidā, kas ir saderīgs ar konvencijas tiesībām. Apvienotās Karalistes tiesām būs jāpiešķir pēc iespējas lielāka nozīme principam, ka lēmumus par līdzsvaru starp dažādiem politikas mērķiem, atšķirīgām cilvēktiesībām un dažādu personu tiesībām pieņem Apvienotās Karalistes parlaments. Likumprojekts “apstiprina”, ka “Eiropas Cilvēktiesību tiesas spriedumi, lēmumi un pagaidu pasākumi nav daļa no Apvienotās Karalistes valsts tiesību aktiem un neietekmē Parlamenta tiesības pieņemt tiesību aktus” (likumprojekta 1. panta 3. punkts).</w:t>
      </w:r>
    </w:p>
    <w:p w14:paraId="29F56BD6"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p>
    <w:p w14:paraId="4736A917"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2022. gada jūlijā tika iesniegts Datu aizsardzības un digitālās informācijas likumprojekts (</w:t>
      </w:r>
      <w:r>
        <w:rPr>
          <w:rFonts w:ascii="Times New Roman" w:hAnsi="Times New Roman"/>
          <w:i/>
          <w:noProof/>
          <w:sz w:val="24"/>
        </w:rPr>
        <w:t>Data Protection and Digital Information Bill</w:t>
      </w:r>
      <w:r>
        <w:rPr>
          <w:rFonts w:ascii="Times New Roman" w:hAnsi="Times New Roman"/>
          <w:noProof/>
          <w:sz w:val="24"/>
        </w:rPr>
        <w:t>)</w:t>
      </w:r>
      <w:r>
        <w:rPr>
          <w:rFonts w:ascii="Times New Roman" w:hAnsi="Times New Roman" w:cs="Times New Roman"/>
          <w:noProof/>
          <w:sz w:val="24"/>
          <w:szCs w:val="24"/>
          <w:vertAlign w:val="superscript"/>
        </w:rPr>
        <w:footnoteReference w:id="46"/>
      </w:r>
      <w:r>
        <w:rPr>
          <w:rFonts w:ascii="Times New Roman" w:hAnsi="Times New Roman"/>
          <w:noProof/>
          <w:sz w:val="24"/>
        </w:rPr>
        <w:t xml:space="preserve"> ar mērķi reformēt Apvienotās Karalistes datu aizsardzības regulējumu, uz kuru balstās Komisijas lēmumi par Apvienotās Karalistes nodrošinātā personas datu aizsardzības līmeņa pietiekamību. Likumprojekts ievieš izmaiņas vairākās jomās, jo īpaši personas datu apstrādes juridiskajā pamatā, datu subjektu tiesību īstenošanā, noteikumos par personas datu nosūtīšanu uz trešām valstīm un neatkarīgās datu aizsardzības uzraudzības iestādes struktūrā un darbībā.   </w:t>
      </w:r>
    </w:p>
    <w:p w14:paraId="1701A19D"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Visbeidzot, 2022. gada septembrī parlamentam iesniegtajā Saglabāto ES tiesību (atcelšanas un reformu) likumprojektā (</w:t>
      </w:r>
      <w:r>
        <w:rPr>
          <w:rFonts w:ascii="Times New Roman" w:hAnsi="Times New Roman"/>
          <w:i/>
          <w:iCs/>
          <w:noProof/>
          <w:sz w:val="24"/>
        </w:rPr>
        <w:t>Retained EU Law (Revocation and Reform) Bill</w:t>
      </w:r>
      <w:r>
        <w:rPr>
          <w:rFonts w:ascii="Times New Roman" w:hAnsi="Times New Roman"/>
          <w:noProof/>
          <w:sz w:val="24"/>
        </w:rPr>
        <w:t>)</w:t>
      </w:r>
      <w:r>
        <w:rPr>
          <w:rFonts w:ascii="Times New Roman" w:eastAsia="Times New Roman" w:hAnsi="Times New Roman" w:cs="Times New Roman"/>
          <w:noProof/>
          <w:sz w:val="24"/>
          <w:szCs w:val="24"/>
          <w:vertAlign w:val="superscript"/>
        </w:rPr>
        <w:footnoteReference w:id="47"/>
      </w:r>
      <w:r>
        <w:rPr>
          <w:rFonts w:ascii="Times New Roman" w:hAnsi="Times New Roman"/>
          <w:noProof/>
          <w:sz w:val="24"/>
        </w:rPr>
        <w:t xml:space="preserve"> valdība ierosina pārstrādāt ES tiesību kopumu, ko Apvienotā Karaliste saglabājusi pārejas perioda beigās, nosakot, ka to automātiski beidz piemērot 2023. gada 31. decembrī, ja vien tas netiek saglabāts citā veidā. Likumprojekts arī piešķir ministriem pilnvaras grozīt saglabātās ES tiesības, izmantojot sekundāros tiesību aktus, un dod tiesām rīcības brīvību atkāpties no ES judikatūras. Valdība plāno pārskatīt visas saglabātās ES tiesības līdz 2023. gada beigām.  </w:t>
      </w:r>
    </w:p>
    <w:p w14:paraId="34A1B7BD" w14:textId="77777777" w:rsidR="006D1404" w:rsidRPr="006D1404" w:rsidRDefault="006D1404" w:rsidP="006D1404">
      <w:pPr>
        <w:keepNext/>
        <w:keepLines/>
        <w:numPr>
          <w:ilvl w:val="1"/>
          <w:numId w:val="29"/>
        </w:numPr>
        <w:spacing w:before="100" w:beforeAutospacing="1" w:after="100" w:afterAutospacing="1"/>
        <w:ind w:left="1077"/>
        <w:outlineLvl w:val="1"/>
        <w:rPr>
          <w:rFonts w:asciiTheme="majorHAnsi" w:eastAsiaTheme="majorEastAsia" w:hAnsiTheme="majorHAnsi" w:cstheme="majorBidi"/>
          <w:noProof/>
          <w:color w:val="2E74B5" w:themeColor="accent1" w:themeShade="BF"/>
          <w:sz w:val="26"/>
          <w:szCs w:val="26"/>
        </w:rPr>
      </w:pPr>
      <w:bookmarkStart w:id="21" w:name="_Toc129180054"/>
      <w:r>
        <w:rPr>
          <w:rFonts w:asciiTheme="majorHAnsi" w:hAnsiTheme="majorHAnsi"/>
          <w:noProof/>
          <w:color w:val="2E74B5" w:themeColor="accent1" w:themeShade="BF"/>
          <w:sz w:val="26"/>
        </w:rPr>
        <w:t>Vienlīdzīgi apstākļi atvērtai un godīgai konkurencei un ilgtspējīgai attīstībai</w:t>
      </w:r>
      <w:bookmarkEnd w:id="21"/>
      <w:r>
        <w:rPr>
          <w:rFonts w:asciiTheme="majorHAnsi" w:hAnsiTheme="majorHAnsi"/>
          <w:noProof/>
          <w:color w:val="2E74B5" w:themeColor="accent1" w:themeShade="BF"/>
          <w:sz w:val="26"/>
        </w:rPr>
        <w:t xml:space="preserve"> </w:t>
      </w:r>
    </w:p>
    <w:p w14:paraId="3B128DE0" w14:textId="77777777" w:rsidR="006D1404" w:rsidRPr="006D1404" w:rsidRDefault="006D1404" w:rsidP="006D1404">
      <w:pPr>
        <w:keepNext/>
        <w:keepLines/>
        <w:numPr>
          <w:ilvl w:val="2"/>
          <w:numId w:val="29"/>
        </w:numPr>
        <w:spacing w:before="240" w:after="100" w:afterAutospacing="1"/>
        <w:ind w:left="1077"/>
        <w:outlineLvl w:val="3"/>
        <w:rPr>
          <w:rFonts w:asciiTheme="majorHAnsi" w:eastAsiaTheme="majorEastAsia" w:hAnsiTheme="majorHAnsi" w:cstheme="majorBidi"/>
          <w:i/>
          <w:iCs/>
          <w:noProof/>
          <w:color w:val="2E74B5" w:themeColor="accent1" w:themeShade="BF"/>
        </w:rPr>
      </w:pPr>
      <w:r>
        <w:rPr>
          <w:rFonts w:asciiTheme="majorHAnsi" w:hAnsiTheme="majorHAnsi"/>
          <w:i/>
          <w:noProof/>
          <w:color w:val="2E74B5" w:themeColor="accent1" w:themeShade="BF"/>
        </w:rPr>
        <w:t>Subsīdiju kontrole un nodokļi</w:t>
      </w:r>
    </w:p>
    <w:p w14:paraId="51D99767"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2022. gada aprīlī tika pieņemts Subsīdiju kontroles likums (</w:t>
      </w:r>
      <w:r>
        <w:rPr>
          <w:rFonts w:ascii="Times New Roman" w:hAnsi="Times New Roman"/>
          <w:i/>
          <w:noProof/>
          <w:sz w:val="24"/>
        </w:rPr>
        <w:t>Subsidy Control Act</w:t>
      </w:r>
      <w:r>
        <w:rPr>
          <w:rFonts w:ascii="Times New Roman" w:hAnsi="Times New Roman"/>
          <w:noProof/>
          <w:sz w:val="24"/>
        </w:rPr>
        <w:t>) (2022)</w:t>
      </w:r>
      <w:r>
        <w:rPr>
          <w:rFonts w:ascii="Times New Roman" w:hAnsi="Times New Roman" w:cs="Times New Roman"/>
          <w:noProof/>
          <w:sz w:val="24"/>
          <w:szCs w:val="24"/>
          <w:vertAlign w:val="superscript"/>
        </w:rPr>
        <w:footnoteReference w:id="48"/>
      </w:r>
      <w:r>
        <w:rPr>
          <w:rFonts w:ascii="Times New Roman" w:hAnsi="Times New Roman"/>
          <w:noProof/>
          <w:sz w:val="24"/>
        </w:rPr>
        <w:t>, nosakot satvaru Apvienotās Karalistes starptautisko saistību īstenošanai subsīdiju kontroles jomā, tostarp TSN noteikto saistību īstenošanai. Jaunais režīms stājās spēkā 2023. gada janvārī. Pirms tā īstenošanas 2022. gada novembrī tika pieņemti likumpamatotie norādījumi par subsīdiju kontroli, lai palīdzētu publiskajām iestādēm piešķirt subsīdijas</w:t>
      </w:r>
      <w:r>
        <w:rPr>
          <w:rFonts w:ascii="Times New Roman" w:hAnsi="Times New Roman" w:cs="Times New Roman"/>
          <w:noProof/>
          <w:sz w:val="24"/>
          <w:szCs w:val="24"/>
          <w:vertAlign w:val="superscript"/>
        </w:rPr>
        <w:footnoteReference w:id="49"/>
      </w:r>
      <w:r>
        <w:rPr>
          <w:rFonts w:ascii="Times New Roman" w:hAnsi="Times New Roman"/>
          <w:noProof/>
          <w:sz w:val="24"/>
        </w:rPr>
        <w:t>. Papildus tam ir paredzēts pieņemt sekundāros tiesību aktus</w:t>
      </w:r>
      <w:r>
        <w:rPr>
          <w:rFonts w:ascii="Times New Roman" w:hAnsi="Times New Roman" w:cs="Times New Roman"/>
          <w:noProof/>
          <w:sz w:val="24"/>
          <w:szCs w:val="24"/>
          <w:vertAlign w:val="superscript"/>
          <w:lang w:val="en-US"/>
        </w:rPr>
        <w:footnoteReference w:id="50"/>
      </w:r>
      <w:r>
        <w:rPr>
          <w:rFonts w:ascii="Times New Roman" w:hAnsi="Times New Roman"/>
          <w:noProof/>
          <w:sz w:val="24"/>
        </w:rPr>
        <w:t>. Kā norādīts iepriekšējā Komisijas ziņojumā</w:t>
      </w:r>
      <w:r>
        <w:rPr>
          <w:rFonts w:ascii="Times New Roman" w:hAnsi="Times New Roman" w:cs="Times New Roman"/>
          <w:noProof/>
          <w:sz w:val="24"/>
          <w:szCs w:val="24"/>
          <w:vertAlign w:val="superscript"/>
          <w:lang w:val="en-US"/>
        </w:rPr>
        <w:footnoteReference w:id="51"/>
      </w:r>
      <w:r>
        <w:rPr>
          <w:rFonts w:ascii="Times New Roman" w:hAnsi="Times New Roman"/>
          <w:noProof/>
          <w:sz w:val="24"/>
        </w:rPr>
        <w:t>, pirms subsīdiju piešķiršanas valsts iestādēm tās būs jāizvērtē, ņemot vērā vairākus principus. Dažu kategoriju subsīdijas ir jānosūta novērtēšanai Konkurences un tirgu iestādes (</w:t>
      </w:r>
      <w:r>
        <w:rPr>
          <w:rFonts w:ascii="Times New Roman" w:hAnsi="Times New Roman"/>
          <w:i/>
          <w:noProof/>
          <w:sz w:val="24"/>
        </w:rPr>
        <w:t>Competition and Markets Authority</w:t>
      </w:r>
      <w:r>
        <w:rPr>
          <w:rFonts w:ascii="Times New Roman" w:hAnsi="Times New Roman"/>
          <w:noProof/>
          <w:sz w:val="24"/>
        </w:rPr>
        <w:t>) Subsīdiju konsultāciju nodaļai (</w:t>
      </w:r>
      <w:r>
        <w:rPr>
          <w:rFonts w:ascii="Times New Roman" w:hAnsi="Times New Roman"/>
          <w:i/>
          <w:noProof/>
          <w:sz w:val="24"/>
        </w:rPr>
        <w:t>Subsidy Advice Unit</w:t>
      </w:r>
      <w:r>
        <w:rPr>
          <w:rFonts w:ascii="Times New Roman" w:hAnsi="Times New Roman"/>
          <w:noProof/>
          <w:sz w:val="24"/>
        </w:rPr>
        <w:t>). Subsīdiju konsultāciju nodaļai nav pilnvaru aizliegt subsīdijas. Tā var sniegt tikai nesaistošu atzinumu par subsīdiju atbilstību Subsīdiju kontroles likumam.  Komisija rūpīgi uzraudzīs jaunā subsīdiju režīma piemērošanu.</w:t>
      </w:r>
    </w:p>
    <w:p w14:paraId="239219C5" w14:textId="77777777" w:rsidR="006D1404" w:rsidRPr="006D1404" w:rsidRDefault="006D1404" w:rsidP="006D1404">
      <w:pPr>
        <w:keepNext/>
        <w:keepLines/>
        <w:numPr>
          <w:ilvl w:val="2"/>
          <w:numId w:val="29"/>
        </w:numPr>
        <w:spacing w:before="40" w:after="0"/>
        <w:outlineLvl w:val="3"/>
        <w:rPr>
          <w:rFonts w:asciiTheme="majorHAnsi" w:eastAsiaTheme="majorEastAsia" w:hAnsiTheme="majorHAnsi" w:cstheme="majorBidi"/>
          <w:i/>
          <w:iCs/>
          <w:noProof/>
          <w:color w:val="2E74B5" w:themeColor="accent1" w:themeShade="BF"/>
        </w:rPr>
      </w:pPr>
      <w:bookmarkStart w:id="22" w:name="_Toc120291011"/>
      <w:bookmarkEnd w:id="22"/>
      <w:r>
        <w:rPr>
          <w:rFonts w:asciiTheme="majorHAnsi" w:hAnsiTheme="majorHAnsi"/>
          <w:i/>
          <w:noProof/>
          <w:color w:val="2E74B5" w:themeColor="accent1" w:themeShade="BF"/>
        </w:rPr>
        <w:t>Darba un sociālie standarti, vide un klimats</w:t>
      </w:r>
    </w:p>
    <w:p w14:paraId="36F35BC1" w14:textId="096279E0"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Darba un sociālo standartu jomā 2022. gada jūlijā stājās spēkā </w:t>
      </w:r>
      <w:r w:rsidR="00C1128C">
        <w:rPr>
          <w:rFonts w:ascii="Times New Roman" w:hAnsi="Times New Roman"/>
          <w:noProof/>
          <w:sz w:val="24"/>
        </w:rPr>
        <w:t>normatīvais instruments</w:t>
      </w:r>
      <w:r>
        <w:rPr>
          <w:rFonts w:ascii="Times New Roman" w:hAnsi="Times New Roman"/>
          <w:noProof/>
          <w:sz w:val="24"/>
        </w:rPr>
        <w:t>, ar ko atceļ Nodarbinātības aģentūru un nodarbinātības uzņēmumu darbības noteikumus (</w:t>
      </w:r>
      <w:r>
        <w:rPr>
          <w:rFonts w:ascii="Times New Roman" w:hAnsi="Times New Roman"/>
          <w:i/>
          <w:noProof/>
          <w:sz w:val="24"/>
        </w:rPr>
        <w:t>Conduct of Employment Agencies and Employment Businesses Regulations</w:t>
      </w:r>
      <w:r>
        <w:rPr>
          <w:rFonts w:ascii="Times New Roman" w:hAnsi="Times New Roman"/>
          <w:noProof/>
          <w:sz w:val="24"/>
        </w:rPr>
        <w:t>)</w:t>
      </w:r>
      <w:r>
        <w:rPr>
          <w:rFonts w:ascii="Times New Roman" w:hAnsi="Times New Roman" w:cs="Times New Roman"/>
          <w:noProof/>
          <w:sz w:val="24"/>
          <w:szCs w:val="24"/>
          <w:vertAlign w:val="superscript"/>
        </w:rPr>
        <w:footnoteReference w:id="52"/>
      </w:r>
      <w:r>
        <w:rPr>
          <w:rFonts w:ascii="Times New Roman" w:hAnsi="Times New Roman"/>
          <w:noProof/>
          <w:sz w:val="24"/>
        </w:rPr>
        <w:t>. Ar šo aktu tika atcelts aizliegums nodarbinātības aģentūrām nodrošināt pagaidu darbiniekus, lai aizvietotu darbiniekus, kas piedalās protesta akcijās. 2022. gada septembrī Apvienotās Karalistes arodbiedrības nodeva šo lietu izskatīšanai Starptautiskajā Darba organizācijā (SDO)</w:t>
      </w:r>
      <w:r>
        <w:rPr>
          <w:rFonts w:ascii="Times New Roman" w:hAnsi="Times New Roman" w:cs="Times New Roman"/>
          <w:noProof/>
          <w:sz w:val="24"/>
          <w:szCs w:val="24"/>
          <w:vertAlign w:val="superscript"/>
        </w:rPr>
        <w:footnoteReference w:id="53"/>
      </w:r>
      <w:r>
        <w:rPr>
          <w:rFonts w:ascii="Times New Roman" w:hAnsi="Times New Roman"/>
          <w:noProof/>
          <w:sz w:val="24"/>
        </w:rPr>
        <w:t xml:space="preserve">. Tas ir būtiski, ņemot vērā Apvienotās Karalistes apņemšanos saskaņā ar TSN 399. panta 5. punktu īstenot ratificētās SDO konvencijas. </w:t>
      </w:r>
    </w:p>
    <w:p w14:paraId="3113D601"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Vides jomā 2022. gada maijā tika ieviests Ģenētisko tehnoloģiju (precīzās selekcijas) likumprojekts (</w:t>
      </w:r>
      <w:r>
        <w:rPr>
          <w:rFonts w:ascii="Times New Roman" w:hAnsi="Times New Roman"/>
          <w:i/>
          <w:iCs/>
          <w:noProof/>
          <w:sz w:val="24"/>
        </w:rPr>
        <w:t>Genetic Technology (Precision Breeding) Bill</w:t>
      </w:r>
      <w:r>
        <w:rPr>
          <w:rFonts w:ascii="Times New Roman" w:hAnsi="Times New Roman"/>
          <w:noProof/>
          <w:sz w:val="24"/>
        </w:rPr>
        <w:t>)</w:t>
      </w:r>
      <w:r>
        <w:rPr>
          <w:rFonts w:ascii="Times New Roman" w:eastAsia="Times New Roman" w:hAnsi="Times New Roman" w:cs="Times New Roman"/>
          <w:noProof/>
          <w:sz w:val="24"/>
          <w:szCs w:val="24"/>
          <w:vertAlign w:val="superscript"/>
        </w:rPr>
        <w:footnoteReference w:id="54"/>
      </w:r>
      <w:r>
        <w:rPr>
          <w:rFonts w:ascii="Times New Roman" w:hAnsi="Times New Roman"/>
          <w:noProof/>
          <w:sz w:val="24"/>
        </w:rPr>
        <w:t xml:space="preserve">. Šis likumprojekts atvieglo “precīzi selekcionētu organismu” (t. i., augu un dzīvnieku, kas varētu būt iegūti ar tradicionālām selekcijas metodēm) izplatīšanas un tirdzniecības noteikumus Anglijā. </w:t>
      </w:r>
    </w:p>
    <w:p w14:paraId="6105A480" w14:textId="77777777" w:rsidR="006D1404" w:rsidRPr="006D1404" w:rsidRDefault="006D1404" w:rsidP="006D1404">
      <w:pPr>
        <w:keepNext/>
        <w:keepLines/>
        <w:numPr>
          <w:ilvl w:val="0"/>
          <w:numId w:val="29"/>
        </w:numPr>
        <w:spacing w:before="100" w:beforeAutospacing="1" w:after="100" w:afterAutospacing="1" w:line="240" w:lineRule="auto"/>
        <w:ind w:left="851" w:hanging="567"/>
        <w:outlineLvl w:val="0"/>
        <w:rPr>
          <w:rFonts w:asciiTheme="majorHAnsi" w:eastAsiaTheme="majorEastAsia" w:hAnsiTheme="majorHAnsi" w:cstheme="majorBidi"/>
          <w:noProof/>
          <w:color w:val="2E74B5" w:themeColor="accent1" w:themeShade="BF"/>
          <w:sz w:val="28"/>
          <w:szCs w:val="28"/>
        </w:rPr>
      </w:pPr>
      <w:bookmarkStart w:id="23" w:name="_Toc120291013"/>
      <w:bookmarkStart w:id="24" w:name="_Toc86061896"/>
      <w:bookmarkStart w:id="25" w:name="_Toc86154518"/>
      <w:bookmarkStart w:id="26" w:name="_Toc129180055"/>
      <w:bookmarkEnd w:id="23"/>
      <w:r>
        <w:rPr>
          <w:rFonts w:asciiTheme="majorHAnsi" w:hAnsiTheme="majorHAnsi"/>
          <w:noProof/>
          <w:color w:val="2E74B5" w:themeColor="accent1" w:themeShade="BF"/>
          <w:sz w:val="28"/>
        </w:rPr>
        <w:t>Ietekme</w:t>
      </w:r>
      <w:bookmarkEnd w:id="24"/>
      <w:bookmarkEnd w:id="25"/>
      <w:r>
        <w:rPr>
          <w:rFonts w:asciiTheme="majorHAnsi" w:hAnsiTheme="majorHAnsi"/>
          <w:noProof/>
          <w:color w:val="2E74B5" w:themeColor="accent1" w:themeShade="BF"/>
          <w:sz w:val="28"/>
        </w:rPr>
        <w:t xml:space="preserve"> uz tirdzniecības plūsmām un personu pārvietošanos</w:t>
      </w:r>
      <w:r>
        <w:rPr>
          <w:rFonts w:asciiTheme="majorHAnsi" w:eastAsiaTheme="majorEastAsia" w:hAnsiTheme="majorHAnsi" w:cstheme="majorBidi"/>
          <w:noProof/>
          <w:color w:val="2E74B5" w:themeColor="accent1" w:themeShade="BF"/>
          <w:sz w:val="28"/>
          <w:szCs w:val="28"/>
          <w:vertAlign w:val="superscript"/>
        </w:rPr>
        <w:footnoteReference w:id="55"/>
      </w:r>
      <w:bookmarkEnd w:id="26"/>
    </w:p>
    <w:p w14:paraId="3084AEEC" w14:textId="77777777" w:rsidR="006D1404" w:rsidRPr="006D1404" w:rsidRDefault="006D1404" w:rsidP="006D1404">
      <w:pPr>
        <w:spacing w:before="100" w:beforeAutospacing="1" w:after="100" w:afterAutospacing="1" w:line="240" w:lineRule="auto"/>
        <w:jc w:val="both"/>
        <w:rPr>
          <w:noProof/>
          <w:highlight w:val="yellow"/>
        </w:rPr>
      </w:pPr>
      <w:r>
        <w:rPr>
          <w:rFonts w:ascii="Times New Roman" w:hAnsi="Times New Roman"/>
          <w:noProof/>
          <w:sz w:val="24"/>
        </w:rPr>
        <w:t>Šis 2022. gada ziņojums sniedz iespēju izvērtēt Apvienotās Karalistes lēmuma izstāties no ES ekonomisko ietekmi uz ES. Lai gan vēl ir pāragri konstatēt ilgtermiņa ekonomisko ietekmi, divus gadus pēc pārejas perioda beigām un vairāk nekā sešus gadus pēc referenduma dažas izstāšanās ekonomiskās sekas kļuvušas arvien redzamākas. Tas attiecas ne tikai uz preču un pakalpojumu tirdzniecības plūsmām, bet arī uz cilvēku pārvietošanos</w:t>
      </w:r>
      <w:r>
        <w:rPr>
          <w:rFonts w:ascii="Times New Roman" w:hAnsi="Times New Roman" w:cs="Times New Roman"/>
          <w:noProof/>
          <w:sz w:val="24"/>
          <w:szCs w:val="24"/>
          <w:vertAlign w:val="superscript"/>
        </w:rPr>
        <w:footnoteReference w:id="56"/>
      </w:r>
      <w:r>
        <w:rPr>
          <w:rFonts w:ascii="Times New Roman" w:hAnsi="Times New Roman"/>
          <w:noProof/>
          <w:sz w:val="24"/>
        </w:rPr>
        <w:t>.</w:t>
      </w:r>
    </w:p>
    <w:p w14:paraId="6D376734" w14:textId="77777777" w:rsidR="006D1404" w:rsidRPr="006D1404" w:rsidRDefault="006D1404" w:rsidP="006D1404">
      <w:pPr>
        <w:keepNext/>
        <w:keepLines/>
        <w:numPr>
          <w:ilvl w:val="1"/>
          <w:numId w:val="29"/>
        </w:numPr>
        <w:spacing w:before="40" w:after="0"/>
        <w:outlineLvl w:val="1"/>
        <w:rPr>
          <w:rFonts w:asciiTheme="majorHAnsi" w:eastAsiaTheme="majorEastAsia" w:hAnsiTheme="majorHAnsi" w:cstheme="majorBidi"/>
          <w:noProof/>
          <w:color w:val="2E74B5" w:themeColor="accent1" w:themeShade="BF"/>
          <w:sz w:val="26"/>
          <w:szCs w:val="26"/>
        </w:rPr>
      </w:pPr>
      <w:bookmarkStart w:id="27" w:name="_Toc129180056"/>
      <w:r>
        <w:rPr>
          <w:rFonts w:asciiTheme="majorHAnsi" w:hAnsiTheme="majorHAnsi"/>
          <w:noProof/>
          <w:color w:val="2E74B5" w:themeColor="accent1" w:themeShade="BF"/>
          <w:sz w:val="28"/>
        </w:rPr>
        <w:t>Tirdzniecības plūsmas</w:t>
      </w:r>
      <w:bookmarkEnd w:id="27"/>
    </w:p>
    <w:p w14:paraId="017F1D12" w14:textId="77777777" w:rsidR="006D1404" w:rsidRPr="006D1404" w:rsidRDefault="006D1404" w:rsidP="006D1404">
      <w:pPr>
        <w:keepNext/>
        <w:keepLines/>
        <w:spacing w:before="100" w:beforeAutospacing="1" w:after="100" w:afterAutospacing="1"/>
        <w:outlineLvl w:val="3"/>
        <w:rPr>
          <w:rFonts w:asciiTheme="majorHAnsi" w:eastAsiaTheme="majorEastAsia" w:hAnsiTheme="majorHAnsi" w:cstheme="majorBidi"/>
          <w:i/>
          <w:iCs/>
          <w:noProof/>
          <w:color w:val="2E74B5" w:themeColor="accent1" w:themeShade="BF"/>
        </w:rPr>
      </w:pPr>
      <w:r>
        <w:rPr>
          <w:rFonts w:asciiTheme="majorHAnsi" w:hAnsiTheme="majorHAnsi"/>
          <w:i/>
          <w:noProof/>
          <w:color w:val="2E74B5" w:themeColor="accent1" w:themeShade="BF"/>
        </w:rPr>
        <w:t>6.1.1. Preču tirdzniecība</w:t>
      </w:r>
      <w:r>
        <w:rPr>
          <w:rFonts w:asciiTheme="majorHAnsi" w:eastAsiaTheme="majorEastAsia" w:hAnsiTheme="majorHAnsi" w:cstheme="majorBidi"/>
          <w:i/>
          <w:iCs/>
          <w:noProof/>
          <w:color w:val="2E74B5" w:themeColor="accent1" w:themeShade="BF"/>
          <w:vertAlign w:val="superscript"/>
        </w:rPr>
        <w:footnoteReference w:id="57"/>
      </w:r>
    </w:p>
    <w:p w14:paraId="048AF3AA" w14:textId="77777777" w:rsidR="006D1404" w:rsidRPr="006D1404" w:rsidRDefault="006D1404" w:rsidP="006D1404">
      <w:pPr>
        <w:jc w:val="both"/>
        <w:rPr>
          <w:rFonts w:ascii="Times New Roman" w:eastAsia="Times New Roman" w:hAnsi="Times New Roman" w:cs="Times New Roman"/>
          <w:noProof/>
          <w:sz w:val="24"/>
          <w:szCs w:val="24"/>
        </w:rPr>
      </w:pPr>
      <w:r>
        <w:rPr>
          <w:rFonts w:ascii="Times New Roman" w:hAnsi="Times New Roman"/>
          <w:noProof/>
          <w:sz w:val="24"/>
        </w:rPr>
        <w:t xml:space="preserve">Skatoties </w:t>
      </w:r>
      <w:r>
        <w:rPr>
          <w:rFonts w:ascii="Times New Roman" w:hAnsi="Times New Roman"/>
          <w:noProof/>
          <w:sz w:val="24"/>
          <w:u w:val="single"/>
        </w:rPr>
        <w:t>īstermiņā</w:t>
      </w:r>
      <w:r>
        <w:rPr>
          <w:rFonts w:ascii="Times New Roman" w:hAnsi="Times New Roman"/>
          <w:noProof/>
          <w:sz w:val="24"/>
        </w:rPr>
        <w:t>, pēc strauja krituma 2021. gada sākumā gan ES eksports, gan imports 2022. gada pirmajos trijos ceturkšņos ievērojami atjaunojās, tuvojoties 2019. gada pirmspandēmijas līmenim (1. attēls)</w:t>
      </w:r>
      <w:r>
        <w:rPr>
          <w:rFonts w:ascii="Times New Roman" w:eastAsia="Times New Roman" w:hAnsi="Times New Roman" w:cs="Times New Roman"/>
          <w:noProof/>
          <w:sz w:val="24"/>
          <w:szCs w:val="24"/>
          <w:vertAlign w:val="superscript"/>
        </w:rPr>
        <w:footnoteReference w:id="58"/>
      </w:r>
      <w:r>
        <w:rPr>
          <w:rFonts w:ascii="Times New Roman" w:hAnsi="Times New Roman"/>
          <w:noProof/>
          <w:sz w:val="24"/>
        </w:rPr>
        <w:t>.</w:t>
      </w:r>
    </w:p>
    <w:p w14:paraId="61B2761B" w14:textId="0F83FEB6" w:rsidR="006D1404" w:rsidRPr="006D1404" w:rsidRDefault="003B594E" w:rsidP="006D1404">
      <w:pPr>
        <w:jc w:val="both"/>
        <w:rPr>
          <w:rFonts w:ascii="Times New Roman" w:eastAsia="Times New Roman" w:hAnsi="Times New Roman" w:cs="Times New Roman"/>
          <w:noProof/>
          <w:sz w:val="18"/>
          <w:szCs w:val="18"/>
        </w:rPr>
      </w:pPr>
      <w:r>
        <w:rPr>
          <w:noProof/>
          <w:lang w:val="en-GB" w:eastAsia="en-GB"/>
        </w:rPr>
        <w:drawing>
          <wp:inline distT="0" distB="0" distL="0" distR="0" wp14:anchorId="24D7E3FF" wp14:editId="36933738">
            <wp:extent cx="5689600" cy="2832100"/>
            <wp:effectExtent l="0" t="0" r="6350" b="6350"/>
            <wp:docPr id="1"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669DBBC" w14:textId="77777777" w:rsidR="006D1404" w:rsidRPr="006D1404" w:rsidRDefault="006D1404" w:rsidP="006D1404">
      <w:pPr>
        <w:jc w:val="both"/>
        <w:rPr>
          <w:rFonts w:ascii="Times New Roman" w:eastAsia="Times New Roman" w:hAnsi="Times New Roman" w:cs="Times New Roman"/>
          <w:i/>
          <w:noProof/>
          <w:sz w:val="18"/>
          <w:szCs w:val="18"/>
        </w:rPr>
      </w:pPr>
      <w:r>
        <w:rPr>
          <w:rFonts w:ascii="Times New Roman" w:hAnsi="Times New Roman"/>
          <w:i/>
          <w:noProof/>
          <w:sz w:val="18"/>
        </w:rPr>
        <w:t xml:space="preserve">1. attēls. ES preču tirdzniecība ar Apvienoto Karalisti (avots: </w:t>
      </w:r>
      <w:r>
        <w:rPr>
          <w:rFonts w:ascii="Times New Roman" w:hAnsi="Times New Roman"/>
          <w:noProof/>
          <w:sz w:val="18"/>
        </w:rPr>
        <w:t>Eurostat</w:t>
      </w:r>
      <w:r>
        <w:rPr>
          <w:rFonts w:ascii="Times New Roman" w:hAnsi="Times New Roman"/>
          <w:i/>
          <w:noProof/>
          <w:sz w:val="18"/>
        </w:rPr>
        <w:t xml:space="preserve"> (EXT_ST_EU27_2020SITC))</w:t>
      </w:r>
    </w:p>
    <w:p w14:paraId="761F816D" w14:textId="77777777" w:rsidR="006D1404" w:rsidRPr="006D1404" w:rsidRDefault="006D1404" w:rsidP="006D1404">
      <w:pPr>
        <w:jc w:val="both"/>
        <w:rPr>
          <w:rFonts w:ascii="Times New Roman" w:eastAsia="Times New Roman" w:hAnsi="Times New Roman" w:cs="Times New Roman"/>
          <w:noProof/>
          <w:sz w:val="24"/>
          <w:szCs w:val="24"/>
        </w:rPr>
      </w:pPr>
      <w:r>
        <w:rPr>
          <w:rFonts w:ascii="Times New Roman" w:hAnsi="Times New Roman"/>
          <w:noProof/>
          <w:sz w:val="24"/>
        </w:rPr>
        <w:t xml:space="preserve">2022. gada pirmajos trijos ceturkšņos ES uz Apvienoto Karalisti eksportēja preces 243 miljardu EUR vērtībā, kas ir par 18 % vairāk nekā tajā pašā laikposmā 2021. gadā. ES importa no Apvienotās Karalistes vērtība šajā periodā bija 167 miljardi EUR, kas ir par 59 % vairāk nekā importa vērtība 2021. gada pirmajos trijos ceturkšņos. </w:t>
      </w:r>
    </w:p>
    <w:p w14:paraId="31B53367" w14:textId="77777777" w:rsidR="006D1404" w:rsidRPr="006D1404" w:rsidRDefault="006D1404" w:rsidP="006D1404">
      <w:pPr>
        <w:jc w:val="both"/>
        <w:rPr>
          <w:rFonts w:ascii="Times New Roman" w:eastAsia="Times New Roman" w:hAnsi="Times New Roman" w:cs="Times New Roman"/>
          <w:noProof/>
          <w:sz w:val="24"/>
          <w:szCs w:val="24"/>
        </w:rPr>
      </w:pPr>
      <w:r>
        <w:rPr>
          <w:rFonts w:ascii="Times New Roman" w:hAnsi="Times New Roman"/>
          <w:noProof/>
          <w:sz w:val="24"/>
        </w:rPr>
        <w:t xml:space="preserve">Starp nozarēm, kurās ES eksportam uz Apvienoto Karalisti bija vislielākais pieaugums salīdzinājumā ar 2021. gadu, bija minerālais kurināmais un ķimikālijas. Tāpat arī ES importa no Apvienotās Karalistes pieaugumu 2022. gada pirmajos trijos ceturkšņos galvenokārt noteica minerālais kurināmais. Vismazākais pieaugums bija apstrādes rūpniecības preču, jo īpaši mašīnu un transporta aprīkojuma, importam ES. </w:t>
      </w:r>
    </w:p>
    <w:p w14:paraId="0F81B330" w14:textId="77777777" w:rsidR="006D1404" w:rsidRPr="006D1404" w:rsidRDefault="006D1404" w:rsidP="006D1404">
      <w:pPr>
        <w:jc w:val="both"/>
        <w:rPr>
          <w:rFonts w:ascii="Times New Roman" w:eastAsia="Times New Roman" w:hAnsi="Times New Roman" w:cs="Times New Roman"/>
          <w:noProof/>
          <w:sz w:val="24"/>
          <w:szCs w:val="24"/>
        </w:rPr>
      </w:pPr>
      <w:r>
        <w:rPr>
          <w:rFonts w:ascii="Times New Roman" w:hAnsi="Times New Roman"/>
          <w:noProof/>
          <w:sz w:val="24"/>
        </w:rPr>
        <w:t xml:space="preserve">Tomēr </w:t>
      </w:r>
      <w:r>
        <w:rPr>
          <w:rFonts w:ascii="Times New Roman" w:hAnsi="Times New Roman"/>
          <w:noProof/>
          <w:sz w:val="24"/>
          <w:u w:val="single"/>
        </w:rPr>
        <w:t>ilgākā termiņā</w:t>
      </w:r>
      <w:r>
        <w:rPr>
          <w:rFonts w:ascii="Times New Roman" w:hAnsi="Times New Roman"/>
          <w:noProof/>
          <w:sz w:val="24"/>
        </w:rPr>
        <w:t xml:space="preserve"> dati liecina, ka importa un eksporta kopējais apjoms 2016.–2022. gadā saglabājās diezgan nemainīgs. Tas krasi atšķiras no ES tirdzniecības ar citiem tās starptautiskajiem partneriem. ES kopējais tirdzniecības apjoms ar tās starptautiskajiem partneriem, izņemot Apvienoto Karalisti, palielinājās par 70 % salīdzinājumā ar 2016. gada pirmajiem trim ceturkšņiem un gandrīz par 40 % salīdzinājumā ar 2019. gada pirmajiem trim ceturkšņiem, savukārt tirdzniecības ar Apvienoto Karalisti pieaugums bija ievērojami mazāks — tikai 10 % salīdzinājumā ar 2016. gada pirmajiem trim ceturkšņiem un tikai 6 % salīdzinājumā ar to pašu laikposmu 2019. gadā (2. attēls).</w:t>
      </w:r>
    </w:p>
    <w:p w14:paraId="7DC3F7D3" w14:textId="208199BB" w:rsidR="006D1404" w:rsidRPr="006D1404" w:rsidRDefault="00176AF3" w:rsidP="006D1404">
      <w:pPr>
        <w:jc w:val="both"/>
        <w:rPr>
          <w:noProof/>
        </w:rPr>
      </w:pPr>
      <w:r>
        <w:rPr>
          <w:noProof/>
          <w:lang w:val="en-GB" w:eastAsia="en-GB"/>
        </w:rPr>
        <w:drawing>
          <wp:inline distT="0" distB="0" distL="0" distR="0" wp14:anchorId="099C8B7F" wp14:editId="483BD370">
            <wp:extent cx="5700395" cy="2806700"/>
            <wp:effectExtent l="0" t="0" r="14605" b="12700"/>
            <wp:docPr id="5" name="Chart 5">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2074D1D" w14:textId="61D2AE64" w:rsidR="006D1404" w:rsidRPr="006D1404" w:rsidRDefault="00C1128C" w:rsidP="006D1404">
      <w:pPr>
        <w:spacing w:before="100" w:beforeAutospacing="1" w:after="100" w:afterAutospacing="1" w:line="240" w:lineRule="auto"/>
        <w:jc w:val="both"/>
        <w:rPr>
          <w:rFonts w:ascii="Times New Roman" w:eastAsia="Times New Roman" w:hAnsi="Times New Roman" w:cs="Times New Roman"/>
          <w:i/>
          <w:noProof/>
          <w:sz w:val="18"/>
          <w:szCs w:val="18"/>
        </w:rPr>
      </w:pPr>
      <w:r>
        <w:rPr>
          <w:rFonts w:ascii="Times New Roman" w:hAnsi="Times New Roman"/>
          <w:i/>
          <w:noProof/>
          <w:sz w:val="18"/>
        </w:rPr>
        <w:t xml:space="preserve">2. attēls. </w:t>
      </w:r>
      <w:r w:rsidR="006D1404">
        <w:rPr>
          <w:rFonts w:ascii="Times New Roman" w:hAnsi="Times New Roman"/>
          <w:i/>
          <w:noProof/>
          <w:sz w:val="18"/>
        </w:rPr>
        <w:t xml:space="preserve">ES preču tirdzniecība ar Apvienoto Karalisti un citiem starptautiskiem partneriem (avots: </w:t>
      </w:r>
      <w:r w:rsidR="006D1404">
        <w:rPr>
          <w:rFonts w:ascii="Times New Roman" w:hAnsi="Times New Roman"/>
          <w:noProof/>
          <w:sz w:val="18"/>
        </w:rPr>
        <w:t>Eurostat</w:t>
      </w:r>
      <w:r w:rsidR="006D1404">
        <w:rPr>
          <w:rFonts w:ascii="Times New Roman" w:hAnsi="Times New Roman"/>
          <w:i/>
          <w:noProof/>
          <w:sz w:val="18"/>
        </w:rPr>
        <w:t xml:space="preserve"> EXT_ST_EU27_2020SITC)</w:t>
      </w:r>
    </w:p>
    <w:p w14:paraId="4D264E4A" w14:textId="77777777" w:rsidR="006D1404" w:rsidRPr="006D1404" w:rsidRDefault="006D1404" w:rsidP="006D1404">
      <w:pPr>
        <w:keepNext/>
        <w:keepLines/>
        <w:numPr>
          <w:ilvl w:val="2"/>
          <w:numId w:val="43"/>
        </w:numPr>
        <w:spacing w:before="40" w:after="0"/>
        <w:outlineLvl w:val="3"/>
        <w:rPr>
          <w:rFonts w:asciiTheme="majorHAnsi" w:eastAsiaTheme="majorEastAsia" w:hAnsiTheme="majorHAnsi" w:cstheme="majorBidi"/>
          <w:i/>
          <w:iCs/>
          <w:noProof/>
          <w:color w:val="2E74B5" w:themeColor="accent1" w:themeShade="BF"/>
        </w:rPr>
      </w:pPr>
      <w:r>
        <w:rPr>
          <w:rFonts w:asciiTheme="majorHAnsi" w:hAnsiTheme="majorHAnsi"/>
          <w:i/>
          <w:noProof/>
          <w:color w:val="2E74B5" w:themeColor="accent1" w:themeShade="BF"/>
        </w:rPr>
        <w:t>Pakalpojumu tirdzniecība</w:t>
      </w:r>
    </w:p>
    <w:p w14:paraId="51965748"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Tāpat kā attiecībā uz precēm, </w:t>
      </w:r>
      <w:r>
        <w:rPr>
          <w:rFonts w:ascii="Times New Roman" w:hAnsi="Times New Roman"/>
          <w:noProof/>
          <w:sz w:val="24"/>
          <w:u w:val="single"/>
        </w:rPr>
        <w:t>īsākā termiņā</w:t>
      </w:r>
      <w:r>
        <w:rPr>
          <w:rFonts w:ascii="Times New Roman" w:hAnsi="Times New Roman"/>
          <w:noProof/>
          <w:sz w:val="24"/>
        </w:rPr>
        <w:t xml:space="preserve"> ES eksports un imports pakalpojumu divpusējā tirdzniecībā 2022. gada pirmajos trijos ceturkšņos ievērojami atjaunojās, pārsniedzot 2019. gada pirmspandēmijas līmeni (3. attēls).</w:t>
      </w:r>
    </w:p>
    <w:p w14:paraId="0F9F3C4D" w14:textId="1F90F1D6" w:rsidR="006D1404" w:rsidRPr="006D1404" w:rsidRDefault="00176AF3" w:rsidP="006D1404">
      <w:pPr>
        <w:spacing w:before="100" w:beforeAutospacing="1" w:after="100" w:afterAutospacing="1" w:line="240" w:lineRule="auto"/>
        <w:jc w:val="both"/>
        <w:rPr>
          <w:rFonts w:ascii="Times New Roman" w:eastAsia="Times New Roman" w:hAnsi="Times New Roman" w:cs="Times New Roman"/>
          <w:noProof/>
          <w:sz w:val="24"/>
          <w:szCs w:val="24"/>
        </w:rPr>
      </w:pPr>
      <w:r>
        <w:rPr>
          <w:noProof/>
          <w:lang w:val="en-GB" w:eastAsia="en-GB"/>
        </w:rPr>
        <w:drawing>
          <wp:inline distT="0" distB="0" distL="0" distR="0" wp14:anchorId="35CECA5D" wp14:editId="4187B000">
            <wp:extent cx="5731510" cy="2838450"/>
            <wp:effectExtent l="0" t="0" r="2540" b="0"/>
            <wp:docPr id="7" name="Chart 7">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AD912F6" w14:textId="77777777" w:rsidR="006D1404" w:rsidRPr="006D1404" w:rsidRDefault="006D1404" w:rsidP="006D1404">
      <w:pPr>
        <w:jc w:val="both"/>
        <w:rPr>
          <w:rFonts w:ascii="Times New Roman" w:eastAsia="Times New Roman" w:hAnsi="Times New Roman" w:cs="Times New Roman"/>
          <w:i/>
          <w:noProof/>
          <w:sz w:val="18"/>
          <w:szCs w:val="18"/>
        </w:rPr>
      </w:pPr>
      <w:r>
        <w:rPr>
          <w:rFonts w:ascii="Times New Roman" w:hAnsi="Times New Roman"/>
          <w:i/>
          <w:noProof/>
          <w:sz w:val="18"/>
        </w:rPr>
        <w:t xml:space="preserve">3. attēls. ES pakalpojumu tirdzniecība ar Apvienoto Karalisti (2019–2022); avots: </w:t>
      </w:r>
      <w:r>
        <w:rPr>
          <w:rFonts w:ascii="Times New Roman" w:hAnsi="Times New Roman"/>
          <w:noProof/>
          <w:sz w:val="18"/>
        </w:rPr>
        <w:t>Eurostat</w:t>
      </w:r>
      <w:r>
        <w:rPr>
          <w:rFonts w:ascii="Times New Roman" w:hAnsi="Times New Roman"/>
          <w:i/>
          <w:noProof/>
          <w:sz w:val="18"/>
        </w:rPr>
        <w:t xml:space="preserve"> (BOP_EU6_Q)</w:t>
      </w:r>
    </w:p>
    <w:p w14:paraId="24B96207"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ES eksporta uz Apvienoto Karalisti vērtība 2022. gada pirmajos trijos ceturkšņos bija 181 miljards EUR, kas ir par 25,6 % vairāk nekā tajā pašā laikposmā 2021. gadā. ES importa no Apvienotās Karalistes vērtība bija 139 miljardi EUR, kas ir par 13,1 % vairāk nekā tajā pašā laikposmā 2021. gadā. Tomēr šis pieaugums bija mazāks nekā pieaugums ES pakalpojumu tirdzniecībā ar citiem starptautiskiem partneriem, kur ES eksports palielinājās par 27,8 % un imports — par 31,3 %.</w:t>
      </w:r>
    </w:p>
    <w:p w14:paraId="76F2675A"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Arī </w:t>
      </w:r>
      <w:r>
        <w:rPr>
          <w:rFonts w:ascii="Times New Roman" w:hAnsi="Times New Roman"/>
          <w:noProof/>
          <w:sz w:val="24"/>
          <w:u w:val="single"/>
        </w:rPr>
        <w:t>ilgākā termiņā</w:t>
      </w:r>
      <w:r>
        <w:rPr>
          <w:rFonts w:ascii="Times New Roman" w:hAnsi="Times New Roman"/>
          <w:noProof/>
          <w:sz w:val="24"/>
        </w:rPr>
        <w:t xml:space="preserve"> ES pakalpojumu eksports un imports tirdzniecībā ar Apvienoto Karalisti bija mazāks nekā ES tirdzniecībā ar citiem starptautiskiem partneriem. 2022. gadā ES pakalpojumu tirdzniecība ar tās starptautiskajiem partneriem, izņemot Apvienoto Karalisti, apjomā palielinājās kopumā par 51 % salīdzinājumā ar 2016. gada pirmajiem trim ceturkšņiem, savukārt pakalpojumu tirdzniecība ar Apvienoto Karalisti pieauga mazāk —  par 38 % salīdzinājumā ar to pašu laikposmu 2016. gadā (4. un 5. attēls).</w:t>
      </w:r>
    </w:p>
    <w:p w14:paraId="4C73EC78" w14:textId="08B2F81F" w:rsidR="006D1404" w:rsidRPr="006D1404" w:rsidRDefault="00114A46" w:rsidP="006D1404">
      <w:pPr>
        <w:spacing w:before="100" w:beforeAutospacing="1" w:after="100" w:afterAutospacing="1" w:line="240" w:lineRule="auto"/>
        <w:jc w:val="both"/>
        <w:rPr>
          <w:rFonts w:ascii="Times New Roman" w:eastAsia="Times New Roman" w:hAnsi="Times New Roman" w:cs="Times New Roman"/>
          <w:noProof/>
          <w:sz w:val="24"/>
          <w:szCs w:val="24"/>
        </w:rPr>
      </w:pPr>
      <w:r>
        <w:rPr>
          <w:noProof/>
          <w:lang w:val="en-GB" w:eastAsia="en-GB"/>
        </w:rPr>
        <w:drawing>
          <wp:inline distT="0" distB="0" distL="0" distR="0" wp14:anchorId="2EC7E4C5" wp14:editId="4A2E421E">
            <wp:extent cx="5731510" cy="2838450"/>
            <wp:effectExtent l="0" t="0" r="2540" b="0"/>
            <wp:docPr id="8" name="Chart 8">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6438C57" w14:textId="77777777" w:rsidR="006D1404" w:rsidRPr="006D1404" w:rsidRDefault="006D1404" w:rsidP="006D1404">
      <w:pPr>
        <w:jc w:val="both"/>
        <w:rPr>
          <w:rFonts w:ascii="Times New Roman" w:eastAsia="Times New Roman" w:hAnsi="Times New Roman" w:cs="Times New Roman"/>
          <w:i/>
          <w:noProof/>
          <w:sz w:val="18"/>
          <w:szCs w:val="18"/>
        </w:rPr>
      </w:pPr>
      <w:r>
        <w:rPr>
          <w:rFonts w:ascii="Times New Roman" w:hAnsi="Times New Roman"/>
          <w:i/>
          <w:noProof/>
          <w:sz w:val="18"/>
        </w:rPr>
        <w:t xml:space="preserve">4. attēls. ES pakalpojumu eksports uz Apvienoto Karalisti un citiem starptautiskiem partneriem (2016–2022); avots: </w:t>
      </w:r>
      <w:r>
        <w:rPr>
          <w:rFonts w:ascii="Times New Roman" w:hAnsi="Times New Roman"/>
          <w:noProof/>
          <w:sz w:val="18"/>
        </w:rPr>
        <w:t>Eurostat</w:t>
      </w:r>
      <w:r>
        <w:rPr>
          <w:rFonts w:ascii="Times New Roman" w:hAnsi="Times New Roman"/>
          <w:i/>
          <w:noProof/>
          <w:sz w:val="18"/>
        </w:rPr>
        <w:t xml:space="preserve"> (BOP_EU6_Q)</w:t>
      </w:r>
    </w:p>
    <w:p w14:paraId="386BA9CA" w14:textId="2C91B942" w:rsidR="006D1404" w:rsidRPr="006D1404" w:rsidRDefault="00114A46" w:rsidP="006D1404">
      <w:pPr>
        <w:spacing w:before="100" w:beforeAutospacing="1" w:after="100" w:afterAutospacing="1" w:line="240" w:lineRule="auto"/>
        <w:jc w:val="both"/>
        <w:rPr>
          <w:rFonts w:ascii="Times New Roman" w:eastAsia="Times New Roman" w:hAnsi="Times New Roman" w:cs="Times New Roman"/>
          <w:noProof/>
          <w:sz w:val="24"/>
          <w:szCs w:val="24"/>
        </w:rPr>
      </w:pPr>
      <w:r>
        <w:rPr>
          <w:noProof/>
          <w:lang w:val="en-GB" w:eastAsia="en-GB"/>
        </w:rPr>
        <w:drawing>
          <wp:inline distT="0" distB="0" distL="0" distR="0" wp14:anchorId="30358833" wp14:editId="684517D5">
            <wp:extent cx="5731510" cy="2838450"/>
            <wp:effectExtent l="0" t="0" r="2540" b="0"/>
            <wp:docPr id="9" name="Chart 9">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55D8F77"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i/>
          <w:noProof/>
          <w:sz w:val="18"/>
          <w:szCs w:val="18"/>
        </w:rPr>
      </w:pPr>
      <w:r>
        <w:rPr>
          <w:rFonts w:ascii="Times New Roman" w:hAnsi="Times New Roman"/>
          <w:i/>
          <w:noProof/>
          <w:sz w:val="18"/>
        </w:rPr>
        <w:t xml:space="preserve">5. attēls. ES pakalpojumu imports no Apvienotās Karalistes un citiem starptautiskiem partneriem (2016–2022); avots: </w:t>
      </w:r>
      <w:r>
        <w:rPr>
          <w:rFonts w:ascii="Times New Roman" w:hAnsi="Times New Roman"/>
          <w:noProof/>
          <w:sz w:val="18"/>
        </w:rPr>
        <w:t>Eurostat</w:t>
      </w:r>
      <w:r>
        <w:rPr>
          <w:rFonts w:ascii="Times New Roman" w:hAnsi="Times New Roman"/>
          <w:i/>
          <w:noProof/>
          <w:sz w:val="18"/>
        </w:rPr>
        <w:t xml:space="preserve"> (BOP_EU6_Q)</w:t>
      </w:r>
    </w:p>
    <w:p w14:paraId="41557CFB" w14:textId="77777777" w:rsidR="006D1404" w:rsidRPr="006D1404" w:rsidRDefault="006D1404" w:rsidP="006D1404">
      <w:pPr>
        <w:keepNext/>
        <w:keepLines/>
        <w:numPr>
          <w:ilvl w:val="2"/>
          <w:numId w:val="43"/>
        </w:numPr>
        <w:spacing w:before="40" w:after="0"/>
        <w:outlineLvl w:val="3"/>
        <w:rPr>
          <w:rFonts w:asciiTheme="majorHAnsi" w:eastAsiaTheme="majorEastAsia" w:hAnsiTheme="majorHAnsi" w:cstheme="majorBidi"/>
          <w:i/>
          <w:iCs/>
          <w:noProof/>
          <w:color w:val="2E74B5" w:themeColor="accent1" w:themeShade="BF"/>
        </w:rPr>
      </w:pPr>
      <w:r>
        <w:rPr>
          <w:rFonts w:asciiTheme="majorHAnsi" w:hAnsiTheme="majorHAnsi"/>
          <w:i/>
          <w:noProof/>
          <w:color w:val="2E74B5" w:themeColor="accent1" w:themeShade="BF"/>
        </w:rPr>
        <w:t>Secinājums</w:t>
      </w:r>
    </w:p>
    <w:p w14:paraId="07A87E3B"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Iepriekš sniegtie dati liecina, ka Apvienotās Karalistes izstāšanās, kā bija paredzams, ir negatīvi ietekmējusi tirdzniecības plūsmas starp ES un Apvienoto Karalisti. Šie dati atbilst daudziem novērtējumiem, ko veikušas dažādas struktūras, iestādes un ieinteresētās personas. Piemēram, Apvienotās Karalistes Budžeta atbildības birojs (</w:t>
      </w:r>
      <w:r>
        <w:rPr>
          <w:rFonts w:ascii="Times New Roman" w:hAnsi="Times New Roman"/>
          <w:i/>
          <w:iCs/>
          <w:noProof/>
          <w:sz w:val="24"/>
        </w:rPr>
        <w:t>Office for Budget Responsibility</w:t>
      </w:r>
      <w:r>
        <w:rPr>
          <w:rFonts w:ascii="Times New Roman" w:hAnsi="Times New Roman"/>
          <w:noProof/>
          <w:sz w:val="24"/>
        </w:rPr>
        <w:t>), kas sniedz publisko finanšu neatkarīgu analīzi, lēš, ka kopējais tirdzniecības ar ES apjoms ir par 15 % mazāks, nekā tas būtu, ja Apvienotā Karaliste būtu palikusi dalībvalsts</w:t>
      </w:r>
      <w:r>
        <w:rPr>
          <w:rFonts w:ascii="Times New Roman" w:eastAsia="Times New Roman" w:hAnsi="Times New Roman" w:cs="Times New Roman"/>
          <w:noProof/>
          <w:sz w:val="24"/>
          <w:szCs w:val="24"/>
          <w:vertAlign w:val="superscript"/>
        </w:rPr>
        <w:footnoteReference w:id="59"/>
      </w:r>
      <w:r>
        <w:rPr>
          <w:rFonts w:ascii="Times New Roman" w:hAnsi="Times New Roman"/>
          <w:noProof/>
          <w:sz w:val="24"/>
        </w:rPr>
        <w:t>. Tiek lēsts, ka uz ES eksportējošo Apvienotās Karalistes uzņēmumu izmaksu pieaugums, kas radies sakarā ar Apvienotās Karalistes izstāšanos no ES, ir 15 miljardi GBP gadā</w:t>
      </w:r>
      <w:r>
        <w:rPr>
          <w:rFonts w:ascii="Times New Roman" w:eastAsia="Times New Roman" w:hAnsi="Times New Roman" w:cs="Times New Roman"/>
          <w:noProof/>
          <w:sz w:val="24"/>
          <w:szCs w:val="24"/>
          <w:vertAlign w:val="superscript"/>
        </w:rPr>
        <w:footnoteReference w:id="60"/>
      </w:r>
      <w:r>
        <w:rPr>
          <w:rFonts w:ascii="Times New Roman" w:hAnsi="Times New Roman"/>
          <w:noProof/>
          <w:sz w:val="24"/>
        </w:rPr>
        <w:t>. Tas, piemēram, ir licis dažiem pārtikas ražotājiem no Apvienotās Karalistes pārtraukt eksportu uz ES</w:t>
      </w:r>
      <w:r>
        <w:rPr>
          <w:rFonts w:ascii="Times New Roman" w:eastAsia="Times New Roman" w:hAnsi="Times New Roman" w:cs="Times New Roman"/>
          <w:noProof/>
          <w:sz w:val="24"/>
          <w:szCs w:val="24"/>
          <w:vertAlign w:val="superscript"/>
        </w:rPr>
        <w:footnoteReference w:id="61"/>
      </w:r>
      <w:r>
        <w:rPr>
          <w:rFonts w:ascii="Times New Roman" w:hAnsi="Times New Roman"/>
          <w:noProof/>
          <w:sz w:val="24"/>
        </w:rPr>
        <w:t xml:space="preserve">. </w:t>
      </w:r>
    </w:p>
    <w:p w14:paraId="65FF5720" w14:textId="77777777" w:rsidR="006D1404" w:rsidRPr="006D1404" w:rsidRDefault="006D1404" w:rsidP="006D1404">
      <w:pPr>
        <w:keepNext/>
        <w:keepLines/>
        <w:numPr>
          <w:ilvl w:val="1"/>
          <w:numId w:val="43"/>
        </w:numPr>
        <w:spacing w:before="40" w:after="0"/>
        <w:outlineLvl w:val="1"/>
        <w:rPr>
          <w:rFonts w:asciiTheme="majorHAnsi" w:eastAsiaTheme="majorEastAsia" w:hAnsiTheme="majorHAnsi" w:cstheme="majorBidi"/>
          <w:noProof/>
          <w:color w:val="2E74B5" w:themeColor="accent1" w:themeShade="BF"/>
          <w:sz w:val="28"/>
          <w:szCs w:val="28"/>
        </w:rPr>
      </w:pPr>
      <w:bookmarkStart w:id="28" w:name="_Toc129180057"/>
      <w:r>
        <w:rPr>
          <w:rFonts w:asciiTheme="majorHAnsi" w:hAnsiTheme="majorHAnsi"/>
          <w:noProof/>
          <w:color w:val="2E74B5" w:themeColor="accent1" w:themeShade="BF"/>
          <w:sz w:val="28"/>
        </w:rPr>
        <w:t>Personu pārvietošanās</w:t>
      </w:r>
      <w:r>
        <w:rPr>
          <w:rFonts w:ascii="Times New Roman" w:eastAsia="Times New Roman" w:hAnsi="Times New Roman" w:cs="Times New Roman"/>
          <w:noProof/>
          <w:color w:val="2E74B5" w:themeColor="accent1" w:themeShade="BF"/>
          <w:sz w:val="24"/>
          <w:szCs w:val="24"/>
          <w:vertAlign w:val="superscript"/>
        </w:rPr>
        <w:footnoteReference w:id="62"/>
      </w:r>
      <w:bookmarkEnd w:id="28"/>
    </w:p>
    <w:p w14:paraId="0FBE6196"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Personu brīvas pārvietošanās starp ES un Apvienoto Karalisti izbeigšana, kā bija paredzams, izraisīja strauju mobilitātes samazināšanos. Tā ietekmēja arī īstermiņa apmeklējumus. Lai gan daži turpmāk izklāstītie dati attiecas uz 2021. gadu, jo šā ziņojuma pieņemšanas laikā ne visi 2022. gada statistikas dati bija pieejami, nekas neliecina, ka tendences būtu mainījušās. Faktiski laikposmā no 2021. gada jūnija līdz 2022. gada jūnijam vairāk ES pilsoņu izceļoja no Apvienotās Karalistes nekā ieceļoja tajā, kā rezultātā ES pilsoņu neto migrācijas rādītājs bija negatīvs — 51 000 cilvēku</w:t>
      </w:r>
      <w:r>
        <w:rPr>
          <w:rFonts w:ascii="Times New Roman" w:eastAsia="Times New Roman" w:hAnsi="Times New Roman" w:cs="Times New Roman"/>
          <w:noProof/>
          <w:sz w:val="24"/>
          <w:szCs w:val="24"/>
          <w:vertAlign w:val="superscript"/>
        </w:rPr>
        <w:footnoteReference w:id="63"/>
      </w:r>
      <w:r>
        <w:rPr>
          <w:rFonts w:ascii="Times New Roman" w:hAnsi="Times New Roman"/>
          <w:noProof/>
          <w:sz w:val="24"/>
        </w:rPr>
        <w:t>. Aptuveni 52 000 ES pilsoņu saņēma vīzas, lai varētu dzīvot Apvienotajā Karalistē, un tās veido tikai 5 % no visām piešķirtajām vīzām</w:t>
      </w:r>
      <w:r>
        <w:rPr>
          <w:rFonts w:ascii="Times New Roman" w:eastAsia="Times New Roman" w:hAnsi="Times New Roman" w:cs="Times New Roman"/>
          <w:noProof/>
          <w:sz w:val="24"/>
          <w:szCs w:val="24"/>
          <w:vertAlign w:val="superscript"/>
        </w:rPr>
        <w:footnoteReference w:id="64"/>
      </w:r>
      <w:r>
        <w:rPr>
          <w:rFonts w:ascii="Times New Roman" w:hAnsi="Times New Roman"/>
          <w:noProof/>
          <w:sz w:val="24"/>
        </w:rPr>
        <w:t xml:space="preserve">. </w:t>
      </w:r>
    </w:p>
    <w:p w14:paraId="15B26DBE" w14:textId="77777777" w:rsidR="006D1404" w:rsidRPr="006D1404" w:rsidRDefault="006D1404" w:rsidP="006D1404">
      <w:pPr>
        <w:keepNext/>
        <w:keepLines/>
        <w:spacing w:before="40" w:after="0"/>
        <w:outlineLvl w:val="3"/>
        <w:rPr>
          <w:rFonts w:asciiTheme="majorHAnsi" w:eastAsiaTheme="majorEastAsia" w:hAnsiTheme="majorHAnsi" w:cstheme="majorBidi"/>
          <w:i/>
          <w:iCs/>
          <w:noProof/>
          <w:color w:val="2E74B5" w:themeColor="accent1" w:themeShade="BF"/>
        </w:rPr>
      </w:pPr>
      <w:r>
        <w:rPr>
          <w:rFonts w:asciiTheme="majorHAnsi" w:hAnsiTheme="majorHAnsi"/>
          <w:i/>
          <w:noProof/>
          <w:color w:val="2E74B5" w:themeColor="accent1" w:themeShade="BF"/>
        </w:rPr>
        <w:t>6.2.1. Darba ņēmēju un studentu mobilitāte</w:t>
      </w:r>
    </w:p>
    <w:p w14:paraId="7928D8FA"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Kopš 2021. gada 1. janvāra ES pilsoņiem ir vajadzīga darba vīza, lai strādātu Apvienotajā Karalistē. 2021. gadā aptuveni 34 000 ES pilsoņu, tostarp īstermiņa un pārrobežu darba ņēmēji, iesniedza darba vīzas pieteikumu. Pēdējā minētā kategorija iesniedza vairāk nekā trešdaļu no visiem ES pilsoņu darba vīzas pieteikumiem. Kopumā ES pilsoņu iesniegtie pieteikumi bija tikai 13 % no visiem Apvienotajā Karalistē aizpildītajiem darba vīzas pieteikumiem</w:t>
      </w:r>
      <w:r>
        <w:rPr>
          <w:rFonts w:ascii="Times New Roman" w:eastAsia="Times New Roman" w:hAnsi="Times New Roman" w:cs="Times New Roman"/>
          <w:noProof/>
          <w:sz w:val="24"/>
          <w:szCs w:val="24"/>
          <w:vertAlign w:val="superscript"/>
        </w:rPr>
        <w:footnoteReference w:id="65"/>
      </w:r>
      <w:r>
        <w:rPr>
          <w:rFonts w:ascii="Times New Roman" w:hAnsi="Times New Roman"/>
          <w:noProof/>
          <w:sz w:val="24"/>
        </w:rPr>
        <w:t xml:space="preserve">. </w:t>
      </w:r>
    </w:p>
    <w:p w14:paraId="2F18EF8C"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ES pilsoņi arī retāk sāka studēt Apvienotajā Karalistē. ES pilsoņu pieteikumu skaits reģistrācijai Apvienotās Karalistes universitātēs ievērojami samazinājās — no 98 580 pieteikumu 2020. gadā līdz 48 350 pieteikumu 2022. gadā, kas ir gandrīz 50 % samazinājums</w:t>
      </w:r>
      <w:r>
        <w:rPr>
          <w:rFonts w:ascii="Times New Roman" w:hAnsi="Times New Roman" w:cs="Times New Roman"/>
          <w:noProof/>
          <w:sz w:val="24"/>
          <w:szCs w:val="24"/>
          <w:vertAlign w:val="superscript"/>
        </w:rPr>
        <w:footnoteReference w:id="66"/>
      </w:r>
      <w:r>
        <w:rPr>
          <w:rFonts w:ascii="Times New Roman" w:hAnsi="Times New Roman"/>
          <w:noProof/>
          <w:sz w:val="24"/>
        </w:rPr>
        <w:t>.</w:t>
      </w:r>
    </w:p>
    <w:p w14:paraId="6AAAAA18" w14:textId="77777777" w:rsidR="006D1404" w:rsidRPr="006D1404" w:rsidRDefault="006D1404" w:rsidP="006D1404">
      <w:pPr>
        <w:spacing w:before="100" w:beforeAutospacing="1" w:after="100" w:afterAutospacing="1" w:line="240" w:lineRule="auto"/>
        <w:jc w:val="both"/>
        <w:rPr>
          <w:noProof/>
        </w:rPr>
      </w:pPr>
      <w:r>
        <w:rPr>
          <w:rFonts w:ascii="Times New Roman" w:hAnsi="Times New Roman"/>
          <w:noProof/>
          <w:sz w:val="24"/>
        </w:rPr>
        <w:t>2021. gadā Eiropas Savienībā 44 403 Apvienotās Karalistes pilsoņiem tika izsniegtas pirmās uzturēšanās atļaujas nodarbinātības, ģimenes, izglītības vai citu iemeslu dēļ. To vidū bija 8960 pirmās uzturēšanās atļaujas nodarbinātības nolūkā un 4959 pirmās uzturēšanās atļaujas, kas izsniegtas izglītības nolūkos</w:t>
      </w:r>
      <w:r>
        <w:rPr>
          <w:rFonts w:ascii="Times New Roman" w:eastAsia="Times New Roman" w:hAnsi="Times New Roman" w:cs="Times New Roman"/>
          <w:noProof/>
          <w:sz w:val="24"/>
          <w:szCs w:val="24"/>
          <w:vertAlign w:val="superscript"/>
        </w:rPr>
        <w:footnoteReference w:id="67"/>
      </w:r>
      <w:r>
        <w:rPr>
          <w:rFonts w:ascii="Times New Roman" w:hAnsi="Times New Roman"/>
          <w:noProof/>
          <w:sz w:val="24"/>
        </w:rPr>
        <w:t xml:space="preserve">. </w:t>
      </w:r>
    </w:p>
    <w:p w14:paraId="304C4B90" w14:textId="77777777" w:rsidR="006D1404" w:rsidRPr="006D1404" w:rsidRDefault="006D1404" w:rsidP="006D1404">
      <w:pPr>
        <w:keepNext/>
        <w:keepLines/>
        <w:spacing w:before="40" w:after="0"/>
        <w:outlineLvl w:val="3"/>
        <w:rPr>
          <w:rFonts w:asciiTheme="majorHAnsi" w:eastAsiaTheme="majorEastAsia" w:hAnsiTheme="majorHAnsi" w:cstheme="majorBidi"/>
          <w:i/>
          <w:iCs/>
          <w:noProof/>
          <w:color w:val="2E74B5" w:themeColor="accent1" w:themeShade="BF"/>
        </w:rPr>
      </w:pPr>
      <w:r>
        <w:rPr>
          <w:rFonts w:asciiTheme="majorHAnsi" w:hAnsiTheme="majorHAnsi"/>
          <w:i/>
          <w:noProof/>
          <w:color w:val="2E74B5" w:themeColor="accent1" w:themeShade="BF"/>
        </w:rPr>
        <w:t>6.2.2. Īstermiņa apmeklējumi</w:t>
      </w:r>
    </w:p>
    <w:p w14:paraId="79FB9BEA"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bookmarkStart w:id="29" w:name="_Toc86061903"/>
      <w:bookmarkStart w:id="30" w:name="_Toc86154525"/>
      <w:r>
        <w:rPr>
          <w:rFonts w:ascii="Times New Roman" w:hAnsi="Times New Roman"/>
          <w:noProof/>
          <w:sz w:val="24"/>
        </w:rPr>
        <w:t>Pašlaik nav vajadzīga vīza ES pilsoņu īstermiņa apmeklējumiem Apvienotajā Karalistē un otrādi. Tomēr tas automātiski nenozīmē ieceļošanas tiesības. Faktiski līdz ar pārejas perioda beigām ievērojami palielinājās to ES pilsoņu skaits, kuriem tika liegta ieceļošana Apvienotajā Karalistē un kuri pēc tam atgriezās atpakaļ. Apvienotās Karalistes 2022. gadā publiskotie dati</w:t>
      </w:r>
      <w:r>
        <w:rPr>
          <w:rFonts w:ascii="Times New Roman" w:eastAsia="Times New Roman" w:hAnsi="Times New Roman" w:cs="Times New Roman"/>
          <w:noProof/>
          <w:sz w:val="24"/>
          <w:szCs w:val="24"/>
          <w:vertAlign w:val="superscript"/>
        </w:rPr>
        <w:footnoteReference w:id="68"/>
      </w:r>
      <w:r>
        <w:rPr>
          <w:rFonts w:ascii="Times New Roman" w:hAnsi="Times New Roman"/>
          <w:noProof/>
          <w:sz w:val="24"/>
        </w:rPr>
        <w:t xml:space="preserve"> liecina, ka 2020. gadā ieceļošana Apvienotajā Karalistē tika liegta 1722 ES pilsoņiem, kas veidoja 17 % no visiem atteikumiem, bet 2021. gadā šis skaitlis strauji pieauga līdz 12 523 ES pilsoņiem (68 % no visiem atteikumiem). Salīdzinājumam — to Apvienotās Karalistes pilsoņu skaits, kuriem 2021. gadā tika liegta ieceļošana ES, veidoja tikai 3,2 % no visiem atteikumiem. Apvienotās Karalistes neatkarīgā galvenā inspektora robežu un imigrācijas jautājumos (</w:t>
      </w:r>
      <w:r>
        <w:rPr>
          <w:rFonts w:ascii="Times New Roman" w:hAnsi="Times New Roman"/>
          <w:i/>
          <w:iCs/>
          <w:noProof/>
          <w:sz w:val="24"/>
        </w:rPr>
        <w:t>Independent Chief Inspector of Borders and Immigration</w:t>
      </w:r>
      <w:r>
        <w:rPr>
          <w:rFonts w:ascii="Times New Roman" w:hAnsi="Times New Roman"/>
          <w:noProof/>
          <w:sz w:val="24"/>
        </w:rPr>
        <w:t>) 2022. gada ziņojumā secināts, ka dažus ES valstspiederīgos, kas vēlējās ieceļot valstī, robežsardze bez pietiekama pamatojuma pakļāva augstāka līmeņa pārbaudei</w:t>
      </w:r>
      <w:r>
        <w:rPr>
          <w:rFonts w:ascii="Times New Roman" w:hAnsi="Times New Roman" w:cs="Times New Roman"/>
          <w:noProof/>
          <w:sz w:val="24"/>
          <w:szCs w:val="24"/>
          <w:vertAlign w:val="superscript"/>
        </w:rPr>
        <w:footnoteReference w:id="69"/>
      </w:r>
      <w:r>
        <w:rPr>
          <w:rFonts w:ascii="Times New Roman" w:hAnsi="Times New Roman"/>
          <w:noProof/>
          <w:sz w:val="24"/>
        </w:rPr>
        <w:t>.</w:t>
      </w:r>
    </w:p>
    <w:p w14:paraId="44996096" w14:textId="77777777" w:rsidR="006D1404" w:rsidRPr="006D1404" w:rsidRDefault="006D1404" w:rsidP="006D1404">
      <w:pPr>
        <w:keepNext/>
        <w:keepLines/>
        <w:numPr>
          <w:ilvl w:val="0"/>
          <w:numId w:val="43"/>
        </w:numPr>
        <w:spacing w:before="100" w:beforeAutospacing="1" w:after="100" w:afterAutospacing="1" w:line="240" w:lineRule="auto"/>
        <w:ind w:left="851" w:hanging="567"/>
        <w:jc w:val="both"/>
        <w:outlineLvl w:val="0"/>
        <w:rPr>
          <w:rFonts w:asciiTheme="majorHAnsi" w:eastAsiaTheme="majorEastAsia" w:hAnsiTheme="majorHAnsi" w:cstheme="majorBidi"/>
          <w:noProof/>
          <w:color w:val="2E74B5" w:themeColor="accent1" w:themeShade="BF"/>
          <w:sz w:val="28"/>
          <w:szCs w:val="28"/>
        </w:rPr>
      </w:pPr>
      <w:bookmarkStart w:id="31" w:name="_Toc129180058"/>
      <w:r>
        <w:rPr>
          <w:rFonts w:asciiTheme="majorHAnsi" w:hAnsiTheme="majorHAnsi"/>
          <w:noProof/>
          <w:color w:val="2E74B5" w:themeColor="accent1" w:themeShade="BF"/>
          <w:sz w:val="28"/>
        </w:rPr>
        <w:t>Secinājumi</w:t>
      </w:r>
      <w:bookmarkEnd w:id="29"/>
      <w:bookmarkEnd w:id="30"/>
      <w:bookmarkEnd w:id="31"/>
    </w:p>
    <w:p w14:paraId="4B1B28A4" w14:textId="77777777" w:rsidR="00293EA7" w:rsidRPr="00293EA7" w:rsidRDefault="00293EA7" w:rsidP="00293EA7">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TSN ir ļoti labs nolīgums ES — tas aizsargā ES intereses attiecībā uz tirdzniecību un sadarbību ar Apvienoto Karalisti. Vienlaikus nolīgums pilnībā atspoguļo politiskās sarkanās līnijas, ko ES un dalībvalstis kopīgi novilka pēc Apvienotās Karalistes lēmuma izstāties no Savienības. </w:t>
      </w:r>
    </w:p>
    <w:p w14:paraId="6BF306B9" w14:textId="333E683E"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Kopumā TSN darbojas labi. 2022. gadā tika panākts liels progress institucionālās kārtības pabeigšanā, un, lai gan joprojām pastāv problēmas, TSN nozaru noteikumi darbojas. Lielākā daļa atlikušo problēmu bija saistītas ar Apvienotās Karalistes pastāvīgo atteikšanos ievērot savas juridiskās saistības, kas tai noteiktas saskaņā ar Izstāšanās līgumu. Tomēr Vindzoras 2023. gada 27. februāra politiskajā deklarācijā gan Eiropas Komisija, gan Apvienotās Karalistes valdība pauda nodomu nākotnē pilnībā izmantot Tirdzniecības un sadarbības nolīguma potenciālu</w:t>
      </w:r>
      <w:r>
        <w:rPr>
          <w:rStyle w:val="FootnoteReference"/>
          <w:rFonts w:ascii="Times New Roman" w:hAnsi="Times New Roman" w:cs="Times New Roman"/>
          <w:noProof/>
          <w:sz w:val="24"/>
          <w:szCs w:val="24"/>
        </w:rPr>
        <w:footnoteReference w:id="70"/>
      </w:r>
      <w:r>
        <w:rPr>
          <w:rFonts w:ascii="Times New Roman" w:hAnsi="Times New Roman"/>
          <w:noProof/>
          <w:sz w:val="24"/>
        </w:rPr>
        <w:t>.</w:t>
      </w:r>
    </w:p>
    <w:p w14:paraId="6555DDAB"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Attiecībā uz Apvienotās Karalistes tiesību aktu attīstību 2022. gadā bija daudz paziņojumu. Joprojām būs ārkārtīgi svarīgi uzraudzīt gadījumus, kad paziņojumi novedīs pie likumdošanas vai reglamentējošām darbībām attiecībā uz TSN paredzētajām saistībām nodrošināt vienlīdzīgus apstākļus. </w:t>
      </w:r>
    </w:p>
    <w:p w14:paraId="2A25C9B5"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Lai gan TSN ir viens no vērienīgākajiem un visaptverošākajiem šāda veida nolīgumiem, tas konceptuāli ļoti atšķiras no dalības Savienības vienotajā tirgū un muitas savienībā. Pēc diviem TSN piemērošanas gadiem kļuvusi labāk redzama vienotā tirgus, muitas savienības un citu papildinošo politikas jomu radītās ciešās ekonomiskās integrācijas izjaukšanas ietekme. </w:t>
      </w:r>
    </w:p>
    <w:p w14:paraId="06B7DD67"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p>
    <w:p w14:paraId="56B5782E"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p>
    <w:p w14:paraId="78E52ABD" w14:textId="77777777" w:rsidR="006D1404" w:rsidRPr="006D1404" w:rsidRDefault="006D1404" w:rsidP="006D1404">
      <w:pPr>
        <w:keepNext/>
        <w:keepLines/>
        <w:spacing w:before="100" w:beforeAutospacing="1" w:after="100" w:afterAutospacing="1" w:line="240" w:lineRule="auto"/>
        <w:jc w:val="both"/>
        <w:outlineLvl w:val="0"/>
        <w:rPr>
          <w:rFonts w:asciiTheme="majorHAnsi" w:eastAsiaTheme="majorEastAsia" w:hAnsiTheme="majorHAnsi" w:cstheme="majorBidi"/>
          <w:noProof/>
          <w:color w:val="2E74B5" w:themeColor="accent1" w:themeShade="BF"/>
          <w:sz w:val="28"/>
          <w:szCs w:val="28"/>
        </w:rPr>
      </w:pPr>
      <w:bookmarkStart w:id="32" w:name="_Toc129180059"/>
      <w:r>
        <w:rPr>
          <w:rFonts w:asciiTheme="majorHAnsi" w:hAnsiTheme="majorHAnsi"/>
          <w:noProof/>
          <w:color w:val="2E74B5" w:themeColor="accent1" w:themeShade="BF"/>
          <w:sz w:val="28"/>
        </w:rPr>
        <w:t>1. pielikums. Saskaņā ar TSN izveidoto kopīgo struktūru sanāksmes 2022. gadā</w:t>
      </w:r>
      <w:bookmarkEnd w:id="32"/>
    </w:p>
    <w:tbl>
      <w:tblPr>
        <w:tblStyle w:val="TableGrid"/>
        <w:tblW w:w="0" w:type="auto"/>
        <w:tblLook w:val="04A0" w:firstRow="1" w:lastRow="0" w:firstColumn="1" w:lastColumn="0" w:noHBand="0" w:noVBand="1"/>
      </w:tblPr>
      <w:tblGrid>
        <w:gridCol w:w="7054"/>
        <w:gridCol w:w="2188"/>
      </w:tblGrid>
      <w:tr w:rsidR="006D1404" w:rsidRPr="006D1404" w14:paraId="3AB5E0AA" w14:textId="77777777" w:rsidTr="00AA6A5F">
        <w:tc>
          <w:tcPr>
            <w:tcW w:w="7054" w:type="dxa"/>
            <w:shd w:val="clear" w:color="auto" w:fill="D9D9D9" w:themeFill="background1" w:themeFillShade="D9"/>
          </w:tcPr>
          <w:p w14:paraId="0AA5A054"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Kopīgā struktūra</w:t>
            </w:r>
          </w:p>
        </w:tc>
        <w:tc>
          <w:tcPr>
            <w:tcW w:w="2188" w:type="dxa"/>
            <w:shd w:val="clear" w:color="auto" w:fill="D9D9D9" w:themeFill="background1" w:themeFillShade="D9"/>
          </w:tcPr>
          <w:p w14:paraId="0F04802C"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Datums</w:t>
            </w:r>
          </w:p>
        </w:tc>
      </w:tr>
      <w:tr w:rsidR="006D1404" w:rsidRPr="006D1404" w14:paraId="624D0E49" w14:textId="77777777" w:rsidTr="00AA6A5F">
        <w:trPr>
          <w:trHeight w:val="419"/>
        </w:trPr>
        <w:tc>
          <w:tcPr>
            <w:tcW w:w="7054" w:type="dxa"/>
          </w:tcPr>
          <w:p w14:paraId="6E78BAF0" w14:textId="77777777" w:rsidR="006D1404" w:rsidRPr="006D1404" w:rsidRDefault="006D1404" w:rsidP="006D1404">
            <w:pPr>
              <w:jc w:val="both"/>
              <w:rPr>
                <w:rFonts w:ascii="Times New Roman" w:hAnsi="Times New Roman" w:cs="Times New Roman"/>
                <w:noProof/>
                <w:sz w:val="24"/>
                <w:szCs w:val="24"/>
              </w:rPr>
            </w:pPr>
            <w:r>
              <w:rPr>
                <w:rFonts w:ascii="Times New Roman" w:hAnsi="Times New Roman"/>
                <w:noProof/>
                <w:sz w:val="24"/>
              </w:rPr>
              <w:t>Specializētā enerģētikas komiteja (2. sanāksme)</w:t>
            </w:r>
          </w:p>
        </w:tc>
        <w:tc>
          <w:tcPr>
            <w:tcW w:w="2188" w:type="dxa"/>
          </w:tcPr>
          <w:p w14:paraId="28A87995" w14:textId="77777777" w:rsidR="006D1404" w:rsidRPr="006D1404" w:rsidRDefault="006D1404" w:rsidP="006D1404">
            <w:pPr>
              <w:jc w:val="both"/>
              <w:rPr>
                <w:rFonts w:ascii="Times New Roman" w:hAnsi="Times New Roman" w:cs="Times New Roman"/>
                <w:noProof/>
                <w:sz w:val="24"/>
                <w:szCs w:val="24"/>
              </w:rPr>
            </w:pPr>
            <w:r>
              <w:rPr>
                <w:rFonts w:ascii="Times New Roman" w:hAnsi="Times New Roman"/>
                <w:noProof/>
                <w:sz w:val="24"/>
              </w:rPr>
              <w:t>2022. gada 30. marts</w:t>
            </w:r>
          </w:p>
        </w:tc>
      </w:tr>
      <w:tr w:rsidR="006D1404" w:rsidRPr="006D1404" w14:paraId="6922327A" w14:textId="77777777" w:rsidTr="00AA6A5F">
        <w:trPr>
          <w:trHeight w:val="419"/>
        </w:trPr>
        <w:tc>
          <w:tcPr>
            <w:tcW w:w="7054" w:type="dxa"/>
          </w:tcPr>
          <w:p w14:paraId="4129F976" w14:textId="77777777" w:rsidR="006D1404" w:rsidRPr="006D1404" w:rsidRDefault="006D1404" w:rsidP="006D1404">
            <w:pPr>
              <w:jc w:val="both"/>
              <w:rPr>
                <w:rFonts w:ascii="Times New Roman" w:hAnsi="Times New Roman" w:cs="Times New Roman"/>
                <w:noProof/>
                <w:sz w:val="24"/>
                <w:szCs w:val="24"/>
              </w:rPr>
            </w:pPr>
            <w:r>
              <w:rPr>
                <w:rFonts w:ascii="Times New Roman" w:hAnsi="Times New Roman"/>
                <w:noProof/>
                <w:sz w:val="24"/>
              </w:rPr>
              <w:t>Specializētā zvejniecības komiteja (3. sanāksme)</w:t>
            </w:r>
          </w:p>
        </w:tc>
        <w:tc>
          <w:tcPr>
            <w:tcW w:w="2188" w:type="dxa"/>
          </w:tcPr>
          <w:p w14:paraId="0253EFC6" w14:textId="77777777" w:rsidR="006D1404" w:rsidRPr="006D1404" w:rsidRDefault="006D1404" w:rsidP="006D1404">
            <w:pPr>
              <w:jc w:val="both"/>
              <w:rPr>
                <w:rFonts w:ascii="Times New Roman" w:hAnsi="Times New Roman" w:cs="Times New Roman"/>
                <w:noProof/>
                <w:sz w:val="24"/>
                <w:szCs w:val="24"/>
              </w:rPr>
            </w:pPr>
            <w:r>
              <w:rPr>
                <w:rFonts w:ascii="Times New Roman" w:hAnsi="Times New Roman"/>
                <w:noProof/>
                <w:sz w:val="24"/>
              </w:rPr>
              <w:t>2022. gada 27. aprīlis</w:t>
            </w:r>
          </w:p>
        </w:tc>
      </w:tr>
      <w:tr w:rsidR="006D1404" w:rsidRPr="006D1404" w14:paraId="0DB04022" w14:textId="77777777" w:rsidTr="00AA6A5F">
        <w:trPr>
          <w:trHeight w:val="419"/>
        </w:trPr>
        <w:tc>
          <w:tcPr>
            <w:tcW w:w="7054" w:type="dxa"/>
          </w:tcPr>
          <w:p w14:paraId="5FF77153" w14:textId="77777777" w:rsidR="006D1404" w:rsidRPr="006D1404" w:rsidRDefault="006D1404" w:rsidP="006D1404">
            <w:pPr>
              <w:jc w:val="both"/>
              <w:rPr>
                <w:rFonts w:ascii="Times New Roman" w:hAnsi="Times New Roman" w:cs="Times New Roman"/>
                <w:noProof/>
                <w:sz w:val="24"/>
                <w:szCs w:val="24"/>
              </w:rPr>
            </w:pPr>
            <w:r>
              <w:rPr>
                <w:rFonts w:ascii="Times New Roman" w:hAnsi="Times New Roman"/>
                <w:noProof/>
                <w:sz w:val="24"/>
              </w:rPr>
              <w:t>Specializētā gaisa transporta komiteja (2. sanāksme)</w:t>
            </w:r>
          </w:p>
        </w:tc>
        <w:tc>
          <w:tcPr>
            <w:tcW w:w="2188" w:type="dxa"/>
          </w:tcPr>
          <w:p w14:paraId="32C3696D" w14:textId="77777777" w:rsidR="006D1404" w:rsidRPr="006D1404" w:rsidRDefault="006D1404" w:rsidP="006D1404">
            <w:pPr>
              <w:jc w:val="both"/>
              <w:rPr>
                <w:rFonts w:ascii="Times New Roman" w:hAnsi="Times New Roman" w:cs="Times New Roman"/>
                <w:noProof/>
                <w:sz w:val="24"/>
                <w:szCs w:val="24"/>
              </w:rPr>
            </w:pPr>
            <w:r>
              <w:rPr>
                <w:rFonts w:ascii="Times New Roman" w:hAnsi="Times New Roman"/>
                <w:noProof/>
                <w:sz w:val="24"/>
              </w:rPr>
              <w:t>2022. gada 28. jūnijs</w:t>
            </w:r>
          </w:p>
        </w:tc>
      </w:tr>
      <w:tr w:rsidR="006D1404" w:rsidRPr="006D1404" w14:paraId="371D7AD7" w14:textId="77777777" w:rsidTr="00AA6A5F">
        <w:trPr>
          <w:trHeight w:val="419"/>
        </w:trPr>
        <w:tc>
          <w:tcPr>
            <w:tcW w:w="7054" w:type="dxa"/>
          </w:tcPr>
          <w:p w14:paraId="3D992168" w14:textId="77777777" w:rsidR="006D1404" w:rsidRPr="006D1404" w:rsidRDefault="006D1404" w:rsidP="006D1404">
            <w:pPr>
              <w:jc w:val="both"/>
              <w:rPr>
                <w:rFonts w:ascii="Times New Roman" w:hAnsi="Times New Roman" w:cs="Times New Roman"/>
                <w:noProof/>
                <w:sz w:val="24"/>
                <w:szCs w:val="24"/>
              </w:rPr>
            </w:pPr>
            <w:r>
              <w:rPr>
                <w:rFonts w:ascii="Times New Roman" w:hAnsi="Times New Roman"/>
                <w:noProof/>
                <w:sz w:val="24"/>
              </w:rPr>
              <w:t>Specializētā komiteja sociālā nodrošinājuma koordinācijas jomā (2. sanāksme)</w:t>
            </w:r>
          </w:p>
        </w:tc>
        <w:tc>
          <w:tcPr>
            <w:tcW w:w="2188" w:type="dxa"/>
          </w:tcPr>
          <w:p w14:paraId="36A37071" w14:textId="77777777" w:rsidR="006D1404" w:rsidRPr="006D1404" w:rsidRDefault="006D1404" w:rsidP="006D1404">
            <w:pPr>
              <w:jc w:val="both"/>
              <w:rPr>
                <w:rFonts w:ascii="Times New Roman" w:hAnsi="Times New Roman" w:cs="Times New Roman"/>
                <w:noProof/>
                <w:sz w:val="24"/>
                <w:szCs w:val="24"/>
              </w:rPr>
            </w:pPr>
            <w:r>
              <w:rPr>
                <w:rFonts w:ascii="Times New Roman" w:hAnsi="Times New Roman"/>
                <w:noProof/>
                <w:sz w:val="24"/>
              </w:rPr>
              <w:t>2022. gada 30. jūnijs</w:t>
            </w:r>
          </w:p>
        </w:tc>
      </w:tr>
      <w:tr w:rsidR="006D1404" w:rsidRPr="006D1404" w14:paraId="19DEDD54" w14:textId="77777777" w:rsidTr="00AA6A5F">
        <w:trPr>
          <w:trHeight w:val="419"/>
        </w:trPr>
        <w:tc>
          <w:tcPr>
            <w:tcW w:w="7054" w:type="dxa"/>
          </w:tcPr>
          <w:p w14:paraId="00FE5124" w14:textId="77777777" w:rsidR="006D1404" w:rsidRPr="006D1404" w:rsidRDefault="006D1404" w:rsidP="006D1404">
            <w:pPr>
              <w:jc w:val="both"/>
              <w:rPr>
                <w:rFonts w:ascii="Times New Roman" w:hAnsi="Times New Roman" w:cs="Times New Roman"/>
                <w:noProof/>
                <w:sz w:val="24"/>
                <w:szCs w:val="24"/>
              </w:rPr>
            </w:pPr>
            <w:r>
              <w:rPr>
                <w:rFonts w:ascii="Times New Roman" w:hAnsi="Times New Roman"/>
                <w:noProof/>
                <w:sz w:val="24"/>
              </w:rPr>
              <w:t>Specializētā zvejniecības komiteja (4. sanāksme)</w:t>
            </w:r>
          </w:p>
        </w:tc>
        <w:tc>
          <w:tcPr>
            <w:tcW w:w="2188" w:type="dxa"/>
          </w:tcPr>
          <w:p w14:paraId="377B8D0C" w14:textId="77777777" w:rsidR="006D1404" w:rsidRPr="006D1404" w:rsidRDefault="006D1404" w:rsidP="006D1404">
            <w:pPr>
              <w:jc w:val="both"/>
              <w:rPr>
                <w:rFonts w:ascii="Times New Roman" w:hAnsi="Times New Roman" w:cs="Times New Roman"/>
                <w:noProof/>
                <w:sz w:val="24"/>
                <w:szCs w:val="24"/>
              </w:rPr>
            </w:pPr>
            <w:r>
              <w:rPr>
                <w:rFonts w:ascii="Times New Roman" w:hAnsi="Times New Roman"/>
                <w:noProof/>
                <w:sz w:val="24"/>
              </w:rPr>
              <w:t>2022. gada 20. jūlijs</w:t>
            </w:r>
          </w:p>
        </w:tc>
      </w:tr>
      <w:tr w:rsidR="006D1404" w:rsidRPr="006D1404" w14:paraId="6691E3CC" w14:textId="77777777" w:rsidTr="00AA6A5F">
        <w:trPr>
          <w:trHeight w:val="419"/>
        </w:trPr>
        <w:tc>
          <w:tcPr>
            <w:tcW w:w="7054" w:type="dxa"/>
          </w:tcPr>
          <w:p w14:paraId="15DDA7E6"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Specializētā komiteja par dalību Savienības programmās (2. sanāksme)</w:t>
            </w:r>
          </w:p>
        </w:tc>
        <w:tc>
          <w:tcPr>
            <w:tcW w:w="2188" w:type="dxa"/>
          </w:tcPr>
          <w:p w14:paraId="737EE7DC"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2022. gada 22. septembris</w:t>
            </w:r>
          </w:p>
        </w:tc>
      </w:tr>
      <w:tr w:rsidR="006D1404" w:rsidRPr="006D1404" w14:paraId="21867D0D" w14:textId="77777777" w:rsidTr="00AA6A5F">
        <w:tc>
          <w:tcPr>
            <w:tcW w:w="7054" w:type="dxa"/>
          </w:tcPr>
          <w:p w14:paraId="05DCF323"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Specializētā enerģētikas komiteja (3. sanāksme)</w:t>
            </w:r>
          </w:p>
        </w:tc>
        <w:tc>
          <w:tcPr>
            <w:tcW w:w="2188" w:type="dxa"/>
          </w:tcPr>
          <w:p w14:paraId="08683A05"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2022. gada 28. septembris</w:t>
            </w:r>
          </w:p>
        </w:tc>
      </w:tr>
      <w:tr w:rsidR="006D1404" w:rsidRPr="006D1404" w14:paraId="0BF6F7C4" w14:textId="77777777" w:rsidTr="00AA6A5F">
        <w:tc>
          <w:tcPr>
            <w:tcW w:w="7054" w:type="dxa"/>
          </w:tcPr>
          <w:p w14:paraId="3F782E25"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Tirdzniecības specializētā komiteja preču jomā (2. sanāksme)</w:t>
            </w:r>
          </w:p>
        </w:tc>
        <w:tc>
          <w:tcPr>
            <w:tcW w:w="2188" w:type="dxa"/>
          </w:tcPr>
          <w:p w14:paraId="008F13CB"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2022. gada 5. oktobris</w:t>
            </w:r>
          </w:p>
        </w:tc>
      </w:tr>
      <w:tr w:rsidR="006D1404" w:rsidRPr="006D1404" w14:paraId="6108A7BA" w14:textId="77777777" w:rsidTr="00AA6A5F">
        <w:tc>
          <w:tcPr>
            <w:tcW w:w="7054" w:type="dxa"/>
          </w:tcPr>
          <w:p w14:paraId="1C8BC358"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Specializētā tirdzniecības komiteja administratīvajai sadarbībai PVN un nodokļu un nodevu piedziņas jomā (2. sanāksme)</w:t>
            </w:r>
          </w:p>
        </w:tc>
        <w:tc>
          <w:tcPr>
            <w:tcW w:w="2188" w:type="dxa"/>
          </w:tcPr>
          <w:p w14:paraId="38D1BB3B"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2022. gada 6. oktobris</w:t>
            </w:r>
          </w:p>
        </w:tc>
      </w:tr>
      <w:tr w:rsidR="006D1404" w:rsidRPr="006D1404" w14:paraId="198D6E17" w14:textId="77777777" w:rsidTr="00AA6A5F">
        <w:tc>
          <w:tcPr>
            <w:tcW w:w="7054" w:type="dxa"/>
          </w:tcPr>
          <w:p w14:paraId="24177246"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Tirdzniecības specializētā komiteja intelektuālā īpašuma jomā (2. sanāksme)</w:t>
            </w:r>
          </w:p>
        </w:tc>
        <w:tc>
          <w:tcPr>
            <w:tcW w:w="2188" w:type="dxa"/>
          </w:tcPr>
          <w:p w14:paraId="3287A9E4"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2022. gada 10. oktobris</w:t>
            </w:r>
          </w:p>
        </w:tc>
      </w:tr>
      <w:tr w:rsidR="006D1404" w:rsidRPr="006D1404" w14:paraId="2F055FE8" w14:textId="77777777" w:rsidTr="00AA6A5F">
        <w:tc>
          <w:tcPr>
            <w:tcW w:w="7054" w:type="dxa"/>
          </w:tcPr>
          <w:p w14:paraId="61C52F29"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Tirdzniecības specializētā komiteja jautājumos par vienlīdzīgiem apstākļiem atvērtai un godīgai konkurencei un ilgtspējīgai attīstībai (2. sanāksme)</w:t>
            </w:r>
          </w:p>
        </w:tc>
        <w:tc>
          <w:tcPr>
            <w:tcW w:w="2188" w:type="dxa"/>
          </w:tcPr>
          <w:p w14:paraId="64AF2AAF"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2022. gada 12. oktobris</w:t>
            </w:r>
          </w:p>
        </w:tc>
      </w:tr>
      <w:tr w:rsidR="006D1404" w:rsidRPr="006D1404" w14:paraId="181C9323" w14:textId="77777777" w:rsidTr="00AA6A5F">
        <w:tc>
          <w:tcPr>
            <w:tcW w:w="7054" w:type="dxa"/>
          </w:tcPr>
          <w:p w14:paraId="7C3D0312" w14:textId="77777777" w:rsidR="006D1404" w:rsidRPr="006D1404" w:rsidRDefault="006D1404" w:rsidP="006D1404">
            <w:pPr>
              <w:autoSpaceDE w:val="0"/>
              <w:autoSpaceDN w:val="0"/>
              <w:adjustRightInd w:val="0"/>
              <w:spacing w:before="100" w:beforeAutospacing="1" w:after="100" w:afterAutospacing="1"/>
              <w:rPr>
                <w:rFonts w:ascii="Times New Roman" w:hAnsi="Times New Roman" w:cs="Times New Roman"/>
                <w:noProof/>
                <w:color w:val="000000"/>
                <w:sz w:val="24"/>
                <w:szCs w:val="24"/>
              </w:rPr>
            </w:pPr>
            <w:r>
              <w:rPr>
                <w:rFonts w:ascii="Times New Roman" w:hAnsi="Times New Roman"/>
                <w:noProof/>
                <w:color w:val="000000"/>
                <w:sz w:val="24"/>
              </w:rPr>
              <w:t>Specializētā komiteja tiesībaizsardzības un tiesu iestāžu sadarbības jautājumos (2. sanāksme)</w:t>
            </w:r>
          </w:p>
        </w:tc>
        <w:tc>
          <w:tcPr>
            <w:tcW w:w="2188" w:type="dxa"/>
          </w:tcPr>
          <w:p w14:paraId="4BABC7CB"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2022. gada 13. oktobris</w:t>
            </w:r>
          </w:p>
        </w:tc>
      </w:tr>
      <w:tr w:rsidR="006D1404" w:rsidRPr="006D1404" w14:paraId="4375E56D" w14:textId="77777777" w:rsidTr="00AA6A5F">
        <w:tc>
          <w:tcPr>
            <w:tcW w:w="7054" w:type="dxa"/>
          </w:tcPr>
          <w:p w14:paraId="1B4557C5" w14:textId="77777777" w:rsidR="006D1404" w:rsidRPr="006D1404" w:rsidRDefault="006D1404" w:rsidP="006D1404">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Tirdzniecības specializētā komiteja muitas sadarbības un izcelsmes noteikumu jomā (2. sanāksme)</w:t>
            </w:r>
          </w:p>
        </w:tc>
        <w:tc>
          <w:tcPr>
            <w:tcW w:w="2188" w:type="dxa"/>
          </w:tcPr>
          <w:p w14:paraId="4E44E0EE"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2022. gada 17. oktobris</w:t>
            </w:r>
          </w:p>
        </w:tc>
      </w:tr>
      <w:tr w:rsidR="006D1404" w:rsidRPr="006D1404" w14:paraId="3AC68C25" w14:textId="77777777" w:rsidTr="00AA6A5F">
        <w:tc>
          <w:tcPr>
            <w:tcW w:w="7054" w:type="dxa"/>
          </w:tcPr>
          <w:p w14:paraId="1CEF4DB5"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Tirdzniecības specializētā komiteja sanitāro un fitosanitāro pasākumu jomā (2. sanāksme)</w:t>
            </w:r>
          </w:p>
        </w:tc>
        <w:tc>
          <w:tcPr>
            <w:tcW w:w="2188" w:type="dxa"/>
          </w:tcPr>
          <w:p w14:paraId="2384DAB1"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2022. gada 19. oktobris</w:t>
            </w:r>
          </w:p>
        </w:tc>
      </w:tr>
      <w:tr w:rsidR="006D1404" w:rsidRPr="006D1404" w14:paraId="3A0D2628" w14:textId="77777777" w:rsidTr="00AA6A5F">
        <w:tc>
          <w:tcPr>
            <w:tcW w:w="7054" w:type="dxa"/>
          </w:tcPr>
          <w:p w14:paraId="6DFB4B18" w14:textId="77777777" w:rsidR="006D1404" w:rsidRPr="006D1404" w:rsidRDefault="006D1404" w:rsidP="006D1404">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Tirdzniecības specializētā komiteja pakalpojumu, investīciju un digitālās tirdzniecības jomā (2. sanāksme)</w:t>
            </w:r>
          </w:p>
        </w:tc>
        <w:tc>
          <w:tcPr>
            <w:tcW w:w="2188" w:type="dxa"/>
          </w:tcPr>
          <w:p w14:paraId="5C7CC7E3"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2022. gada 20. oktobris</w:t>
            </w:r>
          </w:p>
        </w:tc>
      </w:tr>
      <w:tr w:rsidR="006D1404" w:rsidRPr="006D1404" w14:paraId="6978D19B" w14:textId="77777777" w:rsidTr="00AA6A5F">
        <w:tc>
          <w:tcPr>
            <w:tcW w:w="7054" w:type="dxa"/>
          </w:tcPr>
          <w:p w14:paraId="257DAC71"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Specializētā zvejniecības komiteja (5. sanāksme)</w:t>
            </w:r>
          </w:p>
        </w:tc>
        <w:tc>
          <w:tcPr>
            <w:tcW w:w="2188" w:type="dxa"/>
          </w:tcPr>
          <w:p w14:paraId="614D31B5"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2022. gada 21. oktobris</w:t>
            </w:r>
          </w:p>
        </w:tc>
      </w:tr>
      <w:tr w:rsidR="006D1404" w:rsidRPr="006D1404" w14:paraId="74C9EA5F" w14:textId="77777777" w:rsidTr="00AA6A5F">
        <w:tc>
          <w:tcPr>
            <w:tcW w:w="7054" w:type="dxa"/>
          </w:tcPr>
          <w:p w14:paraId="5B0E13E1"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Tirdzniecības specializētā komiteja par tehniskajiem šķēršļiem tirdzniecībai (2. sanāksme)</w:t>
            </w:r>
          </w:p>
        </w:tc>
        <w:tc>
          <w:tcPr>
            <w:tcW w:w="2188" w:type="dxa"/>
          </w:tcPr>
          <w:p w14:paraId="461D8025"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2022. gada 24. oktobris</w:t>
            </w:r>
          </w:p>
        </w:tc>
      </w:tr>
      <w:tr w:rsidR="006D1404" w:rsidRPr="006D1404" w14:paraId="13E2038A" w14:textId="77777777" w:rsidTr="00AA6A5F">
        <w:tc>
          <w:tcPr>
            <w:tcW w:w="7054" w:type="dxa"/>
          </w:tcPr>
          <w:p w14:paraId="0131440A"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Tirdzniecības specializētā komiteja regulatīvās sadarbības jomā (2. sanāksme)</w:t>
            </w:r>
          </w:p>
        </w:tc>
        <w:tc>
          <w:tcPr>
            <w:tcW w:w="2188" w:type="dxa"/>
          </w:tcPr>
          <w:p w14:paraId="5A0BDB1E"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2022. gada 26. oktobris</w:t>
            </w:r>
          </w:p>
        </w:tc>
      </w:tr>
      <w:tr w:rsidR="006D1404" w:rsidRPr="006D1404" w14:paraId="4316EECA" w14:textId="77777777" w:rsidTr="00AA6A5F">
        <w:tc>
          <w:tcPr>
            <w:tcW w:w="7054" w:type="dxa"/>
          </w:tcPr>
          <w:p w14:paraId="60AE8AD1"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Tirdzniecības specializētā komiteja publiskā iepirkuma jomā (2. sanāksme)</w:t>
            </w:r>
          </w:p>
        </w:tc>
        <w:tc>
          <w:tcPr>
            <w:tcW w:w="2188" w:type="dxa"/>
          </w:tcPr>
          <w:p w14:paraId="23104AEB"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2022. gada 27. oktobris</w:t>
            </w:r>
          </w:p>
        </w:tc>
      </w:tr>
      <w:tr w:rsidR="006D1404" w:rsidRPr="006D1404" w14:paraId="4E8DAFB1" w14:textId="77777777" w:rsidTr="00AA6A5F">
        <w:tc>
          <w:tcPr>
            <w:tcW w:w="7054" w:type="dxa"/>
          </w:tcPr>
          <w:p w14:paraId="61D397EB"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Specializētā aviācijas drošuma komiteja (2. sanāksme)</w:t>
            </w:r>
          </w:p>
        </w:tc>
        <w:tc>
          <w:tcPr>
            <w:tcW w:w="2188" w:type="dxa"/>
          </w:tcPr>
          <w:p w14:paraId="0D77F8BA"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2022. gada 14. novembris</w:t>
            </w:r>
          </w:p>
        </w:tc>
      </w:tr>
      <w:tr w:rsidR="006D1404" w:rsidRPr="006D1404" w14:paraId="63F25F67" w14:textId="77777777" w:rsidTr="00AA6A5F">
        <w:tc>
          <w:tcPr>
            <w:tcW w:w="7054" w:type="dxa"/>
          </w:tcPr>
          <w:p w14:paraId="2C99F504"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Specializētā autotransporta komiteja (2. sanāksme)</w:t>
            </w:r>
          </w:p>
        </w:tc>
        <w:tc>
          <w:tcPr>
            <w:tcW w:w="2188" w:type="dxa"/>
          </w:tcPr>
          <w:p w14:paraId="29595A85"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2022. gada 21. novembris</w:t>
            </w:r>
          </w:p>
        </w:tc>
      </w:tr>
      <w:tr w:rsidR="006D1404" w:rsidRPr="006D1404" w14:paraId="2EE505FF" w14:textId="77777777" w:rsidTr="00AA6A5F">
        <w:tc>
          <w:tcPr>
            <w:tcW w:w="7054" w:type="dxa"/>
          </w:tcPr>
          <w:p w14:paraId="6442F05F" w14:textId="77777777" w:rsidR="006D1404" w:rsidRPr="006D1404" w:rsidRDefault="006D1404" w:rsidP="006D1404">
            <w:pPr>
              <w:autoSpaceDE w:val="0"/>
              <w:autoSpaceDN w:val="0"/>
              <w:adjustRightInd w:val="0"/>
              <w:spacing w:before="100" w:beforeAutospacing="1" w:after="100" w:afterAutospacing="1"/>
              <w:rPr>
                <w:rFonts w:ascii="Times New Roman" w:hAnsi="Times New Roman" w:cs="Times New Roman"/>
                <w:noProof/>
                <w:color w:val="000000"/>
                <w:sz w:val="24"/>
                <w:szCs w:val="24"/>
              </w:rPr>
            </w:pPr>
            <w:r>
              <w:rPr>
                <w:rFonts w:ascii="Times New Roman" w:hAnsi="Times New Roman"/>
                <w:noProof/>
                <w:color w:val="000000"/>
                <w:sz w:val="24"/>
              </w:rPr>
              <w:t xml:space="preserve">Tirdzniecības partnerības komiteja </w:t>
            </w:r>
          </w:p>
        </w:tc>
        <w:tc>
          <w:tcPr>
            <w:tcW w:w="2188" w:type="dxa"/>
          </w:tcPr>
          <w:p w14:paraId="770C534F"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2022. gada 1. decembris</w:t>
            </w:r>
          </w:p>
        </w:tc>
      </w:tr>
      <w:tr w:rsidR="006D1404" w:rsidRPr="006D1404" w14:paraId="12DFE8E8" w14:textId="77777777" w:rsidTr="00AA6A5F">
        <w:tc>
          <w:tcPr>
            <w:tcW w:w="7054" w:type="dxa"/>
          </w:tcPr>
          <w:p w14:paraId="2323CAB3" w14:textId="77777777" w:rsidR="006D1404" w:rsidRPr="006D1404" w:rsidRDefault="006D1404" w:rsidP="006D1404">
            <w:pPr>
              <w:autoSpaceDE w:val="0"/>
              <w:autoSpaceDN w:val="0"/>
              <w:adjustRightInd w:val="0"/>
              <w:spacing w:before="100" w:beforeAutospacing="1" w:after="100" w:afterAutospacing="1"/>
              <w:rPr>
                <w:rFonts w:ascii="Times New Roman" w:hAnsi="Times New Roman" w:cs="Times New Roman"/>
                <w:noProof/>
                <w:color w:val="000000"/>
                <w:sz w:val="24"/>
                <w:szCs w:val="24"/>
                <w:highlight w:val="yellow"/>
              </w:rPr>
            </w:pPr>
            <w:r>
              <w:rPr>
                <w:rFonts w:ascii="Times New Roman" w:hAnsi="Times New Roman"/>
                <w:noProof/>
                <w:color w:val="000000"/>
                <w:sz w:val="24"/>
              </w:rPr>
              <w:t xml:space="preserve">Partnerības padome </w:t>
            </w:r>
          </w:p>
        </w:tc>
        <w:tc>
          <w:tcPr>
            <w:tcW w:w="2188" w:type="dxa"/>
          </w:tcPr>
          <w:p w14:paraId="2F23FE4F" w14:textId="77777777" w:rsidR="006D1404" w:rsidRPr="006D1404" w:rsidRDefault="006D1404" w:rsidP="006D1404">
            <w:pPr>
              <w:spacing w:before="100" w:beforeAutospacing="1" w:after="100" w:afterAutospacing="1"/>
              <w:jc w:val="center"/>
              <w:rPr>
                <w:rFonts w:ascii="Times New Roman" w:hAnsi="Times New Roman" w:cs="Times New Roman"/>
                <w:noProof/>
                <w:sz w:val="24"/>
                <w:szCs w:val="24"/>
                <w:highlight w:val="yellow"/>
              </w:rPr>
            </w:pPr>
            <w:r>
              <w:rPr>
                <w:rFonts w:ascii="Times New Roman" w:hAnsi="Times New Roman"/>
                <w:noProof/>
                <w:sz w:val="24"/>
              </w:rPr>
              <w:t>—</w:t>
            </w:r>
          </w:p>
        </w:tc>
      </w:tr>
    </w:tbl>
    <w:p w14:paraId="32F6B558" w14:textId="77777777" w:rsidR="006D1404" w:rsidRPr="006D1404" w:rsidRDefault="006D1404" w:rsidP="006D1404">
      <w:pPr>
        <w:jc w:val="both"/>
        <w:rPr>
          <w:rFonts w:ascii="Times New Roman" w:hAnsi="Times New Roman" w:cs="Times New Roman"/>
          <w:noProof/>
          <w:sz w:val="24"/>
          <w:szCs w:val="24"/>
        </w:rPr>
      </w:pPr>
    </w:p>
    <w:p w14:paraId="3D97B920" w14:textId="77777777" w:rsidR="002C207C" w:rsidRPr="00863AAB" w:rsidRDefault="002C207C" w:rsidP="006D1404">
      <w:pPr>
        <w:pStyle w:val="TOC1"/>
        <w:rPr>
          <w:rFonts w:ascii="Times New Roman" w:hAnsi="Times New Roman" w:cs="Times New Roman"/>
          <w:noProof/>
          <w:sz w:val="24"/>
          <w:szCs w:val="24"/>
        </w:rPr>
      </w:pPr>
    </w:p>
    <w:sectPr w:rsidR="002C207C" w:rsidRPr="00863AAB" w:rsidSect="000F4FB7">
      <w:headerReference w:type="even" r:id="rId29"/>
      <w:headerReference w:type="default" r:id="rId30"/>
      <w:footerReference w:type="even" r:id="rId31"/>
      <w:footerReference w:type="default" r:id="rId32"/>
      <w:headerReference w:type="first" r:id="rId33"/>
      <w:footerReference w:type="first" r:id="rId34"/>
      <w:pgSz w:w="11906" w:h="16838"/>
      <w:pgMar w:top="1440" w:right="1440" w:bottom="1418"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6B0165" w14:textId="77777777" w:rsidR="00AB6397" w:rsidRDefault="00AB6397" w:rsidP="003E5080">
      <w:pPr>
        <w:spacing w:after="0" w:line="240" w:lineRule="auto"/>
      </w:pPr>
      <w:r>
        <w:separator/>
      </w:r>
    </w:p>
  </w:endnote>
  <w:endnote w:type="continuationSeparator" w:id="0">
    <w:p w14:paraId="0052B7AD" w14:textId="77777777" w:rsidR="00AB6397" w:rsidRDefault="00AB6397" w:rsidP="003E5080">
      <w:pPr>
        <w:spacing w:after="0" w:line="240" w:lineRule="auto"/>
      </w:pPr>
      <w:r>
        <w:continuationSeparator/>
      </w:r>
    </w:p>
  </w:endnote>
  <w:endnote w:type="continuationNotice" w:id="1">
    <w:p w14:paraId="0C30B062" w14:textId="77777777" w:rsidR="00AB6397" w:rsidRDefault="00AB63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E6AD7" w14:textId="77777777" w:rsidR="008A75FD" w:rsidRPr="008A75FD" w:rsidRDefault="008A75FD" w:rsidP="008A75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0187C" w14:textId="16CCCFA0" w:rsidR="00453272" w:rsidRPr="008A75FD" w:rsidRDefault="008A75FD" w:rsidP="008A75FD">
    <w:pPr>
      <w:pStyle w:val="FooterCoverPage"/>
      <w:rPr>
        <w:rFonts w:ascii="Arial" w:hAnsi="Arial" w:cs="Arial"/>
        <w:b/>
        <w:sz w:val="48"/>
      </w:rPr>
    </w:pPr>
    <w:r w:rsidRPr="008A75FD">
      <w:rPr>
        <w:rFonts w:ascii="Arial" w:hAnsi="Arial" w:cs="Arial"/>
        <w:b/>
        <w:sz w:val="48"/>
      </w:rPr>
      <w:t>LV</w:t>
    </w:r>
    <w:r w:rsidRPr="008A75FD">
      <w:rPr>
        <w:rFonts w:ascii="Arial" w:hAnsi="Arial" w:cs="Arial"/>
        <w:b/>
        <w:sz w:val="48"/>
      </w:rPr>
      <w:tab/>
    </w:r>
    <w:r w:rsidRPr="008A75FD">
      <w:rPr>
        <w:rFonts w:ascii="Arial" w:hAnsi="Arial" w:cs="Arial"/>
        <w:b/>
        <w:sz w:val="48"/>
      </w:rPr>
      <w:tab/>
    </w:r>
    <w:r w:rsidRPr="008A75FD">
      <w:tab/>
    </w:r>
    <w:r w:rsidRPr="008A75FD">
      <w:rPr>
        <w:rFonts w:ascii="Arial" w:hAnsi="Arial" w:cs="Arial"/>
        <w:b/>
        <w:sz w:val="48"/>
      </w:rPr>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6750B" w14:textId="77777777" w:rsidR="008A75FD" w:rsidRPr="008A75FD" w:rsidRDefault="008A75FD" w:rsidP="008A75F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ACD35" w14:textId="77777777" w:rsidR="006D1404" w:rsidRDefault="006D1404">
    <w:pPr>
      <w:pStyle w:val="Footer"/>
      <w:jc w:val="right"/>
    </w:pPr>
  </w:p>
  <w:p w14:paraId="1DCF6E0E" w14:textId="77777777" w:rsidR="006D1404" w:rsidRDefault="006D140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9419401"/>
      <w:docPartObj>
        <w:docPartGallery w:val="Page Numbers (Bottom of Page)"/>
        <w:docPartUnique/>
      </w:docPartObj>
    </w:sdtPr>
    <w:sdtEndPr>
      <w:rPr>
        <w:rFonts w:ascii="Times New Roman" w:hAnsi="Times New Roman" w:cs="Times New Roman"/>
        <w:noProof/>
      </w:rPr>
    </w:sdtEndPr>
    <w:sdtContent>
      <w:p w14:paraId="42C93E5C" w14:textId="2044D5E4" w:rsidR="006D1404" w:rsidRPr="000F4FB7" w:rsidRDefault="000F4FB7" w:rsidP="000F4FB7">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8A75FD">
          <w:rPr>
            <w:rFonts w:ascii="Times New Roman" w:hAnsi="Times New Roman" w:cs="Times New Roman"/>
            <w:noProof/>
          </w:rPr>
          <w:t>1</w:t>
        </w:r>
        <w:r>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6C7FF" w14:textId="77777777" w:rsidR="000F4FB7" w:rsidRDefault="000F4FB7">
    <w:pPr>
      <w:pStyle w:val="Footer"/>
      <w:jc w:val="right"/>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7ECB8" w14:textId="77777777" w:rsidR="00103EE3" w:rsidRDefault="002148E4" w:rsidP="00073840">
    <w:pPr>
      <w:pStyle w:val="Footer"/>
      <w:jc w:val="right"/>
    </w:pPr>
    <w:r>
      <w:fldChar w:fldCharType="begin"/>
    </w:r>
    <w:r>
      <w:instrText xml:space="preserve"> PAGE   \* MERGEFORMAT </w:instrText>
    </w:r>
    <w:r>
      <w:fldChar w:fldCharType="separate"/>
    </w:r>
    <w:r>
      <w:t>4</w:t>
    </w:r>
    <w:r>
      <w:fldChar w:fldCharType="end"/>
    </w:r>
  </w:p>
  <w:p w14:paraId="38310518" w14:textId="77777777" w:rsidR="00103EE3" w:rsidRDefault="008A75FD" w:rsidP="00073840">
    <w:pPr>
      <w:pStyle w:val="Footer"/>
      <w:jc w:val="righ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0822867"/>
      <w:docPartObj>
        <w:docPartGallery w:val="Page Numbers (Bottom of Page)"/>
        <w:docPartUnique/>
      </w:docPartObj>
    </w:sdtPr>
    <w:sdtEndPr>
      <w:rPr>
        <w:rFonts w:ascii="Times New Roman" w:hAnsi="Times New Roman" w:cs="Times New Roman"/>
        <w:noProof/>
      </w:rPr>
    </w:sdtEndPr>
    <w:sdtContent>
      <w:p w14:paraId="4F83C968" w14:textId="720ED577" w:rsidR="00453272" w:rsidRPr="000F4FB7" w:rsidRDefault="00453272" w:rsidP="000F4FB7">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8A75FD">
          <w:rPr>
            <w:rFonts w:ascii="Times New Roman" w:hAnsi="Times New Roman" w:cs="Times New Roman"/>
            <w:noProof/>
          </w:rPr>
          <w:t>20</w:t>
        </w:r>
        <w:r>
          <w:rPr>
            <w:rFonts w:ascii="Times New Roman" w:hAnsi="Times New Roman" w:cs="Times New Roman"/>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5524C" w14:textId="77777777" w:rsidR="00103EE3" w:rsidRPr="000F4FB7" w:rsidRDefault="008A75FD" w:rsidP="000F4F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59DBC8" w14:textId="77777777" w:rsidR="00AB6397" w:rsidRDefault="00AB6397" w:rsidP="003E5080">
      <w:pPr>
        <w:spacing w:after="0" w:line="240" w:lineRule="auto"/>
      </w:pPr>
      <w:r>
        <w:separator/>
      </w:r>
    </w:p>
  </w:footnote>
  <w:footnote w:type="continuationSeparator" w:id="0">
    <w:p w14:paraId="131BD68E" w14:textId="77777777" w:rsidR="00AB6397" w:rsidRDefault="00AB6397" w:rsidP="003E5080">
      <w:pPr>
        <w:spacing w:after="0" w:line="240" w:lineRule="auto"/>
      </w:pPr>
      <w:r>
        <w:continuationSeparator/>
      </w:r>
    </w:p>
  </w:footnote>
  <w:footnote w:type="continuationNotice" w:id="1">
    <w:p w14:paraId="3834FB7D" w14:textId="77777777" w:rsidR="00AB6397" w:rsidRDefault="00AB6397">
      <w:pPr>
        <w:spacing w:after="0" w:line="240" w:lineRule="auto"/>
      </w:pPr>
    </w:p>
  </w:footnote>
  <w:footnote w:id="2">
    <w:p w14:paraId="39F0AA4A" w14:textId="315E6B4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00C1128C" w:rsidRPr="00C1128C">
        <w:rPr>
          <w:rFonts w:ascii="Times New Roman" w:hAnsi="Times New Roman" w:cs="Times New Roman"/>
        </w:rPr>
        <w:t xml:space="preserve"> </w:t>
      </w:r>
      <w:r w:rsidRPr="00C1128C">
        <w:rPr>
          <w:rFonts w:ascii="Times New Roman" w:hAnsi="Times New Roman" w:cs="Times New Roman"/>
        </w:rPr>
        <w:t xml:space="preserve">Tirdzniecības un sadarbības nolīgums starp Eiropas Savienību un Eiropas Atomenerģijas kopienu, no vienas puses, un Lielbritānijas un Ziemeļīrijas Apvienoto Karalisti, no otras puses (OV L 149, 10. lpp.), </w:t>
      </w:r>
      <w:hyperlink r:id="rId1" w:history="1">
        <w:r w:rsidRPr="00C1128C">
          <w:rPr>
            <w:rStyle w:val="Hyperlink"/>
            <w:rFonts w:ascii="Times New Roman" w:hAnsi="Times New Roman" w:cs="Times New Roman"/>
          </w:rPr>
          <w:t>https://eur-lex.europa.eu/legal-content/LV/TXT/PDF/?uri=CELEX:22021A0430(01)&amp;from=EN</w:t>
        </w:r>
      </w:hyperlink>
      <w:r w:rsidRPr="00C1128C">
        <w:rPr>
          <w:rFonts w:ascii="Times New Roman" w:hAnsi="Times New Roman" w:cs="Times New Roman"/>
        </w:rPr>
        <w:t>.</w:t>
      </w:r>
    </w:p>
  </w:footnote>
  <w:footnote w:id="3">
    <w:p w14:paraId="60C1A083" w14:textId="4AEA7969"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00C1128C" w:rsidRPr="00C1128C">
        <w:rPr>
          <w:rFonts w:ascii="Times New Roman" w:hAnsi="Times New Roman" w:cs="Times New Roman"/>
        </w:rPr>
        <w:t xml:space="preserve"> </w:t>
      </w:r>
      <w:r w:rsidRPr="00C1128C">
        <w:rPr>
          <w:rFonts w:ascii="Times New Roman" w:hAnsi="Times New Roman" w:cs="Times New Roman"/>
        </w:rPr>
        <w:t xml:space="preserve">Padomes Lēmums (ES) 2021/689 (2021. gada 29. aprīlis) par to, lai Savienības vārdā noslēgtu Tirdzniecības un sadarbības nolīgumu starp Eiropas Savienību un Eiropas Atomenerģijas kopienu, no vienas puses, un Lielbritānijas un Ziemeļīrijas Apvienoto Karalisti, no otras puses, un Nolīgumu starp Eiropas Savienību un Lielbritānijas un Ziemeļīrijas Apvienoto Karalisti par drošības procedūrām klasificētas informācijas apmaiņai un aizsardzībai (OV L 149, 2. lpp.), </w:t>
      </w:r>
      <w:hyperlink r:id="rId2" w:history="1">
        <w:r w:rsidRPr="00C1128C">
          <w:rPr>
            <w:rFonts w:ascii="Times New Roman" w:hAnsi="Times New Roman" w:cs="Times New Roman"/>
            <w:color w:val="0563C1" w:themeColor="hyperlink"/>
            <w:u w:val="single"/>
          </w:rPr>
          <w:t>https://eur-lex.europa.eu/legal-content/LV/TXT/PDF/?uri=CELEX:32021D0689&amp;from=EN</w:t>
        </w:r>
      </w:hyperlink>
      <w:r w:rsidRPr="00C1128C">
        <w:rPr>
          <w:rFonts w:ascii="Times New Roman" w:hAnsi="Times New Roman" w:cs="Times New Roman"/>
        </w:rPr>
        <w:t xml:space="preserve">. </w:t>
      </w:r>
    </w:p>
  </w:footnote>
  <w:footnote w:id="4">
    <w:p w14:paraId="7F37B44D" w14:textId="26986999" w:rsidR="006D1404" w:rsidRPr="00C1128C" w:rsidRDefault="006D1404" w:rsidP="006D1404">
      <w:pPr>
        <w:pStyle w:val="footnotejt"/>
      </w:pPr>
      <w:r w:rsidRPr="00C1128C">
        <w:rPr>
          <w:rStyle w:val="FootnoteReference"/>
        </w:rPr>
        <w:footnoteRef/>
      </w:r>
      <w:r w:rsidR="00C1128C" w:rsidRPr="00C1128C">
        <w:t xml:space="preserve"> </w:t>
      </w:r>
      <w:r w:rsidRPr="00C1128C">
        <w:t>TSN 409. pantā minēto ekspertu grupu paredzēts izveidot 2023. gadā.</w:t>
      </w:r>
    </w:p>
  </w:footnote>
  <w:footnote w:id="5">
    <w:p w14:paraId="170CF1B3"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3" w:history="1">
        <w:r w:rsidRPr="00C1128C">
          <w:rPr>
            <w:rStyle w:val="Hyperlink"/>
            <w:rFonts w:ascii="Times New Roman" w:hAnsi="Times New Roman" w:cs="Times New Roman"/>
          </w:rPr>
          <w:t>https://ec.europa.eu/info/strategy/relations-non-eu-countries/relations-united-kingdom/eu-uk-trade-and-cooperation-agreement/meetings-eu-uk-partnership-council-and-specialised-committees-under-trade-and-cooperation-agreement_en</w:t>
        </w:r>
      </w:hyperlink>
      <w:r w:rsidRPr="00C1128C">
        <w:rPr>
          <w:rFonts w:ascii="Times New Roman" w:hAnsi="Times New Roman" w:cs="Times New Roman"/>
        </w:rPr>
        <w:t>.</w:t>
      </w:r>
    </w:p>
  </w:footnote>
  <w:footnote w:id="6">
    <w:p w14:paraId="66A12017" w14:textId="10D6A171" w:rsidR="006D1404" w:rsidRPr="00C1128C" w:rsidRDefault="006D1404" w:rsidP="006D1404">
      <w:pPr>
        <w:pStyle w:val="FootnoteText"/>
        <w:rPr>
          <w:rFonts w:ascii="Times New Roman" w:hAnsi="Times New Roman" w:cs="Times New Roman"/>
          <w:sz w:val="18"/>
          <w:szCs w:val="18"/>
        </w:rPr>
      </w:pPr>
      <w:r w:rsidRPr="00C1128C">
        <w:rPr>
          <w:rStyle w:val="FootnoteReference"/>
          <w:rFonts w:ascii="Times New Roman" w:hAnsi="Times New Roman" w:cs="Times New Roman"/>
        </w:rPr>
        <w:footnoteRef/>
      </w:r>
      <w:r w:rsidRPr="00C1128C">
        <w:rPr>
          <w:rFonts w:ascii="Times New Roman" w:hAnsi="Times New Roman" w:cs="Times New Roman"/>
        </w:rPr>
        <w:t xml:space="preserve"> Parlamentāro partnerattiecību asamblejas sanāksmju darba kārtības: </w:t>
      </w:r>
      <w:hyperlink r:id="rId4" w:history="1">
        <w:r w:rsidRPr="00C1128C">
          <w:rPr>
            <w:rFonts w:ascii="Times New Roman" w:hAnsi="Times New Roman" w:cs="Times New Roman"/>
            <w:color w:val="0563C1" w:themeColor="hyperlink"/>
            <w:u w:val="single"/>
          </w:rPr>
          <w:t>https://www.europarl.europa.eu/delegations/lv/d-uk/activities/inter-parliamentary</w:t>
        </w:r>
      </w:hyperlink>
      <w:r w:rsidRPr="00C1128C">
        <w:rPr>
          <w:rFonts w:ascii="Times New Roman" w:hAnsi="Times New Roman" w:cs="Times New Roman"/>
        </w:rPr>
        <w:t>.</w:t>
      </w:r>
      <w:r w:rsidRPr="00C1128C">
        <w:rPr>
          <w:rFonts w:ascii="Times New Roman" w:hAnsi="Times New Roman" w:cs="Times New Roman"/>
          <w:sz w:val="18"/>
        </w:rPr>
        <w:t xml:space="preserve"> </w:t>
      </w:r>
    </w:p>
  </w:footnote>
  <w:footnote w:id="7">
    <w:p w14:paraId="4E58F7CF"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Pilns TSN ietvaros izveidotās ES vietējās konsultantu grupas sastāvs ir publicēts šeit: </w:t>
      </w:r>
      <w:hyperlink r:id="rId5" w:history="1">
        <w:r w:rsidRPr="00C1128C">
          <w:rPr>
            <w:rStyle w:val="Hyperlink"/>
            <w:rFonts w:ascii="Times New Roman" w:hAnsi="Times New Roman" w:cs="Times New Roman"/>
          </w:rPr>
          <w:t>https://www.eesc.europa.eu/en/sections-other-bodies/other/eu-domestic-advisory-group-under-eu-uk-tca/organisation</w:t>
        </w:r>
      </w:hyperlink>
      <w:r w:rsidRPr="00C1128C">
        <w:rPr>
          <w:rFonts w:ascii="Times New Roman" w:hAnsi="Times New Roman" w:cs="Times New Roman"/>
        </w:rPr>
        <w:t>.</w:t>
      </w:r>
    </w:p>
  </w:footnote>
  <w:footnote w:id="8">
    <w:p w14:paraId="462797CA" w14:textId="44E95BEF"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00C1128C">
        <w:rPr>
          <w:rFonts w:ascii="Times New Roman" w:hAnsi="Times New Roman" w:cs="Times New Roman"/>
        </w:rPr>
        <w:t xml:space="preserve"> </w:t>
      </w:r>
      <w:r w:rsidRPr="00C1128C">
        <w:rPr>
          <w:rFonts w:ascii="Times New Roman" w:hAnsi="Times New Roman" w:cs="Times New Roman"/>
        </w:rPr>
        <w:t xml:space="preserve">Sanāksmju protokoli ir publicēti šeit: </w:t>
      </w:r>
      <w:hyperlink r:id="rId6" w:history="1">
        <w:r w:rsidRPr="00C1128C">
          <w:rPr>
            <w:rStyle w:val="Hyperlink"/>
            <w:rFonts w:ascii="Times New Roman" w:hAnsi="Times New Roman" w:cs="Times New Roman"/>
          </w:rPr>
          <w:t>https://www.eesc.europa.eu/lv/sections-other-bodies/other/eu-domestic-advisory-group-under-eu-uk-tca/events</w:t>
        </w:r>
      </w:hyperlink>
      <w:r w:rsidRPr="00C1128C">
        <w:rPr>
          <w:rFonts w:ascii="Times New Roman" w:hAnsi="Times New Roman" w:cs="Times New Roman"/>
        </w:rPr>
        <w:t>.</w:t>
      </w:r>
    </w:p>
  </w:footnote>
  <w:footnote w:id="9">
    <w:p w14:paraId="77F7072E"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7" w:history="1">
        <w:r w:rsidRPr="00C1128C">
          <w:rPr>
            <w:rStyle w:val="Hyperlink"/>
            <w:rFonts w:ascii="Times New Roman" w:hAnsi="Times New Roman" w:cs="Times New Roman"/>
          </w:rPr>
          <w:t>https://eur-lex.europa.eu/legal-content/LV/TXT/?uri=CELEX%3A32022D0567</w:t>
        </w:r>
      </w:hyperlink>
      <w:r w:rsidRPr="00C1128C">
        <w:rPr>
          <w:rFonts w:ascii="Times New Roman" w:hAnsi="Times New Roman" w:cs="Times New Roman"/>
        </w:rPr>
        <w:t>.</w:t>
      </w:r>
    </w:p>
  </w:footnote>
  <w:footnote w:id="10">
    <w:p w14:paraId="5ADB7801" w14:textId="054A74C8"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00C1128C">
        <w:rPr>
          <w:rFonts w:ascii="Times New Roman" w:hAnsi="Times New Roman" w:cs="Times New Roman"/>
        </w:rPr>
        <w:t xml:space="preserve"> </w:t>
      </w:r>
      <w:r w:rsidRPr="00C1128C">
        <w:rPr>
          <w:rFonts w:ascii="Times New Roman" w:hAnsi="Times New Roman" w:cs="Times New Roman"/>
        </w:rPr>
        <w:t xml:space="preserve">Sanāksmes darba kārtība ir publicēta šeit: </w:t>
      </w:r>
      <w:hyperlink r:id="rId8" w:history="1">
        <w:r w:rsidRPr="00C1128C">
          <w:rPr>
            <w:rStyle w:val="Hyperlink"/>
            <w:rFonts w:ascii="Times New Roman" w:hAnsi="Times New Roman" w:cs="Times New Roman"/>
          </w:rPr>
          <w:t>https://policy.trade.ec.europa.eu/events/first-eu-uk-trade-and-cooperation-agreement-civil-society-forum-2022-10-04_en</w:t>
        </w:r>
      </w:hyperlink>
      <w:r w:rsidRPr="00C1128C">
        <w:rPr>
          <w:rFonts w:ascii="Times New Roman" w:hAnsi="Times New Roman" w:cs="Times New Roman"/>
        </w:rPr>
        <w:t>.</w:t>
      </w:r>
    </w:p>
  </w:footnote>
  <w:footnote w:id="11">
    <w:p w14:paraId="3097A7CA" w14:textId="77777777" w:rsidR="006D1404" w:rsidRPr="00C1128C" w:rsidRDefault="006D1404" w:rsidP="006D1404">
      <w:pPr>
        <w:pStyle w:val="FootnoteText"/>
        <w:rPr>
          <w:rFonts w:ascii="Times New Roman" w:hAnsi="Times New Roman" w:cs="Times New Roman"/>
          <w:highlight w:val="yellow"/>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9" w:history="1">
        <w:r w:rsidRPr="00C1128C">
          <w:rPr>
            <w:rStyle w:val="Hyperlink"/>
            <w:rFonts w:ascii="Times New Roman" w:hAnsi="Times New Roman" w:cs="Times New Roman"/>
          </w:rPr>
          <w:t>https://eur-lex.europa.eu/legal-content/LV/TXT/?uri=CELEX%3A22022D2550</w:t>
        </w:r>
      </w:hyperlink>
      <w:r w:rsidRPr="00C1128C">
        <w:rPr>
          <w:rFonts w:ascii="Times New Roman" w:hAnsi="Times New Roman" w:cs="Times New Roman"/>
        </w:rPr>
        <w:t>.</w:t>
      </w:r>
    </w:p>
  </w:footnote>
  <w:footnote w:id="12">
    <w:p w14:paraId="450CB9AA" w14:textId="46001754"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00C1128C">
        <w:rPr>
          <w:rFonts w:ascii="Times New Roman" w:hAnsi="Times New Roman" w:cs="Times New Roman"/>
        </w:rPr>
        <w:t xml:space="preserve"> </w:t>
      </w:r>
      <w:r w:rsidRPr="00C1128C">
        <w:rPr>
          <w:rFonts w:ascii="Times New Roman" w:hAnsi="Times New Roman" w:cs="Times New Roman"/>
        </w:rPr>
        <w:t>TSN 749. panta 4. punkts.</w:t>
      </w:r>
    </w:p>
  </w:footnote>
  <w:footnote w:id="13">
    <w:p w14:paraId="143B7AF6" w14:textId="2196C178"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00C1128C">
        <w:rPr>
          <w:rFonts w:ascii="Times New Roman" w:hAnsi="Times New Roman" w:cs="Times New Roman"/>
        </w:rPr>
        <w:t xml:space="preserve"> </w:t>
      </w:r>
      <w:r w:rsidRPr="00C1128C">
        <w:rPr>
          <w:rFonts w:ascii="Times New Roman" w:hAnsi="Times New Roman" w:cs="Times New Roman"/>
        </w:rPr>
        <w:t>TSN 374. panta 3. punkts.</w:t>
      </w:r>
    </w:p>
  </w:footnote>
  <w:footnote w:id="14">
    <w:p w14:paraId="48E8FECA"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Style w:val="FootnoteReference"/>
          <w:rFonts w:ascii="Times New Roman" w:hAnsi="Times New Roman" w:cs="Times New Roman"/>
        </w:rPr>
        <w:t xml:space="preserve"> </w:t>
      </w:r>
      <w:r w:rsidRPr="00C1128C">
        <w:rPr>
          <w:rFonts w:ascii="Times New Roman" w:hAnsi="Times New Roman" w:cs="Times New Roman"/>
        </w:rPr>
        <w:t>ES un Apvienotās Karalistes preču tirdzniecībā muitas nodokļi ir jāmaksā par nenoteiktas izcelsmes precēm, kā arī precēm, kuru izcelsme ir Apvienotajā Karalistē un kurām nav pieprasīts preferenciāls tarifs (“neizmantošana”). Pamatojoties uz 2021. gada datiem, var aplēst, ka muitas nodokļi par ražojumiem, ko no Apvienotās Karalistes importē ES, ir aptuveni 1,2 miljardi EUR gadā.</w:t>
      </w:r>
    </w:p>
  </w:footnote>
  <w:footnote w:id="15">
    <w:p w14:paraId="2D8379E7"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10" w:history="1">
        <w:r w:rsidRPr="00C1128C">
          <w:rPr>
            <w:rStyle w:val="Hyperlink"/>
            <w:rFonts w:ascii="Times New Roman" w:hAnsi="Times New Roman" w:cs="Times New Roman"/>
          </w:rPr>
          <w:t>http://data.europa.eu/eli/dec/2022/2064/oj</w:t>
        </w:r>
      </w:hyperlink>
      <w:r w:rsidRPr="00C1128C">
        <w:rPr>
          <w:rFonts w:ascii="Times New Roman" w:hAnsi="Times New Roman" w:cs="Times New Roman"/>
        </w:rPr>
        <w:t>.</w:t>
      </w:r>
    </w:p>
  </w:footnote>
  <w:footnote w:id="16">
    <w:p w14:paraId="27E869B0" w14:textId="63F8BBC2"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00C1128C" w:rsidRPr="00C1128C">
        <w:rPr>
          <w:rFonts w:ascii="Times New Roman" w:hAnsi="Times New Roman" w:cs="Times New Roman"/>
        </w:rPr>
        <w:t xml:space="preserve"> </w:t>
      </w:r>
      <w:r w:rsidRPr="00C1128C">
        <w:rPr>
          <w:rFonts w:ascii="Times New Roman" w:hAnsi="Times New Roman" w:cs="Times New Roman"/>
        </w:rPr>
        <w:t>Sk. TSN 3. un 5. pielikumu.</w:t>
      </w:r>
    </w:p>
  </w:footnote>
  <w:footnote w:id="17">
    <w:p w14:paraId="1A2B4574" w14:textId="0CE81A2E"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00C1128C" w:rsidRPr="00C1128C">
        <w:rPr>
          <w:rFonts w:ascii="Times New Roman" w:hAnsi="Times New Roman" w:cs="Times New Roman"/>
        </w:rPr>
        <w:t xml:space="preserve"> </w:t>
      </w:r>
      <w:r w:rsidRPr="00C1128C">
        <w:rPr>
          <w:rFonts w:ascii="Times New Roman" w:hAnsi="Times New Roman" w:cs="Times New Roman"/>
        </w:rPr>
        <w:t>TSN 74. panta 2. punkts.</w:t>
      </w:r>
    </w:p>
  </w:footnote>
  <w:footnote w:id="18">
    <w:p w14:paraId="091435AE" w14:textId="21C3B721"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00C1128C" w:rsidRPr="00C1128C">
        <w:rPr>
          <w:rFonts w:ascii="Times New Roman" w:hAnsi="Times New Roman" w:cs="Times New Roman"/>
        </w:rPr>
        <w:t xml:space="preserve"> </w:t>
      </w:r>
      <w:r w:rsidRPr="00C1128C">
        <w:rPr>
          <w:rFonts w:ascii="Times New Roman" w:hAnsi="Times New Roman" w:cs="Times New Roman"/>
        </w:rPr>
        <w:t>TSN 74. panta 1. punkta a) apakšpunkts.</w:t>
      </w:r>
    </w:p>
  </w:footnote>
  <w:footnote w:id="19">
    <w:p w14:paraId="675C1313"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11" w:history="1">
        <w:r w:rsidRPr="00C1128C">
          <w:rPr>
            <w:rStyle w:val="Hyperlink"/>
            <w:rFonts w:ascii="Times New Roman" w:hAnsi="Times New Roman" w:cs="Times New Roman"/>
          </w:rPr>
          <w:t>https://www.woah.org/en/what-we-do/standards/codes-and-manuals/</w:t>
        </w:r>
      </w:hyperlink>
      <w:r w:rsidRPr="00C1128C">
        <w:rPr>
          <w:rFonts w:ascii="Times New Roman" w:hAnsi="Times New Roman" w:cs="Times New Roman"/>
        </w:rPr>
        <w:t xml:space="preserve">. </w:t>
      </w:r>
    </w:p>
  </w:footnote>
  <w:footnote w:id="20">
    <w:p w14:paraId="5254A8F3" w14:textId="21CC50C0" w:rsidR="006D1404" w:rsidRPr="00C1128C" w:rsidRDefault="006D1404" w:rsidP="006D1404">
      <w:pPr>
        <w:pStyle w:val="FootnoteText"/>
        <w:rPr>
          <w:rFonts w:ascii="Times New Roman" w:hAnsi="Times New Roman" w:cs="Times New Roman"/>
          <w:sz w:val="18"/>
          <w:szCs w:val="18"/>
        </w:rPr>
      </w:pPr>
      <w:r w:rsidRPr="00C1128C">
        <w:rPr>
          <w:rStyle w:val="FootnoteReference"/>
          <w:rFonts w:ascii="Times New Roman" w:hAnsi="Times New Roman" w:cs="Times New Roman"/>
        </w:rPr>
        <w:footnoteRef/>
      </w:r>
      <w:r w:rsidRPr="00C1128C">
        <w:rPr>
          <w:rFonts w:ascii="Times New Roman" w:hAnsi="Times New Roman" w:cs="Times New Roman"/>
          <w:sz w:val="18"/>
        </w:rPr>
        <w:t xml:space="preserve"> </w:t>
      </w:r>
      <w:hyperlink r:id="rId12" w:history="1">
        <w:r w:rsidRPr="00C1128C">
          <w:rPr>
            <w:rStyle w:val="Hyperlink"/>
            <w:rFonts w:ascii="Times New Roman" w:hAnsi="Times New Roman" w:cs="Times New Roman"/>
          </w:rPr>
          <w:t>https://www.gov.uk/government/publications/contracts-for-difference/contract-for-difference</w:t>
        </w:r>
      </w:hyperlink>
      <w:r w:rsidRPr="00C1128C">
        <w:rPr>
          <w:rFonts w:ascii="Times New Roman" w:hAnsi="Times New Roman" w:cs="Times New Roman"/>
        </w:rPr>
        <w:t xml:space="preserve">. </w:t>
      </w:r>
    </w:p>
  </w:footnote>
  <w:footnote w:id="21">
    <w:p w14:paraId="14E26572"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13" w:history="1">
        <w:r w:rsidRPr="00C1128C">
          <w:rPr>
            <w:rStyle w:val="Hyperlink"/>
            <w:rFonts w:ascii="Times New Roman" w:hAnsi="Times New Roman" w:cs="Times New Roman"/>
          </w:rPr>
          <w:t>https://policy.trade.ec.europa.eu/news/eu-and-uk-agree-way-forward-wto-dispute-concerning-uks-green-energy-subsidy-scheme-2022-07-01_en</w:t>
        </w:r>
      </w:hyperlink>
      <w:r w:rsidRPr="00C1128C">
        <w:rPr>
          <w:rFonts w:ascii="Times New Roman" w:hAnsi="Times New Roman" w:cs="Times New Roman"/>
        </w:rPr>
        <w:t>.</w:t>
      </w:r>
    </w:p>
  </w:footnote>
  <w:footnote w:id="22">
    <w:p w14:paraId="4C5A80DC"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14" w:history="1">
        <w:r w:rsidRPr="00C1128C">
          <w:rPr>
            <w:rStyle w:val="Hyperlink"/>
            <w:rFonts w:ascii="Times New Roman" w:hAnsi="Times New Roman" w:cs="Times New Roman"/>
            <w:i/>
          </w:rPr>
          <w:t>Contracts for Difference (CfD) Allocation Round 4:</w:t>
        </w:r>
      </w:hyperlink>
      <w:hyperlink r:id="rId15" w:history="1">
        <w:r w:rsidRPr="00C1128C">
          <w:rPr>
            <w:rStyle w:val="Hyperlink"/>
            <w:rFonts w:ascii="Times New Roman" w:hAnsi="Times New Roman" w:cs="Times New Roman"/>
            <w:i/>
          </w:rPr>
          <w:t xml:space="preserve"> Supply Chain Plan questionnaire and guidance - GOV.UK</w:t>
        </w:r>
        <w:r w:rsidRPr="00C1128C">
          <w:rPr>
            <w:rStyle w:val="Hyperlink"/>
            <w:rFonts w:ascii="Times New Roman" w:hAnsi="Times New Roman" w:cs="Times New Roman"/>
          </w:rPr>
          <w:t xml:space="preserve"> (www.gov.uk)</w:t>
        </w:r>
      </w:hyperlink>
      <w:r w:rsidRPr="00C1128C">
        <w:rPr>
          <w:rFonts w:ascii="Times New Roman" w:hAnsi="Times New Roman" w:cs="Times New Roman"/>
        </w:rPr>
        <w:t>.</w:t>
      </w:r>
    </w:p>
  </w:footnote>
  <w:footnote w:id="23">
    <w:p w14:paraId="470E4579"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16" w:history="1">
        <w:r w:rsidRPr="00C1128C">
          <w:rPr>
            <w:rStyle w:val="Hyperlink"/>
            <w:rFonts w:ascii="Times New Roman" w:hAnsi="Times New Roman" w:cs="Times New Roman"/>
          </w:rPr>
          <w:t>https://www.gov.uk/government/news/new-approach-to-import-controls-to-help-ease-cost-of-living</w:t>
        </w:r>
      </w:hyperlink>
      <w:r w:rsidRPr="00C1128C">
        <w:rPr>
          <w:rFonts w:ascii="Times New Roman" w:hAnsi="Times New Roman" w:cs="Times New Roman"/>
        </w:rPr>
        <w:t xml:space="preserve">. </w:t>
      </w:r>
    </w:p>
  </w:footnote>
  <w:footnote w:id="24">
    <w:p w14:paraId="098C0CBA"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17" w:history="1">
        <w:r w:rsidRPr="00C1128C">
          <w:rPr>
            <w:rStyle w:val="Hyperlink"/>
            <w:rFonts w:ascii="Times New Roman" w:hAnsi="Times New Roman" w:cs="Times New Roman"/>
          </w:rPr>
          <w:t>https://questions-statements.parliament.uk/written-statements/detail/2022-11-14/hcws366</w:t>
        </w:r>
      </w:hyperlink>
      <w:r w:rsidRPr="00C1128C">
        <w:rPr>
          <w:rFonts w:ascii="Times New Roman" w:hAnsi="Times New Roman" w:cs="Times New Roman"/>
        </w:rPr>
        <w:t xml:space="preserve">. </w:t>
      </w:r>
    </w:p>
  </w:footnote>
  <w:footnote w:id="25">
    <w:p w14:paraId="5CD0DFE9" w14:textId="01160093"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00C1128C" w:rsidRPr="00C1128C">
        <w:rPr>
          <w:rFonts w:ascii="Times New Roman" w:hAnsi="Times New Roman" w:cs="Times New Roman"/>
        </w:rPr>
        <w:t xml:space="preserve"> </w:t>
      </w:r>
      <w:r w:rsidRPr="00C1128C">
        <w:rPr>
          <w:rFonts w:ascii="Times New Roman" w:hAnsi="Times New Roman" w:cs="Times New Roman"/>
        </w:rPr>
        <w:t>21. pielikuma (Personas, kas ieceļo darījumu nolūkos sakarā ar iedibinājumu, uzņēmuma ietvaros pārcelti darbinieki un personas, kas īstermiņā ieceļo darījumu nolūkos) 7. punktā ir noteikts, ka Apvienotajai Karalistei ir jāatceļ jebkādas nodevas, maksas vai nodokļi (kas nav ar vīzas, darba atļaujas vai uzturēšanās atļaujas pieteikuma vai atjaunošanas apstrādi saistītas maksas), ko Apvienotā Karaliste nosaka, pamatojoties uz atļauju veikt darbību vai pieņemt darbā personu, kura var veikt šādu darbību Apvienotās Karalistes teritorijā, ja vien tā nav ar TSN 140. panta 3. punktu saderīga prasība, vai veselības aprūpes maksas atbilstīgi valsts tiesību aktiem sakarā ar pieteikumu atļaujai ieceļot, uzturēties, strādāt vai dzīvot Apvienotās Karalistes teritorijā.</w:t>
      </w:r>
    </w:p>
  </w:footnote>
  <w:footnote w:id="26">
    <w:p w14:paraId="542ACB27"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18" w:history="1">
        <w:r w:rsidRPr="00C1128C">
          <w:rPr>
            <w:rStyle w:val="Hyperlink"/>
            <w:rFonts w:ascii="Times New Roman" w:hAnsi="Times New Roman" w:cs="Times New Roman"/>
          </w:rPr>
          <w:t>https://www.legislation.gov.uk/ukdsi/2022/9780348239614/pdfs/ukdsi_9780348239614_en.pdf</w:t>
        </w:r>
      </w:hyperlink>
      <w:r w:rsidRPr="00C1128C">
        <w:rPr>
          <w:rFonts w:ascii="Times New Roman" w:hAnsi="Times New Roman" w:cs="Times New Roman"/>
        </w:rPr>
        <w:t>.</w:t>
      </w:r>
    </w:p>
  </w:footnote>
  <w:footnote w:id="27">
    <w:p w14:paraId="08C08B63"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19" w:history="1">
        <w:r w:rsidRPr="00C1128C">
          <w:rPr>
            <w:rStyle w:val="Hyperlink"/>
            <w:rFonts w:ascii="Times New Roman" w:hAnsi="Times New Roman" w:cs="Times New Roman"/>
          </w:rPr>
          <w:t>https://www.gov.uk/government/publications/sponsor-a-global-business-mobility-worker</w:t>
        </w:r>
      </w:hyperlink>
      <w:r w:rsidRPr="00C1128C">
        <w:rPr>
          <w:rFonts w:ascii="Times New Roman" w:hAnsi="Times New Roman" w:cs="Times New Roman"/>
        </w:rPr>
        <w:t>.</w:t>
      </w:r>
    </w:p>
  </w:footnote>
  <w:footnote w:id="28">
    <w:p w14:paraId="5DAFFDE0" w14:textId="713794DD"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00C1128C" w:rsidRPr="00C1128C">
        <w:rPr>
          <w:rFonts w:ascii="Times New Roman" w:hAnsi="Times New Roman" w:cs="Times New Roman"/>
        </w:rPr>
        <w:t xml:space="preserve"> </w:t>
      </w:r>
      <w:r w:rsidRPr="00C1128C">
        <w:rPr>
          <w:rFonts w:ascii="Times New Roman" w:hAnsi="Times New Roman" w:cs="Times New Roman"/>
        </w:rPr>
        <w:t xml:space="preserve">Piemēram, 2022. gadā salīdzinājumā ar kopējo eksportu 2021. gadā Apvienotās Karalistes gāzes eksports palielinājās par 336 % un elektroenerģijas eksports — par 138 %: Kopīgā pētniecības centra apkopotie dati no elektroenerģijas pārvades sistēmu operatoru Eiropas tīkla pārredzamības platformas </w:t>
      </w:r>
      <w:r w:rsidRPr="00C1128C">
        <w:rPr>
          <w:rFonts w:ascii="Times New Roman" w:hAnsi="Times New Roman" w:cs="Times New Roman"/>
          <w:i/>
        </w:rPr>
        <w:t>ENTSO-E Transparency Platform</w:t>
      </w:r>
      <w:r w:rsidRPr="00C1128C">
        <w:rPr>
          <w:rFonts w:ascii="Times New Roman" w:hAnsi="Times New Roman" w:cs="Times New Roman"/>
        </w:rPr>
        <w:t xml:space="preserve"> (</w:t>
      </w:r>
      <w:hyperlink r:id="rId20" w:history="1">
        <w:r w:rsidRPr="00C1128C">
          <w:rPr>
            <w:rStyle w:val="Hyperlink"/>
            <w:rFonts w:ascii="Times New Roman" w:hAnsi="Times New Roman" w:cs="Times New Roman"/>
          </w:rPr>
          <w:t>https://transparency.entsoe.eu</w:t>
        </w:r>
      </w:hyperlink>
      <w:r w:rsidRPr="00C1128C">
        <w:rPr>
          <w:rFonts w:ascii="Times New Roman" w:hAnsi="Times New Roman" w:cs="Times New Roman"/>
        </w:rPr>
        <w:t xml:space="preserve">) un gāzes pārvades sistēmu operatoru Eiropas tīkla pārredzamības platformas </w:t>
      </w:r>
      <w:r w:rsidRPr="00C1128C">
        <w:rPr>
          <w:rFonts w:ascii="Times New Roman" w:hAnsi="Times New Roman" w:cs="Times New Roman"/>
          <w:i/>
        </w:rPr>
        <w:t>ENTSO-G Transparency Platform</w:t>
      </w:r>
      <w:r w:rsidRPr="00C1128C">
        <w:rPr>
          <w:rFonts w:ascii="Times New Roman" w:hAnsi="Times New Roman" w:cs="Times New Roman"/>
        </w:rPr>
        <w:t xml:space="preserve"> (</w:t>
      </w:r>
      <w:hyperlink r:id="rId21" w:history="1">
        <w:r w:rsidRPr="00C1128C">
          <w:rPr>
            <w:rStyle w:val="Hyperlink"/>
            <w:rFonts w:ascii="Times New Roman" w:hAnsi="Times New Roman" w:cs="Times New Roman"/>
          </w:rPr>
          <w:t>https://transparency.entsog.eu/</w:t>
        </w:r>
      </w:hyperlink>
      <w:r w:rsidRPr="00C1128C">
        <w:rPr>
          <w:rFonts w:ascii="Times New Roman" w:hAnsi="Times New Roman" w:cs="Times New Roman"/>
        </w:rPr>
        <w:t>).</w:t>
      </w:r>
    </w:p>
  </w:footnote>
  <w:footnote w:id="29">
    <w:p w14:paraId="43AB5AF5" w14:textId="461E6B0C"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00C1128C" w:rsidRPr="00C1128C">
        <w:rPr>
          <w:rFonts w:ascii="Times New Roman" w:hAnsi="Times New Roman" w:cs="Times New Roman"/>
        </w:rPr>
        <w:t xml:space="preserve"> </w:t>
      </w:r>
      <w:r w:rsidRPr="00C1128C">
        <w:rPr>
          <w:rFonts w:ascii="Times New Roman" w:hAnsi="Times New Roman" w:cs="Times New Roman"/>
        </w:rPr>
        <w:t>TSN 315. pants.</w:t>
      </w:r>
    </w:p>
  </w:footnote>
  <w:footnote w:id="30">
    <w:p w14:paraId="1FCD4804" w14:textId="31A9EEE9"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00C1128C" w:rsidRPr="00C1128C">
        <w:rPr>
          <w:rFonts w:ascii="Times New Roman" w:hAnsi="Times New Roman" w:cs="Times New Roman"/>
        </w:rPr>
        <w:t xml:space="preserve"> </w:t>
      </w:r>
      <w:r w:rsidRPr="00C1128C">
        <w:rPr>
          <w:rFonts w:ascii="Times New Roman" w:hAnsi="Times New Roman" w:cs="Times New Roman"/>
        </w:rPr>
        <w:t>Komisija arī aicināja Apvienoto Karalisti piedalīties Gāzes koordinācijas grupas un Elektroenerģijas koordinācijas grupas sanāksmē, lai apmainītos ar informāciju par sagatavotību ziemai, lai gan šis aicinājums nebija balstīts uz TSN.</w:t>
      </w:r>
    </w:p>
  </w:footnote>
  <w:footnote w:id="31">
    <w:p w14:paraId="21508138"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22" w:history="1">
        <w:r w:rsidRPr="00C1128C">
          <w:rPr>
            <w:rStyle w:val="Hyperlink"/>
            <w:rFonts w:ascii="Times New Roman" w:hAnsi="Times New Roman" w:cs="Times New Roman"/>
          </w:rPr>
          <w:t>https://energy.ec.europa.eu/nsec-uk-memorandum-understanding_en</w:t>
        </w:r>
      </w:hyperlink>
      <w:r w:rsidRPr="00C1128C">
        <w:rPr>
          <w:rFonts w:ascii="Times New Roman" w:hAnsi="Times New Roman" w:cs="Times New Roman"/>
        </w:rPr>
        <w:t>.</w:t>
      </w:r>
    </w:p>
  </w:footnote>
  <w:footnote w:id="32">
    <w:p w14:paraId="287A0AED"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23" w:history="1">
        <w:r w:rsidRPr="00C1128C">
          <w:rPr>
            <w:rStyle w:val="Hyperlink"/>
            <w:rFonts w:ascii="Times New Roman" w:hAnsi="Times New Roman" w:cs="Times New Roman"/>
          </w:rPr>
          <w:t>https://ec.europa.eu/transparency/documents-register/detail?ref=C(2022)6624&amp;lang=lv</w:t>
        </w:r>
      </w:hyperlink>
      <w:r w:rsidRPr="00C1128C">
        <w:rPr>
          <w:rFonts w:ascii="Times New Roman" w:hAnsi="Times New Roman" w:cs="Times New Roman"/>
        </w:rPr>
        <w:t>.</w:t>
      </w:r>
    </w:p>
  </w:footnote>
  <w:footnote w:id="33">
    <w:p w14:paraId="6D01E7CF"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24" w:history="1">
        <w:r w:rsidRPr="00C1128C">
          <w:rPr>
            <w:rStyle w:val="Hyperlink"/>
            <w:rFonts w:ascii="Times New Roman" w:hAnsi="Times New Roman" w:cs="Times New Roman"/>
          </w:rPr>
          <w:t>https://commission.europa.eu/content/decisions-and-recommendations-specialised-committees-and-trade-specialised-committees_en</w:t>
        </w:r>
      </w:hyperlink>
      <w:r w:rsidRPr="00C1128C">
        <w:rPr>
          <w:rFonts w:ascii="Times New Roman" w:hAnsi="Times New Roman" w:cs="Times New Roman"/>
        </w:rPr>
        <w:t>.</w:t>
      </w:r>
    </w:p>
  </w:footnote>
  <w:footnote w:id="34">
    <w:p w14:paraId="7D26D580" w14:textId="3B19A455"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25" w:history="1">
        <w:r w:rsidRPr="00C1128C">
          <w:rPr>
            <w:rStyle w:val="Hyperlink"/>
            <w:rFonts w:ascii="Times New Roman" w:hAnsi="Times New Roman" w:cs="Times New Roman"/>
          </w:rPr>
          <w:t>https://transport.ec.europa.eu/news/eu-recognition-uk-system-training-and-certifying-seafarers-2022-10-27_en</w:t>
        </w:r>
      </w:hyperlink>
      <w:r w:rsidRPr="00C1128C">
        <w:rPr>
          <w:rFonts w:ascii="Times New Roman" w:hAnsi="Times New Roman" w:cs="Times New Roman"/>
        </w:rPr>
        <w:t>.</w:t>
      </w:r>
    </w:p>
  </w:footnote>
  <w:footnote w:id="35">
    <w:p w14:paraId="55D97F84"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26" w:history="1">
        <w:r w:rsidRPr="00C1128C">
          <w:rPr>
            <w:rStyle w:val="Hyperlink"/>
            <w:rFonts w:ascii="Times New Roman" w:hAnsi="Times New Roman" w:cs="Times New Roman"/>
          </w:rPr>
          <w:t>https://www.imo.org/en/OurWork/HumanElement/Pages/STCW-Conv-LINK.aspx</w:t>
        </w:r>
      </w:hyperlink>
      <w:r w:rsidRPr="00C1128C">
        <w:rPr>
          <w:rFonts w:ascii="Times New Roman" w:hAnsi="Times New Roman" w:cs="Times New Roman"/>
        </w:rPr>
        <w:t>.</w:t>
      </w:r>
    </w:p>
  </w:footnote>
  <w:footnote w:id="36">
    <w:p w14:paraId="13FDDA13" w14:textId="77777777" w:rsidR="006D1404" w:rsidRPr="00C1128C" w:rsidRDefault="006D1404" w:rsidP="006B5091">
      <w:pPr>
        <w:spacing w:after="0"/>
        <w:rPr>
          <w:rFonts w:ascii="Times New Roman" w:hAnsi="Times New Roman" w:cs="Times New Roman"/>
          <w:color w:val="1F497D"/>
          <w:sz w:val="20"/>
          <w:szCs w:val="20"/>
        </w:rPr>
      </w:pPr>
      <w:r w:rsidRPr="00C1128C">
        <w:rPr>
          <w:rStyle w:val="FootnoteReference"/>
          <w:rFonts w:ascii="Times New Roman" w:hAnsi="Times New Roman" w:cs="Times New Roman"/>
          <w:sz w:val="20"/>
          <w:szCs w:val="20"/>
        </w:rPr>
        <w:footnoteRef/>
      </w:r>
      <w:r w:rsidRPr="00C1128C">
        <w:rPr>
          <w:rFonts w:ascii="Times New Roman" w:hAnsi="Times New Roman" w:cs="Times New Roman"/>
          <w:sz w:val="20"/>
          <w:szCs w:val="20"/>
        </w:rPr>
        <w:t xml:space="preserve"> Komisijas Īstenošanas lēmums (2022. gada 14. jūnijs), ar ko Francijai atļauj noslēgt jaunu nolīgumu saskaņā ar Direktīvas 2012/34/ES 14. panta 5. punktu Direktīvas (ES) 2016/798 10. panta 9. punkta vajadzībām (</w:t>
      </w:r>
      <w:r w:rsidRPr="00C1128C">
        <w:rPr>
          <w:rFonts w:ascii="Times New Roman" w:hAnsi="Times New Roman" w:cs="Times New Roman"/>
          <w:i/>
          <w:sz w:val="20"/>
          <w:szCs w:val="20"/>
        </w:rPr>
        <w:t>Commission Implementing Decision of 14.6.2022 authorising France to conclude a new agreement pursuant to Article 14(5) of Directive 2012/34/EU for the purposes of Article 10(9) of Directive (EU) 2016/798</w:t>
      </w:r>
      <w:r w:rsidRPr="00C1128C">
        <w:rPr>
          <w:rFonts w:ascii="Times New Roman" w:hAnsi="Times New Roman" w:cs="Times New Roman"/>
          <w:sz w:val="20"/>
          <w:szCs w:val="20"/>
        </w:rPr>
        <w:t>), C(2022)3813 final.</w:t>
      </w:r>
    </w:p>
  </w:footnote>
  <w:footnote w:id="37">
    <w:p w14:paraId="0CA3CCB1"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lang w:val="en-GB"/>
        </w:rPr>
        <w:footnoteRef/>
      </w:r>
      <w:r w:rsidRPr="00C1128C">
        <w:rPr>
          <w:rFonts w:ascii="Times New Roman" w:hAnsi="Times New Roman" w:cs="Times New Roman"/>
        </w:rPr>
        <w:t xml:space="preserve"> </w:t>
      </w:r>
      <w:hyperlink r:id="rId27" w:history="1">
        <w:r w:rsidRPr="00C1128C">
          <w:rPr>
            <w:rStyle w:val="Hyperlink"/>
            <w:rFonts w:ascii="Times New Roman" w:hAnsi="Times New Roman" w:cs="Times New Roman"/>
          </w:rPr>
          <w:t>https://eur-lex.europa.eu/legal-content/LV/TXT/PDF/?uri=CELEX:32022D1014&amp;from=EN</w:t>
        </w:r>
      </w:hyperlink>
      <w:r w:rsidRPr="00C1128C">
        <w:rPr>
          <w:rFonts w:ascii="Times New Roman" w:hAnsi="Times New Roman" w:cs="Times New Roman"/>
        </w:rPr>
        <w:t>.</w:t>
      </w:r>
    </w:p>
  </w:footnote>
  <w:footnote w:id="38">
    <w:p w14:paraId="02F06837" w14:textId="77777777" w:rsidR="006D1404" w:rsidRPr="00C1128C" w:rsidRDefault="006D1404" w:rsidP="002148E4">
      <w:pPr>
        <w:pStyle w:val="paragraph"/>
        <w:spacing w:before="0" w:beforeAutospacing="0" w:after="0" w:afterAutospacing="0"/>
        <w:textAlignment w:val="baseline"/>
        <w:rPr>
          <w:bCs/>
          <w:color w:val="333333"/>
          <w:sz w:val="20"/>
          <w:szCs w:val="20"/>
        </w:rPr>
      </w:pPr>
      <w:r w:rsidRPr="00C1128C">
        <w:rPr>
          <w:rStyle w:val="FootnoteReference"/>
          <w:sz w:val="20"/>
          <w:szCs w:val="20"/>
        </w:rPr>
        <w:footnoteRef/>
      </w:r>
      <w:r w:rsidRPr="00C1128C">
        <w:rPr>
          <w:sz w:val="20"/>
          <w:szCs w:val="20"/>
        </w:rPr>
        <w:t xml:space="preserve"> </w:t>
      </w:r>
      <w:r w:rsidRPr="00C1128C">
        <w:rPr>
          <w:rStyle w:val="normaltextrun"/>
          <w:color w:val="333333"/>
          <w:sz w:val="20"/>
          <w:szCs w:val="20"/>
        </w:rPr>
        <w:t xml:space="preserve">Ar Tirdzniecības un sadarbības nolīgumu starp Eiropas Savienību un Eiropas Atomenerģijas kopienu, no vienas puses, un Lielbritānijas un Ziemeļīrijas Apvienoto Karalisti, no otras puses, izveidotās Partnerības padomes Lēmums Nr. 2/2021 (2021. gada 21. decembris) par tā pagaidu posma pagarināšanu, kura laikā Apvienotā Karaliste var atkāpties no pienākuma dzēst pasažieru datu reģistra datus pēc viņu izceļošanas no Apvienotās Karalistes, OV L 467, 29.12.2021., 6. lpp., </w:t>
      </w:r>
      <w:hyperlink r:id="rId28" w:tgtFrame="_blank" w:history="1">
        <w:r w:rsidRPr="00C1128C">
          <w:rPr>
            <w:rStyle w:val="normaltextrun"/>
            <w:color w:val="0563C1"/>
            <w:sz w:val="20"/>
            <w:szCs w:val="20"/>
            <w:u w:val="single"/>
          </w:rPr>
          <w:t>https://eur-lex.europa.eu/legal-content/LV/TXT/?uri=CELEX:22021D2323</w:t>
        </w:r>
      </w:hyperlink>
      <w:r w:rsidRPr="00C1128C">
        <w:rPr>
          <w:sz w:val="20"/>
          <w:szCs w:val="20"/>
        </w:rPr>
        <w:t>.</w:t>
      </w:r>
      <w:r w:rsidRPr="00C1128C">
        <w:rPr>
          <w:rStyle w:val="normaltextrun"/>
          <w:color w:val="333333"/>
          <w:sz w:val="20"/>
          <w:szCs w:val="20"/>
        </w:rPr>
        <w:t xml:space="preserve"> </w:t>
      </w:r>
      <w:r w:rsidRPr="00C1128C">
        <w:rPr>
          <w:rStyle w:val="eop"/>
          <w:color w:val="333333"/>
          <w:sz w:val="20"/>
          <w:szCs w:val="20"/>
        </w:rPr>
        <w:t xml:space="preserve"> </w:t>
      </w:r>
    </w:p>
  </w:footnote>
  <w:footnote w:id="39">
    <w:p w14:paraId="5BDAA526"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29" w:history="1">
        <w:r w:rsidRPr="00C1128C">
          <w:rPr>
            <w:rStyle w:val="Hyperlink"/>
            <w:rFonts w:ascii="Times New Roman" w:hAnsi="Times New Roman" w:cs="Times New Roman"/>
          </w:rPr>
          <w:t>https://eur-lex.europa.eu/eli/dec/2022/2549/oj?locale=lv</w:t>
        </w:r>
      </w:hyperlink>
      <w:r w:rsidRPr="00C1128C">
        <w:rPr>
          <w:rFonts w:ascii="Times New Roman" w:hAnsi="Times New Roman" w:cs="Times New Roman"/>
        </w:rPr>
        <w:t xml:space="preserve">. </w:t>
      </w:r>
    </w:p>
  </w:footnote>
  <w:footnote w:id="40">
    <w:p w14:paraId="6DFE9239"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Saskaņā ar politisko vienošanos starp Eiropas Parlamentu un Padomi par ES tiesību īstenošanu TSN izpildes panākšanā Komisijai savā gada ziņojumā ir jāiekļauj pārskats par sūdzībām, kas saņemtas par TSN, kā arī par turpmākajiem pasākumiem, kas veikti saistībā ar sūdzībām. </w:t>
      </w:r>
    </w:p>
  </w:footnote>
  <w:footnote w:id="41">
    <w:p w14:paraId="5A3C895E"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30" w:history="1">
        <w:r w:rsidRPr="00C1128C">
          <w:rPr>
            <w:rStyle w:val="Hyperlink"/>
            <w:rFonts w:ascii="Times New Roman" w:hAnsi="Times New Roman" w:cs="Times New Roman"/>
          </w:rPr>
          <w:t>https://ec.europa.eu/assets/sg/complaint_eu_uk_tca/complaints_lv/index.html</w:t>
        </w:r>
      </w:hyperlink>
      <w:r w:rsidRPr="00C1128C">
        <w:rPr>
          <w:rFonts w:ascii="Times New Roman" w:hAnsi="Times New Roman" w:cs="Times New Roman"/>
        </w:rPr>
        <w:t xml:space="preserve">. </w:t>
      </w:r>
    </w:p>
  </w:footnote>
  <w:footnote w:id="42">
    <w:p w14:paraId="5F6ED44E" w14:textId="77777777" w:rsidR="006D1404" w:rsidRPr="00C1128C" w:rsidRDefault="006D1404" w:rsidP="006D1404">
      <w:pPr>
        <w:pStyle w:val="FootnoteText"/>
        <w:rPr>
          <w:rFonts w:ascii="Times New Roman" w:hAnsi="Times New Roman" w:cs="Times New Roman"/>
          <w:sz w:val="18"/>
          <w:szCs w:val="18"/>
        </w:rPr>
      </w:pPr>
      <w:r w:rsidRPr="00C1128C">
        <w:rPr>
          <w:rStyle w:val="FootnoteReference"/>
          <w:rFonts w:ascii="Times New Roman" w:hAnsi="Times New Roman" w:cs="Times New Roman"/>
        </w:rPr>
        <w:footnoteRef/>
      </w:r>
      <w:hyperlink r:id="rId31" w:history="1">
        <w:r w:rsidRPr="00C1128C">
          <w:rPr>
            <w:rStyle w:val="Hyperlink"/>
            <w:rFonts w:ascii="Times New Roman" w:hAnsi="Times New Roman" w:cs="Times New Roman"/>
          </w:rPr>
          <w:t>https://assets.publishing.service.gov.uk/government/uploads/system/uploads/attachment_data/file/1054643/benefits-of-brexit.pdf</w:t>
        </w:r>
      </w:hyperlink>
      <w:r w:rsidRPr="00C1128C">
        <w:rPr>
          <w:rFonts w:ascii="Times New Roman" w:hAnsi="Times New Roman" w:cs="Times New Roman"/>
        </w:rPr>
        <w:t>.</w:t>
      </w:r>
    </w:p>
  </w:footnote>
  <w:footnote w:id="43">
    <w:p w14:paraId="39D3A986" w14:textId="77777777" w:rsidR="006D1404" w:rsidRPr="00C1128C" w:rsidRDefault="006D1404" w:rsidP="006D1404">
      <w:pPr>
        <w:pStyle w:val="FootnoteText"/>
        <w:rPr>
          <w:rFonts w:ascii="Times New Roman" w:hAnsi="Times New Roman" w:cs="Times New Roman"/>
          <w:sz w:val="18"/>
          <w:szCs w:val="18"/>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32" w:history="1">
        <w:r w:rsidRPr="00C1128C">
          <w:rPr>
            <w:rStyle w:val="Hyperlink"/>
            <w:rFonts w:ascii="Times New Roman" w:hAnsi="Times New Roman" w:cs="Times New Roman"/>
          </w:rPr>
          <w:t>https://www.nao.org.uk/reports/regulating-after-eu-exit/</w:t>
        </w:r>
      </w:hyperlink>
      <w:r w:rsidRPr="00C1128C">
        <w:rPr>
          <w:rFonts w:ascii="Times New Roman" w:hAnsi="Times New Roman" w:cs="Times New Roman"/>
        </w:rPr>
        <w:t>.</w:t>
      </w:r>
    </w:p>
  </w:footnote>
  <w:footnote w:id="44">
    <w:p w14:paraId="081B56D2"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33" w:history="1">
        <w:r w:rsidRPr="00C1128C">
          <w:rPr>
            <w:rStyle w:val="Hyperlink"/>
            <w:rFonts w:ascii="Times New Roman" w:hAnsi="Times New Roman" w:cs="Times New Roman"/>
          </w:rPr>
          <w:t>https://committees.parliament.uk/publications/30148/documents/174754/default/</w:t>
        </w:r>
      </w:hyperlink>
      <w:r w:rsidRPr="00C1128C">
        <w:rPr>
          <w:rFonts w:ascii="Times New Roman" w:hAnsi="Times New Roman" w:cs="Times New Roman"/>
        </w:rPr>
        <w:t xml:space="preserve">. </w:t>
      </w:r>
    </w:p>
  </w:footnote>
  <w:footnote w:id="45">
    <w:p w14:paraId="1BDE614D" w14:textId="77777777" w:rsidR="006D1404" w:rsidRPr="00C1128C" w:rsidRDefault="006D1404" w:rsidP="006D1404">
      <w:pPr>
        <w:pStyle w:val="FootnoteText"/>
        <w:rPr>
          <w:rFonts w:ascii="Times New Roman" w:hAnsi="Times New Roman" w:cs="Times New Roman"/>
          <w:sz w:val="18"/>
          <w:szCs w:val="18"/>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34" w:history="1">
        <w:r w:rsidRPr="00C1128C">
          <w:rPr>
            <w:rStyle w:val="Hyperlink"/>
            <w:rFonts w:ascii="Times New Roman" w:hAnsi="Times New Roman" w:cs="Times New Roman"/>
          </w:rPr>
          <w:t>https://bills.parliament.uk/bills/3227</w:t>
        </w:r>
      </w:hyperlink>
      <w:r w:rsidRPr="00C1128C">
        <w:rPr>
          <w:rFonts w:ascii="Times New Roman" w:hAnsi="Times New Roman" w:cs="Times New Roman"/>
        </w:rPr>
        <w:t>.</w:t>
      </w:r>
    </w:p>
  </w:footnote>
  <w:footnote w:id="46">
    <w:p w14:paraId="3D47847D" w14:textId="698D73F9"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35" w:history="1">
        <w:r w:rsidRPr="00C1128C">
          <w:rPr>
            <w:rStyle w:val="Hyperlink"/>
            <w:rFonts w:ascii="Times New Roman" w:hAnsi="Times New Roman" w:cs="Times New Roman"/>
          </w:rPr>
          <w:t>https://bills.parliament.uk/bills/3322</w:t>
        </w:r>
      </w:hyperlink>
      <w:r w:rsidRPr="00C1128C">
        <w:rPr>
          <w:rFonts w:ascii="Times New Roman" w:hAnsi="Times New Roman" w:cs="Times New Roman"/>
        </w:rPr>
        <w:t>.</w:t>
      </w:r>
    </w:p>
  </w:footnote>
  <w:footnote w:id="47">
    <w:p w14:paraId="7BB28E1E"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36" w:history="1">
        <w:r w:rsidRPr="00C1128C">
          <w:rPr>
            <w:rStyle w:val="Hyperlink"/>
            <w:rFonts w:ascii="Times New Roman" w:hAnsi="Times New Roman" w:cs="Times New Roman"/>
          </w:rPr>
          <w:t>https://bills.parliament.uk/bills/3340</w:t>
        </w:r>
      </w:hyperlink>
      <w:r w:rsidRPr="00C1128C">
        <w:rPr>
          <w:rFonts w:ascii="Times New Roman" w:hAnsi="Times New Roman" w:cs="Times New Roman"/>
        </w:rPr>
        <w:t>.</w:t>
      </w:r>
    </w:p>
  </w:footnote>
  <w:footnote w:id="48">
    <w:p w14:paraId="0C030585"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37" w:history="1">
        <w:r w:rsidRPr="00C1128C">
          <w:rPr>
            <w:rStyle w:val="Hyperlink"/>
            <w:rFonts w:ascii="Times New Roman" w:hAnsi="Times New Roman" w:cs="Times New Roman"/>
          </w:rPr>
          <w:t>https://www.legislation.gov.uk/ukpga/2022/23/enacted</w:t>
        </w:r>
      </w:hyperlink>
      <w:r w:rsidRPr="00C1128C">
        <w:rPr>
          <w:rFonts w:ascii="Times New Roman" w:hAnsi="Times New Roman" w:cs="Times New Roman"/>
        </w:rPr>
        <w:t>.</w:t>
      </w:r>
    </w:p>
  </w:footnote>
  <w:footnote w:id="49">
    <w:p w14:paraId="6AF77317"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38" w:history="1">
        <w:r w:rsidRPr="00C1128C">
          <w:rPr>
            <w:rStyle w:val="Hyperlink"/>
            <w:rFonts w:ascii="Times New Roman" w:hAnsi="Times New Roman" w:cs="Times New Roman"/>
          </w:rPr>
          <w:t>https://www.gov.uk/government/publications/uk-subsidy-control-statutory-guidance</w:t>
        </w:r>
      </w:hyperlink>
      <w:r w:rsidRPr="00C1128C">
        <w:rPr>
          <w:rFonts w:ascii="Times New Roman" w:hAnsi="Times New Roman" w:cs="Times New Roman"/>
        </w:rPr>
        <w:t>.</w:t>
      </w:r>
    </w:p>
  </w:footnote>
  <w:footnote w:id="50">
    <w:p w14:paraId="320726E7" w14:textId="77777777" w:rsidR="006D1404" w:rsidRPr="00C1128C" w:rsidRDefault="008A75FD" w:rsidP="006D1404">
      <w:pPr>
        <w:autoSpaceDE w:val="0"/>
        <w:autoSpaceDN w:val="0"/>
        <w:spacing w:after="0" w:line="240" w:lineRule="auto"/>
        <w:rPr>
          <w:rStyle w:val="FootnoteReference"/>
          <w:rFonts w:ascii="Times New Roman" w:hAnsi="Times New Roman" w:cs="Times New Roman"/>
          <w:sz w:val="20"/>
          <w:szCs w:val="20"/>
          <w:vertAlign w:val="baseline"/>
        </w:rPr>
      </w:pPr>
      <w:hyperlink r:id="rId39" w:history="1">
        <w:r w:rsidR="009229D2" w:rsidRPr="00C1128C">
          <w:rPr>
            <w:rStyle w:val="FootnoteReference"/>
            <w:rFonts w:ascii="Times New Roman" w:hAnsi="Times New Roman" w:cs="Times New Roman"/>
            <w:sz w:val="20"/>
            <w:szCs w:val="20"/>
          </w:rPr>
          <w:footnoteRef/>
        </w:r>
        <w:r w:rsidR="009229D2" w:rsidRPr="00C1128C">
          <w:rPr>
            <w:rStyle w:val="FootnoteReference"/>
            <w:rFonts w:ascii="Times New Roman" w:hAnsi="Times New Roman" w:cs="Times New Roman"/>
            <w:sz w:val="20"/>
            <w:szCs w:val="20"/>
          </w:rPr>
          <w:t xml:space="preserve"> </w:t>
        </w:r>
      </w:hyperlink>
      <w:r w:rsidR="009229D2" w:rsidRPr="00C1128C">
        <w:rPr>
          <w:rFonts w:ascii="Times New Roman" w:hAnsi="Times New Roman" w:cs="Times New Roman"/>
          <w:sz w:val="20"/>
          <w:szCs w:val="20"/>
        </w:rPr>
        <w:t xml:space="preserve"> </w:t>
      </w:r>
      <w:r w:rsidR="009229D2" w:rsidRPr="00C1128C">
        <w:rPr>
          <w:rStyle w:val="Hyperlink"/>
          <w:rFonts w:ascii="Times New Roman" w:hAnsi="Times New Roman" w:cs="Times New Roman"/>
          <w:sz w:val="20"/>
          <w:szCs w:val="20"/>
        </w:rPr>
        <w:t>https://www.legislation.gov.uk/ukdsi/2022/9780348240023/introduction.</w:t>
      </w:r>
      <w:r w:rsidR="009229D2" w:rsidRPr="00C1128C">
        <w:rPr>
          <w:rFonts w:ascii="Times New Roman" w:hAnsi="Times New Roman" w:cs="Times New Roman"/>
          <w:sz w:val="20"/>
          <w:szCs w:val="20"/>
        </w:rPr>
        <w:t xml:space="preserve"> </w:t>
      </w:r>
      <w:r w:rsidR="009229D2" w:rsidRPr="00C1128C">
        <w:rPr>
          <w:rFonts w:ascii="Times New Roman" w:hAnsi="Times New Roman" w:cs="Times New Roman"/>
          <w:color w:val="000000"/>
          <w:sz w:val="20"/>
          <w:szCs w:val="20"/>
        </w:rPr>
        <w:t xml:space="preserve"> </w:t>
      </w:r>
    </w:p>
  </w:footnote>
  <w:footnote w:id="51">
    <w:p w14:paraId="576C34F9"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40" w:history="1">
        <w:r w:rsidRPr="00C1128C">
          <w:rPr>
            <w:rFonts w:ascii="Times New Roman" w:hAnsi="Times New Roman" w:cs="Times New Roman"/>
            <w:color w:val="0563C1" w:themeColor="hyperlink"/>
            <w:u w:val="single"/>
          </w:rPr>
          <w:t>https://ec.europa.eu/info/publications/annual-report-implementation-and-application-trade-and-cooperation-agreement-between-european-union-and-united-kingdom-great-britain-and-northern-ireland_en</w:t>
        </w:r>
      </w:hyperlink>
      <w:r w:rsidRPr="00C1128C">
        <w:rPr>
          <w:rFonts w:ascii="Times New Roman" w:hAnsi="Times New Roman" w:cs="Times New Roman"/>
        </w:rPr>
        <w:t xml:space="preserve">. </w:t>
      </w:r>
    </w:p>
  </w:footnote>
  <w:footnote w:id="52">
    <w:p w14:paraId="6D39121D"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41" w:history="1">
        <w:r w:rsidRPr="00C1128C">
          <w:rPr>
            <w:rStyle w:val="Hyperlink"/>
            <w:rFonts w:ascii="Times New Roman" w:hAnsi="Times New Roman" w:cs="Times New Roman"/>
          </w:rPr>
          <w:t>https://www.legislation.gov.uk/uksi/2003/3319/regulation/7/made</w:t>
        </w:r>
      </w:hyperlink>
      <w:r w:rsidRPr="00C1128C">
        <w:rPr>
          <w:rFonts w:ascii="Times New Roman" w:hAnsi="Times New Roman" w:cs="Times New Roman"/>
        </w:rPr>
        <w:t xml:space="preserve">. </w:t>
      </w:r>
    </w:p>
  </w:footnote>
  <w:footnote w:id="53">
    <w:p w14:paraId="4178E4B0" w14:textId="20A19D98" w:rsidR="006D1404" w:rsidRPr="00C1128C" w:rsidRDefault="006D1404" w:rsidP="006D1404">
      <w:pPr>
        <w:pStyle w:val="FootnoteText"/>
        <w:rPr>
          <w:rFonts w:ascii="Times New Roman" w:hAnsi="Times New Roman" w:cs="Times New Roman"/>
        </w:rPr>
      </w:pPr>
      <w:r w:rsidRPr="00C1128C">
        <w:rPr>
          <w:rFonts w:ascii="Times New Roman" w:hAnsi="Times New Roman" w:cs="Times New Roman"/>
          <w:vertAlign w:val="superscript"/>
        </w:rPr>
        <w:footnoteRef/>
      </w:r>
      <w:r w:rsidRPr="00C1128C">
        <w:rPr>
          <w:rFonts w:ascii="Times New Roman" w:hAnsi="Times New Roman" w:cs="Times New Roman"/>
        </w:rPr>
        <w:t xml:space="preserve"> </w:t>
      </w:r>
      <w:hyperlink r:id="rId42" w:history="1">
        <w:r w:rsidRPr="00C1128C">
          <w:rPr>
            <w:rStyle w:val="Hyperlink"/>
            <w:rFonts w:ascii="Times New Roman" w:hAnsi="Times New Roman" w:cs="Times New Roman"/>
          </w:rPr>
          <w:t>https://www.tuc.org.uk/research-analysis/reports/tuc-submission-ilo-committee-experts</w:t>
        </w:r>
      </w:hyperlink>
      <w:r w:rsidRPr="00C1128C">
        <w:rPr>
          <w:rFonts w:ascii="Times New Roman" w:hAnsi="Times New Roman" w:cs="Times New Roman"/>
        </w:rPr>
        <w:t>.</w:t>
      </w:r>
    </w:p>
  </w:footnote>
  <w:footnote w:id="54">
    <w:p w14:paraId="55E9FB0B"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43" w:history="1">
        <w:r w:rsidRPr="00C1128C">
          <w:rPr>
            <w:rStyle w:val="Hyperlink"/>
            <w:rFonts w:ascii="Times New Roman" w:hAnsi="Times New Roman" w:cs="Times New Roman"/>
          </w:rPr>
          <w:t>https://bills.parliament.uk/bills/3167</w:t>
        </w:r>
      </w:hyperlink>
      <w:r w:rsidRPr="00C1128C">
        <w:rPr>
          <w:rFonts w:ascii="Times New Roman" w:hAnsi="Times New Roman" w:cs="Times New Roman"/>
        </w:rPr>
        <w:t xml:space="preserve">. </w:t>
      </w:r>
    </w:p>
  </w:footnote>
  <w:footnote w:id="55">
    <w:p w14:paraId="0C50BD4D" w14:textId="4EA88222"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00C1128C">
        <w:rPr>
          <w:rFonts w:ascii="Times New Roman" w:hAnsi="Times New Roman" w:cs="Times New Roman"/>
        </w:rPr>
        <w:t xml:space="preserve"> </w:t>
      </w:r>
      <w:r w:rsidRPr="00C1128C">
        <w:rPr>
          <w:rFonts w:ascii="Times New Roman" w:hAnsi="Times New Roman" w:cs="Times New Roman"/>
        </w:rPr>
        <w:t xml:space="preserve">Ja vien nav norādīts citādi, visi šajā nodaļā norādītie skaitļi ir balstīti uz </w:t>
      </w:r>
      <w:r w:rsidRPr="00C1128C">
        <w:rPr>
          <w:rFonts w:ascii="Times New Roman" w:hAnsi="Times New Roman" w:cs="Times New Roman"/>
          <w:i/>
        </w:rPr>
        <w:t>Eurostat</w:t>
      </w:r>
      <w:r w:rsidRPr="00C1128C">
        <w:rPr>
          <w:rFonts w:ascii="Times New Roman" w:hAnsi="Times New Roman" w:cs="Times New Roman"/>
        </w:rPr>
        <w:t xml:space="preserve"> datiem.</w:t>
      </w:r>
    </w:p>
  </w:footnote>
  <w:footnote w:id="56">
    <w:p w14:paraId="107AE075" w14:textId="0726E384"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00C1128C">
        <w:rPr>
          <w:rFonts w:ascii="Times New Roman" w:hAnsi="Times New Roman" w:cs="Times New Roman"/>
        </w:rPr>
        <w:t xml:space="preserve"> </w:t>
      </w:r>
      <w:r w:rsidRPr="00C1128C">
        <w:rPr>
          <w:rFonts w:ascii="Times New Roman" w:hAnsi="Times New Roman" w:cs="Times New Roman"/>
        </w:rPr>
        <w:t xml:space="preserve">Makroekonomikas analīzi un prognozi skatīt Komisijas Eiropas ekonomikas prognozē (2022. gada rudens): </w:t>
      </w:r>
      <w:hyperlink r:id="rId44" w:history="1">
        <w:r w:rsidRPr="00C1128C">
          <w:rPr>
            <w:rStyle w:val="Hyperlink"/>
            <w:rFonts w:ascii="Times New Roman" w:hAnsi="Times New Roman" w:cs="Times New Roman"/>
          </w:rPr>
          <w:t>https://economy-finance.ec.europa.eu/system/files/2023-01/ip187_en.pdf</w:t>
        </w:r>
      </w:hyperlink>
      <w:r w:rsidRPr="00C1128C">
        <w:rPr>
          <w:rFonts w:ascii="Times New Roman" w:hAnsi="Times New Roman" w:cs="Times New Roman"/>
        </w:rPr>
        <w:t xml:space="preserve">. </w:t>
      </w:r>
    </w:p>
  </w:footnote>
  <w:footnote w:id="57">
    <w:p w14:paraId="5501A5CB" w14:textId="59F0B0FC"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00C1128C">
        <w:rPr>
          <w:rFonts w:ascii="Times New Roman" w:hAnsi="Times New Roman" w:cs="Times New Roman"/>
        </w:rPr>
        <w:t xml:space="preserve"> </w:t>
      </w:r>
      <w:r w:rsidRPr="00C1128C">
        <w:rPr>
          <w:rFonts w:ascii="Times New Roman" w:hAnsi="Times New Roman" w:cs="Times New Roman"/>
        </w:rPr>
        <w:t xml:space="preserve">Visi šajā iedaļā sniegtie skaitļi ir balstīti uz sezonāli koriģētiem datiem. </w:t>
      </w:r>
    </w:p>
  </w:footnote>
  <w:footnote w:id="58">
    <w:p w14:paraId="3B424CEA" w14:textId="6FC53C8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00C1128C">
        <w:rPr>
          <w:rFonts w:ascii="Times New Roman" w:hAnsi="Times New Roman" w:cs="Times New Roman"/>
        </w:rPr>
        <w:t xml:space="preserve"> </w:t>
      </w:r>
      <w:r w:rsidRPr="00C1128C">
        <w:rPr>
          <w:rFonts w:ascii="Times New Roman" w:hAnsi="Times New Roman" w:cs="Times New Roman"/>
        </w:rPr>
        <w:t>Dati par tirdzniecību ar Apvienoto Karalisti par pārskata periodiem līdz 2020. gada decembrim tika balstīti uz statistikas koncepcijām, kas piemērojamas tirdzniecībai starp ES dalībvalstīm. No 2021. gada janvāra dati par tirdzniecību ar Apvienoto Karalisti ir balstīti uz jauktu koncepciju. Tirdzniecībai ar Ziemeļīriju piemērojamās statistikas koncepcijas ir tādas pašas kā attiecībā uz tirdzniecību starp dalībvalstīm, bet attiecībā uz tirdzniecību ar Apvienoto Karalisti, izņemot Ziemeļīriju, piemēro tādas pašas statistikas koncepcijas kā tirdzniecībai ar jebkuru citu ES ārējo partnervalsti.</w:t>
      </w:r>
    </w:p>
  </w:footnote>
  <w:footnote w:id="59">
    <w:p w14:paraId="798D839F"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45" w:history="1">
        <w:r w:rsidRPr="00C1128C">
          <w:rPr>
            <w:rStyle w:val="Hyperlink"/>
            <w:rFonts w:ascii="Times New Roman" w:hAnsi="Times New Roman" w:cs="Times New Roman"/>
          </w:rPr>
          <w:t>https://obr.uk/forecasts-in-depth/the-economy-forecast/brexit-analysis/</w:t>
        </w:r>
      </w:hyperlink>
      <w:r w:rsidRPr="00C1128C">
        <w:rPr>
          <w:rFonts w:ascii="Times New Roman" w:hAnsi="Times New Roman" w:cs="Times New Roman"/>
        </w:rPr>
        <w:t xml:space="preserve">. </w:t>
      </w:r>
    </w:p>
  </w:footnote>
  <w:footnote w:id="60">
    <w:p w14:paraId="44FF6A11"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46" w:history="1">
        <w:r w:rsidRPr="00C1128C">
          <w:rPr>
            <w:rStyle w:val="Hyperlink"/>
            <w:rFonts w:ascii="Times New Roman" w:hAnsi="Times New Roman" w:cs="Times New Roman"/>
          </w:rPr>
          <w:t>https://ukandeu.ac.uk/the-new-costs-for-business-post-brexit/</w:t>
        </w:r>
      </w:hyperlink>
      <w:r w:rsidRPr="00C1128C">
        <w:rPr>
          <w:rFonts w:ascii="Times New Roman" w:hAnsi="Times New Roman" w:cs="Times New Roman"/>
        </w:rPr>
        <w:t>.</w:t>
      </w:r>
    </w:p>
  </w:footnote>
  <w:footnote w:id="61">
    <w:p w14:paraId="1594D908" w14:textId="00913C93" w:rsidR="006D1404" w:rsidRPr="00C1128C" w:rsidRDefault="006D1404" w:rsidP="006D1404">
      <w:pPr>
        <w:pStyle w:val="FootnoteText"/>
        <w:rPr>
          <w:rFonts w:ascii="Times New Roman" w:eastAsia="Calibri" w:hAnsi="Times New Roman" w:cs="Times New Roman"/>
          <w:color w:val="0563C1"/>
          <w:u w:val="single"/>
        </w:rPr>
      </w:pPr>
      <w:r w:rsidRPr="00C1128C">
        <w:rPr>
          <w:rStyle w:val="FootnoteReference"/>
          <w:rFonts w:ascii="Times New Roman" w:hAnsi="Times New Roman" w:cs="Times New Roman"/>
        </w:rPr>
        <w:footnoteRef/>
      </w:r>
      <w:r w:rsidR="00114A46">
        <w:rPr>
          <w:rFonts w:ascii="Times New Roman" w:hAnsi="Times New Roman" w:cs="Times New Roman"/>
        </w:rPr>
        <w:t xml:space="preserve"> </w:t>
      </w:r>
      <w:r w:rsidRPr="00C1128C">
        <w:rPr>
          <w:rFonts w:ascii="Times New Roman" w:hAnsi="Times New Roman" w:cs="Times New Roman"/>
        </w:rPr>
        <w:t xml:space="preserve">Agropārtikas nozarē vien ar </w:t>
      </w:r>
      <w:r w:rsidRPr="00C1128C">
        <w:rPr>
          <w:rFonts w:ascii="Times New Roman" w:hAnsi="Times New Roman" w:cs="Times New Roman"/>
          <w:i/>
          <w:iCs/>
        </w:rPr>
        <w:t>Brexit</w:t>
      </w:r>
      <w:r w:rsidRPr="00C1128C">
        <w:rPr>
          <w:rFonts w:ascii="Times New Roman" w:hAnsi="Times New Roman" w:cs="Times New Roman"/>
        </w:rPr>
        <w:t xml:space="preserve"> saistītā birokrātisma izmaksas tiek lēstas 60 miljonu GBP apmērā, </w:t>
      </w:r>
      <w:hyperlink r:id="rId47" w:history="1">
        <w:r w:rsidRPr="00C1128C">
          <w:rPr>
            <w:rStyle w:val="Hyperlink"/>
            <w:rFonts w:ascii="Times New Roman" w:hAnsi="Times New Roman" w:cs="Times New Roman"/>
          </w:rPr>
          <w:t>https://www.foodmanufacture.co.uk/Article/2022/02/23/Brexit-red-tape-has-cost-food-businesses-60m</w:t>
        </w:r>
      </w:hyperlink>
      <w:r w:rsidRPr="00C1128C">
        <w:rPr>
          <w:rFonts w:ascii="Times New Roman" w:hAnsi="Times New Roman" w:cs="Times New Roman"/>
        </w:rPr>
        <w:t xml:space="preserve">. </w:t>
      </w:r>
    </w:p>
  </w:footnote>
  <w:footnote w:id="62">
    <w:p w14:paraId="0A56CCFE"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Šajā iedaļā nav aplūkota Īrijas un Lielbritānijas valstspiederīgo pārvietošanās starp Apvienoto Karalisti un Īriju kopējā ceļošanas telpā.</w:t>
      </w:r>
    </w:p>
  </w:footnote>
  <w:footnote w:id="63">
    <w:p w14:paraId="3F02F1E2" w14:textId="77777777" w:rsidR="006D1404" w:rsidRPr="00C1128C" w:rsidRDefault="006D1404" w:rsidP="006D1404">
      <w:pPr>
        <w:pStyle w:val="FootnoteText"/>
        <w:rPr>
          <w:rStyle w:val="Hyperlink"/>
          <w:rFonts w:ascii="Times New Roman" w:hAnsi="Times New Roman" w:cs="Times New Roman"/>
        </w:rPr>
      </w:pPr>
      <w:r w:rsidRPr="00C1128C">
        <w:rPr>
          <w:rStyle w:val="FootnoteReference"/>
          <w:rFonts w:ascii="Times New Roman" w:hAnsi="Times New Roman" w:cs="Times New Roman"/>
        </w:rPr>
        <w:footnoteRef/>
      </w:r>
      <w:hyperlink r:id="rId48" w:history="1">
        <w:r w:rsidRPr="00C1128C">
          <w:rPr>
            <w:rStyle w:val="Hyperlink"/>
            <w:rFonts w:ascii="Times New Roman" w:hAnsi="Times New Roman" w:cs="Times New Roman"/>
          </w:rPr>
          <w:t>https://www.ons.gov.uk/peoplepopulationandcommunity/populationandmigration/internationalmigration/bulletins/longterminternationalmigrationprovisional/yearendingjune2022</w:t>
        </w:r>
      </w:hyperlink>
      <w:r w:rsidRPr="00C1128C">
        <w:rPr>
          <w:rFonts w:ascii="Times New Roman" w:hAnsi="Times New Roman" w:cs="Times New Roman"/>
        </w:rPr>
        <w:t>.</w:t>
      </w:r>
      <w:r w:rsidRPr="00C1128C">
        <w:rPr>
          <w:rStyle w:val="Hyperlink"/>
          <w:rFonts w:ascii="Times New Roman" w:hAnsi="Times New Roman" w:cs="Times New Roman"/>
        </w:rPr>
        <w:t xml:space="preserve"> </w:t>
      </w:r>
    </w:p>
  </w:footnote>
  <w:footnote w:id="64">
    <w:p w14:paraId="6F063B1F"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49" w:history="1">
        <w:r w:rsidRPr="00C1128C">
          <w:rPr>
            <w:rStyle w:val="Hyperlink"/>
            <w:rFonts w:ascii="Times New Roman" w:hAnsi="Times New Roman" w:cs="Times New Roman"/>
          </w:rPr>
          <w:t>https://ukandeu.ac.uk/what-have-we-learned-about-migration-from-the-census/</w:t>
        </w:r>
      </w:hyperlink>
      <w:r w:rsidRPr="00C1128C">
        <w:rPr>
          <w:rFonts w:ascii="Times New Roman" w:hAnsi="Times New Roman" w:cs="Times New Roman"/>
        </w:rPr>
        <w:t>.</w:t>
      </w:r>
    </w:p>
  </w:footnote>
  <w:footnote w:id="65">
    <w:p w14:paraId="5D17142A"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50" w:history="1">
        <w:r w:rsidRPr="00C1128C">
          <w:rPr>
            <w:rStyle w:val="Hyperlink"/>
            <w:rFonts w:ascii="Times New Roman" w:hAnsi="Times New Roman" w:cs="Times New Roman"/>
          </w:rPr>
          <w:t>https://migrationobservatory.ox.ac.uk/resources/briefings/work-visas-and-migrant-workers-in-the-uk/</w:t>
        </w:r>
      </w:hyperlink>
      <w:r w:rsidRPr="00C1128C">
        <w:rPr>
          <w:rFonts w:ascii="Times New Roman" w:hAnsi="Times New Roman" w:cs="Times New Roman"/>
        </w:rPr>
        <w:t xml:space="preserve">. </w:t>
      </w:r>
    </w:p>
  </w:footnote>
  <w:footnote w:id="66">
    <w:p w14:paraId="596D6B7E"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51" w:history="1">
        <w:r w:rsidRPr="00C1128C">
          <w:rPr>
            <w:rStyle w:val="Hyperlink"/>
            <w:rFonts w:ascii="Times New Roman" w:hAnsi="Times New Roman" w:cs="Times New Roman"/>
          </w:rPr>
          <w:t>https://migrationobservatory.ox.ac.uk/resources/briefings/student-migration-to-the-uk/</w:t>
        </w:r>
      </w:hyperlink>
      <w:r w:rsidRPr="00C1128C">
        <w:rPr>
          <w:rFonts w:ascii="Times New Roman" w:hAnsi="Times New Roman" w:cs="Times New Roman"/>
        </w:rPr>
        <w:t xml:space="preserve">. </w:t>
      </w:r>
    </w:p>
  </w:footnote>
  <w:footnote w:id="67">
    <w:p w14:paraId="55C1B19D"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Dati par Maltu un Slovākiju nav pieejami.  </w:t>
      </w:r>
    </w:p>
  </w:footnote>
  <w:footnote w:id="68">
    <w:p w14:paraId="02C7C302" w14:textId="77777777"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52" w:history="1">
        <w:r w:rsidRPr="00C1128C">
          <w:rPr>
            <w:rStyle w:val="Hyperlink"/>
            <w:rFonts w:ascii="Times New Roman" w:hAnsi="Times New Roman" w:cs="Times New Roman"/>
          </w:rPr>
          <w:t>https://www.gov.uk/government/statistics/immigration-statistics-year-ending-march-2022/how-many-people-are-detained-or-returned</w:t>
        </w:r>
      </w:hyperlink>
      <w:r w:rsidRPr="00C1128C">
        <w:rPr>
          <w:rFonts w:ascii="Times New Roman" w:hAnsi="Times New Roman" w:cs="Times New Roman"/>
        </w:rPr>
        <w:t xml:space="preserve">. </w:t>
      </w:r>
    </w:p>
  </w:footnote>
  <w:footnote w:id="69">
    <w:p w14:paraId="4490D794" w14:textId="0ADDB0EE" w:rsidR="006D1404" w:rsidRPr="00C1128C" w:rsidRDefault="006D1404" w:rsidP="006D1404">
      <w:pPr>
        <w:pStyle w:val="FootnoteText"/>
        <w:rPr>
          <w:rFonts w:ascii="Times New Roman" w:hAnsi="Times New Roman" w:cs="Times New Roman"/>
        </w:rPr>
      </w:pPr>
      <w:r w:rsidRPr="00C1128C">
        <w:rPr>
          <w:rStyle w:val="FootnoteReference"/>
          <w:rFonts w:ascii="Times New Roman" w:hAnsi="Times New Roman" w:cs="Times New Roman"/>
        </w:rPr>
        <w:footnoteRef/>
      </w:r>
      <w:hyperlink r:id="rId53" w:history="1">
        <w:r w:rsidRPr="00C1128C">
          <w:rPr>
            <w:rStyle w:val="Hyperlink"/>
            <w:rFonts w:ascii="Times New Roman" w:hAnsi="Times New Roman" w:cs="Times New Roman"/>
          </w:rPr>
          <w:t>https://assets.publishing.service.gov.uk/government/uploads/system/uploads/attachment_data/file/1111534/An_inspection_of_juxtaposed_controls__May_June_2022.pdf</w:t>
        </w:r>
      </w:hyperlink>
      <w:r w:rsidRPr="00C1128C">
        <w:rPr>
          <w:rFonts w:ascii="Times New Roman" w:hAnsi="Times New Roman" w:cs="Times New Roman"/>
        </w:rPr>
        <w:t>.</w:t>
      </w:r>
    </w:p>
  </w:footnote>
  <w:footnote w:id="70">
    <w:p w14:paraId="4BB636D9" w14:textId="04824E40" w:rsidR="00AB6992" w:rsidRPr="00C1128C" w:rsidRDefault="00AB6992">
      <w:pPr>
        <w:pStyle w:val="FootnoteText"/>
        <w:rPr>
          <w:rFonts w:ascii="Times New Roman" w:hAnsi="Times New Roman" w:cs="Times New Roman"/>
        </w:rPr>
      </w:pPr>
      <w:r w:rsidRPr="00C1128C">
        <w:rPr>
          <w:rStyle w:val="FootnoteReference"/>
          <w:rFonts w:ascii="Times New Roman" w:hAnsi="Times New Roman" w:cs="Times New Roman"/>
        </w:rPr>
        <w:footnoteRef/>
      </w:r>
      <w:r w:rsidRPr="00C1128C">
        <w:rPr>
          <w:rFonts w:ascii="Times New Roman" w:hAnsi="Times New Roman" w:cs="Times New Roman"/>
        </w:rPr>
        <w:t xml:space="preserve"> </w:t>
      </w:r>
      <w:hyperlink r:id="rId54" w:history="1">
        <w:r w:rsidRPr="00C1128C">
          <w:rPr>
            <w:rStyle w:val="Hyperlink"/>
            <w:rFonts w:ascii="Times New Roman" w:hAnsi="Times New Roman" w:cs="Times New Roman"/>
          </w:rPr>
          <w:t>https://commission.europa.eu/system/files/2023-02/political%20declaration.pdf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EAE38" w14:textId="77777777" w:rsidR="008A75FD" w:rsidRPr="008A75FD" w:rsidRDefault="008A75FD" w:rsidP="008A75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B0C3E" w14:textId="77777777" w:rsidR="008A75FD" w:rsidRPr="008A75FD" w:rsidRDefault="008A75FD" w:rsidP="008A75F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02488" w14:textId="77777777" w:rsidR="008A75FD" w:rsidRPr="008A75FD" w:rsidRDefault="008A75FD" w:rsidP="008A75F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42ADD" w14:textId="77777777" w:rsidR="006D1404" w:rsidRDefault="006D140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D4FF1" w14:textId="77777777" w:rsidR="006D1404" w:rsidRDefault="006D140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3FD22" w14:textId="77777777" w:rsidR="006D1404" w:rsidRDefault="006D140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CF2F8" w14:textId="77777777" w:rsidR="00103EE3" w:rsidRDefault="008A75FD" w:rsidP="0007384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2994C" w14:textId="77777777" w:rsidR="00103EE3" w:rsidRDefault="008A75FD" w:rsidP="00073840">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13736" w14:textId="77777777" w:rsidR="00103EE3" w:rsidRDefault="008A75FD">
    <w:pPr>
      <w:pStyle w:val="Header"/>
    </w:pPr>
  </w:p>
</w:hdr>
</file>

<file path=word/intelligence2.xml><?xml version="1.0" encoding="utf-8"?>
<int2:intelligence xmlns:int2="http://schemas.microsoft.com/office/intelligence/2020/intelligence" xmlns:oel="http://schemas.microsoft.com/office/2019/extlst">
  <int2:observations>
    <int2:textHash int2:hashCode="BC3EUS+j05HFFw" int2:id="whsUoJps">
      <int2:state int2:value="Rejected" int2:type="LegacyProofing"/>
    </int2:textHash>
    <int2:bookmark int2:bookmarkName="_Int_Ysn4zaLa" int2:invalidationBookmarkName="" int2:hashCode="GTXXtuHNqgyyoS" int2:id="5kmvhOGf"/>
    <int2:bookmark int2:bookmarkName="_Int_U4oaTpNe" int2:invalidationBookmarkName="" int2:hashCode="GTXXtuHNqgyyoS" int2:id="9Oh0kZqt"/>
    <int2:bookmark int2:bookmarkName="_Int_7q4jOmfW" int2:invalidationBookmarkName="" int2:hashCode="213fl/BFVtt7Lu" int2:id="YJ9GhZWi"/>
    <int2:bookmark int2:bookmarkName="_Int_kCKmPNEK" int2:invalidationBookmarkName="" int2:hashCode="sXtXZVVUZyQ0tk" int2:id="DPLjG2JU"/>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346B5"/>
    <w:multiLevelType w:val="hybridMultilevel"/>
    <w:tmpl w:val="B7CA3A30"/>
    <w:lvl w:ilvl="0" w:tplc="C16AA0AA">
      <w:start w:val="1"/>
      <w:numFmt w:val="bullet"/>
      <w:lvlText w:val="·"/>
      <w:lvlJc w:val="left"/>
      <w:pPr>
        <w:ind w:left="720" w:hanging="360"/>
      </w:pPr>
      <w:rPr>
        <w:rFonts w:ascii="Symbol" w:hAnsi="Symbol" w:hint="default"/>
      </w:rPr>
    </w:lvl>
    <w:lvl w:ilvl="1" w:tplc="203ADCCA">
      <w:start w:val="1"/>
      <w:numFmt w:val="bullet"/>
      <w:lvlText w:val="o"/>
      <w:lvlJc w:val="left"/>
      <w:pPr>
        <w:ind w:left="1440" w:hanging="360"/>
      </w:pPr>
      <w:rPr>
        <w:rFonts w:ascii="Courier New" w:hAnsi="Courier New" w:hint="default"/>
      </w:rPr>
    </w:lvl>
    <w:lvl w:ilvl="2" w:tplc="BDA2687A">
      <w:start w:val="1"/>
      <w:numFmt w:val="bullet"/>
      <w:lvlText w:val=""/>
      <w:lvlJc w:val="left"/>
      <w:pPr>
        <w:ind w:left="2160" w:hanging="360"/>
      </w:pPr>
      <w:rPr>
        <w:rFonts w:ascii="Wingdings" w:hAnsi="Wingdings" w:hint="default"/>
      </w:rPr>
    </w:lvl>
    <w:lvl w:ilvl="3" w:tplc="9838193A">
      <w:start w:val="1"/>
      <w:numFmt w:val="bullet"/>
      <w:lvlText w:val=""/>
      <w:lvlJc w:val="left"/>
      <w:pPr>
        <w:ind w:left="2880" w:hanging="360"/>
      </w:pPr>
      <w:rPr>
        <w:rFonts w:ascii="Symbol" w:hAnsi="Symbol" w:hint="default"/>
      </w:rPr>
    </w:lvl>
    <w:lvl w:ilvl="4" w:tplc="20945298">
      <w:start w:val="1"/>
      <w:numFmt w:val="bullet"/>
      <w:lvlText w:val="o"/>
      <w:lvlJc w:val="left"/>
      <w:pPr>
        <w:ind w:left="3600" w:hanging="360"/>
      </w:pPr>
      <w:rPr>
        <w:rFonts w:ascii="Courier New" w:hAnsi="Courier New" w:hint="default"/>
      </w:rPr>
    </w:lvl>
    <w:lvl w:ilvl="5" w:tplc="1A12790E">
      <w:start w:val="1"/>
      <w:numFmt w:val="bullet"/>
      <w:lvlText w:val=""/>
      <w:lvlJc w:val="left"/>
      <w:pPr>
        <w:ind w:left="4320" w:hanging="360"/>
      </w:pPr>
      <w:rPr>
        <w:rFonts w:ascii="Wingdings" w:hAnsi="Wingdings" w:hint="default"/>
      </w:rPr>
    </w:lvl>
    <w:lvl w:ilvl="6" w:tplc="A8C64DC8">
      <w:start w:val="1"/>
      <w:numFmt w:val="bullet"/>
      <w:lvlText w:val=""/>
      <w:lvlJc w:val="left"/>
      <w:pPr>
        <w:ind w:left="5040" w:hanging="360"/>
      </w:pPr>
      <w:rPr>
        <w:rFonts w:ascii="Symbol" w:hAnsi="Symbol" w:hint="default"/>
      </w:rPr>
    </w:lvl>
    <w:lvl w:ilvl="7" w:tplc="78A02AD8">
      <w:start w:val="1"/>
      <w:numFmt w:val="bullet"/>
      <w:lvlText w:val="o"/>
      <w:lvlJc w:val="left"/>
      <w:pPr>
        <w:ind w:left="5760" w:hanging="360"/>
      </w:pPr>
      <w:rPr>
        <w:rFonts w:ascii="Courier New" w:hAnsi="Courier New" w:hint="default"/>
      </w:rPr>
    </w:lvl>
    <w:lvl w:ilvl="8" w:tplc="E91EDCEC">
      <w:start w:val="1"/>
      <w:numFmt w:val="bullet"/>
      <w:lvlText w:val=""/>
      <w:lvlJc w:val="left"/>
      <w:pPr>
        <w:ind w:left="6480" w:hanging="360"/>
      </w:pPr>
      <w:rPr>
        <w:rFonts w:ascii="Wingdings" w:hAnsi="Wingdings" w:hint="default"/>
      </w:rPr>
    </w:lvl>
  </w:abstractNum>
  <w:abstractNum w:abstractNumId="1" w15:restartNumberingAfterBreak="0">
    <w:nsid w:val="051059EC"/>
    <w:multiLevelType w:val="hybridMultilevel"/>
    <w:tmpl w:val="0B2E4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B5B44A"/>
    <w:multiLevelType w:val="hybridMultilevel"/>
    <w:tmpl w:val="62362092"/>
    <w:lvl w:ilvl="0" w:tplc="DB4EF0AA">
      <w:start w:val="1"/>
      <w:numFmt w:val="bullet"/>
      <w:lvlText w:val="-"/>
      <w:lvlJc w:val="left"/>
      <w:pPr>
        <w:ind w:left="720" w:hanging="360"/>
      </w:pPr>
      <w:rPr>
        <w:rFonts w:ascii="Calibri" w:hAnsi="Calibri" w:hint="default"/>
      </w:rPr>
    </w:lvl>
    <w:lvl w:ilvl="1" w:tplc="3C90E556">
      <w:start w:val="1"/>
      <w:numFmt w:val="bullet"/>
      <w:lvlText w:val="o"/>
      <w:lvlJc w:val="left"/>
      <w:pPr>
        <w:ind w:left="1440" w:hanging="360"/>
      </w:pPr>
      <w:rPr>
        <w:rFonts w:ascii="Courier New" w:hAnsi="Courier New" w:hint="default"/>
      </w:rPr>
    </w:lvl>
    <w:lvl w:ilvl="2" w:tplc="CB02C54C">
      <w:start w:val="1"/>
      <w:numFmt w:val="bullet"/>
      <w:lvlText w:val=""/>
      <w:lvlJc w:val="left"/>
      <w:pPr>
        <w:ind w:left="2160" w:hanging="360"/>
      </w:pPr>
      <w:rPr>
        <w:rFonts w:ascii="Wingdings" w:hAnsi="Wingdings" w:hint="default"/>
      </w:rPr>
    </w:lvl>
    <w:lvl w:ilvl="3" w:tplc="6D00FB02">
      <w:start w:val="1"/>
      <w:numFmt w:val="bullet"/>
      <w:lvlText w:val=""/>
      <w:lvlJc w:val="left"/>
      <w:pPr>
        <w:ind w:left="2880" w:hanging="360"/>
      </w:pPr>
      <w:rPr>
        <w:rFonts w:ascii="Symbol" w:hAnsi="Symbol" w:hint="default"/>
      </w:rPr>
    </w:lvl>
    <w:lvl w:ilvl="4" w:tplc="32B24F86">
      <w:start w:val="1"/>
      <w:numFmt w:val="bullet"/>
      <w:lvlText w:val="o"/>
      <w:lvlJc w:val="left"/>
      <w:pPr>
        <w:ind w:left="3600" w:hanging="360"/>
      </w:pPr>
      <w:rPr>
        <w:rFonts w:ascii="Courier New" w:hAnsi="Courier New" w:hint="default"/>
      </w:rPr>
    </w:lvl>
    <w:lvl w:ilvl="5" w:tplc="32F8C684">
      <w:start w:val="1"/>
      <w:numFmt w:val="bullet"/>
      <w:lvlText w:val=""/>
      <w:lvlJc w:val="left"/>
      <w:pPr>
        <w:ind w:left="4320" w:hanging="360"/>
      </w:pPr>
      <w:rPr>
        <w:rFonts w:ascii="Wingdings" w:hAnsi="Wingdings" w:hint="default"/>
      </w:rPr>
    </w:lvl>
    <w:lvl w:ilvl="6" w:tplc="50262DB6">
      <w:start w:val="1"/>
      <w:numFmt w:val="bullet"/>
      <w:lvlText w:val=""/>
      <w:lvlJc w:val="left"/>
      <w:pPr>
        <w:ind w:left="5040" w:hanging="360"/>
      </w:pPr>
      <w:rPr>
        <w:rFonts w:ascii="Symbol" w:hAnsi="Symbol" w:hint="default"/>
      </w:rPr>
    </w:lvl>
    <w:lvl w:ilvl="7" w:tplc="EE2E0D36">
      <w:start w:val="1"/>
      <w:numFmt w:val="bullet"/>
      <w:lvlText w:val="o"/>
      <w:lvlJc w:val="left"/>
      <w:pPr>
        <w:ind w:left="5760" w:hanging="360"/>
      </w:pPr>
      <w:rPr>
        <w:rFonts w:ascii="Courier New" w:hAnsi="Courier New" w:hint="default"/>
      </w:rPr>
    </w:lvl>
    <w:lvl w:ilvl="8" w:tplc="24366F3C">
      <w:start w:val="1"/>
      <w:numFmt w:val="bullet"/>
      <w:lvlText w:val=""/>
      <w:lvlJc w:val="left"/>
      <w:pPr>
        <w:ind w:left="6480" w:hanging="360"/>
      </w:pPr>
      <w:rPr>
        <w:rFonts w:ascii="Wingdings" w:hAnsi="Wingdings" w:hint="default"/>
      </w:rPr>
    </w:lvl>
  </w:abstractNum>
  <w:abstractNum w:abstractNumId="3" w15:restartNumberingAfterBreak="0">
    <w:nsid w:val="0FF553FD"/>
    <w:multiLevelType w:val="multilevel"/>
    <w:tmpl w:val="C32E4A1C"/>
    <w:lvl w:ilvl="0">
      <w:start w:val="4"/>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117D71"/>
    <w:multiLevelType w:val="multilevel"/>
    <w:tmpl w:val="440E4B88"/>
    <w:lvl w:ilvl="0">
      <w:start w:val="4"/>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7B0C30"/>
    <w:multiLevelType w:val="multilevel"/>
    <w:tmpl w:val="8B76AE0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6784192"/>
    <w:multiLevelType w:val="hybridMultilevel"/>
    <w:tmpl w:val="681EB4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6A91549"/>
    <w:multiLevelType w:val="multilevel"/>
    <w:tmpl w:val="8B76AE02"/>
    <w:lvl w:ilvl="0">
      <w:start w:val="1"/>
      <w:numFmt w:val="decimal"/>
      <w:lvlText w:val="%1."/>
      <w:lvlJc w:val="left"/>
      <w:pPr>
        <w:ind w:left="5605"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B681634"/>
    <w:multiLevelType w:val="multilevel"/>
    <w:tmpl w:val="176874A4"/>
    <w:lvl w:ilvl="0">
      <w:start w:val="6"/>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216C580D"/>
    <w:multiLevelType w:val="hybridMultilevel"/>
    <w:tmpl w:val="6256F1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5986A20"/>
    <w:multiLevelType w:val="hybridMultilevel"/>
    <w:tmpl w:val="549663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97F1A7D"/>
    <w:multiLevelType w:val="hybridMultilevel"/>
    <w:tmpl w:val="CBDC69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9D33E63"/>
    <w:multiLevelType w:val="hybridMultilevel"/>
    <w:tmpl w:val="43FA2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A87A40"/>
    <w:multiLevelType w:val="hybridMultilevel"/>
    <w:tmpl w:val="8CEA5820"/>
    <w:lvl w:ilvl="0" w:tplc="230E58F4">
      <w:start w:val="1"/>
      <w:numFmt w:val="bullet"/>
      <w:lvlText w:val="·"/>
      <w:lvlJc w:val="left"/>
      <w:pPr>
        <w:ind w:left="720" w:hanging="360"/>
      </w:pPr>
      <w:rPr>
        <w:rFonts w:ascii="Symbol" w:hAnsi="Symbol" w:hint="default"/>
      </w:rPr>
    </w:lvl>
    <w:lvl w:ilvl="1" w:tplc="00C6166E">
      <w:start w:val="1"/>
      <w:numFmt w:val="bullet"/>
      <w:lvlText w:val="o"/>
      <w:lvlJc w:val="left"/>
      <w:pPr>
        <w:ind w:left="1440" w:hanging="360"/>
      </w:pPr>
      <w:rPr>
        <w:rFonts w:ascii="Courier New" w:hAnsi="Courier New" w:hint="default"/>
      </w:rPr>
    </w:lvl>
    <w:lvl w:ilvl="2" w:tplc="E58014F6">
      <w:start w:val="1"/>
      <w:numFmt w:val="bullet"/>
      <w:lvlText w:val=""/>
      <w:lvlJc w:val="left"/>
      <w:pPr>
        <w:ind w:left="2160" w:hanging="360"/>
      </w:pPr>
      <w:rPr>
        <w:rFonts w:ascii="Wingdings" w:hAnsi="Wingdings" w:hint="default"/>
      </w:rPr>
    </w:lvl>
    <w:lvl w:ilvl="3" w:tplc="60C031B6">
      <w:start w:val="1"/>
      <w:numFmt w:val="bullet"/>
      <w:lvlText w:val=""/>
      <w:lvlJc w:val="left"/>
      <w:pPr>
        <w:ind w:left="2880" w:hanging="360"/>
      </w:pPr>
      <w:rPr>
        <w:rFonts w:ascii="Symbol" w:hAnsi="Symbol" w:hint="default"/>
      </w:rPr>
    </w:lvl>
    <w:lvl w:ilvl="4" w:tplc="6BA890BC">
      <w:start w:val="1"/>
      <w:numFmt w:val="bullet"/>
      <w:lvlText w:val="o"/>
      <w:lvlJc w:val="left"/>
      <w:pPr>
        <w:ind w:left="3600" w:hanging="360"/>
      </w:pPr>
      <w:rPr>
        <w:rFonts w:ascii="Courier New" w:hAnsi="Courier New" w:hint="default"/>
      </w:rPr>
    </w:lvl>
    <w:lvl w:ilvl="5" w:tplc="E4D0C4B8">
      <w:start w:val="1"/>
      <w:numFmt w:val="bullet"/>
      <w:lvlText w:val=""/>
      <w:lvlJc w:val="left"/>
      <w:pPr>
        <w:ind w:left="4320" w:hanging="360"/>
      </w:pPr>
      <w:rPr>
        <w:rFonts w:ascii="Wingdings" w:hAnsi="Wingdings" w:hint="default"/>
      </w:rPr>
    </w:lvl>
    <w:lvl w:ilvl="6" w:tplc="60702F4C">
      <w:start w:val="1"/>
      <w:numFmt w:val="bullet"/>
      <w:lvlText w:val=""/>
      <w:lvlJc w:val="left"/>
      <w:pPr>
        <w:ind w:left="5040" w:hanging="360"/>
      </w:pPr>
      <w:rPr>
        <w:rFonts w:ascii="Symbol" w:hAnsi="Symbol" w:hint="default"/>
      </w:rPr>
    </w:lvl>
    <w:lvl w:ilvl="7" w:tplc="E65A9212">
      <w:start w:val="1"/>
      <w:numFmt w:val="bullet"/>
      <w:lvlText w:val="o"/>
      <w:lvlJc w:val="left"/>
      <w:pPr>
        <w:ind w:left="5760" w:hanging="360"/>
      </w:pPr>
      <w:rPr>
        <w:rFonts w:ascii="Courier New" w:hAnsi="Courier New" w:hint="default"/>
      </w:rPr>
    </w:lvl>
    <w:lvl w:ilvl="8" w:tplc="23D2A6C4">
      <w:start w:val="1"/>
      <w:numFmt w:val="bullet"/>
      <w:lvlText w:val=""/>
      <w:lvlJc w:val="left"/>
      <w:pPr>
        <w:ind w:left="6480" w:hanging="360"/>
      </w:pPr>
      <w:rPr>
        <w:rFonts w:ascii="Wingdings" w:hAnsi="Wingdings" w:hint="default"/>
      </w:rPr>
    </w:lvl>
  </w:abstractNum>
  <w:abstractNum w:abstractNumId="14" w15:restartNumberingAfterBreak="0">
    <w:nsid w:val="2F5C2088"/>
    <w:multiLevelType w:val="hybridMultilevel"/>
    <w:tmpl w:val="CAB64B10"/>
    <w:lvl w:ilvl="0" w:tplc="8202FB4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653F77"/>
    <w:multiLevelType w:val="multilevel"/>
    <w:tmpl w:val="8B76AE02"/>
    <w:lvl w:ilvl="0">
      <w:start w:val="1"/>
      <w:numFmt w:val="decimal"/>
      <w:lvlText w:val="%1."/>
      <w:lvlJc w:val="left"/>
      <w:pPr>
        <w:ind w:left="5605"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0D88E63"/>
    <w:multiLevelType w:val="hybridMultilevel"/>
    <w:tmpl w:val="F4529B22"/>
    <w:lvl w:ilvl="0" w:tplc="F4E6E3C6">
      <w:start w:val="1"/>
      <w:numFmt w:val="bullet"/>
      <w:lvlText w:val="·"/>
      <w:lvlJc w:val="left"/>
      <w:pPr>
        <w:ind w:left="720" w:hanging="360"/>
      </w:pPr>
      <w:rPr>
        <w:rFonts w:ascii="Symbol" w:hAnsi="Symbol" w:hint="default"/>
      </w:rPr>
    </w:lvl>
    <w:lvl w:ilvl="1" w:tplc="B9B6EC86">
      <w:start w:val="1"/>
      <w:numFmt w:val="bullet"/>
      <w:lvlText w:val="o"/>
      <w:lvlJc w:val="left"/>
      <w:pPr>
        <w:ind w:left="1440" w:hanging="360"/>
      </w:pPr>
      <w:rPr>
        <w:rFonts w:ascii="Courier New" w:hAnsi="Courier New" w:hint="default"/>
      </w:rPr>
    </w:lvl>
    <w:lvl w:ilvl="2" w:tplc="80860B82">
      <w:start w:val="1"/>
      <w:numFmt w:val="bullet"/>
      <w:lvlText w:val=""/>
      <w:lvlJc w:val="left"/>
      <w:pPr>
        <w:ind w:left="2160" w:hanging="360"/>
      </w:pPr>
      <w:rPr>
        <w:rFonts w:ascii="Wingdings" w:hAnsi="Wingdings" w:hint="default"/>
      </w:rPr>
    </w:lvl>
    <w:lvl w:ilvl="3" w:tplc="DE26EACA">
      <w:start w:val="1"/>
      <w:numFmt w:val="bullet"/>
      <w:lvlText w:val=""/>
      <w:lvlJc w:val="left"/>
      <w:pPr>
        <w:ind w:left="2880" w:hanging="360"/>
      </w:pPr>
      <w:rPr>
        <w:rFonts w:ascii="Symbol" w:hAnsi="Symbol" w:hint="default"/>
      </w:rPr>
    </w:lvl>
    <w:lvl w:ilvl="4" w:tplc="FECED558">
      <w:start w:val="1"/>
      <w:numFmt w:val="bullet"/>
      <w:lvlText w:val="o"/>
      <w:lvlJc w:val="left"/>
      <w:pPr>
        <w:ind w:left="3600" w:hanging="360"/>
      </w:pPr>
      <w:rPr>
        <w:rFonts w:ascii="Courier New" w:hAnsi="Courier New" w:hint="default"/>
      </w:rPr>
    </w:lvl>
    <w:lvl w:ilvl="5" w:tplc="23D2A90E">
      <w:start w:val="1"/>
      <w:numFmt w:val="bullet"/>
      <w:lvlText w:val=""/>
      <w:lvlJc w:val="left"/>
      <w:pPr>
        <w:ind w:left="4320" w:hanging="360"/>
      </w:pPr>
      <w:rPr>
        <w:rFonts w:ascii="Wingdings" w:hAnsi="Wingdings" w:hint="default"/>
      </w:rPr>
    </w:lvl>
    <w:lvl w:ilvl="6" w:tplc="F36AE38E">
      <w:start w:val="1"/>
      <w:numFmt w:val="bullet"/>
      <w:lvlText w:val=""/>
      <w:lvlJc w:val="left"/>
      <w:pPr>
        <w:ind w:left="5040" w:hanging="360"/>
      </w:pPr>
      <w:rPr>
        <w:rFonts w:ascii="Symbol" w:hAnsi="Symbol" w:hint="default"/>
      </w:rPr>
    </w:lvl>
    <w:lvl w:ilvl="7" w:tplc="74623270">
      <w:start w:val="1"/>
      <w:numFmt w:val="bullet"/>
      <w:lvlText w:val="o"/>
      <w:lvlJc w:val="left"/>
      <w:pPr>
        <w:ind w:left="5760" w:hanging="360"/>
      </w:pPr>
      <w:rPr>
        <w:rFonts w:ascii="Courier New" w:hAnsi="Courier New" w:hint="default"/>
      </w:rPr>
    </w:lvl>
    <w:lvl w:ilvl="8" w:tplc="400EEF10">
      <w:start w:val="1"/>
      <w:numFmt w:val="bullet"/>
      <w:lvlText w:val=""/>
      <w:lvlJc w:val="left"/>
      <w:pPr>
        <w:ind w:left="6480" w:hanging="360"/>
      </w:pPr>
      <w:rPr>
        <w:rFonts w:ascii="Wingdings" w:hAnsi="Wingdings" w:hint="default"/>
      </w:rPr>
    </w:lvl>
  </w:abstractNum>
  <w:abstractNum w:abstractNumId="17" w15:restartNumberingAfterBreak="0">
    <w:nsid w:val="32676382"/>
    <w:multiLevelType w:val="hybridMultilevel"/>
    <w:tmpl w:val="7478B7DA"/>
    <w:lvl w:ilvl="0" w:tplc="18090001">
      <w:start w:val="1"/>
      <w:numFmt w:val="bullet"/>
      <w:lvlText w:val=""/>
      <w:lvlJc w:val="left"/>
      <w:pPr>
        <w:ind w:left="783" w:hanging="360"/>
      </w:pPr>
      <w:rPr>
        <w:rFonts w:ascii="Symbol" w:hAnsi="Symbol" w:hint="default"/>
      </w:rPr>
    </w:lvl>
    <w:lvl w:ilvl="1" w:tplc="18090003" w:tentative="1">
      <w:start w:val="1"/>
      <w:numFmt w:val="bullet"/>
      <w:lvlText w:val="o"/>
      <w:lvlJc w:val="left"/>
      <w:pPr>
        <w:ind w:left="1503" w:hanging="360"/>
      </w:pPr>
      <w:rPr>
        <w:rFonts w:ascii="Courier New" w:hAnsi="Courier New" w:cs="Courier New" w:hint="default"/>
      </w:rPr>
    </w:lvl>
    <w:lvl w:ilvl="2" w:tplc="18090005" w:tentative="1">
      <w:start w:val="1"/>
      <w:numFmt w:val="bullet"/>
      <w:lvlText w:val=""/>
      <w:lvlJc w:val="left"/>
      <w:pPr>
        <w:ind w:left="2223" w:hanging="360"/>
      </w:pPr>
      <w:rPr>
        <w:rFonts w:ascii="Wingdings" w:hAnsi="Wingdings" w:hint="default"/>
      </w:rPr>
    </w:lvl>
    <w:lvl w:ilvl="3" w:tplc="18090001" w:tentative="1">
      <w:start w:val="1"/>
      <w:numFmt w:val="bullet"/>
      <w:lvlText w:val=""/>
      <w:lvlJc w:val="left"/>
      <w:pPr>
        <w:ind w:left="2943" w:hanging="360"/>
      </w:pPr>
      <w:rPr>
        <w:rFonts w:ascii="Symbol" w:hAnsi="Symbol" w:hint="default"/>
      </w:rPr>
    </w:lvl>
    <w:lvl w:ilvl="4" w:tplc="18090003" w:tentative="1">
      <w:start w:val="1"/>
      <w:numFmt w:val="bullet"/>
      <w:lvlText w:val="o"/>
      <w:lvlJc w:val="left"/>
      <w:pPr>
        <w:ind w:left="3663" w:hanging="360"/>
      </w:pPr>
      <w:rPr>
        <w:rFonts w:ascii="Courier New" w:hAnsi="Courier New" w:cs="Courier New" w:hint="default"/>
      </w:rPr>
    </w:lvl>
    <w:lvl w:ilvl="5" w:tplc="18090005" w:tentative="1">
      <w:start w:val="1"/>
      <w:numFmt w:val="bullet"/>
      <w:lvlText w:val=""/>
      <w:lvlJc w:val="left"/>
      <w:pPr>
        <w:ind w:left="4383" w:hanging="360"/>
      </w:pPr>
      <w:rPr>
        <w:rFonts w:ascii="Wingdings" w:hAnsi="Wingdings" w:hint="default"/>
      </w:rPr>
    </w:lvl>
    <w:lvl w:ilvl="6" w:tplc="18090001" w:tentative="1">
      <w:start w:val="1"/>
      <w:numFmt w:val="bullet"/>
      <w:lvlText w:val=""/>
      <w:lvlJc w:val="left"/>
      <w:pPr>
        <w:ind w:left="5103" w:hanging="360"/>
      </w:pPr>
      <w:rPr>
        <w:rFonts w:ascii="Symbol" w:hAnsi="Symbol" w:hint="default"/>
      </w:rPr>
    </w:lvl>
    <w:lvl w:ilvl="7" w:tplc="18090003" w:tentative="1">
      <w:start w:val="1"/>
      <w:numFmt w:val="bullet"/>
      <w:lvlText w:val="o"/>
      <w:lvlJc w:val="left"/>
      <w:pPr>
        <w:ind w:left="5823" w:hanging="360"/>
      </w:pPr>
      <w:rPr>
        <w:rFonts w:ascii="Courier New" w:hAnsi="Courier New" w:cs="Courier New" w:hint="default"/>
      </w:rPr>
    </w:lvl>
    <w:lvl w:ilvl="8" w:tplc="18090005" w:tentative="1">
      <w:start w:val="1"/>
      <w:numFmt w:val="bullet"/>
      <w:lvlText w:val=""/>
      <w:lvlJc w:val="left"/>
      <w:pPr>
        <w:ind w:left="6543" w:hanging="360"/>
      </w:pPr>
      <w:rPr>
        <w:rFonts w:ascii="Wingdings" w:hAnsi="Wingdings" w:hint="default"/>
      </w:rPr>
    </w:lvl>
  </w:abstractNum>
  <w:abstractNum w:abstractNumId="18" w15:restartNumberingAfterBreak="0">
    <w:nsid w:val="32AC2495"/>
    <w:multiLevelType w:val="multilevel"/>
    <w:tmpl w:val="482AD95E"/>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93F6AE9"/>
    <w:multiLevelType w:val="hybridMultilevel"/>
    <w:tmpl w:val="8D4C26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B903B3C"/>
    <w:multiLevelType w:val="multilevel"/>
    <w:tmpl w:val="8B76AE02"/>
    <w:lvl w:ilvl="0">
      <w:start w:val="1"/>
      <w:numFmt w:val="decimal"/>
      <w:lvlText w:val="%1."/>
      <w:lvlJc w:val="left"/>
      <w:pPr>
        <w:ind w:left="5605"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BEE844A"/>
    <w:multiLevelType w:val="hybridMultilevel"/>
    <w:tmpl w:val="F530C7F2"/>
    <w:lvl w:ilvl="0" w:tplc="2812BFA8">
      <w:start w:val="1"/>
      <w:numFmt w:val="bullet"/>
      <w:lvlText w:val="-"/>
      <w:lvlJc w:val="left"/>
      <w:pPr>
        <w:ind w:left="720" w:hanging="360"/>
      </w:pPr>
      <w:rPr>
        <w:rFonts w:ascii="Calibri" w:hAnsi="Calibri" w:hint="default"/>
      </w:rPr>
    </w:lvl>
    <w:lvl w:ilvl="1" w:tplc="0E4CF494">
      <w:start w:val="1"/>
      <w:numFmt w:val="bullet"/>
      <w:lvlText w:val="o"/>
      <w:lvlJc w:val="left"/>
      <w:pPr>
        <w:ind w:left="1440" w:hanging="360"/>
      </w:pPr>
      <w:rPr>
        <w:rFonts w:ascii="Courier New" w:hAnsi="Courier New" w:hint="default"/>
      </w:rPr>
    </w:lvl>
    <w:lvl w:ilvl="2" w:tplc="918E89F2">
      <w:start w:val="1"/>
      <w:numFmt w:val="bullet"/>
      <w:lvlText w:val=""/>
      <w:lvlJc w:val="left"/>
      <w:pPr>
        <w:ind w:left="2160" w:hanging="360"/>
      </w:pPr>
      <w:rPr>
        <w:rFonts w:ascii="Wingdings" w:hAnsi="Wingdings" w:hint="default"/>
      </w:rPr>
    </w:lvl>
    <w:lvl w:ilvl="3" w:tplc="8DF0A1DC">
      <w:start w:val="1"/>
      <w:numFmt w:val="bullet"/>
      <w:lvlText w:val=""/>
      <w:lvlJc w:val="left"/>
      <w:pPr>
        <w:ind w:left="2880" w:hanging="360"/>
      </w:pPr>
      <w:rPr>
        <w:rFonts w:ascii="Symbol" w:hAnsi="Symbol" w:hint="default"/>
      </w:rPr>
    </w:lvl>
    <w:lvl w:ilvl="4" w:tplc="EF88BF76">
      <w:start w:val="1"/>
      <w:numFmt w:val="bullet"/>
      <w:lvlText w:val="o"/>
      <w:lvlJc w:val="left"/>
      <w:pPr>
        <w:ind w:left="3600" w:hanging="360"/>
      </w:pPr>
      <w:rPr>
        <w:rFonts w:ascii="Courier New" w:hAnsi="Courier New" w:hint="default"/>
      </w:rPr>
    </w:lvl>
    <w:lvl w:ilvl="5" w:tplc="872AE9D4">
      <w:start w:val="1"/>
      <w:numFmt w:val="bullet"/>
      <w:lvlText w:val=""/>
      <w:lvlJc w:val="left"/>
      <w:pPr>
        <w:ind w:left="4320" w:hanging="360"/>
      </w:pPr>
      <w:rPr>
        <w:rFonts w:ascii="Wingdings" w:hAnsi="Wingdings" w:hint="default"/>
      </w:rPr>
    </w:lvl>
    <w:lvl w:ilvl="6" w:tplc="E7C40BC8">
      <w:start w:val="1"/>
      <w:numFmt w:val="bullet"/>
      <w:lvlText w:val=""/>
      <w:lvlJc w:val="left"/>
      <w:pPr>
        <w:ind w:left="5040" w:hanging="360"/>
      </w:pPr>
      <w:rPr>
        <w:rFonts w:ascii="Symbol" w:hAnsi="Symbol" w:hint="default"/>
      </w:rPr>
    </w:lvl>
    <w:lvl w:ilvl="7" w:tplc="372852B6">
      <w:start w:val="1"/>
      <w:numFmt w:val="bullet"/>
      <w:lvlText w:val="o"/>
      <w:lvlJc w:val="left"/>
      <w:pPr>
        <w:ind w:left="5760" w:hanging="360"/>
      </w:pPr>
      <w:rPr>
        <w:rFonts w:ascii="Courier New" w:hAnsi="Courier New" w:hint="default"/>
      </w:rPr>
    </w:lvl>
    <w:lvl w:ilvl="8" w:tplc="A260CEB4">
      <w:start w:val="1"/>
      <w:numFmt w:val="bullet"/>
      <w:lvlText w:val=""/>
      <w:lvlJc w:val="left"/>
      <w:pPr>
        <w:ind w:left="6480" w:hanging="360"/>
      </w:pPr>
      <w:rPr>
        <w:rFonts w:ascii="Wingdings" w:hAnsi="Wingdings" w:hint="default"/>
      </w:rPr>
    </w:lvl>
  </w:abstractNum>
  <w:abstractNum w:abstractNumId="22" w15:restartNumberingAfterBreak="0">
    <w:nsid w:val="3E14567B"/>
    <w:multiLevelType w:val="hybridMultilevel"/>
    <w:tmpl w:val="050292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1D53C69"/>
    <w:multiLevelType w:val="multilevel"/>
    <w:tmpl w:val="482AD95E"/>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468A517D"/>
    <w:multiLevelType w:val="hybridMultilevel"/>
    <w:tmpl w:val="D21E6D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8A237AA"/>
    <w:multiLevelType w:val="multilevel"/>
    <w:tmpl w:val="482AD95E"/>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49F344F8"/>
    <w:multiLevelType w:val="hybridMultilevel"/>
    <w:tmpl w:val="38F6A57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39736A"/>
    <w:multiLevelType w:val="hybridMultilevel"/>
    <w:tmpl w:val="0D3E7F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3AD6343"/>
    <w:multiLevelType w:val="hybridMultilevel"/>
    <w:tmpl w:val="836660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D6F3C48"/>
    <w:multiLevelType w:val="hybridMultilevel"/>
    <w:tmpl w:val="CDBEAB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D8E59BC"/>
    <w:multiLevelType w:val="hybridMultilevel"/>
    <w:tmpl w:val="C7F6AA48"/>
    <w:lvl w:ilvl="0" w:tplc="721C039C">
      <w:start w:val="6"/>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DA26A19"/>
    <w:multiLevelType w:val="multilevel"/>
    <w:tmpl w:val="FFE6B82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4B0483"/>
    <w:multiLevelType w:val="multilevel"/>
    <w:tmpl w:val="8B76AE0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0D1E02B"/>
    <w:multiLevelType w:val="hybridMultilevel"/>
    <w:tmpl w:val="30267516"/>
    <w:lvl w:ilvl="0" w:tplc="41BAFE56">
      <w:start w:val="1"/>
      <w:numFmt w:val="bullet"/>
      <w:lvlText w:val="·"/>
      <w:lvlJc w:val="left"/>
      <w:pPr>
        <w:ind w:left="720" w:hanging="360"/>
      </w:pPr>
      <w:rPr>
        <w:rFonts w:ascii="Symbol" w:hAnsi="Symbol" w:hint="default"/>
      </w:rPr>
    </w:lvl>
    <w:lvl w:ilvl="1" w:tplc="B434DCFC">
      <w:start w:val="1"/>
      <w:numFmt w:val="bullet"/>
      <w:lvlText w:val="o"/>
      <w:lvlJc w:val="left"/>
      <w:pPr>
        <w:ind w:left="1440" w:hanging="360"/>
      </w:pPr>
      <w:rPr>
        <w:rFonts w:ascii="Courier New" w:hAnsi="Courier New" w:hint="default"/>
      </w:rPr>
    </w:lvl>
    <w:lvl w:ilvl="2" w:tplc="5142A43A">
      <w:start w:val="1"/>
      <w:numFmt w:val="bullet"/>
      <w:lvlText w:val=""/>
      <w:lvlJc w:val="left"/>
      <w:pPr>
        <w:ind w:left="2160" w:hanging="360"/>
      </w:pPr>
      <w:rPr>
        <w:rFonts w:ascii="Wingdings" w:hAnsi="Wingdings" w:hint="default"/>
      </w:rPr>
    </w:lvl>
    <w:lvl w:ilvl="3" w:tplc="EC229AEA">
      <w:start w:val="1"/>
      <w:numFmt w:val="bullet"/>
      <w:lvlText w:val=""/>
      <w:lvlJc w:val="left"/>
      <w:pPr>
        <w:ind w:left="2880" w:hanging="360"/>
      </w:pPr>
      <w:rPr>
        <w:rFonts w:ascii="Symbol" w:hAnsi="Symbol" w:hint="default"/>
      </w:rPr>
    </w:lvl>
    <w:lvl w:ilvl="4" w:tplc="9E827398">
      <w:start w:val="1"/>
      <w:numFmt w:val="bullet"/>
      <w:lvlText w:val="o"/>
      <w:lvlJc w:val="left"/>
      <w:pPr>
        <w:ind w:left="3600" w:hanging="360"/>
      </w:pPr>
      <w:rPr>
        <w:rFonts w:ascii="Courier New" w:hAnsi="Courier New" w:hint="default"/>
      </w:rPr>
    </w:lvl>
    <w:lvl w:ilvl="5" w:tplc="F1E4376C">
      <w:start w:val="1"/>
      <w:numFmt w:val="bullet"/>
      <w:lvlText w:val=""/>
      <w:lvlJc w:val="left"/>
      <w:pPr>
        <w:ind w:left="4320" w:hanging="360"/>
      </w:pPr>
      <w:rPr>
        <w:rFonts w:ascii="Wingdings" w:hAnsi="Wingdings" w:hint="default"/>
      </w:rPr>
    </w:lvl>
    <w:lvl w:ilvl="6" w:tplc="98405556">
      <w:start w:val="1"/>
      <w:numFmt w:val="bullet"/>
      <w:lvlText w:val=""/>
      <w:lvlJc w:val="left"/>
      <w:pPr>
        <w:ind w:left="5040" w:hanging="360"/>
      </w:pPr>
      <w:rPr>
        <w:rFonts w:ascii="Symbol" w:hAnsi="Symbol" w:hint="default"/>
      </w:rPr>
    </w:lvl>
    <w:lvl w:ilvl="7" w:tplc="3CB44896">
      <w:start w:val="1"/>
      <w:numFmt w:val="bullet"/>
      <w:lvlText w:val="o"/>
      <w:lvlJc w:val="left"/>
      <w:pPr>
        <w:ind w:left="5760" w:hanging="360"/>
      </w:pPr>
      <w:rPr>
        <w:rFonts w:ascii="Courier New" w:hAnsi="Courier New" w:hint="default"/>
      </w:rPr>
    </w:lvl>
    <w:lvl w:ilvl="8" w:tplc="272C4D58">
      <w:start w:val="1"/>
      <w:numFmt w:val="bullet"/>
      <w:lvlText w:val=""/>
      <w:lvlJc w:val="left"/>
      <w:pPr>
        <w:ind w:left="6480" w:hanging="360"/>
      </w:pPr>
      <w:rPr>
        <w:rFonts w:ascii="Wingdings" w:hAnsi="Wingdings" w:hint="default"/>
      </w:rPr>
    </w:lvl>
  </w:abstractNum>
  <w:abstractNum w:abstractNumId="34" w15:restartNumberingAfterBreak="0">
    <w:nsid w:val="6263411A"/>
    <w:multiLevelType w:val="hybridMultilevel"/>
    <w:tmpl w:val="9C862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D24832A"/>
    <w:multiLevelType w:val="hybridMultilevel"/>
    <w:tmpl w:val="FE0CC7BE"/>
    <w:lvl w:ilvl="0" w:tplc="368C05A8">
      <w:start w:val="1"/>
      <w:numFmt w:val="bullet"/>
      <w:lvlText w:val="·"/>
      <w:lvlJc w:val="left"/>
      <w:pPr>
        <w:ind w:left="720" w:hanging="360"/>
      </w:pPr>
      <w:rPr>
        <w:rFonts w:ascii="Symbol" w:hAnsi="Symbol" w:hint="default"/>
      </w:rPr>
    </w:lvl>
    <w:lvl w:ilvl="1" w:tplc="36CA6508">
      <w:start w:val="1"/>
      <w:numFmt w:val="bullet"/>
      <w:lvlText w:val="o"/>
      <w:lvlJc w:val="left"/>
      <w:pPr>
        <w:ind w:left="1440" w:hanging="360"/>
      </w:pPr>
      <w:rPr>
        <w:rFonts w:ascii="Courier New" w:hAnsi="Courier New" w:hint="default"/>
      </w:rPr>
    </w:lvl>
    <w:lvl w:ilvl="2" w:tplc="7FA67FB6">
      <w:start w:val="1"/>
      <w:numFmt w:val="bullet"/>
      <w:lvlText w:val=""/>
      <w:lvlJc w:val="left"/>
      <w:pPr>
        <w:ind w:left="2160" w:hanging="360"/>
      </w:pPr>
      <w:rPr>
        <w:rFonts w:ascii="Wingdings" w:hAnsi="Wingdings" w:hint="default"/>
      </w:rPr>
    </w:lvl>
    <w:lvl w:ilvl="3" w:tplc="0F02251A">
      <w:start w:val="1"/>
      <w:numFmt w:val="bullet"/>
      <w:lvlText w:val=""/>
      <w:lvlJc w:val="left"/>
      <w:pPr>
        <w:ind w:left="2880" w:hanging="360"/>
      </w:pPr>
      <w:rPr>
        <w:rFonts w:ascii="Symbol" w:hAnsi="Symbol" w:hint="default"/>
      </w:rPr>
    </w:lvl>
    <w:lvl w:ilvl="4" w:tplc="BEFAFE26">
      <w:start w:val="1"/>
      <w:numFmt w:val="bullet"/>
      <w:lvlText w:val="o"/>
      <w:lvlJc w:val="left"/>
      <w:pPr>
        <w:ind w:left="3600" w:hanging="360"/>
      </w:pPr>
      <w:rPr>
        <w:rFonts w:ascii="Courier New" w:hAnsi="Courier New" w:hint="default"/>
      </w:rPr>
    </w:lvl>
    <w:lvl w:ilvl="5" w:tplc="B3D46156">
      <w:start w:val="1"/>
      <w:numFmt w:val="bullet"/>
      <w:lvlText w:val=""/>
      <w:lvlJc w:val="left"/>
      <w:pPr>
        <w:ind w:left="4320" w:hanging="360"/>
      </w:pPr>
      <w:rPr>
        <w:rFonts w:ascii="Wingdings" w:hAnsi="Wingdings" w:hint="default"/>
      </w:rPr>
    </w:lvl>
    <w:lvl w:ilvl="6" w:tplc="BCB02586">
      <w:start w:val="1"/>
      <w:numFmt w:val="bullet"/>
      <w:lvlText w:val=""/>
      <w:lvlJc w:val="left"/>
      <w:pPr>
        <w:ind w:left="5040" w:hanging="360"/>
      </w:pPr>
      <w:rPr>
        <w:rFonts w:ascii="Symbol" w:hAnsi="Symbol" w:hint="default"/>
      </w:rPr>
    </w:lvl>
    <w:lvl w:ilvl="7" w:tplc="C9AC46D8">
      <w:start w:val="1"/>
      <w:numFmt w:val="bullet"/>
      <w:lvlText w:val="o"/>
      <w:lvlJc w:val="left"/>
      <w:pPr>
        <w:ind w:left="5760" w:hanging="360"/>
      </w:pPr>
      <w:rPr>
        <w:rFonts w:ascii="Courier New" w:hAnsi="Courier New" w:hint="default"/>
      </w:rPr>
    </w:lvl>
    <w:lvl w:ilvl="8" w:tplc="3160BB3C">
      <w:start w:val="1"/>
      <w:numFmt w:val="bullet"/>
      <w:lvlText w:val=""/>
      <w:lvlJc w:val="left"/>
      <w:pPr>
        <w:ind w:left="6480" w:hanging="360"/>
      </w:pPr>
      <w:rPr>
        <w:rFonts w:ascii="Wingdings" w:hAnsi="Wingdings" w:hint="default"/>
      </w:rPr>
    </w:lvl>
  </w:abstractNum>
  <w:abstractNum w:abstractNumId="36" w15:restartNumberingAfterBreak="0">
    <w:nsid w:val="74954C19"/>
    <w:multiLevelType w:val="multilevel"/>
    <w:tmpl w:val="482AD95E"/>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7" w15:restartNumberingAfterBreak="0">
    <w:nsid w:val="76491D28"/>
    <w:multiLevelType w:val="hybridMultilevel"/>
    <w:tmpl w:val="82BE4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3132DF"/>
    <w:multiLevelType w:val="hybridMultilevel"/>
    <w:tmpl w:val="868C09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84D6D5D"/>
    <w:multiLevelType w:val="hybridMultilevel"/>
    <w:tmpl w:val="81761B32"/>
    <w:lvl w:ilvl="0" w:tplc="D38428A0">
      <w:numFmt w:val="none"/>
      <w:lvlText w:val=""/>
      <w:lvlJc w:val="left"/>
      <w:pPr>
        <w:tabs>
          <w:tab w:val="num" w:pos="360"/>
        </w:tabs>
      </w:pPr>
    </w:lvl>
    <w:lvl w:ilvl="1" w:tplc="D36460CC">
      <w:start w:val="1"/>
      <w:numFmt w:val="lowerLetter"/>
      <w:lvlText w:val="%2."/>
      <w:lvlJc w:val="left"/>
      <w:pPr>
        <w:ind w:left="1440" w:hanging="360"/>
      </w:pPr>
    </w:lvl>
    <w:lvl w:ilvl="2" w:tplc="00F876DA">
      <w:start w:val="1"/>
      <w:numFmt w:val="lowerRoman"/>
      <w:lvlText w:val="%3."/>
      <w:lvlJc w:val="right"/>
      <w:pPr>
        <w:ind w:left="2160" w:hanging="180"/>
      </w:pPr>
    </w:lvl>
    <w:lvl w:ilvl="3" w:tplc="F4A2A93C">
      <w:start w:val="1"/>
      <w:numFmt w:val="decimal"/>
      <w:lvlText w:val="%4."/>
      <w:lvlJc w:val="left"/>
      <w:pPr>
        <w:ind w:left="2880" w:hanging="360"/>
      </w:pPr>
    </w:lvl>
    <w:lvl w:ilvl="4" w:tplc="1366B08E">
      <w:start w:val="1"/>
      <w:numFmt w:val="lowerLetter"/>
      <w:lvlText w:val="%5."/>
      <w:lvlJc w:val="left"/>
      <w:pPr>
        <w:ind w:left="3600" w:hanging="360"/>
      </w:pPr>
    </w:lvl>
    <w:lvl w:ilvl="5" w:tplc="AD8ED516">
      <w:start w:val="1"/>
      <w:numFmt w:val="lowerRoman"/>
      <w:lvlText w:val="%6."/>
      <w:lvlJc w:val="right"/>
      <w:pPr>
        <w:ind w:left="4320" w:hanging="180"/>
      </w:pPr>
    </w:lvl>
    <w:lvl w:ilvl="6" w:tplc="306631F2">
      <w:start w:val="1"/>
      <w:numFmt w:val="decimal"/>
      <w:lvlText w:val="%7."/>
      <w:lvlJc w:val="left"/>
      <w:pPr>
        <w:ind w:left="5040" w:hanging="360"/>
      </w:pPr>
    </w:lvl>
    <w:lvl w:ilvl="7" w:tplc="64AEECD4">
      <w:start w:val="1"/>
      <w:numFmt w:val="lowerLetter"/>
      <w:lvlText w:val="%8."/>
      <w:lvlJc w:val="left"/>
      <w:pPr>
        <w:ind w:left="5760" w:hanging="360"/>
      </w:pPr>
    </w:lvl>
    <w:lvl w:ilvl="8" w:tplc="0186B208">
      <w:start w:val="1"/>
      <w:numFmt w:val="lowerRoman"/>
      <w:lvlText w:val="%9."/>
      <w:lvlJc w:val="right"/>
      <w:pPr>
        <w:ind w:left="6480" w:hanging="180"/>
      </w:pPr>
    </w:lvl>
  </w:abstractNum>
  <w:abstractNum w:abstractNumId="40" w15:restartNumberingAfterBreak="0">
    <w:nsid w:val="795D3ACD"/>
    <w:multiLevelType w:val="hybridMultilevel"/>
    <w:tmpl w:val="04AECA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9975DA1"/>
    <w:multiLevelType w:val="hybridMultilevel"/>
    <w:tmpl w:val="762E4276"/>
    <w:lvl w:ilvl="0" w:tplc="0902F4A6">
      <w:start w:val="1"/>
      <w:numFmt w:val="bullet"/>
      <w:lvlText w:val="·"/>
      <w:lvlJc w:val="left"/>
      <w:pPr>
        <w:ind w:left="720" w:hanging="360"/>
      </w:pPr>
      <w:rPr>
        <w:rFonts w:ascii="Symbol" w:hAnsi="Symbol" w:hint="default"/>
      </w:rPr>
    </w:lvl>
    <w:lvl w:ilvl="1" w:tplc="08F28374">
      <w:start w:val="1"/>
      <w:numFmt w:val="bullet"/>
      <w:lvlText w:val="o"/>
      <w:lvlJc w:val="left"/>
      <w:pPr>
        <w:ind w:left="1440" w:hanging="360"/>
      </w:pPr>
      <w:rPr>
        <w:rFonts w:ascii="Courier New" w:hAnsi="Courier New" w:hint="default"/>
      </w:rPr>
    </w:lvl>
    <w:lvl w:ilvl="2" w:tplc="89C485C2">
      <w:start w:val="1"/>
      <w:numFmt w:val="bullet"/>
      <w:lvlText w:val=""/>
      <w:lvlJc w:val="left"/>
      <w:pPr>
        <w:ind w:left="2160" w:hanging="360"/>
      </w:pPr>
      <w:rPr>
        <w:rFonts w:ascii="Wingdings" w:hAnsi="Wingdings" w:hint="default"/>
      </w:rPr>
    </w:lvl>
    <w:lvl w:ilvl="3" w:tplc="052EFBA2">
      <w:start w:val="1"/>
      <w:numFmt w:val="bullet"/>
      <w:lvlText w:val=""/>
      <w:lvlJc w:val="left"/>
      <w:pPr>
        <w:ind w:left="2880" w:hanging="360"/>
      </w:pPr>
      <w:rPr>
        <w:rFonts w:ascii="Symbol" w:hAnsi="Symbol" w:hint="default"/>
      </w:rPr>
    </w:lvl>
    <w:lvl w:ilvl="4" w:tplc="3216BBD0">
      <w:start w:val="1"/>
      <w:numFmt w:val="bullet"/>
      <w:lvlText w:val="o"/>
      <w:lvlJc w:val="left"/>
      <w:pPr>
        <w:ind w:left="3600" w:hanging="360"/>
      </w:pPr>
      <w:rPr>
        <w:rFonts w:ascii="Courier New" w:hAnsi="Courier New" w:hint="default"/>
      </w:rPr>
    </w:lvl>
    <w:lvl w:ilvl="5" w:tplc="A5E004B0">
      <w:start w:val="1"/>
      <w:numFmt w:val="bullet"/>
      <w:lvlText w:val=""/>
      <w:lvlJc w:val="left"/>
      <w:pPr>
        <w:ind w:left="4320" w:hanging="360"/>
      </w:pPr>
      <w:rPr>
        <w:rFonts w:ascii="Wingdings" w:hAnsi="Wingdings" w:hint="default"/>
      </w:rPr>
    </w:lvl>
    <w:lvl w:ilvl="6" w:tplc="1124D14A">
      <w:start w:val="1"/>
      <w:numFmt w:val="bullet"/>
      <w:lvlText w:val=""/>
      <w:lvlJc w:val="left"/>
      <w:pPr>
        <w:ind w:left="5040" w:hanging="360"/>
      </w:pPr>
      <w:rPr>
        <w:rFonts w:ascii="Symbol" w:hAnsi="Symbol" w:hint="default"/>
      </w:rPr>
    </w:lvl>
    <w:lvl w:ilvl="7" w:tplc="7B6EBEA4">
      <w:start w:val="1"/>
      <w:numFmt w:val="bullet"/>
      <w:lvlText w:val="o"/>
      <w:lvlJc w:val="left"/>
      <w:pPr>
        <w:ind w:left="5760" w:hanging="360"/>
      </w:pPr>
      <w:rPr>
        <w:rFonts w:ascii="Courier New" w:hAnsi="Courier New" w:hint="default"/>
      </w:rPr>
    </w:lvl>
    <w:lvl w:ilvl="8" w:tplc="2E76B868">
      <w:start w:val="1"/>
      <w:numFmt w:val="bullet"/>
      <w:lvlText w:val=""/>
      <w:lvlJc w:val="left"/>
      <w:pPr>
        <w:ind w:left="6480" w:hanging="360"/>
      </w:pPr>
      <w:rPr>
        <w:rFonts w:ascii="Wingdings" w:hAnsi="Wingdings" w:hint="default"/>
      </w:rPr>
    </w:lvl>
  </w:abstractNum>
  <w:abstractNum w:abstractNumId="42" w15:restartNumberingAfterBreak="0">
    <w:nsid w:val="7FFE0871"/>
    <w:multiLevelType w:val="hybridMultilevel"/>
    <w:tmpl w:val="077806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1"/>
  </w:num>
  <w:num w:numId="2">
    <w:abstractNumId w:val="35"/>
  </w:num>
  <w:num w:numId="3">
    <w:abstractNumId w:val="13"/>
  </w:num>
  <w:num w:numId="4">
    <w:abstractNumId w:val="33"/>
  </w:num>
  <w:num w:numId="5">
    <w:abstractNumId w:val="0"/>
  </w:num>
  <w:num w:numId="6">
    <w:abstractNumId w:val="21"/>
  </w:num>
  <w:num w:numId="7">
    <w:abstractNumId w:val="2"/>
  </w:num>
  <w:num w:numId="8">
    <w:abstractNumId w:val="16"/>
  </w:num>
  <w:num w:numId="9">
    <w:abstractNumId w:val="7"/>
  </w:num>
  <w:num w:numId="10">
    <w:abstractNumId w:val="28"/>
  </w:num>
  <w:num w:numId="11">
    <w:abstractNumId w:val="32"/>
  </w:num>
  <w:num w:numId="12">
    <w:abstractNumId w:val="3"/>
  </w:num>
  <w:num w:numId="13">
    <w:abstractNumId w:val="4"/>
  </w:num>
  <w:num w:numId="14">
    <w:abstractNumId w:val="39"/>
  </w:num>
  <w:num w:numId="15">
    <w:abstractNumId w:val="40"/>
  </w:num>
  <w:num w:numId="16">
    <w:abstractNumId w:val="14"/>
  </w:num>
  <w:num w:numId="17">
    <w:abstractNumId w:val="12"/>
  </w:num>
  <w:num w:numId="18">
    <w:abstractNumId w:val="42"/>
  </w:num>
  <w:num w:numId="19">
    <w:abstractNumId w:val="27"/>
  </w:num>
  <w:num w:numId="20">
    <w:abstractNumId w:val="37"/>
  </w:num>
  <w:num w:numId="21">
    <w:abstractNumId w:val="5"/>
  </w:num>
  <w:num w:numId="22">
    <w:abstractNumId w:val="1"/>
  </w:num>
  <w:num w:numId="23">
    <w:abstractNumId w:val="26"/>
  </w:num>
  <w:num w:numId="24">
    <w:abstractNumId w:val="10"/>
  </w:num>
  <w:num w:numId="25">
    <w:abstractNumId w:val="9"/>
  </w:num>
  <w:num w:numId="26">
    <w:abstractNumId w:val="19"/>
  </w:num>
  <w:num w:numId="27">
    <w:abstractNumId w:val="6"/>
  </w:num>
  <w:num w:numId="28">
    <w:abstractNumId w:val="20"/>
  </w:num>
  <w:num w:numId="29">
    <w:abstractNumId w:val="36"/>
  </w:num>
  <w:num w:numId="30">
    <w:abstractNumId w:val="29"/>
  </w:num>
  <w:num w:numId="31">
    <w:abstractNumId w:val="17"/>
  </w:num>
  <w:num w:numId="32">
    <w:abstractNumId w:val="34"/>
  </w:num>
  <w:num w:numId="33">
    <w:abstractNumId w:val="22"/>
  </w:num>
  <w:num w:numId="34">
    <w:abstractNumId w:val="38"/>
  </w:num>
  <w:num w:numId="35">
    <w:abstractNumId w:val="31"/>
  </w:num>
  <w:num w:numId="36">
    <w:abstractNumId w:val="11"/>
  </w:num>
  <w:num w:numId="37">
    <w:abstractNumId w:val="23"/>
  </w:num>
  <w:num w:numId="38">
    <w:abstractNumId w:val="24"/>
  </w:num>
  <w:num w:numId="39">
    <w:abstractNumId w:val="30"/>
  </w:num>
  <w:num w:numId="40">
    <w:abstractNumId w:val="25"/>
  </w:num>
  <w:num w:numId="41">
    <w:abstractNumId w:val="18"/>
  </w:num>
  <w:num w:numId="42">
    <w:abstractNumId w:val="15"/>
  </w:num>
  <w:num w:numId="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ctiveWritingStyle w:appName="MSWord" w:lang="fr-BE" w:vendorID="64" w:dllVersion="0" w:nlCheck="1" w:checkStyle="0"/>
  <w:revisionView w:markup="0"/>
  <w:defaultTabStop w:val="720"/>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5F163B0-5B37-4828-85C5-032FD64E6E0F"/>
    <w:docVar w:name="LW_COVERPAGE_TYPE" w:val="1"/>
    <w:docVar w:name="LW_CROSSREFERENCE" w:val="&lt;UNUSED&gt;"/>
    <w:docVar w:name="LW_DocType" w:val="NORMAL"/>
    <w:docVar w:name="LW_EMISSION" w:val="15.3.2023"/>
    <w:docVar w:name="LW_EMISSION_ISODATE" w:val="2023-03-15"/>
    <w:docVar w:name="LW_EMISSION_LOCATION" w:val="BRX"/>
    <w:docVar w:name="LW_EMISSION_PREFIX" w:val="Brisel\u275?, "/>
    <w:docVar w:name="LW_EMISSION_SUFFIX" w:val="."/>
    <w:docVar w:name="LW_ID_DOCTYPE_NONLW" w:val="CP-006"/>
    <w:docVar w:name="LW_LANGUE" w:val="LV"/>
    <w:docVar w:name="LW_LEVEL_OF_SENSITIVITY" w:val="Standard treatment"/>
    <w:docVar w:name="LW_NOM.INST" w:val="EIROPAS KOMISIJA"/>
    <w:docVar w:name="LW_NOM.INST_JOINTDOC" w:val="&lt;EMPTY&gt;"/>
    <w:docVar w:name="LW_PART_NBR" w:val="1"/>
    <w:docVar w:name="LW_PART_NBR_TOTAL" w:val="1"/>
    <w:docVar w:name="LW_REF.INST.NEW" w:val="COM"/>
    <w:docVar w:name="LW_REF.INST.NEW_ADOPTED" w:val="final"/>
    <w:docVar w:name="LW_REF.INST.NEW_TEXT" w:val="(2023) 11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ar Tirdzniecības un sadarbības nolīguma starp Eiropas Savienību un Lielbritānijas un Ziemeļīrijas Apvienoto Karalisti īstenošanu un piemērošanu_x000d__x000d__x000d__x000d__x000d__x000b__x000d__x000d__x000d__x000d__x000d__x000d__x000b_2022. gada 1. janvāris – 31. decembris"/>
    <w:docVar w:name="LW_TYPE.DOC.CP" w:val="KOMISIJAS ZIŅOJUMS EIROPAS PARLAMENTAM UN PADOMEI"/>
    <w:docVar w:name="LwApiVersions" w:val="LW4CoDe 1.23.2.0; LW 8.0, Build 20211117"/>
  </w:docVars>
  <w:rsids>
    <w:rsidRoot w:val="00D54585"/>
    <w:rsid w:val="00000306"/>
    <w:rsid w:val="00002647"/>
    <w:rsid w:val="00004751"/>
    <w:rsid w:val="00005207"/>
    <w:rsid w:val="00005C07"/>
    <w:rsid w:val="0000609D"/>
    <w:rsid w:val="000061F3"/>
    <w:rsid w:val="00007848"/>
    <w:rsid w:val="000104AB"/>
    <w:rsid w:val="00010783"/>
    <w:rsid w:val="00010E1E"/>
    <w:rsid w:val="00010E78"/>
    <w:rsid w:val="00011335"/>
    <w:rsid w:val="000113C6"/>
    <w:rsid w:val="0001158A"/>
    <w:rsid w:val="000115DE"/>
    <w:rsid w:val="00012286"/>
    <w:rsid w:val="00012710"/>
    <w:rsid w:val="00012C9B"/>
    <w:rsid w:val="0001303C"/>
    <w:rsid w:val="0001325C"/>
    <w:rsid w:val="00013508"/>
    <w:rsid w:val="00013B49"/>
    <w:rsid w:val="000142C1"/>
    <w:rsid w:val="000146AB"/>
    <w:rsid w:val="00014D1B"/>
    <w:rsid w:val="00015337"/>
    <w:rsid w:val="000153E0"/>
    <w:rsid w:val="00015F9B"/>
    <w:rsid w:val="000168BD"/>
    <w:rsid w:val="000175C8"/>
    <w:rsid w:val="00017D6D"/>
    <w:rsid w:val="000200F1"/>
    <w:rsid w:val="00020EC8"/>
    <w:rsid w:val="00021CAA"/>
    <w:rsid w:val="000223BE"/>
    <w:rsid w:val="000225AE"/>
    <w:rsid w:val="00022A83"/>
    <w:rsid w:val="00024562"/>
    <w:rsid w:val="00024752"/>
    <w:rsid w:val="00024840"/>
    <w:rsid w:val="00024AB7"/>
    <w:rsid w:val="00025303"/>
    <w:rsid w:val="000260AA"/>
    <w:rsid w:val="000261D3"/>
    <w:rsid w:val="00026F98"/>
    <w:rsid w:val="00030347"/>
    <w:rsid w:val="00030988"/>
    <w:rsid w:val="00030E17"/>
    <w:rsid w:val="00031009"/>
    <w:rsid w:val="00031830"/>
    <w:rsid w:val="0003247B"/>
    <w:rsid w:val="000325EE"/>
    <w:rsid w:val="00033010"/>
    <w:rsid w:val="000335E7"/>
    <w:rsid w:val="0003431F"/>
    <w:rsid w:val="00034447"/>
    <w:rsid w:val="00034714"/>
    <w:rsid w:val="00034D82"/>
    <w:rsid w:val="00035F8D"/>
    <w:rsid w:val="000361B5"/>
    <w:rsid w:val="000368B4"/>
    <w:rsid w:val="00036B1B"/>
    <w:rsid w:val="00037256"/>
    <w:rsid w:val="00037355"/>
    <w:rsid w:val="000379C6"/>
    <w:rsid w:val="00037D7B"/>
    <w:rsid w:val="000403C9"/>
    <w:rsid w:val="00040621"/>
    <w:rsid w:val="00040729"/>
    <w:rsid w:val="0004079B"/>
    <w:rsid w:val="0004094C"/>
    <w:rsid w:val="00040B22"/>
    <w:rsid w:val="0004124E"/>
    <w:rsid w:val="00041423"/>
    <w:rsid w:val="00041741"/>
    <w:rsid w:val="00041C04"/>
    <w:rsid w:val="00041C0E"/>
    <w:rsid w:val="00041CF6"/>
    <w:rsid w:val="00041EA1"/>
    <w:rsid w:val="00042371"/>
    <w:rsid w:val="0004269C"/>
    <w:rsid w:val="000427B7"/>
    <w:rsid w:val="000440CE"/>
    <w:rsid w:val="00044B61"/>
    <w:rsid w:val="00045096"/>
    <w:rsid w:val="000450A1"/>
    <w:rsid w:val="000452FC"/>
    <w:rsid w:val="0004588D"/>
    <w:rsid w:val="000458AD"/>
    <w:rsid w:val="00045C33"/>
    <w:rsid w:val="0004609E"/>
    <w:rsid w:val="00046138"/>
    <w:rsid w:val="00046BC6"/>
    <w:rsid w:val="00047747"/>
    <w:rsid w:val="00050F75"/>
    <w:rsid w:val="0005296D"/>
    <w:rsid w:val="00052993"/>
    <w:rsid w:val="000534CE"/>
    <w:rsid w:val="00053E24"/>
    <w:rsid w:val="000543FB"/>
    <w:rsid w:val="00054488"/>
    <w:rsid w:val="00054561"/>
    <w:rsid w:val="00054EE6"/>
    <w:rsid w:val="00055FE8"/>
    <w:rsid w:val="00056C49"/>
    <w:rsid w:val="00056CAD"/>
    <w:rsid w:val="00056E2C"/>
    <w:rsid w:val="0005708D"/>
    <w:rsid w:val="0005730C"/>
    <w:rsid w:val="00057FE1"/>
    <w:rsid w:val="00060274"/>
    <w:rsid w:val="000603BC"/>
    <w:rsid w:val="0006063C"/>
    <w:rsid w:val="00060A22"/>
    <w:rsid w:val="00064305"/>
    <w:rsid w:val="000656A6"/>
    <w:rsid w:val="000659CC"/>
    <w:rsid w:val="00065E31"/>
    <w:rsid w:val="00065FFE"/>
    <w:rsid w:val="00066658"/>
    <w:rsid w:val="0006721F"/>
    <w:rsid w:val="00067416"/>
    <w:rsid w:val="000712B5"/>
    <w:rsid w:val="0007178A"/>
    <w:rsid w:val="00073205"/>
    <w:rsid w:val="0007344F"/>
    <w:rsid w:val="00073840"/>
    <w:rsid w:val="000739A6"/>
    <w:rsid w:val="000747B9"/>
    <w:rsid w:val="00074B7C"/>
    <w:rsid w:val="00074BBB"/>
    <w:rsid w:val="00075370"/>
    <w:rsid w:val="000753EA"/>
    <w:rsid w:val="00075D85"/>
    <w:rsid w:val="00075EB1"/>
    <w:rsid w:val="000776F5"/>
    <w:rsid w:val="00077EE7"/>
    <w:rsid w:val="000801B6"/>
    <w:rsid w:val="000803FE"/>
    <w:rsid w:val="00080483"/>
    <w:rsid w:val="000809CB"/>
    <w:rsid w:val="00080A48"/>
    <w:rsid w:val="00080A58"/>
    <w:rsid w:val="00081323"/>
    <w:rsid w:val="0008161B"/>
    <w:rsid w:val="0008185F"/>
    <w:rsid w:val="00081C8C"/>
    <w:rsid w:val="00081E8C"/>
    <w:rsid w:val="000824AF"/>
    <w:rsid w:val="00083233"/>
    <w:rsid w:val="00083695"/>
    <w:rsid w:val="00083ABD"/>
    <w:rsid w:val="00083B96"/>
    <w:rsid w:val="00083F72"/>
    <w:rsid w:val="00085204"/>
    <w:rsid w:val="00085C22"/>
    <w:rsid w:val="0009001D"/>
    <w:rsid w:val="00090202"/>
    <w:rsid w:val="00091500"/>
    <w:rsid w:val="0009252B"/>
    <w:rsid w:val="0009273D"/>
    <w:rsid w:val="000933D8"/>
    <w:rsid w:val="000935CA"/>
    <w:rsid w:val="000937D0"/>
    <w:rsid w:val="000943A9"/>
    <w:rsid w:val="0009501B"/>
    <w:rsid w:val="00095492"/>
    <w:rsid w:val="00095B61"/>
    <w:rsid w:val="00095DBD"/>
    <w:rsid w:val="0009657C"/>
    <w:rsid w:val="00097002"/>
    <w:rsid w:val="000A0397"/>
    <w:rsid w:val="000A05B3"/>
    <w:rsid w:val="000A109E"/>
    <w:rsid w:val="000A1126"/>
    <w:rsid w:val="000A1275"/>
    <w:rsid w:val="000A17C2"/>
    <w:rsid w:val="000A1D08"/>
    <w:rsid w:val="000A1D39"/>
    <w:rsid w:val="000A25DA"/>
    <w:rsid w:val="000A312F"/>
    <w:rsid w:val="000A4312"/>
    <w:rsid w:val="000A48EB"/>
    <w:rsid w:val="000A4DA5"/>
    <w:rsid w:val="000A52FA"/>
    <w:rsid w:val="000A5313"/>
    <w:rsid w:val="000A6097"/>
    <w:rsid w:val="000A681D"/>
    <w:rsid w:val="000A695E"/>
    <w:rsid w:val="000A69A5"/>
    <w:rsid w:val="000A6EFE"/>
    <w:rsid w:val="000A778C"/>
    <w:rsid w:val="000B026C"/>
    <w:rsid w:val="000B0D52"/>
    <w:rsid w:val="000B2193"/>
    <w:rsid w:val="000B220A"/>
    <w:rsid w:val="000B2634"/>
    <w:rsid w:val="000B27A8"/>
    <w:rsid w:val="000B2D5E"/>
    <w:rsid w:val="000B356D"/>
    <w:rsid w:val="000B3F3B"/>
    <w:rsid w:val="000B4065"/>
    <w:rsid w:val="000B4318"/>
    <w:rsid w:val="000B499E"/>
    <w:rsid w:val="000B49E2"/>
    <w:rsid w:val="000B4A15"/>
    <w:rsid w:val="000B4E0D"/>
    <w:rsid w:val="000B5394"/>
    <w:rsid w:val="000B5489"/>
    <w:rsid w:val="000B5B10"/>
    <w:rsid w:val="000B5E5F"/>
    <w:rsid w:val="000B60FF"/>
    <w:rsid w:val="000B6DC1"/>
    <w:rsid w:val="000B6DDB"/>
    <w:rsid w:val="000B79E7"/>
    <w:rsid w:val="000C00B9"/>
    <w:rsid w:val="000C08C4"/>
    <w:rsid w:val="000C0FA1"/>
    <w:rsid w:val="000C182E"/>
    <w:rsid w:val="000C2118"/>
    <w:rsid w:val="000C23FF"/>
    <w:rsid w:val="000C2500"/>
    <w:rsid w:val="000C26EB"/>
    <w:rsid w:val="000C3FBD"/>
    <w:rsid w:val="000C4554"/>
    <w:rsid w:val="000C46FA"/>
    <w:rsid w:val="000C4BF7"/>
    <w:rsid w:val="000C4F88"/>
    <w:rsid w:val="000C5741"/>
    <w:rsid w:val="000C584A"/>
    <w:rsid w:val="000C61A9"/>
    <w:rsid w:val="000C6787"/>
    <w:rsid w:val="000C68EF"/>
    <w:rsid w:val="000C753C"/>
    <w:rsid w:val="000C7B30"/>
    <w:rsid w:val="000C7E5D"/>
    <w:rsid w:val="000D0590"/>
    <w:rsid w:val="000D0591"/>
    <w:rsid w:val="000D0CBC"/>
    <w:rsid w:val="000D16CB"/>
    <w:rsid w:val="000D1BCC"/>
    <w:rsid w:val="000D1FDC"/>
    <w:rsid w:val="000D230E"/>
    <w:rsid w:val="000D252F"/>
    <w:rsid w:val="000D399F"/>
    <w:rsid w:val="000D3C77"/>
    <w:rsid w:val="000D4735"/>
    <w:rsid w:val="000D48BF"/>
    <w:rsid w:val="000D4AC2"/>
    <w:rsid w:val="000D4D8F"/>
    <w:rsid w:val="000D4E03"/>
    <w:rsid w:val="000D4FD2"/>
    <w:rsid w:val="000D5254"/>
    <w:rsid w:val="000D53D6"/>
    <w:rsid w:val="000D5B0E"/>
    <w:rsid w:val="000D5B2C"/>
    <w:rsid w:val="000D5CA6"/>
    <w:rsid w:val="000D5D1C"/>
    <w:rsid w:val="000D6294"/>
    <w:rsid w:val="000D62C4"/>
    <w:rsid w:val="000D6458"/>
    <w:rsid w:val="000D659F"/>
    <w:rsid w:val="000D6C06"/>
    <w:rsid w:val="000D6C5B"/>
    <w:rsid w:val="000D6FCD"/>
    <w:rsid w:val="000D770C"/>
    <w:rsid w:val="000D7E0E"/>
    <w:rsid w:val="000E0F4C"/>
    <w:rsid w:val="000E1761"/>
    <w:rsid w:val="000E2713"/>
    <w:rsid w:val="000E2C0D"/>
    <w:rsid w:val="000E4365"/>
    <w:rsid w:val="000E4497"/>
    <w:rsid w:val="000E4C12"/>
    <w:rsid w:val="000E540B"/>
    <w:rsid w:val="000E57A7"/>
    <w:rsid w:val="000E59C0"/>
    <w:rsid w:val="000E6483"/>
    <w:rsid w:val="000E66E3"/>
    <w:rsid w:val="000E692A"/>
    <w:rsid w:val="000E6D17"/>
    <w:rsid w:val="000E7BB3"/>
    <w:rsid w:val="000F066D"/>
    <w:rsid w:val="000F207C"/>
    <w:rsid w:val="000F2F21"/>
    <w:rsid w:val="000F309F"/>
    <w:rsid w:val="000F3284"/>
    <w:rsid w:val="000F370C"/>
    <w:rsid w:val="000F4090"/>
    <w:rsid w:val="000F4487"/>
    <w:rsid w:val="000F47FF"/>
    <w:rsid w:val="000F4AD7"/>
    <w:rsid w:val="000F4B62"/>
    <w:rsid w:val="000F4C4F"/>
    <w:rsid w:val="000F4E35"/>
    <w:rsid w:val="000F4FB7"/>
    <w:rsid w:val="000F5876"/>
    <w:rsid w:val="000F5D2D"/>
    <w:rsid w:val="000F6245"/>
    <w:rsid w:val="000F64C5"/>
    <w:rsid w:val="000F7230"/>
    <w:rsid w:val="000F757A"/>
    <w:rsid w:val="000F7BFF"/>
    <w:rsid w:val="0010013B"/>
    <w:rsid w:val="001009B7"/>
    <w:rsid w:val="00100EF7"/>
    <w:rsid w:val="00101891"/>
    <w:rsid w:val="00101AA1"/>
    <w:rsid w:val="00102330"/>
    <w:rsid w:val="001028A3"/>
    <w:rsid w:val="00102E35"/>
    <w:rsid w:val="0010435A"/>
    <w:rsid w:val="00104A73"/>
    <w:rsid w:val="00104ACE"/>
    <w:rsid w:val="00105957"/>
    <w:rsid w:val="00105FB9"/>
    <w:rsid w:val="00106863"/>
    <w:rsid w:val="00106CFD"/>
    <w:rsid w:val="00107172"/>
    <w:rsid w:val="00107623"/>
    <w:rsid w:val="00107B8E"/>
    <w:rsid w:val="00107D62"/>
    <w:rsid w:val="00107F30"/>
    <w:rsid w:val="00110844"/>
    <w:rsid w:val="001108D8"/>
    <w:rsid w:val="0011174F"/>
    <w:rsid w:val="00112239"/>
    <w:rsid w:val="00112273"/>
    <w:rsid w:val="00112393"/>
    <w:rsid w:val="00112BD9"/>
    <w:rsid w:val="00113BBD"/>
    <w:rsid w:val="00114156"/>
    <w:rsid w:val="00114A46"/>
    <w:rsid w:val="00115706"/>
    <w:rsid w:val="001172BB"/>
    <w:rsid w:val="001178A2"/>
    <w:rsid w:val="0011792A"/>
    <w:rsid w:val="00117E26"/>
    <w:rsid w:val="0012006D"/>
    <w:rsid w:val="00120950"/>
    <w:rsid w:val="00120F8C"/>
    <w:rsid w:val="001212CC"/>
    <w:rsid w:val="00121467"/>
    <w:rsid w:val="001234EC"/>
    <w:rsid w:val="001238B5"/>
    <w:rsid w:val="00124041"/>
    <w:rsid w:val="001245C1"/>
    <w:rsid w:val="00124E04"/>
    <w:rsid w:val="0012505F"/>
    <w:rsid w:val="001256C0"/>
    <w:rsid w:val="0012593C"/>
    <w:rsid w:val="00125D36"/>
    <w:rsid w:val="001265A7"/>
    <w:rsid w:val="00126A2D"/>
    <w:rsid w:val="001270BD"/>
    <w:rsid w:val="001273CB"/>
    <w:rsid w:val="0012763D"/>
    <w:rsid w:val="00127904"/>
    <w:rsid w:val="00127ADC"/>
    <w:rsid w:val="00127E8A"/>
    <w:rsid w:val="00130144"/>
    <w:rsid w:val="001301F8"/>
    <w:rsid w:val="001302B4"/>
    <w:rsid w:val="00130681"/>
    <w:rsid w:val="001316B5"/>
    <w:rsid w:val="0013189E"/>
    <w:rsid w:val="00132F79"/>
    <w:rsid w:val="001331E3"/>
    <w:rsid w:val="0013345F"/>
    <w:rsid w:val="0013364B"/>
    <w:rsid w:val="00134138"/>
    <w:rsid w:val="00134B77"/>
    <w:rsid w:val="001358BC"/>
    <w:rsid w:val="00136729"/>
    <w:rsid w:val="0013707E"/>
    <w:rsid w:val="00137354"/>
    <w:rsid w:val="001374F4"/>
    <w:rsid w:val="001377C7"/>
    <w:rsid w:val="001377FA"/>
    <w:rsid w:val="00137A98"/>
    <w:rsid w:val="00137D4F"/>
    <w:rsid w:val="00140053"/>
    <w:rsid w:val="00140564"/>
    <w:rsid w:val="001413B3"/>
    <w:rsid w:val="001413F5"/>
    <w:rsid w:val="001424E2"/>
    <w:rsid w:val="0014308A"/>
    <w:rsid w:val="0014342D"/>
    <w:rsid w:val="00143E16"/>
    <w:rsid w:val="00144257"/>
    <w:rsid w:val="00144996"/>
    <w:rsid w:val="00144ABF"/>
    <w:rsid w:val="0014551D"/>
    <w:rsid w:val="00146DA7"/>
    <w:rsid w:val="00146DE7"/>
    <w:rsid w:val="0014779D"/>
    <w:rsid w:val="00147DE5"/>
    <w:rsid w:val="00150790"/>
    <w:rsid w:val="0015122A"/>
    <w:rsid w:val="00151A6D"/>
    <w:rsid w:val="00151CF5"/>
    <w:rsid w:val="00152115"/>
    <w:rsid w:val="00152812"/>
    <w:rsid w:val="0015291C"/>
    <w:rsid w:val="001529C8"/>
    <w:rsid w:val="0015346D"/>
    <w:rsid w:val="001534CA"/>
    <w:rsid w:val="001535D8"/>
    <w:rsid w:val="00153963"/>
    <w:rsid w:val="001546A7"/>
    <w:rsid w:val="001548C0"/>
    <w:rsid w:val="00154A9C"/>
    <w:rsid w:val="00154F62"/>
    <w:rsid w:val="0015519F"/>
    <w:rsid w:val="0015527F"/>
    <w:rsid w:val="00155C6E"/>
    <w:rsid w:val="0015640B"/>
    <w:rsid w:val="00156B5D"/>
    <w:rsid w:val="00157A9F"/>
    <w:rsid w:val="00157E89"/>
    <w:rsid w:val="001605D6"/>
    <w:rsid w:val="00161CB5"/>
    <w:rsid w:val="00161E4F"/>
    <w:rsid w:val="001621DB"/>
    <w:rsid w:val="00162C31"/>
    <w:rsid w:val="00163384"/>
    <w:rsid w:val="0016353D"/>
    <w:rsid w:val="00163A50"/>
    <w:rsid w:val="00163FF6"/>
    <w:rsid w:val="0016416B"/>
    <w:rsid w:val="00164436"/>
    <w:rsid w:val="00164E7B"/>
    <w:rsid w:val="00164FC8"/>
    <w:rsid w:val="00165510"/>
    <w:rsid w:val="0016558F"/>
    <w:rsid w:val="00165D89"/>
    <w:rsid w:val="0016646A"/>
    <w:rsid w:val="001672C6"/>
    <w:rsid w:val="00167A20"/>
    <w:rsid w:val="00167BB2"/>
    <w:rsid w:val="001708E5"/>
    <w:rsid w:val="0017291A"/>
    <w:rsid w:val="0017297D"/>
    <w:rsid w:val="00172F5A"/>
    <w:rsid w:val="00173738"/>
    <w:rsid w:val="00173D4B"/>
    <w:rsid w:val="00174375"/>
    <w:rsid w:val="0017543C"/>
    <w:rsid w:val="0017570C"/>
    <w:rsid w:val="001757EB"/>
    <w:rsid w:val="001768BD"/>
    <w:rsid w:val="00176904"/>
    <w:rsid w:val="00176AF3"/>
    <w:rsid w:val="0017720A"/>
    <w:rsid w:val="00177F5C"/>
    <w:rsid w:val="0018017D"/>
    <w:rsid w:val="001809BC"/>
    <w:rsid w:val="001809FC"/>
    <w:rsid w:val="00180BFD"/>
    <w:rsid w:val="00180E99"/>
    <w:rsid w:val="00180FEC"/>
    <w:rsid w:val="00181940"/>
    <w:rsid w:val="00181BB6"/>
    <w:rsid w:val="00181DE3"/>
    <w:rsid w:val="00181DEC"/>
    <w:rsid w:val="001823EE"/>
    <w:rsid w:val="00182926"/>
    <w:rsid w:val="001831B0"/>
    <w:rsid w:val="0018471F"/>
    <w:rsid w:val="00184BBA"/>
    <w:rsid w:val="00184CDE"/>
    <w:rsid w:val="00184DC8"/>
    <w:rsid w:val="001875E4"/>
    <w:rsid w:val="00187945"/>
    <w:rsid w:val="001879F3"/>
    <w:rsid w:val="00187B41"/>
    <w:rsid w:val="00187CC2"/>
    <w:rsid w:val="00190024"/>
    <w:rsid w:val="00190A8F"/>
    <w:rsid w:val="001910DD"/>
    <w:rsid w:val="00191251"/>
    <w:rsid w:val="00191278"/>
    <w:rsid w:val="001916D2"/>
    <w:rsid w:val="001918B6"/>
    <w:rsid w:val="00191D78"/>
    <w:rsid w:val="00192D49"/>
    <w:rsid w:val="00192F86"/>
    <w:rsid w:val="001934BE"/>
    <w:rsid w:val="00193ED2"/>
    <w:rsid w:val="00193FCD"/>
    <w:rsid w:val="001943A1"/>
    <w:rsid w:val="00194A50"/>
    <w:rsid w:val="00194FF9"/>
    <w:rsid w:val="00196F3D"/>
    <w:rsid w:val="001A04AE"/>
    <w:rsid w:val="001A076C"/>
    <w:rsid w:val="001A0947"/>
    <w:rsid w:val="001A0EB1"/>
    <w:rsid w:val="001A15B3"/>
    <w:rsid w:val="001A16A6"/>
    <w:rsid w:val="001A20DF"/>
    <w:rsid w:val="001A2810"/>
    <w:rsid w:val="001A3855"/>
    <w:rsid w:val="001A3B9E"/>
    <w:rsid w:val="001A4881"/>
    <w:rsid w:val="001A4A55"/>
    <w:rsid w:val="001A4D1A"/>
    <w:rsid w:val="001A4FDA"/>
    <w:rsid w:val="001A57C7"/>
    <w:rsid w:val="001A5EFA"/>
    <w:rsid w:val="001A64FB"/>
    <w:rsid w:val="001A66D3"/>
    <w:rsid w:val="001A69DF"/>
    <w:rsid w:val="001A73DB"/>
    <w:rsid w:val="001A74E5"/>
    <w:rsid w:val="001A76F2"/>
    <w:rsid w:val="001A7C2C"/>
    <w:rsid w:val="001A7C69"/>
    <w:rsid w:val="001B05E4"/>
    <w:rsid w:val="001B09F8"/>
    <w:rsid w:val="001B14B8"/>
    <w:rsid w:val="001B1C55"/>
    <w:rsid w:val="001B1D80"/>
    <w:rsid w:val="001B210C"/>
    <w:rsid w:val="001B24A8"/>
    <w:rsid w:val="001B2891"/>
    <w:rsid w:val="001B39FC"/>
    <w:rsid w:val="001B3B48"/>
    <w:rsid w:val="001B4684"/>
    <w:rsid w:val="001B4B18"/>
    <w:rsid w:val="001B4C8F"/>
    <w:rsid w:val="001B5DD8"/>
    <w:rsid w:val="001B606D"/>
    <w:rsid w:val="001B6CF3"/>
    <w:rsid w:val="001C01D6"/>
    <w:rsid w:val="001C08BB"/>
    <w:rsid w:val="001C13CE"/>
    <w:rsid w:val="001C189E"/>
    <w:rsid w:val="001C24E6"/>
    <w:rsid w:val="001C37A3"/>
    <w:rsid w:val="001C3A8A"/>
    <w:rsid w:val="001C3BAC"/>
    <w:rsid w:val="001C3CA6"/>
    <w:rsid w:val="001C4234"/>
    <w:rsid w:val="001C4AB3"/>
    <w:rsid w:val="001C4BE4"/>
    <w:rsid w:val="001C58E4"/>
    <w:rsid w:val="001C6170"/>
    <w:rsid w:val="001C682A"/>
    <w:rsid w:val="001C69F7"/>
    <w:rsid w:val="001C6AA5"/>
    <w:rsid w:val="001C6DDF"/>
    <w:rsid w:val="001C6EC8"/>
    <w:rsid w:val="001D0177"/>
    <w:rsid w:val="001D04D2"/>
    <w:rsid w:val="001D0CC6"/>
    <w:rsid w:val="001D0FAB"/>
    <w:rsid w:val="001D1746"/>
    <w:rsid w:val="001D197C"/>
    <w:rsid w:val="001D1D30"/>
    <w:rsid w:val="001D1E77"/>
    <w:rsid w:val="001D2425"/>
    <w:rsid w:val="001D356D"/>
    <w:rsid w:val="001D4065"/>
    <w:rsid w:val="001D416B"/>
    <w:rsid w:val="001D4308"/>
    <w:rsid w:val="001D5581"/>
    <w:rsid w:val="001D5778"/>
    <w:rsid w:val="001D674C"/>
    <w:rsid w:val="001D7079"/>
    <w:rsid w:val="001D7B3D"/>
    <w:rsid w:val="001E0222"/>
    <w:rsid w:val="001E1DED"/>
    <w:rsid w:val="001E2057"/>
    <w:rsid w:val="001E264D"/>
    <w:rsid w:val="001E26D2"/>
    <w:rsid w:val="001E27CA"/>
    <w:rsid w:val="001E2DC7"/>
    <w:rsid w:val="001E3109"/>
    <w:rsid w:val="001E39DA"/>
    <w:rsid w:val="001E53C3"/>
    <w:rsid w:val="001E56A5"/>
    <w:rsid w:val="001E5ADE"/>
    <w:rsid w:val="001E5FC9"/>
    <w:rsid w:val="001E6B6F"/>
    <w:rsid w:val="001E6D3B"/>
    <w:rsid w:val="001E73ED"/>
    <w:rsid w:val="001E74D4"/>
    <w:rsid w:val="001E7679"/>
    <w:rsid w:val="001E7691"/>
    <w:rsid w:val="001E7E00"/>
    <w:rsid w:val="001E7E06"/>
    <w:rsid w:val="001F0B89"/>
    <w:rsid w:val="001F1272"/>
    <w:rsid w:val="001F13DF"/>
    <w:rsid w:val="001F1556"/>
    <w:rsid w:val="001F2547"/>
    <w:rsid w:val="001F3B60"/>
    <w:rsid w:val="001F3BA2"/>
    <w:rsid w:val="001F3C8B"/>
    <w:rsid w:val="001F3CB4"/>
    <w:rsid w:val="001F3DD7"/>
    <w:rsid w:val="001F4A0D"/>
    <w:rsid w:val="001F4B43"/>
    <w:rsid w:val="001F4D13"/>
    <w:rsid w:val="001F5499"/>
    <w:rsid w:val="001F59E3"/>
    <w:rsid w:val="001F6054"/>
    <w:rsid w:val="001F7271"/>
    <w:rsid w:val="001F77B4"/>
    <w:rsid w:val="001F77C8"/>
    <w:rsid w:val="001F77C9"/>
    <w:rsid w:val="001F7E0F"/>
    <w:rsid w:val="001F7E6A"/>
    <w:rsid w:val="001F7F65"/>
    <w:rsid w:val="00200139"/>
    <w:rsid w:val="00200A3D"/>
    <w:rsid w:val="00200B3F"/>
    <w:rsid w:val="00201810"/>
    <w:rsid w:val="00201C5C"/>
    <w:rsid w:val="00201D57"/>
    <w:rsid w:val="00201DBE"/>
    <w:rsid w:val="00201E22"/>
    <w:rsid w:val="00202070"/>
    <w:rsid w:val="00202B3F"/>
    <w:rsid w:val="00202F94"/>
    <w:rsid w:val="00203588"/>
    <w:rsid w:val="00203BD5"/>
    <w:rsid w:val="002050F8"/>
    <w:rsid w:val="00205669"/>
    <w:rsid w:val="002072E7"/>
    <w:rsid w:val="002101E1"/>
    <w:rsid w:val="00210393"/>
    <w:rsid w:val="002103AC"/>
    <w:rsid w:val="002109DA"/>
    <w:rsid w:val="00210E31"/>
    <w:rsid w:val="002113EF"/>
    <w:rsid w:val="00212950"/>
    <w:rsid w:val="00212D2A"/>
    <w:rsid w:val="0021364B"/>
    <w:rsid w:val="00214397"/>
    <w:rsid w:val="00214844"/>
    <w:rsid w:val="002148E4"/>
    <w:rsid w:val="00215567"/>
    <w:rsid w:val="00215617"/>
    <w:rsid w:val="00215654"/>
    <w:rsid w:val="00215C02"/>
    <w:rsid w:val="002160E4"/>
    <w:rsid w:val="00216208"/>
    <w:rsid w:val="002162A3"/>
    <w:rsid w:val="0021655C"/>
    <w:rsid w:val="00216592"/>
    <w:rsid w:val="00216F4C"/>
    <w:rsid w:val="00217870"/>
    <w:rsid w:val="002210D6"/>
    <w:rsid w:val="00221D4A"/>
    <w:rsid w:val="00223A21"/>
    <w:rsid w:val="002245C0"/>
    <w:rsid w:val="00224CEA"/>
    <w:rsid w:val="002254D2"/>
    <w:rsid w:val="002259A9"/>
    <w:rsid w:val="00225FB1"/>
    <w:rsid w:val="0022640D"/>
    <w:rsid w:val="002268BB"/>
    <w:rsid w:val="00226D41"/>
    <w:rsid w:val="00227386"/>
    <w:rsid w:val="00227810"/>
    <w:rsid w:val="00231073"/>
    <w:rsid w:val="002318B2"/>
    <w:rsid w:val="00232064"/>
    <w:rsid w:val="00232D02"/>
    <w:rsid w:val="00232DB8"/>
    <w:rsid w:val="00233D83"/>
    <w:rsid w:val="00233E60"/>
    <w:rsid w:val="00234103"/>
    <w:rsid w:val="00234340"/>
    <w:rsid w:val="00234A1C"/>
    <w:rsid w:val="00234ABE"/>
    <w:rsid w:val="00234BA8"/>
    <w:rsid w:val="00234F22"/>
    <w:rsid w:val="00235231"/>
    <w:rsid w:val="0023554A"/>
    <w:rsid w:val="00235788"/>
    <w:rsid w:val="00236901"/>
    <w:rsid w:val="00237A8C"/>
    <w:rsid w:val="00237AC6"/>
    <w:rsid w:val="00237F99"/>
    <w:rsid w:val="002400DB"/>
    <w:rsid w:val="002407C1"/>
    <w:rsid w:val="00240C86"/>
    <w:rsid w:val="00240F37"/>
    <w:rsid w:val="0024124B"/>
    <w:rsid w:val="00241AAD"/>
    <w:rsid w:val="00241EF4"/>
    <w:rsid w:val="00242D91"/>
    <w:rsid w:val="00242E33"/>
    <w:rsid w:val="00243094"/>
    <w:rsid w:val="00244012"/>
    <w:rsid w:val="0024431B"/>
    <w:rsid w:val="0024436A"/>
    <w:rsid w:val="0024451E"/>
    <w:rsid w:val="0024452A"/>
    <w:rsid w:val="002450AE"/>
    <w:rsid w:val="00245747"/>
    <w:rsid w:val="002457CF"/>
    <w:rsid w:val="00245905"/>
    <w:rsid w:val="00245B72"/>
    <w:rsid w:val="00245E5D"/>
    <w:rsid w:val="002462A4"/>
    <w:rsid w:val="002463D6"/>
    <w:rsid w:val="00246B56"/>
    <w:rsid w:val="00246E4F"/>
    <w:rsid w:val="00246F60"/>
    <w:rsid w:val="00250012"/>
    <w:rsid w:val="00250E0E"/>
    <w:rsid w:val="00250E21"/>
    <w:rsid w:val="00250F12"/>
    <w:rsid w:val="00250F70"/>
    <w:rsid w:val="0025151D"/>
    <w:rsid w:val="00251969"/>
    <w:rsid w:val="0025218D"/>
    <w:rsid w:val="00252813"/>
    <w:rsid w:val="00253324"/>
    <w:rsid w:val="0025337A"/>
    <w:rsid w:val="00253963"/>
    <w:rsid w:val="00253B63"/>
    <w:rsid w:val="00253F2E"/>
    <w:rsid w:val="002542C8"/>
    <w:rsid w:val="00254665"/>
    <w:rsid w:val="00254701"/>
    <w:rsid w:val="00254C4C"/>
    <w:rsid w:val="002562E4"/>
    <w:rsid w:val="00256FAA"/>
    <w:rsid w:val="0025720F"/>
    <w:rsid w:val="0025739E"/>
    <w:rsid w:val="002578C1"/>
    <w:rsid w:val="002601FF"/>
    <w:rsid w:val="0026029B"/>
    <w:rsid w:val="0026033D"/>
    <w:rsid w:val="00261C49"/>
    <w:rsid w:val="00261C77"/>
    <w:rsid w:val="00262152"/>
    <w:rsid w:val="0026274C"/>
    <w:rsid w:val="0026347D"/>
    <w:rsid w:val="002635CA"/>
    <w:rsid w:val="00263B12"/>
    <w:rsid w:val="00263FB1"/>
    <w:rsid w:val="0026540A"/>
    <w:rsid w:val="002661CF"/>
    <w:rsid w:val="0026681E"/>
    <w:rsid w:val="0026737D"/>
    <w:rsid w:val="002673DB"/>
    <w:rsid w:val="00267F88"/>
    <w:rsid w:val="00270833"/>
    <w:rsid w:val="00270D47"/>
    <w:rsid w:val="00272124"/>
    <w:rsid w:val="0027276E"/>
    <w:rsid w:val="002736B3"/>
    <w:rsid w:val="0027370F"/>
    <w:rsid w:val="0027383E"/>
    <w:rsid w:val="002739DA"/>
    <w:rsid w:val="00274253"/>
    <w:rsid w:val="002748EE"/>
    <w:rsid w:val="00274963"/>
    <w:rsid w:val="002749DD"/>
    <w:rsid w:val="00274BA9"/>
    <w:rsid w:val="00274E45"/>
    <w:rsid w:val="0027583D"/>
    <w:rsid w:val="00276F27"/>
    <w:rsid w:val="002777DF"/>
    <w:rsid w:val="00277A64"/>
    <w:rsid w:val="00280047"/>
    <w:rsid w:val="00281768"/>
    <w:rsid w:val="00281BDE"/>
    <w:rsid w:val="00281ECC"/>
    <w:rsid w:val="002822A0"/>
    <w:rsid w:val="00282949"/>
    <w:rsid w:val="00283222"/>
    <w:rsid w:val="00283594"/>
    <w:rsid w:val="0028392F"/>
    <w:rsid w:val="00283A12"/>
    <w:rsid w:val="00283A95"/>
    <w:rsid w:val="002844A5"/>
    <w:rsid w:val="00284EB0"/>
    <w:rsid w:val="00285916"/>
    <w:rsid w:val="00286396"/>
    <w:rsid w:val="00286BE8"/>
    <w:rsid w:val="00287AB5"/>
    <w:rsid w:val="00287CFF"/>
    <w:rsid w:val="00291502"/>
    <w:rsid w:val="002918DF"/>
    <w:rsid w:val="002927BC"/>
    <w:rsid w:val="0029294F"/>
    <w:rsid w:val="00292B43"/>
    <w:rsid w:val="002937DB"/>
    <w:rsid w:val="00293901"/>
    <w:rsid w:val="00293EA7"/>
    <w:rsid w:val="002943BB"/>
    <w:rsid w:val="00294671"/>
    <w:rsid w:val="002951F1"/>
    <w:rsid w:val="00296511"/>
    <w:rsid w:val="0029684C"/>
    <w:rsid w:val="0029707D"/>
    <w:rsid w:val="002976F0"/>
    <w:rsid w:val="002A009C"/>
    <w:rsid w:val="002A0DEE"/>
    <w:rsid w:val="002A0EBC"/>
    <w:rsid w:val="002A1815"/>
    <w:rsid w:val="002A1BCA"/>
    <w:rsid w:val="002A1BD8"/>
    <w:rsid w:val="002A2401"/>
    <w:rsid w:val="002A2A57"/>
    <w:rsid w:val="002A3183"/>
    <w:rsid w:val="002A3762"/>
    <w:rsid w:val="002A3A29"/>
    <w:rsid w:val="002A4182"/>
    <w:rsid w:val="002A433E"/>
    <w:rsid w:val="002A44AE"/>
    <w:rsid w:val="002A4ECE"/>
    <w:rsid w:val="002A5538"/>
    <w:rsid w:val="002A558B"/>
    <w:rsid w:val="002A6314"/>
    <w:rsid w:val="002A6771"/>
    <w:rsid w:val="002A6FB6"/>
    <w:rsid w:val="002A7AAB"/>
    <w:rsid w:val="002A7E27"/>
    <w:rsid w:val="002B09A5"/>
    <w:rsid w:val="002B0B64"/>
    <w:rsid w:val="002B1B12"/>
    <w:rsid w:val="002B1B87"/>
    <w:rsid w:val="002B2212"/>
    <w:rsid w:val="002B2CB8"/>
    <w:rsid w:val="002B4230"/>
    <w:rsid w:val="002B4B73"/>
    <w:rsid w:val="002B5016"/>
    <w:rsid w:val="002B5760"/>
    <w:rsid w:val="002B5891"/>
    <w:rsid w:val="002B6893"/>
    <w:rsid w:val="002B68E8"/>
    <w:rsid w:val="002B6E39"/>
    <w:rsid w:val="002B6FA6"/>
    <w:rsid w:val="002B7D0B"/>
    <w:rsid w:val="002C00B9"/>
    <w:rsid w:val="002C0389"/>
    <w:rsid w:val="002C070E"/>
    <w:rsid w:val="002C0996"/>
    <w:rsid w:val="002C0A0E"/>
    <w:rsid w:val="002C0B8E"/>
    <w:rsid w:val="002C12F3"/>
    <w:rsid w:val="002C17C4"/>
    <w:rsid w:val="002C1895"/>
    <w:rsid w:val="002C207C"/>
    <w:rsid w:val="002C21BC"/>
    <w:rsid w:val="002C2276"/>
    <w:rsid w:val="002C26D9"/>
    <w:rsid w:val="002C2742"/>
    <w:rsid w:val="002C406F"/>
    <w:rsid w:val="002C4954"/>
    <w:rsid w:val="002C4CF4"/>
    <w:rsid w:val="002C4D27"/>
    <w:rsid w:val="002C4EF9"/>
    <w:rsid w:val="002C70DB"/>
    <w:rsid w:val="002D01A6"/>
    <w:rsid w:val="002D040F"/>
    <w:rsid w:val="002D0533"/>
    <w:rsid w:val="002D0812"/>
    <w:rsid w:val="002D0CD9"/>
    <w:rsid w:val="002D18B7"/>
    <w:rsid w:val="002D1DAF"/>
    <w:rsid w:val="002D28A0"/>
    <w:rsid w:val="002D2B9F"/>
    <w:rsid w:val="002D37F7"/>
    <w:rsid w:val="002D4169"/>
    <w:rsid w:val="002D4257"/>
    <w:rsid w:val="002D4600"/>
    <w:rsid w:val="002D4BBB"/>
    <w:rsid w:val="002D4BE8"/>
    <w:rsid w:val="002D5D6B"/>
    <w:rsid w:val="002D6121"/>
    <w:rsid w:val="002D6261"/>
    <w:rsid w:val="002D65BE"/>
    <w:rsid w:val="002D6A3C"/>
    <w:rsid w:val="002E031C"/>
    <w:rsid w:val="002E105B"/>
    <w:rsid w:val="002E10B6"/>
    <w:rsid w:val="002E2B52"/>
    <w:rsid w:val="002E32A4"/>
    <w:rsid w:val="002E393B"/>
    <w:rsid w:val="002E39AE"/>
    <w:rsid w:val="002E3DEA"/>
    <w:rsid w:val="002E4211"/>
    <w:rsid w:val="002E46D8"/>
    <w:rsid w:val="002E5114"/>
    <w:rsid w:val="002E5F16"/>
    <w:rsid w:val="002E5F8C"/>
    <w:rsid w:val="002E6A94"/>
    <w:rsid w:val="002E71AC"/>
    <w:rsid w:val="002E783F"/>
    <w:rsid w:val="002F0947"/>
    <w:rsid w:val="002F0F4D"/>
    <w:rsid w:val="002F1F64"/>
    <w:rsid w:val="002F1FC8"/>
    <w:rsid w:val="002F2668"/>
    <w:rsid w:val="002F2D13"/>
    <w:rsid w:val="002F2DC4"/>
    <w:rsid w:val="002F3774"/>
    <w:rsid w:val="002F3B1D"/>
    <w:rsid w:val="002F3F60"/>
    <w:rsid w:val="002F4234"/>
    <w:rsid w:val="002F4A03"/>
    <w:rsid w:val="002F4A4E"/>
    <w:rsid w:val="002F502D"/>
    <w:rsid w:val="002F54A1"/>
    <w:rsid w:val="002F5AFE"/>
    <w:rsid w:val="002F5B7C"/>
    <w:rsid w:val="002F5CD1"/>
    <w:rsid w:val="002F61CE"/>
    <w:rsid w:val="003001C3"/>
    <w:rsid w:val="003008BF"/>
    <w:rsid w:val="00300F35"/>
    <w:rsid w:val="00301170"/>
    <w:rsid w:val="003013D6"/>
    <w:rsid w:val="00301715"/>
    <w:rsid w:val="00301A99"/>
    <w:rsid w:val="00301D6A"/>
    <w:rsid w:val="00302295"/>
    <w:rsid w:val="0030229D"/>
    <w:rsid w:val="00303022"/>
    <w:rsid w:val="003035D7"/>
    <w:rsid w:val="00303C60"/>
    <w:rsid w:val="00303C99"/>
    <w:rsid w:val="00303EA6"/>
    <w:rsid w:val="0030405E"/>
    <w:rsid w:val="003042D0"/>
    <w:rsid w:val="003045C6"/>
    <w:rsid w:val="00304746"/>
    <w:rsid w:val="00304876"/>
    <w:rsid w:val="00304B25"/>
    <w:rsid w:val="00304DEC"/>
    <w:rsid w:val="00306019"/>
    <w:rsid w:val="003066C9"/>
    <w:rsid w:val="00306B7A"/>
    <w:rsid w:val="0030729C"/>
    <w:rsid w:val="00307944"/>
    <w:rsid w:val="003105AC"/>
    <w:rsid w:val="00310A67"/>
    <w:rsid w:val="00310FE5"/>
    <w:rsid w:val="003124EF"/>
    <w:rsid w:val="0031251A"/>
    <w:rsid w:val="0031268A"/>
    <w:rsid w:val="00312B2D"/>
    <w:rsid w:val="00312B84"/>
    <w:rsid w:val="00312D2C"/>
    <w:rsid w:val="00312DB4"/>
    <w:rsid w:val="003130D7"/>
    <w:rsid w:val="00313611"/>
    <w:rsid w:val="00313FC9"/>
    <w:rsid w:val="00316508"/>
    <w:rsid w:val="00316C79"/>
    <w:rsid w:val="00317BBC"/>
    <w:rsid w:val="00317BDA"/>
    <w:rsid w:val="0032054E"/>
    <w:rsid w:val="00320B25"/>
    <w:rsid w:val="00320B95"/>
    <w:rsid w:val="00321508"/>
    <w:rsid w:val="00322611"/>
    <w:rsid w:val="00322838"/>
    <w:rsid w:val="003229C6"/>
    <w:rsid w:val="003234B0"/>
    <w:rsid w:val="0032360A"/>
    <w:rsid w:val="00323983"/>
    <w:rsid w:val="00323B38"/>
    <w:rsid w:val="00323BB8"/>
    <w:rsid w:val="00323BEC"/>
    <w:rsid w:val="00324241"/>
    <w:rsid w:val="00324319"/>
    <w:rsid w:val="00324321"/>
    <w:rsid w:val="003255A5"/>
    <w:rsid w:val="00325EA9"/>
    <w:rsid w:val="00326477"/>
    <w:rsid w:val="00326930"/>
    <w:rsid w:val="00326E5B"/>
    <w:rsid w:val="003271BB"/>
    <w:rsid w:val="00327923"/>
    <w:rsid w:val="00327A16"/>
    <w:rsid w:val="00330389"/>
    <w:rsid w:val="00330F43"/>
    <w:rsid w:val="00331045"/>
    <w:rsid w:val="003317B1"/>
    <w:rsid w:val="00331873"/>
    <w:rsid w:val="00331B74"/>
    <w:rsid w:val="00331D01"/>
    <w:rsid w:val="00332A1D"/>
    <w:rsid w:val="00332AAE"/>
    <w:rsid w:val="003330A7"/>
    <w:rsid w:val="003332D8"/>
    <w:rsid w:val="0033373C"/>
    <w:rsid w:val="00333E30"/>
    <w:rsid w:val="0033468B"/>
    <w:rsid w:val="0033487D"/>
    <w:rsid w:val="003349BB"/>
    <w:rsid w:val="00334BF4"/>
    <w:rsid w:val="0033588A"/>
    <w:rsid w:val="00335D9E"/>
    <w:rsid w:val="00335E6A"/>
    <w:rsid w:val="00335EFD"/>
    <w:rsid w:val="003360F5"/>
    <w:rsid w:val="0033691D"/>
    <w:rsid w:val="00336929"/>
    <w:rsid w:val="0033734E"/>
    <w:rsid w:val="00337C0E"/>
    <w:rsid w:val="003407B9"/>
    <w:rsid w:val="00341E77"/>
    <w:rsid w:val="00341F5D"/>
    <w:rsid w:val="0034361E"/>
    <w:rsid w:val="00343DAF"/>
    <w:rsid w:val="003444BD"/>
    <w:rsid w:val="003447F5"/>
    <w:rsid w:val="0034484E"/>
    <w:rsid w:val="00344969"/>
    <w:rsid w:val="00344C60"/>
    <w:rsid w:val="00344E8C"/>
    <w:rsid w:val="00345843"/>
    <w:rsid w:val="00345AF9"/>
    <w:rsid w:val="003460D4"/>
    <w:rsid w:val="003465C1"/>
    <w:rsid w:val="0034677B"/>
    <w:rsid w:val="00346DC9"/>
    <w:rsid w:val="003470A1"/>
    <w:rsid w:val="00347302"/>
    <w:rsid w:val="0034785C"/>
    <w:rsid w:val="00347AC2"/>
    <w:rsid w:val="003504F6"/>
    <w:rsid w:val="003508D7"/>
    <w:rsid w:val="00350F5F"/>
    <w:rsid w:val="003511CE"/>
    <w:rsid w:val="00351585"/>
    <w:rsid w:val="003520B1"/>
    <w:rsid w:val="003541D5"/>
    <w:rsid w:val="00354E91"/>
    <w:rsid w:val="00355461"/>
    <w:rsid w:val="003554AD"/>
    <w:rsid w:val="0035626F"/>
    <w:rsid w:val="00356884"/>
    <w:rsid w:val="00357057"/>
    <w:rsid w:val="003573C2"/>
    <w:rsid w:val="003576F1"/>
    <w:rsid w:val="00357C71"/>
    <w:rsid w:val="00357E32"/>
    <w:rsid w:val="00360B71"/>
    <w:rsid w:val="00360CFA"/>
    <w:rsid w:val="003615C2"/>
    <w:rsid w:val="00362542"/>
    <w:rsid w:val="00362B6C"/>
    <w:rsid w:val="00363071"/>
    <w:rsid w:val="0036337D"/>
    <w:rsid w:val="0036372E"/>
    <w:rsid w:val="003643F3"/>
    <w:rsid w:val="00364E2A"/>
    <w:rsid w:val="003653F9"/>
    <w:rsid w:val="00365D25"/>
    <w:rsid w:val="003664D7"/>
    <w:rsid w:val="00366BDF"/>
    <w:rsid w:val="00366F14"/>
    <w:rsid w:val="003672D0"/>
    <w:rsid w:val="003674D3"/>
    <w:rsid w:val="00367A44"/>
    <w:rsid w:val="00367AE9"/>
    <w:rsid w:val="00370213"/>
    <w:rsid w:val="00370348"/>
    <w:rsid w:val="0037059B"/>
    <w:rsid w:val="003705C4"/>
    <w:rsid w:val="00370BFF"/>
    <w:rsid w:val="00370C02"/>
    <w:rsid w:val="00371020"/>
    <w:rsid w:val="003716B0"/>
    <w:rsid w:val="003716F3"/>
    <w:rsid w:val="003717C4"/>
    <w:rsid w:val="00372A3D"/>
    <w:rsid w:val="00372BB8"/>
    <w:rsid w:val="00372BF9"/>
    <w:rsid w:val="00373318"/>
    <w:rsid w:val="00373647"/>
    <w:rsid w:val="00373DA3"/>
    <w:rsid w:val="00373EEC"/>
    <w:rsid w:val="0037415D"/>
    <w:rsid w:val="0037417E"/>
    <w:rsid w:val="00374602"/>
    <w:rsid w:val="00374681"/>
    <w:rsid w:val="003751A6"/>
    <w:rsid w:val="003754F0"/>
    <w:rsid w:val="003756E6"/>
    <w:rsid w:val="00375DD0"/>
    <w:rsid w:val="00375F0B"/>
    <w:rsid w:val="0037661A"/>
    <w:rsid w:val="003767BB"/>
    <w:rsid w:val="00376943"/>
    <w:rsid w:val="00376A42"/>
    <w:rsid w:val="00376A99"/>
    <w:rsid w:val="0037723A"/>
    <w:rsid w:val="00377E24"/>
    <w:rsid w:val="00380A5D"/>
    <w:rsid w:val="00380ADE"/>
    <w:rsid w:val="00380BB4"/>
    <w:rsid w:val="00380C4B"/>
    <w:rsid w:val="00380D80"/>
    <w:rsid w:val="0038170F"/>
    <w:rsid w:val="00382AED"/>
    <w:rsid w:val="0038332C"/>
    <w:rsid w:val="0038333F"/>
    <w:rsid w:val="003843E0"/>
    <w:rsid w:val="0038465B"/>
    <w:rsid w:val="003856C2"/>
    <w:rsid w:val="00385DF2"/>
    <w:rsid w:val="0038627A"/>
    <w:rsid w:val="00386880"/>
    <w:rsid w:val="003873E2"/>
    <w:rsid w:val="00390596"/>
    <w:rsid w:val="003913E7"/>
    <w:rsid w:val="00391595"/>
    <w:rsid w:val="0039198D"/>
    <w:rsid w:val="00391EFE"/>
    <w:rsid w:val="0039305E"/>
    <w:rsid w:val="00393192"/>
    <w:rsid w:val="00393B85"/>
    <w:rsid w:val="00393B9E"/>
    <w:rsid w:val="0039451E"/>
    <w:rsid w:val="003952B6"/>
    <w:rsid w:val="003967E9"/>
    <w:rsid w:val="00397E7D"/>
    <w:rsid w:val="003A0D8D"/>
    <w:rsid w:val="003A19D0"/>
    <w:rsid w:val="003A1F97"/>
    <w:rsid w:val="003A272F"/>
    <w:rsid w:val="003A4654"/>
    <w:rsid w:val="003A4DE8"/>
    <w:rsid w:val="003A4FFE"/>
    <w:rsid w:val="003A58BC"/>
    <w:rsid w:val="003A5F2D"/>
    <w:rsid w:val="003A5FCC"/>
    <w:rsid w:val="003A629D"/>
    <w:rsid w:val="003A6351"/>
    <w:rsid w:val="003A6995"/>
    <w:rsid w:val="003A75A0"/>
    <w:rsid w:val="003B0130"/>
    <w:rsid w:val="003B064C"/>
    <w:rsid w:val="003B08C1"/>
    <w:rsid w:val="003B0BF0"/>
    <w:rsid w:val="003B0DC8"/>
    <w:rsid w:val="003B12F4"/>
    <w:rsid w:val="003B1584"/>
    <w:rsid w:val="003B240A"/>
    <w:rsid w:val="003B342C"/>
    <w:rsid w:val="003B3859"/>
    <w:rsid w:val="003B3D43"/>
    <w:rsid w:val="003B3D6C"/>
    <w:rsid w:val="003B4671"/>
    <w:rsid w:val="003B594E"/>
    <w:rsid w:val="003B5C15"/>
    <w:rsid w:val="003B5EA8"/>
    <w:rsid w:val="003B6AF0"/>
    <w:rsid w:val="003B70A2"/>
    <w:rsid w:val="003B7A27"/>
    <w:rsid w:val="003C0B25"/>
    <w:rsid w:val="003C1246"/>
    <w:rsid w:val="003C1809"/>
    <w:rsid w:val="003C1BA9"/>
    <w:rsid w:val="003C20E1"/>
    <w:rsid w:val="003C2489"/>
    <w:rsid w:val="003C281E"/>
    <w:rsid w:val="003C2AD0"/>
    <w:rsid w:val="003C2C3C"/>
    <w:rsid w:val="003C2CBD"/>
    <w:rsid w:val="003C2EEE"/>
    <w:rsid w:val="003C2F44"/>
    <w:rsid w:val="003C30FE"/>
    <w:rsid w:val="003C405E"/>
    <w:rsid w:val="003C58F9"/>
    <w:rsid w:val="003C5CCD"/>
    <w:rsid w:val="003C61FB"/>
    <w:rsid w:val="003C76AC"/>
    <w:rsid w:val="003C7933"/>
    <w:rsid w:val="003C7A20"/>
    <w:rsid w:val="003C7AB2"/>
    <w:rsid w:val="003C7B11"/>
    <w:rsid w:val="003C7C59"/>
    <w:rsid w:val="003D000F"/>
    <w:rsid w:val="003D043B"/>
    <w:rsid w:val="003D07EA"/>
    <w:rsid w:val="003D0EBD"/>
    <w:rsid w:val="003D178F"/>
    <w:rsid w:val="003D1B7A"/>
    <w:rsid w:val="003D2642"/>
    <w:rsid w:val="003D33B8"/>
    <w:rsid w:val="003D3514"/>
    <w:rsid w:val="003D395E"/>
    <w:rsid w:val="003D4475"/>
    <w:rsid w:val="003D44D5"/>
    <w:rsid w:val="003D4518"/>
    <w:rsid w:val="003D59E5"/>
    <w:rsid w:val="003D6497"/>
    <w:rsid w:val="003D68BE"/>
    <w:rsid w:val="003D6C51"/>
    <w:rsid w:val="003D6F97"/>
    <w:rsid w:val="003E014A"/>
    <w:rsid w:val="003E048C"/>
    <w:rsid w:val="003E0518"/>
    <w:rsid w:val="003E0645"/>
    <w:rsid w:val="003E1570"/>
    <w:rsid w:val="003E18B3"/>
    <w:rsid w:val="003E1D87"/>
    <w:rsid w:val="003E25E8"/>
    <w:rsid w:val="003E298C"/>
    <w:rsid w:val="003E3E68"/>
    <w:rsid w:val="003E3FDA"/>
    <w:rsid w:val="003E492E"/>
    <w:rsid w:val="003E4E57"/>
    <w:rsid w:val="003E5009"/>
    <w:rsid w:val="003E5080"/>
    <w:rsid w:val="003E6630"/>
    <w:rsid w:val="003E68E9"/>
    <w:rsid w:val="003E6B02"/>
    <w:rsid w:val="003E6CF3"/>
    <w:rsid w:val="003E71D9"/>
    <w:rsid w:val="003E721A"/>
    <w:rsid w:val="003E7798"/>
    <w:rsid w:val="003E7A79"/>
    <w:rsid w:val="003E7EE7"/>
    <w:rsid w:val="003F0FD5"/>
    <w:rsid w:val="003F202C"/>
    <w:rsid w:val="003F3806"/>
    <w:rsid w:val="003F3871"/>
    <w:rsid w:val="003F3C1A"/>
    <w:rsid w:val="003F3CB0"/>
    <w:rsid w:val="003F42C1"/>
    <w:rsid w:val="003F4848"/>
    <w:rsid w:val="003F49AE"/>
    <w:rsid w:val="003F56A6"/>
    <w:rsid w:val="003F5A53"/>
    <w:rsid w:val="003F5F71"/>
    <w:rsid w:val="003F604C"/>
    <w:rsid w:val="003F7223"/>
    <w:rsid w:val="003F7E76"/>
    <w:rsid w:val="00401002"/>
    <w:rsid w:val="00401559"/>
    <w:rsid w:val="00401673"/>
    <w:rsid w:val="004018F2"/>
    <w:rsid w:val="00401D7B"/>
    <w:rsid w:val="0040270C"/>
    <w:rsid w:val="0040299F"/>
    <w:rsid w:val="00402E7F"/>
    <w:rsid w:val="00403094"/>
    <w:rsid w:val="00403323"/>
    <w:rsid w:val="004035CE"/>
    <w:rsid w:val="00403ACA"/>
    <w:rsid w:val="00403F96"/>
    <w:rsid w:val="004041F7"/>
    <w:rsid w:val="004045A9"/>
    <w:rsid w:val="00405889"/>
    <w:rsid w:val="00405DFA"/>
    <w:rsid w:val="004064DC"/>
    <w:rsid w:val="004068CB"/>
    <w:rsid w:val="00407143"/>
    <w:rsid w:val="004078F2"/>
    <w:rsid w:val="00407CEC"/>
    <w:rsid w:val="00410280"/>
    <w:rsid w:val="004107FA"/>
    <w:rsid w:val="0041099E"/>
    <w:rsid w:val="00412284"/>
    <w:rsid w:val="0041239C"/>
    <w:rsid w:val="004128F6"/>
    <w:rsid w:val="00412B44"/>
    <w:rsid w:val="004130C1"/>
    <w:rsid w:val="0041354F"/>
    <w:rsid w:val="00413A4E"/>
    <w:rsid w:val="00414180"/>
    <w:rsid w:val="0041447C"/>
    <w:rsid w:val="00414550"/>
    <w:rsid w:val="004146D3"/>
    <w:rsid w:val="00415B08"/>
    <w:rsid w:val="00415C02"/>
    <w:rsid w:val="0041667C"/>
    <w:rsid w:val="004174EF"/>
    <w:rsid w:val="00417967"/>
    <w:rsid w:val="0042071B"/>
    <w:rsid w:val="00420DF7"/>
    <w:rsid w:val="00421678"/>
    <w:rsid w:val="00421869"/>
    <w:rsid w:val="004218AC"/>
    <w:rsid w:val="004226AE"/>
    <w:rsid w:val="004226BB"/>
    <w:rsid w:val="00422F8B"/>
    <w:rsid w:val="0042384E"/>
    <w:rsid w:val="0042386E"/>
    <w:rsid w:val="0042412A"/>
    <w:rsid w:val="00424190"/>
    <w:rsid w:val="00424890"/>
    <w:rsid w:val="004259E9"/>
    <w:rsid w:val="00425B22"/>
    <w:rsid w:val="00426202"/>
    <w:rsid w:val="0042662C"/>
    <w:rsid w:val="0042699B"/>
    <w:rsid w:val="00426F7C"/>
    <w:rsid w:val="004270D8"/>
    <w:rsid w:val="00427506"/>
    <w:rsid w:val="0042754D"/>
    <w:rsid w:val="00427708"/>
    <w:rsid w:val="004303AA"/>
    <w:rsid w:val="00430609"/>
    <w:rsid w:val="00430CB1"/>
    <w:rsid w:val="00430F52"/>
    <w:rsid w:val="004311B6"/>
    <w:rsid w:val="00431781"/>
    <w:rsid w:val="00432382"/>
    <w:rsid w:val="00432407"/>
    <w:rsid w:val="00433178"/>
    <w:rsid w:val="004331AC"/>
    <w:rsid w:val="004335A1"/>
    <w:rsid w:val="00433A37"/>
    <w:rsid w:val="00434115"/>
    <w:rsid w:val="00434D76"/>
    <w:rsid w:val="004353E8"/>
    <w:rsid w:val="00435FB7"/>
    <w:rsid w:val="00436402"/>
    <w:rsid w:val="00436438"/>
    <w:rsid w:val="00436A29"/>
    <w:rsid w:val="00436C20"/>
    <w:rsid w:val="00436D11"/>
    <w:rsid w:val="00436F39"/>
    <w:rsid w:val="0043727F"/>
    <w:rsid w:val="004372BE"/>
    <w:rsid w:val="004401F9"/>
    <w:rsid w:val="004403A6"/>
    <w:rsid w:val="00440924"/>
    <w:rsid w:val="00440B1B"/>
    <w:rsid w:val="00440B78"/>
    <w:rsid w:val="00441A6C"/>
    <w:rsid w:val="00441CA0"/>
    <w:rsid w:val="00441EA7"/>
    <w:rsid w:val="004423D0"/>
    <w:rsid w:val="0044244B"/>
    <w:rsid w:val="004428C0"/>
    <w:rsid w:val="00442B92"/>
    <w:rsid w:val="00442E98"/>
    <w:rsid w:val="0044308E"/>
    <w:rsid w:val="00443119"/>
    <w:rsid w:val="00443993"/>
    <w:rsid w:val="00444015"/>
    <w:rsid w:val="00444394"/>
    <w:rsid w:val="0044519B"/>
    <w:rsid w:val="00445C5B"/>
    <w:rsid w:val="00447AC7"/>
    <w:rsid w:val="00447E1D"/>
    <w:rsid w:val="00447E47"/>
    <w:rsid w:val="0045091F"/>
    <w:rsid w:val="00450B1E"/>
    <w:rsid w:val="0045294F"/>
    <w:rsid w:val="00453272"/>
    <w:rsid w:val="004532D0"/>
    <w:rsid w:val="00453F94"/>
    <w:rsid w:val="0045481A"/>
    <w:rsid w:val="00454C0E"/>
    <w:rsid w:val="00455189"/>
    <w:rsid w:val="00455944"/>
    <w:rsid w:val="00456112"/>
    <w:rsid w:val="00457002"/>
    <w:rsid w:val="00457769"/>
    <w:rsid w:val="0045783D"/>
    <w:rsid w:val="0045798F"/>
    <w:rsid w:val="00457AFE"/>
    <w:rsid w:val="0046028F"/>
    <w:rsid w:val="00460E8E"/>
    <w:rsid w:val="0046171E"/>
    <w:rsid w:val="00461FA7"/>
    <w:rsid w:val="00462036"/>
    <w:rsid w:val="00462D5F"/>
    <w:rsid w:val="004630BC"/>
    <w:rsid w:val="00463935"/>
    <w:rsid w:val="00463A07"/>
    <w:rsid w:val="00463CF4"/>
    <w:rsid w:val="0046516F"/>
    <w:rsid w:val="00467344"/>
    <w:rsid w:val="004673C9"/>
    <w:rsid w:val="004700FF"/>
    <w:rsid w:val="0047049B"/>
    <w:rsid w:val="00472669"/>
    <w:rsid w:val="00473667"/>
    <w:rsid w:val="004744CD"/>
    <w:rsid w:val="00475458"/>
    <w:rsid w:val="00475691"/>
    <w:rsid w:val="00476524"/>
    <w:rsid w:val="00476D61"/>
    <w:rsid w:val="00476F0A"/>
    <w:rsid w:val="004774D0"/>
    <w:rsid w:val="0047779A"/>
    <w:rsid w:val="00480773"/>
    <w:rsid w:val="00480864"/>
    <w:rsid w:val="00480BE5"/>
    <w:rsid w:val="00481053"/>
    <w:rsid w:val="00481607"/>
    <w:rsid w:val="00481FC0"/>
    <w:rsid w:val="0048225D"/>
    <w:rsid w:val="00482609"/>
    <w:rsid w:val="00482802"/>
    <w:rsid w:val="00483032"/>
    <w:rsid w:val="00483370"/>
    <w:rsid w:val="00483946"/>
    <w:rsid w:val="00483C0B"/>
    <w:rsid w:val="0048439A"/>
    <w:rsid w:val="0048519D"/>
    <w:rsid w:val="004857DC"/>
    <w:rsid w:val="00486512"/>
    <w:rsid w:val="004868AA"/>
    <w:rsid w:val="00486FBD"/>
    <w:rsid w:val="0048734B"/>
    <w:rsid w:val="00487616"/>
    <w:rsid w:val="00487715"/>
    <w:rsid w:val="004878F8"/>
    <w:rsid w:val="0048797A"/>
    <w:rsid w:val="00487D62"/>
    <w:rsid w:val="00490308"/>
    <w:rsid w:val="00490ABA"/>
    <w:rsid w:val="00491D81"/>
    <w:rsid w:val="00491FD2"/>
    <w:rsid w:val="00492092"/>
    <w:rsid w:val="00492A4E"/>
    <w:rsid w:val="0049346B"/>
    <w:rsid w:val="00493B5A"/>
    <w:rsid w:val="00493BD0"/>
    <w:rsid w:val="00493D72"/>
    <w:rsid w:val="00493F58"/>
    <w:rsid w:val="00494CF8"/>
    <w:rsid w:val="0049529B"/>
    <w:rsid w:val="004963BD"/>
    <w:rsid w:val="00496819"/>
    <w:rsid w:val="00496BF9"/>
    <w:rsid w:val="00496FC3"/>
    <w:rsid w:val="004977E0"/>
    <w:rsid w:val="004A01B1"/>
    <w:rsid w:val="004A0509"/>
    <w:rsid w:val="004A0FBB"/>
    <w:rsid w:val="004A10DD"/>
    <w:rsid w:val="004A117A"/>
    <w:rsid w:val="004A12AB"/>
    <w:rsid w:val="004A15DC"/>
    <w:rsid w:val="004A1B96"/>
    <w:rsid w:val="004A1C23"/>
    <w:rsid w:val="004A2BA7"/>
    <w:rsid w:val="004A382C"/>
    <w:rsid w:val="004A39D8"/>
    <w:rsid w:val="004A44F7"/>
    <w:rsid w:val="004A4830"/>
    <w:rsid w:val="004A4B4C"/>
    <w:rsid w:val="004A532F"/>
    <w:rsid w:val="004A5606"/>
    <w:rsid w:val="004A60E1"/>
    <w:rsid w:val="004A6CB9"/>
    <w:rsid w:val="004A6D4E"/>
    <w:rsid w:val="004A7BA6"/>
    <w:rsid w:val="004B15D8"/>
    <w:rsid w:val="004B1752"/>
    <w:rsid w:val="004B2404"/>
    <w:rsid w:val="004B2A4C"/>
    <w:rsid w:val="004B382E"/>
    <w:rsid w:val="004B3E5D"/>
    <w:rsid w:val="004B452C"/>
    <w:rsid w:val="004B4869"/>
    <w:rsid w:val="004B4C7D"/>
    <w:rsid w:val="004B4D30"/>
    <w:rsid w:val="004B506F"/>
    <w:rsid w:val="004B5619"/>
    <w:rsid w:val="004B57DA"/>
    <w:rsid w:val="004B5965"/>
    <w:rsid w:val="004B5A0B"/>
    <w:rsid w:val="004B5E25"/>
    <w:rsid w:val="004B6683"/>
    <w:rsid w:val="004B742B"/>
    <w:rsid w:val="004B779F"/>
    <w:rsid w:val="004B7CB5"/>
    <w:rsid w:val="004B7EB9"/>
    <w:rsid w:val="004C079C"/>
    <w:rsid w:val="004C07C5"/>
    <w:rsid w:val="004C0A32"/>
    <w:rsid w:val="004C0E61"/>
    <w:rsid w:val="004C12C8"/>
    <w:rsid w:val="004C139E"/>
    <w:rsid w:val="004C1537"/>
    <w:rsid w:val="004C16ED"/>
    <w:rsid w:val="004C1948"/>
    <w:rsid w:val="004C1A7E"/>
    <w:rsid w:val="004C23ED"/>
    <w:rsid w:val="004C32F3"/>
    <w:rsid w:val="004C35C6"/>
    <w:rsid w:val="004C3C3F"/>
    <w:rsid w:val="004C41FD"/>
    <w:rsid w:val="004C5FE6"/>
    <w:rsid w:val="004C6DE5"/>
    <w:rsid w:val="004C7450"/>
    <w:rsid w:val="004C7BC4"/>
    <w:rsid w:val="004C7ED2"/>
    <w:rsid w:val="004D09E1"/>
    <w:rsid w:val="004D0CE0"/>
    <w:rsid w:val="004D21D0"/>
    <w:rsid w:val="004D2A38"/>
    <w:rsid w:val="004D2C03"/>
    <w:rsid w:val="004D2D21"/>
    <w:rsid w:val="004D381A"/>
    <w:rsid w:val="004D3F6C"/>
    <w:rsid w:val="004D42ED"/>
    <w:rsid w:val="004D4CC6"/>
    <w:rsid w:val="004D5335"/>
    <w:rsid w:val="004D5393"/>
    <w:rsid w:val="004D6B0A"/>
    <w:rsid w:val="004D6FB1"/>
    <w:rsid w:val="004E06E8"/>
    <w:rsid w:val="004E0AAF"/>
    <w:rsid w:val="004E0C8A"/>
    <w:rsid w:val="004E1101"/>
    <w:rsid w:val="004E111E"/>
    <w:rsid w:val="004E2554"/>
    <w:rsid w:val="004E2CE1"/>
    <w:rsid w:val="004E3083"/>
    <w:rsid w:val="004E337B"/>
    <w:rsid w:val="004E36C6"/>
    <w:rsid w:val="004E38CD"/>
    <w:rsid w:val="004E39DF"/>
    <w:rsid w:val="004E3A27"/>
    <w:rsid w:val="004E3CB3"/>
    <w:rsid w:val="004E3DD5"/>
    <w:rsid w:val="004E3FD8"/>
    <w:rsid w:val="004E4264"/>
    <w:rsid w:val="004E5317"/>
    <w:rsid w:val="004E571D"/>
    <w:rsid w:val="004E607C"/>
    <w:rsid w:val="004E6722"/>
    <w:rsid w:val="004E7054"/>
    <w:rsid w:val="004E789C"/>
    <w:rsid w:val="004E7991"/>
    <w:rsid w:val="004F192D"/>
    <w:rsid w:val="004F2C8B"/>
    <w:rsid w:val="004F2DC8"/>
    <w:rsid w:val="004F45C4"/>
    <w:rsid w:val="004F4755"/>
    <w:rsid w:val="004F4857"/>
    <w:rsid w:val="004F50DB"/>
    <w:rsid w:val="004F52AA"/>
    <w:rsid w:val="004F6221"/>
    <w:rsid w:val="004F62B3"/>
    <w:rsid w:val="004F6A69"/>
    <w:rsid w:val="004F6DFE"/>
    <w:rsid w:val="004F7173"/>
    <w:rsid w:val="004F7CCC"/>
    <w:rsid w:val="0050029A"/>
    <w:rsid w:val="00500442"/>
    <w:rsid w:val="005007DD"/>
    <w:rsid w:val="00500D0D"/>
    <w:rsid w:val="00500EDB"/>
    <w:rsid w:val="00500F30"/>
    <w:rsid w:val="00500F6A"/>
    <w:rsid w:val="005019BC"/>
    <w:rsid w:val="00502933"/>
    <w:rsid w:val="00502EA6"/>
    <w:rsid w:val="00503B3B"/>
    <w:rsid w:val="00503E98"/>
    <w:rsid w:val="00504035"/>
    <w:rsid w:val="00504B4C"/>
    <w:rsid w:val="00504E13"/>
    <w:rsid w:val="00504F28"/>
    <w:rsid w:val="00506904"/>
    <w:rsid w:val="00506C16"/>
    <w:rsid w:val="00507383"/>
    <w:rsid w:val="00507487"/>
    <w:rsid w:val="00507D59"/>
    <w:rsid w:val="00507E5D"/>
    <w:rsid w:val="00507F40"/>
    <w:rsid w:val="00507F90"/>
    <w:rsid w:val="005107A0"/>
    <w:rsid w:val="00510CA0"/>
    <w:rsid w:val="00510F8C"/>
    <w:rsid w:val="00511875"/>
    <w:rsid w:val="00512579"/>
    <w:rsid w:val="00512D90"/>
    <w:rsid w:val="00512F1F"/>
    <w:rsid w:val="00513246"/>
    <w:rsid w:val="00514BEC"/>
    <w:rsid w:val="005153C6"/>
    <w:rsid w:val="00515E88"/>
    <w:rsid w:val="005167DE"/>
    <w:rsid w:val="00516A09"/>
    <w:rsid w:val="00516B1D"/>
    <w:rsid w:val="00516C72"/>
    <w:rsid w:val="00516EAC"/>
    <w:rsid w:val="00516EC7"/>
    <w:rsid w:val="00517165"/>
    <w:rsid w:val="0051754F"/>
    <w:rsid w:val="00517685"/>
    <w:rsid w:val="00517C87"/>
    <w:rsid w:val="00517D26"/>
    <w:rsid w:val="00517DDE"/>
    <w:rsid w:val="0052029C"/>
    <w:rsid w:val="005206A4"/>
    <w:rsid w:val="005212E4"/>
    <w:rsid w:val="005227C1"/>
    <w:rsid w:val="00522A0E"/>
    <w:rsid w:val="00523579"/>
    <w:rsid w:val="005241DD"/>
    <w:rsid w:val="005244C6"/>
    <w:rsid w:val="0052465A"/>
    <w:rsid w:val="00524720"/>
    <w:rsid w:val="005248F8"/>
    <w:rsid w:val="005253B3"/>
    <w:rsid w:val="00525883"/>
    <w:rsid w:val="00525DB0"/>
    <w:rsid w:val="00525F66"/>
    <w:rsid w:val="0052622F"/>
    <w:rsid w:val="0052645D"/>
    <w:rsid w:val="00530148"/>
    <w:rsid w:val="00530245"/>
    <w:rsid w:val="005303A3"/>
    <w:rsid w:val="00531776"/>
    <w:rsid w:val="005319E8"/>
    <w:rsid w:val="00531E79"/>
    <w:rsid w:val="00532433"/>
    <w:rsid w:val="0053286D"/>
    <w:rsid w:val="005328B9"/>
    <w:rsid w:val="00532B6C"/>
    <w:rsid w:val="005333D7"/>
    <w:rsid w:val="005337AC"/>
    <w:rsid w:val="00533B0E"/>
    <w:rsid w:val="005342E2"/>
    <w:rsid w:val="0053476B"/>
    <w:rsid w:val="00534921"/>
    <w:rsid w:val="005353FC"/>
    <w:rsid w:val="005359F8"/>
    <w:rsid w:val="00535BBC"/>
    <w:rsid w:val="00535C84"/>
    <w:rsid w:val="0053627D"/>
    <w:rsid w:val="005367CA"/>
    <w:rsid w:val="00537828"/>
    <w:rsid w:val="00540752"/>
    <w:rsid w:val="00541D4A"/>
    <w:rsid w:val="00542456"/>
    <w:rsid w:val="00542BA1"/>
    <w:rsid w:val="005435B4"/>
    <w:rsid w:val="0054380C"/>
    <w:rsid w:val="0054385E"/>
    <w:rsid w:val="00544CBE"/>
    <w:rsid w:val="0054570D"/>
    <w:rsid w:val="00545C11"/>
    <w:rsid w:val="0054C776"/>
    <w:rsid w:val="00550094"/>
    <w:rsid w:val="00550234"/>
    <w:rsid w:val="00550BC2"/>
    <w:rsid w:val="0055246F"/>
    <w:rsid w:val="00552A95"/>
    <w:rsid w:val="005531C8"/>
    <w:rsid w:val="00553E16"/>
    <w:rsid w:val="00553E7C"/>
    <w:rsid w:val="0055474C"/>
    <w:rsid w:val="00555325"/>
    <w:rsid w:val="00555565"/>
    <w:rsid w:val="0055570C"/>
    <w:rsid w:val="005557E3"/>
    <w:rsid w:val="00555B7E"/>
    <w:rsid w:val="00555C92"/>
    <w:rsid w:val="00557FD0"/>
    <w:rsid w:val="005602EA"/>
    <w:rsid w:val="00560434"/>
    <w:rsid w:val="005614CB"/>
    <w:rsid w:val="00561C70"/>
    <w:rsid w:val="00561D46"/>
    <w:rsid w:val="005626DD"/>
    <w:rsid w:val="005636F6"/>
    <w:rsid w:val="00563830"/>
    <w:rsid w:val="005640DC"/>
    <w:rsid w:val="0056419F"/>
    <w:rsid w:val="00565FDC"/>
    <w:rsid w:val="005664CE"/>
    <w:rsid w:val="005668F1"/>
    <w:rsid w:val="00566921"/>
    <w:rsid w:val="00566AE1"/>
    <w:rsid w:val="005672E5"/>
    <w:rsid w:val="005673E4"/>
    <w:rsid w:val="005677DF"/>
    <w:rsid w:val="00571181"/>
    <w:rsid w:val="0057125A"/>
    <w:rsid w:val="005715C2"/>
    <w:rsid w:val="0057172B"/>
    <w:rsid w:val="0057234C"/>
    <w:rsid w:val="00573317"/>
    <w:rsid w:val="00574791"/>
    <w:rsid w:val="005749B2"/>
    <w:rsid w:val="00574EFC"/>
    <w:rsid w:val="0057526F"/>
    <w:rsid w:val="005759D3"/>
    <w:rsid w:val="0057677E"/>
    <w:rsid w:val="0057688A"/>
    <w:rsid w:val="005769CE"/>
    <w:rsid w:val="00577458"/>
    <w:rsid w:val="00577FAC"/>
    <w:rsid w:val="0058101D"/>
    <w:rsid w:val="00581105"/>
    <w:rsid w:val="0058115C"/>
    <w:rsid w:val="005813F9"/>
    <w:rsid w:val="00581506"/>
    <w:rsid w:val="00581724"/>
    <w:rsid w:val="0058199A"/>
    <w:rsid w:val="00581B58"/>
    <w:rsid w:val="00581C91"/>
    <w:rsid w:val="00582B28"/>
    <w:rsid w:val="00583923"/>
    <w:rsid w:val="00584FC5"/>
    <w:rsid w:val="00585964"/>
    <w:rsid w:val="00585CA2"/>
    <w:rsid w:val="00586931"/>
    <w:rsid w:val="00587AC0"/>
    <w:rsid w:val="00590292"/>
    <w:rsid w:val="00590594"/>
    <w:rsid w:val="00590F5B"/>
    <w:rsid w:val="0059146D"/>
    <w:rsid w:val="005914A8"/>
    <w:rsid w:val="005918DA"/>
    <w:rsid w:val="00592778"/>
    <w:rsid w:val="005927E1"/>
    <w:rsid w:val="005929F1"/>
    <w:rsid w:val="00593206"/>
    <w:rsid w:val="0059354C"/>
    <w:rsid w:val="005945AB"/>
    <w:rsid w:val="0059477F"/>
    <w:rsid w:val="00594AC6"/>
    <w:rsid w:val="00594E8E"/>
    <w:rsid w:val="0059525D"/>
    <w:rsid w:val="0059538A"/>
    <w:rsid w:val="0059578D"/>
    <w:rsid w:val="00595C87"/>
    <w:rsid w:val="00595FF9"/>
    <w:rsid w:val="005978A9"/>
    <w:rsid w:val="00597E3B"/>
    <w:rsid w:val="00597F94"/>
    <w:rsid w:val="00597FA1"/>
    <w:rsid w:val="005A0688"/>
    <w:rsid w:val="005A06D1"/>
    <w:rsid w:val="005A0879"/>
    <w:rsid w:val="005A0E08"/>
    <w:rsid w:val="005A115C"/>
    <w:rsid w:val="005A161E"/>
    <w:rsid w:val="005A181E"/>
    <w:rsid w:val="005A19A8"/>
    <w:rsid w:val="005A1E0E"/>
    <w:rsid w:val="005A21A8"/>
    <w:rsid w:val="005A3340"/>
    <w:rsid w:val="005A3986"/>
    <w:rsid w:val="005A5B1D"/>
    <w:rsid w:val="005A5CA5"/>
    <w:rsid w:val="005A6874"/>
    <w:rsid w:val="005A6A36"/>
    <w:rsid w:val="005A6B12"/>
    <w:rsid w:val="005A73B3"/>
    <w:rsid w:val="005A74B5"/>
    <w:rsid w:val="005A78AC"/>
    <w:rsid w:val="005A7BC6"/>
    <w:rsid w:val="005A7E64"/>
    <w:rsid w:val="005B102F"/>
    <w:rsid w:val="005B1A15"/>
    <w:rsid w:val="005B2067"/>
    <w:rsid w:val="005B254F"/>
    <w:rsid w:val="005B2AB6"/>
    <w:rsid w:val="005B2C51"/>
    <w:rsid w:val="005B2EA1"/>
    <w:rsid w:val="005B2FEC"/>
    <w:rsid w:val="005B35BB"/>
    <w:rsid w:val="005B3FD5"/>
    <w:rsid w:val="005B42F1"/>
    <w:rsid w:val="005B53FC"/>
    <w:rsid w:val="005B651E"/>
    <w:rsid w:val="005B6667"/>
    <w:rsid w:val="005B6BDD"/>
    <w:rsid w:val="005B72F5"/>
    <w:rsid w:val="005C09DD"/>
    <w:rsid w:val="005C0AFC"/>
    <w:rsid w:val="005C0CCB"/>
    <w:rsid w:val="005C1F34"/>
    <w:rsid w:val="005C208F"/>
    <w:rsid w:val="005C30C9"/>
    <w:rsid w:val="005C321A"/>
    <w:rsid w:val="005C376C"/>
    <w:rsid w:val="005C41E6"/>
    <w:rsid w:val="005C5A27"/>
    <w:rsid w:val="005C5B19"/>
    <w:rsid w:val="005C5BD7"/>
    <w:rsid w:val="005C5C98"/>
    <w:rsid w:val="005C64C9"/>
    <w:rsid w:val="005C64CC"/>
    <w:rsid w:val="005C651E"/>
    <w:rsid w:val="005C66BA"/>
    <w:rsid w:val="005C717B"/>
    <w:rsid w:val="005C77A9"/>
    <w:rsid w:val="005C7F14"/>
    <w:rsid w:val="005D0BD7"/>
    <w:rsid w:val="005D2375"/>
    <w:rsid w:val="005D2503"/>
    <w:rsid w:val="005D2C1C"/>
    <w:rsid w:val="005D31C9"/>
    <w:rsid w:val="005D3742"/>
    <w:rsid w:val="005D3885"/>
    <w:rsid w:val="005D3C33"/>
    <w:rsid w:val="005D4391"/>
    <w:rsid w:val="005D5C33"/>
    <w:rsid w:val="005D66F5"/>
    <w:rsid w:val="005D7032"/>
    <w:rsid w:val="005D716C"/>
    <w:rsid w:val="005D7550"/>
    <w:rsid w:val="005D7567"/>
    <w:rsid w:val="005D760A"/>
    <w:rsid w:val="005E154E"/>
    <w:rsid w:val="005E2CB0"/>
    <w:rsid w:val="005E2D15"/>
    <w:rsid w:val="005E3ECD"/>
    <w:rsid w:val="005E451A"/>
    <w:rsid w:val="005E49D6"/>
    <w:rsid w:val="005E5479"/>
    <w:rsid w:val="005E5880"/>
    <w:rsid w:val="005E70EF"/>
    <w:rsid w:val="005E7324"/>
    <w:rsid w:val="005E7D0D"/>
    <w:rsid w:val="005E7EAD"/>
    <w:rsid w:val="005E7F1A"/>
    <w:rsid w:val="005F0A0B"/>
    <w:rsid w:val="005F0DF0"/>
    <w:rsid w:val="005F107C"/>
    <w:rsid w:val="005F1471"/>
    <w:rsid w:val="005F172B"/>
    <w:rsid w:val="005F19A3"/>
    <w:rsid w:val="005F1F16"/>
    <w:rsid w:val="005F244D"/>
    <w:rsid w:val="005F26B6"/>
    <w:rsid w:val="005F2DB6"/>
    <w:rsid w:val="005F313A"/>
    <w:rsid w:val="005F3532"/>
    <w:rsid w:val="005F3A12"/>
    <w:rsid w:val="005F4073"/>
    <w:rsid w:val="005F4579"/>
    <w:rsid w:val="005F488C"/>
    <w:rsid w:val="005F48ED"/>
    <w:rsid w:val="005F5B5E"/>
    <w:rsid w:val="005F63AE"/>
    <w:rsid w:val="005F63EB"/>
    <w:rsid w:val="005F64C0"/>
    <w:rsid w:val="005F6E2D"/>
    <w:rsid w:val="005F728B"/>
    <w:rsid w:val="005F76FB"/>
    <w:rsid w:val="005F7E1C"/>
    <w:rsid w:val="0060041D"/>
    <w:rsid w:val="006007B1"/>
    <w:rsid w:val="006017D1"/>
    <w:rsid w:val="00601E48"/>
    <w:rsid w:val="006020CC"/>
    <w:rsid w:val="00602E66"/>
    <w:rsid w:val="006032DB"/>
    <w:rsid w:val="00603818"/>
    <w:rsid w:val="0060613D"/>
    <w:rsid w:val="006061A6"/>
    <w:rsid w:val="00606E81"/>
    <w:rsid w:val="00607D5D"/>
    <w:rsid w:val="00610662"/>
    <w:rsid w:val="006114D5"/>
    <w:rsid w:val="00611579"/>
    <w:rsid w:val="0061179A"/>
    <w:rsid w:val="00611A81"/>
    <w:rsid w:val="00611B7D"/>
    <w:rsid w:val="00611E6A"/>
    <w:rsid w:val="00612EE5"/>
    <w:rsid w:val="0061317C"/>
    <w:rsid w:val="0061328C"/>
    <w:rsid w:val="006138A4"/>
    <w:rsid w:val="006139F6"/>
    <w:rsid w:val="00613FC8"/>
    <w:rsid w:val="00614935"/>
    <w:rsid w:val="00614B20"/>
    <w:rsid w:val="00614EF9"/>
    <w:rsid w:val="00615040"/>
    <w:rsid w:val="006159B7"/>
    <w:rsid w:val="00615A99"/>
    <w:rsid w:val="00615D7F"/>
    <w:rsid w:val="00615FA7"/>
    <w:rsid w:val="006175CD"/>
    <w:rsid w:val="006176BE"/>
    <w:rsid w:val="00617E21"/>
    <w:rsid w:val="0062056D"/>
    <w:rsid w:val="0062112B"/>
    <w:rsid w:val="006219C4"/>
    <w:rsid w:val="00621B2B"/>
    <w:rsid w:val="00621DFD"/>
    <w:rsid w:val="00621ECB"/>
    <w:rsid w:val="00622118"/>
    <w:rsid w:val="0062220B"/>
    <w:rsid w:val="0062225E"/>
    <w:rsid w:val="00622511"/>
    <w:rsid w:val="006228CD"/>
    <w:rsid w:val="00622A87"/>
    <w:rsid w:val="00622C81"/>
    <w:rsid w:val="00622E9C"/>
    <w:rsid w:val="0062387A"/>
    <w:rsid w:val="006255C1"/>
    <w:rsid w:val="0062560D"/>
    <w:rsid w:val="00625AF6"/>
    <w:rsid w:val="006269EB"/>
    <w:rsid w:val="00626B9C"/>
    <w:rsid w:val="00626FEC"/>
    <w:rsid w:val="006276F0"/>
    <w:rsid w:val="0063055F"/>
    <w:rsid w:val="00630680"/>
    <w:rsid w:val="00630D4F"/>
    <w:rsid w:val="00632623"/>
    <w:rsid w:val="00632E4B"/>
    <w:rsid w:val="00633015"/>
    <w:rsid w:val="006334CF"/>
    <w:rsid w:val="00635CC6"/>
    <w:rsid w:val="00635D99"/>
    <w:rsid w:val="00637069"/>
    <w:rsid w:val="0063753A"/>
    <w:rsid w:val="00637D9E"/>
    <w:rsid w:val="00637F14"/>
    <w:rsid w:val="00640358"/>
    <w:rsid w:val="00640AD4"/>
    <w:rsid w:val="0064144A"/>
    <w:rsid w:val="00641706"/>
    <w:rsid w:val="00641CE6"/>
    <w:rsid w:val="006421C5"/>
    <w:rsid w:val="0064246C"/>
    <w:rsid w:val="00642B37"/>
    <w:rsid w:val="006430E6"/>
    <w:rsid w:val="00643630"/>
    <w:rsid w:val="006436FF"/>
    <w:rsid w:val="00643A76"/>
    <w:rsid w:val="00644696"/>
    <w:rsid w:val="00644DE8"/>
    <w:rsid w:val="0064510E"/>
    <w:rsid w:val="00645BE2"/>
    <w:rsid w:val="00645CFA"/>
    <w:rsid w:val="00647469"/>
    <w:rsid w:val="006478E3"/>
    <w:rsid w:val="0064798A"/>
    <w:rsid w:val="00647A50"/>
    <w:rsid w:val="006502AF"/>
    <w:rsid w:val="00650F3C"/>
    <w:rsid w:val="0065129D"/>
    <w:rsid w:val="00651A1B"/>
    <w:rsid w:val="00651DC0"/>
    <w:rsid w:val="006525F6"/>
    <w:rsid w:val="006538B8"/>
    <w:rsid w:val="00654AFF"/>
    <w:rsid w:val="00654FB7"/>
    <w:rsid w:val="00655207"/>
    <w:rsid w:val="00656027"/>
    <w:rsid w:val="00656F37"/>
    <w:rsid w:val="00657A2E"/>
    <w:rsid w:val="00657C93"/>
    <w:rsid w:val="00660A4F"/>
    <w:rsid w:val="00660B63"/>
    <w:rsid w:val="00660C4A"/>
    <w:rsid w:val="006627A0"/>
    <w:rsid w:val="0066338C"/>
    <w:rsid w:val="0066367F"/>
    <w:rsid w:val="0066382C"/>
    <w:rsid w:val="00663E77"/>
    <w:rsid w:val="006644D7"/>
    <w:rsid w:val="00664D0F"/>
    <w:rsid w:val="00665747"/>
    <w:rsid w:val="00666315"/>
    <w:rsid w:val="00667003"/>
    <w:rsid w:val="00667479"/>
    <w:rsid w:val="006674D9"/>
    <w:rsid w:val="00667D78"/>
    <w:rsid w:val="00671294"/>
    <w:rsid w:val="006714F7"/>
    <w:rsid w:val="00671A30"/>
    <w:rsid w:val="00672E06"/>
    <w:rsid w:val="006730B3"/>
    <w:rsid w:val="00673527"/>
    <w:rsid w:val="00673707"/>
    <w:rsid w:val="00673AA6"/>
    <w:rsid w:val="0067436F"/>
    <w:rsid w:val="00674805"/>
    <w:rsid w:val="00674916"/>
    <w:rsid w:val="00674BDF"/>
    <w:rsid w:val="00674F90"/>
    <w:rsid w:val="006757CD"/>
    <w:rsid w:val="00675AEA"/>
    <w:rsid w:val="00675EB1"/>
    <w:rsid w:val="0067638B"/>
    <w:rsid w:val="0067648B"/>
    <w:rsid w:val="0067674F"/>
    <w:rsid w:val="00676DBF"/>
    <w:rsid w:val="00677346"/>
    <w:rsid w:val="00677651"/>
    <w:rsid w:val="00677CDC"/>
    <w:rsid w:val="00677F92"/>
    <w:rsid w:val="0068095E"/>
    <w:rsid w:val="00681D34"/>
    <w:rsid w:val="006820F8"/>
    <w:rsid w:val="00682892"/>
    <w:rsid w:val="00682B09"/>
    <w:rsid w:val="0068304F"/>
    <w:rsid w:val="00683453"/>
    <w:rsid w:val="00683C68"/>
    <w:rsid w:val="00683E69"/>
    <w:rsid w:val="00684195"/>
    <w:rsid w:val="0068467B"/>
    <w:rsid w:val="00684C77"/>
    <w:rsid w:val="006854DA"/>
    <w:rsid w:val="00685B33"/>
    <w:rsid w:val="006864D8"/>
    <w:rsid w:val="00686D3A"/>
    <w:rsid w:val="00687404"/>
    <w:rsid w:val="0068788A"/>
    <w:rsid w:val="00687A5C"/>
    <w:rsid w:val="00687F62"/>
    <w:rsid w:val="00687F93"/>
    <w:rsid w:val="006901AB"/>
    <w:rsid w:val="00690321"/>
    <w:rsid w:val="00690338"/>
    <w:rsid w:val="0069045D"/>
    <w:rsid w:val="00693365"/>
    <w:rsid w:val="006943F8"/>
    <w:rsid w:val="00695518"/>
    <w:rsid w:val="006959E1"/>
    <w:rsid w:val="00696708"/>
    <w:rsid w:val="00696D5A"/>
    <w:rsid w:val="0069732E"/>
    <w:rsid w:val="00697D49"/>
    <w:rsid w:val="006A1495"/>
    <w:rsid w:val="006A15EB"/>
    <w:rsid w:val="006A1897"/>
    <w:rsid w:val="006A1A76"/>
    <w:rsid w:val="006A284A"/>
    <w:rsid w:val="006A4B20"/>
    <w:rsid w:val="006A4BE0"/>
    <w:rsid w:val="006A4C39"/>
    <w:rsid w:val="006A508E"/>
    <w:rsid w:val="006A5290"/>
    <w:rsid w:val="006A531B"/>
    <w:rsid w:val="006A5B71"/>
    <w:rsid w:val="006A5CB1"/>
    <w:rsid w:val="006A6C6D"/>
    <w:rsid w:val="006A7275"/>
    <w:rsid w:val="006A7A4E"/>
    <w:rsid w:val="006B0529"/>
    <w:rsid w:val="006B093A"/>
    <w:rsid w:val="006B0B8F"/>
    <w:rsid w:val="006B0D92"/>
    <w:rsid w:val="006B148B"/>
    <w:rsid w:val="006B21BD"/>
    <w:rsid w:val="006B32F0"/>
    <w:rsid w:val="006B36A4"/>
    <w:rsid w:val="006B3C1C"/>
    <w:rsid w:val="006B3D87"/>
    <w:rsid w:val="006B403F"/>
    <w:rsid w:val="006B40F3"/>
    <w:rsid w:val="006B4AF7"/>
    <w:rsid w:val="006B4B89"/>
    <w:rsid w:val="006B501E"/>
    <w:rsid w:val="006B5091"/>
    <w:rsid w:val="006B57B2"/>
    <w:rsid w:val="006B5975"/>
    <w:rsid w:val="006B5AFA"/>
    <w:rsid w:val="006B5EFA"/>
    <w:rsid w:val="006B6108"/>
    <w:rsid w:val="006B645F"/>
    <w:rsid w:val="006B6D53"/>
    <w:rsid w:val="006B6E92"/>
    <w:rsid w:val="006C0C72"/>
    <w:rsid w:val="006C1267"/>
    <w:rsid w:val="006C20F9"/>
    <w:rsid w:val="006C22D8"/>
    <w:rsid w:val="006C29B4"/>
    <w:rsid w:val="006C30ED"/>
    <w:rsid w:val="006C3B87"/>
    <w:rsid w:val="006C4034"/>
    <w:rsid w:val="006C4748"/>
    <w:rsid w:val="006C4896"/>
    <w:rsid w:val="006C58A7"/>
    <w:rsid w:val="006C5BE3"/>
    <w:rsid w:val="006C6229"/>
    <w:rsid w:val="006C6997"/>
    <w:rsid w:val="006C7D7C"/>
    <w:rsid w:val="006CA05A"/>
    <w:rsid w:val="006D074E"/>
    <w:rsid w:val="006D0BE8"/>
    <w:rsid w:val="006D0FFF"/>
    <w:rsid w:val="006D1085"/>
    <w:rsid w:val="006D1404"/>
    <w:rsid w:val="006D1954"/>
    <w:rsid w:val="006D1D1F"/>
    <w:rsid w:val="006D1E70"/>
    <w:rsid w:val="006D2528"/>
    <w:rsid w:val="006D26E1"/>
    <w:rsid w:val="006D2B16"/>
    <w:rsid w:val="006D2ED7"/>
    <w:rsid w:val="006D3ADB"/>
    <w:rsid w:val="006D4AA5"/>
    <w:rsid w:val="006D5721"/>
    <w:rsid w:val="006D5799"/>
    <w:rsid w:val="006D5DDB"/>
    <w:rsid w:val="006D6646"/>
    <w:rsid w:val="006D6718"/>
    <w:rsid w:val="006D6A1D"/>
    <w:rsid w:val="006D6F03"/>
    <w:rsid w:val="006D7D1A"/>
    <w:rsid w:val="006E038E"/>
    <w:rsid w:val="006E08AB"/>
    <w:rsid w:val="006E08BD"/>
    <w:rsid w:val="006E0D1E"/>
    <w:rsid w:val="006E0E16"/>
    <w:rsid w:val="006E1245"/>
    <w:rsid w:val="006E15DD"/>
    <w:rsid w:val="006E16E2"/>
    <w:rsid w:val="006E19E1"/>
    <w:rsid w:val="006E1B12"/>
    <w:rsid w:val="006E1CA7"/>
    <w:rsid w:val="006E2656"/>
    <w:rsid w:val="006E2695"/>
    <w:rsid w:val="006E2A97"/>
    <w:rsid w:val="006E3710"/>
    <w:rsid w:val="006E3A8B"/>
    <w:rsid w:val="006E3C7F"/>
    <w:rsid w:val="006E452E"/>
    <w:rsid w:val="006E480C"/>
    <w:rsid w:val="006E510F"/>
    <w:rsid w:val="006E57F1"/>
    <w:rsid w:val="006E63F6"/>
    <w:rsid w:val="006E74FD"/>
    <w:rsid w:val="006E7C45"/>
    <w:rsid w:val="006E7FDD"/>
    <w:rsid w:val="006E9EE9"/>
    <w:rsid w:val="006F0271"/>
    <w:rsid w:val="006F1E79"/>
    <w:rsid w:val="006F253A"/>
    <w:rsid w:val="006F2BBC"/>
    <w:rsid w:val="006F3484"/>
    <w:rsid w:val="006F39FD"/>
    <w:rsid w:val="006F3D13"/>
    <w:rsid w:val="006F4421"/>
    <w:rsid w:val="006F5CBE"/>
    <w:rsid w:val="006F5DB1"/>
    <w:rsid w:val="006F629F"/>
    <w:rsid w:val="006F72A3"/>
    <w:rsid w:val="006F79BE"/>
    <w:rsid w:val="00700283"/>
    <w:rsid w:val="00700461"/>
    <w:rsid w:val="007005A0"/>
    <w:rsid w:val="0070084F"/>
    <w:rsid w:val="007009D0"/>
    <w:rsid w:val="0070272F"/>
    <w:rsid w:val="00702D90"/>
    <w:rsid w:val="00703714"/>
    <w:rsid w:val="0070576F"/>
    <w:rsid w:val="00705DD5"/>
    <w:rsid w:val="00706221"/>
    <w:rsid w:val="007062BA"/>
    <w:rsid w:val="007062FB"/>
    <w:rsid w:val="0070682B"/>
    <w:rsid w:val="00706870"/>
    <w:rsid w:val="007068CB"/>
    <w:rsid w:val="00706A6E"/>
    <w:rsid w:val="00706C2F"/>
    <w:rsid w:val="007071B9"/>
    <w:rsid w:val="0071053F"/>
    <w:rsid w:val="007108D4"/>
    <w:rsid w:val="00710EAE"/>
    <w:rsid w:val="007111DB"/>
    <w:rsid w:val="00711854"/>
    <w:rsid w:val="007119B3"/>
    <w:rsid w:val="00712816"/>
    <w:rsid w:val="00712BE2"/>
    <w:rsid w:val="007137A7"/>
    <w:rsid w:val="007137EE"/>
    <w:rsid w:val="00713E05"/>
    <w:rsid w:val="0071447B"/>
    <w:rsid w:val="007146F5"/>
    <w:rsid w:val="00715110"/>
    <w:rsid w:val="007157E1"/>
    <w:rsid w:val="00715E05"/>
    <w:rsid w:val="00716B8B"/>
    <w:rsid w:val="00717454"/>
    <w:rsid w:val="007178E8"/>
    <w:rsid w:val="00717D5C"/>
    <w:rsid w:val="00722166"/>
    <w:rsid w:val="007221F7"/>
    <w:rsid w:val="00722861"/>
    <w:rsid w:val="007229E6"/>
    <w:rsid w:val="00723065"/>
    <w:rsid w:val="0072483D"/>
    <w:rsid w:val="007248DA"/>
    <w:rsid w:val="0072496B"/>
    <w:rsid w:val="00724C7E"/>
    <w:rsid w:val="00724D34"/>
    <w:rsid w:val="00724E4F"/>
    <w:rsid w:val="0072560E"/>
    <w:rsid w:val="007257B4"/>
    <w:rsid w:val="00725AD1"/>
    <w:rsid w:val="00725DD0"/>
    <w:rsid w:val="00726292"/>
    <w:rsid w:val="007265E7"/>
    <w:rsid w:val="00726635"/>
    <w:rsid w:val="007269AA"/>
    <w:rsid w:val="00726D56"/>
    <w:rsid w:val="00726F42"/>
    <w:rsid w:val="00727047"/>
    <w:rsid w:val="007271D3"/>
    <w:rsid w:val="007273A9"/>
    <w:rsid w:val="00727EE8"/>
    <w:rsid w:val="00731435"/>
    <w:rsid w:val="00731C3E"/>
    <w:rsid w:val="0073246A"/>
    <w:rsid w:val="0073405A"/>
    <w:rsid w:val="00734615"/>
    <w:rsid w:val="00734B6B"/>
    <w:rsid w:val="00734BB2"/>
    <w:rsid w:val="00734F01"/>
    <w:rsid w:val="00735125"/>
    <w:rsid w:val="007353CE"/>
    <w:rsid w:val="00735E9C"/>
    <w:rsid w:val="0073610A"/>
    <w:rsid w:val="00736338"/>
    <w:rsid w:val="00736407"/>
    <w:rsid w:val="00737F81"/>
    <w:rsid w:val="00737FE9"/>
    <w:rsid w:val="00740485"/>
    <w:rsid w:val="0074074A"/>
    <w:rsid w:val="00741359"/>
    <w:rsid w:val="00742181"/>
    <w:rsid w:val="00742419"/>
    <w:rsid w:val="00742CC0"/>
    <w:rsid w:val="00743EBF"/>
    <w:rsid w:val="0074444C"/>
    <w:rsid w:val="00744D92"/>
    <w:rsid w:val="00745526"/>
    <w:rsid w:val="00745ADD"/>
    <w:rsid w:val="00745CE9"/>
    <w:rsid w:val="00745DD3"/>
    <w:rsid w:val="00745E7C"/>
    <w:rsid w:val="00745FF4"/>
    <w:rsid w:val="0074707C"/>
    <w:rsid w:val="00747351"/>
    <w:rsid w:val="00750C92"/>
    <w:rsid w:val="00750CD5"/>
    <w:rsid w:val="00750DF6"/>
    <w:rsid w:val="00750F76"/>
    <w:rsid w:val="00750FD7"/>
    <w:rsid w:val="007511E1"/>
    <w:rsid w:val="00751647"/>
    <w:rsid w:val="00751741"/>
    <w:rsid w:val="00751AEC"/>
    <w:rsid w:val="00752326"/>
    <w:rsid w:val="0075245A"/>
    <w:rsid w:val="00752E9D"/>
    <w:rsid w:val="007531B4"/>
    <w:rsid w:val="0075333A"/>
    <w:rsid w:val="00753D6E"/>
    <w:rsid w:val="00753F68"/>
    <w:rsid w:val="007541D0"/>
    <w:rsid w:val="007554A7"/>
    <w:rsid w:val="0075577D"/>
    <w:rsid w:val="00755C7F"/>
    <w:rsid w:val="00755F64"/>
    <w:rsid w:val="00756161"/>
    <w:rsid w:val="00756743"/>
    <w:rsid w:val="00756BED"/>
    <w:rsid w:val="00757215"/>
    <w:rsid w:val="00757DEB"/>
    <w:rsid w:val="00760E18"/>
    <w:rsid w:val="00760FEF"/>
    <w:rsid w:val="0076111C"/>
    <w:rsid w:val="007615B3"/>
    <w:rsid w:val="00762881"/>
    <w:rsid w:val="00762D89"/>
    <w:rsid w:val="007633D6"/>
    <w:rsid w:val="00763508"/>
    <w:rsid w:val="007658DB"/>
    <w:rsid w:val="00765B4C"/>
    <w:rsid w:val="00765F4F"/>
    <w:rsid w:val="007666C1"/>
    <w:rsid w:val="0076687D"/>
    <w:rsid w:val="007668D6"/>
    <w:rsid w:val="0076690C"/>
    <w:rsid w:val="007671C9"/>
    <w:rsid w:val="007700DF"/>
    <w:rsid w:val="007710F6"/>
    <w:rsid w:val="00771297"/>
    <w:rsid w:val="00771730"/>
    <w:rsid w:val="00772342"/>
    <w:rsid w:val="00773289"/>
    <w:rsid w:val="00773F37"/>
    <w:rsid w:val="007743BB"/>
    <w:rsid w:val="00774EDC"/>
    <w:rsid w:val="00775116"/>
    <w:rsid w:val="00775E25"/>
    <w:rsid w:val="00776823"/>
    <w:rsid w:val="007771EB"/>
    <w:rsid w:val="0078026E"/>
    <w:rsid w:val="00780392"/>
    <w:rsid w:val="007805D8"/>
    <w:rsid w:val="00780804"/>
    <w:rsid w:val="007816BB"/>
    <w:rsid w:val="007824D3"/>
    <w:rsid w:val="00782747"/>
    <w:rsid w:val="007827BE"/>
    <w:rsid w:val="007837A1"/>
    <w:rsid w:val="0078424E"/>
    <w:rsid w:val="007842A1"/>
    <w:rsid w:val="00784FE0"/>
    <w:rsid w:val="00785715"/>
    <w:rsid w:val="00786323"/>
    <w:rsid w:val="00786FAB"/>
    <w:rsid w:val="0078727D"/>
    <w:rsid w:val="00787773"/>
    <w:rsid w:val="00787866"/>
    <w:rsid w:val="0079149D"/>
    <w:rsid w:val="00791531"/>
    <w:rsid w:val="007919AE"/>
    <w:rsid w:val="007922C5"/>
    <w:rsid w:val="007923EC"/>
    <w:rsid w:val="00792483"/>
    <w:rsid w:val="0079289F"/>
    <w:rsid w:val="00794E86"/>
    <w:rsid w:val="00795990"/>
    <w:rsid w:val="007959A2"/>
    <w:rsid w:val="007959D4"/>
    <w:rsid w:val="007959DC"/>
    <w:rsid w:val="00795FA8"/>
    <w:rsid w:val="00796293"/>
    <w:rsid w:val="00796354"/>
    <w:rsid w:val="00797379"/>
    <w:rsid w:val="007A01CD"/>
    <w:rsid w:val="007A1DB0"/>
    <w:rsid w:val="007A1EE5"/>
    <w:rsid w:val="007A216A"/>
    <w:rsid w:val="007A22F5"/>
    <w:rsid w:val="007A36FD"/>
    <w:rsid w:val="007A3F6B"/>
    <w:rsid w:val="007A41A0"/>
    <w:rsid w:val="007A41F4"/>
    <w:rsid w:val="007A4306"/>
    <w:rsid w:val="007A45CD"/>
    <w:rsid w:val="007A595D"/>
    <w:rsid w:val="007A5966"/>
    <w:rsid w:val="007A5CD8"/>
    <w:rsid w:val="007A625C"/>
    <w:rsid w:val="007A6C97"/>
    <w:rsid w:val="007A7209"/>
    <w:rsid w:val="007A7C05"/>
    <w:rsid w:val="007B0DD3"/>
    <w:rsid w:val="007B0F57"/>
    <w:rsid w:val="007B162B"/>
    <w:rsid w:val="007B1A17"/>
    <w:rsid w:val="007B23AB"/>
    <w:rsid w:val="007B278A"/>
    <w:rsid w:val="007B2C77"/>
    <w:rsid w:val="007B2DE5"/>
    <w:rsid w:val="007B37B3"/>
    <w:rsid w:val="007B398C"/>
    <w:rsid w:val="007B410A"/>
    <w:rsid w:val="007B4990"/>
    <w:rsid w:val="007B4B8F"/>
    <w:rsid w:val="007B547B"/>
    <w:rsid w:val="007B5793"/>
    <w:rsid w:val="007B67BF"/>
    <w:rsid w:val="007B739A"/>
    <w:rsid w:val="007B7586"/>
    <w:rsid w:val="007C016D"/>
    <w:rsid w:val="007C1771"/>
    <w:rsid w:val="007C1BC5"/>
    <w:rsid w:val="007C2209"/>
    <w:rsid w:val="007C2B4C"/>
    <w:rsid w:val="007C2DEF"/>
    <w:rsid w:val="007C2E56"/>
    <w:rsid w:val="007C3D55"/>
    <w:rsid w:val="007C3FCE"/>
    <w:rsid w:val="007C49E3"/>
    <w:rsid w:val="007C4C5B"/>
    <w:rsid w:val="007C5570"/>
    <w:rsid w:val="007C607B"/>
    <w:rsid w:val="007C7E8B"/>
    <w:rsid w:val="007D08D3"/>
    <w:rsid w:val="007D0D04"/>
    <w:rsid w:val="007D0D70"/>
    <w:rsid w:val="007D0F02"/>
    <w:rsid w:val="007D0F4E"/>
    <w:rsid w:val="007D120A"/>
    <w:rsid w:val="007D196D"/>
    <w:rsid w:val="007D24AD"/>
    <w:rsid w:val="007D262D"/>
    <w:rsid w:val="007D469D"/>
    <w:rsid w:val="007D4720"/>
    <w:rsid w:val="007D514F"/>
    <w:rsid w:val="007D59D3"/>
    <w:rsid w:val="007D5A61"/>
    <w:rsid w:val="007D5F7C"/>
    <w:rsid w:val="007D6100"/>
    <w:rsid w:val="007D6E46"/>
    <w:rsid w:val="007D76EF"/>
    <w:rsid w:val="007E032B"/>
    <w:rsid w:val="007E03D0"/>
    <w:rsid w:val="007E091A"/>
    <w:rsid w:val="007E0A11"/>
    <w:rsid w:val="007E13C6"/>
    <w:rsid w:val="007E2C66"/>
    <w:rsid w:val="007E2E4D"/>
    <w:rsid w:val="007E3427"/>
    <w:rsid w:val="007E35B7"/>
    <w:rsid w:val="007E37FB"/>
    <w:rsid w:val="007E3A37"/>
    <w:rsid w:val="007E3A99"/>
    <w:rsid w:val="007E43A2"/>
    <w:rsid w:val="007E47AE"/>
    <w:rsid w:val="007E4D41"/>
    <w:rsid w:val="007E5071"/>
    <w:rsid w:val="007E5645"/>
    <w:rsid w:val="007E64AB"/>
    <w:rsid w:val="007E6838"/>
    <w:rsid w:val="007E7051"/>
    <w:rsid w:val="007F0B4C"/>
    <w:rsid w:val="007F1197"/>
    <w:rsid w:val="007F1330"/>
    <w:rsid w:val="007F2089"/>
    <w:rsid w:val="007F2734"/>
    <w:rsid w:val="007F2AFB"/>
    <w:rsid w:val="007F2BA5"/>
    <w:rsid w:val="007F2E28"/>
    <w:rsid w:val="007F326C"/>
    <w:rsid w:val="007F34DB"/>
    <w:rsid w:val="007F3572"/>
    <w:rsid w:val="007F3B04"/>
    <w:rsid w:val="007F4001"/>
    <w:rsid w:val="007F4032"/>
    <w:rsid w:val="007F40A9"/>
    <w:rsid w:val="007F4364"/>
    <w:rsid w:val="007F5E6D"/>
    <w:rsid w:val="007F601C"/>
    <w:rsid w:val="007F634C"/>
    <w:rsid w:val="007F683C"/>
    <w:rsid w:val="007F6940"/>
    <w:rsid w:val="007F72BA"/>
    <w:rsid w:val="007F7727"/>
    <w:rsid w:val="0080026D"/>
    <w:rsid w:val="0080147B"/>
    <w:rsid w:val="00801550"/>
    <w:rsid w:val="0080188C"/>
    <w:rsid w:val="008018D4"/>
    <w:rsid w:val="0080203D"/>
    <w:rsid w:val="0080236C"/>
    <w:rsid w:val="008037D5"/>
    <w:rsid w:val="00804EDF"/>
    <w:rsid w:val="008053AF"/>
    <w:rsid w:val="0080559B"/>
    <w:rsid w:val="008061B8"/>
    <w:rsid w:val="008062D0"/>
    <w:rsid w:val="008067A2"/>
    <w:rsid w:val="00806BD5"/>
    <w:rsid w:val="00806D0C"/>
    <w:rsid w:val="00806FED"/>
    <w:rsid w:val="0080726B"/>
    <w:rsid w:val="0080752F"/>
    <w:rsid w:val="00807D74"/>
    <w:rsid w:val="00807D79"/>
    <w:rsid w:val="00811955"/>
    <w:rsid w:val="00811B06"/>
    <w:rsid w:val="00811C74"/>
    <w:rsid w:val="00811D30"/>
    <w:rsid w:val="00811D64"/>
    <w:rsid w:val="008131B4"/>
    <w:rsid w:val="008132C9"/>
    <w:rsid w:val="008139A9"/>
    <w:rsid w:val="00814E28"/>
    <w:rsid w:val="0081502E"/>
    <w:rsid w:val="00815153"/>
    <w:rsid w:val="008158BD"/>
    <w:rsid w:val="00816235"/>
    <w:rsid w:val="00816363"/>
    <w:rsid w:val="00816982"/>
    <w:rsid w:val="00817BA4"/>
    <w:rsid w:val="008204B5"/>
    <w:rsid w:val="00820BAF"/>
    <w:rsid w:val="00821F14"/>
    <w:rsid w:val="0082249D"/>
    <w:rsid w:val="00822AC0"/>
    <w:rsid w:val="00823285"/>
    <w:rsid w:val="00823867"/>
    <w:rsid w:val="00823BCA"/>
    <w:rsid w:val="0082432E"/>
    <w:rsid w:val="00824420"/>
    <w:rsid w:val="00824F2A"/>
    <w:rsid w:val="00824F77"/>
    <w:rsid w:val="008253A8"/>
    <w:rsid w:val="008254D6"/>
    <w:rsid w:val="008261F9"/>
    <w:rsid w:val="00826B64"/>
    <w:rsid w:val="0082729C"/>
    <w:rsid w:val="0082768F"/>
    <w:rsid w:val="00827D26"/>
    <w:rsid w:val="00827E69"/>
    <w:rsid w:val="008314FD"/>
    <w:rsid w:val="008318F0"/>
    <w:rsid w:val="00831F01"/>
    <w:rsid w:val="00831FA8"/>
    <w:rsid w:val="008322F0"/>
    <w:rsid w:val="00832E94"/>
    <w:rsid w:val="0083358E"/>
    <w:rsid w:val="00833777"/>
    <w:rsid w:val="0083554E"/>
    <w:rsid w:val="008360A8"/>
    <w:rsid w:val="00837020"/>
    <w:rsid w:val="0083786C"/>
    <w:rsid w:val="00841AA8"/>
    <w:rsid w:val="00842CD6"/>
    <w:rsid w:val="00842FFC"/>
    <w:rsid w:val="0084439E"/>
    <w:rsid w:val="00845B58"/>
    <w:rsid w:val="008464FC"/>
    <w:rsid w:val="00847219"/>
    <w:rsid w:val="00847478"/>
    <w:rsid w:val="00847680"/>
    <w:rsid w:val="00847C93"/>
    <w:rsid w:val="00847E33"/>
    <w:rsid w:val="008501A4"/>
    <w:rsid w:val="008502D3"/>
    <w:rsid w:val="00850D3D"/>
    <w:rsid w:val="0085192D"/>
    <w:rsid w:val="00851C92"/>
    <w:rsid w:val="00851DA5"/>
    <w:rsid w:val="0085263D"/>
    <w:rsid w:val="00852D55"/>
    <w:rsid w:val="00853176"/>
    <w:rsid w:val="008534E2"/>
    <w:rsid w:val="00853F5D"/>
    <w:rsid w:val="0085406D"/>
    <w:rsid w:val="0085406E"/>
    <w:rsid w:val="0085450C"/>
    <w:rsid w:val="00854585"/>
    <w:rsid w:val="008545C6"/>
    <w:rsid w:val="00854C25"/>
    <w:rsid w:val="008557F1"/>
    <w:rsid w:val="00855DA2"/>
    <w:rsid w:val="008560CE"/>
    <w:rsid w:val="008564DA"/>
    <w:rsid w:val="00857B4D"/>
    <w:rsid w:val="008606CC"/>
    <w:rsid w:val="008618CA"/>
    <w:rsid w:val="008623CA"/>
    <w:rsid w:val="008623FE"/>
    <w:rsid w:val="00862FFA"/>
    <w:rsid w:val="00863AAB"/>
    <w:rsid w:val="00863BA0"/>
    <w:rsid w:val="00863FE2"/>
    <w:rsid w:val="00864461"/>
    <w:rsid w:val="00864859"/>
    <w:rsid w:val="00864879"/>
    <w:rsid w:val="00864E19"/>
    <w:rsid w:val="00864F0F"/>
    <w:rsid w:val="00865100"/>
    <w:rsid w:val="00865445"/>
    <w:rsid w:val="00865483"/>
    <w:rsid w:val="008657AF"/>
    <w:rsid w:val="0086594F"/>
    <w:rsid w:val="0086599F"/>
    <w:rsid w:val="00865B87"/>
    <w:rsid w:val="00866E49"/>
    <w:rsid w:val="00867217"/>
    <w:rsid w:val="00867B0F"/>
    <w:rsid w:val="00867FCB"/>
    <w:rsid w:val="00870847"/>
    <w:rsid w:val="00870F42"/>
    <w:rsid w:val="00871817"/>
    <w:rsid w:val="00872018"/>
    <w:rsid w:val="00872463"/>
    <w:rsid w:val="00873031"/>
    <w:rsid w:val="00873950"/>
    <w:rsid w:val="00873EA9"/>
    <w:rsid w:val="0087457D"/>
    <w:rsid w:val="00874ABA"/>
    <w:rsid w:val="00874B03"/>
    <w:rsid w:val="00874D9C"/>
    <w:rsid w:val="00874FBB"/>
    <w:rsid w:val="008759F9"/>
    <w:rsid w:val="00876EFD"/>
    <w:rsid w:val="00877050"/>
    <w:rsid w:val="00877E1B"/>
    <w:rsid w:val="00880FF0"/>
    <w:rsid w:val="008810CD"/>
    <w:rsid w:val="008813D4"/>
    <w:rsid w:val="0088172E"/>
    <w:rsid w:val="00881D55"/>
    <w:rsid w:val="0088276A"/>
    <w:rsid w:val="00882F23"/>
    <w:rsid w:val="0088305E"/>
    <w:rsid w:val="00883797"/>
    <w:rsid w:val="008848D9"/>
    <w:rsid w:val="00884BDF"/>
    <w:rsid w:val="00885147"/>
    <w:rsid w:val="008862A5"/>
    <w:rsid w:val="00886685"/>
    <w:rsid w:val="0088702C"/>
    <w:rsid w:val="008872BC"/>
    <w:rsid w:val="0088742C"/>
    <w:rsid w:val="00887C39"/>
    <w:rsid w:val="0089015A"/>
    <w:rsid w:val="008905BE"/>
    <w:rsid w:val="008906F4"/>
    <w:rsid w:val="00891488"/>
    <w:rsid w:val="00891DFD"/>
    <w:rsid w:val="00892105"/>
    <w:rsid w:val="00892E7C"/>
    <w:rsid w:val="008937D7"/>
    <w:rsid w:val="00893D3B"/>
    <w:rsid w:val="008944EF"/>
    <w:rsid w:val="00894508"/>
    <w:rsid w:val="008959A0"/>
    <w:rsid w:val="00896129"/>
    <w:rsid w:val="00896461"/>
    <w:rsid w:val="00896F7F"/>
    <w:rsid w:val="00897686"/>
    <w:rsid w:val="008A0434"/>
    <w:rsid w:val="008A0B92"/>
    <w:rsid w:val="008A18C5"/>
    <w:rsid w:val="008A1D86"/>
    <w:rsid w:val="008A2C35"/>
    <w:rsid w:val="008A3181"/>
    <w:rsid w:val="008A3D2D"/>
    <w:rsid w:val="008A419C"/>
    <w:rsid w:val="008A4359"/>
    <w:rsid w:val="008A4774"/>
    <w:rsid w:val="008A4D52"/>
    <w:rsid w:val="008A6E84"/>
    <w:rsid w:val="008A6F9C"/>
    <w:rsid w:val="008A75FD"/>
    <w:rsid w:val="008A76ED"/>
    <w:rsid w:val="008A79ED"/>
    <w:rsid w:val="008A7AE3"/>
    <w:rsid w:val="008B0319"/>
    <w:rsid w:val="008B0638"/>
    <w:rsid w:val="008B083D"/>
    <w:rsid w:val="008B1616"/>
    <w:rsid w:val="008B1629"/>
    <w:rsid w:val="008B169D"/>
    <w:rsid w:val="008B16CA"/>
    <w:rsid w:val="008B1FB8"/>
    <w:rsid w:val="008B240D"/>
    <w:rsid w:val="008B2A00"/>
    <w:rsid w:val="008B2CC7"/>
    <w:rsid w:val="008B2E2F"/>
    <w:rsid w:val="008B3E8D"/>
    <w:rsid w:val="008B3F05"/>
    <w:rsid w:val="008B42CA"/>
    <w:rsid w:val="008B4A47"/>
    <w:rsid w:val="008B4A74"/>
    <w:rsid w:val="008B5E61"/>
    <w:rsid w:val="008B648B"/>
    <w:rsid w:val="008B678B"/>
    <w:rsid w:val="008B6F20"/>
    <w:rsid w:val="008B745F"/>
    <w:rsid w:val="008B74D9"/>
    <w:rsid w:val="008B7526"/>
    <w:rsid w:val="008B7F3E"/>
    <w:rsid w:val="008C00CC"/>
    <w:rsid w:val="008C01C6"/>
    <w:rsid w:val="008C0E21"/>
    <w:rsid w:val="008C0FF0"/>
    <w:rsid w:val="008C1315"/>
    <w:rsid w:val="008C1FC7"/>
    <w:rsid w:val="008C21A7"/>
    <w:rsid w:val="008C3080"/>
    <w:rsid w:val="008C324A"/>
    <w:rsid w:val="008C3927"/>
    <w:rsid w:val="008C3AE5"/>
    <w:rsid w:val="008C3D91"/>
    <w:rsid w:val="008C3E08"/>
    <w:rsid w:val="008C43A9"/>
    <w:rsid w:val="008C4508"/>
    <w:rsid w:val="008C4565"/>
    <w:rsid w:val="008C507F"/>
    <w:rsid w:val="008C53DD"/>
    <w:rsid w:val="008C69B6"/>
    <w:rsid w:val="008C6A5E"/>
    <w:rsid w:val="008C6F83"/>
    <w:rsid w:val="008C778A"/>
    <w:rsid w:val="008C7A34"/>
    <w:rsid w:val="008C7A6F"/>
    <w:rsid w:val="008D0283"/>
    <w:rsid w:val="008D0A97"/>
    <w:rsid w:val="008D11F9"/>
    <w:rsid w:val="008D13C0"/>
    <w:rsid w:val="008D1636"/>
    <w:rsid w:val="008D24D1"/>
    <w:rsid w:val="008D2E3A"/>
    <w:rsid w:val="008D34AD"/>
    <w:rsid w:val="008D35E4"/>
    <w:rsid w:val="008D3710"/>
    <w:rsid w:val="008D397C"/>
    <w:rsid w:val="008D3A5F"/>
    <w:rsid w:val="008D4A62"/>
    <w:rsid w:val="008D4F9B"/>
    <w:rsid w:val="008D5BA8"/>
    <w:rsid w:val="008D5E12"/>
    <w:rsid w:val="008D5E56"/>
    <w:rsid w:val="008D5EF4"/>
    <w:rsid w:val="008D5F08"/>
    <w:rsid w:val="008D6DB9"/>
    <w:rsid w:val="008D703E"/>
    <w:rsid w:val="008D74DF"/>
    <w:rsid w:val="008D75F7"/>
    <w:rsid w:val="008D77C8"/>
    <w:rsid w:val="008D7959"/>
    <w:rsid w:val="008D7C47"/>
    <w:rsid w:val="008D7D9E"/>
    <w:rsid w:val="008E017B"/>
    <w:rsid w:val="008E01AB"/>
    <w:rsid w:val="008E0437"/>
    <w:rsid w:val="008E04ED"/>
    <w:rsid w:val="008E071F"/>
    <w:rsid w:val="008E19DE"/>
    <w:rsid w:val="008E1CD5"/>
    <w:rsid w:val="008E267C"/>
    <w:rsid w:val="008E2AEF"/>
    <w:rsid w:val="008E2BE8"/>
    <w:rsid w:val="008E30AB"/>
    <w:rsid w:val="008E3721"/>
    <w:rsid w:val="008E3843"/>
    <w:rsid w:val="008E3EB1"/>
    <w:rsid w:val="008E5154"/>
    <w:rsid w:val="008E5939"/>
    <w:rsid w:val="008E606F"/>
    <w:rsid w:val="008E66C8"/>
    <w:rsid w:val="008E76E7"/>
    <w:rsid w:val="008E7855"/>
    <w:rsid w:val="008E7C70"/>
    <w:rsid w:val="008F0248"/>
    <w:rsid w:val="008F02B5"/>
    <w:rsid w:val="008F05F4"/>
    <w:rsid w:val="008F0D2E"/>
    <w:rsid w:val="008F0DEF"/>
    <w:rsid w:val="008F0EF3"/>
    <w:rsid w:val="008F0EF4"/>
    <w:rsid w:val="008F11FE"/>
    <w:rsid w:val="008F21D1"/>
    <w:rsid w:val="008F2456"/>
    <w:rsid w:val="008F2631"/>
    <w:rsid w:val="008F3DDF"/>
    <w:rsid w:val="008F4676"/>
    <w:rsid w:val="008F4A25"/>
    <w:rsid w:val="008F4C47"/>
    <w:rsid w:val="008F4EC6"/>
    <w:rsid w:val="008F503F"/>
    <w:rsid w:val="008F57BE"/>
    <w:rsid w:val="008F6433"/>
    <w:rsid w:val="008F6810"/>
    <w:rsid w:val="008F6966"/>
    <w:rsid w:val="008F6B6E"/>
    <w:rsid w:val="008F6BDB"/>
    <w:rsid w:val="008F766D"/>
    <w:rsid w:val="008F7702"/>
    <w:rsid w:val="008F7D33"/>
    <w:rsid w:val="009000F2"/>
    <w:rsid w:val="0090052B"/>
    <w:rsid w:val="0090085E"/>
    <w:rsid w:val="00901DFB"/>
    <w:rsid w:val="00901F4C"/>
    <w:rsid w:val="00902543"/>
    <w:rsid w:val="009028D8"/>
    <w:rsid w:val="00902E4D"/>
    <w:rsid w:val="009030F0"/>
    <w:rsid w:val="00903A0D"/>
    <w:rsid w:val="00903B6A"/>
    <w:rsid w:val="00904096"/>
    <w:rsid w:val="009044C8"/>
    <w:rsid w:val="009059A0"/>
    <w:rsid w:val="00905D4C"/>
    <w:rsid w:val="00905F78"/>
    <w:rsid w:val="009060DD"/>
    <w:rsid w:val="0090658A"/>
    <w:rsid w:val="00906757"/>
    <w:rsid w:val="00906B5C"/>
    <w:rsid w:val="00906BF0"/>
    <w:rsid w:val="009074C6"/>
    <w:rsid w:val="009079D4"/>
    <w:rsid w:val="00910597"/>
    <w:rsid w:val="0091163F"/>
    <w:rsid w:val="0091231B"/>
    <w:rsid w:val="009126A3"/>
    <w:rsid w:val="0091285B"/>
    <w:rsid w:val="00912B0F"/>
    <w:rsid w:val="009130F5"/>
    <w:rsid w:val="00913124"/>
    <w:rsid w:val="00913ECD"/>
    <w:rsid w:val="009145AA"/>
    <w:rsid w:val="00914DC5"/>
    <w:rsid w:val="00915A5C"/>
    <w:rsid w:val="00915BB6"/>
    <w:rsid w:val="00915E1E"/>
    <w:rsid w:val="009161BE"/>
    <w:rsid w:val="00916C39"/>
    <w:rsid w:val="009173DC"/>
    <w:rsid w:val="00917564"/>
    <w:rsid w:val="00917C15"/>
    <w:rsid w:val="00917ED4"/>
    <w:rsid w:val="0092027B"/>
    <w:rsid w:val="00920C7B"/>
    <w:rsid w:val="00920EEA"/>
    <w:rsid w:val="009214CA"/>
    <w:rsid w:val="009229D2"/>
    <w:rsid w:val="00922B7D"/>
    <w:rsid w:val="00922DEC"/>
    <w:rsid w:val="0092356B"/>
    <w:rsid w:val="0092558C"/>
    <w:rsid w:val="00925E2C"/>
    <w:rsid w:val="00926371"/>
    <w:rsid w:val="00926B86"/>
    <w:rsid w:val="00926BDA"/>
    <w:rsid w:val="00926D64"/>
    <w:rsid w:val="00926F4D"/>
    <w:rsid w:val="009277F4"/>
    <w:rsid w:val="00927911"/>
    <w:rsid w:val="00930678"/>
    <w:rsid w:val="00930736"/>
    <w:rsid w:val="009309FA"/>
    <w:rsid w:val="00931F0C"/>
    <w:rsid w:val="009321FF"/>
    <w:rsid w:val="0093233E"/>
    <w:rsid w:val="00932608"/>
    <w:rsid w:val="00932CD7"/>
    <w:rsid w:val="009331E0"/>
    <w:rsid w:val="009348EE"/>
    <w:rsid w:val="00934CD3"/>
    <w:rsid w:val="00934DF7"/>
    <w:rsid w:val="0093622D"/>
    <w:rsid w:val="00936726"/>
    <w:rsid w:val="00936D32"/>
    <w:rsid w:val="00937458"/>
    <w:rsid w:val="00937751"/>
    <w:rsid w:val="00937C29"/>
    <w:rsid w:val="00937FC4"/>
    <w:rsid w:val="0094097E"/>
    <w:rsid w:val="00941206"/>
    <w:rsid w:val="00941B0F"/>
    <w:rsid w:val="00942895"/>
    <w:rsid w:val="00942EBA"/>
    <w:rsid w:val="009438A6"/>
    <w:rsid w:val="0094390B"/>
    <w:rsid w:val="00944947"/>
    <w:rsid w:val="00944F5D"/>
    <w:rsid w:val="009453A1"/>
    <w:rsid w:val="00945770"/>
    <w:rsid w:val="009459F0"/>
    <w:rsid w:val="00946289"/>
    <w:rsid w:val="009464D9"/>
    <w:rsid w:val="00946F8E"/>
    <w:rsid w:val="00950F85"/>
    <w:rsid w:val="00951B4E"/>
    <w:rsid w:val="00951C35"/>
    <w:rsid w:val="00952139"/>
    <w:rsid w:val="00952661"/>
    <w:rsid w:val="00953621"/>
    <w:rsid w:val="00954029"/>
    <w:rsid w:val="00954F0B"/>
    <w:rsid w:val="00955402"/>
    <w:rsid w:val="00956B46"/>
    <w:rsid w:val="0095713E"/>
    <w:rsid w:val="009574AC"/>
    <w:rsid w:val="00957C7B"/>
    <w:rsid w:val="009605A1"/>
    <w:rsid w:val="00960B12"/>
    <w:rsid w:val="00960CD7"/>
    <w:rsid w:val="0096132A"/>
    <w:rsid w:val="009616FB"/>
    <w:rsid w:val="00961891"/>
    <w:rsid w:val="009618B3"/>
    <w:rsid w:val="00961A65"/>
    <w:rsid w:val="00961DC0"/>
    <w:rsid w:val="00961E04"/>
    <w:rsid w:val="00963346"/>
    <w:rsid w:val="00963A11"/>
    <w:rsid w:val="00963E57"/>
    <w:rsid w:val="00964239"/>
    <w:rsid w:val="009644A7"/>
    <w:rsid w:val="00964B81"/>
    <w:rsid w:val="00964BBB"/>
    <w:rsid w:val="00964EB5"/>
    <w:rsid w:val="00965895"/>
    <w:rsid w:val="00965F1F"/>
    <w:rsid w:val="0096788C"/>
    <w:rsid w:val="00967FE2"/>
    <w:rsid w:val="0097031C"/>
    <w:rsid w:val="009705E3"/>
    <w:rsid w:val="0097073C"/>
    <w:rsid w:val="00970786"/>
    <w:rsid w:val="00970BC8"/>
    <w:rsid w:val="00971AE8"/>
    <w:rsid w:val="00971D99"/>
    <w:rsid w:val="009734E2"/>
    <w:rsid w:val="00973CDA"/>
    <w:rsid w:val="00973E65"/>
    <w:rsid w:val="00973EA7"/>
    <w:rsid w:val="00974614"/>
    <w:rsid w:val="00975EE3"/>
    <w:rsid w:val="009762F8"/>
    <w:rsid w:val="009764EF"/>
    <w:rsid w:val="00976AB2"/>
    <w:rsid w:val="00976FF1"/>
    <w:rsid w:val="0098036D"/>
    <w:rsid w:val="009814D5"/>
    <w:rsid w:val="0098205D"/>
    <w:rsid w:val="009824C4"/>
    <w:rsid w:val="0098308E"/>
    <w:rsid w:val="00983215"/>
    <w:rsid w:val="00983814"/>
    <w:rsid w:val="00983C6C"/>
    <w:rsid w:val="009840FB"/>
    <w:rsid w:val="00984D22"/>
    <w:rsid w:val="00984E78"/>
    <w:rsid w:val="00984F3B"/>
    <w:rsid w:val="00985163"/>
    <w:rsid w:val="0098558D"/>
    <w:rsid w:val="0098564A"/>
    <w:rsid w:val="00985780"/>
    <w:rsid w:val="00985EF6"/>
    <w:rsid w:val="00986056"/>
    <w:rsid w:val="00986541"/>
    <w:rsid w:val="00986965"/>
    <w:rsid w:val="00986AD5"/>
    <w:rsid w:val="009878D7"/>
    <w:rsid w:val="00987D88"/>
    <w:rsid w:val="0099197A"/>
    <w:rsid w:val="00991A30"/>
    <w:rsid w:val="00991D4B"/>
    <w:rsid w:val="0099292A"/>
    <w:rsid w:val="009929B5"/>
    <w:rsid w:val="00992A12"/>
    <w:rsid w:val="009939E2"/>
    <w:rsid w:val="009942DB"/>
    <w:rsid w:val="0099432C"/>
    <w:rsid w:val="00994410"/>
    <w:rsid w:val="009947AE"/>
    <w:rsid w:val="0099510E"/>
    <w:rsid w:val="009953A2"/>
    <w:rsid w:val="00997509"/>
    <w:rsid w:val="00997806"/>
    <w:rsid w:val="00997D5E"/>
    <w:rsid w:val="009A082B"/>
    <w:rsid w:val="009A0EC2"/>
    <w:rsid w:val="009A1055"/>
    <w:rsid w:val="009A1A2B"/>
    <w:rsid w:val="009A24F5"/>
    <w:rsid w:val="009A37A1"/>
    <w:rsid w:val="009A3A0C"/>
    <w:rsid w:val="009A40F3"/>
    <w:rsid w:val="009A465C"/>
    <w:rsid w:val="009A468A"/>
    <w:rsid w:val="009A649C"/>
    <w:rsid w:val="009A6BA6"/>
    <w:rsid w:val="009A701E"/>
    <w:rsid w:val="009A7149"/>
    <w:rsid w:val="009A72B5"/>
    <w:rsid w:val="009A74D7"/>
    <w:rsid w:val="009A757B"/>
    <w:rsid w:val="009A7CAA"/>
    <w:rsid w:val="009B1650"/>
    <w:rsid w:val="009B1FEE"/>
    <w:rsid w:val="009B21CD"/>
    <w:rsid w:val="009B229C"/>
    <w:rsid w:val="009B2A34"/>
    <w:rsid w:val="009B2DFE"/>
    <w:rsid w:val="009B3925"/>
    <w:rsid w:val="009B3C19"/>
    <w:rsid w:val="009B3E59"/>
    <w:rsid w:val="009B3FC5"/>
    <w:rsid w:val="009B4B8A"/>
    <w:rsid w:val="009B4BE0"/>
    <w:rsid w:val="009B4F58"/>
    <w:rsid w:val="009B527C"/>
    <w:rsid w:val="009B6346"/>
    <w:rsid w:val="009B728C"/>
    <w:rsid w:val="009C025A"/>
    <w:rsid w:val="009C0AE8"/>
    <w:rsid w:val="009C0D93"/>
    <w:rsid w:val="009C11B1"/>
    <w:rsid w:val="009C1329"/>
    <w:rsid w:val="009C14B1"/>
    <w:rsid w:val="009C1677"/>
    <w:rsid w:val="009C1EAC"/>
    <w:rsid w:val="009C1F34"/>
    <w:rsid w:val="009C241E"/>
    <w:rsid w:val="009C268D"/>
    <w:rsid w:val="009C46B7"/>
    <w:rsid w:val="009C4B94"/>
    <w:rsid w:val="009C4EFF"/>
    <w:rsid w:val="009C50C5"/>
    <w:rsid w:val="009C56DE"/>
    <w:rsid w:val="009C6E03"/>
    <w:rsid w:val="009C704C"/>
    <w:rsid w:val="009C717F"/>
    <w:rsid w:val="009C7D1E"/>
    <w:rsid w:val="009D03B1"/>
    <w:rsid w:val="009D1187"/>
    <w:rsid w:val="009D118B"/>
    <w:rsid w:val="009D1386"/>
    <w:rsid w:val="009D20B8"/>
    <w:rsid w:val="009D227E"/>
    <w:rsid w:val="009D3528"/>
    <w:rsid w:val="009D3B0E"/>
    <w:rsid w:val="009D4121"/>
    <w:rsid w:val="009D44B7"/>
    <w:rsid w:val="009D486D"/>
    <w:rsid w:val="009D54C3"/>
    <w:rsid w:val="009D5762"/>
    <w:rsid w:val="009D5809"/>
    <w:rsid w:val="009D59DB"/>
    <w:rsid w:val="009D5B67"/>
    <w:rsid w:val="009D5DD7"/>
    <w:rsid w:val="009D6517"/>
    <w:rsid w:val="009D6587"/>
    <w:rsid w:val="009D6AF3"/>
    <w:rsid w:val="009D74C2"/>
    <w:rsid w:val="009D75B3"/>
    <w:rsid w:val="009D7CE1"/>
    <w:rsid w:val="009E0666"/>
    <w:rsid w:val="009E0EE4"/>
    <w:rsid w:val="009E1649"/>
    <w:rsid w:val="009E1796"/>
    <w:rsid w:val="009E2095"/>
    <w:rsid w:val="009E2CEF"/>
    <w:rsid w:val="009E30C3"/>
    <w:rsid w:val="009E316B"/>
    <w:rsid w:val="009E397A"/>
    <w:rsid w:val="009E3BDA"/>
    <w:rsid w:val="009E3C5C"/>
    <w:rsid w:val="009E3F57"/>
    <w:rsid w:val="009E4642"/>
    <w:rsid w:val="009E56AD"/>
    <w:rsid w:val="009E5887"/>
    <w:rsid w:val="009E6B5D"/>
    <w:rsid w:val="009E7D30"/>
    <w:rsid w:val="009F01E5"/>
    <w:rsid w:val="009F04CA"/>
    <w:rsid w:val="009F04E8"/>
    <w:rsid w:val="009F2128"/>
    <w:rsid w:val="009F2586"/>
    <w:rsid w:val="009F2B88"/>
    <w:rsid w:val="009F338D"/>
    <w:rsid w:val="009F33FB"/>
    <w:rsid w:val="009F364B"/>
    <w:rsid w:val="009F39EB"/>
    <w:rsid w:val="009F41EF"/>
    <w:rsid w:val="009F4CD6"/>
    <w:rsid w:val="009F50C2"/>
    <w:rsid w:val="009F5466"/>
    <w:rsid w:val="009F5491"/>
    <w:rsid w:val="009F5C34"/>
    <w:rsid w:val="009F5F66"/>
    <w:rsid w:val="009F63A7"/>
    <w:rsid w:val="009F6468"/>
    <w:rsid w:val="009F6B1D"/>
    <w:rsid w:val="009F7070"/>
    <w:rsid w:val="009F7092"/>
    <w:rsid w:val="009F7404"/>
    <w:rsid w:val="009F79E9"/>
    <w:rsid w:val="009F7C5F"/>
    <w:rsid w:val="009FCC30"/>
    <w:rsid w:val="00A0016F"/>
    <w:rsid w:val="00A01CD9"/>
    <w:rsid w:val="00A01D32"/>
    <w:rsid w:val="00A02464"/>
    <w:rsid w:val="00A03222"/>
    <w:rsid w:val="00A033F6"/>
    <w:rsid w:val="00A03476"/>
    <w:rsid w:val="00A03645"/>
    <w:rsid w:val="00A04C08"/>
    <w:rsid w:val="00A04D91"/>
    <w:rsid w:val="00A0506E"/>
    <w:rsid w:val="00A05668"/>
    <w:rsid w:val="00A05734"/>
    <w:rsid w:val="00A0625C"/>
    <w:rsid w:val="00A06376"/>
    <w:rsid w:val="00A0688A"/>
    <w:rsid w:val="00A06B03"/>
    <w:rsid w:val="00A06B13"/>
    <w:rsid w:val="00A06BEF"/>
    <w:rsid w:val="00A06BF1"/>
    <w:rsid w:val="00A100A0"/>
    <w:rsid w:val="00A106CD"/>
    <w:rsid w:val="00A107F4"/>
    <w:rsid w:val="00A12605"/>
    <w:rsid w:val="00A12C8A"/>
    <w:rsid w:val="00A1359A"/>
    <w:rsid w:val="00A13945"/>
    <w:rsid w:val="00A142C7"/>
    <w:rsid w:val="00A14447"/>
    <w:rsid w:val="00A146C1"/>
    <w:rsid w:val="00A15265"/>
    <w:rsid w:val="00A15EA7"/>
    <w:rsid w:val="00A1625C"/>
    <w:rsid w:val="00A16708"/>
    <w:rsid w:val="00A16AF4"/>
    <w:rsid w:val="00A16BA5"/>
    <w:rsid w:val="00A172BA"/>
    <w:rsid w:val="00A173E5"/>
    <w:rsid w:val="00A206BC"/>
    <w:rsid w:val="00A20B29"/>
    <w:rsid w:val="00A212D2"/>
    <w:rsid w:val="00A2161E"/>
    <w:rsid w:val="00A218BE"/>
    <w:rsid w:val="00A2285B"/>
    <w:rsid w:val="00A228F6"/>
    <w:rsid w:val="00A229CF"/>
    <w:rsid w:val="00A22D84"/>
    <w:rsid w:val="00A2343D"/>
    <w:rsid w:val="00A238DC"/>
    <w:rsid w:val="00A23CC9"/>
    <w:rsid w:val="00A247A4"/>
    <w:rsid w:val="00A24A95"/>
    <w:rsid w:val="00A24B7E"/>
    <w:rsid w:val="00A24E42"/>
    <w:rsid w:val="00A25AAF"/>
    <w:rsid w:val="00A2602E"/>
    <w:rsid w:val="00A27182"/>
    <w:rsid w:val="00A272A0"/>
    <w:rsid w:val="00A272CE"/>
    <w:rsid w:val="00A27787"/>
    <w:rsid w:val="00A27798"/>
    <w:rsid w:val="00A27C97"/>
    <w:rsid w:val="00A27FD0"/>
    <w:rsid w:val="00A30A01"/>
    <w:rsid w:val="00A30E1D"/>
    <w:rsid w:val="00A3147A"/>
    <w:rsid w:val="00A32D1B"/>
    <w:rsid w:val="00A337D4"/>
    <w:rsid w:val="00A33BD3"/>
    <w:rsid w:val="00A344C3"/>
    <w:rsid w:val="00A35D5C"/>
    <w:rsid w:val="00A35D72"/>
    <w:rsid w:val="00A3616E"/>
    <w:rsid w:val="00A36A55"/>
    <w:rsid w:val="00A37FD1"/>
    <w:rsid w:val="00A405D8"/>
    <w:rsid w:val="00A41E7C"/>
    <w:rsid w:val="00A42C4C"/>
    <w:rsid w:val="00A42D66"/>
    <w:rsid w:val="00A434B6"/>
    <w:rsid w:val="00A438E3"/>
    <w:rsid w:val="00A43E48"/>
    <w:rsid w:val="00A43EFD"/>
    <w:rsid w:val="00A44084"/>
    <w:rsid w:val="00A441F6"/>
    <w:rsid w:val="00A44579"/>
    <w:rsid w:val="00A450AF"/>
    <w:rsid w:val="00A455AC"/>
    <w:rsid w:val="00A46878"/>
    <w:rsid w:val="00A46C7B"/>
    <w:rsid w:val="00A46D0D"/>
    <w:rsid w:val="00A472DE"/>
    <w:rsid w:val="00A473AF"/>
    <w:rsid w:val="00A474E1"/>
    <w:rsid w:val="00A47BA9"/>
    <w:rsid w:val="00A47C35"/>
    <w:rsid w:val="00A50352"/>
    <w:rsid w:val="00A503C9"/>
    <w:rsid w:val="00A5045C"/>
    <w:rsid w:val="00A5081B"/>
    <w:rsid w:val="00A5287A"/>
    <w:rsid w:val="00A528E8"/>
    <w:rsid w:val="00A52969"/>
    <w:rsid w:val="00A52AE0"/>
    <w:rsid w:val="00A52AEC"/>
    <w:rsid w:val="00A541D7"/>
    <w:rsid w:val="00A54272"/>
    <w:rsid w:val="00A5467A"/>
    <w:rsid w:val="00A567B5"/>
    <w:rsid w:val="00A5680D"/>
    <w:rsid w:val="00A56D8F"/>
    <w:rsid w:val="00A56F50"/>
    <w:rsid w:val="00A57A2B"/>
    <w:rsid w:val="00A57C30"/>
    <w:rsid w:val="00A57E8D"/>
    <w:rsid w:val="00A61056"/>
    <w:rsid w:val="00A6126C"/>
    <w:rsid w:val="00A61476"/>
    <w:rsid w:val="00A6217A"/>
    <w:rsid w:val="00A62185"/>
    <w:rsid w:val="00A621C2"/>
    <w:rsid w:val="00A62363"/>
    <w:rsid w:val="00A62526"/>
    <w:rsid w:val="00A62818"/>
    <w:rsid w:val="00A62F4F"/>
    <w:rsid w:val="00A639D7"/>
    <w:rsid w:val="00A63EBA"/>
    <w:rsid w:val="00A64553"/>
    <w:rsid w:val="00A645C2"/>
    <w:rsid w:val="00A64F29"/>
    <w:rsid w:val="00A65E5C"/>
    <w:rsid w:val="00A666B9"/>
    <w:rsid w:val="00A666E7"/>
    <w:rsid w:val="00A66797"/>
    <w:rsid w:val="00A66C41"/>
    <w:rsid w:val="00A66DB9"/>
    <w:rsid w:val="00A66E4A"/>
    <w:rsid w:val="00A679E8"/>
    <w:rsid w:val="00A70604"/>
    <w:rsid w:val="00A70FE7"/>
    <w:rsid w:val="00A711A6"/>
    <w:rsid w:val="00A716CB"/>
    <w:rsid w:val="00A725A9"/>
    <w:rsid w:val="00A727E1"/>
    <w:rsid w:val="00A73774"/>
    <w:rsid w:val="00A7396E"/>
    <w:rsid w:val="00A73CF1"/>
    <w:rsid w:val="00A741CB"/>
    <w:rsid w:val="00A74235"/>
    <w:rsid w:val="00A74313"/>
    <w:rsid w:val="00A75162"/>
    <w:rsid w:val="00A7584F"/>
    <w:rsid w:val="00A75AAD"/>
    <w:rsid w:val="00A762C8"/>
    <w:rsid w:val="00A7665A"/>
    <w:rsid w:val="00A768F1"/>
    <w:rsid w:val="00A76969"/>
    <w:rsid w:val="00A76DF7"/>
    <w:rsid w:val="00A77157"/>
    <w:rsid w:val="00A77D37"/>
    <w:rsid w:val="00A77FCD"/>
    <w:rsid w:val="00A81537"/>
    <w:rsid w:val="00A815C2"/>
    <w:rsid w:val="00A8171A"/>
    <w:rsid w:val="00A82579"/>
    <w:rsid w:val="00A8279A"/>
    <w:rsid w:val="00A8346B"/>
    <w:rsid w:val="00A83770"/>
    <w:rsid w:val="00A840DA"/>
    <w:rsid w:val="00A84856"/>
    <w:rsid w:val="00A8491D"/>
    <w:rsid w:val="00A855EE"/>
    <w:rsid w:val="00A85A9B"/>
    <w:rsid w:val="00A87720"/>
    <w:rsid w:val="00A87B75"/>
    <w:rsid w:val="00A87ED0"/>
    <w:rsid w:val="00A900E4"/>
    <w:rsid w:val="00A90103"/>
    <w:rsid w:val="00A901BE"/>
    <w:rsid w:val="00A90EA3"/>
    <w:rsid w:val="00A91309"/>
    <w:rsid w:val="00A91561"/>
    <w:rsid w:val="00A91FFC"/>
    <w:rsid w:val="00A92BD7"/>
    <w:rsid w:val="00A948F2"/>
    <w:rsid w:val="00A95357"/>
    <w:rsid w:val="00A959D0"/>
    <w:rsid w:val="00A95C7F"/>
    <w:rsid w:val="00A95D19"/>
    <w:rsid w:val="00A9650E"/>
    <w:rsid w:val="00A969F0"/>
    <w:rsid w:val="00A96AEE"/>
    <w:rsid w:val="00AA1154"/>
    <w:rsid w:val="00AA1468"/>
    <w:rsid w:val="00AA155E"/>
    <w:rsid w:val="00AA24A2"/>
    <w:rsid w:val="00AA3015"/>
    <w:rsid w:val="00AA3359"/>
    <w:rsid w:val="00AA3478"/>
    <w:rsid w:val="00AA3501"/>
    <w:rsid w:val="00AA3512"/>
    <w:rsid w:val="00AA356C"/>
    <w:rsid w:val="00AA515C"/>
    <w:rsid w:val="00AA54A3"/>
    <w:rsid w:val="00AA54EC"/>
    <w:rsid w:val="00AA64F8"/>
    <w:rsid w:val="00AA780E"/>
    <w:rsid w:val="00AA7968"/>
    <w:rsid w:val="00AB01E2"/>
    <w:rsid w:val="00AB08F4"/>
    <w:rsid w:val="00AB1315"/>
    <w:rsid w:val="00AB1332"/>
    <w:rsid w:val="00AB140A"/>
    <w:rsid w:val="00AB1672"/>
    <w:rsid w:val="00AB2707"/>
    <w:rsid w:val="00AB2C98"/>
    <w:rsid w:val="00AB332D"/>
    <w:rsid w:val="00AB3548"/>
    <w:rsid w:val="00AB3781"/>
    <w:rsid w:val="00AB3AED"/>
    <w:rsid w:val="00AB3D6A"/>
    <w:rsid w:val="00AB4A86"/>
    <w:rsid w:val="00AB4D4B"/>
    <w:rsid w:val="00AB50D1"/>
    <w:rsid w:val="00AB5440"/>
    <w:rsid w:val="00AB5B48"/>
    <w:rsid w:val="00AB6397"/>
    <w:rsid w:val="00AB6992"/>
    <w:rsid w:val="00AB78F9"/>
    <w:rsid w:val="00AB7AD2"/>
    <w:rsid w:val="00AC01F6"/>
    <w:rsid w:val="00AC0CFD"/>
    <w:rsid w:val="00AC1027"/>
    <w:rsid w:val="00AC1237"/>
    <w:rsid w:val="00AC175D"/>
    <w:rsid w:val="00AC17CB"/>
    <w:rsid w:val="00AC20DC"/>
    <w:rsid w:val="00AC2789"/>
    <w:rsid w:val="00AC3EAE"/>
    <w:rsid w:val="00AC42AD"/>
    <w:rsid w:val="00AC42D6"/>
    <w:rsid w:val="00AC4B30"/>
    <w:rsid w:val="00AC4B99"/>
    <w:rsid w:val="00AC4D0C"/>
    <w:rsid w:val="00AC4EBA"/>
    <w:rsid w:val="00AC50D4"/>
    <w:rsid w:val="00AC5325"/>
    <w:rsid w:val="00AC5537"/>
    <w:rsid w:val="00AC5D60"/>
    <w:rsid w:val="00AC6D27"/>
    <w:rsid w:val="00AC7059"/>
    <w:rsid w:val="00AC71A9"/>
    <w:rsid w:val="00AC7530"/>
    <w:rsid w:val="00AC76B7"/>
    <w:rsid w:val="00AD151F"/>
    <w:rsid w:val="00AD2070"/>
    <w:rsid w:val="00AD2BE2"/>
    <w:rsid w:val="00AD2DE1"/>
    <w:rsid w:val="00AD2F8C"/>
    <w:rsid w:val="00AD38A5"/>
    <w:rsid w:val="00AD3E35"/>
    <w:rsid w:val="00AD403A"/>
    <w:rsid w:val="00AD43E0"/>
    <w:rsid w:val="00AD4543"/>
    <w:rsid w:val="00AD5B07"/>
    <w:rsid w:val="00AD6148"/>
    <w:rsid w:val="00AD618B"/>
    <w:rsid w:val="00AD66F9"/>
    <w:rsid w:val="00AD6939"/>
    <w:rsid w:val="00AD7173"/>
    <w:rsid w:val="00AD7CCA"/>
    <w:rsid w:val="00AE07A6"/>
    <w:rsid w:val="00AE07C8"/>
    <w:rsid w:val="00AE091F"/>
    <w:rsid w:val="00AE0EC0"/>
    <w:rsid w:val="00AE104A"/>
    <w:rsid w:val="00AE2473"/>
    <w:rsid w:val="00AE24C6"/>
    <w:rsid w:val="00AE2C1A"/>
    <w:rsid w:val="00AE3379"/>
    <w:rsid w:val="00AE3500"/>
    <w:rsid w:val="00AE3C9B"/>
    <w:rsid w:val="00AE402D"/>
    <w:rsid w:val="00AE43B2"/>
    <w:rsid w:val="00AE490E"/>
    <w:rsid w:val="00AE4EE2"/>
    <w:rsid w:val="00AE5380"/>
    <w:rsid w:val="00AE5517"/>
    <w:rsid w:val="00AE6511"/>
    <w:rsid w:val="00AE6552"/>
    <w:rsid w:val="00AE65B1"/>
    <w:rsid w:val="00AE6A25"/>
    <w:rsid w:val="00AE6AD8"/>
    <w:rsid w:val="00AE7026"/>
    <w:rsid w:val="00AE70FF"/>
    <w:rsid w:val="00AE7589"/>
    <w:rsid w:val="00AE77C5"/>
    <w:rsid w:val="00AE77F9"/>
    <w:rsid w:val="00AE7D20"/>
    <w:rsid w:val="00AE7EC0"/>
    <w:rsid w:val="00AF07B1"/>
    <w:rsid w:val="00AF0A68"/>
    <w:rsid w:val="00AF0EB4"/>
    <w:rsid w:val="00AF1873"/>
    <w:rsid w:val="00AF1FE6"/>
    <w:rsid w:val="00AF24CE"/>
    <w:rsid w:val="00AF387D"/>
    <w:rsid w:val="00AF3F81"/>
    <w:rsid w:val="00AF40EB"/>
    <w:rsid w:val="00AF5045"/>
    <w:rsid w:val="00AF515F"/>
    <w:rsid w:val="00AF58C1"/>
    <w:rsid w:val="00AF5A2A"/>
    <w:rsid w:val="00AF5CC2"/>
    <w:rsid w:val="00AF63C9"/>
    <w:rsid w:val="00AF68CC"/>
    <w:rsid w:val="00AF6D83"/>
    <w:rsid w:val="00AF7197"/>
    <w:rsid w:val="00AF759F"/>
    <w:rsid w:val="00B004C3"/>
    <w:rsid w:val="00B004FD"/>
    <w:rsid w:val="00B00893"/>
    <w:rsid w:val="00B00923"/>
    <w:rsid w:val="00B00C68"/>
    <w:rsid w:val="00B011C2"/>
    <w:rsid w:val="00B0121D"/>
    <w:rsid w:val="00B01545"/>
    <w:rsid w:val="00B017A7"/>
    <w:rsid w:val="00B01BC6"/>
    <w:rsid w:val="00B01C4E"/>
    <w:rsid w:val="00B02DC1"/>
    <w:rsid w:val="00B031DE"/>
    <w:rsid w:val="00B0494F"/>
    <w:rsid w:val="00B05CE3"/>
    <w:rsid w:val="00B05E88"/>
    <w:rsid w:val="00B06961"/>
    <w:rsid w:val="00B06A63"/>
    <w:rsid w:val="00B07955"/>
    <w:rsid w:val="00B10035"/>
    <w:rsid w:val="00B12115"/>
    <w:rsid w:val="00B12147"/>
    <w:rsid w:val="00B125E1"/>
    <w:rsid w:val="00B12A13"/>
    <w:rsid w:val="00B12E68"/>
    <w:rsid w:val="00B134A1"/>
    <w:rsid w:val="00B13797"/>
    <w:rsid w:val="00B13A64"/>
    <w:rsid w:val="00B14839"/>
    <w:rsid w:val="00B14E2E"/>
    <w:rsid w:val="00B1507D"/>
    <w:rsid w:val="00B152C9"/>
    <w:rsid w:val="00B164EC"/>
    <w:rsid w:val="00B1708D"/>
    <w:rsid w:val="00B177C3"/>
    <w:rsid w:val="00B1794B"/>
    <w:rsid w:val="00B17D02"/>
    <w:rsid w:val="00B17D5E"/>
    <w:rsid w:val="00B17FDA"/>
    <w:rsid w:val="00B20186"/>
    <w:rsid w:val="00B20523"/>
    <w:rsid w:val="00B21627"/>
    <w:rsid w:val="00B2188A"/>
    <w:rsid w:val="00B22023"/>
    <w:rsid w:val="00B22180"/>
    <w:rsid w:val="00B22462"/>
    <w:rsid w:val="00B233B6"/>
    <w:rsid w:val="00B2461A"/>
    <w:rsid w:val="00B24863"/>
    <w:rsid w:val="00B24967"/>
    <w:rsid w:val="00B25B38"/>
    <w:rsid w:val="00B260AE"/>
    <w:rsid w:val="00B265C8"/>
    <w:rsid w:val="00B26A19"/>
    <w:rsid w:val="00B26CB4"/>
    <w:rsid w:val="00B300B6"/>
    <w:rsid w:val="00B31720"/>
    <w:rsid w:val="00B32526"/>
    <w:rsid w:val="00B32E81"/>
    <w:rsid w:val="00B332AA"/>
    <w:rsid w:val="00B33415"/>
    <w:rsid w:val="00B33744"/>
    <w:rsid w:val="00B33CC4"/>
    <w:rsid w:val="00B33FCE"/>
    <w:rsid w:val="00B34234"/>
    <w:rsid w:val="00B34722"/>
    <w:rsid w:val="00B35BD7"/>
    <w:rsid w:val="00B35D4F"/>
    <w:rsid w:val="00B36563"/>
    <w:rsid w:val="00B37109"/>
    <w:rsid w:val="00B4028D"/>
    <w:rsid w:val="00B42256"/>
    <w:rsid w:val="00B42476"/>
    <w:rsid w:val="00B428C0"/>
    <w:rsid w:val="00B4292B"/>
    <w:rsid w:val="00B42A46"/>
    <w:rsid w:val="00B43026"/>
    <w:rsid w:val="00B4357B"/>
    <w:rsid w:val="00B43FE6"/>
    <w:rsid w:val="00B442B0"/>
    <w:rsid w:val="00B44325"/>
    <w:rsid w:val="00B45125"/>
    <w:rsid w:val="00B4570D"/>
    <w:rsid w:val="00B45818"/>
    <w:rsid w:val="00B4648B"/>
    <w:rsid w:val="00B468FF"/>
    <w:rsid w:val="00B469CD"/>
    <w:rsid w:val="00B46A26"/>
    <w:rsid w:val="00B46C7A"/>
    <w:rsid w:val="00B470A0"/>
    <w:rsid w:val="00B475E4"/>
    <w:rsid w:val="00B47CFB"/>
    <w:rsid w:val="00B50206"/>
    <w:rsid w:val="00B510F5"/>
    <w:rsid w:val="00B51BD6"/>
    <w:rsid w:val="00B52055"/>
    <w:rsid w:val="00B52B9B"/>
    <w:rsid w:val="00B5399E"/>
    <w:rsid w:val="00B53B8F"/>
    <w:rsid w:val="00B53FC5"/>
    <w:rsid w:val="00B543DB"/>
    <w:rsid w:val="00B54644"/>
    <w:rsid w:val="00B548EF"/>
    <w:rsid w:val="00B54BC0"/>
    <w:rsid w:val="00B5609B"/>
    <w:rsid w:val="00B56888"/>
    <w:rsid w:val="00B568AF"/>
    <w:rsid w:val="00B57448"/>
    <w:rsid w:val="00B57610"/>
    <w:rsid w:val="00B57C24"/>
    <w:rsid w:val="00B57C2D"/>
    <w:rsid w:val="00B57EC6"/>
    <w:rsid w:val="00B60434"/>
    <w:rsid w:val="00B605DB"/>
    <w:rsid w:val="00B60E70"/>
    <w:rsid w:val="00B60E7C"/>
    <w:rsid w:val="00B61B32"/>
    <w:rsid w:val="00B61BA2"/>
    <w:rsid w:val="00B62032"/>
    <w:rsid w:val="00B62C1B"/>
    <w:rsid w:val="00B63767"/>
    <w:rsid w:val="00B64DFF"/>
    <w:rsid w:val="00B64E8D"/>
    <w:rsid w:val="00B64FF4"/>
    <w:rsid w:val="00B653DF"/>
    <w:rsid w:val="00B656FA"/>
    <w:rsid w:val="00B66EB8"/>
    <w:rsid w:val="00B67206"/>
    <w:rsid w:val="00B672B4"/>
    <w:rsid w:val="00B67876"/>
    <w:rsid w:val="00B67AA1"/>
    <w:rsid w:val="00B67E70"/>
    <w:rsid w:val="00B70046"/>
    <w:rsid w:val="00B70735"/>
    <w:rsid w:val="00B70B2E"/>
    <w:rsid w:val="00B70FD3"/>
    <w:rsid w:val="00B7194E"/>
    <w:rsid w:val="00B72147"/>
    <w:rsid w:val="00B725C5"/>
    <w:rsid w:val="00B72A87"/>
    <w:rsid w:val="00B72CA4"/>
    <w:rsid w:val="00B72D7A"/>
    <w:rsid w:val="00B7416D"/>
    <w:rsid w:val="00B7465B"/>
    <w:rsid w:val="00B74759"/>
    <w:rsid w:val="00B74A56"/>
    <w:rsid w:val="00B751D9"/>
    <w:rsid w:val="00B75239"/>
    <w:rsid w:val="00B762ED"/>
    <w:rsid w:val="00B767C2"/>
    <w:rsid w:val="00B768C9"/>
    <w:rsid w:val="00B76E74"/>
    <w:rsid w:val="00B77A3B"/>
    <w:rsid w:val="00B77E48"/>
    <w:rsid w:val="00B80B5D"/>
    <w:rsid w:val="00B80FBA"/>
    <w:rsid w:val="00B815D1"/>
    <w:rsid w:val="00B8171E"/>
    <w:rsid w:val="00B81738"/>
    <w:rsid w:val="00B82815"/>
    <w:rsid w:val="00B82DFA"/>
    <w:rsid w:val="00B8321C"/>
    <w:rsid w:val="00B83346"/>
    <w:rsid w:val="00B83591"/>
    <w:rsid w:val="00B847DF"/>
    <w:rsid w:val="00B84871"/>
    <w:rsid w:val="00B8488F"/>
    <w:rsid w:val="00B84D24"/>
    <w:rsid w:val="00B8656D"/>
    <w:rsid w:val="00B86607"/>
    <w:rsid w:val="00B8673F"/>
    <w:rsid w:val="00B87671"/>
    <w:rsid w:val="00B908B1"/>
    <w:rsid w:val="00B90A7B"/>
    <w:rsid w:val="00B90AEF"/>
    <w:rsid w:val="00B9127E"/>
    <w:rsid w:val="00B91A70"/>
    <w:rsid w:val="00B91DA0"/>
    <w:rsid w:val="00B929AA"/>
    <w:rsid w:val="00B93C8C"/>
    <w:rsid w:val="00B93F19"/>
    <w:rsid w:val="00B93FF7"/>
    <w:rsid w:val="00B94E15"/>
    <w:rsid w:val="00B95CB2"/>
    <w:rsid w:val="00B95DF2"/>
    <w:rsid w:val="00B96EA0"/>
    <w:rsid w:val="00B9794B"/>
    <w:rsid w:val="00B97D8A"/>
    <w:rsid w:val="00BA2BD5"/>
    <w:rsid w:val="00BA3400"/>
    <w:rsid w:val="00BA3DCC"/>
    <w:rsid w:val="00BA44FF"/>
    <w:rsid w:val="00BA51D4"/>
    <w:rsid w:val="00BA5625"/>
    <w:rsid w:val="00BA66BB"/>
    <w:rsid w:val="00BA6EAC"/>
    <w:rsid w:val="00BA7760"/>
    <w:rsid w:val="00BA7884"/>
    <w:rsid w:val="00BA7A8E"/>
    <w:rsid w:val="00BB0AC5"/>
    <w:rsid w:val="00BB0F1F"/>
    <w:rsid w:val="00BB2726"/>
    <w:rsid w:val="00BB2A95"/>
    <w:rsid w:val="00BB517D"/>
    <w:rsid w:val="00BB532C"/>
    <w:rsid w:val="00BB5B5A"/>
    <w:rsid w:val="00BB5BFB"/>
    <w:rsid w:val="00BB6BD4"/>
    <w:rsid w:val="00BB6BFE"/>
    <w:rsid w:val="00BB75F0"/>
    <w:rsid w:val="00BC01FA"/>
    <w:rsid w:val="00BC09DE"/>
    <w:rsid w:val="00BC0A7F"/>
    <w:rsid w:val="00BC0C38"/>
    <w:rsid w:val="00BC2072"/>
    <w:rsid w:val="00BC2397"/>
    <w:rsid w:val="00BC28F3"/>
    <w:rsid w:val="00BC2DE6"/>
    <w:rsid w:val="00BC3359"/>
    <w:rsid w:val="00BC375B"/>
    <w:rsid w:val="00BC3E75"/>
    <w:rsid w:val="00BC42F5"/>
    <w:rsid w:val="00BC48B4"/>
    <w:rsid w:val="00BC4E3F"/>
    <w:rsid w:val="00BC544A"/>
    <w:rsid w:val="00BC5A4C"/>
    <w:rsid w:val="00BC5B41"/>
    <w:rsid w:val="00BC64A9"/>
    <w:rsid w:val="00BC64F4"/>
    <w:rsid w:val="00BC728D"/>
    <w:rsid w:val="00BC7362"/>
    <w:rsid w:val="00BC7C8C"/>
    <w:rsid w:val="00BD0680"/>
    <w:rsid w:val="00BD0720"/>
    <w:rsid w:val="00BD0AE9"/>
    <w:rsid w:val="00BD1259"/>
    <w:rsid w:val="00BD12E6"/>
    <w:rsid w:val="00BD1AC9"/>
    <w:rsid w:val="00BD1F6E"/>
    <w:rsid w:val="00BD1FE8"/>
    <w:rsid w:val="00BD205F"/>
    <w:rsid w:val="00BD20BE"/>
    <w:rsid w:val="00BD3CCF"/>
    <w:rsid w:val="00BD44A1"/>
    <w:rsid w:val="00BD4D55"/>
    <w:rsid w:val="00BD5B2C"/>
    <w:rsid w:val="00BD614A"/>
    <w:rsid w:val="00BD63E0"/>
    <w:rsid w:val="00BD6FD9"/>
    <w:rsid w:val="00BD7327"/>
    <w:rsid w:val="00BD74B3"/>
    <w:rsid w:val="00BD75F7"/>
    <w:rsid w:val="00BD7988"/>
    <w:rsid w:val="00BD7E8A"/>
    <w:rsid w:val="00BE01F5"/>
    <w:rsid w:val="00BE0264"/>
    <w:rsid w:val="00BE0CAE"/>
    <w:rsid w:val="00BE0D32"/>
    <w:rsid w:val="00BE1824"/>
    <w:rsid w:val="00BE1892"/>
    <w:rsid w:val="00BE2483"/>
    <w:rsid w:val="00BE2917"/>
    <w:rsid w:val="00BE2C12"/>
    <w:rsid w:val="00BE324E"/>
    <w:rsid w:val="00BE35E1"/>
    <w:rsid w:val="00BE373A"/>
    <w:rsid w:val="00BE38A9"/>
    <w:rsid w:val="00BE4BF1"/>
    <w:rsid w:val="00BE56E5"/>
    <w:rsid w:val="00BE5AC3"/>
    <w:rsid w:val="00BE5FD0"/>
    <w:rsid w:val="00BE6326"/>
    <w:rsid w:val="00BE6500"/>
    <w:rsid w:val="00BE68F3"/>
    <w:rsid w:val="00BE6DA5"/>
    <w:rsid w:val="00BE7764"/>
    <w:rsid w:val="00BF0CDD"/>
    <w:rsid w:val="00BF15FB"/>
    <w:rsid w:val="00BF27B9"/>
    <w:rsid w:val="00BF3C74"/>
    <w:rsid w:val="00BF3D04"/>
    <w:rsid w:val="00BF43FD"/>
    <w:rsid w:val="00BF443B"/>
    <w:rsid w:val="00BF4618"/>
    <w:rsid w:val="00BF500C"/>
    <w:rsid w:val="00BF5760"/>
    <w:rsid w:val="00BF65A3"/>
    <w:rsid w:val="00BF68D6"/>
    <w:rsid w:val="00BF72B1"/>
    <w:rsid w:val="00C0049A"/>
    <w:rsid w:val="00C00CA4"/>
    <w:rsid w:val="00C00DAB"/>
    <w:rsid w:val="00C011D3"/>
    <w:rsid w:val="00C03C74"/>
    <w:rsid w:val="00C03D39"/>
    <w:rsid w:val="00C04E99"/>
    <w:rsid w:val="00C056B0"/>
    <w:rsid w:val="00C05D1A"/>
    <w:rsid w:val="00C06858"/>
    <w:rsid w:val="00C06B6A"/>
    <w:rsid w:val="00C06C58"/>
    <w:rsid w:val="00C10034"/>
    <w:rsid w:val="00C10773"/>
    <w:rsid w:val="00C1101F"/>
    <w:rsid w:val="00C1128C"/>
    <w:rsid w:val="00C113EE"/>
    <w:rsid w:val="00C11440"/>
    <w:rsid w:val="00C11640"/>
    <w:rsid w:val="00C11953"/>
    <w:rsid w:val="00C11A34"/>
    <w:rsid w:val="00C126C4"/>
    <w:rsid w:val="00C12E8E"/>
    <w:rsid w:val="00C13202"/>
    <w:rsid w:val="00C136FF"/>
    <w:rsid w:val="00C13BB0"/>
    <w:rsid w:val="00C13C87"/>
    <w:rsid w:val="00C13E1F"/>
    <w:rsid w:val="00C142B9"/>
    <w:rsid w:val="00C1440B"/>
    <w:rsid w:val="00C14555"/>
    <w:rsid w:val="00C14877"/>
    <w:rsid w:val="00C15058"/>
    <w:rsid w:val="00C156DB"/>
    <w:rsid w:val="00C157DD"/>
    <w:rsid w:val="00C15DC1"/>
    <w:rsid w:val="00C16229"/>
    <w:rsid w:val="00C17887"/>
    <w:rsid w:val="00C179FF"/>
    <w:rsid w:val="00C17D21"/>
    <w:rsid w:val="00C213E5"/>
    <w:rsid w:val="00C214C5"/>
    <w:rsid w:val="00C21E15"/>
    <w:rsid w:val="00C22091"/>
    <w:rsid w:val="00C22408"/>
    <w:rsid w:val="00C2256B"/>
    <w:rsid w:val="00C238F0"/>
    <w:rsid w:val="00C23B45"/>
    <w:rsid w:val="00C243BD"/>
    <w:rsid w:val="00C2474A"/>
    <w:rsid w:val="00C248A8"/>
    <w:rsid w:val="00C256BA"/>
    <w:rsid w:val="00C25A98"/>
    <w:rsid w:val="00C25DB6"/>
    <w:rsid w:val="00C262B3"/>
    <w:rsid w:val="00C26BDC"/>
    <w:rsid w:val="00C2758B"/>
    <w:rsid w:val="00C27BAC"/>
    <w:rsid w:val="00C30CBA"/>
    <w:rsid w:val="00C31195"/>
    <w:rsid w:val="00C321AD"/>
    <w:rsid w:val="00C328D6"/>
    <w:rsid w:val="00C32D57"/>
    <w:rsid w:val="00C32E98"/>
    <w:rsid w:val="00C32FA4"/>
    <w:rsid w:val="00C3342A"/>
    <w:rsid w:val="00C33ECD"/>
    <w:rsid w:val="00C33F17"/>
    <w:rsid w:val="00C34302"/>
    <w:rsid w:val="00C3439D"/>
    <w:rsid w:val="00C353E8"/>
    <w:rsid w:val="00C358D8"/>
    <w:rsid w:val="00C36118"/>
    <w:rsid w:val="00C3666E"/>
    <w:rsid w:val="00C3706B"/>
    <w:rsid w:val="00C37509"/>
    <w:rsid w:val="00C37C99"/>
    <w:rsid w:val="00C40633"/>
    <w:rsid w:val="00C41148"/>
    <w:rsid w:val="00C411A7"/>
    <w:rsid w:val="00C413D9"/>
    <w:rsid w:val="00C414CB"/>
    <w:rsid w:val="00C4158B"/>
    <w:rsid w:val="00C427F6"/>
    <w:rsid w:val="00C42C4D"/>
    <w:rsid w:val="00C42EF1"/>
    <w:rsid w:val="00C43682"/>
    <w:rsid w:val="00C43B65"/>
    <w:rsid w:val="00C43F94"/>
    <w:rsid w:val="00C44B34"/>
    <w:rsid w:val="00C464A7"/>
    <w:rsid w:val="00C465CC"/>
    <w:rsid w:val="00C47158"/>
    <w:rsid w:val="00C47348"/>
    <w:rsid w:val="00C47A2D"/>
    <w:rsid w:val="00C50816"/>
    <w:rsid w:val="00C5089C"/>
    <w:rsid w:val="00C50B26"/>
    <w:rsid w:val="00C50E81"/>
    <w:rsid w:val="00C50F36"/>
    <w:rsid w:val="00C512BF"/>
    <w:rsid w:val="00C51721"/>
    <w:rsid w:val="00C518EC"/>
    <w:rsid w:val="00C53D0C"/>
    <w:rsid w:val="00C53DC3"/>
    <w:rsid w:val="00C541A4"/>
    <w:rsid w:val="00C54519"/>
    <w:rsid w:val="00C54B6D"/>
    <w:rsid w:val="00C54B75"/>
    <w:rsid w:val="00C54CBE"/>
    <w:rsid w:val="00C54D2D"/>
    <w:rsid w:val="00C554DB"/>
    <w:rsid w:val="00C57471"/>
    <w:rsid w:val="00C57912"/>
    <w:rsid w:val="00C57A74"/>
    <w:rsid w:val="00C60324"/>
    <w:rsid w:val="00C60690"/>
    <w:rsid w:val="00C60DEA"/>
    <w:rsid w:val="00C616F9"/>
    <w:rsid w:val="00C61ABF"/>
    <w:rsid w:val="00C6219C"/>
    <w:rsid w:val="00C62515"/>
    <w:rsid w:val="00C628C7"/>
    <w:rsid w:val="00C630CA"/>
    <w:rsid w:val="00C65041"/>
    <w:rsid w:val="00C654FC"/>
    <w:rsid w:val="00C65D14"/>
    <w:rsid w:val="00C66150"/>
    <w:rsid w:val="00C66542"/>
    <w:rsid w:val="00C66C9B"/>
    <w:rsid w:val="00C66FA4"/>
    <w:rsid w:val="00C67872"/>
    <w:rsid w:val="00C67EC4"/>
    <w:rsid w:val="00C707F6"/>
    <w:rsid w:val="00C70AE6"/>
    <w:rsid w:val="00C70E8C"/>
    <w:rsid w:val="00C70F7A"/>
    <w:rsid w:val="00C7102C"/>
    <w:rsid w:val="00C71692"/>
    <w:rsid w:val="00C7233D"/>
    <w:rsid w:val="00C723A7"/>
    <w:rsid w:val="00C723C2"/>
    <w:rsid w:val="00C72843"/>
    <w:rsid w:val="00C73492"/>
    <w:rsid w:val="00C7368B"/>
    <w:rsid w:val="00C736C2"/>
    <w:rsid w:val="00C73B5F"/>
    <w:rsid w:val="00C74139"/>
    <w:rsid w:val="00C74358"/>
    <w:rsid w:val="00C74A75"/>
    <w:rsid w:val="00C7507F"/>
    <w:rsid w:val="00C75ACA"/>
    <w:rsid w:val="00C75D6E"/>
    <w:rsid w:val="00C7612C"/>
    <w:rsid w:val="00C76E5B"/>
    <w:rsid w:val="00C771D5"/>
    <w:rsid w:val="00C77753"/>
    <w:rsid w:val="00C81378"/>
    <w:rsid w:val="00C816F0"/>
    <w:rsid w:val="00C825FB"/>
    <w:rsid w:val="00C82BA7"/>
    <w:rsid w:val="00C82E53"/>
    <w:rsid w:val="00C8420E"/>
    <w:rsid w:val="00C87140"/>
    <w:rsid w:val="00C875E7"/>
    <w:rsid w:val="00C87C3A"/>
    <w:rsid w:val="00C87C4C"/>
    <w:rsid w:val="00C90344"/>
    <w:rsid w:val="00C91664"/>
    <w:rsid w:val="00C91CE7"/>
    <w:rsid w:val="00C92066"/>
    <w:rsid w:val="00C921E3"/>
    <w:rsid w:val="00C92786"/>
    <w:rsid w:val="00C92BB9"/>
    <w:rsid w:val="00C92D61"/>
    <w:rsid w:val="00C93348"/>
    <w:rsid w:val="00C93D94"/>
    <w:rsid w:val="00C93ED5"/>
    <w:rsid w:val="00C944C8"/>
    <w:rsid w:val="00C94A8F"/>
    <w:rsid w:val="00C94F55"/>
    <w:rsid w:val="00C956C7"/>
    <w:rsid w:val="00C9578D"/>
    <w:rsid w:val="00C95A11"/>
    <w:rsid w:val="00C96502"/>
    <w:rsid w:val="00C96B4C"/>
    <w:rsid w:val="00C96B53"/>
    <w:rsid w:val="00C9714D"/>
    <w:rsid w:val="00C971FC"/>
    <w:rsid w:val="00CA0133"/>
    <w:rsid w:val="00CA0602"/>
    <w:rsid w:val="00CA061D"/>
    <w:rsid w:val="00CA12F6"/>
    <w:rsid w:val="00CA1BAC"/>
    <w:rsid w:val="00CA24AB"/>
    <w:rsid w:val="00CA2E25"/>
    <w:rsid w:val="00CA31E8"/>
    <w:rsid w:val="00CA3B8D"/>
    <w:rsid w:val="00CA4350"/>
    <w:rsid w:val="00CA4446"/>
    <w:rsid w:val="00CA4531"/>
    <w:rsid w:val="00CA4628"/>
    <w:rsid w:val="00CA4AA0"/>
    <w:rsid w:val="00CA527B"/>
    <w:rsid w:val="00CA5D9D"/>
    <w:rsid w:val="00CA5FFE"/>
    <w:rsid w:val="00CA683C"/>
    <w:rsid w:val="00CA692D"/>
    <w:rsid w:val="00CA71C0"/>
    <w:rsid w:val="00CB0697"/>
    <w:rsid w:val="00CB07F7"/>
    <w:rsid w:val="00CB1142"/>
    <w:rsid w:val="00CB1B72"/>
    <w:rsid w:val="00CB249E"/>
    <w:rsid w:val="00CB27A3"/>
    <w:rsid w:val="00CB391A"/>
    <w:rsid w:val="00CB3C61"/>
    <w:rsid w:val="00CB45C7"/>
    <w:rsid w:val="00CB45D8"/>
    <w:rsid w:val="00CB46FD"/>
    <w:rsid w:val="00CB5099"/>
    <w:rsid w:val="00CB5226"/>
    <w:rsid w:val="00CB531E"/>
    <w:rsid w:val="00CB60BC"/>
    <w:rsid w:val="00CB6201"/>
    <w:rsid w:val="00CB6439"/>
    <w:rsid w:val="00CB6687"/>
    <w:rsid w:val="00CB7137"/>
    <w:rsid w:val="00CC085C"/>
    <w:rsid w:val="00CC0961"/>
    <w:rsid w:val="00CC0CE2"/>
    <w:rsid w:val="00CC1FAF"/>
    <w:rsid w:val="00CC372D"/>
    <w:rsid w:val="00CC3859"/>
    <w:rsid w:val="00CC4225"/>
    <w:rsid w:val="00CC532E"/>
    <w:rsid w:val="00CC6D9D"/>
    <w:rsid w:val="00CC7D07"/>
    <w:rsid w:val="00CC7E48"/>
    <w:rsid w:val="00CD02F0"/>
    <w:rsid w:val="00CD044D"/>
    <w:rsid w:val="00CD13AE"/>
    <w:rsid w:val="00CD277E"/>
    <w:rsid w:val="00CD279B"/>
    <w:rsid w:val="00CD3449"/>
    <w:rsid w:val="00CD424E"/>
    <w:rsid w:val="00CD42A9"/>
    <w:rsid w:val="00CD4936"/>
    <w:rsid w:val="00CD5832"/>
    <w:rsid w:val="00CD5A7E"/>
    <w:rsid w:val="00CD5D85"/>
    <w:rsid w:val="00CD6B5F"/>
    <w:rsid w:val="00CD77FF"/>
    <w:rsid w:val="00CD7BEE"/>
    <w:rsid w:val="00CE0029"/>
    <w:rsid w:val="00CE0049"/>
    <w:rsid w:val="00CE085D"/>
    <w:rsid w:val="00CE08BD"/>
    <w:rsid w:val="00CE0BC6"/>
    <w:rsid w:val="00CE12CF"/>
    <w:rsid w:val="00CE18F1"/>
    <w:rsid w:val="00CE356D"/>
    <w:rsid w:val="00CE4010"/>
    <w:rsid w:val="00CE5A00"/>
    <w:rsid w:val="00CE5C84"/>
    <w:rsid w:val="00CE5D08"/>
    <w:rsid w:val="00CE5E1F"/>
    <w:rsid w:val="00CE6408"/>
    <w:rsid w:val="00CE68F2"/>
    <w:rsid w:val="00CE6D35"/>
    <w:rsid w:val="00CE72B3"/>
    <w:rsid w:val="00CE7386"/>
    <w:rsid w:val="00CE7923"/>
    <w:rsid w:val="00CE7BFB"/>
    <w:rsid w:val="00CF0238"/>
    <w:rsid w:val="00CF1503"/>
    <w:rsid w:val="00CF1637"/>
    <w:rsid w:val="00CF240A"/>
    <w:rsid w:val="00CF3313"/>
    <w:rsid w:val="00CF3DED"/>
    <w:rsid w:val="00CF5045"/>
    <w:rsid w:val="00CF67FA"/>
    <w:rsid w:val="00CF6F7B"/>
    <w:rsid w:val="00CF7441"/>
    <w:rsid w:val="00CF75F5"/>
    <w:rsid w:val="00CF77B7"/>
    <w:rsid w:val="00D0026C"/>
    <w:rsid w:val="00D0181D"/>
    <w:rsid w:val="00D019C5"/>
    <w:rsid w:val="00D01B5A"/>
    <w:rsid w:val="00D0254C"/>
    <w:rsid w:val="00D029D1"/>
    <w:rsid w:val="00D02B28"/>
    <w:rsid w:val="00D02E7B"/>
    <w:rsid w:val="00D0308D"/>
    <w:rsid w:val="00D030CC"/>
    <w:rsid w:val="00D03B41"/>
    <w:rsid w:val="00D03B72"/>
    <w:rsid w:val="00D0447E"/>
    <w:rsid w:val="00D05895"/>
    <w:rsid w:val="00D062D6"/>
    <w:rsid w:val="00D066F3"/>
    <w:rsid w:val="00D06800"/>
    <w:rsid w:val="00D068AA"/>
    <w:rsid w:val="00D078CD"/>
    <w:rsid w:val="00D07A37"/>
    <w:rsid w:val="00D07FB8"/>
    <w:rsid w:val="00D1000F"/>
    <w:rsid w:val="00D1006B"/>
    <w:rsid w:val="00D1037B"/>
    <w:rsid w:val="00D104A2"/>
    <w:rsid w:val="00D113F1"/>
    <w:rsid w:val="00D115E1"/>
    <w:rsid w:val="00D119BD"/>
    <w:rsid w:val="00D11EAC"/>
    <w:rsid w:val="00D1200C"/>
    <w:rsid w:val="00D12375"/>
    <w:rsid w:val="00D12BAF"/>
    <w:rsid w:val="00D1435D"/>
    <w:rsid w:val="00D153C7"/>
    <w:rsid w:val="00D1572C"/>
    <w:rsid w:val="00D15812"/>
    <w:rsid w:val="00D16239"/>
    <w:rsid w:val="00D165B6"/>
    <w:rsid w:val="00D165D0"/>
    <w:rsid w:val="00D169D7"/>
    <w:rsid w:val="00D16DF5"/>
    <w:rsid w:val="00D1710D"/>
    <w:rsid w:val="00D17C5D"/>
    <w:rsid w:val="00D20567"/>
    <w:rsid w:val="00D20674"/>
    <w:rsid w:val="00D208C5"/>
    <w:rsid w:val="00D214EC"/>
    <w:rsid w:val="00D21D6D"/>
    <w:rsid w:val="00D22018"/>
    <w:rsid w:val="00D229FF"/>
    <w:rsid w:val="00D2335D"/>
    <w:rsid w:val="00D23704"/>
    <w:rsid w:val="00D23AC4"/>
    <w:rsid w:val="00D23F94"/>
    <w:rsid w:val="00D24248"/>
    <w:rsid w:val="00D24297"/>
    <w:rsid w:val="00D242F8"/>
    <w:rsid w:val="00D24756"/>
    <w:rsid w:val="00D250F0"/>
    <w:rsid w:val="00D252FC"/>
    <w:rsid w:val="00D255AF"/>
    <w:rsid w:val="00D25BC4"/>
    <w:rsid w:val="00D27434"/>
    <w:rsid w:val="00D305DB"/>
    <w:rsid w:val="00D319CA"/>
    <w:rsid w:val="00D325D0"/>
    <w:rsid w:val="00D3372F"/>
    <w:rsid w:val="00D34017"/>
    <w:rsid w:val="00D34886"/>
    <w:rsid w:val="00D35F06"/>
    <w:rsid w:val="00D36247"/>
    <w:rsid w:val="00D374A2"/>
    <w:rsid w:val="00D374DB"/>
    <w:rsid w:val="00D37FF5"/>
    <w:rsid w:val="00D4069C"/>
    <w:rsid w:val="00D40A8D"/>
    <w:rsid w:val="00D41C3B"/>
    <w:rsid w:val="00D41D0C"/>
    <w:rsid w:val="00D422AE"/>
    <w:rsid w:val="00D42A86"/>
    <w:rsid w:val="00D431D9"/>
    <w:rsid w:val="00D43A19"/>
    <w:rsid w:val="00D43E99"/>
    <w:rsid w:val="00D45242"/>
    <w:rsid w:val="00D452C4"/>
    <w:rsid w:val="00D454EC"/>
    <w:rsid w:val="00D45A46"/>
    <w:rsid w:val="00D45B55"/>
    <w:rsid w:val="00D4672A"/>
    <w:rsid w:val="00D46E7A"/>
    <w:rsid w:val="00D477C7"/>
    <w:rsid w:val="00D47A4E"/>
    <w:rsid w:val="00D47B3B"/>
    <w:rsid w:val="00D47C3C"/>
    <w:rsid w:val="00D5062F"/>
    <w:rsid w:val="00D509C3"/>
    <w:rsid w:val="00D50B7B"/>
    <w:rsid w:val="00D50FF1"/>
    <w:rsid w:val="00D511F2"/>
    <w:rsid w:val="00D51BA9"/>
    <w:rsid w:val="00D51F72"/>
    <w:rsid w:val="00D5201E"/>
    <w:rsid w:val="00D52DE2"/>
    <w:rsid w:val="00D52E01"/>
    <w:rsid w:val="00D5309D"/>
    <w:rsid w:val="00D53699"/>
    <w:rsid w:val="00D54585"/>
    <w:rsid w:val="00D555B4"/>
    <w:rsid w:val="00D55D25"/>
    <w:rsid w:val="00D566AA"/>
    <w:rsid w:val="00D574F7"/>
    <w:rsid w:val="00D5752B"/>
    <w:rsid w:val="00D6169C"/>
    <w:rsid w:val="00D61C77"/>
    <w:rsid w:val="00D61CE8"/>
    <w:rsid w:val="00D61E38"/>
    <w:rsid w:val="00D61F4B"/>
    <w:rsid w:val="00D64824"/>
    <w:rsid w:val="00D64CD9"/>
    <w:rsid w:val="00D65038"/>
    <w:rsid w:val="00D657F7"/>
    <w:rsid w:val="00D65F2C"/>
    <w:rsid w:val="00D65F71"/>
    <w:rsid w:val="00D662BA"/>
    <w:rsid w:val="00D66DAC"/>
    <w:rsid w:val="00D6740D"/>
    <w:rsid w:val="00D67D0C"/>
    <w:rsid w:val="00D67E9C"/>
    <w:rsid w:val="00D70FD2"/>
    <w:rsid w:val="00D716B7"/>
    <w:rsid w:val="00D72382"/>
    <w:rsid w:val="00D7263B"/>
    <w:rsid w:val="00D72648"/>
    <w:rsid w:val="00D72F38"/>
    <w:rsid w:val="00D734FF"/>
    <w:rsid w:val="00D742E6"/>
    <w:rsid w:val="00D7454A"/>
    <w:rsid w:val="00D7460A"/>
    <w:rsid w:val="00D749CD"/>
    <w:rsid w:val="00D74A9B"/>
    <w:rsid w:val="00D74E1C"/>
    <w:rsid w:val="00D7504A"/>
    <w:rsid w:val="00D75785"/>
    <w:rsid w:val="00D75B59"/>
    <w:rsid w:val="00D75C2D"/>
    <w:rsid w:val="00D7608A"/>
    <w:rsid w:val="00D761EF"/>
    <w:rsid w:val="00D768C9"/>
    <w:rsid w:val="00D76F97"/>
    <w:rsid w:val="00D772B8"/>
    <w:rsid w:val="00D7736E"/>
    <w:rsid w:val="00D7770F"/>
    <w:rsid w:val="00D77C7A"/>
    <w:rsid w:val="00D77E86"/>
    <w:rsid w:val="00D77EE3"/>
    <w:rsid w:val="00D80617"/>
    <w:rsid w:val="00D8087A"/>
    <w:rsid w:val="00D80A75"/>
    <w:rsid w:val="00D814C6"/>
    <w:rsid w:val="00D81568"/>
    <w:rsid w:val="00D81A2F"/>
    <w:rsid w:val="00D821CA"/>
    <w:rsid w:val="00D828D3"/>
    <w:rsid w:val="00D82B23"/>
    <w:rsid w:val="00D83564"/>
    <w:rsid w:val="00D83BF7"/>
    <w:rsid w:val="00D84212"/>
    <w:rsid w:val="00D8594A"/>
    <w:rsid w:val="00D859C4"/>
    <w:rsid w:val="00D85FDB"/>
    <w:rsid w:val="00D861C2"/>
    <w:rsid w:val="00D86343"/>
    <w:rsid w:val="00D873D1"/>
    <w:rsid w:val="00D87A7A"/>
    <w:rsid w:val="00D87F68"/>
    <w:rsid w:val="00D90387"/>
    <w:rsid w:val="00D903D9"/>
    <w:rsid w:val="00D906CB"/>
    <w:rsid w:val="00D907A0"/>
    <w:rsid w:val="00D907D1"/>
    <w:rsid w:val="00D90846"/>
    <w:rsid w:val="00D9159A"/>
    <w:rsid w:val="00D9173E"/>
    <w:rsid w:val="00D917D4"/>
    <w:rsid w:val="00D91A49"/>
    <w:rsid w:val="00D91B3A"/>
    <w:rsid w:val="00D91F72"/>
    <w:rsid w:val="00D92F4E"/>
    <w:rsid w:val="00D93AAF"/>
    <w:rsid w:val="00D93D43"/>
    <w:rsid w:val="00D941FD"/>
    <w:rsid w:val="00D945CD"/>
    <w:rsid w:val="00D9462F"/>
    <w:rsid w:val="00D94914"/>
    <w:rsid w:val="00D956EE"/>
    <w:rsid w:val="00D957E2"/>
    <w:rsid w:val="00D95A90"/>
    <w:rsid w:val="00D96018"/>
    <w:rsid w:val="00D969F7"/>
    <w:rsid w:val="00D96ACC"/>
    <w:rsid w:val="00D96BA6"/>
    <w:rsid w:val="00D97027"/>
    <w:rsid w:val="00DA0023"/>
    <w:rsid w:val="00DA0063"/>
    <w:rsid w:val="00DA0202"/>
    <w:rsid w:val="00DA070C"/>
    <w:rsid w:val="00DA0927"/>
    <w:rsid w:val="00DA0FAC"/>
    <w:rsid w:val="00DA177B"/>
    <w:rsid w:val="00DA2331"/>
    <w:rsid w:val="00DA26FF"/>
    <w:rsid w:val="00DA2B68"/>
    <w:rsid w:val="00DA3278"/>
    <w:rsid w:val="00DA3541"/>
    <w:rsid w:val="00DA3B9C"/>
    <w:rsid w:val="00DA404F"/>
    <w:rsid w:val="00DA48C1"/>
    <w:rsid w:val="00DA572E"/>
    <w:rsid w:val="00DA5774"/>
    <w:rsid w:val="00DA5B9F"/>
    <w:rsid w:val="00DA600A"/>
    <w:rsid w:val="00DA6744"/>
    <w:rsid w:val="00DA6E90"/>
    <w:rsid w:val="00DA7049"/>
    <w:rsid w:val="00DA7821"/>
    <w:rsid w:val="00DB01B1"/>
    <w:rsid w:val="00DB0710"/>
    <w:rsid w:val="00DB1C6C"/>
    <w:rsid w:val="00DB2394"/>
    <w:rsid w:val="00DB27ED"/>
    <w:rsid w:val="00DB27FD"/>
    <w:rsid w:val="00DB292E"/>
    <w:rsid w:val="00DB2E57"/>
    <w:rsid w:val="00DB328A"/>
    <w:rsid w:val="00DB35D7"/>
    <w:rsid w:val="00DB3915"/>
    <w:rsid w:val="00DB4747"/>
    <w:rsid w:val="00DB4978"/>
    <w:rsid w:val="00DB5BB9"/>
    <w:rsid w:val="00DB5BC0"/>
    <w:rsid w:val="00DB5FDD"/>
    <w:rsid w:val="00DB611E"/>
    <w:rsid w:val="00DB79DA"/>
    <w:rsid w:val="00DB7AB2"/>
    <w:rsid w:val="00DB7F34"/>
    <w:rsid w:val="00DC087A"/>
    <w:rsid w:val="00DC1CA3"/>
    <w:rsid w:val="00DC20A5"/>
    <w:rsid w:val="00DC2508"/>
    <w:rsid w:val="00DC321D"/>
    <w:rsid w:val="00DC353F"/>
    <w:rsid w:val="00DC369E"/>
    <w:rsid w:val="00DC4341"/>
    <w:rsid w:val="00DC4779"/>
    <w:rsid w:val="00DC4A6B"/>
    <w:rsid w:val="00DC56D1"/>
    <w:rsid w:val="00DC5D17"/>
    <w:rsid w:val="00DC64D0"/>
    <w:rsid w:val="00DC66AF"/>
    <w:rsid w:val="00DC6B1E"/>
    <w:rsid w:val="00DC7082"/>
    <w:rsid w:val="00DC715B"/>
    <w:rsid w:val="00DC73F8"/>
    <w:rsid w:val="00DC7B4C"/>
    <w:rsid w:val="00DD0058"/>
    <w:rsid w:val="00DD0461"/>
    <w:rsid w:val="00DD0837"/>
    <w:rsid w:val="00DD0D04"/>
    <w:rsid w:val="00DD17C6"/>
    <w:rsid w:val="00DD19F0"/>
    <w:rsid w:val="00DD27FB"/>
    <w:rsid w:val="00DD3466"/>
    <w:rsid w:val="00DD34F0"/>
    <w:rsid w:val="00DD43FE"/>
    <w:rsid w:val="00DD4435"/>
    <w:rsid w:val="00DD46A5"/>
    <w:rsid w:val="00DD4882"/>
    <w:rsid w:val="00DD48FA"/>
    <w:rsid w:val="00DD4C0E"/>
    <w:rsid w:val="00DD58D9"/>
    <w:rsid w:val="00DD62A2"/>
    <w:rsid w:val="00DD64C3"/>
    <w:rsid w:val="00DD69A2"/>
    <w:rsid w:val="00DD7212"/>
    <w:rsid w:val="00DD7801"/>
    <w:rsid w:val="00DE05BD"/>
    <w:rsid w:val="00DE08D7"/>
    <w:rsid w:val="00DE08EB"/>
    <w:rsid w:val="00DE1CA8"/>
    <w:rsid w:val="00DE1CFF"/>
    <w:rsid w:val="00DE3C32"/>
    <w:rsid w:val="00DE3FC6"/>
    <w:rsid w:val="00DE46F1"/>
    <w:rsid w:val="00DE57BC"/>
    <w:rsid w:val="00DE57F9"/>
    <w:rsid w:val="00DE62BE"/>
    <w:rsid w:val="00DE637D"/>
    <w:rsid w:val="00DE64EB"/>
    <w:rsid w:val="00DE7397"/>
    <w:rsid w:val="00DE79F5"/>
    <w:rsid w:val="00DF0029"/>
    <w:rsid w:val="00DF0764"/>
    <w:rsid w:val="00DF1F07"/>
    <w:rsid w:val="00DF2ED1"/>
    <w:rsid w:val="00DF3248"/>
    <w:rsid w:val="00DF3477"/>
    <w:rsid w:val="00DF47D5"/>
    <w:rsid w:val="00DF4BA2"/>
    <w:rsid w:val="00DF58A5"/>
    <w:rsid w:val="00DF5DC7"/>
    <w:rsid w:val="00DF6DFE"/>
    <w:rsid w:val="00DF6EA8"/>
    <w:rsid w:val="00E00BA8"/>
    <w:rsid w:val="00E010A4"/>
    <w:rsid w:val="00E0221B"/>
    <w:rsid w:val="00E0281E"/>
    <w:rsid w:val="00E028BA"/>
    <w:rsid w:val="00E02F29"/>
    <w:rsid w:val="00E0469D"/>
    <w:rsid w:val="00E047B7"/>
    <w:rsid w:val="00E05A61"/>
    <w:rsid w:val="00E06106"/>
    <w:rsid w:val="00E06262"/>
    <w:rsid w:val="00E0669F"/>
    <w:rsid w:val="00E06CE6"/>
    <w:rsid w:val="00E07127"/>
    <w:rsid w:val="00E074B5"/>
    <w:rsid w:val="00E107D4"/>
    <w:rsid w:val="00E10A35"/>
    <w:rsid w:val="00E10F8C"/>
    <w:rsid w:val="00E11C0E"/>
    <w:rsid w:val="00E12ACF"/>
    <w:rsid w:val="00E1382E"/>
    <w:rsid w:val="00E149E9"/>
    <w:rsid w:val="00E14AAC"/>
    <w:rsid w:val="00E1517C"/>
    <w:rsid w:val="00E155FA"/>
    <w:rsid w:val="00E157F3"/>
    <w:rsid w:val="00E15847"/>
    <w:rsid w:val="00E16208"/>
    <w:rsid w:val="00E165C2"/>
    <w:rsid w:val="00E16684"/>
    <w:rsid w:val="00E16726"/>
    <w:rsid w:val="00E1780D"/>
    <w:rsid w:val="00E2087E"/>
    <w:rsid w:val="00E20F1E"/>
    <w:rsid w:val="00E2112C"/>
    <w:rsid w:val="00E21320"/>
    <w:rsid w:val="00E2179E"/>
    <w:rsid w:val="00E2241A"/>
    <w:rsid w:val="00E231AB"/>
    <w:rsid w:val="00E23440"/>
    <w:rsid w:val="00E23D6C"/>
    <w:rsid w:val="00E245DB"/>
    <w:rsid w:val="00E24797"/>
    <w:rsid w:val="00E256A6"/>
    <w:rsid w:val="00E2631E"/>
    <w:rsid w:val="00E26655"/>
    <w:rsid w:val="00E2666B"/>
    <w:rsid w:val="00E2676C"/>
    <w:rsid w:val="00E26D98"/>
    <w:rsid w:val="00E30615"/>
    <w:rsid w:val="00E31CDB"/>
    <w:rsid w:val="00E3273A"/>
    <w:rsid w:val="00E32751"/>
    <w:rsid w:val="00E3313E"/>
    <w:rsid w:val="00E33524"/>
    <w:rsid w:val="00E33954"/>
    <w:rsid w:val="00E339BF"/>
    <w:rsid w:val="00E33C97"/>
    <w:rsid w:val="00E3426C"/>
    <w:rsid w:val="00E34477"/>
    <w:rsid w:val="00E34699"/>
    <w:rsid w:val="00E35840"/>
    <w:rsid w:val="00E35CE7"/>
    <w:rsid w:val="00E364FE"/>
    <w:rsid w:val="00E369B6"/>
    <w:rsid w:val="00E36AFD"/>
    <w:rsid w:val="00E36D9A"/>
    <w:rsid w:val="00E36E92"/>
    <w:rsid w:val="00E371E9"/>
    <w:rsid w:val="00E37782"/>
    <w:rsid w:val="00E4050E"/>
    <w:rsid w:val="00E405FF"/>
    <w:rsid w:val="00E41709"/>
    <w:rsid w:val="00E41C77"/>
    <w:rsid w:val="00E42AA9"/>
    <w:rsid w:val="00E43368"/>
    <w:rsid w:val="00E436F7"/>
    <w:rsid w:val="00E43CBB"/>
    <w:rsid w:val="00E4480F"/>
    <w:rsid w:val="00E45EF0"/>
    <w:rsid w:val="00E4634C"/>
    <w:rsid w:val="00E46B32"/>
    <w:rsid w:val="00E46BD7"/>
    <w:rsid w:val="00E50365"/>
    <w:rsid w:val="00E50C7C"/>
    <w:rsid w:val="00E5115E"/>
    <w:rsid w:val="00E51B83"/>
    <w:rsid w:val="00E5249C"/>
    <w:rsid w:val="00E53AE8"/>
    <w:rsid w:val="00E53BD9"/>
    <w:rsid w:val="00E562CA"/>
    <w:rsid w:val="00E576A6"/>
    <w:rsid w:val="00E57FB2"/>
    <w:rsid w:val="00E602E9"/>
    <w:rsid w:val="00E6092A"/>
    <w:rsid w:val="00E6192B"/>
    <w:rsid w:val="00E62170"/>
    <w:rsid w:val="00E62371"/>
    <w:rsid w:val="00E62743"/>
    <w:rsid w:val="00E6290F"/>
    <w:rsid w:val="00E62B3E"/>
    <w:rsid w:val="00E63122"/>
    <w:rsid w:val="00E63A41"/>
    <w:rsid w:val="00E64510"/>
    <w:rsid w:val="00E64763"/>
    <w:rsid w:val="00E6550B"/>
    <w:rsid w:val="00E65A08"/>
    <w:rsid w:val="00E65B10"/>
    <w:rsid w:val="00E65E81"/>
    <w:rsid w:val="00E66117"/>
    <w:rsid w:val="00E667BE"/>
    <w:rsid w:val="00E66DAA"/>
    <w:rsid w:val="00E675A7"/>
    <w:rsid w:val="00E677B8"/>
    <w:rsid w:val="00E67B43"/>
    <w:rsid w:val="00E70753"/>
    <w:rsid w:val="00E71149"/>
    <w:rsid w:val="00E71ECA"/>
    <w:rsid w:val="00E724A0"/>
    <w:rsid w:val="00E725C9"/>
    <w:rsid w:val="00E72F65"/>
    <w:rsid w:val="00E73872"/>
    <w:rsid w:val="00E741B7"/>
    <w:rsid w:val="00E74227"/>
    <w:rsid w:val="00E746BA"/>
    <w:rsid w:val="00E74BCA"/>
    <w:rsid w:val="00E751E2"/>
    <w:rsid w:val="00E754DA"/>
    <w:rsid w:val="00E75594"/>
    <w:rsid w:val="00E75811"/>
    <w:rsid w:val="00E76696"/>
    <w:rsid w:val="00E76C79"/>
    <w:rsid w:val="00E77208"/>
    <w:rsid w:val="00E77216"/>
    <w:rsid w:val="00E7751C"/>
    <w:rsid w:val="00E77812"/>
    <w:rsid w:val="00E80636"/>
    <w:rsid w:val="00E80866"/>
    <w:rsid w:val="00E808E7"/>
    <w:rsid w:val="00E82384"/>
    <w:rsid w:val="00E82CCA"/>
    <w:rsid w:val="00E83161"/>
    <w:rsid w:val="00E84A4D"/>
    <w:rsid w:val="00E84AA3"/>
    <w:rsid w:val="00E84D48"/>
    <w:rsid w:val="00E84F77"/>
    <w:rsid w:val="00E85E68"/>
    <w:rsid w:val="00E85EEA"/>
    <w:rsid w:val="00E862DD"/>
    <w:rsid w:val="00E86428"/>
    <w:rsid w:val="00E864F8"/>
    <w:rsid w:val="00E8666C"/>
    <w:rsid w:val="00E866B4"/>
    <w:rsid w:val="00E86E1B"/>
    <w:rsid w:val="00E87264"/>
    <w:rsid w:val="00E90550"/>
    <w:rsid w:val="00E9075C"/>
    <w:rsid w:val="00E90C01"/>
    <w:rsid w:val="00E90C97"/>
    <w:rsid w:val="00E90ED3"/>
    <w:rsid w:val="00E91128"/>
    <w:rsid w:val="00E91C11"/>
    <w:rsid w:val="00E926A0"/>
    <w:rsid w:val="00E928B7"/>
    <w:rsid w:val="00E92B23"/>
    <w:rsid w:val="00E92C34"/>
    <w:rsid w:val="00E932AC"/>
    <w:rsid w:val="00E93B4A"/>
    <w:rsid w:val="00E93D58"/>
    <w:rsid w:val="00E94618"/>
    <w:rsid w:val="00E94747"/>
    <w:rsid w:val="00E94829"/>
    <w:rsid w:val="00E94C4E"/>
    <w:rsid w:val="00E94F2B"/>
    <w:rsid w:val="00E95E45"/>
    <w:rsid w:val="00E96337"/>
    <w:rsid w:val="00E96CA9"/>
    <w:rsid w:val="00EA0292"/>
    <w:rsid w:val="00EA166F"/>
    <w:rsid w:val="00EA1889"/>
    <w:rsid w:val="00EA27F6"/>
    <w:rsid w:val="00EA2926"/>
    <w:rsid w:val="00EA510C"/>
    <w:rsid w:val="00EA555A"/>
    <w:rsid w:val="00EA570B"/>
    <w:rsid w:val="00EA5A8D"/>
    <w:rsid w:val="00EA5A9E"/>
    <w:rsid w:val="00EA672F"/>
    <w:rsid w:val="00EA6BE7"/>
    <w:rsid w:val="00EA6C9A"/>
    <w:rsid w:val="00EA6E53"/>
    <w:rsid w:val="00EA72BD"/>
    <w:rsid w:val="00EA79DE"/>
    <w:rsid w:val="00EA7B44"/>
    <w:rsid w:val="00EA7EE3"/>
    <w:rsid w:val="00EB1927"/>
    <w:rsid w:val="00EB25C7"/>
    <w:rsid w:val="00EB279A"/>
    <w:rsid w:val="00EB2E89"/>
    <w:rsid w:val="00EB3D8E"/>
    <w:rsid w:val="00EB436A"/>
    <w:rsid w:val="00EB46F5"/>
    <w:rsid w:val="00EB4D16"/>
    <w:rsid w:val="00EB50D1"/>
    <w:rsid w:val="00EB5994"/>
    <w:rsid w:val="00EB5D01"/>
    <w:rsid w:val="00EB63C0"/>
    <w:rsid w:val="00EB6649"/>
    <w:rsid w:val="00EB6DF5"/>
    <w:rsid w:val="00EB7E8A"/>
    <w:rsid w:val="00EC0579"/>
    <w:rsid w:val="00EC0DEF"/>
    <w:rsid w:val="00EC1034"/>
    <w:rsid w:val="00EC1044"/>
    <w:rsid w:val="00EC176A"/>
    <w:rsid w:val="00EC198A"/>
    <w:rsid w:val="00EC19BC"/>
    <w:rsid w:val="00EC1E8A"/>
    <w:rsid w:val="00EC27EC"/>
    <w:rsid w:val="00EC2FD1"/>
    <w:rsid w:val="00EC37B4"/>
    <w:rsid w:val="00EC3AA5"/>
    <w:rsid w:val="00EC3DE2"/>
    <w:rsid w:val="00EC408F"/>
    <w:rsid w:val="00EC49AC"/>
    <w:rsid w:val="00EC4A43"/>
    <w:rsid w:val="00EC4E1B"/>
    <w:rsid w:val="00EC50E2"/>
    <w:rsid w:val="00EC50E4"/>
    <w:rsid w:val="00EC553B"/>
    <w:rsid w:val="00EC5D26"/>
    <w:rsid w:val="00EC6323"/>
    <w:rsid w:val="00EC6477"/>
    <w:rsid w:val="00EC66C9"/>
    <w:rsid w:val="00EC674B"/>
    <w:rsid w:val="00EC6C9A"/>
    <w:rsid w:val="00EC73A7"/>
    <w:rsid w:val="00ED024F"/>
    <w:rsid w:val="00ED03B4"/>
    <w:rsid w:val="00ED05A2"/>
    <w:rsid w:val="00ED213C"/>
    <w:rsid w:val="00ED219A"/>
    <w:rsid w:val="00ED3FCA"/>
    <w:rsid w:val="00ED45E7"/>
    <w:rsid w:val="00ED46B6"/>
    <w:rsid w:val="00ED54D7"/>
    <w:rsid w:val="00ED54F1"/>
    <w:rsid w:val="00ED56E2"/>
    <w:rsid w:val="00ED647A"/>
    <w:rsid w:val="00ED7332"/>
    <w:rsid w:val="00ED781E"/>
    <w:rsid w:val="00ED78D4"/>
    <w:rsid w:val="00EE0AFF"/>
    <w:rsid w:val="00EE1557"/>
    <w:rsid w:val="00EE1791"/>
    <w:rsid w:val="00EE1E2E"/>
    <w:rsid w:val="00EE307F"/>
    <w:rsid w:val="00EE3BEB"/>
    <w:rsid w:val="00EE3D4D"/>
    <w:rsid w:val="00EE3F2A"/>
    <w:rsid w:val="00EE3FC2"/>
    <w:rsid w:val="00EE3FFE"/>
    <w:rsid w:val="00EE48D7"/>
    <w:rsid w:val="00EE511C"/>
    <w:rsid w:val="00EE526A"/>
    <w:rsid w:val="00EE5DAB"/>
    <w:rsid w:val="00EE64E2"/>
    <w:rsid w:val="00EE6965"/>
    <w:rsid w:val="00EE760B"/>
    <w:rsid w:val="00EF01D6"/>
    <w:rsid w:val="00EF08CA"/>
    <w:rsid w:val="00EF0B28"/>
    <w:rsid w:val="00EF0B33"/>
    <w:rsid w:val="00EF0E1A"/>
    <w:rsid w:val="00EF130C"/>
    <w:rsid w:val="00EF1898"/>
    <w:rsid w:val="00EF2221"/>
    <w:rsid w:val="00EF2B00"/>
    <w:rsid w:val="00EF3154"/>
    <w:rsid w:val="00EF348C"/>
    <w:rsid w:val="00EF34A1"/>
    <w:rsid w:val="00EF4211"/>
    <w:rsid w:val="00EF4BAB"/>
    <w:rsid w:val="00EF61A1"/>
    <w:rsid w:val="00EF6662"/>
    <w:rsid w:val="00EF6768"/>
    <w:rsid w:val="00EF6F14"/>
    <w:rsid w:val="00EF76B7"/>
    <w:rsid w:val="00EF7824"/>
    <w:rsid w:val="00EF7ED7"/>
    <w:rsid w:val="00F0147C"/>
    <w:rsid w:val="00F018E0"/>
    <w:rsid w:val="00F01D32"/>
    <w:rsid w:val="00F01EBF"/>
    <w:rsid w:val="00F02210"/>
    <w:rsid w:val="00F02AAA"/>
    <w:rsid w:val="00F02E19"/>
    <w:rsid w:val="00F030EF"/>
    <w:rsid w:val="00F033BA"/>
    <w:rsid w:val="00F03438"/>
    <w:rsid w:val="00F0439C"/>
    <w:rsid w:val="00F048B0"/>
    <w:rsid w:val="00F056E4"/>
    <w:rsid w:val="00F057D3"/>
    <w:rsid w:val="00F057EB"/>
    <w:rsid w:val="00F057ED"/>
    <w:rsid w:val="00F0585F"/>
    <w:rsid w:val="00F063DF"/>
    <w:rsid w:val="00F06AAE"/>
    <w:rsid w:val="00F07505"/>
    <w:rsid w:val="00F07525"/>
    <w:rsid w:val="00F077A6"/>
    <w:rsid w:val="00F07AD5"/>
    <w:rsid w:val="00F07BDF"/>
    <w:rsid w:val="00F102DE"/>
    <w:rsid w:val="00F10B00"/>
    <w:rsid w:val="00F11612"/>
    <w:rsid w:val="00F12F8C"/>
    <w:rsid w:val="00F12FF9"/>
    <w:rsid w:val="00F13D97"/>
    <w:rsid w:val="00F13FCE"/>
    <w:rsid w:val="00F1405C"/>
    <w:rsid w:val="00F14192"/>
    <w:rsid w:val="00F14B94"/>
    <w:rsid w:val="00F14C9C"/>
    <w:rsid w:val="00F14DA2"/>
    <w:rsid w:val="00F14E7C"/>
    <w:rsid w:val="00F1563A"/>
    <w:rsid w:val="00F15A47"/>
    <w:rsid w:val="00F15A93"/>
    <w:rsid w:val="00F161FE"/>
    <w:rsid w:val="00F17608"/>
    <w:rsid w:val="00F17B29"/>
    <w:rsid w:val="00F17DD4"/>
    <w:rsid w:val="00F200B6"/>
    <w:rsid w:val="00F200D9"/>
    <w:rsid w:val="00F2015B"/>
    <w:rsid w:val="00F20C85"/>
    <w:rsid w:val="00F21039"/>
    <w:rsid w:val="00F228E2"/>
    <w:rsid w:val="00F2301E"/>
    <w:rsid w:val="00F234B1"/>
    <w:rsid w:val="00F23666"/>
    <w:rsid w:val="00F238C8"/>
    <w:rsid w:val="00F24B94"/>
    <w:rsid w:val="00F26307"/>
    <w:rsid w:val="00F26484"/>
    <w:rsid w:val="00F26630"/>
    <w:rsid w:val="00F267D2"/>
    <w:rsid w:val="00F26A6D"/>
    <w:rsid w:val="00F2754E"/>
    <w:rsid w:val="00F3061E"/>
    <w:rsid w:val="00F31060"/>
    <w:rsid w:val="00F311AA"/>
    <w:rsid w:val="00F31510"/>
    <w:rsid w:val="00F316F6"/>
    <w:rsid w:val="00F321B7"/>
    <w:rsid w:val="00F32891"/>
    <w:rsid w:val="00F32D2B"/>
    <w:rsid w:val="00F32F96"/>
    <w:rsid w:val="00F33E1D"/>
    <w:rsid w:val="00F34289"/>
    <w:rsid w:val="00F34302"/>
    <w:rsid w:val="00F34C64"/>
    <w:rsid w:val="00F34D6C"/>
    <w:rsid w:val="00F34E7A"/>
    <w:rsid w:val="00F34EAD"/>
    <w:rsid w:val="00F3520B"/>
    <w:rsid w:val="00F357BA"/>
    <w:rsid w:val="00F35A9A"/>
    <w:rsid w:val="00F35BF2"/>
    <w:rsid w:val="00F35F6B"/>
    <w:rsid w:val="00F36BE4"/>
    <w:rsid w:val="00F36EDC"/>
    <w:rsid w:val="00F40954"/>
    <w:rsid w:val="00F40FFF"/>
    <w:rsid w:val="00F41A5A"/>
    <w:rsid w:val="00F41FEE"/>
    <w:rsid w:val="00F4205D"/>
    <w:rsid w:val="00F42185"/>
    <w:rsid w:val="00F43528"/>
    <w:rsid w:val="00F448D5"/>
    <w:rsid w:val="00F44D55"/>
    <w:rsid w:val="00F44FEC"/>
    <w:rsid w:val="00F450CF"/>
    <w:rsid w:val="00F458E2"/>
    <w:rsid w:val="00F45967"/>
    <w:rsid w:val="00F45F9A"/>
    <w:rsid w:val="00F4650D"/>
    <w:rsid w:val="00F47904"/>
    <w:rsid w:val="00F47E28"/>
    <w:rsid w:val="00F502D4"/>
    <w:rsid w:val="00F50461"/>
    <w:rsid w:val="00F505DC"/>
    <w:rsid w:val="00F50710"/>
    <w:rsid w:val="00F50B0F"/>
    <w:rsid w:val="00F50B9A"/>
    <w:rsid w:val="00F51421"/>
    <w:rsid w:val="00F516F3"/>
    <w:rsid w:val="00F51B84"/>
    <w:rsid w:val="00F51D67"/>
    <w:rsid w:val="00F51EB8"/>
    <w:rsid w:val="00F5333A"/>
    <w:rsid w:val="00F53E43"/>
    <w:rsid w:val="00F5414B"/>
    <w:rsid w:val="00F542F7"/>
    <w:rsid w:val="00F5447A"/>
    <w:rsid w:val="00F54ACC"/>
    <w:rsid w:val="00F5588C"/>
    <w:rsid w:val="00F55CB8"/>
    <w:rsid w:val="00F56AAB"/>
    <w:rsid w:val="00F56AD3"/>
    <w:rsid w:val="00F57900"/>
    <w:rsid w:val="00F609FE"/>
    <w:rsid w:val="00F60F88"/>
    <w:rsid w:val="00F61F18"/>
    <w:rsid w:val="00F61F23"/>
    <w:rsid w:val="00F62238"/>
    <w:rsid w:val="00F633B4"/>
    <w:rsid w:val="00F638FD"/>
    <w:rsid w:val="00F63B65"/>
    <w:rsid w:val="00F64B92"/>
    <w:rsid w:val="00F65654"/>
    <w:rsid w:val="00F661FB"/>
    <w:rsid w:val="00F66326"/>
    <w:rsid w:val="00F66338"/>
    <w:rsid w:val="00F66A5E"/>
    <w:rsid w:val="00F67319"/>
    <w:rsid w:val="00F67BAA"/>
    <w:rsid w:val="00F7006F"/>
    <w:rsid w:val="00F700D6"/>
    <w:rsid w:val="00F70B97"/>
    <w:rsid w:val="00F70D01"/>
    <w:rsid w:val="00F70EB8"/>
    <w:rsid w:val="00F717B2"/>
    <w:rsid w:val="00F7221D"/>
    <w:rsid w:val="00F72681"/>
    <w:rsid w:val="00F728AB"/>
    <w:rsid w:val="00F72B35"/>
    <w:rsid w:val="00F73205"/>
    <w:rsid w:val="00F740D9"/>
    <w:rsid w:val="00F744C4"/>
    <w:rsid w:val="00F745A9"/>
    <w:rsid w:val="00F74CC9"/>
    <w:rsid w:val="00F75563"/>
    <w:rsid w:val="00F75828"/>
    <w:rsid w:val="00F7595A"/>
    <w:rsid w:val="00F75E43"/>
    <w:rsid w:val="00F76012"/>
    <w:rsid w:val="00F77063"/>
    <w:rsid w:val="00F771BD"/>
    <w:rsid w:val="00F7744B"/>
    <w:rsid w:val="00F779CE"/>
    <w:rsid w:val="00F77D95"/>
    <w:rsid w:val="00F80495"/>
    <w:rsid w:val="00F80ACA"/>
    <w:rsid w:val="00F80F7E"/>
    <w:rsid w:val="00F81616"/>
    <w:rsid w:val="00F81F57"/>
    <w:rsid w:val="00F82147"/>
    <w:rsid w:val="00F837ED"/>
    <w:rsid w:val="00F85867"/>
    <w:rsid w:val="00F86038"/>
    <w:rsid w:val="00F86299"/>
    <w:rsid w:val="00F86519"/>
    <w:rsid w:val="00F86610"/>
    <w:rsid w:val="00F87644"/>
    <w:rsid w:val="00F9037F"/>
    <w:rsid w:val="00F908D7"/>
    <w:rsid w:val="00F912EC"/>
    <w:rsid w:val="00F9153F"/>
    <w:rsid w:val="00F91E81"/>
    <w:rsid w:val="00F92874"/>
    <w:rsid w:val="00F92EE7"/>
    <w:rsid w:val="00F933FC"/>
    <w:rsid w:val="00F9447D"/>
    <w:rsid w:val="00F9486B"/>
    <w:rsid w:val="00F9496F"/>
    <w:rsid w:val="00F95112"/>
    <w:rsid w:val="00F956B4"/>
    <w:rsid w:val="00F95A7F"/>
    <w:rsid w:val="00F9630C"/>
    <w:rsid w:val="00F9723D"/>
    <w:rsid w:val="00F97A6D"/>
    <w:rsid w:val="00F97DB2"/>
    <w:rsid w:val="00F97FC9"/>
    <w:rsid w:val="00FA02C5"/>
    <w:rsid w:val="00FA0A7E"/>
    <w:rsid w:val="00FA1846"/>
    <w:rsid w:val="00FA24B0"/>
    <w:rsid w:val="00FA2928"/>
    <w:rsid w:val="00FA3374"/>
    <w:rsid w:val="00FA3F32"/>
    <w:rsid w:val="00FA40CF"/>
    <w:rsid w:val="00FA4BF5"/>
    <w:rsid w:val="00FA54DB"/>
    <w:rsid w:val="00FA7CE9"/>
    <w:rsid w:val="00FA7D96"/>
    <w:rsid w:val="00FB0A2E"/>
    <w:rsid w:val="00FB0CD9"/>
    <w:rsid w:val="00FB0DE4"/>
    <w:rsid w:val="00FB1622"/>
    <w:rsid w:val="00FB1A16"/>
    <w:rsid w:val="00FB1F63"/>
    <w:rsid w:val="00FB209C"/>
    <w:rsid w:val="00FB2722"/>
    <w:rsid w:val="00FB283A"/>
    <w:rsid w:val="00FB46C1"/>
    <w:rsid w:val="00FB490D"/>
    <w:rsid w:val="00FB4BBE"/>
    <w:rsid w:val="00FB4DCB"/>
    <w:rsid w:val="00FB5179"/>
    <w:rsid w:val="00FB55BB"/>
    <w:rsid w:val="00FB74AD"/>
    <w:rsid w:val="00FB74AE"/>
    <w:rsid w:val="00FB7AF5"/>
    <w:rsid w:val="00FC01E2"/>
    <w:rsid w:val="00FC05AF"/>
    <w:rsid w:val="00FC0B84"/>
    <w:rsid w:val="00FC0FDA"/>
    <w:rsid w:val="00FC1B84"/>
    <w:rsid w:val="00FC1DEF"/>
    <w:rsid w:val="00FC2AEF"/>
    <w:rsid w:val="00FC3041"/>
    <w:rsid w:val="00FC32B5"/>
    <w:rsid w:val="00FC34CF"/>
    <w:rsid w:val="00FC3875"/>
    <w:rsid w:val="00FC49FE"/>
    <w:rsid w:val="00FC4D07"/>
    <w:rsid w:val="00FC5440"/>
    <w:rsid w:val="00FC7402"/>
    <w:rsid w:val="00FC7CFF"/>
    <w:rsid w:val="00FD0682"/>
    <w:rsid w:val="00FD0A8B"/>
    <w:rsid w:val="00FD1226"/>
    <w:rsid w:val="00FD12EC"/>
    <w:rsid w:val="00FD12F9"/>
    <w:rsid w:val="00FD1C0F"/>
    <w:rsid w:val="00FD2C17"/>
    <w:rsid w:val="00FD435E"/>
    <w:rsid w:val="00FD571C"/>
    <w:rsid w:val="00FD5B99"/>
    <w:rsid w:val="00FD6CA2"/>
    <w:rsid w:val="00FD7075"/>
    <w:rsid w:val="00FD7113"/>
    <w:rsid w:val="00FD771E"/>
    <w:rsid w:val="00FD782D"/>
    <w:rsid w:val="00FD7D5D"/>
    <w:rsid w:val="00FE052F"/>
    <w:rsid w:val="00FE074B"/>
    <w:rsid w:val="00FE12E0"/>
    <w:rsid w:val="00FE1F86"/>
    <w:rsid w:val="00FE2261"/>
    <w:rsid w:val="00FE2C4B"/>
    <w:rsid w:val="00FE2D9F"/>
    <w:rsid w:val="00FE307E"/>
    <w:rsid w:val="00FE409E"/>
    <w:rsid w:val="00FE48BB"/>
    <w:rsid w:val="00FE569F"/>
    <w:rsid w:val="00FE5A91"/>
    <w:rsid w:val="00FE5D4A"/>
    <w:rsid w:val="00FE6D30"/>
    <w:rsid w:val="00FE7344"/>
    <w:rsid w:val="00FE7BCF"/>
    <w:rsid w:val="00FE7F77"/>
    <w:rsid w:val="00FF07AA"/>
    <w:rsid w:val="00FF12EB"/>
    <w:rsid w:val="00FF17FC"/>
    <w:rsid w:val="00FF23B7"/>
    <w:rsid w:val="00FF2EC6"/>
    <w:rsid w:val="00FF3188"/>
    <w:rsid w:val="00FF3D2F"/>
    <w:rsid w:val="00FF4249"/>
    <w:rsid w:val="00FF4A67"/>
    <w:rsid w:val="00FF5B50"/>
    <w:rsid w:val="00FF5C91"/>
    <w:rsid w:val="00FF6189"/>
    <w:rsid w:val="00FF688E"/>
    <w:rsid w:val="00FF68F5"/>
    <w:rsid w:val="00FF7483"/>
    <w:rsid w:val="00FF7B5D"/>
    <w:rsid w:val="00FF7EF9"/>
    <w:rsid w:val="0103BAE4"/>
    <w:rsid w:val="01069527"/>
    <w:rsid w:val="010AEF44"/>
    <w:rsid w:val="010F5683"/>
    <w:rsid w:val="0114FDAC"/>
    <w:rsid w:val="0120FFC2"/>
    <w:rsid w:val="0129BB3E"/>
    <w:rsid w:val="012CE081"/>
    <w:rsid w:val="012D35ED"/>
    <w:rsid w:val="012E1FB6"/>
    <w:rsid w:val="016023F3"/>
    <w:rsid w:val="0169345B"/>
    <w:rsid w:val="017C9EAF"/>
    <w:rsid w:val="018A56B4"/>
    <w:rsid w:val="01983923"/>
    <w:rsid w:val="01A49060"/>
    <w:rsid w:val="01D3C296"/>
    <w:rsid w:val="01D3C6E4"/>
    <w:rsid w:val="01E67580"/>
    <w:rsid w:val="01F15412"/>
    <w:rsid w:val="01F30D7F"/>
    <w:rsid w:val="0210A56E"/>
    <w:rsid w:val="02169414"/>
    <w:rsid w:val="0218B5EE"/>
    <w:rsid w:val="021A4447"/>
    <w:rsid w:val="02281E49"/>
    <w:rsid w:val="0229CB8C"/>
    <w:rsid w:val="022CCD35"/>
    <w:rsid w:val="0231E367"/>
    <w:rsid w:val="0232EB96"/>
    <w:rsid w:val="02419522"/>
    <w:rsid w:val="0241BC38"/>
    <w:rsid w:val="02442FB5"/>
    <w:rsid w:val="024D5443"/>
    <w:rsid w:val="0274835A"/>
    <w:rsid w:val="0276B5D7"/>
    <w:rsid w:val="0281CDEB"/>
    <w:rsid w:val="0288DDAC"/>
    <w:rsid w:val="0295E56F"/>
    <w:rsid w:val="02ABD39A"/>
    <w:rsid w:val="02C65844"/>
    <w:rsid w:val="02CD7031"/>
    <w:rsid w:val="02D6D3DC"/>
    <w:rsid w:val="02FAD8EE"/>
    <w:rsid w:val="0331575B"/>
    <w:rsid w:val="03330EB5"/>
    <w:rsid w:val="035B9A30"/>
    <w:rsid w:val="035E56A0"/>
    <w:rsid w:val="037E7812"/>
    <w:rsid w:val="037FE6E4"/>
    <w:rsid w:val="0380803D"/>
    <w:rsid w:val="038A8F92"/>
    <w:rsid w:val="0397AB65"/>
    <w:rsid w:val="03B0A798"/>
    <w:rsid w:val="03B4864F"/>
    <w:rsid w:val="03B5B082"/>
    <w:rsid w:val="040F54B8"/>
    <w:rsid w:val="04128638"/>
    <w:rsid w:val="0415831C"/>
    <w:rsid w:val="041FAEEE"/>
    <w:rsid w:val="045432D8"/>
    <w:rsid w:val="045BD2E1"/>
    <w:rsid w:val="045E50DA"/>
    <w:rsid w:val="04670053"/>
    <w:rsid w:val="04694092"/>
    <w:rsid w:val="0479F5A6"/>
    <w:rsid w:val="049EB6AF"/>
    <w:rsid w:val="04A2B26B"/>
    <w:rsid w:val="04A71244"/>
    <w:rsid w:val="04A8AC27"/>
    <w:rsid w:val="04AB3D75"/>
    <w:rsid w:val="04C1F776"/>
    <w:rsid w:val="04C535DB"/>
    <w:rsid w:val="04D27701"/>
    <w:rsid w:val="04D946D7"/>
    <w:rsid w:val="04DDDC82"/>
    <w:rsid w:val="04E9EE90"/>
    <w:rsid w:val="04FA8CAB"/>
    <w:rsid w:val="05162373"/>
    <w:rsid w:val="051D0B4C"/>
    <w:rsid w:val="0521E426"/>
    <w:rsid w:val="052D7DC6"/>
    <w:rsid w:val="055412F8"/>
    <w:rsid w:val="055F5066"/>
    <w:rsid w:val="0561CEF0"/>
    <w:rsid w:val="056AB8AB"/>
    <w:rsid w:val="05731154"/>
    <w:rsid w:val="05741D79"/>
    <w:rsid w:val="05781C0C"/>
    <w:rsid w:val="057D2F45"/>
    <w:rsid w:val="058FA05D"/>
    <w:rsid w:val="0594666D"/>
    <w:rsid w:val="05A01065"/>
    <w:rsid w:val="05A12986"/>
    <w:rsid w:val="05A9C25E"/>
    <w:rsid w:val="05B32DAB"/>
    <w:rsid w:val="05B9F3D5"/>
    <w:rsid w:val="05BA3E6D"/>
    <w:rsid w:val="05D311B7"/>
    <w:rsid w:val="06171484"/>
    <w:rsid w:val="0661DD09"/>
    <w:rsid w:val="06875300"/>
    <w:rsid w:val="0687D4AC"/>
    <w:rsid w:val="06940629"/>
    <w:rsid w:val="06B62D04"/>
    <w:rsid w:val="06C9597C"/>
    <w:rsid w:val="06CCED98"/>
    <w:rsid w:val="06D53AF4"/>
    <w:rsid w:val="06D6C630"/>
    <w:rsid w:val="06FCE72F"/>
    <w:rsid w:val="071AEF68"/>
    <w:rsid w:val="072221A6"/>
    <w:rsid w:val="0724D883"/>
    <w:rsid w:val="072FFE3A"/>
    <w:rsid w:val="074407D8"/>
    <w:rsid w:val="074B0DE9"/>
    <w:rsid w:val="074F9E4B"/>
    <w:rsid w:val="07513E6C"/>
    <w:rsid w:val="0765D3C0"/>
    <w:rsid w:val="0771D48F"/>
    <w:rsid w:val="077363B1"/>
    <w:rsid w:val="079481B9"/>
    <w:rsid w:val="07A908C0"/>
    <w:rsid w:val="07C9C89C"/>
    <w:rsid w:val="07DA0918"/>
    <w:rsid w:val="07FF16DF"/>
    <w:rsid w:val="0839EA2C"/>
    <w:rsid w:val="08405331"/>
    <w:rsid w:val="08476D39"/>
    <w:rsid w:val="08581676"/>
    <w:rsid w:val="085C2500"/>
    <w:rsid w:val="08890A42"/>
    <w:rsid w:val="08C4F65C"/>
    <w:rsid w:val="08F7682D"/>
    <w:rsid w:val="09200F91"/>
    <w:rsid w:val="092DE673"/>
    <w:rsid w:val="09492ABB"/>
    <w:rsid w:val="0950ED9D"/>
    <w:rsid w:val="0951093B"/>
    <w:rsid w:val="096EAB15"/>
    <w:rsid w:val="09850CC9"/>
    <w:rsid w:val="09A4098B"/>
    <w:rsid w:val="09A8344A"/>
    <w:rsid w:val="09BC4005"/>
    <w:rsid w:val="09C0E5A3"/>
    <w:rsid w:val="09C57786"/>
    <w:rsid w:val="0A018481"/>
    <w:rsid w:val="0A0D84C2"/>
    <w:rsid w:val="0A3CDAD0"/>
    <w:rsid w:val="0A4BC6A4"/>
    <w:rsid w:val="0A61851C"/>
    <w:rsid w:val="0A619319"/>
    <w:rsid w:val="0A6F8DC7"/>
    <w:rsid w:val="0A85A308"/>
    <w:rsid w:val="0A995945"/>
    <w:rsid w:val="0AA165F9"/>
    <w:rsid w:val="0ABE1AC5"/>
    <w:rsid w:val="0AE91ED0"/>
    <w:rsid w:val="0AF212CA"/>
    <w:rsid w:val="0B0A4FBC"/>
    <w:rsid w:val="0B237C7C"/>
    <w:rsid w:val="0B31064B"/>
    <w:rsid w:val="0B3A1C78"/>
    <w:rsid w:val="0B52BD6A"/>
    <w:rsid w:val="0B65A028"/>
    <w:rsid w:val="0BB1AD0C"/>
    <w:rsid w:val="0BB85514"/>
    <w:rsid w:val="0BCD740F"/>
    <w:rsid w:val="0BD4293F"/>
    <w:rsid w:val="0BD8C4A2"/>
    <w:rsid w:val="0C1B45F2"/>
    <w:rsid w:val="0C1C52E3"/>
    <w:rsid w:val="0C23F38B"/>
    <w:rsid w:val="0C49C9C7"/>
    <w:rsid w:val="0C4C5EAB"/>
    <w:rsid w:val="0C636717"/>
    <w:rsid w:val="0C63F315"/>
    <w:rsid w:val="0C7ED2AF"/>
    <w:rsid w:val="0C96BA63"/>
    <w:rsid w:val="0CAA41AE"/>
    <w:rsid w:val="0CAE6681"/>
    <w:rsid w:val="0CB64F5A"/>
    <w:rsid w:val="0CB9310C"/>
    <w:rsid w:val="0CCC2063"/>
    <w:rsid w:val="0CDE9241"/>
    <w:rsid w:val="0CE12544"/>
    <w:rsid w:val="0CF9F8A3"/>
    <w:rsid w:val="0CFA9BF7"/>
    <w:rsid w:val="0D06B147"/>
    <w:rsid w:val="0D11DFCD"/>
    <w:rsid w:val="0D14B972"/>
    <w:rsid w:val="0D27A32A"/>
    <w:rsid w:val="0D40F834"/>
    <w:rsid w:val="0D435308"/>
    <w:rsid w:val="0D4C3B7A"/>
    <w:rsid w:val="0D613E7A"/>
    <w:rsid w:val="0D6476D4"/>
    <w:rsid w:val="0D6A9E1F"/>
    <w:rsid w:val="0D75A6B7"/>
    <w:rsid w:val="0D75A810"/>
    <w:rsid w:val="0D7D6A02"/>
    <w:rsid w:val="0D805621"/>
    <w:rsid w:val="0D91678D"/>
    <w:rsid w:val="0D98988D"/>
    <w:rsid w:val="0DA3DAB3"/>
    <w:rsid w:val="0DA5DF6C"/>
    <w:rsid w:val="0DBE219A"/>
    <w:rsid w:val="0DC1AFBA"/>
    <w:rsid w:val="0DD85716"/>
    <w:rsid w:val="0DDC2F7E"/>
    <w:rsid w:val="0DDE0981"/>
    <w:rsid w:val="0DF380B4"/>
    <w:rsid w:val="0DF5BB94"/>
    <w:rsid w:val="0DF8F606"/>
    <w:rsid w:val="0E06875F"/>
    <w:rsid w:val="0E091F92"/>
    <w:rsid w:val="0E244D99"/>
    <w:rsid w:val="0E26D5C7"/>
    <w:rsid w:val="0E2C8AD4"/>
    <w:rsid w:val="0E2FE585"/>
    <w:rsid w:val="0E3409FE"/>
    <w:rsid w:val="0E3489AE"/>
    <w:rsid w:val="0E3859F2"/>
    <w:rsid w:val="0E85F037"/>
    <w:rsid w:val="0E9973D2"/>
    <w:rsid w:val="0EA37BA8"/>
    <w:rsid w:val="0EBDD00C"/>
    <w:rsid w:val="0EDE25CE"/>
    <w:rsid w:val="0EEEC39E"/>
    <w:rsid w:val="0EF18FAB"/>
    <w:rsid w:val="0EFC4CEA"/>
    <w:rsid w:val="0F19015D"/>
    <w:rsid w:val="0F223622"/>
    <w:rsid w:val="0F23A442"/>
    <w:rsid w:val="0F25BE5B"/>
    <w:rsid w:val="0F25DD3E"/>
    <w:rsid w:val="0F2697EF"/>
    <w:rsid w:val="0F33D105"/>
    <w:rsid w:val="0F54A167"/>
    <w:rsid w:val="0F563D54"/>
    <w:rsid w:val="0F5F84FF"/>
    <w:rsid w:val="0F6AD710"/>
    <w:rsid w:val="0F6BC652"/>
    <w:rsid w:val="0F6F2F64"/>
    <w:rsid w:val="0F8236DD"/>
    <w:rsid w:val="0F8810E8"/>
    <w:rsid w:val="0F9957D0"/>
    <w:rsid w:val="0FB8AC2A"/>
    <w:rsid w:val="0FC2A628"/>
    <w:rsid w:val="0FCF6F37"/>
    <w:rsid w:val="0FD58FD4"/>
    <w:rsid w:val="0FE665D4"/>
    <w:rsid w:val="0FE6AF38"/>
    <w:rsid w:val="0FF147C8"/>
    <w:rsid w:val="0FF72259"/>
    <w:rsid w:val="0FFA6545"/>
    <w:rsid w:val="100D53E9"/>
    <w:rsid w:val="10256FC9"/>
    <w:rsid w:val="1048ADC5"/>
    <w:rsid w:val="1052FEBD"/>
    <w:rsid w:val="1063ED56"/>
    <w:rsid w:val="1079D355"/>
    <w:rsid w:val="107AF3CA"/>
    <w:rsid w:val="107B5FF3"/>
    <w:rsid w:val="1087088D"/>
    <w:rsid w:val="108EAC38"/>
    <w:rsid w:val="1098A299"/>
    <w:rsid w:val="109CC484"/>
    <w:rsid w:val="10AA25F6"/>
    <w:rsid w:val="10BD03CA"/>
    <w:rsid w:val="10DA8D9E"/>
    <w:rsid w:val="10DF959D"/>
    <w:rsid w:val="10E31FE1"/>
    <w:rsid w:val="10EB1F7F"/>
    <w:rsid w:val="10FF6DC3"/>
    <w:rsid w:val="1102BAE5"/>
    <w:rsid w:val="1106A771"/>
    <w:rsid w:val="110ED67D"/>
    <w:rsid w:val="110FB0A1"/>
    <w:rsid w:val="1118667F"/>
    <w:rsid w:val="1141A630"/>
    <w:rsid w:val="114FE393"/>
    <w:rsid w:val="11547C8B"/>
    <w:rsid w:val="115756E3"/>
    <w:rsid w:val="115E7689"/>
    <w:rsid w:val="1169863F"/>
    <w:rsid w:val="117D70A9"/>
    <w:rsid w:val="118314E7"/>
    <w:rsid w:val="11A9EEC5"/>
    <w:rsid w:val="11AEE1F3"/>
    <w:rsid w:val="11BCC6DF"/>
    <w:rsid w:val="11C5695D"/>
    <w:rsid w:val="11C9D50D"/>
    <w:rsid w:val="11CF6746"/>
    <w:rsid w:val="11D9F91E"/>
    <w:rsid w:val="11DEE0DC"/>
    <w:rsid w:val="11F350D2"/>
    <w:rsid w:val="1216C42B"/>
    <w:rsid w:val="122AAA16"/>
    <w:rsid w:val="12340A73"/>
    <w:rsid w:val="12358550"/>
    <w:rsid w:val="12381232"/>
    <w:rsid w:val="12483B57"/>
    <w:rsid w:val="1251D5B1"/>
    <w:rsid w:val="1254FB08"/>
    <w:rsid w:val="1257C33E"/>
    <w:rsid w:val="1261FE58"/>
    <w:rsid w:val="127F8DC4"/>
    <w:rsid w:val="128BD357"/>
    <w:rsid w:val="128F011C"/>
    <w:rsid w:val="129B0EAF"/>
    <w:rsid w:val="129B6F48"/>
    <w:rsid w:val="12A277D2"/>
    <w:rsid w:val="12A36714"/>
    <w:rsid w:val="12AAA6DE"/>
    <w:rsid w:val="12CA0BD6"/>
    <w:rsid w:val="12D1F1E2"/>
    <w:rsid w:val="12EB0E6E"/>
    <w:rsid w:val="12EDA776"/>
    <w:rsid w:val="1312C48D"/>
    <w:rsid w:val="13287290"/>
    <w:rsid w:val="1339EAA5"/>
    <w:rsid w:val="13504CC1"/>
    <w:rsid w:val="135A7953"/>
    <w:rsid w:val="135E4FE6"/>
    <w:rsid w:val="138C59C8"/>
    <w:rsid w:val="138D1AA4"/>
    <w:rsid w:val="139BA2CD"/>
    <w:rsid w:val="13A3917B"/>
    <w:rsid w:val="13B13943"/>
    <w:rsid w:val="13C22B01"/>
    <w:rsid w:val="13D07FFE"/>
    <w:rsid w:val="13F51623"/>
    <w:rsid w:val="141A8209"/>
    <w:rsid w:val="141E660E"/>
    <w:rsid w:val="1455509F"/>
    <w:rsid w:val="146F3488"/>
    <w:rsid w:val="14797C2F"/>
    <w:rsid w:val="1480C42F"/>
    <w:rsid w:val="1488C606"/>
    <w:rsid w:val="14951679"/>
    <w:rsid w:val="14A5A794"/>
    <w:rsid w:val="14B0C1A1"/>
    <w:rsid w:val="14BC1D20"/>
    <w:rsid w:val="14C442F1"/>
    <w:rsid w:val="14C8BA62"/>
    <w:rsid w:val="14F834C7"/>
    <w:rsid w:val="150406C5"/>
    <w:rsid w:val="1505ADDC"/>
    <w:rsid w:val="157A04FA"/>
    <w:rsid w:val="15827F47"/>
    <w:rsid w:val="158F0646"/>
    <w:rsid w:val="15AA5DD7"/>
    <w:rsid w:val="15C151F5"/>
    <w:rsid w:val="15CC5369"/>
    <w:rsid w:val="15E247A0"/>
    <w:rsid w:val="1629699E"/>
    <w:rsid w:val="1646EAF5"/>
    <w:rsid w:val="1663C55C"/>
    <w:rsid w:val="168F255F"/>
    <w:rsid w:val="16932888"/>
    <w:rsid w:val="1695F0A8"/>
    <w:rsid w:val="16A27FA3"/>
    <w:rsid w:val="16B702A2"/>
    <w:rsid w:val="16B98784"/>
    <w:rsid w:val="16D4DB04"/>
    <w:rsid w:val="16D7C4DF"/>
    <w:rsid w:val="16E73650"/>
    <w:rsid w:val="16E80B5F"/>
    <w:rsid w:val="16ED46D1"/>
    <w:rsid w:val="16FE1D0C"/>
    <w:rsid w:val="16FFC3A2"/>
    <w:rsid w:val="172028FB"/>
    <w:rsid w:val="17242748"/>
    <w:rsid w:val="17286C2B"/>
    <w:rsid w:val="172BBA62"/>
    <w:rsid w:val="172D9B0C"/>
    <w:rsid w:val="1744E22C"/>
    <w:rsid w:val="174ABCF9"/>
    <w:rsid w:val="174E481E"/>
    <w:rsid w:val="175222CB"/>
    <w:rsid w:val="175DA9A2"/>
    <w:rsid w:val="177E068B"/>
    <w:rsid w:val="17952620"/>
    <w:rsid w:val="17B3F262"/>
    <w:rsid w:val="17BBF1B7"/>
    <w:rsid w:val="17CC8F6E"/>
    <w:rsid w:val="17DAFC84"/>
    <w:rsid w:val="17E37D36"/>
    <w:rsid w:val="17E86263"/>
    <w:rsid w:val="17EF2253"/>
    <w:rsid w:val="17FA8886"/>
    <w:rsid w:val="181AE7F7"/>
    <w:rsid w:val="182BBFAD"/>
    <w:rsid w:val="182EF8E9"/>
    <w:rsid w:val="184FAFD2"/>
    <w:rsid w:val="18685FE5"/>
    <w:rsid w:val="18731AF4"/>
    <w:rsid w:val="187E677B"/>
    <w:rsid w:val="188EF870"/>
    <w:rsid w:val="18BA2009"/>
    <w:rsid w:val="18EA187F"/>
    <w:rsid w:val="18EED96E"/>
    <w:rsid w:val="191527B9"/>
    <w:rsid w:val="19190E92"/>
    <w:rsid w:val="19238947"/>
    <w:rsid w:val="192D90C4"/>
    <w:rsid w:val="19357093"/>
    <w:rsid w:val="1950376B"/>
    <w:rsid w:val="19685FCF"/>
    <w:rsid w:val="196D383F"/>
    <w:rsid w:val="196EC414"/>
    <w:rsid w:val="19733BCE"/>
    <w:rsid w:val="197B88F4"/>
    <w:rsid w:val="197EDAD5"/>
    <w:rsid w:val="1991D880"/>
    <w:rsid w:val="199693C0"/>
    <w:rsid w:val="199B995C"/>
    <w:rsid w:val="199C6F1F"/>
    <w:rsid w:val="19B63EDF"/>
    <w:rsid w:val="19B8DAC2"/>
    <w:rsid w:val="19FF2F55"/>
    <w:rsid w:val="1A02888A"/>
    <w:rsid w:val="1A043046"/>
    <w:rsid w:val="1A3701D8"/>
    <w:rsid w:val="1A3829F1"/>
    <w:rsid w:val="1A47D0EF"/>
    <w:rsid w:val="1A56449B"/>
    <w:rsid w:val="1A62C91A"/>
    <w:rsid w:val="1A6F6CF8"/>
    <w:rsid w:val="1A77F2F0"/>
    <w:rsid w:val="1A89C38D"/>
    <w:rsid w:val="1AAC90B3"/>
    <w:rsid w:val="1ABD82EF"/>
    <w:rsid w:val="1AD55A46"/>
    <w:rsid w:val="1AD6A627"/>
    <w:rsid w:val="1ADB32B7"/>
    <w:rsid w:val="1AED4912"/>
    <w:rsid w:val="1AF131DD"/>
    <w:rsid w:val="1AF69366"/>
    <w:rsid w:val="1AFC44DE"/>
    <w:rsid w:val="1B094415"/>
    <w:rsid w:val="1B2869E8"/>
    <w:rsid w:val="1B288CC6"/>
    <w:rsid w:val="1B2F3F6A"/>
    <w:rsid w:val="1B3769BD"/>
    <w:rsid w:val="1B57F532"/>
    <w:rsid w:val="1B5C39EF"/>
    <w:rsid w:val="1B62ED3A"/>
    <w:rsid w:val="1B8B37EE"/>
    <w:rsid w:val="1BA06F60"/>
    <w:rsid w:val="1BAB247D"/>
    <w:rsid w:val="1BC1DAA2"/>
    <w:rsid w:val="1BC69932"/>
    <w:rsid w:val="1BD5F967"/>
    <w:rsid w:val="1BD9D96C"/>
    <w:rsid w:val="1BDDC951"/>
    <w:rsid w:val="1BDFA042"/>
    <w:rsid w:val="1BF1C0CB"/>
    <w:rsid w:val="1BF214FC"/>
    <w:rsid w:val="1BFB16F8"/>
    <w:rsid w:val="1C04A564"/>
    <w:rsid w:val="1C05EE51"/>
    <w:rsid w:val="1C391FBB"/>
    <w:rsid w:val="1C3B6D0A"/>
    <w:rsid w:val="1C4E6294"/>
    <w:rsid w:val="1C553FAC"/>
    <w:rsid w:val="1C690B96"/>
    <w:rsid w:val="1C69CA67"/>
    <w:rsid w:val="1C737F37"/>
    <w:rsid w:val="1C75E0AB"/>
    <w:rsid w:val="1C83C477"/>
    <w:rsid w:val="1C872464"/>
    <w:rsid w:val="1C8EFF2C"/>
    <w:rsid w:val="1C9436D3"/>
    <w:rsid w:val="1C9ED118"/>
    <w:rsid w:val="1CAFF965"/>
    <w:rsid w:val="1CB62C79"/>
    <w:rsid w:val="1CC1CED4"/>
    <w:rsid w:val="1CC45D27"/>
    <w:rsid w:val="1CD1CA60"/>
    <w:rsid w:val="1CD4078D"/>
    <w:rsid w:val="1CDBDADA"/>
    <w:rsid w:val="1CE79145"/>
    <w:rsid w:val="1D026A0C"/>
    <w:rsid w:val="1D18CCE5"/>
    <w:rsid w:val="1D26A79C"/>
    <w:rsid w:val="1D324832"/>
    <w:rsid w:val="1D3684F9"/>
    <w:rsid w:val="1D3BD108"/>
    <w:rsid w:val="1D3EC294"/>
    <w:rsid w:val="1D5CFE5D"/>
    <w:rsid w:val="1D70B990"/>
    <w:rsid w:val="1D749345"/>
    <w:rsid w:val="1D79172F"/>
    <w:rsid w:val="1D7F81E6"/>
    <w:rsid w:val="1DA0DF54"/>
    <w:rsid w:val="1DB5805E"/>
    <w:rsid w:val="1DB6362D"/>
    <w:rsid w:val="1DB7A5EC"/>
    <w:rsid w:val="1DBA8AD7"/>
    <w:rsid w:val="1DECFED7"/>
    <w:rsid w:val="1E02E562"/>
    <w:rsid w:val="1E12384C"/>
    <w:rsid w:val="1E235C9A"/>
    <w:rsid w:val="1E2D11F9"/>
    <w:rsid w:val="1E3478E2"/>
    <w:rsid w:val="1E3F91FB"/>
    <w:rsid w:val="1E53F1C8"/>
    <w:rsid w:val="1E6FAE67"/>
    <w:rsid w:val="1E8F1BDF"/>
    <w:rsid w:val="1EA79D60"/>
    <w:rsid w:val="1ECC0AB5"/>
    <w:rsid w:val="1ED61DC5"/>
    <w:rsid w:val="1ED83EE3"/>
    <w:rsid w:val="1EEF5558"/>
    <w:rsid w:val="1EFF9AB8"/>
    <w:rsid w:val="1F103930"/>
    <w:rsid w:val="1F231304"/>
    <w:rsid w:val="1F4707BA"/>
    <w:rsid w:val="1F4E9A4B"/>
    <w:rsid w:val="1F595A03"/>
    <w:rsid w:val="1F71ECAE"/>
    <w:rsid w:val="1F790398"/>
    <w:rsid w:val="1F9EB5C3"/>
    <w:rsid w:val="1FA05315"/>
    <w:rsid w:val="1FA76D1D"/>
    <w:rsid w:val="1FA9B28A"/>
    <w:rsid w:val="1FB3C988"/>
    <w:rsid w:val="1FD3AFDE"/>
    <w:rsid w:val="1FEE2A1B"/>
    <w:rsid w:val="1FF26E60"/>
    <w:rsid w:val="200ABA6E"/>
    <w:rsid w:val="20119733"/>
    <w:rsid w:val="202A9D11"/>
    <w:rsid w:val="202C223A"/>
    <w:rsid w:val="2038CA2C"/>
    <w:rsid w:val="2042BD29"/>
    <w:rsid w:val="20465F29"/>
    <w:rsid w:val="204EE93A"/>
    <w:rsid w:val="2077B1BD"/>
    <w:rsid w:val="20784DBF"/>
    <w:rsid w:val="209FE731"/>
    <w:rsid w:val="20AC05C7"/>
    <w:rsid w:val="20C1147B"/>
    <w:rsid w:val="20C6909C"/>
    <w:rsid w:val="20CE881B"/>
    <w:rsid w:val="20DED43B"/>
    <w:rsid w:val="20E558DF"/>
    <w:rsid w:val="20F0923A"/>
    <w:rsid w:val="20F35617"/>
    <w:rsid w:val="20FC8BD3"/>
    <w:rsid w:val="210749F6"/>
    <w:rsid w:val="212D0C1F"/>
    <w:rsid w:val="2131FABC"/>
    <w:rsid w:val="21358FD1"/>
    <w:rsid w:val="213C7CB9"/>
    <w:rsid w:val="216C09F1"/>
    <w:rsid w:val="21762C8E"/>
    <w:rsid w:val="2179E857"/>
    <w:rsid w:val="217EC20D"/>
    <w:rsid w:val="218164CF"/>
    <w:rsid w:val="21899D9C"/>
    <w:rsid w:val="21B1040A"/>
    <w:rsid w:val="21D49A8D"/>
    <w:rsid w:val="21DE9620"/>
    <w:rsid w:val="21E581BF"/>
    <w:rsid w:val="21E5A2EC"/>
    <w:rsid w:val="21F58E99"/>
    <w:rsid w:val="221A37EC"/>
    <w:rsid w:val="2221CFC0"/>
    <w:rsid w:val="222F3935"/>
    <w:rsid w:val="2230FE09"/>
    <w:rsid w:val="224367B2"/>
    <w:rsid w:val="22453AEB"/>
    <w:rsid w:val="22496FA4"/>
    <w:rsid w:val="225212AE"/>
    <w:rsid w:val="2275D48E"/>
    <w:rsid w:val="227BCB26"/>
    <w:rsid w:val="22837129"/>
    <w:rsid w:val="229FB61F"/>
    <w:rsid w:val="22B1A4B5"/>
    <w:rsid w:val="22C3D0DB"/>
    <w:rsid w:val="22CAF9A6"/>
    <w:rsid w:val="22E157A5"/>
    <w:rsid w:val="22E63CAF"/>
    <w:rsid w:val="22F20EB1"/>
    <w:rsid w:val="2304803E"/>
    <w:rsid w:val="2304A729"/>
    <w:rsid w:val="2324D590"/>
    <w:rsid w:val="233372F1"/>
    <w:rsid w:val="2346353F"/>
    <w:rsid w:val="234CD46B"/>
    <w:rsid w:val="234D3D1D"/>
    <w:rsid w:val="23551973"/>
    <w:rsid w:val="23623D27"/>
    <w:rsid w:val="2366852A"/>
    <w:rsid w:val="238BED69"/>
    <w:rsid w:val="23A3535E"/>
    <w:rsid w:val="23A3C811"/>
    <w:rsid w:val="23AF29D6"/>
    <w:rsid w:val="23AF5718"/>
    <w:rsid w:val="23C366FB"/>
    <w:rsid w:val="23CE8245"/>
    <w:rsid w:val="23DD4AE4"/>
    <w:rsid w:val="23E766F1"/>
    <w:rsid w:val="23EB054A"/>
    <w:rsid w:val="23F21B8E"/>
    <w:rsid w:val="23F2227C"/>
    <w:rsid w:val="242A7CF3"/>
    <w:rsid w:val="245B00B8"/>
    <w:rsid w:val="246B5C55"/>
    <w:rsid w:val="246EBE6E"/>
    <w:rsid w:val="248A94AA"/>
    <w:rsid w:val="248F6101"/>
    <w:rsid w:val="24989F50"/>
    <w:rsid w:val="249CF053"/>
    <w:rsid w:val="24A14281"/>
    <w:rsid w:val="24AF9AA3"/>
    <w:rsid w:val="24B7BF7E"/>
    <w:rsid w:val="24C188E3"/>
    <w:rsid w:val="24CDA129"/>
    <w:rsid w:val="24CF0E69"/>
    <w:rsid w:val="24E532AD"/>
    <w:rsid w:val="24F33351"/>
    <w:rsid w:val="25003321"/>
    <w:rsid w:val="2503DA97"/>
    <w:rsid w:val="25047130"/>
    <w:rsid w:val="251A6CD7"/>
    <w:rsid w:val="252CC8C3"/>
    <w:rsid w:val="2533A098"/>
    <w:rsid w:val="2537359F"/>
    <w:rsid w:val="254AFA37"/>
    <w:rsid w:val="254B22E0"/>
    <w:rsid w:val="25541B9D"/>
    <w:rsid w:val="2559FEE1"/>
    <w:rsid w:val="255F22C6"/>
    <w:rsid w:val="25689ECB"/>
    <w:rsid w:val="25708E5A"/>
    <w:rsid w:val="2589B370"/>
    <w:rsid w:val="258D4027"/>
    <w:rsid w:val="259CF3ED"/>
    <w:rsid w:val="25AD7550"/>
    <w:rsid w:val="25B3D58B"/>
    <w:rsid w:val="25D3D9BE"/>
    <w:rsid w:val="25EAA4C5"/>
    <w:rsid w:val="262B032A"/>
    <w:rsid w:val="26652C19"/>
    <w:rsid w:val="266C3C39"/>
    <w:rsid w:val="2686685D"/>
    <w:rsid w:val="26B8D355"/>
    <w:rsid w:val="26F757FB"/>
    <w:rsid w:val="271F40EF"/>
    <w:rsid w:val="27218E3D"/>
    <w:rsid w:val="2723C419"/>
    <w:rsid w:val="2756ED83"/>
    <w:rsid w:val="276030F1"/>
    <w:rsid w:val="2761C4F7"/>
    <w:rsid w:val="277359B4"/>
    <w:rsid w:val="278AE25E"/>
    <w:rsid w:val="27A425D6"/>
    <w:rsid w:val="27DD5012"/>
    <w:rsid w:val="27DEE525"/>
    <w:rsid w:val="27DFB481"/>
    <w:rsid w:val="27E865D0"/>
    <w:rsid w:val="27F4269D"/>
    <w:rsid w:val="28023EC5"/>
    <w:rsid w:val="2812077D"/>
    <w:rsid w:val="281E54F9"/>
    <w:rsid w:val="28283665"/>
    <w:rsid w:val="282AB572"/>
    <w:rsid w:val="2833F29E"/>
    <w:rsid w:val="2843B8DE"/>
    <w:rsid w:val="284924C6"/>
    <w:rsid w:val="28705703"/>
    <w:rsid w:val="287AB937"/>
    <w:rsid w:val="2884B351"/>
    <w:rsid w:val="2895CF99"/>
    <w:rsid w:val="28B55C6E"/>
    <w:rsid w:val="28CE85E1"/>
    <w:rsid w:val="28E9C061"/>
    <w:rsid w:val="29199639"/>
    <w:rsid w:val="29227DA9"/>
    <w:rsid w:val="292FCAA6"/>
    <w:rsid w:val="29311478"/>
    <w:rsid w:val="29432255"/>
    <w:rsid w:val="2946ACAD"/>
    <w:rsid w:val="2956D37F"/>
    <w:rsid w:val="29731ACE"/>
    <w:rsid w:val="29758CFE"/>
    <w:rsid w:val="29814A6B"/>
    <w:rsid w:val="29853F34"/>
    <w:rsid w:val="29B2AFA4"/>
    <w:rsid w:val="29C2EE01"/>
    <w:rsid w:val="29DCADFA"/>
    <w:rsid w:val="29E59B4A"/>
    <w:rsid w:val="29E7CC27"/>
    <w:rsid w:val="2A0BC980"/>
    <w:rsid w:val="2A1F3005"/>
    <w:rsid w:val="2A2162DE"/>
    <w:rsid w:val="2A252E27"/>
    <w:rsid w:val="2A31068B"/>
    <w:rsid w:val="2A33347D"/>
    <w:rsid w:val="2A38E5D7"/>
    <w:rsid w:val="2A3C14AA"/>
    <w:rsid w:val="2A3EC308"/>
    <w:rsid w:val="2A50DAA2"/>
    <w:rsid w:val="2A55C1B1"/>
    <w:rsid w:val="2A569771"/>
    <w:rsid w:val="2A58DFB8"/>
    <w:rsid w:val="2A64F5E0"/>
    <w:rsid w:val="2A69409A"/>
    <w:rsid w:val="2A7FE582"/>
    <w:rsid w:val="2A861560"/>
    <w:rsid w:val="2A8BE17E"/>
    <w:rsid w:val="2A9E3C4C"/>
    <w:rsid w:val="2A9FEAF8"/>
    <w:rsid w:val="2AAB7BC3"/>
    <w:rsid w:val="2AB5669A"/>
    <w:rsid w:val="2AB950B8"/>
    <w:rsid w:val="2AB9B36E"/>
    <w:rsid w:val="2ABF4FC9"/>
    <w:rsid w:val="2AC26664"/>
    <w:rsid w:val="2AE65312"/>
    <w:rsid w:val="2AF4EEA6"/>
    <w:rsid w:val="2B04B629"/>
    <w:rsid w:val="2B0F927E"/>
    <w:rsid w:val="2B14ED67"/>
    <w:rsid w:val="2B245A2A"/>
    <w:rsid w:val="2B2AE766"/>
    <w:rsid w:val="2B2C1C48"/>
    <w:rsid w:val="2B3653CB"/>
    <w:rsid w:val="2B46AECA"/>
    <w:rsid w:val="2B561084"/>
    <w:rsid w:val="2B5E2730"/>
    <w:rsid w:val="2B5EBE62"/>
    <w:rsid w:val="2B5F17FF"/>
    <w:rsid w:val="2B64D6EC"/>
    <w:rsid w:val="2B7B2363"/>
    <w:rsid w:val="2B7BEC6B"/>
    <w:rsid w:val="2C05BF22"/>
    <w:rsid w:val="2C0BDC58"/>
    <w:rsid w:val="2C0F283C"/>
    <w:rsid w:val="2C1CC949"/>
    <w:rsid w:val="2C4ECEAC"/>
    <w:rsid w:val="2C5136FB"/>
    <w:rsid w:val="2C612E38"/>
    <w:rsid w:val="2C74D2DF"/>
    <w:rsid w:val="2C7A3A5C"/>
    <w:rsid w:val="2C8F3B8D"/>
    <w:rsid w:val="2C90BF07"/>
    <w:rsid w:val="2CA52BF7"/>
    <w:rsid w:val="2CA5C1CE"/>
    <w:rsid w:val="2CAE9BC0"/>
    <w:rsid w:val="2CC6B7C7"/>
    <w:rsid w:val="2CCE67E4"/>
    <w:rsid w:val="2CE7A558"/>
    <w:rsid w:val="2D0817D4"/>
    <w:rsid w:val="2D179AB5"/>
    <w:rsid w:val="2D188AB0"/>
    <w:rsid w:val="2D3D0C68"/>
    <w:rsid w:val="2D3DDE0B"/>
    <w:rsid w:val="2D7DA5FA"/>
    <w:rsid w:val="2D801308"/>
    <w:rsid w:val="2D820048"/>
    <w:rsid w:val="2D84DE08"/>
    <w:rsid w:val="2D869FCB"/>
    <w:rsid w:val="2D8E8273"/>
    <w:rsid w:val="2D900AD3"/>
    <w:rsid w:val="2D99B2EB"/>
    <w:rsid w:val="2DC0D2AD"/>
    <w:rsid w:val="2DDD20DB"/>
    <w:rsid w:val="2DF1EBDC"/>
    <w:rsid w:val="2DFE0FE8"/>
    <w:rsid w:val="2E0466E6"/>
    <w:rsid w:val="2E1A7552"/>
    <w:rsid w:val="2E2A3F49"/>
    <w:rsid w:val="2E2B6779"/>
    <w:rsid w:val="2E448FD6"/>
    <w:rsid w:val="2E5BD7E4"/>
    <w:rsid w:val="2E6C6D67"/>
    <w:rsid w:val="2EB674AD"/>
    <w:rsid w:val="2EB813DF"/>
    <w:rsid w:val="2ED5E8D9"/>
    <w:rsid w:val="2ED7F123"/>
    <w:rsid w:val="2EFCE452"/>
    <w:rsid w:val="2F00513A"/>
    <w:rsid w:val="2F0C6E36"/>
    <w:rsid w:val="2F28249D"/>
    <w:rsid w:val="2F28CE83"/>
    <w:rsid w:val="2F344E4E"/>
    <w:rsid w:val="2F428E94"/>
    <w:rsid w:val="2F47B6AB"/>
    <w:rsid w:val="2F529492"/>
    <w:rsid w:val="2F5E42F6"/>
    <w:rsid w:val="2F638821"/>
    <w:rsid w:val="2F76FF60"/>
    <w:rsid w:val="2F86C55C"/>
    <w:rsid w:val="2FB7A82D"/>
    <w:rsid w:val="2FC0A9CD"/>
    <w:rsid w:val="2FD638A6"/>
    <w:rsid w:val="2FDA47E2"/>
    <w:rsid w:val="2FFA4645"/>
    <w:rsid w:val="301F461A"/>
    <w:rsid w:val="3039B769"/>
    <w:rsid w:val="3039FF11"/>
    <w:rsid w:val="303C9E77"/>
    <w:rsid w:val="303E0AAE"/>
    <w:rsid w:val="3051A174"/>
    <w:rsid w:val="3058017E"/>
    <w:rsid w:val="307256A7"/>
    <w:rsid w:val="30773152"/>
    <w:rsid w:val="30A3858B"/>
    <w:rsid w:val="30A665CB"/>
    <w:rsid w:val="30B84339"/>
    <w:rsid w:val="30BCE009"/>
    <w:rsid w:val="30CCD935"/>
    <w:rsid w:val="30D01EAF"/>
    <w:rsid w:val="30D9F245"/>
    <w:rsid w:val="30E1F477"/>
    <w:rsid w:val="30E2E50A"/>
    <w:rsid w:val="30F9B26E"/>
    <w:rsid w:val="3107C9D7"/>
    <w:rsid w:val="310C67CF"/>
    <w:rsid w:val="311172B8"/>
    <w:rsid w:val="312049D2"/>
    <w:rsid w:val="3163083B"/>
    <w:rsid w:val="317080C1"/>
    <w:rsid w:val="31786B77"/>
    <w:rsid w:val="31843A9A"/>
    <w:rsid w:val="3186C7BD"/>
    <w:rsid w:val="3198BF8E"/>
    <w:rsid w:val="31BC7288"/>
    <w:rsid w:val="31E57B6E"/>
    <w:rsid w:val="31E9C371"/>
    <w:rsid w:val="320D01EC"/>
    <w:rsid w:val="321C65B5"/>
    <w:rsid w:val="32256651"/>
    <w:rsid w:val="322676AA"/>
    <w:rsid w:val="322AF490"/>
    <w:rsid w:val="3231955F"/>
    <w:rsid w:val="323CFAF9"/>
    <w:rsid w:val="325270EC"/>
    <w:rsid w:val="3257DCE1"/>
    <w:rsid w:val="326B6B22"/>
    <w:rsid w:val="327FF14D"/>
    <w:rsid w:val="32ABBCE0"/>
    <w:rsid w:val="32B256BE"/>
    <w:rsid w:val="32D2CDCB"/>
    <w:rsid w:val="32DD0374"/>
    <w:rsid w:val="3300B89E"/>
    <w:rsid w:val="3302546A"/>
    <w:rsid w:val="331800F9"/>
    <w:rsid w:val="3346F2E4"/>
    <w:rsid w:val="33809F90"/>
    <w:rsid w:val="33812010"/>
    <w:rsid w:val="33931CD0"/>
    <w:rsid w:val="33B7EA13"/>
    <w:rsid w:val="33EBD813"/>
    <w:rsid w:val="33ED85F9"/>
    <w:rsid w:val="33EED66E"/>
    <w:rsid w:val="3407BF71"/>
    <w:rsid w:val="342CE8C9"/>
    <w:rsid w:val="3437B1DB"/>
    <w:rsid w:val="343CE45A"/>
    <w:rsid w:val="3440CB59"/>
    <w:rsid w:val="34502149"/>
    <w:rsid w:val="346269F0"/>
    <w:rsid w:val="346CDA94"/>
    <w:rsid w:val="347EE963"/>
    <w:rsid w:val="348FF944"/>
    <w:rsid w:val="3496B87A"/>
    <w:rsid w:val="34B3D15A"/>
    <w:rsid w:val="34C5154D"/>
    <w:rsid w:val="34DD4E25"/>
    <w:rsid w:val="34EAF209"/>
    <w:rsid w:val="353C50C4"/>
    <w:rsid w:val="353E1840"/>
    <w:rsid w:val="35438FD0"/>
    <w:rsid w:val="3557E8D8"/>
    <w:rsid w:val="35621CA9"/>
    <w:rsid w:val="3569299E"/>
    <w:rsid w:val="357F5EDF"/>
    <w:rsid w:val="3581FB08"/>
    <w:rsid w:val="358AA6CF"/>
    <w:rsid w:val="358BA341"/>
    <w:rsid w:val="35B514CB"/>
    <w:rsid w:val="35D1C295"/>
    <w:rsid w:val="35D1EABD"/>
    <w:rsid w:val="35D2C9A5"/>
    <w:rsid w:val="35EFA8BD"/>
    <w:rsid w:val="362A36FF"/>
    <w:rsid w:val="36400038"/>
    <w:rsid w:val="364D9539"/>
    <w:rsid w:val="364FA1BB"/>
    <w:rsid w:val="3653B24D"/>
    <w:rsid w:val="3657EB3E"/>
    <w:rsid w:val="36691E19"/>
    <w:rsid w:val="36713D75"/>
    <w:rsid w:val="368D574B"/>
    <w:rsid w:val="3691AFF4"/>
    <w:rsid w:val="3692067D"/>
    <w:rsid w:val="36A04109"/>
    <w:rsid w:val="36AAFC09"/>
    <w:rsid w:val="36B561CE"/>
    <w:rsid w:val="37014817"/>
    <w:rsid w:val="3701E3C2"/>
    <w:rsid w:val="3722715E"/>
    <w:rsid w:val="372A046D"/>
    <w:rsid w:val="372EE710"/>
    <w:rsid w:val="373B6DFA"/>
    <w:rsid w:val="37565EF4"/>
    <w:rsid w:val="375B97C2"/>
    <w:rsid w:val="37713FA9"/>
    <w:rsid w:val="3778F5D7"/>
    <w:rsid w:val="3794C3B7"/>
    <w:rsid w:val="37BB7206"/>
    <w:rsid w:val="37CD548E"/>
    <w:rsid w:val="37D09052"/>
    <w:rsid w:val="37D5C278"/>
    <w:rsid w:val="37F80158"/>
    <w:rsid w:val="37FBAE76"/>
    <w:rsid w:val="380E1E75"/>
    <w:rsid w:val="381FC6E8"/>
    <w:rsid w:val="38205015"/>
    <w:rsid w:val="38251001"/>
    <w:rsid w:val="38269080"/>
    <w:rsid w:val="38471520"/>
    <w:rsid w:val="38493773"/>
    <w:rsid w:val="385539F5"/>
    <w:rsid w:val="3866257B"/>
    <w:rsid w:val="38701EE9"/>
    <w:rsid w:val="387D0699"/>
    <w:rsid w:val="388A5700"/>
    <w:rsid w:val="388BE80C"/>
    <w:rsid w:val="389C7C9D"/>
    <w:rsid w:val="38B51895"/>
    <w:rsid w:val="38B5A4FA"/>
    <w:rsid w:val="38BA493B"/>
    <w:rsid w:val="38BF982E"/>
    <w:rsid w:val="38BFBA9C"/>
    <w:rsid w:val="38DA152E"/>
    <w:rsid w:val="38DB3094"/>
    <w:rsid w:val="38E39D62"/>
    <w:rsid w:val="38E74AE7"/>
    <w:rsid w:val="38F7AB50"/>
    <w:rsid w:val="3908DDBC"/>
    <w:rsid w:val="394209B1"/>
    <w:rsid w:val="394C0BEA"/>
    <w:rsid w:val="394F7BE4"/>
    <w:rsid w:val="3972B6AC"/>
    <w:rsid w:val="3979BC82"/>
    <w:rsid w:val="397A1224"/>
    <w:rsid w:val="39AA4BE0"/>
    <w:rsid w:val="39B2C0D1"/>
    <w:rsid w:val="39BFFA9B"/>
    <w:rsid w:val="39FE2BB7"/>
    <w:rsid w:val="3A07FDB8"/>
    <w:rsid w:val="3A0EC621"/>
    <w:rsid w:val="3A2E8C51"/>
    <w:rsid w:val="3A3A7479"/>
    <w:rsid w:val="3A40BEAE"/>
    <w:rsid w:val="3A4DA659"/>
    <w:rsid w:val="3A50D93F"/>
    <w:rsid w:val="3A5BDF73"/>
    <w:rsid w:val="3A5E17F2"/>
    <w:rsid w:val="3A60BA3C"/>
    <w:rsid w:val="3A6D0444"/>
    <w:rsid w:val="3A777A40"/>
    <w:rsid w:val="3A914F0D"/>
    <w:rsid w:val="3A953D5A"/>
    <w:rsid w:val="3AAC56AE"/>
    <w:rsid w:val="3AB01239"/>
    <w:rsid w:val="3AB6B7AD"/>
    <w:rsid w:val="3AC77001"/>
    <w:rsid w:val="3AD31111"/>
    <w:rsid w:val="3AD9BFDB"/>
    <w:rsid w:val="3AE47336"/>
    <w:rsid w:val="3B2B149E"/>
    <w:rsid w:val="3B2B8FFE"/>
    <w:rsid w:val="3B398B8C"/>
    <w:rsid w:val="3B423252"/>
    <w:rsid w:val="3B445E2E"/>
    <w:rsid w:val="3B6179E8"/>
    <w:rsid w:val="3B6424AA"/>
    <w:rsid w:val="3B86ABFF"/>
    <w:rsid w:val="3B8E9C90"/>
    <w:rsid w:val="3B9449B3"/>
    <w:rsid w:val="3BA7BFAB"/>
    <w:rsid w:val="3BA8984A"/>
    <w:rsid w:val="3BAA9682"/>
    <w:rsid w:val="3BD911B6"/>
    <w:rsid w:val="3BD9A638"/>
    <w:rsid w:val="3BEA948E"/>
    <w:rsid w:val="3BF3B1DE"/>
    <w:rsid w:val="3C164693"/>
    <w:rsid w:val="3C34CE23"/>
    <w:rsid w:val="3C4A781B"/>
    <w:rsid w:val="3C588325"/>
    <w:rsid w:val="3C599F0D"/>
    <w:rsid w:val="3C5D6FEE"/>
    <w:rsid w:val="3C6AA62E"/>
    <w:rsid w:val="3C79D030"/>
    <w:rsid w:val="3C8AD918"/>
    <w:rsid w:val="3C98D467"/>
    <w:rsid w:val="3CA84B08"/>
    <w:rsid w:val="3CAD474C"/>
    <w:rsid w:val="3CBE7A60"/>
    <w:rsid w:val="3CC6F4F8"/>
    <w:rsid w:val="3CC89EAF"/>
    <w:rsid w:val="3CEE46DB"/>
    <w:rsid w:val="3CFC4066"/>
    <w:rsid w:val="3D16BC04"/>
    <w:rsid w:val="3D188D79"/>
    <w:rsid w:val="3D2CFDCC"/>
    <w:rsid w:val="3D30C1A9"/>
    <w:rsid w:val="3D3BCB70"/>
    <w:rsid w:val="3D40F0F1"/>
    <w:rsid w:val="3D5F0C5C"/>
    <w:rsid w:val="3D5FE03E"/>
    <w:rsid w:val="3D637E1A"/>
    <w:rsid w:val="3D64CBF6"/>
    <w:rsid w:val="3D70C5CB"/>
    <w:rsid w:val="3D74E217"/>
    <w:rsid w:val="3D7B5E45"/>
    <w:rsid w:val="3D7CF278"/>
    <w:rsid w:val="3D985AFE"/>
    <w:rsid w:val="3DA917D9"/>
    <w:rsid w:val="3DAEE111"/>
    <w:rsid w:val="3DC2F512"/>
    <w:rsid w:val="3DCC0777"/>
    <w:rsid w:val="3DD09E84"/>
    <w:rsid w:val="3DD95DA4"/>
    <w:rsid w:val="3DE017F2"/>
    <w:rsid w:val="3DF421BD"/>
    <w:rsid w:val="3E1CF3C8"/>
    <w:rsid w:val="3E1F8F71"/>
    <w:rsid w:val="3E3EBBB9"/>
    <w:rsid w:val="3E46077F"/>
    <w:rsid w:val="3E6733B2"/>
    <w:rsid w:val="3E775C98"/>
    <w:rsid w:val="3E7F40D3"/>
    <w:rsid w:val="3E858875"/>
    <w:rsid w:val="3E957F48"/>
    <w:rsid w:val="3EB3EA4D"/>
    <w:rsid w:val="3EB9472A"/>
    <w:rsid w:val="3EC8CE2D"/>
    <w:rsid w:val="3ECA2F0C"/>
    <w:rsid w:val="3ECE602D"/>
    <w:rsid w:val="3F196AC5"/>
    <w:rsid w:val="3F318915"/>
    <w:rsid w:val="3F40B695"/>
    <w:rsid w:val="3F576F58"/>
    <w:rsid w:val="3F60C94D"/>
    <w:rsid w:val="3F6952D5"/>
    <w:rsid w:val="3F70DB9B"/>
    <w:rsid w:val="3F8A5A81"/>
    <w:rsid w:val="3F8B7521"/>
    <w:rsid w:val="3FCCA015"/>
    <w:rsid w:val="3FDCD989"/>
    <w:rsid w:val="4002DDE4"/>
    <w:rsid w:val="4006C05B"/>
    <w:rsid w:val="4017CF51"/>
    <w:rsid w:val="40220230"/>
    <w:rsid w:val="4024F95F"/>
    <w:rsid w:val="402770B5"/>
    <w:rsid w:val="402B740E"/>
    <w:rsid w:val="403DF4D7"/>
    <w:rsid w:val="403F513A"/>
    <w:rsid w:val="403F87F3"/>
    <w:rsid w:val="40409986"/>
    <w:rsid w:val="40628FBB"/>
    <w:rsid w:val="407322F0"/>
    <w:rsid w:val="407662BF"/>
    <w:rsid w:val="40855416"/>
    <w:rsid w:val="409A0BA2"/>
    <w:rsid w:val="40BE05B1"/>
    <w:rsid w:val="40C45566"/>
    <w:rsid w:val="40CAFC0B"/>
    <w:rsid w:val="40D22F65"/>
    <w:rsid w:val="40D42CD2"/>
    <w:rsid w:val="40D9F51A"/>
    <w:rsid w:val="40F4DE19"/>
    <w:rsid w:val="41003FFB"/>
    <w:rsid w:val="41052336"/>
    <w:rsid w:val="41063B86"/>
    <w:rsid w:val="41163027"/>
    <w:rsid w:val="4117B8B4"/>
    <w:rsid w:val="41298FD5"/>
    <w:rsid w:val="412A922F"/>
    <w:rsid w:val="4138ADEF"/>
    <w:rsid w:val="413C2B3C"/>
    <w:rsid w:val="413FA69A"/>
    <w:rsid w:val="416B8CCE"/>
    <w:rsid w:val="416E6658"/>
    <w:rsid w:val="4181198B"/>
    <w:rsid w:val="418CF905"/>
    <w:rsid w:val="418E1FDD"/>
    <w:rsid w:val="418F00F7"/>
    <w:rsid w:val="4191B4AE"/>
    <w:rsid w:val="41933461"/>
    <w:rsid w:val="4198E471"/>
    <w:rsid w:val="41AA707F"/>
    <w:rsid w:val="41C36B93"/>
    <w:rsid w:val="41C86B5F"/>
    <w:rsid w:val="41C9407E"/>
    <w:rsid w:val="41DF0EDC"/>
    <w:rsid w:val="41F17A12"/>
    <w:rsid w:val="42123320"/>
    <w:rsid w:val="42420F49"/>
    <w:rsid w:val="42435EE3"/>
    <w:rsid w:val="4248533A"/>
    <w:rsid w:val="4250D9AE"/>
    <w:rsid w:val="4251CC4B"/>
    <w:rsid w:val="426F7FEF"/>
    <w:rsid w:val="42914A02"/>
    <w:rsid w:val="42A8274A"/>
    <w:rsid w:val="42B38915"/>
    <w:rsid w:val="42BC9EB6"/>
    <w:rsid w:val="42D95399"/>
    <w:rsid w:val="42E0A7B6"/>
    <w:rsid w:val="42E80639"/>
    <w:rsid w:val="42FD5AD3"/>
    <w:rsid w:val="430B4C84"/>
    <w:rsid w:val="4314FC66"/>
    <w:rsid w:val="43152A13"/>
    <w:rsid w:val="4337A942"/>
    <w:rsid w:val="4338AD57"/>
    <w:rsid w:val="436FF725"/>
    <w:rsid w:val="43861601"/>
    <w:rsid w:val="438AA8BF"/>
    <w:rsid w:val="439C3F50"/>
    <w:rsid w:val="43A3A522"/>
    <w:rsid w:val="43AD8AAF"/>
    <w:rsid w:val="43C8B51E"/>
    <w:rsid w:val="43D262F7"/>
    <w:rsid w:val="4404FA38"/>
    <w:rsid w:val="44332BA9"/>
    <w:rsid w:val="4434FF8D"/>
    <w:rsid w:val="4437EEC8"/>
    <w:rsid w:val="443F1AB5"/>
    <w:rsid w:val="4450E64C"/>
    <w:rsid w:val="449C20A6"/>
    <w:rsid w:val="44B0CCC7"/>
    <w:rsid w:val="44B8BA4D"/>
    <w:rsid w:val="44BE3647"/>
    <w:rsid w:val="44C5B36F"/>
    <w:rsid w:val="44CAD523"/>
    <w:rsid w:val="44CEAD45"/>
    <w:rsid w:val="44D3B550"/>
    <w:rsid w:val="44DBB0E5"/>
    <w:rsid w:val="44E7FCC7"/>
    <w:rsid w:val="44FC9686"/>
    <w:rsid w:val="44FE3084"/>
    <w:rsid w:val="4509FC95"/>
    <w:rsid w:val="450BF691"/>
    <w:rsid w:val="4510CB50"/>
    <w:rsid w:val="4517AF81"/>
    <w:rsid w:val="451F0D88"/>
    <w:rsid w:val="4521FAED"/>
    <w:rsid w:val="45267920"/>
    <w:rsid w:val="457CCFB9"/>
    <w:rsid w:val="459D2277"/>
    <w:rsid w:val="45CAA1CB"/>
    <w:rsid w:val="45E8CD5B"/>
    <w:rsid w:val="45EB29D7"/>
    <w:rsid w:val="45FC8CB0"/>
    <w:rsid w:val="45FCCDA3"/>
    <w:rsid w:val="46045234"/>
    <w:rsid w:val="460C1DA0"/>
    <w:rsid w:val="4618BCEE"/>
    <w:rsid w:val="4637F107"/>
    <w:rsid w:val="463C41DA"/>
    <w:rsid w:val="465DFE1D"/>
    <w:rsid w:val="466FF5CA"/>
    <w:rsid w:val="46837EAC"/>
    <w:rsid w:val="4693B7B4"/>
    <w:rsid w:val="469E4FD0"/>
    <w:rsid w:val="46A024A4"/>
    <w:rsid w:val="46A9D88C"/>
    <w:rsid w:val="46B50C64"/>
    <w:rsid w:val="46BEDBF3"/>
    <w:rsid w:val="46D9B954"/>
    <w:rsid w:val="46ED98F7"/>
    <w:rsid w:val="46F36F8E"/>
    <w:rsid w:val="47000E1F"/>
    <w:rsid w:val="472A42DE"/>
    <w:rsid w:val="473258AB"/>
    <w:rsid w:val="4742601D"/>
    <w:rsid w:val="475D4B3B"/>
    <w:rsid w:val="476314B7"/>
    <w:rsid w:val="4766088A"/>
    <w:rsid w:val="4766FA0C"/>
    <w:rsid w:val="47682095"/>
    <w:rsid w:val="47702836"/>
    <w:rsid w:val="477508B8"/>
    <w:rsid w:val="4776B718"/>
    <w:rsid w:val="4794BE7A"/>
    <w:rsid w:val="47975C40"/>
    <w:rsid w:val="479DD538"/>
    <w:rsid w:val="47B4AF8E"/>
    <w:rsid w:val="47C671B7"/>
    <w:rsid w:val="47CDFF90"/>
    <w:rsid w:val="47DC1DEF"/>
    <w:rsid w:val="47E17732"/>
    <w:rsid w:val="47EF160D"/>
    <w:rsid w:val="480B2ED4"/>
    <w:rsid w:val="4812C7B4"/>
    <w:rsid w:val="48277B35"/>
    <w:rsid w:val="48343748"/>
    <w:rsid w:val="4836B65B"/>
    <w:rsid w:val="4838C4C4"/>
    <w:rsid w:val="483CF9F5"/>
    <w:rsid w:val="484168C2"/>
    <w:rsid w:val="4844EC85"/>
    <w:rsid w:val="4846A502"/>
    <w:rsid w:val="4853A985"/>
    <w:rsid w:val="485664EB"/>
    <w:rsid w:val="48574F9A"/>
    <w:rsid w:val="4857E8F5"/>
    <w:rsid w:val="48628F8A"/>
    <w:rsid w:val="486EC6CD"/>
    <w:rsid w:val="48745D1D"/>
    <w:rsid w:val="488D2086"/>
    <w:rsid w:val="48A2CEE7"/>
    <w:rsid w:val="48B0DFF6"/>
    <w:rsid w:val="48B862AF"/>
    <w:rsid w:val="48D1903E"/>
    <w:rsid w:val="48D1A1E7"/>
    <w:rsid w:val="48D4515E"/>
    <w:rsid w:val="48F14645"/>
    <w:rsid w:val="48FD2643"/>
    <w:rsid w:val="4907AED0"/>
    <w:rsid w:val="49115C84"/>
    <w:rsid w:val="49247A4D"/>
    <w:rsid w:val="49257C38"/>
    <w:rsid w:val="49389D14"/>
    <w:rsid w:val="4958AAFF"/>
    <w:rsid w:val="4975BBAE"/>
    <w:rsid w:val="49936545"/>
    <w:rsid w:val="49A44FA7"/>
    <w:rsid w:val="49A450F5"/>
    <w:rsid w:val="49A6635A"/>
    <w:rsid w:val="49A7319B"/>
    <w:rsid w:val="49B1E46E"/>
    <w:rsid w:val="49BE85C7"/>
    <w:rsid w:val="49C52C72"/>
    <w:rsid w:val="49CCC0FC"/>
    <w:rsid w:val="49E27563"/>
    <w:rsid w:val="49FED802"/>
    <w:rsid w:val="4A02F5A1"/>
    <w:rsid w:val="4A04013A"/>
    <w:rsid w:val="4A0FD3C8"/>
    <w:rsid w:val="4A102D7E"/>
    <w:rsid w:val="4A41D862"/>
    <w:rsid w:val="4A4E70C8"/>
    <w:rsid w:val="4A545DA3"/>
    <w:rsid w:val="4A612C3E"/>
    <w:rsid w:val="4A625094"/>
    <w:rsid w:val="4A95F92F"/>
    <w:rsid w:val="4A9FC157"/>
    <w:rsid w:val="4AA9D623"/>
    <w:rsid w:val="4AB77066"/>
    <w:rsid w:val="4AB86283"/>
    <w:rsid w:val="4ABE9AFA"/>
    <w:rsid w:val="4AC3C7CE"/>
    <w:rsid w:val="4AC43594"/>
    <w:rsid w:val="4AC573FA"/>
    <w:rsid w:val="4AC9619A"/>
    <w:rsid w:val="4AD6C97B"/>
    <w:rsid w:val="4AE3034B"/>
    <w:rsid w:val="4AFD7529"/>
    <w:rsid w:val="4AFE8809"/>
    <w:rsid w:val="4B008047"/>
    <w:rsid w:val="4B0AFD27"/>
    <w:rsid w:val="4B0EF07E"/>
    <w:rsid w:val="4B13BC4F"/>
    <w:rsid w:val="4B1ACC85"/>
    <w:rsid w:val="4B27FBD1"/>
    <w:rsid w:val="4B2F35A6"/>
    <w:rsid w:val="4B4094F0"/>
    <w:rsid w:val="4B837E3F"/>
    <w:rsid w:val="4B845CEF"/>
    <w:rsid w:val="4B9A8339"/>
    <w:rsid w:val="4BA75135"/>
    <w:rsid w:val="4BC02A83"/>
    <w:rsid w:val="4BCAA895"/>
    <w:rsid w:val="4BCC32F2"/>
    <w:rsid w:val="4C008003"/>
    <w:rsid w:val="4C227E8A"/>
    <w:rsid w:val="4C240D98"/>
    <w:rsid w:val="4C30E2A6"/>
    <w:rsid w:val="4C364705"/>
    <w:rsid w:val="4C397EEF"/>
    <w:rsid w:val="4C4FEE4D"/>
    <w:rsid w:val="4C5359FE"/>
    <w:rsid w:val="4C545FE6"/>
    <w:rsid w:val="4C5A6B5B"/>
    <w:rsid w:val="4C5A8A5C"/>
    <w:rsid w:val="4C694F25"/>
    <w:rsid w:val="4C860817"/>
    <w:rsid w:val="4CAD594D"/>
    <w:rsid w:val="4CD191CC"/>
    <w:rsid w:val="4CE0FECD"/>
    <w:rsid w:val="4CE63BBB"/>
    <w:rsid w:val="4CEF0007"/>
    <w:rsid w:val="4CFAECE1"/>
    <w:rsid w:val="4CFD3763"/>
    <w:rsid w:val="4D017774"/>
    <w:rsid w:val="4D17322F"/>
    <w:rsid w:val="4D226046"/>
    <w:rsid w:val="4D471781"/>
    <w:rsid w:val="4D52FAAC"/>
    <w:rsid w:val="4D67A095"/>
    <w:rsid w:val="4D85E926"/>
    <w:rsid w:val="4D8E9AEB"/>
    <w:rsid w:val="4D972934"/>
    <w:rsid w:val="4D978A10"/>
    <w:rsid w:val="4DABDC7E"/>
    <w:rsid w:val="4DB3CA04"/>
    <w:rsid w:val="4DB977C9"/>
    <w:rsid w:val="4DB9F4D9"/>
    <w:rsid w:val="4DBFDDF9"/>
    <w:rsid w:val="4DC1BDDD"/>
    <w:rsid w:val="4DC5BAFB"/>
    <w:rsid w:val="4DC7678A"/>
    <w:rsid w:val="4DD3326D"/>
    <w:rsid w:val="4DE443C4"/>
    <w:rsid w:val="4DEAA04A"/>
    <w:rsid w:val="4DFAEDD2"/>
    <w:rsid w:val="4E041D38"/>
    <w:rsid w:val="4E0E3863"/>
    <w:rsid w:val="4E1694CF"/>
    <w:rsid w:val="4E1C0640"/>
    <w:rsid w:val="4E2019B3"/>
    <w:rsid w:val="4E21E18F"/>
    <w:rsid w:val="4E5548CB"/>
    <w:rsid w:val="4E61A63D"/>
    <w:rsid w:val="4E6C9734"/>
    <w:rsid w:val="4E8032A9"/>
    <w:rsid w:val="4EA0A317"/>
    <w:rsid w:val="4EAE8185"/>
    <w:rsid w:val="4EBF3B85"/>
    <w:rsid w:val="4EC3875D"/>
    <w:rsid w:val="4EDEF1F7"/>
    <w:rsid w:val="4EE53A2F"/>
    <w:rsid w:val="4EEF8A65"/>
    <w:rsid w:val="4F08CA82"/>
    <w:rsid w:val="4F101287"/>
    <w:rsid w:val="4F1A29B7"/>
    <w:rsid w:val="4F223611"/>
    <w:rsid w:val="4F2C2E6A"/>
    <w:rsid w:val="4F36B294"/>
    <w:rsid w:val="4F479C0F"/>
    <w:rsid w:val="4F5A0A1D"/>
    <w:rsid w:val="4F62AD26"/>
    <w:rsid w:val="4F8531B6"/>
    <w:rsid w:val="4F9BBA4A"/>
    <w:rsid w:val="4FA7B040"/>
    <w:rsid w:val="4FB19918"/>
    <w:rsid w:val="4FE92E13"/>
    <w:rsid w:val="500170D8"/>
    <w:rsid w:val="5004D60A"/>
    <w:rsid w:val="50061B78"/>
    <w:rsid w:val="500B3069"/>
    <w:rsid w:val="500F7148"/>
    <w:rsid w:val="50131D7E"/>
    <w:rsid w:val="501FB3F7"/>
    <w:rsid w:val="502C1C0D"/>
    <w:rsid w:val="50406C73"/>
    <w:rsid w:val="5057A258"/>
    <w:rsid w:val="505A96A9"/>
    <w:rsid w:val="506052B1"/>
    <w:rsid w:val="506A6A4B"/>
    <w:rsid w:val="507B5976"/>
    <w:rsid w:val="5095EA64"/>
    <w:rsid w:val="5095FD0F"/>
    <w:rsid w:val="50BECB11"/>
    <w:rsid w:val="50C78C7D"/>
    <w:rsid w:val="50D257F2"/>
    <w:rsid w:val="50D289E4"/>
    <w:rsid w:val="50D85F78"/>
    <w:rsid w:val="50DA4540"/>
    <w:rsid w:val="50F34F14"/>
    <w:rsid w:val="50F88654"/>
    <w:rsid w:val="510E10A7"/>
    <w:rsid w:val="510E9AE4"/>
    <w:rsid w:val="5111DA0D"/>
    <w:rsid w:val="5112C0B5"/>
    <w:rsid w:val="511F5220"/>
    <w:rsid w:val="51321250"/>
    <w:rsid w:val="5135CA04"/>
    <w:rsid w:val="51365DA9"/>
    <w:rsid w:val="5137C7E5"/>
    <w:rsid w:val="5142E9C8"/>
    <w:rsid w:val="51489E0B"/>
    <w:rsid w:val="51555CEE"/>
    <w:rsid w:val="5169DD2E"/>
    <w:rsid w:val="518F6AA0"/>
    <w:rsid w:val="51C6F596"/>
    <w:rsid w:val="51CD6ECE"/>
    <w:rsid w:val="51DB86D8"/>
    <w:rsid w:val="51DBF6DF"/>
    <w:rsid w:val="51E0BF22"/>
    <w:rsid w:val="51F5D919"/>
    <w:rsid w:val="5200D25D"/>
    <w:rsid w:val="52012852"/>
    <w:rsid w:val="5225C301"/>
    <w:rsid w:val="5240229E"/>
    <w:rsid w:val="524087FE"/>
    <w:rsid w:val="52480460"/>
    <w:rsid w:val="5249EA27"/>
    <w:rsid w:val="524F089B"/>
    <w:rsid w:val="5251B2C8"/>
    <w:rsid w:val="5255E00C"/>
    <w:rsid w:val="5258689B"/>
    <w:rsid w:val="525DA8B7"/>
    <w:rsid w:val="5269A29D"/>
    <w:rsid w:val="528556DD"/>
    <w:rsid w:val="52873B27"/>
    <w:rsid w:val="528916A6"/>
    <w:rsid w:val="52934F1C"/>
    <w:rsid w:val="529BD8F7"/>
    <w:rsid w:val="529CAE8C"/>
    <w:rsid w:val="52A9CE01"/>
    <w:rsid w:val="52B0B8E8"/>
    <w:rsid w:val="52C3CA73"/>
    <w:rsid w:val="52EB6040"/>
    <w:rsid w:val="53072304"/>
    <w:rsid w:val="531149BA"/>
    <w:rsid w:val="53226138"/>
    <w:rsid w:val="53256EBE"/>
    <w:rsid w:val="53265957"/>
    <w:rsid w:val="5327D048"/>
    <w:rsid w:val="5335700A"/>
    <w:rsid w:val="534A0D06"/>
    <w:rsid w:val="534E4166"/>
    <w:rsid w:val="5362F626"/>
    <w:rsid w:val="53678A24"/>
    <w:rsid w:val="536CA629"/>
    <w:rsid w:val="538F431A"/>
    <w:rsid w:val="53A44775"/>
    <w:rsid w:val="53A5BF1B"/>
    <w:rsid w:val="53ABFFA6"/>
    <w:rsid w:val="53B44374"/>
    <w:rsid w:val="53CB9AB2"/>
    <w:rsid w:val="53D7BF63"/>
    <w:rsid w:val="53EC5F30"/>
    <w:rsid w:val="53EEFAE5"/>
    <w:rsid w:val="53F8D44B"/>
    <w:rsid w:val="5414E3B6"/>
    <w:rsid w:val="541F9EAB"/>
    <w:rsid w:val="543096AE"/>
    <w:rsid w:val="543703C7"/>
    <w:rsid w:val="54458596"/>
    <w:rsid w:val="5456F2E2"/>
    <w:rsid w:val="546BA58E"/>
    <w:rsid w:val="546D6AC6"/>
    <w:rsid w:val="546FA5C3"/>
    <w:rsid w:val="547A0CED"/>
    <w:rsid w:val="5480D075"/>
    <w:rsid w:val="5481AFCA"/>
    <w:rsid w:val="548239D5"/>
    <w:rsid w:val="5493D986"/>
    <w:rsid w:val="549D2BA9"/>
    <w:rsid w:val="54AF932E"/>
    <w:rsid w:val="54BA5D7B"/>
    <w:rsid w:val="54D5A9FE"/>
    <w:rsid w:val="54DB5E29"/>
    <w:rsid w:val="54DD38D7"/>
    <w:rsid w:val="54EA11C7"/>
    <w:rsid w:val="54F5B898"/>
    <w:rsid w:val="5513F2F6"/>
    <w:rsid w:val="551F6DE6"/>
    <w:rsid w:val="55464566"/>
    <w:rsid w:val="5566DF10"/>
    <w:rsid w:val="556C45FD"/>
    <w:rsid w:val="5578C1C3"/>
    <w:rsid w:val="5597C5C0"/>
    <w:rsid w:val="55A780F5"/>
    <w:rsid w:val="55C2A10A"/>
    <w:rsid w:val="55CF1EBE"/>
    <w:rsid w:val="55FAE259"/>
    <w:rsid w:val="56230102"/>
    <w:rsid w:val="565A5142"/>
    <w:rsid w:val="565EF9F1"/>
    <w:rsid w:val="565F710A"/>
    <w:rsid w:val="5684E662"/>
    <w:rsid w:val="56A77D13"/>
    <w:rsid w:val="56B72B89"/>
    <w:rsid w:val="56BB7118"/>
    <w:rsid w:val="56C2EDE9"/>
    <w:rsid w:val="56CAC345"/>
    <w:rsid w:val="56E939E8"/>
    <w:rsid w:val="56FB22A0"/>
    <w:rsid w:val="570ECFDF"/>
    <w:rsid w:val="573BB145"/>
    <w:rsid w:val="5746290D"/>
    <w:rsid w:val="57592F49"/>
    <w:rsid w:val="57708D1B"/>
    <w:rsid w:val="577DF7D8"/>
    <w:rsid w:val="577FAC22"/>
    <w:rsid w:val="578B224C"/>
    <w:rsid w:val="578FE0CF"/>
    <w:rsid w:val="579C7763"/>
    <w:rsid w:val="579DF4BB"/>
    <w:rsid w:val="57B03B7B"/>
    <w:rsid w:val="57BA3A86"/>
    <w:rsid w:val="57C16BCA"/>
    <w:rsid w:val="57EC58E1"/>
    <w:rsid w:val="57FECD40"/>
    <w:rsid w:val="58206E25"/>
    <w:rsid w:val="583F843D"/>
    <w:rsid w:val="5875132E"/>
    <w:rsid w:val="5886DA3E"/>
    <w:rsid w:val="589D8F65"/>
    <w:rsid w:val="58A8AEAB"/>
    <w:rsid w:val="58B17D4C"/>
    <w:rsid w:val="58CE0089"/>
    <w:rsid w:val="58D04881"/>
    <w:rsid w:val="58DDA825"/>
    <w:rsid w:val="58E54747"/>
    <w:rsid w:val="58EFD3E1"/>
    <w:rsid w:val="59019A05"/>
    <w:rsid w:val="590DEDF1"/>
    <w:rsid w:val="5940DBE9"/>
    <w:rsid w:val="59436693"/>
    <w:rsid w:val="59474676"/>
    <w:rsid w:val="59488171"/>
    <w:rsid w:val="594D6B36"/>
    <w:rsid w:val="595AA1C4"/>
    <w:rsid w:val="59606ED3"/>
    <w:rsid w:val="59616941"/>
    <w:rsid w:val="59674AA9"/>
    <w:rsid w:val="59830451"/>
    <w:rsid w:val="5993D327"/>
    <w:rsid w:val="59BBCB98"/>
    <w:rsid w:val="59BC7E4E"/>
    <w:rsid w:val="59C7E621"/>
    <w:rsid w:val="59E004CA"/>
    <w:rsid w:val="59F09A17"/>
    <w:rsid w:val="5A0825E2"/>
    <w:rsid w:val="5A1497C5"/>
    <w:rsid w:val="5A271887"/>
    <w:rsid w:val="5A447F0C"/>
    <w:rsid w:val="5A48E96A"/>
    <w:rsid w:val="5A4D601C"/>
    <w:rsid w:val="5A600FC8"/>
    <w:rsid w:val="5A63898F"/>
    <w:rsid w:val="5A6C8218"/>
    <w:rsid w:val="5A924D0C"/>
    <w:rsid w:val="5A96122D"/>
    <w:rsid w:val="5A9E6101"/>
    <w:rsid w:val="5AA94CF6"/>
    <w:rsid w:val="5AAE7E46"/>
    <w:rsid w:val="5AC8530D"/>
    <w:rsid w:val="5ACD4B5F"/>
    <w:rsid w:val="5AD02614"/>
    <w:rsid w:val="5AD6A3C2"/>
    <w:rsid w:val="5AEA89C6"/>
    <w:rsid w:val="5B14B2BB"/>
    <w:rsid w:val="5B1BF291"/>
    <w:rsid w:val="5B20020D"/>
    <w:rsid w:val="5B29525F"/>
    <w:rsid w:val="5B2F9A3C"/>
    <w:rsid w:val="5B4522F4"/>
    <w:rsid w:val="5B5FFBB6"/>
    <w:rsid w:val="5B67D48A"/>
    <w:rsid w:val="5B76AF91"/>
    <w:rsid w:val="5B85D0A5"/>
    <w:rsid w:val="5B89E95A"/>
    <w:rsid w:val="5B94FF71"/>
    <w:rsid w:val="5BB0E630"/>
    <w:rsid w:val="5BB4588D"/>
    <w:rsid w:val="5BB9F759"/>
    <w:rsid w:val="5BDADA17"/>
    <w:rsid w:val="5C22808F"/>
    <w:rsid w:val="5C3787EA"/>
    <w:rsid w:val="5C3B7B7C"/>
    <w:rsid w:val="5C4C1A78"/>
    <w:rsid w:val="5C579369"/>
    <w:rsid w:val="5C5810D4"/>
    <w:rsid w:val="5C8747F0"/>
    <w:rsid w:val="5C8E4F26"/>
    <w:rsid w:val="5C93230B"/>
    <w:rsid w:val="5C9B2D64"/>
    <w:rsid w:val="5CBF77BB"/>
    <w:rsid w:val="5CD10F2D"/>
    <w:rsid w:val="5CE392A0"/>
    <w:rsid w:val="5CE9ADD4"/>
    <w:rsid w:val="5CEF6D57"/>
    <w:rsid w:val="5CF0CE52"/>
    <w:rsid w:val="5CF36C5A"/>
    <w:rsid w:val="5CF4DC7F"/>
    <w:rsid w:val="5D03D456"/>
    <w:rsid w:val="5D17A58C"/>
    <w:rsid w:val="5D17FB45"/>
    <w:rsid w:val="5D2D2C40"/>
    <w:rsid w:val="5D4303E4"/>
    <w:rsid w:val="5D4FFF31"/>
    <w:rsid w:val="5D52AEAA"/>
    <w:rsid w:val="5D77903A"/>
    <w:rsid w:val="5D919AC8"/>
    <w:rsid w:val="5DAD1646"/>
    <w:rsid w:val="5DB7CA91"/>
    <w:rsid w:val="5DD3494B"/>
    <w:rsid w:val="5DD601C3"/>
    <w:rsid w:val="5DD652F6"/>
    <w:rsid w:val="5DDEADFF"/>
    <w:rsid w:val="5DDEB8DA"/>
    <w:rsid w:val="5DE005A9"/>
    <w:rsid w:val="5DF143BD"/>
    <w:rsid w:val="5E00951F"/>
    <w:rsid w:val="5E0EDD8A"/>
    <w:rsid w:val="5E1A481F"/>
    <w:rsid w:val="5E1A5E2F"/>
    <w:rsid w:val="5E1E1366"/>
    <w:rsid w:val="5E1E7A98"/>
    <w:rsid w:val="5E276265"/>
    <w:rsid w:val="5E2C5DAA"/>
    <w:rsid w:val="5E332533"/>
    <w:rsid w:val="5E34EEE3"/>
    <w:rsid w:val="5E36CD52"/>
    <w:rsid w:val="5E563259"/>
    <w:rsid w:val="5E58275A"/>
    <w:rsid w:val="5E673AFE"/>
    <w:rsid w:val="5E7D36CA"/>
    <w:rsid w:val="5EA96CDB"/>
    <w:rsid w:val="5EE463EB"/>
    <w:rsid w:val="5EEC4920"/>
    <w:rsid w:val="5EF836F9"/>
    <w:rsid w:val="5F138524"/>
    <w:rsid w:val="5F214198"/>
    <w:rsid w:val="5F43E2CA"/>
    <w:rsid w:val="5F516BC1"/>
    <w:rsid w:val="5F5952A8"/>
    <w:rsid w:val="5F62725C"/>
    <w:rsid w:val="5F6B55F6"/>
    <w:rsid w:val="5F71D224"/>
    <w:rsid w:val="5F81BBCC"/>
    <w:rsid w:val="5F82B388"/>
    <w:rsid w:val="5F8551A2"/>
    <w:rsid w:val="5FA12962"/>
    <w:rsid w:val="5FA2BD13"/>
    <w:rsid w:val="5FB20BEF"/>
    <w:rsid w:val="5FC2B137"/>
    <w:rsid w:val="5FE2A338"/>
    <w:rsid w:val="5FF8C164"/>
    <w:rsid w:val="6011D029"/>
    <w:rsid w:val="6011E4BF"/>
    <w:rsid w:val="6017AAE2"/>
    <w:rsid w:val="60219C7B"/>
    <w:rsid w:val="60223CF0"/>
    <w:rsid w:val="602DBC29"/>
    <w:rsid w:val="6031020C"/>
    <w:rsid w:val="6040A040"/>
    <w:rsid w:val="60469F3B"/>
    <w:rsid w:val="6047B612"/>
    <w:rsid w:val="605941C8"/>
    <w:rsid w:val="606B19C6"/>
    <w:rsid w:val="606E46B1"/>
    <w:rsid w:val="6080344C"/>
    <w:rsid w:val="608A66F0"/>
    <w:rsid w:val="608F502D"/>
    <w:rsid w:val="60904CB9"/>
    <w:rsid w:val="60EFC045"/>
    <w:rsid w:val="60F87719"/>
    <w:rsid w:val="61018E90"/>
    <w:rsid w:val="6117A66B"/>
    <w:rsid w:val="6119275A"/>
    <w:rsid w:val="611E85AB"/>
    <w:rsid w:val="613475E1"/>
    <w:rsid w:val="61984FFB"/>
    <w:rsid w:val="61A292F0"/>
    <w:rsid w:val="61C9BAC1"/>
    <w:rsid w:val="61DF371C"/>
    <w:rsid w:val="61E60C88"/>
    <w:rsid w:val="61F48FB7"/>
    <w:rsid w:val="61FFC13B"/>
    <w:rsid w:val="6204FCE0"/>
    <w:rsid w:val="62165619"/>
    <w:rsid w:val="621C04AD"/>
    <w:rsid w:val="623809F8"/>
    <w:rsid w:val="624BEE4E"/>
    <w:rsid w:val="6263B08B"/>
    <w:rsid w:val="626E6F51"/>
    <w:rsid w:val="628321E4"/>
    <w:rsid w:val="6287FBB5"/>
    <w:rsid w:val="62ABBB37"/>
    <w:rsid w:val="62C0FBF3"/>
    <w:rsid w:val="62CF1015"/>
    <w:rsid w:val="62D2F2D5"/>
    <w:rsid w:val="62FCE9FD"/>
    <w:rsid w:val="630ADC3E"/>
    <w:rsid w:val="630BAFA5"/>
    <w:rsid w:val="6315C43D"/>
    <w:rsid w:val="633AAC21"/>
    <w:rsid w:val="633EC8AB"/>
    <w:rsid w:val="6346B11B"/>
    <w:rsid w:val="635069E1"/>
    <w:rsid w:val="63548639"/>
    <w:rsid w:val="636327E2"/>
    <w:rsid w:val="6374A548"/>
    <w:rsid w:val="6390E28A"/>
    <w:rsid w:val="63921647"/>
    <w:rsid w:val="6394FB3F"/>
    <w:rsid w:val="63981882"/>
    <w:rsid w:val="63990107"/>
    <w:rsid w:val="639C6DC4"/>
    <w:rsid w:val="63AB87CD"/>
    <w:rsid w:val="63D70B66"/>
    <w:rsid w:val="63E2B3B2"/>
    <w:rsid w:val="63F059CF"/>
    <w:rsid w:val="6411F6E3"/>
    <w:rsid w:val="64392F52"/>
    <w:rsid w:val="643ED5F1"/>
    <w:rsid w:val="6440A18C"/>
    <w:rsid w:val="644841B2"/>
    <w:rsid w:val="644CFF43"/>
    <w:rsid w:val="6466A28E"/>
    <w:rsid w:val="6470E5F8"/>
    <w:rsid w:val="64800A56"/>
    <w:rsid w:val="648B59FC"/>
    <w:rsid w:val="648B8810"/>
    <w:rsid w:val="64A7746E"/>
    <w:rsid w:val="64B12344"/>
    <w:rsid w:val="64BBB047"/>
    <w:rsid w:val="64D1111E"/>
    <w:rsid w:val="64D67C82"/>
    <w:rsid w:val="64D7E71B"/>
    <w:rsid w:val="64EDFEF4"/>
    <w:rsid w:val="64F881D3"/>
    <w:rsid w:val="65047623"/>
    <w:rsid w:val="651C30BF"/>
    <w:rsid w:val="651CC40E"/>
    <w:rsid w:val="65383E25"/>
    <w:rsid w:val="653A0DEC"/>
    <w:rsid w:val="653FBFA4"/>
    <w:rsid w:val="6568F8B5"/>
    <w:rsid w:val="6572B8BA"/>
    <w:rsid w:val="657F8FF4"/>
    <w:rsid w:val="659FB4BD"/>
    <w:rsid w:val="65A84D91"/>
    <w:rsid w:val="65AE9628"/>
    <w:rsid w:val="65B4D102"/>
    <w:rsid w:val="65C95EB9"/>
    <w:rsid w:val="65CD458E"/>
    <w:rsid w:val="65D4FFB3"/>
    <w:rsid w:val="65D83596"/>
    <w:rsid w:val="65D8FA41"/>
    <w:rsid w:val="65F22BA1"/>
    <w:rsid w:val="660D3A13"/>
    <w:rsid w:val="660EE23F"/>
    <w:rsid w:val="661B2996"/>
    <w:rsid w:val="662E99CE"/>
    <w:rsid w:val="666E2A16"/>
    <w:rsid w:val="667E6236"/>
    <w:rsid w:val="66819C89"/>
    <w:rsid w:val="66895F1B"/>
    <w:rsid w:val="66A3F378"/>
    <w:rsid w:val="66AD096D"/>
    <w:rsid w:val="66B1068A"/>
    <w:rsid w:val="66B1F3D9"/>
    <w:rsid w:val="66E2D164"/>
    <w:rsid w:val="66F36248"/>
    <w:rsid w:val="66F9F987"/>
    <w:rsid w:val="66FD3ED5"/>
    <w:rsid w:val="6707194B"/>
    <w:rsid w:val="671D0742"/>
    <w:rsid w:val="67378679"/>
    <w:rsid w:val="673AB4CA"/>
    <w:rsid w:val="673EC3E8"/>
    <w:rsid w:val="67425E2D"/>
    <w:rsid w:val="6749488B"/>
    <w:rsid w:val="677C78CA"/>
    <w:rsid w:val="677F2C5A"/>
    <w:rsid w:val="678BFF2D"/>
    <w:rsid w:val="679A52BB"/>
    <w:rsid w:val="67A23137"/>
    <w:rsid w:val="67A5BC95"/>
    <w:rsid w:val="67ACA4F4"/>
    <w:rsid w:val="67B00113"/>
    <w:rsid w:val="67BC463F"/>
    <w:rsid w:val="67C7D179"/>
    <w:rsid w:val="67D429EE"/>
    <w:rsid w:val="67D48688"/>
    <w:rsid w:val="67E98B98"/>
    <w:rsid w:val="68148773"/>
    <w:rsid w:val="681ECAF5"/>
    <w:rsid w:val="682D1C4D"/>
    <w:rsid w:val="682DD63A"/>
    <w:rsid w:val="684A6BEF"/>
    <w:rsid w:val="68562BD0"/>
    <w:rsid w:val="685F3F49"/>
    <w:rsid w:val="68633847"/>
    <w:rsid w:val="6873E062"/>
    <w:rsid w:val="68CF48F4"/>
    <w:rsid w:val="68EDA0A5"/>
    <w:rsid w:val="68F11AAD"/>
    <w:rsid w:val="68F2DB94"/>
    <w:rsid w:val="6906C0D2"/>
    <w:rsid w:val="6911E55D"/>
    <w:rsid w:val="69156BF3"/>
    <w:rsid w:val="691962A9"/>
    <w:rsid w:val="691E6B12"/>
    <w:rsid w:val="6920A1F0"/>
    <w:rsid w:val="693F08F1"/>
    <w:rsid w:val="694A797D"/>
    <w:rsid w:val="6963A1DA"/>
    <w:rsid w:val="6973D94B"/>
    <w:rsid w:val="69774850"/>
    <w:rsid w:val="697CFBB6"/>
    <w:rsid w:val="6985FA8F"/>
    <w:rsid w:val="69B4FDC7"/>
    <w:rsid w:val="69B8CBF6"/>
    <w:rsid w:val="69C661C6"/>
    <w:rsid w:val="69CD0292"/>
    <w:rsid w:val="69D604D1"/>
    <w:rsid w:val="69DD352F"/>
    <w:rsid w:val="69F0EA67"/>
    <w:rsid w:val="6A16A12F"/>
    <w:rsid w:val="6A1A7226"/>
    <w:rsid w:val="6A2E9E84"/>
    <w:rsid w:val="6A3712FE"/>
    <w:rsid w:val="6A45B9FF"/>
    <w:rsid w:val="6A5B9276"/>
    <w:rsid w:val="6A5C3170"/>
    <w:rsid w:val="6A8FD48A"/>
    <w:rsid w:val="6A94AB54"/>
    <w:rsid w:val="6AB69E68"/>
    <w:rsid w:val="6ABC7251"/>
    <w:rsid w:val="6AE445B6"/>
    <w:rsid w:val="6AE5FB06"/>
    <w:rsid w:val="6AF2A148"/>
    <w:rsid w:val="6AF74E66"/>
    <w:rsid w:val="6B2404EA"/>
    <w:rsid w:val="6B2C95A9"/>
    <w:rsid w:val="6B44CA9D"/>
    <w:rsid w:val="6B50CE28"/>
    <w:rsid w:val="6B5D4078"/>
    <w:rsid w:val="6B6846DE"/>
    <w:rsid w:val="6B7321C4"/>
    <w:rsid w:val="6B8AB1D3"/>
    <w:rsid w:val="6B9AD909"/>
    <w:rsid w:val="6BAB5A6B"/>
    <w:rsid w:val="6BBD4AEB"/>
    <w:rsid w:val="6BE65641"/>
    <w:rsid w:val="6C13FC31"/>
    <w:rsid w:val="6C182990"/>
    <w:rsid w:val="6C1F971D"/>
    <w:rsid w:val="6C25184F"/>
    <w:rsid w:val="6C3CB3A5"/>
    <w:rsid w:val="6C49C03F"/>
    <w:rsid w:val="6C4CD64D"/>
    <w:rsid w:val="6CA079F8"/>
    <w:rsid w:val="6CB8E17C"/>
    <w:rsid w:val="6CCF1318"/>
    <w:rsid w:val="6CD46B04"/>
    <w:rsid w:val="6CE296B3"/>
    <w:rsid w:val="6CE871DD"/>
    <w:rsid w:val="6CFAFA33"/>
    <w:rsid w:val="6CFE399B"/>
    <w:rsid w:val="6CFE8A76"/>
    <w:rsid w:val="6D0F8808"/>
    <w:rsid w:val="6D0FCD7E"/>
    <w:rsid w:val="6D2692A8"/>
    <w:rsid w:val="6D2AA2AE"/>
    <w:rsid w:val="6D61F791"/>
    <w:rsid w:val="6D644985"/>
    <w:rsid w:val="6D6AD35B"/>
    <w:rsid w:val="6D77E417"/>
    <w:rsid w:val="6D812AE1"/>
    <w:rsid w:val="6D82687B"/>
    <w:rsid w:val="6D8634CC"/>
    <w:rsid w:val="6D994E62"/>
    <w:rsid w:val="6D9CA5F9"/>
    <w:rsid w:val="6D9D71AF"/>
    <w:rsid w:val="6DAA3C23"/>
    <w:rsid w:val="6DAAEE1C"/>
    <w:rsid w:val="6DCDC84E"/>
    <w:rsid w:val="6DD85A68"/>
    <w:rsid w:val="6DD922DF"/>
    <w:rsid w:val="6DE4B6B8"/>
    <w:rsid w:val="6E018FE0"/>
    <w:rsid w:val="6E01DE5C"/>
    <w:rsid w:val="6E047C4D"/>
    <w:rsid w:val="6E0524CF"/>
    <w:rsid w:val="6E07F4E2"/>
    <w:rsid w:val="6E3392F9"/>
    <w:rsid w:val="6E384135"/>
    <w:rsid w:val="6E3AB68F"/>
    <w:rsid w:val="6E4ED801"/>
    <w:rsid w:val="6E5EF13D"/>
    <w:rsid w:val="6E6914D7"/>
    <w:rsid w:val="6E72C419"/>
    <w:rsid w:val="6E94DD96"/>
    <w:rsid w:val="6E976B8B"/>
    <w:rsid w:val="6EA5110E"/>
    <w:rsid w:val="6EB49C86"/>
    <w:rsid w:val="6EBAAC2E"/>
    <w:rsid w:val="6ED7CF19"/>
    <w:rsid w:val="6EDA5ED6"/>
    <w:rsid w:val="6EDCB50D"/>
    <w:rsid w:val="6EE7C056"/>
    <w:rsid w:val="6EF52920"/>
    <w:rsid w:val="6F069842"/>
    <w:rsid w:val="6F177D29"/>
    <w:rsid w:val="6F3318C9"/>
    <w:rsid w:val="6F3DC6B3"/>
    <w:rsid w:val="6F4733D4"/>
    <w:rsid w:val="6F52BE42"/>
    <w:rsid w:val="6F84770F"/>
    <w:rsid w:val="6F88A42D"/>
    <w:rsid w:val="6F9B5CB6"/>
    <w:rsid w:val="6FB030E9"/>
    <w:rsid w:val="6FB829E2"/>
    <w:rsid w:val="6FB92AA0"/>
    <w:rsid w:val="6FBB0018"/>
    <w:rsid w:val="6FCC45ED"/>
    <w:rsid w:val="6FD036E9"/>
    <w:rsid w:val="6FF0306F"/>
    <w:rsid w:val="6FFA8D44"/>
    <w:rsid w:val="7002F2F1"/>
    <w:rsid w:val="7004E538"/>
    <w:rsid w:val="70052815"/>
    <w:rsid w:val="701BBFDF"/>
    <w:rsid w:val="701E0EA1"/>
    <w:rsid w:val="7028DBE8"/>
    <w:rsid w:val="703555DC"/>
    <w:rsid w:val="70359279"/>
    <w:rsid w:val="703D5432"/>
    <w:rsid w:val="70567C8F"/>
    <w:rsid w:val="705EB190"/>
    <w:rsid w:val="7060FA67"/>
    <w:rsid w:val="7070E278"/>
    <w:rsid w:val="7087B370"/>
    <w:rsid w:val="708E464F"/>
    <w:rsid w:val="708F0558"/>
    <w:rsid w:val="7094F961"/>
    <w:rsid w:val="70B494A8"/>
    <w:rsid w:val="70D99714"/>
    <w:rsid w:val="70E30435"/>
    <w:rsid w:val="70E7BB63"/>
    <w:rsid w:val="7106B516"/>
    <w:rsid w:val="710DD195"/>
    <w:rsid w:val="71114E40"/>
    <w:rsid w:val="711EA924"/>
    <w:rsid w:val="712DA605"/>
    <w:rsid w:val="712E522D"/>
    <w:rsid w:val="713AF60F"/>
    <w:rsid w:val="713E4143"/>
    <w:rsid w:val="714004AE"/>
    <w:rsid w:val="71407309"/>
    <w:rsid w:val="7152FA14"/>
    <w:rsid w:val="715311BE"/>
    <w:rsid w:val="71558B62"/>
    <w:rsid w:val="71575B10"/>
    <w:rsid w:val="715E4669"/>
    <w:rsid w:val="717FD090"/>
    <w:rsid w:val="718BD1C7"/>
    <w:rsid w:val="719B5639"/>
    <w:rsid w:val="719B95A7"/>
    <w:rsid w:val="71A277FD"/>
    <w:rsid w:val="71ADF306"/>
    <w:rsid w:val="71C00FAC"/>
    <w:rsid w:val="71C0BAED"/>
    <w:rsid w:val="71D078CC"/>
    <w:rsid w:val="71D47158"/>
    <w:rsid w:val="71E2F92B"/>
    <w:rsid w:val="720939C9"/>
    <w:rsid w:val="720CB2D9"/>
    <w:rsid w:val="72169F58"/>
    <w:rsid w:val="7219A2DF"/>
    <w:rsid w:val="723D65E5"/>
    <w:rsid w:val="72503ED1"/>
    <w:rsid w:val="725EEF35"/>
    <w:rsid w:val="72747743"/>
    <w:rsid w:val="72784F28"/>
    <w:rsid w:val="72833DB5"/>
    <w:rsid w:val="72898446"/>
    <w:rsid w:val="72AD1EA1"/>
    <w:rsid w:val="72BC17D1"/>
    <w:rsid w:val="72D8A687"/>
    <w:rsid w:val="72E23738"/>
    <w:rsid w:val="72EECA75"/>
    <w:rsid w:val="72F3A3CD"/>
    <w:rsid w:val="73089F7A"/>
    <w:rsid w:val="73224924"/>
    <w:rsid w:val="733DBD3D"/>
    <w:rsid w:val="73478334"/>
    <w:rsid w:val="7351977D"/>
    <w:rsid w:val="735E6201"/>
    <w:rsid w:val="73634EC9"/>
    <w:rsid w:val="737E437C"/>
    <w:rsid w:val="73915334"/>
    <w:rsid w:val="73ACBEB4"/>
    <w:rsid w:val="73BA9EF4"/>
    <w:rsid w:val="73EFBDDA"/>
    <w:rsid w:val="73F4DCD1"/>
    <w:rsid w:val="74005DFA"/>
    <w:rsid w:val="74022947"/>
    <w:rsid w:val="7402D89E"/>
    <w:rsid w:val="741081CA"/>
    <w:rsid w:val="74158ACA"/>
    <w:rsid w:val="743E2D85"/>
    <w:rsid w:val="74444BE1"/>
    <w:rsid w:val="74457257"/>
    <w:rsid w:val="74727A71"/>
    <w:rsid w:val="7479CFCD"/>
    <w:rsid w:val="748A471B"/>
    <w:rsid w:val="748EF748"/>
    <w:rsid w:val="748F8DC5"/>
    <w:rsid w:val="749C305E"/>
    <w:rsid w:val="74BD00C0"/>
    <w:rsid w:val="74D33669"/>
    <w:rsid w:val="74EB963C"/>
    <w:rsid w:val="750422BE"/>
    <w:rsid w:val="752221A4"/>
    <w:rsid w:val="752D602E"/>
    <w:rsid w:val="75543A32"/>
    <w:rsid w:val="755CE8B6"/>
    <w:rsid w:val="756BA8C1"/>
    <w:rsid w:val="7570388D"/>
    <w:rsid w:val="757CE8B6"/>
    <w:rsid w:val="758D0B32"/>
    <w:rsid w:val="759008E2"/>
    <w:rsid w:val="75951CDA"/>
    <w:rsid w:val="759540B9"/>
    <w:rsid w:val="75976AFF"/>
    <w:rsid w:val="759A9C12"/>
    <w:rsid w:val="75A2357E"/>
    <w:rsid w:val="75A27157"/>
    <w:rsid w:val="75B1968F"/>
    <w:rsid w:val="75B6323D"/>
    <w:rsid w:val="75C24449"/>
    <w:rsid w:val="75C2D684"/>
    <w:rsid w:val="75E35323"/>
    <w:rsid w:val="75F23D06"/>
    <w:rsid w:val="75F74709"/>
    <w:rsid w:val="76013E95"/>
    <w:rsid w:val="760F4015"/>
    <w:rsid w:val="7610065C"/>
    <w:rsid w:val="7614FE31"/>
    <w:rsid w:val="76245236"/>
    <w:rsid w:val="763CA2FB"/>
    <w:rsid w:val="765CEB07"/>
    <w:rsid w:val="766F2EED"/>
    <w:rsid w:val="7671C161"/>
    <w:rsid w:val="7674F032"/>
    <w:rsid w:val="76759503"/>
    <w:rsid w:val="767D0A86"/>
    <w:rsid w:val="76A08C59"/>
    <w:rsid w:val="76B182C6"/>
    <w:rsid w:val="76DA7393"/>
    <w:rsid w:val="76E2B2AC"/>
    <w:rsid w:val="76E45F76"/>
    <w:rsid w:val="76E63734"/>
    <w:rsid w:val="76E8D4D5"/>
    <w:rsid w:val="76FF3ABE"/>
    <w:rsid w:val="77010D66"/>
    <w:rsid w:val="7709BD79"/>
    <w:rsid w:val="770CAEFA"/>
    <w:rsid w:val="770F0EC2"/>
    <w:rsid w:val="77101D51"/>
    <w:rsid w:val="771DC9F5"/>
    <w:rsid w:val="7728DB93"/>
    <w:rsid w:val="7732CE0A"/>
    <w:rsid w:val="7742A31C"/>
    <w:rsid w:val="7743E1A3"/>
    <w:rsid w:val="775E14AA"/>
    <w:rsid w:val="777D1319"/>
    <w:rsid w:val="778043C9"/>
    <w:rsid w:val="778CF84F"/>
    <w:rsid w:val="779982F2"/>
    <w:rsid w:val="779D0EF6"/>
    <w:rsid w:val="77A3AC70"/>
    <w:rsid w:val="77B0CE92"/>
    <w:rsid w:val="77C6980A"/>
    <w:rsid w:val="77CA5DB1"/>
    <w:rsid w:val="77D8BE73"/>
    <w:rsid w:val="77EFB00B"/>
    <w:rsid w:val="77F16F60"/>
    <w:rsid w:val="780B8809"/>
    <w:rsid w:val="782DA78C"/>
    <w:rsid w:val="7836DB05"/>
    <w:rsid w:val="7844B7E6"/>
    <w:rsid w:val="7858BB96"/>
    <w:rsid w:val="78655395"/>
    <w:rsid w:val="78758FEF"/>
    <w:rsid w:val="78765980"/>
    <w:rsid w:val="787ED855"/>
    <w:rsid w:val="788CDD33"/>
    <w:rsid w:val="7897D007"/>
    <w:rsid w:val="789D6354"/>
    <w:rsid w:val="78A43978"/>
    <w:rsid w:val="78B5E364"/>
    <w:rsid w:val="78BC2CAD"/>
    <w:rsid w:val="78CCE17B"/>
    <w:rsid w:val="78CE2C58"/>
    <w:rsid w:val="78D55CB6"/>
    <w:rsid w:val="78E78447"/>
    <w:rsid w:val="78E8AD42"/>
    <w:rsid w:val="78EBAF67"/>
    <w:rsid w:val="7918E37A"/>
    <w:rsid w:val="7919F64A"/>
    <w:rsid w:val="791BC123"/>
    <w:rsid w:val="79212C57"/>
    <w:rsid w:val="7923DDCD"/>
    <w:rsid w:val="7937D4BA"/>
    <w:rsid w:val="793BD0A7"/>
    <w:rsid w:val="79470413"/>
    <w:rsid w:val="794996FE"/>
    <w:rsid w:val="795A7C27"/>
    <w:rsid w:val="796035A3"/>
    <w:rsid w:val="79688ACD"/>
    <w:rsid w:val="796FA181"/>
    <w:rsid w:val="7982E162"/>
    <w:rsid w:val="7983BCD7"/>
    <w:rsid w:val="799FAAFB"/>
    <w:rsid w:val="79A7586A"/>
    <w:rsid w:val="79AA18BA"/>
    <w:rsid w:val="79AD8A20"/>
    <w:rsid w:val="79C2E497"/>
    <w:rsid w:val="79C61EB6"/>
    <w:rsid w:val="79C7C266"/>
    <w:rsid w:val="79F04624"/>
    <w:rsid w:val="79F756FE"/>
    <w:rsid w:val="79FADB28"/>
    <w:rsid w:val="7A04E1BA"/>
    <w:rsid w:val="7A0FBC13"/>
    <w:rsid w:val="7A1267E9"/>
    <w:rsid w:val="7A1716EE"/>
    <w:rsid w:val="7A1920FA"/>
    <w:rsid w:val="7A1F9F91"/>
    <w:rsid w:val="7A341793"/>
    <w:rsid w:val="7A409253"/>
    <w:rsid w:val="7A44AB76"/>
    <w:rsid w:val="7A5CC6FA"/>
    <w:rsid w:val="7A75924B"/>
    <w:rsid w:val="7A8183A8"/>
    <w:rsid w:val="7A993910"/>
    <w:rsid w:val="7A9D247F"/>
    <w:rsid w:val="7AA726B8"/>
    <w:rsid w:val="7AC4FB2E"/>
    <w:rsid w:val="7ADBEF19"/>
    <w:rsid w:val="7AFD4D9B"/>
    <w:rsid w:val="7AFE38CC"/>
    <w:rsid w:val="7B08A71B"/>
    <w:rsid w:val="7B0925F7"/>
    <w:rsid w:val="7B167421"/>
    <w:rsid w:val="7B1AD716"/>
    <w:rsid w:val="7B294F90"/>
    <w:rsid w:val="7B8A4642"/>
    <w:rsid w:val="7B98172D"/>
    <w:rsid w:val="7B9A1BCE"/>
    <w:rsid w:val="7BA83880"/>
    <w:rsid w:val="7BD3C9EF"/>
    <w:rsid w:val="7BE07155"/>
    <w:rsid w:val="7BE16808"/>
    <w:rsid w:val="7BE6A96B"/>
    <w:rsid w:val="7BEC9BA4"/>
    <w:rsid w:val="7BFD4B4C"/>
    <w:rsid w:val="7C039961"/>
    <w:rsid w:val="7C06B1CD"/>
    <w:rsid w:val="7C16143F"/>
    <w:rsid w:val="7C18BE1E"/>
    <w:rsid w:val="7C1C494F"/>
    <w:rsid w:val="7C22AB54"/>
    <w:rsid w:val="7C3965FE"/>
    <w:rsid w:val="7C4555C6"/>
    <w:rsid w:val="7C49C851"/>
    <w:rsid w:val="7C6469C2"/>
    <w:rsid w:val="7C708019"/>
    <w:rsid w:val="7C8DA381"/>
    <w:rsid w:val="7C924257"/>
    <w:rsid w:val="7C9DCED4"/>
    <w:rsid w:val="7CA02B8F"/>
    <w:rsid w:val="7CA6E588"/>
    <w:rsid w:val="7CE6A408"/>
    <w:rsid w:val="7CED0A38"/>
    <w:rsid w:val="7D055127"/>
    <w:rsid w:val="7D1632EA"/>
    <w:rsid w:val="7D2ADAD0"/>
    <w:rsid w:val="7D3BFF94"/>
    <w:rsid w:val="7D435BDD"/>
    <w:rsid w:val="7D45A672"/>
    <w:rsid w:val="7D5B4D89"/>
    <w:rsid w:val="7D6B46B3"/>
    <w:rsid w:val="7D7A4E1A"/>
    <w:rsid w:val="7D895487"/>
    <w:rsid w:val="7D8BC83E"/>
    <w:rsid w:val="7D903042"/>
    <w:rsid w:val="7D9467BC"/>
    <w:rsid w:val="7D946C1F"/>
    <w:rsid w:val="7DAB8B4D"/>
    <w:rsid w:val="7DBADFF4"/>
    <w:rsid w:val="7DC6DA1E"/>
    <w:rsid w:val="7DCA82D7"/>
    <w:rsid w:val="7DD81CB4"/>
    <w:rsid w:val="7DE41A9D"/>
    <w:rsid w:val="7DE45ADF"/>
    <w:rsid w:val="7DF04722"/>
    <w:rsid w:val="7DFC8795"/>
    <w:rsid w:val="7DFECA78"/>
    <w:rsid w:val="7E0DFBD8"/>
    <w:rsid w:val="7E15EBC0"/>
    <w:rsid w:val="7E174317"/>
    <w:rsid w:val="7E2B4A04"/>
    <w:rsid w:val="7E2DA606"/>
    <w:rsid w:val="7E35D0B8"/>
    <w:rsid w:val="7E41C7F0"/>
    <w:rsid w:val="7E8AF7A8"/>
    <w:rsid w:val="7EA08AF2"/>
    <w:rsid w:val="7EAB0504"/>
    <w:rsid w:val="7EACB587"/>
    <w:rsid w:val="7ED8C8FE"/>
    <w:rsid w:val="7EEB96FF"/>
    <w:rsid w:val="7EFB0A5D"/>
    <w:rsid w:val="7F0A180D"/>
    <w:rsid w:val="7F0EA900"/>
    <w:rsid w:val="7F1165DD"/>
    <w:rsid w:val="7F37E5A9"/>
    <w:rsid w:val="7F3B010A"/>
    <w:rsid w:val="7F3D0FEC"/>
    <w:rsid w:val="7F49D5EF"/>
    <w:rsid w:val="7F4B8FC9"/>
    <w:rsid w:val="7F5921EE"/>
    <w:rsid w:val="7F700F71"/>
    <w:rsid w:val="7F720EC5"/>
    <w:rsid w:val="7F72FB94"/>
    <w:rsid w:val="7F7CF688"/>
    <w:rsid w:val="7FAE8265"/>
    <w:rsid w:val="7FC1DCF3"/>
    <w:rsid w:val="7FD6B55E"/>
    <w:rsid w:val="7FD7CC51"/>
    <w:rsid w:val="7FDD9C2B"/>
    <w:rsid w:val="7FFB90E6"/>
    <w:rsid w:val="7FFFC42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6075625"/>
  <w15:chartTrackingRefBased/>
  <w15:docId w15:val="{27362632-0DFE-457B-B16C-F0B9B4B69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C77"/>
  </w:style>
  <w:style w:type="paragraph" w:styleId="Heading1">
    <w:name w:val="heading 1"/>
    <w:basedOn w:val="Normal"/>
    <w:next w:val="Normal"/>
    <w:link w:val="Heading1Char"/>
    <w:uiPriority w:val="9"/>
    <w:qFormat/>
    <w:rsid w:val="00745FF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464A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6599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1099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5FF4"/>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745FF4"/>
    <w:pPr>
      <w:outlineLvl w:val="9"/>
    </w:pPr>
  </w:style>
  <w:style w:type="paragraph" w:styleId="ListParagraph">
    <w:name w:val="List Paragraph"/>
    <w:basedOn w:val="Normal"/>
    <w:uiPriority w:val="34"/>
    <w:qFormat/>
    <w:rsid w:val="00926D64"/>
    <w:pPr>
      <w:ind w:left="720"/>
      <w:contextualSpacing/>
    </w:pPr>
  </w:style>
  <w:style w:type="paragraph" w:styleId="Title">
    <w:name w:val="Title"/>
    <w:basedOn w:val="Normal"/>
    <w:next w:val="Normal"/>
    <w:link w:val="TitleChar"/>
    <w:uiPriority w:val="10"/>
    <w:qFormat/>
    <w:rsid w:val="002C038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0389"/>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C464A7"/>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FC7402"/>
    <w:pPr>
      <w:tabs>
        <w:tab w:val="left" w:pos="851"/>
        <w:tab w:val="right" w:leader="dot" w:pos="9016"/>
      </w:tabs>
      <w:spacing w:after="100"/>
      <w:ind w:left="426" w:hanging="426"/>
    </w:pPr>
  </w:style>
  <w:style w:type="paragraph" w:styleId="TOC2">
    <w:name w:val="toc 2"/>
    <w:basedOn w:val="Normal"/>
    <w:next w:val="Normal"/>
    <w:autoRedefine/>
    <w:uiPriority w:val="39"/>
    <w:unhideWhenUsed/>
    <w:rsid w:val="003716B0"/>
    <w:pPr>
      <w:spacing w:after="100"/>
      <w:ind w:left="220"/>
    </w:pPr>
  </w:style>
  <w:style w:type="character" w:styleId="Hyperlink">
    <w:name w:val="Hyperlink"/>
    <w:basedOn w:val="DefaultParagraphFont"/>
    <w:uiPriority w:val="99"/>
    <w:unhideWhenUsed/>
    <w:rsid w:val="003716B0"/>
    <w:rPr>
      <w:color w:val="0563C1" w:themeColor="hyperlink"/>
      <w:u w:val="single"/>
    </w:rPr>
  </w:style>
  <w:style w:type="paragraph" w:styleId="FootnoteText">
    <w:name w:val="footnote text"/>
    <w:aliases w:val="Footnote Text Char Char,Footnote text,Footnote Text Char1,Footnote Text Char2 Char,Footnote Text Char1 Char1 Char,Footnote Text Char2 Char Char Char,Footnote Text Char1 Char1 Char Char Char,Plonk,fn,fn Char Char,Fußnote,o, Char1,o Car Car"/>
    <w:basedOn w:val="Normal"/>
    <w:link w:val="FootnoteTextChar"/>
    <w:uiPriority w:val="99"/>
    <w:unhideWhenUsed/>
    <w:qFormat/>
    <w:rsid w:val="003E5080"/>
    <w:pPr>
      <w:spacing w:after="0" w:line="240" w:lineRule="auto"/>
    </w:pPr>
    <w:rPr>
      <w:sz w:val="20"/>
      <w:szCs w:val="20"/>
    </w:rPr>
  </w:style>
  <w:style w:type="character" w:customStyle="1" w:styleId="FootnoteTextChar">
    <w:name w:val="Footnote Text Char"/>
    <w:aliases w:val="Footnote Text Char Char Char,Footnote text Char,Footnote Text Char1 Char,Footnote Text Char2 Char Char,Footnote Text Char1 Char1 Char Char,Footnote Text Char2 Char Char Char Char,Footnote Text Char1 Char1 Char Char Char Char,fn Char"/>
    <w:basedOn w:val="DefaultParagraphFont"/>
    <w:link w:val="FootnoteText"/>
    <w:uiPriority w:val="99"/>
    <w:rsid w:val="003E5080"/>
    <w:rPr>
      <w:sz w:val="20"/>
      <w:szCs w:val="20"/>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16 Point,note TESI"/>
    <w:basedOn w:val="DefaultParagraphFont"/>
    <w:link w:val="SUPERSCharCharCharCharCharCharCharChar"/>
    <w:uiPriority w:val="99"/>
    <w:unhideWhenUsed/>
    <w:qFormat/>
    <w:rsid w:val="003E5080"/>
    <w:rPr>
      <w:vertAlign w:val="superscript"/>
    </w:rPr>
  </w:style>
  <w:style w:type="character" w:styleId="CommentReference">
    <w:name w:val="annotation reference"/>
    <w:basedOn w:val="DefaultParagraphFont"/>
    <w:uiPriority w:val="99"/>
    <w:semiHidden/>
    <w:unhideWhenUsed/>
    <w:rsid w:val="00B51BD6"/>
    <w:rPr>
      <w:sz w:val="16"/>
      <w:szCs w:val="16"/>
    </w:rPr>
  </w:style>
  <w:style w:type="paragraph" w:styleId="CommentText">
    <w:name w:val="annotation text"/>
    <w:basedOn w:val="Normal"/>
    <w:link w:val="CommentTextChar"/>
    <w:uiPriority w:val="99"/>
    <w:unhideWhenUsed/>
    <w:rsid w:val="00B51BD6"/>
    <w:pPr>
      <w:spacing w:line="240" w:lineRule="auto"/>
    </w:pPr>
    <w:rPr>
      <w:sz w:val="20"/>
      <w:szCs w:val="20"/>
    </w:rPr>
  </w:style>
  <w:style w:type="character" w:customStyle="1" w:styleId="CommentTextChar">
    <w:name w:val="Comment Text Char"/>
    <w:basedOn w:val="DefaultParagraphFont"/>
    <w:link w:val="CommentText"/>
    <w:uiPriority w:val="99"/>
    <w:rsid w:val="00B51BD6"/>
    <w:rPr>
      <w:sz w:val="20"/>
      <w:szCs w:val="20"/>
    </w:rPr>
  </w:style>
  <w:style w:type="paragraph" w:styleId="CommentSubject">
    <w:name w:val="annotation subject"/>
    <w:basedOn w:val="CommentText"/>
    <w:next w:val="CommentText"/>
    <w:link w:val="CommentSubjectChar"/>
    <w:uiPriority w:val="99"/>
    <w:semiHidden/>
    <w:unhideWhenUsed/>
    <w:rsid w:val="00B51BD6"/>
    <w:rPr>
      <w:b/>
      <w:bCs/>
    </w:rPr>
  </w:style>
  <w:style w:type="character" w:customStyle="1" w:styleId="CommentSubjectChar">
    <w:name w:val="Comment Subject Char"/>
    <w:basedOn w:val="CommentTextChar"/>
    <w:link w:val="CommentSubject"/>
    <w:uiPriority w:val="99"/>
    <w:semiHidden/>
    <w:rsid w:val="00B51BD6"/>
    <w:rPr>
      <w:b/>
      <w:bCs/>
      <w:sz w:val="20"/>
      <w:szCs w:val="20"/>
    </w:rPr>
  </w:style>
  <w:style w:type="paragraph" w:styleId="BalloonText">
    <w:name w:val="Balloon Text"/>
    <w:basedOn w:val="Normal"/>
    <w:link w:val="BalloonTextChar"/>
    <w:uiPriority w:val="99"/>
    <w:semiHidden/>
    <w:unhideWhenUsed/>
    <w:rsid w:val="00B51B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BD6"/>
    <w:rPr>
      <w:rFonts w:ascii="Segoe UI" w:hAnsi="Segoe UI" w:cs="Segoe UI"/>
      <w:sz w:val="18"/>
      <w:szCs w:val="18"/>
    </w:rPr>
  </w:style>
  <w:style w:type="character" w:customStyle="1" w:styleId="Heading3Char">
    <w:name w:val="Heading 3 Char"/>
    <w:basedOn w:val="DefaultParagraphFont"/>
    <w:link w:val="Heading3"/>
    <w:uiPriority w:val="9"/>
    <w:rsid w:val="0086599F"/>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6255C1"/>
    <w:pPr>
      <w:spacing w:after="100"/>
      <w:ind w:left="440"/>
    </w:pPr>
  </w:style>
  <w:style w:type="paragraph" w:styleId="Header">
    <w:name w:val="header"/>
    <w:basedOn w:val="Normal"/>
    <w:link w:val="HeaderChar"/>
    <w:uiPriority w:val="99"/>
    <w:unhideWhenUsed/>
    <w:rsid w:val="00287A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7AB5"/>
  </w:style>
  <w:style w:type="paragraph" w:styleId="Footer">
    <w:name w:val="footer"/>
    <w:basedOn w:val="Normal"/>
    <w:link w:val="FooterChar"/>
    <w:uiPriority w:val="99"/>
    <w:unhideWhenUsed/>
    <w:rsid w:val="00287A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7AB5"/>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246E4F"/>
    <w:pPr>
      <w:spacing w:line="240" w:lineRule="exact"/>
      <w:jc w:val="both"/>
    </w:pPr>
    <w:rPr>
      <w:vertAlign w:val="superscript"/>
    </w:rPr>
  </w:style>
  <w:style w:type="paragraph" w:styleId="Revision">
    <w:name w:val="Revision"/>
    <w:hidden/>
    <w:uiPriority w:val="99"/>
    <w:semiHidden/>
    <w:rsid w:val="00E71149"/>
    <w:pPr>
      <w:spacing w:after="0" w:line="240" w:lineRule="auto"/>
    </w:pPr>
  </w:style>
  <w:style w:type="paragraph" w:customStyle="1" w:styleId="Default">
    <w:name w:val="Default"/>
    <w:rsid w:val="00971AE8"/>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0A52FA"/>
    <w:rPr>
      <w:color w:val="954F72" w:themeColor="followedHyperlink"/>
      <w:u w:val="single"/>
    </w:rPr>
  </w:style>
  <w:style w:type="character" w:customStyle="1" w:styleId="Marker">
    <w:name w:val="Marker"/>
    <w:basedOn w:val="DefaultParagraphFont"/>
    <w:rsid w:val="00261C77"/>
    <w:rPr>
      <w:color w:val="0000FF"/>
      <w:shd w:val="clear" w:color="auto" w:fill="auto"/>
    </w:rPr>
  </w:style>
  <w:style w:type="paragraph" w:customStyle="1" w:styleId="Pagedecouverture">
    <w:name w:val="Page de couverture"/>
    <w:basedOn w:val="Normal"/>
    <w:next w:val="Normal"/>
    <w:rsid w:val="00261C77"/>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261C77"/>
    <w:pPr>
      <w:tabs>
        <w:tab w:val="center" w:pos="4535"/>
        <w:tab w:val="right" w:pos="9071"/>
        <w:tab w:val="right" w:pos="9921"/>
      </w:tabs>
      <w:spacing w:before="360" w:beforeAutospacing="1" w:after="0" w:afterAutospacing="1" w:line="240" w:lineRule="auto"/>
      <w:ind w:left="-850" w:right="-850"/>
    </w:pPr>
    <w:rPr>
      <w:rFonts w:ascii="Times New Roman" w:hAnsi="Times New Roman" w:cs="Times New Roman"/>
      <w:sz w:val="24"/>
    </w:rPr>
  </w:style>
  <w:style w:type="character" w:customStyle="1" w:styleId="FooterCoverPageChar">
    <w:name w:val="Footer Cover Page Char"/>
    <w:basedOn w:val="TitleChar"/>
    <w:link w:val="FooterCoverPage"/>
    <w:rsid w:val="00261C77"/>
    <w:rPr>
      <w:rFonts w:ascii="Times New Roman" w:eastAsiaTheme="majorEastAsia" w:hAnsi="Times New Roman" w:cs="Times New Roman"/>
      <w:spacing w:val="-10"/>
      <w:kern w:val="28"/>
      <w:sz w:val="24"/>
      <w:szCs w:val="56"/>
    </w:rPr>
  </w:style>
  <w:style w:type="paragraph" w:customStyle="1" w:styleId="FooterSensitivity">
    <w:name w:val="Footer Sensitivity"/>
    <w:basedOn w:val="Normal"/>
    <w:link w:val="FooterSensitivityChar"/>
    <w:rsid w:val="00261C77"/>
    <w:pPr>
      <w:pBdr>
        <w:top w:val="single" w:sz="4" w:space="1" w:color="auto"/>
        <w:left w:val="single" w:sz="4" w:space="4" w:color="auto"/>
        <w:bottom w:val="single" w:sz="4" w:space="1" w:color="auto"/>
        <w:right w:val="single" w:sz="4" w:space="4" w:color="auto"/>
      </w:pBdr>
      <w:spacing w:before="360" w:beforeAutospacing="1" w:after="0" w:afterAutospacing="1"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itleChar"/>
    <w:link w:val="FooterSensitivity"/>
    <w:rsid w:val="00261C77"/>
    <w:rPr>
      <w:rFonts w:ascii="Times New Roman" w:eastAsiaTheme="majorEastAsia" w:hAnsi="Times New Roman" w:cs="Times New Roman"/>
      <w:b/>
      <w:spacing w:val="-10"/>
      <w:kern w:val="28"/>
      <w:sz w:val="32"/>
      <w:szCs w:val="56"/>
    </w:rPr>
  </w:style>
  <w:style w:type="paragraph" w:customStyle="1" w:styleId="HeaderCoverPage">
    <w:name w:val="Header Cover Page"/>
    <w:basedOn w:val="Normal"/>
    <w:link w:val="HeaderCoverPageChar"/>
    <w:rsid w:val="00261C77"/>
    <w:pPr>
      <w:tabs>
        <w:tab w:val="center" w:pos="4535"/>
        <w:tab w:val="right" w:pos="9071"/>
      </w:tabs>
      <w:spacing w:beforeAutospacing="1" w:after="120" w:afterAutospacing="1" w:line="240" w:lineRule="auto"/>
      <w:jc w:val="both"/>
    </w:pPr>
    <w:rPr>
      <w:rFonts w:ascii="Times New Roman" w:hAnsi="Times New Roman" w:cs="Times New Roman"/>
      <w:sz w:val="24"/>
    </w:rPr>
  </w:style>
  <w:style w:type="character" w:customStyle="1" w:styleId="HeaderCoverPageChar">
    <w:name w:val="Header Cover Page Char"/>
    <w:basedOn w:val="TitleChar"/>
    <w:link w:val="HeaderCoverPage"/>
    <w:rsid w:val="00261C77"/>
    <w:rPr>
      <w:rFonts w:ascii="Times New Roman" w:eastAsiaTheme="majorEastAsia" w:hAnsi="Times New Roman" w:cs="Times New Roman"/>
      <w:spacing w:val="-10"/>
      <w:kern w:val="28"/>
      <w:sz w:val="24"/>
      <w:szCs w:val="56"/>
    </w:rPr>
  </w:style>
  <w:style w:type="paragraph" w:customStyle="1" w:styleId="HeaderSensitivity">
    <w:name w:val="Header Sensitivity"/>
    <w:basedOn w:val="Normal"/>
    <w:link w:val="HeaderSensitivityChar"/>
    <w:rsid w:val="00261C77"/>
    <w:pPr>
      <w:pBdr>
        <w:top w:val="single" w:sz="4" w:space="1" w:color="auto"/>
        <w:left w:val="single" w:sz="4" w:space="4" w:color="auto"/>
        <w:bottom w:val="single" w:sz="4" w:space="1" w:color="auto"/>
        <w:right w:val="single" w:sz="4" w:space="4" w:color="auto"/>
      </w:pBdr>
      <w:spacing w:beforeAutospacing="1" w:after="120" w:afterAutospacing="1"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itleChar"/>
    <w:link w:val="HeaderSensitivity"/>
    <w:rsid w:val="00261C77"/>
    <w:rPr>
      <w:rFonts w:ascii="Times New Roman" w:eastAsiaTheme="majorEastAsia" w:hAnsi="Times New Roman" w:cs="Times New Roman"/>
      <w:b/>
      <w:spacing w:val="-10"/>
      <w:kern w:val="28"/>
      <w:sz w:val="32"/>
      <w:szCs w:val="56"/>
    </w:rPr>
  </w:style>
  <w:style w:type="paragraph" w:customStyle="1" w:styleId="HeaderSensitivityRight">
    <w:name w:val="Header Sensitivity Right"/>
    <w:basedOn w:val="Normal"/>
    <w:link w:val="HeaderSensitivityRightChar"/>
    <w:rsid w:val="00261C77"/>
    <w:pPr>
      <w:spacing w:beforeAutospacing="1" w:after="120" w:afterAutospacing="1" w:line="240" w:lineRule="auto"/>
      <w:jc w:val="right"/>
    </w:pPr>
    <w:rPr>
      <w:rFonts w:ascii="Times New Roman" w:hAnsi="Times New Roman" w:cs="Times New Roman"/>
      <w:sz w:val="28"/>
    </w:rPr>
  </w:style>
  <w:style w:type="character" w:customStyle="1" w:styleId="HeaderSensitivityRightChar">
    <w:name w:val="Header Sensitivity Right Char"/>
    <w:basedOn w:val="TitleChar"/>
    <w:link w:val="HeaderSensitivityRight"/>
    <w:rsid w:val="00261C77"/>
    <w:rPr>
      <w:rFonts w:ascii="Times New Roman" w:eastAsiaTheme="majorEastAsia" w:hAnsi="Times New Roman" w:cs="Times New Roman"/>
      <w:spacing w:val="-10"/>
      <w:kern w:val="28"/>
      <w:sz w:val="28"/>
      <w:szCs w:val="56"/>
    </w:rPr>
  </w:style>
  <w:style w:type="table" w:styleId="TableGrid">
    <w:name w:val="Table Grid"/>
    <w:basedOn w:val="TableNormal"/>
    <w:uiPriority w:val="39"/>
    <w:rsid w:val="00D17C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EB2E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E"/>
    </w:rPr>
  </w:style>
  <w:style w:type="character" w:customStyle="1" w:styleId="HTMLPreformattedChar">
    <w:name w:val="HTML Preformatted Char"/>
    <w:basedOn w:val="DefaultParagraphFont"/>
    <w:link w:val="HTMLPreformatted"/>
    <w:uiPriority w:val="99"/>
    <w:semiHidden/>
    <w:rsid w:val="00EB2E89"/>
    <w:rPr>
      <w:rFonts w:ascii="Courier New" w:eastAsia="Times New Roman" w:hAnsi="Courier New" w:cs="Courier New"/>
      <w:sz w:val="20"/>
      <w:szCs w:val="20"/>
      <w:lang w:eastAsia="en-IE"/>
    </w:rPr>
  </w:style>
  <w:style w:type="paragraph" w:customStyle="1" w:styleId="Text1">
    <w:name w:val="Text 1"/>
    <w:basedOn w:val="Normal"/>
    <w:link w:val="Text1Char"/>
    <w:rsid w:val="00BB75F0"/>
    <w:pPr>
      <w:spacing w:after="240" w:line="240" w:lineRule="auto"/>
      <w:ind w:left="482"/>
      <w:jc w:val="both"/>
    </w:pPr>
    <w:rPr>
      <w:rFonts w:ascii="Times New Roman" w:eastAsia="Times New Roman" w:hAnsi="Times New Roman" w:cs="Times New Roman"/>
      <w:noProof/>
      <w:sz w:val="24"/>
      <w:szCs w:val="20"/>
    </w:rPr>
  </w:style>
  <w:style w:type="character" w:customStyle="1" w:styleId="Text1Char">
    <w:name w:val="Text 1 Char"/>
    <w:link w:val="Text1"/>
    <w:locked/>
    <w:rsid w:val="00BB75F0"/>
    <w:rPr>
      <w:rFonts w:ascii="Times New Roman" w:eastAsia="Times New Roman" w:hAnsi="Times New Roman" w:cs="Times New Roman"/>
      <w:noProof/>
      <w:sz w:val="24"/>
      <w:szCs w:val="20"/>
      <w:lang w:val="lv-LV"/>
    </w:rPr>
  </w:style>
  <w:style w:type="paragraph" w:customStyle="1" w:styleId="paragraph">
    <w:name w:val="paragraph"/>
    <w:basedOn w:val="Normal"/>
    <w:rsid w:val="00CE7923"/>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CE7923"/>
  </w:style>
  <w:style w:type="character" w:customStyle="1" w:styleId="eop">
    <w:name w:val="eop"/>
    <w:basedOn w:val="DefaultParagraphFont"/>
    <w:rsid w:val="00CE7923"/>
  </w:style>
  <w:style w:type="character" w:customStyle="1" w:styleId="consultation-date">
    <w:name w:val="consultation-date"/>
    <w:basedOn w:val="DefaultParagraphFont"/>
    <w:rsid w:val="00525DB0"/>
  </w:style>
  <w:style w:type="character" w:customStyle="1" w:styleId="findhit">
    <w:name w:val="findhit"/>
    <w:basedOn w:val="DefaultParagraphFont"/>
    <w:rsid w:val="00642B37"/>
  </w:style>
  <w:style w:type="character" w:customStyle="1" w:styleId="Heading4Char">
    <w:name w:val="Heading 4 Char"/>
    <w:basedOn w:val="DefaultParagraphFont"/>
    <w:link w:val="Heading4"/>
    <w:uiPriority w:val="9"/>
    <w:rsid w:val="0041099E"/>
    <w:rPr>
      <w:rFonts w:asciiTheme="majorHAnsi" w:eastAsiaTheme="majorEastAsia" w:hAnsiTheme="majorHAnsi" w:cstheme="majorBidi"/>
      <w:i/>
      <w:iCs/>
      <w:color w:val="2E74B5" w:themeColor="accent1" w:themeShade="BF"/>
    </w:rPr>
  </w:style>
  <w:style w:type="character" w:customStyle="1" w:styleId="UnresolvedMention1">
    <w:name w:val="Unresolved Mention1"/>
    <w:basedOn w:val="DefaultParagraphFont"/>
    <w:uiPriority w:val="99"/>
    <w:semiHidden/>
    <w:unhideWhenUsed/>
    <w:rsid w:val="00E5249C"/>
    <w:rPr>
      <w:color w:val="605E5C"/>
      <w:shd w:val="clear" w:color="auto" w:fill="E1DFDD"/>
    </w:rPr>
  </w:style>
  <w:style w:type="character" w:customStyle="1" w:styleId="UnresolvedMention2">
    <w:name w:val="Unresolved Mention2"/>
    <w:basedOn w:val="DefaultParagraphFont"/>
    <w:uiPriority w:val="99"/>
    <w:semiHidden/>
    <w:unhideWhenUsed/>
    <w:rsid w:val="000115DE"/>
    <w:rPr>
      <w:color w:val="605E5C"/>
      <w:shd w:val="clear" w:color="auto" w:fill="E1DFDD"/>
    </w:rPr>
  </w:style>
  <w:style w:type="character" w:customStyle="1" w:styleId="UnresolvedMention3">
    <w:name w:val="Unresolved Mention3"/>
    <w:basedOn w:val="DefaultParagraphFont"/>
    <w:uiPriority w:val="99"/>
    <w:semiHidden/>
    <w:unhideWhenUsed/>
    <w:rsid w:val="006D1404"/>
    <w:rPr>
      <w:color w:val="605E5C"/>
      <w:shd w:val="clear" w:color="auto" w:fill="E1DFDD"/>
    </w:rPr>
  </w:style>
  <w:style w:type="paragraph" w:customStyle="1" w:styleId="footnotejt">
    <w:name w:val="footnote jt"/>
    <w:basedOn w:val="FootnoteText"/>
    <w:rsid w:val="006D1404"/>
    <w:pPr>
      <w:tabs>
        <w:tab w:val="left" w:pos="720"/>
      </w:tabs>
      <w:ind w:left="432" w:hanging="432"/>
      <w:jc w:val="both"/>
    </w:pPr>
    <w:rPr>
      <w:rFonts w:ascii="Times New Roman" w:hAnsi="Times New Roman" w:cs="Times New Roman"/>
    </w:rPr>
  </w:style>
  <w:style w:type="character" w:customStyle="1" w:styleId="UnresolvedMention4">
    <w:name w:val="Unresolved Mention4"/>
    <w:basedOn w:val="DefaultParagraphFont"/>
    <w:uiPriority w:val="99"/>
    <w:semiHidden/>
    <w:unhideWhenUsed/>
    <w:rsid w:val="006D1404"/>
    <w:rPr>
      <w:color w:val="605E5C"/>
      <w:shd w:val="clear" w:color="auto" w:fill="E1DFDD"/>
    </w:rPr>
  </w:style>
  <w:style w:type="character" w:customStyle="1" w:styleId="UnresolvedMention5">
    <w:name w:val="Unresolved Mention5"/>
    <w:basedOn w:val="DefaultParagraphFont"/>
    <w:uiPriority w:val="99"/>
    <w:semiHidden/>
    <w:unhideWhenUsed/>
    <w:rsid w:val="006D1404"/>
    <w:rPr>
      <w:color w:val="605E5C"/>
      <w:shd w:val="clear" w:color="auto" w:fill="E1DFDD"/>
    </w:rPr>
  </w:style>
  <w:style w:type="character" w:customStyle="1" w:styleId="UnresolvedMention6">
    <w:name w:val="Unresolved Mention6"/>
    <w:basedOn w:val="DefaultParagraphFont"/>
    <w:uiPriority w:val="99"/>
    <w:semiHidden/>
    <w:unhideWhenUsed/>
    <w:rsid w:val="006D1404"/>
    <w:rPr>
      <w:color w:val="605E5C"/>
      <w:shd w:val="clear" w:color="auto" w:fill="E1DFDD"/>
    </w:rPr>
  </w:style>
  <w:style w:type="character" w:customStyle="1" w:styleId="UnresolvedMention7">
    <w:name w:val="Unresolved Mention7"/>
    <w:basedOn w:val="DefaultParagraphFont"/>
    <w:uiPriority w:val="99"/>
    <w:semiHidden/>
    <w:unhideWhenUsed/>
    <w:rsid w:val="006D1404"/>
    <w:rPr>
      <w:color w:val="605E5C"/>
      <w:shd w:val="clear" w:color="auto" w:fill="E1DFDD"/>
    </w:rPr>
  </w:style>
  <w:style w:type="character" w:customStyle="1" w:styleId="UnresolvedMention8">
    <w:name w:val="Unresolved Mention8"/>
    <w:basedOn w:val="DefaultParagraphFont"/>
    <w:uiPriority w:val="99"/>
    <w:semiHidden/>
    <w:unhideWhenUsed/>
    <w:rsid w:val="00E36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210176">
      <w:bodyDiv w:val="1"/>
      <w:marLeft w:val="0"/>
      <w:marRight w:val="0"/>
      <w:marTop w:val="0"/>
      <w:marBottom w:val="0"/>
      <w:divBdr>
        <w:top w:val="none" w:sz="0" w:space="0" w:color="auto"/>
        <w:left w:val="none" w:sz="0" w:space="0" w:color="auto"/>
        <w:bottom w:val="none" w:sz="0" w:space="0" w:color="auto"/>
        <w:right w:val="none" w:sz="0" w:space="0" w:color="auto"/>
      </w:divBdr>
    </w:div>
    <w:div w:id="247663641">
      <w:bodyDiv w:val="1"/>
      <w:marLeft w:val="0"/>
      <w:marRight w:val="0"/>
      <w:marTop w:val="0"/>
      <w:marBottom w:val="0"/>
      <w:divBdr>
        <w:top w:val="none" w:sz="0" w:space="0" w:color="auto"/>
        <w:left w:val="none" w:sz="0" w:space="0" w:color="auto"/>
        <w:bottom w:val="none" w:sz="0" w:space="0" w:color="auto"/>
        <w:right w:val="none" w:sz="0" w:space="0" w:color="auto"/>
      </w:divBdr>
    </w:div>
    <w:div w:id="263851884">
      <w:bodyDiv w:val="1"/>
      <w:marLeft w:val="0"/>
      <w:marRight w:val="0"/>
      <w:marTop w:val="0"/>
      <w:marBottom w:val="0"/>
      <w:divBdr>
        <w:top w:val="none" w:sz="0" w:space="0" w:color="auto"/>
        <w:left w:val="none" w:sz="0" w:space="0" w:color="auto"/>
        <w:bottom w:val="none" w:sz="0" w:space="0" w:color="auto"/>
        <w:right w:val="none" w:sz="0" w:space="0" w:color="auto"/>
      </w:divBdr>
    </w:div>
    <w:div w:id="303243685">
      <w:bodyDiv w:val="1"/>
      <w:marLeft w:val="0"/>
      <w:marRight w:val="0"/>
      <w:marTop w:val="0"/>
      <w:marBottom w:val="0"/>
      <w:divBdr>
        <w:top w:val="none" w:sz="0" w:space="0" w:color="auto"/>
        <w:left w:val="none" w:sz="0" w:space="0" w:color="auto"/>
        <w:bottom w:val="none" w:sz="0" w:space="0" w:color="auto"/>
        <w:right w:val="none" w:sz="0" w:space="0" w:color="auto"/>
      </w:divBdr>
      <w:divsChild>
        <w:div w:id="784156179">
          <w:marLeft w:val="0"/>
          <w:marRight w:val="0"/>
          <w:marTop w:val="0"/>
          <w:marBottom w:val="0"/>
          <w:divBdr>
            <w:top w:val="none" w:sz="0" w:space="0" w:color="auto"/>
            <w:left w:val="none" w:sz="0" w:space="0" w:color="auto"/>
            <w:bottom w:val="none" w:sz="0" w:space="0" w:color="auto"/>
            <w:right w:val="none" w:sz="0" w:space="0" w:color="auto"/>
          </w:divBdr>
        </w:div>
        <w:div w:id="1771311574">
          <w:marLeft w:val="0"/>
          <w:marRight w:val="0"/>
          <w:marTop w:val="0"/>
          <w:marBottom w:val="0"/>
          <w:divBdr>
            <w:top w:val="none" w:sz="0" w:space="0" w:color="auto"/>
            <w:left w:val="none" w:sz="0" w:space="0" w:color="auto"/>
            <w:bottom w:val="none" w:sz="0" w:space="0" w:color="auto"/>
            <w:right w:val="none" w:sz="0" w:space="0" w:color="auto"/>
          </w:divBdr>
        </w:div>
        <w:div w:id="1329165070">
          <w:marLeft w:val="0"/>
          <w:marRight w:val="0"/>
          <w:marTop w:val="0"/>
          <w:marBottom w:val="0"/>
          <w:divBdr>
            <w:top w:val="none" w:sz="0" w:space="0" w:color="auto"/>
            <w:left w:val="none" w:sz="0" w:space="0" w:color="auto"/>
            <w:bottom w:val="none" w:sz="0" w:space="0" w:color="auto"/>
            <w:right w:val="none" w:sz="0" w:space="0" w:color="auto"/>
          </w:divBdr>
        </w:div>
      </w:divsChild>
    </w:div>
    <w:div w:id="424230242">
      <w:bodyDiv w:val="1"/>
      <w:marLeft w:val="0"/>
      <w:marRight w:val="0"/>
      <w:marTop w:val="0"/>
      <w:marBottom w:val="0"/>
      <w:divBdr>
        <w:top w:val="none" w:sz="0" w:space="0" w:color="auto"/>
        <w:left w:val="none" w:sz="0" w:space="0" w:color="auto"/>
        <w:bottom w:val="none" w:sz="0" w:space="0" w:color="auto"/>
        <w:right w:val="none" w:sz="0" w:space="0" w:color="auto"/>
      </w:divBdr>
      <w:divsChild>
        <w:div w:id="1014846624">
          <w:marLeft w:val="0"/>
          <w:marRight w:val="0"/>
          <w:marTop w:val="0"/>
          <w:marBottom w:val="0"/>
          <w:divBdr>
            <w:top w:val="none" w:sz="0" w:space="0" w:color="auto"/>
            <w:left w:val="none" w:sz="0" w:space="0" w:color="auto"/>
            <w:bottom w:val="none" w:sz="0" w:space="0" w:color="auto"/>
            <w:right w:val="none" w:sz="0" w:space="0" w:color="auto"/>
          </w:divBdr>
        </w:div>
      </w:divsChild>
    </w:div>
    <w:div w:id="425350062">
      <w:bodyDiv w:val="1"/>
      <w:marLeft w:val="0"/>
      <w:marRight w:val="0"/>
      <w:marTop w:val="0"/>
      <w:marBottom w:val="0"/>
      <w:divBdr>
        <w:top w:val="none" w:sz="0" w:space="0" w:color="auto"/>
        <w:left w:val="none" w:sz="0" w:space="0" w:color="auto"/>
        <w:bottom w:val="none" w:sz="0" w:space="0" w:color="auto"/>
        <w:right w:val="none" w:sz="0" w:space="0" w:color="auto"/>
      </w:divBdr>
    </w:div>
    <w:div w:id="680089373">
      <w:bodyDiv w:val="1"/>
      <w:marLeft w:val="0"/>
      <w:marRight w:val="0"/>
      <w:marTop w:val="0"/>
      <w:marBottom w:val="0"/>
      <w:divBdr>
        <w:top w:val="none" w:sz="0" w:space="0" w:color="auto"/>
        <w:left w:val="none" w:sz="0" w:space="0" w:color="auto"/>
        <w:bottom w:val="none" w:sz="0" w:space="0" w:color="auto"/>
        <w:right w:val="none" w:sz="0" w:space="0" w:color="auto"/>
      </w:divBdr>
      <w:divsChild>
        <w:div w:id="1466390298">
          <w:marLeft w:val="0"/>
          <w:marRight w:val="0"/>
          <w:marTop w:val="0"/>
          <w:marBottom w:val="0"/>
          <w:divBdr>
            <w:top w:val="none" w:sz="0" w:space="0" w:color="auto"/>
            <w:left w:val="none" w:sz="0" w:space="0" w:color="auto"/>
            <w:bottom w:val="none" w:sz="0" w:space="0" w:color="auto"/>
            <w:right w:val="none" w:sz="0" w:space="0" w:color="auto"/>
          </w:divBdr>
          <w:divsChild>
            <w:div w:id="1355577847">
              <w:marLeft w:val="0"/>
              <w:marRight w:val="0"/>
              <w:marTop w:val="0"/>
              <w:marBottom w:val="0"/>
              <w:divBdr>
                <w:top w:val="none" w:sz="0" w:space="0" w:color="auto"/>
                <w:left w:val="none" w:sz="0" w:space="0" w:color="auto"/>
                <w:bottom w:val="none" w:sz="0" w:space="0" w:color="auto"/>
                <w:right w:val="none" w:sz="0" w:space="0" w:color="auto"/>
              </w:divBdr>
            </w:div>
            <w:div w:id="464585990">
              <w:marLeft w:val="0"/>
              <w:marRight w:val="0"/>
              <w:marTop w:val="0"/>
              <w:marBottom w:val="0"/>
              <w:divBdr>
                <w:top w:val="none" w:sz="0" w:space="0" w:color="auto"/>
                <w:left w:val="none" w:sz="0" w:space="0" w:color="auto"/>
                <w:bottom w:val="none" w:sz="0" w:space="0" w:color="auto"/>
                <w:right w:val="none" w:sz="0" w:space="0" w:color="auto"/>
              </w:divBdr>
            </w:div>
            <w:div w:id="1246107492">
              <w:marLeft w:val="0"/>
              <w:marRight w:val="0"/>
              <w:marTop w:val="0"/>
              <w:marBottom w:val="0"/>
              <w:divBdr>
                <w:top w:val="none" w:sz="0" w:space="0" w:color="auto"/>
                <w:left w:val="none" w:sz="0" w:space="0" w:color="auto"/>
                <w:bottom w:val="none" w:sz="0" w:space="0" w:color="auto"/>
                <w:right w:val="none" w:sz="0" w:space="0" w:color="auto"/>
              </w:divBdr>
            </w:div>
            <w:div w:id="1622682931">
              <w:marLeft w:val="0"/>
              <w:marRight w:val="0"/>
              <w:marTop w:val="0"/>
              <w:marBottom w:val="0"/>
              <w:divBdr>
                <w:top w:val="none" w:sz="0" w:space="0" w:color="auto"/>
                <w:left w:val="none" w:sz="0" w:space="0" w:color="auto"/>
                <w:bottom w:val="none" w:sz="0" w:space="0" w:color="auto"/>
                <w:right w:val="none" w:sz="0" w:space="0" w:color="auto"/>
              </w:divBdr>
            </w:div>
            <w:div w:id="125511713">
              <w:marLeft w:val="0"/>
              <w:marRight w:val="0"/>
              <w:marTop w:val="0"/>
              <w:marBottom w:val="0"/>
              <w:divBdr>
                <w:top w:val="none" w:sz="0" w:space="0" w:color="auto"/>
                <w:left w:val="none" w:sz="0" w:space="0" w:color="auto"/>
                <w:bottom w:val="none" w:sz="0" w:space="0" w:color="auto"/>
                <w:right w:val="none" w:sz="0" w:space="0" w:color="auto"/>
              </w:divBdr>
            </w:div>
            <w:div w:id="543981252">
              <w:marLeft w:val="0"/>
              <w:marRight w:val="0"/>
              <w:marTop w:val="0"/>
              <w:marBottom w:val="0"/>
              <w:divBdr>
                <w:top w:val="none" w:sz="0" w:space="0" w:color="auto"/>
                <w:left w:val="none" w:sz="0" w:space="0" w:color="auto"/>
                <w:bottom w:val="none" w:sz="0" w:space="0" w:color="auto"/>
                <w:right w:val="none" w:sz="0" w:space="0" w:color="auto"/>
              </w:divBdr>
            </w:div>
            <w:div w:id="1972591645">
              <w:marLeft w:val="0"/>
              <w:marRight w:val="0"/>
              <w:marTop w:val="0"/>
              <w:marBottom w:val="0"/>
              <w:divBdr>
                <w:top w:val="none" w:sz="0" w:space="0" w:color="auto"/>
                <w:left w:val="none" w:sz="0" w:space="0" w:color="auto"/>
                <w:bottom w:val="none" w:sz="0" w:space="0" w:color="auto"/>
                <w:right w:val="none" w:sz="0" w:space="0" w:color="auto"/>
              </w:divBdr>
              <w:divsChild>
                <w:div w:id="594093054">
                  <w:marLeft w:val="0"/>
                  <w:marRight w:val="0"/>
                  <w:marTop w:val="0"/>
                  <w:marBottom w:val="0"/>
                  <w:divBdr>
                    <w:top w:val="none" w:sz="0" w:space="0" w:color="auto"/>
                    <w:left w:val="none" w:sz="0" w:space="0" w:color="auto"/>
                    <w:bottom w:val="none" w:sz="0" w:space="0" w:color="auto"/>
                    <w:right w:val="none" w:sz="0" w:space="0" w:color="auto"/>
                  </w:divBdr>
                </w:div>
                <w:div w:id="1758331107">
                  <w:marLeft w:val="0"/>
                  <w:marRight w:val="0"/>
                  <w:marTop w:val="0"/>
                  <w:marBottom w:val="0"/>
                  <w:divBdr>
                    <w:top w:val="none" w:sz="0" w:space="0" w:color="auto"/>
                    <w:left w:val="none" w:sz="0" w:space="0" w:color="auto"/>
                    <w:bottom w:val="none" w:sz="0" w:space="0" w:color="auto"/>
                    <w:right w:val="none" w:sz="0" w:space="0" w:color="auto"/>
                  </w:divBdr>
                </w:div>
                <w:div w:id="433601093">
                  <w:marLeft w:val="0"/>
                  <w:marRight w:val="0"/>
                  <w:marTop w:val="0"/>
                  <w:marBottom w:val="0"/>
                  <w:divBdr>
                    <w:top w:val="none" w:sz="0" w:space="0" w:color="auto"/>
                    <w:left w:val="none" w:sz="0" w:space="0" w:color="auto"/>
                    <w:bottom w:val="none" w:sz="0" w:space="0" w:color="auto"/>
                    <w:right w:val="none" w:sz="0" w:space="0" w:color="auto"/>
                  </w:divBdr>
                </w:div>
                <w:div w:id="9463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629609">
      <w:bodyDiv w:val="1"/>
      <w:marLeft w:val="0"/>
      <w:marRight w:val="0"/>
      <w:marTop w:val="0"/>
      <w:marBottom w:val="0"/>
      <w:divBdr>
        <w:top w:val="none" w:sz="0" w:space="0" w:color="auto"/>
        <w:left w:val="none" w:sz="0" w:space="0" w:color="auto"/>
        <w:bottom w:val="none" w:sz="0" w:space="0" w:color="auto"/>
        <w:right w:val="none" w:sz="0" w:space="0" w:color="auto"/>
      </w:divBdr>
    </w:div>
    <w:div w:id="885683434">
      <w:bodyDiv w:val="1"/>
      <w:marLeft w:val="0"/>
      <w:marRight w:val="0"/>
      <w:marTop w:val="0"/>
      <w:marBottom w:val="0"/>
      <w:divBdr>
        <w:top w:val="none" w:sz="0" w:space="0" w:color="auto"/>
        <w:left w:val="none" w:sz="0" w:space="0" w:color="auto"/>
        <w:bottom w:val="none" w:sz="0" w:space="0" w:color="auto"/>
        <w:right w:val="none" w:sz="0" w:space="0" w:color="auto"/>
      </w:divBdr>
    </w:div>
    <w:div w:id="925385419">
      <w:bodyDiv w:val="1"/>
      <w:marLeft w:val="0"/>
      <w:marRight w:val="0"/>
      <w:marTop w:val="0"/>
      <w:marBottom w:val="0"/>
      <w:divBdr>
        <w:top w:val="none" w:sz="0" w:space="0" w:color="auto"/>
        <w:left w:val="none" w:sz="0" w:space="0" w:color="auto"/>
        <w:bottom w:val="none" w:sz="0" w:space="0" w:color="auto"/>
        <w:right w:val="none" w:sz="0" w:space="0" w:color="auto"/>
      </w:divBdr>
    </w:div>
    <w:div w:id="1430153774">
      <w:bodyDiv w:val="1"/>
      <w:marLeft w:val="0"/>
      <w:marRight w:val="0"/>
      <w:marTop w:val="0"/>
      <w:marBottom w:val="0"/>
      <w:divBdr>
        <w:top w:val="none" w:sz="0" w:space="0" w:color="auto"/>
        <w:left w:val="none" w:sz="0" w:space="0" w:color="auto"/>
        <w:bottom w:val="none" w:sz="0" w:space="0" w:color="auto"/>
        <w:right w:val="none" w:sz="0" w:space="0" w:color="auto"/>
      </w:divBdr>
    </w:div>
    <w:div w:id="179262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hart" Target="charts/chart3.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hart" Target="charts/chart2.xml"/><Relationship Id="rId33"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chart" Target="charts/chart1.xml"/><Relationship Id="rId32" Type="http://schemas.openxmlformats.org/officeDocument/2006/relationships/footer" Target="footer8.xml"/><Relationship Id="rId37"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hart" Target="charts/chart5.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chart" Target="charts/chart4.xml"/><Relationship Id="rId30" Type="http://schemas.openxmlformats.org/officeDocument/2006/relationships/header" Target="header8.xm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policy.trade.ec.europa.eu/news/eu-and-uk-agree-way-forward-wto-dispute-concerning-uks-green-energy-subsidy-scheme-2022-07-01_en" TargetMode="External"/><Relationship Id="rId18" Type="http://schemas.openxmlformats.org/officeDocument/2006/relationships/hyperlink" Target="https://www.legislation.gov.uk/ukdsi/2022/9780348239614/pdfs/ukdsi_9780348239614_en.pdf" TargetMode="External"/><Relationship Id="rId26" Type="http://schemas.openxmlformats.org/officeDocument/2006/relationships/hyperlink" Target="https://www.imo.org/en/OurWork/HumanElement/Pages/STCW-Conv-LINK.aspx" TargetMode="External"/><Relationship Id="rId39" Type="http://schemas.openxmlformats.org/officeDocument/2006/relationships/hyperlink" Target="https://www.legislation.gov.uk/ukdsi/2022/9780348240023/introduction" TargetMode="External"/><Relationship Id="rId3" Type="http://schemas.openxmlformats.org/officeDocument/2006/relationships/hyperlink" Target="https://ec.europa.eu/info/strategy/relations-non-eu-countries/relations-united-kingdom/eu-uk-trade-and-cooperation-agreement/meetings-eu-uk-partnership-council-and-specialised-committees-under-trade-and-cooperation-agreement_en" TargetMode="External"/><Relationship Id="rId21" Type="http://schemas.openxmlformats.org/officeDocument/2006/relationships/hyperlink" Target="https://transparency.entsog.eu/" TargetMode="External"/><Relationship Id="rId34" Type="http://schemas.openxmlformats.org/officeDocument/2006/relationships/hyperlink" Target="https://bills.parliament.uk/bills/3227" TargetMode="External"/><Relationship Id="rId42" Type="http://schemas.openxmlformats.org/officeDocument/2006/relationships/hyperlink" Target="https://www.tuc.org.uk/research-analysis/reports/tuc-submission-ilo-committee-experts" TargetMode="External"/><Relationship Id="rId47" Type="http://schemas.openxmlformats.org/officeDocument/2006/relationships/hyperlink" Target="https://www.foodmanufacture.co.uk/Article/2022/02/23/Brexit-red-tape-has-cost-food-businesses-60m" TargetMode="External"/><Relationship Id="rId50" Type="http://schemas.openxmlformats.org/officeDocument/2006/relationships/hyperlink" Target="https://migrationobservatory.ox.ac.uk/resources/briefings/work-visas-and-migrant-workers-in-the-uk/" TargetMode="External"/><Relationship Id="rId7" Type="http://schemas.openxmlformats.org/officeDocument/2006/relationships/hyperlink" Target="https://eur-lex.europa.eu/legal-content/LV/TXT/?uri=CELEX%3A32022D0567" TargetMode="External"/><Relationship Id="rId12" Type="http://schemas.openxmlformats.org/officeDocument/2006/relationships/hyperlink" Target="https://www.gov.uk/government/publications/contracts-for-difference/contract-for-difference" TargetMode="External"/><Relationship Id="rId17" Type="http://schemas.openxmlformats.org/officeDocument/2006/relationships/hyperlink" Target="https://questions-statements.parliament.uk/written-statements/detail/2022-11-14/hcws366" TargetMode="External"/><Relationship Id="rId25" Type="http://schemas.openxmlformats.org/officeDocument/2006/relationships/hyperlink" Target="https://transport.ec.europa.eu/news/eu-recognition-uk-system-training-and-certifying-seafarers-2022-10-27_en" TargetMode="External"/><Relationship Id="rId33" Type="http://schemas.openxmlformats.org/officeDocument/2006/relationships/hyperlink" Target="https://committees.parliament.uk/publications/30148/documents/174754/default/" TargetMode="External"/><Relationship Id="rId38" Type="http://schemas.openxmlformats.org/officeDocument/2006/relationships/hyperlink" Target="https://www.gov.uk/government/publications/uk-subsidy-control-statutory-guidance" TargetMode="External"/><Relationship Id="rId46" Type="http://schemas.openxmlformats.org/officeDocument/2006/relationships/hyperlink" Target="https://ukandeu.ac.uk/the-new-costs-for-business-post-brexit/" TargetMode="External"/><Relationship Id="rId2" Type="http://schemas.openxmlformats.org/officeDocument/2006/relationships/hyperlink" Target="https://eur-lex.europa.eu/legal-content/LV/TXT/PDF/?uri=CELEX:32021D0689&amp;from=EN" TargetMode="External"/><Relationship Id="rId16" Type="http://schemas.openxmlformats.org/officeDocument/2006/relationships/hyperlink" Target="https://www.gov.uk/government/news/new-approach-to-import-controls-to-help-ease-cost-of-living" TargetMode="External"/><Relationship Id="rId20" Type="http://schemas.openxmlformats.org/officeDocument/2006/relationships/hyperlink" Target="https://transparency.entsoe.eu" TargetMode="External"/><Relationship Id="rId29" Type="http://schemas.openxmlformats.org/officeDocument/2006/relationships/hyperlink" Target="https://eur-lex.europa.eu/eli/dec/2022/2549/oj?locale=lv" TargetMode="External"/><Relationship Id="rId41" Type="http://schemas.openxmlformats.org/officeDocument/2006/relationships/hyperlink" Target="https://www.legislation.gov.uk/uksi/2003/3319/regulation/7/made" TargetMode="External"/><Relationship Id="rId54" Type="http://schemas.openxmlformats.org/officeDocument/2006/relationships/hyperlink" Target="https://commission.europa.eu/system/files/2023-02/political%20declaration.pdf" TargetMode="External"/><Relationship Id="rId1" Type="http://schemas.openxmlformats.org/officeDocument/2006/relationships/hyperlink" Target="https://eur-lex.europa.eu/legal-content/LV/TXT/PDF/?uri=CELEX:22021A0430(01)&amp;from=EN" TargetMode="External"/><Relationship Id="rId6" Type="http://schemas.openxmlformats.org/officeDocument/2006/relationships/hyperlink" Target="https://www.eesc.europa.eu/lv/sections-other-bodies/other/eu-domestic-advisory-group-under-eu-uk-tca/events" TargetMode="External"/><Relationship Id="rId11" Type="http://schemas.openxmlformats.org/officeDocument/2006/relationships/hyperlink" Target="https://www.woah.org/en/what-we-do/standards/codes-and-manuals/" TargetMode="External"/><Relationship Id="rId24" Type="http://schemas.openxmlformats.org/officeDocument/2006/relationships/hyperlink" Target="https://commission.europa.eu/content/decisions-and-recommendations-specialised-committees-and-trade-specialised-committees_en" TargetMode="External"/><Relationship Id="rId32" Type="http://schemas.openxmlformats.org/officeDocument/2006/relationships/hyperlink" Target="https://www.nao.org.uk/reports/regulating-after-eu-exit/" TargetMode="External"/><Relationship Id="rId37" Type="http://schemas.openxmlformats.org/officeDocument/2006/relationships/hyperlink" Target="https://www.legislation.gov.uk/ukpga/2022/23/enacted" TargetMode="External"/><Relationship Id="rId40" Type="http://schemas.openxmlformats.org/officeDocument/2006/relationships/hyperlink" Target="https://ec.europa.eu/info/publications/annual-report-implementation-and-application-trade-and-cooperation-agreement-between-european-union-and-united-kingdom-great-britain-and-northern-ireland_en" TargetMode="External"/><Relationship Id="rId45" Type="http://schemas.openxmlformats.org/officeDocument/2006/relationships/hyperlink" Target="https://obr.uk/forecasts-in-depth/the-economy-forecast/brexit-analysis/" TargetMode="External"/><Relationship Id="rId53" Type="http://schemas.openxmlformats.org/officeDocument/2006/relationships/hyperlink" Target="https://assets.publishing.service.gov.uk/government/uploads/system/uploads/attachment_data/file/1111534/An_inspection_of_juxtaposed_controls__May_June_2022.pdf" TargetMode="External"/><Relationship Id="rId5" Type="http://schemas.openxmlformats.org/officeDocument/2006/relationships/hyperlink" Target="https://www.eesc.europa.eu/en/sections-other-bodies/other/eu-domestic-advisory-group-under-eu-uk-tca/organisation" TargetMode="External"/><Relationship Id="rId15" Type="http://schemas.openxmlformats.org/officeDocument/2006/relationships/hyperlink" Target="https://www.gov.uk/government/publications/contracts-for-difference-cfd-allocation-round-4-supply-chain-plan-questionnaire-and-guidance?utm_medium=email&amp;utm_campaign=govuk-notifications-topic&amp;utm_source=775bcdde-0a06-4bc6-a5b7-4eb16148076f&amp;utm_content=immediately" TargetMode="External"/><Relationship Id="rId23" Type="http://schemas.openxmlformats.org/officeDocument/2006/relationships/hyperlink" Target="https://ec.europa.eu/transparency/documents-register/detail?ref=C(2022)6624&amp;lang=lv" TargetMode="External"/><Relationship Id="rId28" Type="http://schemas.openxmlformats.org/officeDocument/2006/relationships/hyperlink" Target="https://eur-lex.europa.eu/legal-content/LV/TXT/?uri=CELEX:22021D2323" TargetMode="External"/><Relationship Id="rId36" Type="http://schemas.openxmlformats.org/officeDocument/2006/relationships/hyperlink" Target="https://bills.parliament.uk/bills/3340" TargetMode="External"/><Relationship Id="rId49" Type="http://schemas.openxmlformats.org/officeDocument/2006/relationships/hyperlink" Target="https://ukandeu.ac.uk/what-have-we-learned-about-migration-from-the-census/" TargetMode="External"/><Relationship Id="rId10" Type="http://schemas.openxmlformats.org/officeDocument/2006/relationships/hyperlink" Target="http://data.europa.eu/eli/dec/2022/2064/oj" TargetMode="External"/><Relationship Id="rId19" Type="http://schemas.openxmlformats.org/officeDocument/2006/relationships/hyperlink" Target="https://www.gov.uk/government/publications/sponsor-a-global-business-mobility-worker" TargetMode="External"/><Relationship Id="rId31" Type="http://schemas.openxmlformats.org/officeDocument/2006/relationships/hyperlink" Target="https://assets.publishing.service.gov.uk/government/uploads/system/uploads/attachment_data/file/1054643/benefits-of-brexit.pdf" TargetMode="External"/><Relationship Id="rId44" Type="http://schemas.openxmlformats.org/officeDocument/2006/relationships/hyperlink" Target="https://economy-finance.ec.europa.eu/system/files/2023-01/ip187_en.pdf" TargetMode="External"/><Relationship Id="rId52" Type="http://schemas.openxmlformats.org/officeDocument/2006/relationships/hyperlink" Target="https://www.gov.uk/government/statistics/immigration-statistics-year-ending-march-2022/how-many-people-are-detained-or-returned" TargetMode="External"/><Relationship Id="rId4" Type="http://schemas.openxmlformats.org/officeDocument/2006/relationships/hyperlink" Target="https://www.europarl.europa.eu/delegations/lv/d-uk/activities/inter-parliamentary" TargetMode="External"/><Relationship Id="rId9" Type="http://schemas.openxmlformats.org/officeDocument/2006/relationships/hyperlink" Target="https://eur-lex.europa.eu/legal-content/LV/TXT/?uri=CELEX%3A22022D2550" TargetMode="External"/><Relationship Id="rId14" Type="http://schemas.openxmlformats.org/officeDocument/2006/relationships/hyperlink" Target="https://www.gov.uk/government/publications/contracts-for-difference-cfd-allocation-round-4-supply-chain-plan-questionnaire-and-guidance?utm_medium=email&amp;utm_campaign=govuk-notifications-topic&amp;utm_source=775bcdde-0a06-4bc6-a5b7-4eb16148076f&amp;utm_content=immediately" TargetMode="External"/><Relationship Id="rId22" Type="http://schemas.openxmlformats.org/officeDocument/2006/relationships/hyperlink" Target="https://energy.ec.europa.eu/nsec-uk-memorandum-understanding_en" TargetMode="External"/><Relationship Id="rId27" Type="http://schemas.openxmlformats.org/officeDocument/2006/relationships/hyperlink" Target="https://eur-lex.europa.eu/legal-content/LV/TXT/PDF/?uri=CELEX:32022D1014&amp;from=EN" TargetMode="External"/><Relationship Id="rId30" Type="http://schemas.openxmlformats.org/officeDocument/2006/relationships/hyperlink" Target="https://ec.europa.eu/assets/sg/complaint_eu_uk_tca/complaints_lv/index.html" TargetMode="External"/><Relationship Id="rId35" Type="http://schemas.openxmlformats.org/officeDocument/2006/relationships/hyperlink" Target="https://bills.parliament.uk/bills/3322" TargetMode="External"/><Relationship Id="rId43" Type="http://schemas.openxmlformats.org/officeDocument/2006/relationships/hyperlink" Target="https://bills.parliament.uk/bills/3167" TargetMode="External"/><Relationship Id="rId48" Type="http://schemas.openxmlformats.org/officeDocument/2006/relationships/hyperlink" Target="https://www.ons.gov.uk/peoplepopulationandcommunity/populationandmigration/internationalmigration/bulletins/longterminternationalmigrationprovisional/yearendingjune2022" TargetMode="External"/><Relationship Id="rId8" Type="http://schemas.openxmlformats.org/officeDocument/2006/relationships/hyperlink" Target="https://policy.trade.ec.europa.eu/events/first-eu-uk-trade-and-cooperation-agreement-civil-society-forum-2022-10-04_en" TargetMode="External"/><Relationship Id="rId51" Type="http://schemas.openxmlformats.org/officeDocument/2006/relationships/hyperlink" Target="https://migrationobservatory.ox.ac.uk/resources/briefings/student-migration-to-the-uk/"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'1. attēls'!$F$4</c:f>
              <c:strCache>
                <c:ptCount val="1"/>
                <c:pt idx="0">
                  <c:v>Eksports</c:v>
                </c:pt>
              </c:strCache>
            </c:strRef>
          </c:tx>
          <c:spPr>
            <a:ln w="28575" cap="rnd">
              <a:solidFill>
                <a:schemeClr val="accent1"/>
              </a:solidFill>
              <a:round/>
            </a:ln>
            <a:effectLst/>
          </c:spPr>
          <c:marker>
            <c:symbol val="none"/>
          </c:marker>
          <c:cat>
            <c:strRef>
              <c:f>'1. attēls'!$E$5:$E$49</c:f>
              <c:strCache>
                <c:ptCount val="45"/>
                <c:pt idx="0">
                  <c:v>2019.01.</c:v>
                </c:pt>
                <c:pt idx="1">
                  <c:v>2019.02.</c:v>
                </c:pt>
                <c:pt idx="2">
                  <c:v>2019.03.</c:v>
                </c:pt>
                <c:pt idx="3">
                  <c:v>2019.04.</c:v>
                </c:pt>
                <c:pt idx="4">
                  <c:v>2019.05.</c:v>
                </c:pt>
                <c:pt idx="5">
                  <c:v>2019.06.</c:v>
                </c:pt>
                <c:pt idx="6">
                  <c:v>2019.07.</c:v>
                </c:pt>
                <c:pt idx="7">
                  <c:v>2019.08.</c:v>
                </c:pt>
                <c:pt idx="8">
                  <c:v>2019.09.</c:v>
                </c:pt>
                <c:pt idx="9">
                  <c:v>2019.10.</c:v>
                </c:pt>
                <c:pt idx="10">
                  <c:v>2019.11.</c:v>
                </c:pt>
                <c:pt idx="11">
                  <c:v>2019.12.</c:v>
                </c:pt>
                <c:pt idx="12">
                  <c:v>2020.01.</c:v>
                </c:pt>
                <c:pt idx="13">
                  <c:v>2020.02.</c:v>
                </c:pt>
                <c:pt idx="14">
                  <c:v>2020.03.</c:v>
                </c:pt>
                <c:pt idx="15">
                  <c:v>2020.04.</c:v>
                </c:pt>
                <c:pt idx="16">
                  <c:v>2020.05.</c:v>
                </c:pt>
                <c:pt idx="17">
                  <c:v>2020.06.</c:v>
                </c:pt>
                <c:pt idx="18">
                  <c:v>2020.07.</c:v>
                </c:pt>
                <c:pt idx="19">
                  <c:v>2020.08.</c:v>
                </c:pt>
                <c:pt idx="20">
                  <c:v>2020.09.</c:v>
                </c:pt>
                <c:pt idx="21">
                  <c:v>2020.10.</c:v>
                </c:pt>
                <c:pt idx="22">
                  <c:v>2020.11.</c:v>
                </c:pt>
                <c:pt idx="23">
                  <c:v>2020.12.</c:v>
                </c:pt>
                <c:pt idx="24">
                  <c:v>2021.01.</c:v>
                </c:pt>
                <c:pt idx="25">
                  <c:v>2021.02.</c:v>
                </c:pt>
                <c:pt idx="26">
                  <c:v>2021.03.</c:v>
                </c:pt>
                <c:pt idx="27">
                  <c:v>2021.04.</c:v>
                </c:pt>
                <c:pt idx="28">
                  <c:v>2021.05.</c:v>
                </c:pt>
                <c:pt idx="29">
                  <c:v>2021.06.</c:v>
                </c:pt>
                <c:pt idx="30">
                  <c:v>2021.07.</c:v>
                </c:pt>
                <c:pt idx="31">
                  <c:v>2021.08.</c:v>
                </c:pt>
                <c:pt idx="32">
                  <c:v>2021.09.</c:v>
                </c:pt>
                <c:pt idx="33">
                  <c:v>2021.10.</c:v>
                </c:pt>
                <c:pt idx="34">
                  <c:v>2021.11.</c:v>
                </c:pt>
                <c:pt idx="35">
                  <c:v>2021.12.</c:v>
                </c:pt>
                <c:pt idx="36">
                  <c:v>2022.01.</c:v>
                </c:pt>
                <c:pt idx="37">
                  <c:v>2022.02.</c:v>
                </c:pt>
                <c:pt idx="38">
                  <c:v>2022.03.</c:v>
                </c:pt>
                <c:pt idx="39">
                  <c:v>2022.04.</c:v>
                </c:pt>
                <c:pt idx="40">
                  <c:v>2022.05.</c:v>
                </c:pt>
                <c:pt idx="41">
                  <c:v>2022.06.</c:v>
                </c:pt>
                <c:pt idx="42">
                  <c:v>2022.07.</c:v>
                </c:pt>
                <c:pt idx="43">
                  <c:v>2022.08.</c:v>
                </c:pt>
                <c:pt idx="44">
                  <c:v>2022.09.</c:v>
                </c:pt>
              </c:strCache>
            </c:strRef>
          </c:cat>
          <c:val>
            <c:numRef>
              <c:f>'1. attēls'!$F$5:$F$49</c:f>
              <c:numCache>
                <c:formatCode>0.00</c:formatCode>
                <c:ptCount val="45"/>
                <c:pt idx="0">
                  <c:v>28.119400000000002</c:v>
                </c:pt>
                <c:pt idx="1">
                  <c:v>29.378599999999999</c:v>
                </c:pt>
                <c:pt idx="2">
                  <c:v>31.2257</c:v>
                </c:pt>
                <c:pt idx="3">
                  <c:v>24.043599999999998</c:v>
                </c:pt>
                <c:pt idx="4">
                  <c:v>25.053099999999997</c:v>
                </c:pt>
                <c:pt idx="5">
                  <c:v>25.313800000000001</c:v>
                </c:pt>
                <c:pt idx="6">
                  <c:v>25.544900000000002</c:v>
                </c:pt>
                <c:pt idx="7">
                  <c:v>26.854900000000001</c:v>
                </c:pt>
                <c:pt idx="8">
                  <c:v>27.3261</c:v>
                </c:pt>
                <c:pt idx="9">
                  <c:v>28.451400000000003</c:v>
                </c:pt>
                <c:pt idx="10">
                  <c:v>24.3476</c:v>
                </c:pt>
                <c:pt idx="11">
                  <c:v>25.0182</c:v>
                </c:pt>
                <c:pt idx="12">
                  <c:v>25.394599999999997</c:v>
                </c:pt>
                <c:pt idx="13">
                  <c:v>25.4373</c:v>
                </c:pt>
                <c:pt idx="14">
                  <c:v>24.291900000000002</c:v>
                </c:pt>
                <c:pt idx="15">
                  <c:v>14.7415</c:v>
                </c:pt>
                <c:pt idx="16">
                  <c:v>17.125499999999999</c:v>
                </c:pt>
                <c:pt idx="17">
                  <c:v>20.441500000000001</c:v>
                </c:pt>
                <c:pt idx="18">
                  <c:v>21.7822</c:v>
                </c:pt>
                <c:pt idx="19">
                  <c:v>24.182299999999998</c:v>
                </c:pt>
                <c:pt idx="20">
                  <c:v>24.786200000000001</c:v>
                </c:pt>
                <c:pt idx="21">
                  <c:v>25.3796</c:v>
                </c:pt>
                <c:pt idx="22">
                  <c:v>26.6647</c:v>
                </c:pt>
                <c:pt idx="23">
                  <c:v>26.895799999999998</c:v>
                </c:pt>
                <c:pt idx="24">
                  <c:v>20.1312</c:v>
                </c:pt>
                <c:pt idx="25">
                  <c:v>21.821300000000001</c:v>
                </c:pt>
                <c:pt idx="26">
                  <c:v>22.995200000000001</c:v>
                </c:pt>
                <c:pt idx="27">
                  <c:v>22.6328</c:v>
                </c:pt>
                <c:pt idx="28">
                  <c:v>23.584299999999999</c:v>
                </c:pt>
                <c:pt idx="29">
                  <c:v>23.531700000000001</c:v>
                </c:pt>
                <c:pt idx="30">
                  <c:v>25.015700000000002</c:v>
                </c:pt>
                <c:pt idx="31">
                  <c:v>23.445400000000003</c:v>
                </c:pt>
                <c:pt idx="32">
                  <c:v>24.026700000000002</c:v>
                </c:pt>
                <c:pt idx="33">
                  <c:v>24.591900000000003</c:v>
                </c:pt>
                <c:pt idx="34">
                  <c:v>25.494799999999998</c:v>
                </c:pt>
                <c:pt idx="35">
                  <c:v>24.854700000000001</c:v>
                </c:pt>
                <c:pt idx="36">
                  <c:v>25.099599999999999</c:v>
                </c:pt>
                <c:pt idx="37">
                  <c:v>25.2712</c:v>
                </c:pt>
                <c:pt idx="38">
                  <c:v>26.074000000000002</c:v>
                </c:pt>
                <c:pt idx="39">
                  <c:v>27.922000000000001</c:v>
                </c:pt>
                <c:pt idx="40">
                  <c:v>27.9694</c:v>
                </c:pt>
                <c:pt idx="41">
                  <c:v>27.937000000000001</c:v>
                </c:pt>
                <c:pt idx="42">
                  <c:v>27.378299999999999</c:v>
                </c:pt>
                <c:pt idx="43">
                  <c:v>28.3385</c:v>
                </c:pt>
                <c:pt idx="44">
                  <c:v>27.781599999999997</c:v>
                </c:pt>
              </c:numCache>
            </c:numRef>
          </c:val>
          <c:smooth val="0"/>
          <c:extLst>
            <c:ext xmlns:c16="http://schemas.microsoft.com/office/drawing/2014/chart" uri="{C3380CC4-5D6E-409C-BE32-E72D297353CC}">
              <c16:uniqueId val="{00000000-6299-48A9-BAB6-3652C576CE7D}"/>
            </c:ext>
          </c:extLst>
        </c:ser>
        <c:ser>
          <c:idx val="1"/>
          <c:order val="1"/>
          <c:tx>
            <c:strRef>
              <c:f>'1. attēls'!$G$4</c:f>
              <c:strCache>
                <c:ptCount val="1"/>
                <c:pt idx="0">
                  <c:v>Imports</c:v>
                </c:pt>
              </c:strCache>
            </c:strRef>
          </c:tx>
          <c:spPr>
            <a:ln w="28575" cap="rnd">
              <a:solidFill>
                <a:schemeClr val="accent2"/>
              </a:solidFill>
              <a:round/>
            </a:ln>
            <a:effectLst/>
          </c:spPr>
          <c:marker>
            <c:symbol val="none"/>
          </c:marker>
          <c:cat>
            <c:strRef>
              <c:f>'1. attēls'!$E$5:$E$49</c:f>
              <c:strCache>
                <c:ptCount val="45"/>
                <c:pt idx="0">
                  <c:v>2019.01.</c:v>
                </c:pt>
                <c:pt idx="1">
                  <c:v>2019.02.</c:v>
                </c:pt>
                <c:pt idx="2">
                  <c:v>2019.03.</c:v>
                </c:pt>
                <c:pt idx="3">
                  <c:v>2019.04.</c:v>
                </c:pt>
                <c:pt idx="4">
                  <c:v>2019.05.</c:v>
                </c:pt>
                <c:pt idx="5">
                  <c:v>2019.06.</c:v>
                </c:pt>
                <c:pt idx="6">
                  <c:v>2019.07.</c:v>
                </c:pt>
                <c:pt idx="7">
                  <c:v>2019.08.</c:v>
                </c:pt>
                <c:pt idx="8">
                  <c:v>2019.09.</c:v>
                </c:pt>
                <c:pt idx="9">
                  <c:v>2019.10.</c:v>
                </c:pt>
                <c:pt idx="10">
                  <c:v>2019.11.</c:v>
                </c:pt>
                <c:pt idx="11">
                  <c:v>2019.12.</c:v>
                </c:pt>
                <c:pt idx="12">
                  <c:v>2020.01.</c:v>
                </c:pt>
                <c:pt idx="13">
                  <c:v>2020.02.</c:v>
                </c:pt>
                <c:pt idx="14">
                  <c:v>2020.03.</c:v>
                </c:pt>
                <c:pt idx="15">
                  <c:v>2020.04.</c:v>
                </c:pt>
                <c:pt idx="16">
                  <c:v>2020.05.</c:v>
                </c:pt>
                <c:pt idx="17">
                  <c:v>2020.06.</c:v>
                </c:pt>
                <c:pt idx="18">
                  <c:v>2020.07.</c:v>
                </c:pt>
                <c:pt idx="19">
                  <c:v>2020.08.</c:v>
                </c:pt>
                <c:pt idx="20">
                  <c:v>2020.09.</c:v>
                </c:pt>
                <c:pt idx="21">
                  <c:v>2020.10.</c:v>
                </c:pt>
                <c:pt idx="22">
                  <c:v>2020.11.</c:v>
                </c:pt>
                <c:pt idx="23">
                  <c:v>2020.12.</c:v>
                </c:pt>
                <c:pt idx="24">
                  <c:v>2021.01.</c:v>
                </c:pt>
                <c:pt idx="25">
                  <c:v>2021.02.</c:v>
                </c:pt>
                <c:pt idx="26">
                  <c:v>2021.03.</c:v>
                </c:pt>
                <c:pt idx="27">
                  <c:v>2021.04.</c:v>
                </c:pt>
                <c:pt idx="28">
                  <c:v>2021.05.</c:v>
                </c:pt>
                <c:pt idx="29">
                  <c:v>2021.06.</c:v>
                </c:pt>
                <c:pt idx="30">
                  <c:v>2021.07.</c:v>
                </c:pt>
                <c:pt idx="31">
                  <c:v>2021.08.</c:v>
                </c:pt>
                <c:pt idx="32">
                  <c:v>2021.09.</c:v>
                </c:pt>
                <c:pt idx="33">
                  <c:v>2021.10.</c:v>
                </c:pt>
                <c:pt idx="34">
                  <c:v>2021.11.</c:v>
                </c:pt>
                <c:pt idx="35">
                  <c:v>2021.12.</c:v>
                </c:pt>
                <c:pt idx="36">
                  <c:v>2022.01.</c:v>
                </c:pt>
                <c:pt idx="37">
                  <c:v>2022.02.</c:v>
                </c:pt>
                <c:pt idx="38">
                  <c:v>2022.03.</c:v>
                </c:pt>
                <c:pt idx="39">
                  <c:v>2022.04.</c:v>
                </c:pt>
                <c:pt idx="40">
                  <c:v>2022.05.</c:v>
                </c:pt>
                <c:pt idx="41">
                  <c:v>2022.06.</c:v>
                </c:pt>
                <c:pt idx="42">
                  <c:v>2022.07.</c:v>
                </c:pt>
                <c:pt idx="43">
                  <c:v>2022.08.</c:v>
                </c:pt>
                <c:pt idx="44">
                  <c:v>2022.09.</c:v>
                </c:pt>
              </c:strCache>
            </c:strRef>
          </c:cat>
          <c:val>
            <c:numRef>
              <c:f>'1. attēls'!$G$5:$G$49</c:f>
              <c:numCache>
                <c:formatCode>0.00</c:formatCode>
                <c:ptCount val="45"/>
                <c:pt idx="0">
                  <c:v>16.5015</c:v>
                </c:pt>
                <c:pt idx="1">
                  <c:v>16.6465</c:v>
                </c:pt>
                <c:pt idx="2">
                  <c:v>18.854500000000002</c:v>
                </c:pt>
                <c:pt idx="3">
                  <c:v>15.063600000000001</c:v>
                </c:pt>
                <c:pt idx="4">
                  <c:v>15.589499999999999</c:v>
                </c:pt>
                <c:pt idx="5">
                  <c:v>15.946999999999999</c:v>
                </c:pt>
                <c:pt idx="6">
                  <c:v>15.6205</c:v>
                </c:pt>
                <c:pt idx="7">
                  <c:v>16.018999999999998</c:v>
                </c:pt>
                <c:pt idx="8">
                  <c:v>16.1097</c:v>
                </c:pt>
                <c:pt idx="9">
                  <c:v>16.8123</c:v>
                </c:pt>
                <c:pt idx="10">
                  <c:v>15.2865</c:v>
                </c:pt>
                <c:pt idx="11">
                  <c:v>16.201599999999999</c:v>
                </c:pt>
                <c:pt idx="12">
                  <c:v>16.179299999999998</c:v>
                </c:pt>
                <c:pt idx="13">
                  <c:v>15.921200000000001</c:v>
                </c:pt>
                <c:pt idx="14">
                  <c:v>13.713200000000001</c:v>
                </c:pt>
                <c:pt idx="15">
                  <c:v>11.538200000000002</c:v>
                </c:pt>
                <c:pt idx="16">
                  <c:v>11.183999999999999</c:v>
                </c:pt>
                <c:pt idx="17">
                  <c:v>12.6624</c:v>
                </c:pt>
                <c:pt idx="18">
                  <c:v>13.5587</c:v>
                </c:pt>
                <c:pt idx="19">
                  <c:v>14.0122</c:v>
                </c:pt>
                <c:pt idx="20">
                  <c:v>14.1546</c:v>
                </c:pt>
                <c:pt idx="21">
                  <c:v>14.5937</c:v>
                </c:pt>
                <c:pt idx="22">
                  <c:v>15.1051</c:v>
                </c:pt>
                <c:pt idx="23">
                  <c:v>16.158200000000001</c:v>
                </c:pt>
                <c:pt idx="24">
                  <c:v>7.6764999999999999</c:v>
                </c:pt>
                <c:pt idx="25">
                  <c:v>10.669499999999999</c:v>
                </c:pt>
                <c:pt idx="26">
                  <c:v>11.969200000000001</c:v>
                </c:pt>
                <c:pt idx="27">
                  <c:v>12.381</c:v>
                </c:pt>
                <c:pt idx="28">
                  <c:v>12.2216</c:v>
                </c:pt>
                <c:pt idx="29">
                  <c:v>12.535299999999999</c:v>
                </c:pt>
                <c:pt idx="30">
                  <c:v>12.6767</c:v>
                </c:pt>
                <c:pt idx="31">
                  <c:v>12.7448</c:v>
                </c:pt>
                <c:pt idx="32">
                  <c:v>12.1707</c:v>
                </c:pt>
                <c:pt idx="33">
                  <c:v>13.943200000000001</c:v>
                </c:pt>
                <c:pt idx="34">
                  <c:v>14.2379</c:v>
                </c:pt>
                <c:pt idx="35">
                  <c:v>14.002000000000001</c:v>
                </c:pt>
                <c:pt idx="36">
                  <c:v>14.9864</c:v>
                </c:pt>
                <c:pt idx="37">
                  <c:v>14.3325</c:v>
                </c:pt>
                <c:pt idx="38">
                  <c:v>16.726700000000001</c:v>
                </c:pt>
                <c:pt idx="39">
                  <c:v>20.302099999999999</c:v>
                </c:pt>
                <c:pt idx="40">
                  <c:v>20.069599999999998</c:v>
                </c:pt>
                <c:pt idx="41">
                  <c:v>19.254000000000001</c:v>
                </c:pt>
                <c:pt idx="42">
                  <c:v>20.195900000000002</c:v>
                </c:pt>
                <c:pt idx="43">
                  <c:v>21.584099999999999</c:v>
                </c:pt>
                <c:pt idx="44">
                  <c:v>19.7729</c:v>
                </c:pt>
              </c:numCache>
            </c:numRef>
          </c:val>
          <c:smooth val="0"/>
          <c:extLst>
            <c:ext xmlns:c16="http://schemas.microsoft.com/office/drawing/2014/chart" uri="{C3380CC4-5D6E-409C-BE32-E72D297353CC}">
              <c16:uniqueId val="{00000001-6299-48A9-BAB6-3652C576CE7D}"/>
            </c:ext>
          </c:extLst>
        </c:ser>
        <c:dLbls>
          <c:showLegendKey val="0"/>
          <c:showVal val="0"/>
          <c:showCatName val="0"/>
          <c:showSerName val="0"/>
          <c:showPercent val="0"/>
          <c:showBubbleSize val="0"/>
        </c:dLbls>
        <c:smooth val="0"/>
        <c:axId val="437918216"/>
        <c:axId val="437914936"/>
      </c:lineChart>
      <c:catAx>
        <c:axId val="43791821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7914936"/>
        <c:crosses val="autoZero"/>
        <c:auto val="1"/>
        <c:lblAlgn val="ctr"/>
        <c:lblOffset val="100"/>
        <c:noMultiLvlLbl val="0"/>
      </c:catAx>
      <c:valAx>
        <c:axId val="4379149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lv-LV" baseline="0"/>
                  <a:t>miljardi</a:t>
                </a:r>
                <a:r>
                  <a:rPr lang="lv-LV"/>
                  <a:t> EUR</a:t>
                </a:r>
              </a:p>
            </c:rich>
          </c:tx>
          <c:layout>
            <c:manualLayout>
              <c:xMode val="edge"/>
              <c:yMode val="edge"/>
              <c:x val="2.5000000000000001E-2"/>
              <c:y val="4.0339384660250797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7918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'2. attēls'!$I$4</c:f>
              <c:strCache>
                <c:ptCount val="1"/>
                <c:pt idx="0">
                  <c:v>Tirdzniecība ar UK</c:v>
                </c:pt>
              </c:strCache>
            </c:strRef>
          </c:tx>
          <c:spPr>
            <a:ln w="28575" cap="rnd">
              <a:solidFill>
                <a:schemeClr val="accent1"/>
              </a:solidFill>
              <a:round/>
            </a:ln>
            <a:effectLst/>
          </c:spPr>
          <c:marker>
            <c:symbol val="none"/>
          </c:marker>
          <c:cat>
            <c:strRef>
              <c:f>'2. attēls'!$H$5:$H$85</c:f>
              <c:strCache>
                <c:ptCount val="81"/>
                <c:pt idx="0">
                  <c:v>2016.01.</c:v>
                </c:pt>
                <c:pt idx="1">
                  <c:v>2016.02.</c:v>
                </c:pt>
                <c:pt idx="2">
                  <c:v>2016.03.</c:v>
                </c:pt>
                <c:pt idx="3">
                  <c:v>2016.04.</c:v>
                </c:pt>
                <c:pt idx="4">
                  <c:v>2016.05.</c:v>
                </c:pt>
                <c:pt idx="5">
                  <c:v>2016.06.</c:v>
                </c:pt>
                <c:pt idx="6">
                  <c:v>2016.07.</c:v>
                </c:pt>
                <c:pt idx="7">
                  <c:v>2016.08.</c:v>
                </c:pt>
                <c:pt idx="8">
                  <c:v>2016.09.</c:v>
                </c:pt>
                <c:pt idx="9">
                  <c:v>2016.10.</c:v>
                </c:pt>
                <c:pt idx="10">
                  <c:v>2016.11.</c:v>
                </c:pt>
                <c:pt idx="11">
                  <c:v>2016.12.</c:v>
                </c:pt>
                <c:pt idx="12">
                  <c:v>2017.01.</c:v>
                </c:pt>
                <c:pt idx="13">
                  <c:v>2017.02.</c:v>
                </c:pt>
                <c:pt idx="14">
                  <c:v>2017.03.</c:v>
                </c:pt>
                <c:pt idx="15">
                  <c:v>2017.04.</c:v>
                </c:pt>
                <c:pt idx="16">
                  <c:v>2017.05.</c:v>
                </c:pt>
                <c:pt idx="17">
                  <c:v>2017.06.</c:v>
                </c:pt>
                <c:pt idx="18">
                  <c:v>2017.07.</c:v>
                </c:pt>
                <c:pt idx="19">
                  <c:v>2017.08.</c:v>
                </c:pt>
                <c:pt idx="20">
                  <c:v>2017.09.</c:v>
                </c:pt>
                <c:pt idx="21">
                  <c:v>2017.10.</c:v>
                </c:pt>
                <c:pt idx="22">
                  <c:v>2017.11.</c:v>
                </c:pt>
                <c:pt idx="23">
                  <c:v>2017.12.</c:v>
                </c:pt>
                <c:pt idx="24">
                  <c:v>2018.01.</c:v>
                </c:pt>
                <c:pt idx="25">
                  <c:v>2018.02.</c:v>
                </c:pt>
                <c:pt idx="26">
                  <c:v>2018.03.</c:v>
                </c:pt>
                <c:pt idx="27">
                  <c:v>2018.04.</c:v>
                </c:pt>
                <c:pt idx="28">
                  <c:v>2018.05.</c:v>
                </c:pt>
                <c:pt idx="29">
                  <c:v>2018.06.</c:v>
                </c:pt>
                <c:pt idx="30">
                  <c:v>2018.07.</c:v>
                </c:pt>
                <c:pt idx="31">
                  <c:v>2018.08.</c:v>
                </c:pt>
                <c:pt idx="32">
                  <c:v>2018.09.</c:v>
                </c:pt>
                <c:pt idx="33">
                  <c:v>2018.10.</c:v>
                </c:pt>
                <c:pt idx="34">
                  <c:v>2018.11.</c:v>
                </c:pt>
                <c:pt idx="35">
                  <c:v>2018.12.</c:v>
                </c:pt>
                <c:pt idx="36">
                  <c:v>2019.01.</c:v>
                </c:pt>
                <c:pt idx="37">
                  <c:v>2019.02.</c:v>
                </c:pt>
                <c:pt idx="38">
                  <c:v>2019.03.</c:v>
                </c:pt>
                <c:pt idx="39">
                  <c:v>2019.04.</c:v>
                </c:pt>
                <c:pt idx="40">
                  <c:v>2019.05.</c:v>
                </c:pt>
                <c:pt idx="41">
                  <c:v>2019.06.</c:v>
                </c:pt>
                <c:pt idx="42">
                  <c:v>2019.07.</c:v>
                </c:pt>
                <c:pt idx="43">
                  <c:v>2019.08.</c:v>
                </c:pt>
                <c:pt idx="44">
                  <c:v>2019.09.</c:v>
                </c:pt>
                <c:pt idx="45">
                  <c:v>2019.10.</c:v>
                </c:pt>
                <c:pt idx="46">
                  <c:v>2019.11.</c:v>
                </c:pt>
                <c:pt idx="47">
                  <c:v>2019.12.</c:v>
                </c:pt>
                <c:pt idx="48">
                  <c:v>2020.01.</c:v>
                </c:pt>
                <c:pt idx="49">
                  <c:v>2020.02.</c:v>
                </c:pt>
                <c:pt idx="50">
                  <c:v>2020.03.</c:v>
                </c:pt>
                <c:pt idx="51">
                  <c:v>2020.04.</c:v>
                </c:pt>
                <c:pt idx="52">
                  <c:v>2020.05.</c:v>
                </c:pt>
                <c:pt idx="53">
                  <c:v>2020.06.</c:v>
                </c:pt>
                <c:pt idx="54">
                  <c:v>2020.07.</c:v>
                </c:pt>
                <c:pt idx="55">
                  <c:v>2020.08.</c:v>
                </c:pt>
                <c:pt idx="56">
                  <c:v>2020.09.</c:v>
                </c:pt>
                <c:pt idx="57">
                  <c:v>2020.10.</c:v>
                </c:pt>
                <c:pt idx="58">
                  <c:v>2020.11.</c:v>
                </c:pt>
                <c:pt idx="59">
                  <c:v>2020.12.</c:v>
                </c:pt>
                <c:pt idx="60">
                  <c:v>2021.01.</c:v>
                </c:pt>
                <c:pt idx="61">
                  <c:v>2021.02.</c:v>
                </c:pt>
                <c:pt idx="62">
                  <c:v>2021.03.</c:v>
                </c:pt>
                <c:pt idx="63">
                  <c:v>2021.04.</c:v>
                </c:pt>
                <c:pt idx="64">
                  <c:v>2021.05.</c:v>
                </c:pt>
                <c:pt idx="65">
                  <c:v>2021.06.</c:v>
                </c:pt>
                <c:pt idx="66">
                  <c:v>2021.07.</c:v>
                </c:pt>
                <c:pt idx="67">
                  <c:v>2021.08.</c:v>
                </c:pt>
                <c:pt idx="68">
                  <c:v>2021.09.</c:v>
                </c:pt>
                <c:pt idx="69">
                  <c:v>2021.10.</c:v>
                </c:pt>
                <c:pt idx="70">
                  <c:v>2021.11.</c:v>
                </c:pt>
                <c:pt idx="71">
                  <c:v>2021.12.</c:v>
                </c:pt>
                <c:pt idx="72">
                  <c:v>2022.01.</c:v>
                </c:pt>
                <c:pt idx="73">
                  <c:v>2022.02.</c:v>
                </c:pt>
                <c:pt idx="74">
                  <c:v>2022.03.</c:v>
                </c:pt>
                <c:pt idx="75">
                  <c:v>2022.04.</c:v>
                </c:pt>
                <c:pt idx="76">
                  <c:v>2022.05.</c:v>
                </c:pt>
                <c:pt idx="77">
                  <c:v>2022.06.</c:v>
                </c:pt>
                <c:pt idx="78">
                  <c:v>2022.07.</c:v>
                </c:pt>
                <c:pt idx="79">
                  <c:v>2022.08.</c:v>
                </c:pt>
                <c:pt idx="80">
                  <c:v>2022.09.</c:v>
                </c:pt>
              </c:strCache>
            </c:strRef>
          </c:cat>
          <c:val>
            <c:numRef>
              <c:f>'2. attēls'!$I$5:$I$85</c:f>
              <c:numCache>
                <c:formatCode>#,##0.##########</c:formatCode>
                <c:ptCount val="81"/>
                <c:pt idx="0">
                  <c:v>41.3538</c:v>
                </c:pt>
                <c:pt idx="1">
                  <c:v>41.6008</c:v>
                </c:pt>
                <c:pt idx="2">
                  <c:v>40.459499999999998</c:v>
                </c:pt>
                <c:pt idx="3">
                  <c:v>41.989800000000002</c:v>
                </c:pt>
                <c:pt idx="4">
                  <c:v>40.754100000000001</c:v>
                </c:pt>
                <c:pt idx="5">
                  <c:v>41.499699999999997</c:v>
                </c:pt>
                <c:pt idx="6">
                  <c:v>41.607399999999998</c:v>
                </c:pt>
                <c:pt idx="7">
                  <c:v>41.474699999999999</c:v>
                </c:pt>
                <c:pt idx="8">
                  <c:v>41.601300000000002</c:v>
                </c:pt>
                <c:pt idx="9">
                  <c:v>40.181199999999997</c:v>
                </c:pt>
                <c:pt idx="10">
                  <c:v>41.642199999999995</c:v>
                </c:pt>
                <c:pt idx="11">
                  <c:v>41.511699999999998</c:v>
                </c:pt>
                <c:pt idx="12">
                  <c:v>41.368400000000001</c:v>
                </c:pt>
                <c:pt idx="13">
                  <c:v>42.363</c:v>
                </c:pt>
                <c:pt idx="14">
                  <c:v>43.378099999999996</c:v>
                </c:pt>
                <c:pt idx="15">
                  <c:v>42.599599999999995</c:v>
                </c:pt>
                <c:pt idx="16">
                  <c:v>42.911000000000001</c:v>
                </c:pt>
                <c:pt idx="17">
                  <c:v>42.676600000000001</c:v>
                </c:pt>
                <c:pt idx="18">
                  <c:v>42.135599999999997</c:v>
                </c:pt>
                <c:pt idx="19">
                  <c:v>43.158900000000003</c:v>
                </c:pt>
                <c:pt idx="20">
                  <c:v>43.291599999999995</c:v>
                </c:pt>
                <c:pt idx="21">
                  <c:v>42.962600000000002</c:v>
                </c:pt>
                <c:pt idx="22">
                  <c:v>43.214100000000009</c:v>
                </c:pt>
                <c:pt idx="23">
                  <c:v>43.6952</c:v>
                </c:pt>
                <c:pt idx="24">
                  <c:v>43.486699999999999</c:v>
                </c:pt>
                <c:pt idx="25">
                  <c:v>42.350300000000004</c:v>
                </c:pt>
                <c:pt idx="26">
                  <c:v>42.387999999999998</c:v>
                </c:pt>
                <c:pt idx="27">
                  <c:v>42.830800000000004</c:v>
                </c:pt>
                <c:pt idx="28">
                  <c:v>44.621699999999997</c:v>
                </c:pt>
                <c:pt idx="29">
                  <c:v>43.168199999999999</c:v>
                </c:pt>
                <c:pt idx="30">
                  <c:v>42.485699999999994</c:v>
                </c:pt>
                <c:pt idx="31">
                  <c:v>42.906800000000004</c:v>
                </c:pt>
                <c:pt idx="32">
                  <c:v>43.6098</c:v>
                </c:pt>
                <c:pt idx="33">
                  <c:v>43.705800000000004</c:v>
                </c:pt>
                <c:pt idx="34">
                  <c:v>42.843900000000005</c:v>
                </c:pt>
                <c:pt idx="35">
                  <c:v>43.267800000000001</c:v>
                </c:pt>
                <c:pt idx="36">
                  <c:v>44.620899999999999</c:v>
                </c:pt>
                <c:pt idx="37">
                  <c:v>46.025100000000002</c:v>
                </c:pt>
                <c:pt idx="38">
                  <c:v>50.080199999999998</c:v>
                </c:pt>
                <c:pt idx="39">
                  <c:v>39.107199999999999</c:v>
                </c:pt>
                <c:pt idx="40">
                  <c:v>40.642600000000002</c:v>
                </c:pt>
                <c:pt idx="41">
                  <c:v>41.260800000000003</c:v>
                </c:pt>
                <c:pt idx="42">
                  <c:v>41.165399999999998</c:v>
                </c:pt>
                <c:pt idx="43">
                  <c:v>42.873899999999999</c:v>
                </c:pt>
                <c:pt idx="44">
                  <c:v>43.4358</c:v>
                </c:pt>
                <c:pt idx="45">
                  <c:v>45.2637</c:v>
                </c:pt>
                <c:pt idx="46">
                  <c:v>39.634099999999997</c:v>
                </c:pt>
                <c:pt idx="47">
                  <c:v>41.219800000000006</c:v>
                </c:pt>
                <c:pt idx="48">
                  <c:v>41.573899999999995</c:v>
                </c:pt>
                <c:pt idx="49">
                  <c:v>41.358499999999999</c:v>
                </c:pt>
                <c:pt idx="50">
                  <c:v>38.005100000000006</c:v>
                </c:pt>
                <c:pt idx="51">
                  <c:v>26.279700000000002</c:v>
                </c:pt>
                <c:pt idx="52">
                  <c:v>28.3095</c:v>
                </c:pt>
                <c:pt idx="53">
                  <c:v>33.103900000000003</c:v>
                </c:pt>
                <c:pt idx="54">
                  <c:v>35.340900000000005</c:v>
                </c:pt>
                <c:pt idx="55">
                  <c:v>38.194499999999998</c:v>
                </c:pt>
                <c:pt idx="56">
                  <c:v>38.940800000000003</c:v>
                </c:pt>
                <c:pt idx="57">
                  <c:v>39.973300000000002</c:v>
                </c:pt>
                <c:pt idx="58">
                  <c:v>41.769800000000004</c:v>
                </c:pt>
                <c:pt idx="59">
                  <c:v>43.054000000000002</c:v>
                </c:pt>
                <c:pt idx="60">
                  <c:v>27.807700000000001</c:v>
                </c:pt>
                <c:pt idx="61">
                  <c:v>32.4908</c:v>
                </c:pt>
                <c:pt idx="62">
                  <c:v>34.964400000000005</c:v>
                </c:pt>
                <c:pt idx="63">
                  <c:v>35.013800000000003</c:v>
                </c:pt>
                <c:pt idx="64">
                  <c:v>35.805900000000001</c:v>
                </c:pt>
                <c:pt idx="65">
                  <c:v>36.067</c:v>
                </c:pt>
                <c:pt idx="66">
                  <c:v>37.692399999999999</c:v>
                </c:pt>
                <c:pt idx="67">
                  <c:v>36.190199999999997</c:v>
                </c:pt>
                <c:pt idx="68">
                  <c:v>36.197400000000002</c:v>
                </c:pt>
                <c:pt idx="69">
                  <c:v>38.535100000000007</c:v>
                </c:pt>
                <c:pt idx="70">
                  <c:v>39.732699999999994</c:v>
                </c:pt>
                <c:pt idx="71">
                  <c:v>38.856699999999996</c:v>
                </c:pt>
                <c:pt idx="72">
                  <c:v>40.085999999999999</c:v>
                </c:pt>
                <c:pt idx="73">
                  <c:v>39.603699999999996</c:v>
                </c:pt>
                <c:pt idx="74">
                  <c:v>42.800699999999999</c:v>
                </c:pt>
                <c:pt idx="75">
                  <c:v>48.2241</c:v>
                </c:pt>
                <c:pt idx="76">
                  <c:v>48.039000000000001</c:v>
                </c:pt>
                <c:pt idx="77">
                  <c:v>47.191000000000003</c:v>
                </c:pt>
                <c:pt idx="78">
                  <c:v>47.574199999999998</c:v>
                </c:pt>
                <c:pt idx="79">
                  <c:v>49.922599999999996</c:v>
                </c:pt>
                <c:pt idx="80">
                  <c:v>47.554499999999997</c:v>
                </c:pt>
              </c:numCache>
            </c:numRef>
          </c:val>
          <c:smooth val="0"/>
          <c:extLst>
            <c:ext xmlns:c16="http://schemas.microsoft.com/office/drawing/2014/chart" uri="{C3380CC4-5D6E-409C-BE32-E72D297353CC}">
              <c16:uniqueId val="{00000000-D659-4BE8-9631-193D10BADAA7}"/>
            </c:ext>
          </c:extLst>
        </c:ser>
        <c:ser>
          <c:idx val="1"/>
          <c:order val="1"/>
          <c:tx>
            <c:strRef>
              <c:f>'2. attēls'!$J$4</c:f>
              <c:strCache>
                <c:ptCount val="1"/>
                <c:pt idx="0">
                  <c:v>Tirdzniecība ar citiem starptautiskiem partneriem, izņemot UK</c:v>
                </c:pt>
              </c:strCache>
            </c:strRef>
          </c:tx>
          <c:spPr>
            <a:ln w="28575" cap="rnd">
              <a:solidFill>
                <a:schemeClr val="accent2"/>
              </a:solidFill>
              <a:round/>
            </a:ln>
            <a:effectLst/>
          </c:spPr>
          <c:marker>
            <c:symbol val="none"/>
          </c:marker>
          <c:cat>
            <c:strRef>
              <c:f>'2. attēls'!$H$5:$H$85</c:f>
              <c:strCache>
                <c:ptCount val="81"/>
                <c:pt idx="0">
                  <c:v>2016.01.</c:v>
                </c:pt>
                <c:pt idx="1">
                  <c:v>2016.02.</c:v>
                </c:pt>
                <c:pt idx="2">
                  <c:v>2016.03.</c:v>
                </c:pt>
                <c:pt idx="3">
                  <c:v>2016.04.</c:v>
                </c:pt>
                <c:pt idx="4">
                  <c:v>2016.05.</c:v>
                </c:pt>
                <c:pt idx="5">
                  <c:v>2016.06.</c:v>
                </c:pt>
                <c:pt idx="6">
                  <c:v>2016.07.</c:v>
                </c:pt>
                <c:pt idx="7">
                  <c:v>2016.08.</c:v>
                </c:pt>
                <c:pt idx="8">
                  <c:v>2016.09.</c:v>
                </c:pt>
                <c:pt idx="9">
                  <c:v>2016.10.</c:v>
                </c:pt>
                <c:pt idx="10">
                  <c:v>2016.11.</c:v>
                </c:pt>
                <c:pt idx="11">
                  <c:v>2016.12.</c:v>
                </c:pt>
                <c:pt idx="12">
                  <c:v>2017.01.</c:v>
                </c:pt>
                <c:pt idx="13">
                  <c:v>2017.02.</c:v>
                </c:pt>
                <c:pt idx="14">
                  <c:v>2017.03.</c:v>
                </c:pt>
                <c:pt idx="15">
                  <c:v>2017.04.</c:v>
                </c:pt>
                <c:pt idx="16">
                  <c:v>2017.05.</c:v>
                </c:pt>
                <c:pt idx="17">
                  <c:v>2017.06.</c:v>
                </c:pt>
                <c:pt idx="18">
                  <c:v>2017.07.</c:v>
                </c:pt>
                <c:pt idx="19">
                  <c:v>2017.08.</c:v>
                </c:pt>
                <c:pt idx="20">
                  <c:v>2017.09.</c:v>
                </c:pt>
                <c:pt idx="21">
                  <c:v>2017.10.</c:v>
                </c:pt>
                <c:pt idx="22">
                  <c:v>2017.11.</c:v>
                </c:pt>
                <c:pt idx="23">
                  <c:v>2017.12.</c:v>
                </c:pt>
                <c:pt idx="24">
                  <c:v>2018.01.</c:v>
                </c:pt>
                <c:pt idx="25">
                  <c:v>2018.02.</c:v>
                </c:pt>
                <c:pt idx="26">
                  <c:v>2018.03.</c:v>
                </c:pt>
                <c:pt idx="27">
                  <c:v>2018.04.</c:v>
                </c:pt>
                <c:pt idx="28">
                  <c:v>2018.05.</c:v>
                </c:pt>
                <c:pt idx="29">
                  <c:v>2018.06.</c:v>
                </c:pt>
                <c:pt idx="30">
                  <c:v>2018.07.</c:v>
                </c:pt>
                <c:pt idx="31">
                  <c:v>2018.08.</c:v>
                </c:pt>
                <c:pt idx="32">
                  <c:v>2018.09.</c:v>
                </c:pt>
                <c:pt idx="33">
                  <c:v>2018.10.</c:v>
                </c:pt>
                <c:pt idx="34">
                  <c:v>2018.11.</c:v>
                </c:pt>
                <c:pt idx="35">
                  <c:v>2018.12.</c:v>
                </c:pt>
                <c:pt idx="36">
                  <c:v>2019.01.</c:v>
                </c:pt>
                <c:pt idx="37">
                  <c:v>2019.02.</c:v>
                </c:pt>
                <c:pt idx="38">
                  <c:v>2019.03.</c:v>
                </c:pt>
                <c:pt idx="39">
                  <c:v>2019.04.</c:v>
                </c:pt>
                <c:pt idx="40">
                  <c:v>2019.05.</c:v>
                </c:pt>
                <c:pt idx="41">
                  <c:v>2019.06.</c:v>
                </c:pt>
                <c:pt idx="42">
                  <c:v>2019.07.</c:v>
                </c:pt>
                <c:pt idx="43">
                  <c:v>2019.08.</c:v>
                </c:pt>
                <c:pt idx="44">
                  <c:v>2019.09.</c:v>
                </c:pt>
                <c:pt idx="45">
                  <c:v>2019.10.</c:v>
                </c:pt>
                <c:pt idx="46">
                  <c:v>2019.11.</c:v>
                </c:pt>
                <c:pt idx="47">
                  <c:v>2019.12.</c:v>
                </c:pt>
                <c:pt idx="48">
                  <c:v>2020.01.</c:v>
                </c:pt>
                <c:pt idx="49">
                  <c:v>2020.02.</c:v>
                </c:pt>
                <c:pt idx="50">
                  <c:v>2020.03.</c:v>
                </c:pt>
                <c:pt idx="51">
                  <c:v>2020.04.</c:v>
                </c:pt>
                <c:pt idx="52">
                  <c:v>2020.05.</c:v>
                </c:pt>
                <c:pt idx="53">
                  <c:v>2020.06.</c:v>
                </c:pt>
                <c:pt idx="54">
                  <c:v>2020.07.</c:v>
                </c:pt>
                <c:pt idx="55">
                  <c:v>2020.08.</c:v>
                </c:pt>
                <c:pt idx="56">
                  <c:v>2020.09.</c:v>
                </c:pt>
                <c:pt idx="57">
                  <c:v>2020.10.</c:v>
                </c:pt>
                <c:pt idx="58">
                  <c:v>2020.11.</c:v>
                </c:pt>
                <c:pt idx="59">
                  <c:v>2020.12.</c:v>
                </c:pt>
                <c:pt idx="60">
                  <c:v>2021.01.</c:v>
                </c:pt>
                <c:pt idx="61">
                  <c:v>2021.02.</c:v>
                </c:pt>
                <c:pt idx="62">
                  <c:v>2021.03.</c:v>
                </c:pt>
                <c:pt idx="63">
                  <c:v>2021.04.</c:v>
                </c:pt>
                <c:pt idx="64">
                  <c:v>2021.05.</c:v>
                </c:pt>
                <c:pt idx="65">
                  <c:v>2021.06.</c:v>
                </c:pt>
                <c:pt idx="66">
                  <c:v>2021.07.</c:v>
                </c:pt>
                <c:pt idx="67">
                  <c:v>2021.08.</c:v>
                </c:pt>
                <c:pt idx="68">
                  <c:v>2021.09.</c:v>
                </c:pt>
                <c:pt idx="69">
                  <c:v>2021.10.</c:v>
                </c:pt>
                <c:pt idx="70">
                  <c:v>2021.11.</c:v>
                </c:pt>
                <c:pt idx="71">
                  <c:v>2021.12.</c:v>
                </c:pt>
                <c:pt idx="72">
                  <c:v>2022.01.</c:v>
                </c:pt>
                <c:pt idx="73">
                  <c:v>2022.02.</c:v>
                </c:pt>
                <c:pt idx="74">
                  <c:v>2022.03.</c:v>
                </c:pt>
                <c:pt idx="75">
                  <c:v>2022.04.</c:v>
                </c:pt>
                <c:pt idx="76">
                  <c:v>2022.05.</c:v>
                </c:pt>
                <c:pt idx="77">
                  <c:v>2022.06.</c:v>
                </c:pt>
                <c:pt idx="78">
                  <c:v>2022.07.</c:v>
                </c:pt>
                <c:pt idx="79">
                  <c:v>2022.08.</c:v>
                </c:pt>
                <c:pt idx="80">
                  <c:v>2022.09.</c:v>
                </c:pt>
              </c:strCache>
            </c:strRef>
          </c:cat>
          <c:val>
            <c:numRef>
              <c:f>'2. attēls'!$J$5:$J$85</c:f>
              <c:numCache>
                <c:formatCode>#,##0.0</c:formatCode>
                <c:ptCount val="81"/>
                <c:pt idx="0">
                  <c:v>241.60840000000002</c:v>
                </c:pt>
                <c:pt idx="1">
                  <c:v>244.63059999999999</c:v>
                </c:pt>
                <c:pt idx="2">
                  <c:v>242.97640000000001</c:v>
                </c:pt>
                <c:pt idx="3">
                  <c:v>242.09779999999998</c:v>
                </c:pt>
                <c:pt idx="4">
                  <c:v>241.54889999999997</c:v>
                </c:pt>
                <c:pt idx="5">
                  <c:v>243.59789999999995</c:v>
                </c:pt>
                <c:pt idx="6">
                  <c:v>243.95940000000002</c:v>
                </c:pt>
                <c:pt idx="7">
                  <c:v>247.59100000000001</c:v>
                </c:pt>
                <c:pt idx="8">
                  <c:v>246.5575</c:v>
                </c:pt>
                <c:pt idx="9">
                  <c:v>252.03599999999997</c:v>
                </c:pt>
                <c:pt idx="10">
                  <c:v>257.47179999999997</c:v>
                </c:pt>
                <c:pt idx="11">
                  <c:v>260.85859999999997</c:v>
                </c:pt>
                <c:pt idx="12">
                  <c:v>268.51390000000004</c:v>
                </c:pt>
                <c:pt idx="13">
                  <c:v>269.70509999999996</c:v>
                </c:pt>
                <c:pt idx="14">
                  <c:v>273.93799999999999</c:v>
                </c:pt>
                <c:pt idx="15">
                  <c:v>268.84440000000001</c:v>
                </c:pt>
                <c:pt idx="16">
                  <c:v>276.37599999999998</c:v>
                </c:pt>
                <c:pt idx="17">
                  <c:v>265.30910000000006</c:v>
                </c:pt>
                <c:pt idx="18">
                  <c:v>266.48269999999997</c:v>
                </c:pt>
                <c:pt idx="19">
                  <c:v>268.41250000000002</c:v>
                </c:pt>
                <c:pt idx="20">
                  <c:v>269.43660000000006</c:v>
                </c:pt>
                <c:pt idx="21">
                  <c:v>266.97550000000001</c:v>
                </c:pt>
                <c:pt idx="22">
                  <c:v>280.24149999999997</c:v>
                </c:pt>
                <c:pt idx="23">
                  <c:v>281.97480000000002</c:v>
                </c:pt>
                <c:pt idx="24">
                  <c:v>285.88709999999998</c:v>
                </c:pt>
                <c:pt idx="25">
                  <c:v>275.27890000000002</c:v>
                </c:pt>
                <c:pt idx="26">
                  <c:v>278.20340000000004</c:v>
                </c:pt>
                <c:pt idx="27">
                  <c:v>280.58229999999998</c:v>
                </c:pt>
                <c:pt idx="28">
                  <c:v>282.04070000000002</c:v>
                </c:pt>
                <c:pt idx="29">
                  <c:v>292.00040000000001</c:v>
                </c:pt>
                <c:pt idx="30">
                  <c:v>290.92149999999998</c:v>
                </c:pt>
                <c:pt idx="31">
                  <c:v>294.16890000000001</c:v>
                </c:pt>
                <c:pt idx="32">
                  <c:v>293.01580000000001</c:v>
                </c:pt>
                <c:pt idx="33">
                  <c:v>298.02089999999998</c:v>
                </c:pt>
                <c:pt idx="34">
                  <c:v>294.03540000000004</c:v>
                </c:pt>
                <c:pt idx="35">
                  <c:v>294.89980000000003</c:v>
                </c:pt>
                <c:pt idx="36">
                  <c:v>295.8245</c:v>
                </c:pt>
                <c:pt idx="37">
                  <c:v>292.09929999999997</c:v>
                </c:pt>
                <c:pt idx="38">
                  <c:v>293.15369999999996</c:v>
                </c:pt>
                <c:pt idx="39">
                  <c:v>298.95019999999994</c:v>
                </c:pt>
                <c:pt idx="40">
                  <c:v>299.13380000000001</c:v>
                </c:pt>
                <c:pt idx="41">
                  <c:v>296.1182</c:v>
                </c:pt>
                <c:pt idx="42">
                  <c:v>299.84679999999997</c:v>
                </c:pt>
                <c:pt idx="43">
                  <c:v>294.83429999999998</c:v>
                </c:pt>
                <c:pt idx="44">
                  <c:v>296.12150000000003</c:v>
                </c:pt>
                <c:pt idx="45">
                  <c:v>300.38590000000005</c:v>
                </c:pt>
                <c:pt idx="46">
                  <c:v>297.21550000000002</c:v>
                </c:pt>
                <c:pt idx="47">
                  <c:v>297.75589999999994</c:v>
                </c:pt>
                <c:pt idx="48">
                  <c:v>301.33249999999998</c:v>
                </c:pt>
                <c:pt idx="49">
                  <c:v>296.91149999999999</c:v>
                </c:pt>
                <c:pt idx="50">
                  <c:v>269.2835</c:v>
                </c:pt>
                <c:pt idx="51">
                  <c:v>224.47470000000001</c:v>
                </c:pt>
                <c:pt idx="52">
                  <c:v>233.55720000000002</c:v>
                </c:pt>
                <c:pt idx="53">
                  <c:v>248.226</c:v>
                </c:pt>
                <c:pt idx="54">
                  <c:v>261.27590000000004</c:v>
                </c:pt>
                <c:pt idx="55">
                  <c:v>256.80329999999998</c:v>
                </c:pt>
                <c:pt idx="56">
                  <c:v>268.96369999999996</c:v>
                </c:pt>
                <c:pt idx="57">
                  <c:v>272.6454</c:v>
                </c:pt>
                <c:pt idx="58">
                  <c:v>278.04239999999999</c:v>
                </c:pt>
                <c:pt idx="59">
                  <c:v>279.53490000000005</c:v>
                </c:pt>
                <c:pt idx="60">
                  <c:v>288.60179999999997</c:v>
                </c:pt>
                <c:pt idx="61">
                  <c:v>292.50220000000002</c:v>
                </c:pt>
                <c:pt idx="62">
                  <c:v>305.9076</c:v>
                </c:pt>
                <c:pt idx="63">
                  <c:v>311.0179</c:v>
                </c:pt>
                <c:pt idx="64">
                  <c:v>312.35750000000002</c:v>
                </c:pt>
                <c:pt idx="65">
                  <c:v>311.7047</c:v>
                </c:pt>
                <c:pt idx="66">
                  <c:v>316.35509999999999</c:v>
                </c:pt>
                <c:pt idx="67">
                  <c:v>324.51859999999999</c:v>
                </c:pt>
                <c:pt idx="68">
                  <c:v>327.89329999999995</c:v>
                </c:pt>
                <c:pt idx="69">
                  <c:v>341.62859999999995</c:v>
                </c:pt>
                <c:pt idx="70">
                  <c:v>357.12209999999999</c:v>
                </c:pt>
                <c:pt idx="71">
                  <c:v>362.83240000000001</c:v>
                </c:pt>
                <c:pt idx="72">
                  <c:v>378.76459999999997</c:v>
                </c:pt>
                <c:pt idx="73">
                  <c:v>383.12799999999999</c:v>
                </c:pt>
                <c:pt idx="74">
                  <c:v>390.99319999999994</c:v>
                </c:pt>
                <c:pt idx="75">
                  <c:v>408.51140000000004</c:v>
                </c:pt>
                <c:pt idx="76">
                  <c:v>421.99340000000001</c:v>
                </c:pt>
                <c:pt idx="77">
                  <c:v>428.22829999999999</c:v>
                </c:pt>
                <c:pt idx="78">
                  <c:v>426.58820000000003</c:v>
                </c:pt>
                <c:pt idx="79">
                  <c:v>446.19219999999996</c:v>
                </c:pt>
                <c:pt idx="80">
                  <c:v>448.54199999999997</c:v>
                </c:pt>
              </c:numCache>
            </c:numRef>
          </c:val>
          <c:smooth val="0"/>
          <c:extLst>
            <c:ext xmlns:c16="http://schemas.microsoft.com/office/drawing/2014/chart" uri="{C3380CC4-5D6E-409C-BE32-E72D297353CC}">
              <c16:uniqueId val="{00000001-D659-4BE8-9631-193D10BADAA7}"/>
            </c:ext>
          </c:extLst>
        </c:ser>
        <c:dLbls>
          <c:showLegendKey val="0"/>
          <c:showVal val="0"/>
          <c:showCatName val="0"/>
          <c:showSerName val="0"/>
          <c:showPercent val="0"/>
          <c:showBubbleSize val="0"/>
        </c:dLbls>
        <c:smooth val="0"/>
        <c:axId val="496320704"/>
        <c:axId val="496322344"/>
      </c:lineChart>
      <c:catAx>
        <c:axId val="496320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6322344"/>
        <c:crosses val="autoZero"/>
        <c:auto val="1"/>
        <c:lblAlgn val="ctr"/>
        <c:lblOffset val="100"/>
        <c:noMultiLvlLbl val="0"/>
      </c:catAx>
      <c:valAx>
        <c:axId val="4963223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lv-LV" baseline="0"/>
                  <a:t>miljardi</a:t>
                </a:r>
                <a:r>
                  <a:rPr lang="lv-LV"/>
                  <a:t> EUR</a:t>
                </a:r>
              </a:p>
            </c:rich>
          </c:tx>
          <c:layout>
            <c:manualLayout>
              <c:xMode val="edge"/>
              <c:yMode val="edge"/>
              <c:x val="2.8795811518324606E-2"/>
              <c:y val="4.4969014289880427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6320704"/>
        <c:crosses val="autoZero"/>
        <c:crossBetween val="between"/>
        <c:majorUnit val="10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'3. attēls'!$B$13</c:f>
              <c:strCache>
                <c:ptCount val="1"/>
                <c:pt idx="0">
                  <c:v>Eksports</c:v>
                </c:pt>
              </c:strCache>
            </c:strRef>
          </c:tx>
          <c:spPr>
            <a:solidFill>
              <a:schemeClr val="accent1"/>
            </a:solidFill>
            <a:ln>
              <a:noFill/>
            </a:ln>
            <a:effectLst/>
          </c:spPr>
          <c:invertIfNegative val="0"/>
          <c:cat>
            <c:strRef>
              <c:f>'3. attēls'!$A$17:$A$20</c:f>
              <c:strCache>
                <c:ptCount val="4"/>
                <c:pt idx="0">
                  <c:v>2019. g. 1.–3. cet.</c:v>
                </c:pt>
                <c:pt idx="1">
                  <c:v>2020. g. 1.–3. cet.</c:v>
                </c:pt>
                <c:pt idx="2">
                  <c:v>2021. g. 1.–3. cet.</c:v>
                </c:pt>
                <c:pt idx="3">
                  <c:v>2022. g. 1.–3. cet.</c:v>
                </c:pt>
              </c:strCache>
            </c:strRef>
          </c:cat>
          <c:val>
            <c:numRef>
              <c:f>'3. attēls'!$B$17:$B$20</c:f>
              <c:numCache>
                <c:formatCode>General</c:formatCode>
                <c:ptCount val="4"/>
                <c:pt idx="0">
                  <c:v>164.25700000000001</c:v>
                </c:pt>
                <c:pt idx="1">
                  <c:v>133.90770000000001</c:v>
                </c:pt>
                <c:pt idx="2">
                  <c:v>144.36199999999999</c:v>
                </c:pt>
                <c:pt idx="3">
                  <c:v>181.37640000000002</c:v>
                </c:pt>
              </c:numCache>
            </c:numRef>
          </c:val>
          <c:extLst>
            <c:ext xmlns:c16="http://schemas.microsoft.com/office/drawing/2014/chart" uri="{C3380CC4-5D6E-409C-BE32-E72D297353CC}">
              <c16:uniqueId val="{00000000-480E-4145-A4A9-D8081B085470}"/>
            </c:ext>
          </c:extLst>
        </c:ser>
        <c:ser>
          <c:idx val="1"/>
          <c:order val="1"/>
          <c:tx>
            <c:strRef>
              <c:f>'3. attēls'!$C$13</c:f>
              <c:strCache>
                <c:ptCount val="1"/>
                <c:pt idx="0">
                  <c:v>Imports</c:v>
                </c:pt>
              </c:strCache>
            </c:strRef>
          </c:tx>
          <c:spPr>
            <a:solidFill>
              <a:schemeClr val="accent2"/>
            </a:solidFill>
            <a:ln>
              <a:noFill/>
            </a:ln>
            <a:effectLst/>
          </c:spPr>
          <c:invertIfNegative val="0"/>
          <c:cat>
            <c:strRef>
              <c:f>'3. attēls'!$A$17:$A$20</c:f>
              <c:strCache>
                <c:ptCount val="4"/>
                <c:pt idx="0">
                  <c:v>2019. g. 1.–3. cet.</c:v>
                </c:pt>
                <c:pt idx="1">
                  <c:v>2020. g. 1.–3. cet.</c:v>
                </c:pt>
                <c:pt idx="2">
                  <c:v>2021. g. 1.–3. cet.</c:v>
                </c:pt>
                <c:pt idx="3">
                  <c:v>2022. g. 1.–3. cet.</c:v>
                </c:pt>
              </c:strCache>
            </c:strRef>
          </c:cat>
          <c:val>
            <c:numRef>
              <c:f>'3. attēls'!$C$17:$C$20</c:f>
              <c:numCache>
                <c:formatCode>General</c:formatCode>
                <c:ptCount val="4"/>
                <c:pt idx="0">
                  <c:v>127.30470000000001</c:v>
                </c:pt>
                <c:pt idx="1">
                  <c:v>112.8261</c:v>
                </c:pt>
                <c:pt idx="2">
                  <c:v>122.93130000000001</c:v>
                </c:pt>
                <c:pt idx="3">
                  <c:v>138.99960000000002</c:v>
                </c:pt>
              </c:numCache>
            </c:numRef>
          </c:val>
          <c:extLst>
            <c:ext xmlns:c16="http://schemas.microsoft.com/office/drawing/2014/chart" uri="{C3380CC4-5D6E-409C-BE32-E72D297353CC}">
              <c16:uniqueId val="{00000001-480E-4145-A4A9-D8081B085470}"/>
            </c:ext>
          </c:extLst>
        </c:ser>
        <c:dLbls>
          <c:showLegendKey val="0"/>
          <c:showVal val="0"/>
          <c:showCatName val="0"/>
          <c:showSerName val="0"/>
          <c:showPercent val="0"/>
          <c:showBubbleSize val="0"/>
        </c:dLbls>
        <c:gapWidth val="219"/>
        <c:overlap val="-27"/>
        <c:axId val="438339376"/>
        <c:axId val="438337736"/>
      </c:barChart>
      <c:catAx>
        <c:axId val="43833937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8337736"/>
        <c:crosses val="autoZero"/>
        <c:auto val="1"/>
        <c:lblAlgn val="ctr"/>
        <c:lblOffset val="100"/>
        <c:noMultiLvlLbl val="0"/>
      </c:catAx>
      <c:valAx>
        <c:axId val="4383377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lv-LV" baseline="0"/>
                  <a:t>miljardi</a:t>
                </a:r>
                <a:r>
                  <a:rPr lang="lv-LV"/>
                  <a:t> EUR</a:t>
                </a:r>
              </a:p>
            </c:rich>
          </c:tx>
          <c:layout>
            <c:manualLayout>
              <c:xMode val="edge"/>
              <c:yMode val="edge"/>
              <c:x val="2.7777777777777776E-2"/>
              <c:y val="3.9494386118401878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8339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'4. attēls'!$B$13</c:f>
              <c:strCache>
                <c:ptCount val="1"/>
                <c:pt idx="0">
                  <c:v>Apvienotā Karaliste</c:v>
                </c:pt>
              </c:strCache>
            </c:strRef>
          </c:tx>
          <c:spPr>
            <a:solidFill>
              <a:schemeClr val="accent1"/>
            </a:solidFill>
            <a:ln>
              <a:noFill/>
            </a:ln>
            <a:effectLst/>
          </c:spPr>
          <c:invertIfNegative val="0"/>
          <c:cat>
            <c:strRef>
              <c:f>'4. attēls'!$A$14:$A$20</c:f>
              <c:strCache>
                <c:ptCount val="7"/>
                <c:pt idx="0">
                  <c:v>2016. g. 1.–3. cet.</c:v>
                </c:pt>
                <c:pt idx="1">
                  <c:v>2017. g. 1.–3. cet.</c:v>
                </c:pt>
                <c:pt idx="2">
                  <c:v>2018. g. 1.–3. cet.</c:v>
                </c:pt>
                <c:pt idx="3">
                  <c:v>2019. g. 1.–3. cet.</c:v>
                </c:pt>
                <c:pt idx="4">
                  <c:v>2020. g. 1.–3. cet.</c:v>
                </c:pt>
                <c:pt idx="5">
                  <c:v>2021. g. 1.–3. cet.</c:v>
                </c:pt>
                <c:pt idx="6">
                  <c:v>2022. g. 1.–3. cet.</c:v>
                </c:pt>
              </c:strCache>
            </c:strRef>
          </c:cat>
          <c:val>
            <c:numRef>
              <c:f>'4. attēls'!$B$14:$B$20</c:f>
              <c:numCache>
                <c:formatCode>General</c:formatCode>
                <c:ptCount val="7"/>
                <c:pt idx="0">
                  <c:v>129.7235</c:v>
                </c:pt>
                <c:pt idx="1">
                  <c:v>142.59019999999998</c:v>
                </c:pt>
                <c:pt idx="2">
                  <c:v>154.30610000000001</c:v>
                </c:pt>
                <c:pt idx="3">
                  <c:v>164.25700000000001</c:v>
                </c:pt>
                <c:pt idx="4">
                  <c:v>133.90770000000001</c:v>
                </c:pt>
                <c:pt idx="5">
                  <c:v>144.36199999999999</c:v>
                </c:pt>
                <c:pt idx="6">
                  <c:v>181.37640000000002</c:v>
                </c:pt>
              </c:numCache>
            </c:numRef>
          </c:val>
          <c:extLst>
            <c:ext xmlns:c16="http://schemas.microsoft.com/office/drawing/2014/chart" uri="{C3380CC4-5D6E-409C-BE32-E72D297353CC}">
              <c16:uniqueId val="{00000000-ED6D-4225-8229-BBD1AB3E597D}"/>
            </c:ext>
          </c:extLst>
        </c:ser>
        <c:ser>
          <c:idx val="1"/>
          <c:order val="1"/>
          <c:tx>
            <c:strRef>
              <c:f>'4. attēls'!$F$13</c:f>
              <c:strCache>
                <c:ptCount val="1"/>
                <c:pt idx="0">
                  <c:v>Citi starptautiskie partneri, izņemot UK</c:v>
                </c:pt>
              </c:strCache>
            </c:strRef>
          </c:tx>
          <c:spPr>
            <a:solidFill>
              <a:schemeClr val="accent2"/>
            </a:solidFill>
            <a:ln>
              <a:noFill/>
            </a:ln>
            <a:effectLst/>
          </c:spPr>
          <c:invertIfNegative val="0"/>
          <c:cat>
            <c:strRef>
              <c:f>'4. attēls'!$A$14:$A$20</c:f>
              <c:strCache>
                <c:ptCount val="7"/>
                <c:pt idx="0">
                  <c:v>2016. g. 1.–3. cet.</c:v>
                </c:pt>
                <c:pt idx="1">
                  <c:v>2017. g. 1.–3. cet.</c:v>
                </c:pt>
                <c:pt idx="2">
                  <c:v>2018. g. 1.–3. cet.</c:v>
                </c:pt>
                <c:pt idx="3">
                  <c:v>2019. g. 1.–3. cet.</c:v>
                </c:pt>
                <c:pt idx="4">
                  <c:v>2020. g. 1.–3. cet.</c:v>
                </c:pt>
                <c:pt idx="5">
                  <c:v>2021. g. 1.–3. cet.</c:v>
                </c:pt>
                <c:pt idx="6">
                  <c:v>2022. g. 1.–3. cet.</c:v>
                </c:pt>
              </c:strCache>
            </c:strRef>
          </c:cat>
          <c:val>
            <c:numRef>
              <c:f>'4. attēls'!$F$14:$F$20</c:f>
              <c:numCache>
                <c:formatCode>General</c:formatCode>
                <c:ptCount val="7"/>
                <c:pt idx="0">
                  <c:v>489.81040000000002</c:v>
                </c:pt>
                <c:pt idx="1">
                  <c:v>527.74189999999999</c:v>
                </c:pt>
                <c:pt idx="2">
                  <c:v>559.24380000000008</c:v>
                </c:pt>
                <c:pt idx="3">
                  <c:v>602.67750000000001</c:v>
                </c:pt>
                <c:pt idx="4">
                  <c:v>513.29549999999995</c:v>
                </c:pt>
                <c:pt idx="5">
                  <c:v>590.33019999999999</c:v>
                </c:pt>
                <c:pt idx="6">
                  <c:v>754.25880000000006</c:v>
                </c:pt>
              </c:numCache>
            </c:numRef>
          </c:val>
          <c:extLst>
            <c:ext xmlns:c16="http://schemas.microsoft.com/office/drawing/2014/chart" uri="{C3380CC4-5D6E-409C-BE32-E72D297353CC}">
              <c16:uniqueId val="{00000001-ED6D-4225-8229-BBD1AB3E597D}"/>
            </c:ext>
          </c:extLst>
        </c:ser>
        <c:dLbls>
          <c:showLegendKey val="0"/>
          <c:showVal val="0"/>
          <c:showCatName val="0"/>
          <c:showSerName val="0"/>
          <c:showPercent val="0"/>
          <c:showBubbleSize val="0"/>
        </c:dLbls>
        <c:gapWidth val="219"/>
        <c:overlap val="-27"/>
        <c:axId val="509810664"/>
        <c:axId val="509816896"/>
      </c:barChart>
      <c:catAx>
        <c:axId val="509810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9816896"/>
        <c:crosses val="autoZero"/>
        <c:auto val="1"/>
        <c:lblAlgn val="ctr"/>
        <c:lblOffset val="100"/>
        <c:noMultiLvlLbl val="0"/>
      </c:catAx>
      <c:valAx>
        <c:axId val="5098168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lv-LV"/>
                  <a:t>miljardi EUR</a:t>
                </a:r>
              </a:p>
            </c:rich>
          </c:tx>
          <c:layout>
            <c:manualLayout>
              <c:xMode val="edge"/>
              <c:yMode val="edge"/>
              <c:x val="2.7777777777777776E-2"/>
              <c:y val="4.3869568387284924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9810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'5. attēls'!$B$13</c:f>
              <c:strCache>
                <c:ptCount val="1"/>
                <c:pt idx="0">
                  <c:v>Apvienotā Karaliste</c:v>
                </c:pt>
              </c:strCache>
            </c:strRef>
          </c:tx>
          <c:spPr>
            <a:solidFill>
              <a:schemeClr val="accent1"/>
            </a:solidFill>
            <a:ln>
              <a:noFill/>
            </a:ln>
            <a:effectLst/>
          </c:spPr>
          <c:invertIfNegative val="0"/>
          <c:cat>
            <c:strRef>
              <c:f>'5. attēls'!$A$14:$A$20</c:f>
              <c:strCache>
                <c:ptCount val="7"/>
                <c:pt idx="0">
                  <c:v>2016. g. 1.–3. cet.</c:v>
                </c:pt>
                <c:pt idx="1">
                  <c:v>2017. g. 1.–3. cet.</c:v>
                </c:pt>
                <c:pt idx="2">
                  <c:v>2018. g. 1.–3. cet.</c:v>
                </c:pt>
                <c:pt idx="3">
                  <c:v>2019. g. 1.–3. cet.</c:v>
                </c:pt>
                <c:pt idx="4">
                  <c:v>2020. g. 1.–3. cet.</c:v>
                </c:pt>
                <c:pt idx="5">
                  <c:v>2021. g. 1.–3. cet.</c:v>
                </c:pt>
                <c:pt idx="6">
                  <c:v>2022. g. 1.–3. cet.</c:v>
                </c:pt>
              </c:strCache>
            </c:strRef>
          </c:cat>
          <c:val>
            <c:numRef>
              <c:f>'5. attēls'!$C$14:$C$20</c:f>
              <c:numCache>
                <c:formatCode>General</c:formatCode>
                <c:ptCount val="7"/>
                <c:pt idx="0">
                  <c:v>102.45780000000001</c:v>
                </c:pt>
                <c:pt idx="1">
                  <c:v>109.9913</c:v>
                </c:pt>
                <c:pt idx="2">
                  <c:v>120.2157</c:v>
                </c:pt>
                <c:pt idx="3">
                  <c:v>127.30470000000001</c:v>
                </c:pt>
                <c:pt idx="4">
                  <c:v>112.8261</c:v>
                </c:pt>
                <c:pt idx="5">
                  <c:v>122.93130000000001</c:v>
                </c:pt>
                <c:pt idx="6">
                  <c:v>138.99960000000002</c:v>
                </c:pt>
              </c:numCache>
            </c:numRef>
          </c:val>
          <c:extLst>
            <c:ext xmlns:c16="http://schemas.microsoft.com/office/drawing/2014/chart" uri="{C3380CC4-5D6E-409C-BE32-E72D297353CC}">
              <c16:uniqueId val="{00000000-BCB9-490A-9177-F40C0340EE41}"/>
            </c:ext>
          </c:extLst>
        </c:ser>
        <c:ser>
          <c:idx val="1"/>
          <c:order val="1"/>
          <c:tx>
            <c:strRef>
              <c:f>'5. attēls'!$F$13</c:f>
              <c:strCache>
                <c:ptCount val="1"/>
                <c:pt idx="0">
                  <c:v>Citi starptautiskie partneri, izņemot UK</c:v>
                </c:pt>
              </c:strCache>
            </c:strRef>
          </c:tx>
          <c:spPr>
            <a:solidFill>
              <a:schemeClr val="accent2"/>
            </a:solidFill>
            <a:ln>
              <a:noFill/>
            </a:ln>
            <a:effectLst/>
          </c:spPr>
          <c:invertIfNegative val="0"/>
          <c:cat>
            <c:strRef>
              <c:f>'5. attēls'!$A$14:$A$20</c:f>
              <c:strCache>
                <c:ptCount val="7"/>
                <c:pt idx="0">
                  <c:v>2016. g. 1.–3. cet.</c:v>
                </c:pt>
                <c:pt idx="1">
                  <c:v>2017. g. 1.–3. cet.</c:v>
                </c:pt>
                <c:pt idx="2">
                  <c:v>2018. g. 1.–3. cet.</c:v>
                </c:pt>
                <c:pt idx="3">
                  <c:v>2019. g. 1.–3. cet.</c:v>
                </c:pt>
                <c:pt idx="4">
                  <c:v>2020. g. 1.–3. cet.</c:v>
                </c:pt>
                <c:pt idx="5">
                  <c:v>2021. g. 1.–3. cet.</c:v>
                </c:pt>
                <c:pt idx="6">
                  <c:v>2022. g. 1.–3. cet.</c:v>
                </c:pt>
              </c:strCache>
            </c:strRef>
          </c:cat>
          <c:val>
            <c:numRef>
              <c:f>'5. attēls'!$G$14:$G$20</c:f>
              <c:numCache>
                <c:formatCode>General</c:formatCode>
                <c:ptCount val="7"/>
                <c:pt idx="0">
                  <c:v>452.33939999999996</c:v>
                </c:pt>
                <c:pt idx="1">
                  <c:v>479.8479000000001</c:v>
                </c:pt>
                <c:pt idx="2">
                  <c:v>462.05070000000001</c:v>
                </c:pt>
                <c:pt idx="3">
                  <c:v>541.06369999999993</c:v>
                </c:pt>
                <c:pt idx="4">
                  <c:v>532.4366</c:v>
                </c:pt>
                <c:pt idx="5">
                  <c:v>506.50710000000004</c:v>
                </c:pt>
                <c:pt idx="6">
                  <c:v>664.82600000000002</c:v>
                </c:pt>
              </c:numCache>
            </c:numRef>
          </c:val>
          <c:extLst>
            <c:ext xmlns:c16="http://schemas.microsoft.com/office/drawing/2014/chart" uri="{C3380CC4-5D6E-409C-BE32-E72D297353CC}">
              <c16:uniqueId val="{00000001-BCB9-490A-9177-F40C0340EE41}"/>
            </c:ext>
          </c:extLst>
        </c:ser>
        <c:dLbls>
          <c:showLegendKey val="0"/>
          <c:showVal val="0"/>
          <c:showCatName val="0"/>
          <c:showSerName val="0"/>
          <c:showPercent val="0"/>
          <c:showBubbleSize val="0"/>
        </c:dLbls>
        <c:gapWidth val="219"/>
        <c:overlap val="-27"/>
        <c:axId val="509810664"/>
        <c:axId val="509816896"/>
      </c:barChart>
      <c:catAx>
        <c:axId val="509810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9816896"/>
        <c:crosses val="autoZero"/>
        <c:auto val="1"/>
        <c:lblAlgn val="ctr"/>
        <c:lblOffset val="100"/>
        <c:noMultiLvlLbl val="0"/>
      </c:catAx>
      <c:valAx>
        <c:axId val="5098168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lv-LV"/>
                  <a:t>miljardi EUR</a:t>
                </a:r>
              </a:p>
            </c:rich>
          </c:tx>
          <c:layout>
            <c:manualLayout>
              <c:xMode val="edge"/>
              <c:yMode val="edge"/>
              <c:x val="2.7777777777777776E-2"/>
              <c:y val="4.3869568387284924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9810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4" ma:contentTypeDescription="Create a new document." ma:contentTypeScope="" ma:versionID="d54e5e8f0bb18a18be444eaec30fbb88">
  <xsd:schema xmlns:xsd="http://www.w3.org/2001/XMLSchema" xmlns:xs="http://www.w3.org/2001/XMLSchema" xmlns:p="http://schemas.microsoft.com/office/2006/metadata/properties" xmlns:ns2="e79f5ee3-6126-495d-84fb-deab44380441" targetNamespace="http://schemas.microsoft.com/office/2006/metadata/properties" ma:root="true" ma:fieldsID="04f01702879d18dd886b247cec13b3ef" ns2:_="">
    <xsd:import namespace="e79f5ee3-6126-495d-84fb-deab443804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EE5F5-0425-4659-A8D4-30C427602B36}">
  <ds:schemaRefs>
    <ds:schemaRef ds:uri="http://schemas.microsoft.com/sharepoint/v3/contenttype/forms"/>
  </ds:schemaRefs>
</ds:datastoreItem>
</file>

<file path=customXml/itemProps2.xml><?xml version="1.0" encoding="utf-8"?>
<ds:datastoreItem xmlns:ds="http://schemas.openxmlformats.org/officeDocument/2006/customXml" ds:itemID="{E6DD7493-92E6-4E08-9047-4FDA64BDE38A}">
  <ds:schemaRefs>
    <ds:schemaRef ds:uri="http://schemas.microsoft.com/office/infopath/2007/PartnerControls"/>
    <ds:schemaRef ds:uri="http://purl.org/dc/elements/1.1/"/>
    <ds:schemaRef ds:uri="http://schemas.microsoft.com/office/2006/metadata/properties"/>
    <ds:schemaRef ds:uri="e79f5ee3-6126-495d-84fb-deab44380441"/>
    <ds:schemaRef ds:uri="http://schemas.microsoft.com/office/2006/documentManagement/types"/>
    <ds:schemaRef ds:uri="http://purl.org/dc/terms/"/>
    <ds:schemaRef ds:uri="http://schemas.openxmlformats.org/package/2006/metadata/core-properties"/>
    <ds:schemaRef ds:uri="http://purl.org/dc/dcmitype/"/>
    <ds:schemaRef ds:uri="http://www.w3.org/XML/1998/namespace"/>
  </ds:schemaRefs>
</ds:datastoreItem>
</file>

<file path=customXml/itemProps3.xml><?xml version="1.0" encoding="utf-8"?>
<ds:datastoreItem xmlns:ds="http://schemas.openxmlformats.org/officeDocument/2006/customXml" ds:itemID="{7394315D-D901-4AB0-89DA-F2CA80F8C4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9f5ee3-6126-495d-84fb-deab443804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FE288E-5EA8-49F1-A573-90B4FD1C9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21</Pages>
  <Words>5528</Words>
  <Characters>37266</Characters>
  <Application>Microsoft Office Word</Application>
  <DocSecurity>0</DocSecurity>
  <Lines>621</Lines>
  <Paragraphs>209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33</cp:revision>
  <cp:lastPrinted>2022-11-16T12:37:00Z</cp:lastPrinted>
  <dcterms:created xsi:type="dcterms:W3CDTF">2023-02-28T15:11:00Z</dcterms:created>
  <dcterms:modified xsi:type="dcterms:W3CDTF">2023-03-10T08:20:00Z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bool>true</vt:bool>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CP-006</vt:lpwstr>
  </property>
  <property fmtid="{D5CDD505-2E9C-101B-9397-08002B2CF9AE}" pid="8" name="Last edited using">
    <vt:lpwstr>LW 8.1, Build 20230124</vt:lpwstr>
  </property>
  <property fmtid="{D5CDD505-2E9C-101B-9397-08002B2CF9AE}" pid="9" name="Created using">
    <vt:lpwstr>LW 7.0.1, Build 20200226</vt:lpwstr>
  </property>
  <property fmtid="{D5CDD505-2E9C-101B-9397-08002B2CF9AE}" pid="10" name="_LW_INVALIDATED__LW_INVALIDATED__LW_INVALIDATED_ContentTypeId">
    <vt:lpwstr>0x010100BAFE4123F4691945AF31689B551C90BF</vt:lpwstr>
  </property>
  <property fmtid="{D5CDD505-2E9C-101B-9397-08002B2CF9AE}" pid="11" name="MSIP_Label_6bd9ddd1-4d20-43f6-abfa-fc3c07406f94_Enabled">
    <vt:lpwstr>true</vt:lpwstr>
  </property>
  <property fmtid="{D5CDD505-2E9C-101B-9397-08002B2CF9AE}" pid="12" name="MSIP_Label_6bd9ddd1-4d20-43f6-abfa-fc3c07406f94_SetDate">
    <vt:lpwstr>2022-03-01T07:21:27Z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0373e2d6-94b3-49c9-8dc5-5e9fb7510748</vt:lpwstr>
  </property>
  <property fmtid="{D5CDD505-2E9C-101B-9397-08002B2CF9AE}" pid="17" name="MSIP_Label_6bd9ddd1-4d20-43f6-abfa-fc3c07406f94_ContentBits">
    <vt:lpwstr>0</vt:lpwstr>
  </property>
  <property fmtid="{D5CDD505-2E9C-101B-9397-08002B2CF9AE}" pid="18" name="ContentTypeId">
    <vt:lpwstr>0x01010017FF78C904FD5D479F9D99C5899B7D55</vt:lpwstr>
  </property>
  <property name="OP_sanitized" fmtid="{D5CDD505-2E9C-101B-9397-08002B2CF9AE}" pid="19">
    <vt:lpwstr>True</vt:lpwstr>
  </property>
</Properties>
</file>