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60795" w14:textId="045B94E6" w:rsidR="00BB38FF" w:rsidRPr="000254DF" w:rsidRDefault="00400A03" w:rsidP="00400A03">
      <w:pPr>
        <w:pStyle w:val="Pagedecouverture"/>
        <w:rPr>
          <w:noProof/>
        </w:rPr>
      </w:pPr>
      <w:r>
        <w:rPr>
          <w:noProof/>
        </w:rPr>
        <w:pict w14:anchorId="02623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F1FFD07-6025-4B0D-AFD9-E2BBBB20DA6D" style="width:455.25pt;height:369.75pt">
            <v:imagedata r:id="rId11" o:title=""/>
          </v:shape>
        </w:pict>
      </w:r>
    </w:p>
    <w:p w14:paraId="421DCA0D" w14:textId="77777777" w:rsidR="00683821" w:rsidRPr="000254DF" w:rsidRDefault="00683821" w:rsidP="00683821">
      <w:pPr>
        <w:rPr>
          <w:noProof/>
        </w:rPr>
        <w:sectPr w:rsidR="00683821" w:rsidRPr="000254DF" w:rsidSect="00400A03">
          <w:footerReference w:type="default" r:id="rId12"/>
          <w:pgSz w:w="11907" w:h="16839"/>
          <w:pgMar w:top="1134" w:right="1417" w:bottom="1134" w:left="1417" w:header="709" w:footer="709" w:gutter="0"/>
          <w:pgNumType w:start="0"/>
          <w:cols w:space="720"/>
          <w:docGrid w:linePitch="360"/>
        </w:sectPr>
      </w:pPr>
    </w:p>
    <w:p w14:paraId="0BDD3648" w14:textId="77777777" w:rsidR="0082116A" w:rsidRPr="000254DF" w:rsidRDefault="0082116A" w:rsidP="0082116A">
      <w:pPr>
        <w:pStyle w:val="Exposdesmotifstitre"/>
        <w:rPr>
          <w:noProof/>
        </w:rPr>
      </w:pPr>
      <w:bookmarkStart w:id="0" w:name="_GoBack"/>
      <w:bookmarkEnd w:id="0"/>
      <w:r w:rsidRPr="000254DF">
        <w:rPr>
          <w:noProof/>
        </w:rPr>
        <w:lastRenderedPageBreak/>
        <w:t>PASKAIDROJUMA RAKSTS</w:t>
      </w:r>
    </w:p>
    <w:p w14:paraId="40782EAA" w14:textId="77777777" w:rsidR="0082116A" w:rsidRPr="000254DF" w:rsidRDefault="0082116A" w:rsidP="0082116A">
      <w:pPr>
        <w:pStyle w:val="ManualHeading1"/>
        <w:rPr>
          <w:noProof/>
        </w:rPr>
      </w:pPr>
      <w:r w:rsidRPr="000254DF">
        <w:rPr>
          <w:noProof/>
        </w:rPr>
        <w:t>1.</w:t>
      </w:r>
      <w:r w:rsidRPr="000254DF">
        <w:rPr>
          <w:noProof/>
        </w:rPr>
        <w:tab/>
        <w:t>PRIEKŠLIKUMA KONTEKSTS</w:t>
      </w:r>
    </w:p>
    <w:p w14:paraId="5DA306AC" w14:textId="77777777" w:rsidR="0082116A" w:rsidRPr="000254DF" w:rsidRDefault="0082116A" w:rsidP="0082116A">
      <w:pPr>
        <w:pStyle w:val="ManualHeading2"/>
        <w:rPr>
          <w:rFonts w:eastAsia="Arial Unicode MS"/>
          <w:noProof/>
        </w:rPr>
      </w:pPr>
      <w:r w:rsidRPr="000254DF">
        <w:rPr>
          <w:noProof/>
          <w:color w:val="000000"/>
          <w:u w:color="000000"/>
          <w:bdr w:val="nil"/>
        </w:rPr>
        <w:t>•</w:t>
      </w:r>
      <w:r w:rsidRPr="000254DF">
        <w:rPr>
          <w:noProof/>
        </w:rPr>
        <w:tab/>
        <w:t>Priekšlikuma pamatojums un mērķi</w:t>
      </w:r>
    </w:p>
    <w:p w14:paraId="5243E94C" w14:textId="378B7F89" w:rsidR="00B825D8" w:rsidRPr="000254DF" w:rsidRDefault="003F3996" w:rsidP="002B2E84">
      <w:pPr>
        <w:pBdr>
          <w:top w:val="nil"/>
          <w:left w:val="nil"/>
          <w:bottom w:val="nil"/>
          <w:right w:val="nil"/>
          <w:between w:val="nil"/>
          <w:bar w:val="nil"/>
        </w:pBdr>
        <w:spacing w:before="0" w:after="240"/>
        <w:rPr>
          <w:noProof/>
        </w:rPr>
      </w:pPr>
      <w:r w:rsidRPr="000254DF">
        <w:rPr>
          <w:noProof/>
        </w:rPr>
        <w:t xml:space="preserve">Kā norādīts Komisijas 2022. gada 23. marta paziņojumā par pārtikas nodrošinājuma garantēšanu un pārtikas sistēmu noturības stiprināšanu (COM(2022)133 final), neprovocētais Krievijas iebrukums Ukrainā ir vēl vairāk destabilizējis jau tā trauslos lauksaimniecības produktu tirgus. Pirms iebrukuma biržas preču tirgos bija vērojams būtisks cenu kāpums, ko lauksaimniecības produktu tirgos radīja enerģijas, mēslošanas līdzekļu un dzīvnieku barības izmaksu pieaugums. Tagad izmaksas lauksaimniekiem un maziem un vidējiem uzņēmumiem (MVU), kas nodarbojas ar lauksaimniecības produktu pārstrādi, tirdzniecību vai izstrādi, turpina pieaugt un ietekmē pārtikas cenu, un tas atklāj Eiropas pārtikas sistēmas ievainojamību, it īpaši tās atkarību no importa, un rada bažas par lauksaimnieku un ražotāju ienākumiem agropārtikas ķēdē. </w:t>
      </w:r>
    </w:p>
    <w:p w14:paraId="2366A877" w14:textId="0DD7CDD9" w:rsidR="001D552F" w:rsidRPr="000254DF" w:rsidRDefault="00DD741F" w:rsidP="004D31F4">
      <w:pPr>
        <w:pBdr>
          <w:top w:val="nil"/>
          <w:left w:val="nil"/>
          <w:bottom w:val="nil"/>
          <w:right w:val="nil"/>
          <w:between w:val="nil"/>
          <w:bar w:val="nil"/>
        </w:pBdr>
        <w:spacing w:before="0" w:after="240"/>
        <w:rPr>
          <w:noProof/>
        </w:rPr>
      </w:pPr>
      <w:r w:rsidRPr="000254DF">
        <w:rPr>
          <w:noProof/>
        </w:rPr>
        <w:t xml:space="preserve">Tas vēl vairāk palielina slogu, kas uz Eiropas lauksaimniecību gulstas pēc Covid-19 pandēmijas. </w:t>
      </w:r>
    </w:p>
    <w:p w14:paraId="243CF36B" w14:textId="3044A4DF" w:rsidR="001D552F" w:rsidRPr="000254DF" w:rsidRDefault="001D552F" w:rsidP="001D552F">
      <w:pPr>
        <w:pBdr>
          <w:top w:val="nil"/>
          <w:left w:val="nil"/>
          <w:bottom w:val="nil"/>
          <w:right w:val="nil"/>
          <w:between w:val="nil"/>
          <w:bar w:val="nil"/>
        </w:pBdr>
        <w:spacing w:before="0" w:after="240"/>
        <w:rPr>
          <w:noProof/>
        </w:rPr>
      </w:pPr>
      <w:r w:rsidRPr="000254DF">
        <w:rPr>
          <w:noProof/>
        </w:rPr>
        <w:t>Arī klimata pārmaiņu un vides problēmas nedrīkst atstāt novārtā. Minētajā paziņojumā Komisija aicināja “novērst pašreizējās krīzes izgaismotos trūkumus tā, lai veicinātu pāreju uz ilgtspējīgām, noturīgām un taisnīgām pārtikas sistēmām ES un pasaulē”.</w:t>
      </w:r>
    </w:p>
    <w:p w14:paraId="1259E945" w14:textId="5153067C" w:rsidR="004D31F4" w:rsidRPr="000254DF" w:rsidRDefault="004D31F4" w:rsidP="004D31F4">
      <w:pPr>
        <w:pBdr>
          <w:top w:val="nil"/>
          <w:left w:val="nil"/>
          <w:bottom w:val="nil"/>
          <w:right w:val="nil"/>
          <w:between w:val="nil"/>
          <w:bar w:val="nil"/>
        </w:pBdr>
        <w:spacing w:before="0" w:after="240"/>
        <w:rPr>
          <w:noProof/>
        </w:rPr>
      </w:pPr>
      <w:r w:rsidRPr="000254DF">
        <w:rPr>
          <w:noProof/>
        </w:rPr>
        <w:t xml:space="preserve">Tirdzniecības traucējumi rada nopietnas, ar globālo pārtikas nodrošinājumu saistītas bažas, kas izriet no kara īstermiņa ietekmes un ar to saistītās nenoteiktības ilgākā termiņā. </w:t>
      </w:r>
    </w:p>
    <w:p w14:paraId="1E56BBAF" w14:textId="77777777" w:rsidR="0088175C" w:rsidRPr="000254DF" w:rsidRDefault="0088175C" w:rsidP="004D31F4">
      <w:pPr>
        <w:pBdr>
          <w:top w:val="nil"/>
          <w:left w:val="nil"/>
          <w:bottom w:val="nil"/>
          <w:right w:val="nil"/>
          <w:between w:val="nil"/>
          <w:bar w:val="nil"/>
        </w:pBdr>
        <w:spacing w:before="0" w:after="240"/>
        <w:rPr>
          <w:noProof/>
        </w:rPr>
      </w:pPr>
      <w:r w:rsidRPr="000254DF">
        <w:rPr>
          <w:noProof/>
        </w:rPr>
        <w:t>Stabila pārtikas piegāde ES nav apdraudēta, taču tad, ja augstākas cenas nekompensēs būtiski augušās ražošanas izmaksas lauku saimniecības līmenī, piegādes drošība var tikt apdraudēta.</w:t>
      </w:r>
    </w:p>
    <w:p w14:paraId="006AE439" w14:textId="77777777" w:rsidR="00B825D8" w:rsidRPr="000254DF" w:rsidRDefault="00DD741F" w:rsidP="00B825D8">
      <w:pPr>
        <w:pBdr>
          <w:top w:val="nil"/>
          <w:left w:val="nil"/>
          <w:bottom w:val="nil"/>
          <w:right w:val="nil"/>
          <w:between w:val="nil"/>
          <w:bar w:val="nil"/>
        </w:pBdr>
        <w:spacing w:before="0" w:after="240"/>
        <w:rPr>
          <w:noProof/>
        </w:rPr>
      </w:pPr>
      <w:r w:rsidRPr="000254DF">
        <w:rPr>
          <w:noProof/>
        </w:rPr>
        <w:t>Kopējā lauksaimniecības politika (KLP) paredz virkni pasākumu, to vidū cenu drošības tīklu un iespēju īstenot ārkārtas pasākumus. 2022. gada 23. marta paziņojumā Komisija jau ierosināja vairākas ārkārtas iniciatīvas, kuru mērķis ir garantēt pārtikas nodrošinājumu un stiprināt pārtikas sistēmu noturību. Taču pašreizējā situācija ir iepriekš nepieredzēta un prasa papildu iniciatīvas, jo daudziem mazajiem uzņēmumiem un lauksaimniekiem ir steidzami vajadzīgs ārkārtas atbalsts, lai tie varētu turpināt darbību.</w:t>
      </w:r>
    </w:p>
    <w:p w14:paraId="1FC2024D" w14:textId="2AB76AD4" w:rsidR="002B2E84" w:rsidRPr="000254DF" w:rsidRDefault="003F3996" w:rsidP="002B2E84">
      <w:pPr>
        <w:pBdr>
          <w:top w:val="nil"/>
          <w:left w:val="nil"/>
          <w:bottom w:val="nil"/>
          <w:right w:val="nil"/>
          <w:between w:val="nil"/>
          <w:bar w:val="nil"/>
        </w:pBdr>
        <w:spacing w:before="0" w:after="240"/>
        <w:rPr>
          <w:noProof/>
        </w:rPr>
      </w:pPr>
      <w:r w:rsidRPr="000254DF">
        <w:rPr>
          <w:noProof/>
        </w:rPr>
        <w:t xml:space="preserve">Tāpēc Komisija ierosina papildu pasākumu, ko finansē no Eiropas Lauksaimniecības fonda lauku attīstībai (ELFLA) un kas ļauj dalībvalstīm sniegt likviditātes atbalstu lauksaimniekiem un agropārtikas uzņēmumiem, kurus ietekmē būtisks ielaides izmaksu pieaugums, jo īpaši barības un mēslošanas līdzekļu ražošanas uzņēmumiem, kā arī energoietilpīgiem pārstrādes uzņēmumiem, kuri izjūt gāzes un elektroenerģijas izmaksu kāpumu. Tieši reaģējot uz šādu uzņēmumu naudas plūsmas problēmām, atbalsts veicinās globālo pārtikas nodrošinājumu un novērsīs tirgus traucējumus, ko rada ielaides izmaksu pieaugums.   </w:t>
      </w:r>
    </w:p>
    <w:p w14:paraId="70DF0229" w14:textId="77777777" w:rsidR="00051E96" w:rsidRPr="000254DF" w:rsidRDefault="00051E96" w:rsidP="00051E96">
      <w:pPr>
        <w:pBdr>
          <w:top w:val="nil"/>
          <w:left w:val="nil"/>
          <w:bottom w:val="nil"/>
          <w:right w:val="nil"/>
          <w:between w:val="nil"/>
          <w:bar w:val="nil"/>
        </w:pBdr>
        <w:spacing w:before="0" w:after="240"/>
        <w:rPr>
          <w:noProof/>
        </w:rPr>
      </w:pPr>
      <w:r w:rsidRPr="000254DF">
        <w:rPr>
          <w:noProof/>
        </w:rPr>
        <w:t>Lai sasniegtu šos mērķus, atbalsts tiks piešķirts kā vienreizējs maksājums lauksaimniekiem un MVU, kas nodarbojas ar lauksaimniecības produktu pārstrādi, tirdzniecību vai izstrādi. Komisija maksājumus veiks saskaņā ar budžeta apropriācijām un atbilstoši pieejamajam finansējumam.</w:t>
      </w:r>
    </w:p>
    <w:p w14:paraId="3662E175" w14:textId="77777777" w:rsidR="005B1925" w:rsidRPr="000254DF" w:rsidRDefault="00051E96" w:rsidP="0082116A">
      <w:pPr>
        <w:pBdr>
          <w:top w:val="nil"/>
          <w:left w:val="nil"/>
          <w:bottom w:val="nil"/>
          <w:right w:val="nil"/>
          <w:between w:val="nil"/>
          <w:bar w:val="nil"/>
        </w:pBdr>
        <w:spacing w:before="0" w:after="240"/>
        <w:rPr>
          <w:noProof/>
        </w:rPr>
      </w:pPr>
      <w:r w:rsidRPr="000254DF">
        <w:rPr>
          <w:noProof/>
        </w:rPr>
        <w:t>Lai nodrošinātu saskaņā ar pašreizējām lauku attīstības programmām pieejamo līdzekļu maksimāli efektīvu izmantošanu, dalībvalstīm būs jāpamato, kā tās nodrošina, ka atbalsts tiek piešķirts visvairāk skartajām personām, pamatojoties uz objektīviem un nediskriminējošiem kritērijiem. Dalībvalstīm šis pasākums būs jāiekļauj lauku attīstības programmās, izdarot tajās izmaiņas. Dalībvalstis maksājumus saņēmējiem drīkst sākt, tiklīdz tās ir iesniegušas programmā izdarāmās izmaiņas, kas ievieš jauno pasākumu. Šo iesniegšanu var veikt pēc šā priekšlikuma pieņemšanas, kā arī pēc grozījumiem saistītajos sekundārajos tiesību aktos (Komisijas Īstenošanas regulā (ES) Nr. 808/2014 un Nr. 809/2014).</w:t>
      </w:r>
    </w:p>
    <w:p w14:paraId="0A701FCC" w14:textId="77777777" w:rsidR="0082116A" w:rsidRPr="000254DF" w:rsidRDefault="0082116A" w:rsidP="0082116A">
      <w:pPr>
        <w:pStyle w:val="ManualHeading2"/>
        <w:rPr>
          <w:rFonts w:eastAsia="Arial Unicode MS"/>
          <w:noProof/>
          <w:color w:val="000000"/>
          <w:u w:color="000000"/>
          <w:bdr w:val="nil"/>
        </w:rPr>
      </w:pPr>
      <w:r w:rsidRPr="000254DF">
        <w:rPr>
          <w:noProof/>
          <w:color w:val="000000"/>
          <w:u w:color="000000"/>
          <w:bdr w:val="nil"/>
        </w:rPr>
        <w:t>•</w:t>
      </w:r>
      <w:r w:rsidRPr="000254DF">
        <w:rPr>
          <w:noProof/>
        </w:rPr>
        <w:tab/>
        <w:t>Saskanība ar pašreizējiem noteikumiem konkrētajā politikas jomā</w:t>
      </w:r>
    </w:p>
    <w:p w14:paraId="0A8083DE" w14:textId="77777777" w:rsidR="00A137A3" w:rsidRPr="000254DF" w:rsidRDefault="0082116A" w:rsidP="0082116A">
      <w:pPr>
        <w:pBdr>
          <w:top w:val="nil"/>
          <w:left w:val="nil"/>
          <w:bottom w:val="nil"/>
          <w:right w:val="nil"/>
          <w:between w:val="nil"/>
          <w:bar w:val="nil"/>
        </w:pBdr>
        <w:spacing w:before="0" w:after="240"/>
        <w:rPr>
          <w:noProof/>
        </w:rPr>
      </w:pPr>
      <w:r w:rsidRPr="000254DF">
        <w:rPr>
          <w:noProof/>
        </w:rPr>
        <w:t>Priekšlikums ir saskanīgs ar vispārējo tiesisko regulējumu, kas noteikts kopējai lauksaimniecības politikai un Eiropas strukturālajiem un investīciju fondiem (ESI fondiem), un aprobežojas ar mērķorientētu grozījumu Regulā (ES) Nr. 1305/2013. Priekšlikums papildina visus citus Savienības veiktos pasākumus, kuru mērķis ir risināt pašreizējo bezprecedenta situāciju, īpaši tos pasākumus, kuru mērķis ir sniegt atbalstu tirgiem un garantēt pārtikas nodrošinājumu. Priekšlikums neskar Regulas (ES) Nr. 1305/2013 59. panta 5. un 6. punktā noteiktās minimālās prasības par izdevumiem, kā arī Regulas (ES) 2020/2220 1. panta 2. punktā noteikto “regresa nepieļaušanas principu”.</w:t>
      </w:r>
    </w:p>
    <w:p w14:paraId="7F4F9C4F" w14:textId="77777777" w:rsidR="0082116A" w:rsidRPr="000254DF" w:rsidRDefault="0082116A" w:rsidP="0082116A">
      <w:pPr>
        <w:pStyle w:val="ManualHeading2"/>
        <w:rPr>
          <w:rFonts w:eastAsia="Arial Unicode MS"/>
          <w:noProof/>
        </w:rPr>
      </w:pPr>
      <w:r w:rsidRPr="000254DF">
        <w:rPr>
          <w:noProof/>
          <w:color w:val="000000"/>
          <w:u w:color="000000"/>
          <w:bdr w:val="nil"/>
        </w:rPr>
        <w:t>•</w:t>
      </w:r>
      <w:r w:rsidRPr="000254DF">
        <w:rPr>
          <w:noProof/>
        </w:rPr>
        <w:tab/>
        <w:t>Saskanība ar citām Savienības politikas jomām</w:t>
      </w:r>
    </w:p>
    <w:p w14:paraId="2C2C7989" w14:textId="77777777" w:rsidR="0082116A" w:rsidRPr="000254DF" w:rsidRDefault="0082116A" w:rsidP="0082116A">
      <w:pPr>
        <w:pBdr>
          <w:top w:val="nil"/>
          <w:left w:val="nil"/>
          <w:bottom w:val="nil"/>
          <w:right w:val="nil"/>
          <w:between w:val="nil"/>
          <w:bar w:val="nil"/>
        </w:pBdr>
        <w:spacing w:before="0" w:after="240"/>
        <w:rPr>
          <w:rFonts w:eastAsia="Arial Unicode MS"/>
          <w:noProof/>
        </w:rPr>
      </w:pPr>
      <w:r w:rsidRPr="000254DF">
        <w:rPr>
          <w:noProof/>
        </w:rPr>
        <w:t>Priekšlikums aprobežojas ar mērķorientētiem grozījumiem Regulā (ES) Nr. 1305/2013 un ir saskanīgs ar citām Savienības rīcībpolitikām.</w:t>
      </w:r>
    </w:p>
    <w:p w14:paraId="413F59E8" w14:textId="77777777" w:rsidR="0082116A" w:rsidRPr="000254DF" w:rsidRDefault="0082116A" w:rsidP="0082116A">
      <w:pPr>
        <w:pStyle w:val="ManualHeading1"/>
        <w:rPr>
          <w:noProof/>
        </w:rPr>
      </w:pPr>
      <w:r w:rsidRPr="000254DF">
        <w:rPr>
          <w:noProof/>
        </w:rPr>
        <w:t>2.</w:t>
      </w:r>
      <w:r w:rsidRPr="000254DF">
        <w:rPr>
          <w:noProof/>
        </w:rPr>
        <w:tab/>
        <w:t>JURIDISKAIS PAMATS, SUBSIDIARITĀTE UN PROPORCIONALITĀTE</w:t>
      </w:r>
    </w:p>
    <w:p w14:paraId="3668EAA7" w14:textId="77777777" w:rsidR="0082116A" w:rsidRPr="000254DF" w:rsidRDefault="0082116A" w:rsidP="0082116A">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Juridiskais pamats</w:t>
      </w:r>
    </w:p>
    <w:p w14:paraId="71FEEC8B" w14:textId="3DFDF687" w:rsidR="002218A2" w:rsidRPr="000254DF" w:rsidRDefault="003F3996" w:rsidP="0017261E">
      <w:pPr>
        <w:pBdr>
          <w:top w:val="nil"/>
          <w:left w:val="nil"/>
          <w:bottom w:val="nil"/>
          <w:right w:val="nil"/>
          <w:between w:val="nil"/>
          <w:bar w:val="nil"/>
        </w:pBdr>
        <w:spacing w:before="0" w:after="240"/>
        <w:rPr>
          <w:noProof/>
        </w:rPr>
      </w:pPr>
      <w:r w:rsidRPr="000254DF">
        <w:rPr>
          <w:noProof/>
        </w:rPr>
        <w:t xml:space="preserve">Priekšlikuma pamatā ir Līguma par Eiropas Savienības darbību 42. pants un 43. panta 2. punkts. </w:t>
      </w:r>
    </w:p>
    <w:p w14:paraId="5BC59591" w14:textId="77777777" w:rsidR="0082116A" w:rsidRPr="000254DF" w:rsidRDefault="0082116A" w:rsidP="0082116A">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 xml:space="preserve">Subsidiaritāte (neekskluzīvas kompetences gadījumā) </w:t>
      </w:r>
    </w:p>
    <w:p w14:paraId="4607CC4B" w14:textId="77777777" w:rsidR="00237DC7" w:rsidRPr="000254DF" w:rsidRDefault="00F26D0D" w:rsidP="00270031">
      <w:pPr>
        <w:rPr>
          <w:noProof/>
        </w:rPr>
      </w:pPr>
      <w:r w:rsidRPr="000254DF">
        <w:rPr>
          <w:noProof/>
        </w:rPr>
        <w:t xml:space="preserve">Līgumā par Eiropas Savienības darbību ir noteikts, ka lauksaimniecība ir Savienības un dalībvalstu dalītā kompetencē, un vienlaikus ar Līgumu ir izveidota kopēja lauksaimniecības politika ar kopīgiem mērķiem un kopīgu īstenošanu. Priekšlikuma mērķis ir nodrošināt kopīgo mērķu sasniegšanu un jauna lauku attīstības pasākuma kopīgu īstenošanu. </w:t>
      </w:r>
    </w:p>
    <w:p w14:paraId="34353350" w14:textId="77777777" w:rsidR="0082116A" w:rsidRPr="000254DF" w:rsidRDefault="00F26D0D" w:rsidP="0082116A">
      <w:pPr>
        <w:pStyle w:val="ManualHeading2"/>
        <w:rPr>
          <w:rFonts w:eastAsia="Arial Unicode MS"/>
          <w:noProof/>
          <w:u w:color="000000"/>
          <w:bdr w:val="nil"/>
        </w:rPr>
      </w:pPr>
      <w:r w:rsidRPr="000254DF">
        <w:rPr>
          <w:noProof/>
          <w:sz w:val="23"/>
          <w:szCs w:val="23"/>
        </w:rPr>
        <w:t xml:space="preserve"> </w:t>
      </w:r>
      <w:r w:rsidRPr="000254DF">
        <w:rPr>
          <w:noProof/>
          <w:u w:color="000000"/>
          <w:bdr w:val="nil"/>
        </w:rPr>
        <w:t>•</w:t>
      </w:r>
      <w:r w:rsidRPr="000254DF">
        <w:rPr>
          <w:noProof/>
        </w:rPr>
        <w:tab/>
      </w:r>
      <w:r w:rsidRPr="000254DF">
        <w:rPr>
          <w:noProof/>
          <w:u w:color="000000"/>
          <w:bdr w:val="nil"/>
        </w:rPr>
        <w:t>Proporcionalitāte</w:t>
      </w:r>
    </w:p>
    <w:p w14:paraId="77FE4446" w14:textId="598A062E" w:rsidR="0082116A" w:rsidRPr="000254DF" w:rsidRDefault="003F3996" w:rsidP="0082116A">
      <w:pPr>
        <w:pBdr>
          <w:top w:val="nil"/>
          <w:left w:val="nil"/>
          <w:bottom w:val="nil"/>
          <w:right w:val="nil"/>
          <w:between w:val="nil"/>
          <w:bar w:val="nil"/>
        </w:pBdr>
        <w:spacing w:before="0" w:after="240"/>
        <w:rPr>
          <w:rFonts w:eastAsia="Arial Unicode MS"/>
          <w:noProof/>
        </w:rPr>
      </w:pPr>
      <w:r w:rsidRPr="000254DF">
        <w:rPr>
          <w:noProof/>
        </w:rPr>
        <w:t>Priekšlikums ietver vienīgi tādus ierobežotus un mērķorientētus grozījumus, kas vajadzīgi, lai sasniegtu mērķi nodrošināt ārkārtas un pagaidu atspaidu lauksaimniekiem un MVU, kuri nodarbojas ar lauksaimniecības produktu pārstrādi, tirdzniecību vai izstrādi un kurus sevišķi skārusi ietekme, ko rada Krievijas iebrukums Ukrainā.</w:t>
      </w:r>
    </w:p>
    <w:p w14:paraId="708E24D1" w14:textId="77777777" w:rsidR="0082116A" w:rsidRPr="000254DF" w:rsidRDefault="0082116A" w:rsidP="0082116A">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Juridiskā instrumenta izvēle</w:t>
      </w:r>
    </w:p>
    <w:p w14:paraId="18275BA4" w14:textId="77777777" w:rsidR="0082116A" w:rsidRPr="000254DF" w:rsidRDefault="0002279F" w:rsidP="0082116A">
      <w:pPr>
        <w:pBdr>
          <w:top w:val="nil"/>
          <w:left w:val="nil"/>
          <w:bottom w:val="nil"/>
          <w:right w:val="nil"/>
          <w:between w:val="nil"/>
          <w:bar w:val="nil"/>
        </w:pBdr>
        <w:spacing w:before="0" w:after="240"/>
        <w:rPr>
          <w:noProof/>
        </w:rPr>
      </w:pPr>
      <w:r w:rsidRPr="000254DF">
        <w:rPr>
          <w:noProof/>
        </w:rPr>
        <w:t>Šajos bezprecedenta apstākļos vajadzīgo papildu pasākumu ieviešanai piemērotākais instruments ir regula.</w:t>
      </w:r>
    </w:p>
    <w:p w14:paraId="38F363D7" w14:textId="77777777" w:rsidR="0082116A" w:rsidRPr="000254DF" w:rsidRDefault="0082116A" w:rsidP="0082116A">
      <w:pPr>
        <w:pStyle w:val="ManualHeading1"/>
        <w:rPr>
          <w:noProof/>
        </w:rPr>
      </w:pPr>
      <w:r w:rsidRPr="000254DF">
        <w:rPr>
          <w:noProof/>
        </w:rPr>
        <w:t>3.</w:t>
      </w:r>
      <w:r w:rsidRPr="000254DF">
        <w:rPr>
          <w:noProof/>
        </w:rPr>
        <w:tab/>
      </w:r>
      <w:r w:rsidRPr="000254DF">
        <w:rPr>
          <w:i/>
          <w:iCs/>
          <w:noProof/>
        </w:rPr>
        <w:t>EX POST</w:t>
      </w:r>
      <w:r w:rsidRPr="000254DF">
        <w:rPr>
          <w:noProof/>
        </w:rPr>
        <w:t xml:space="preserve"> IZVĒRTĒJUMU, APSPRIEŠANĀS AR IEINTERESĒTAJĀM PERSONĀM UN IETEKMES NOVĒRTĒJUMU REZULTĀTI</w:t>
      </w:r>
    </w:p>
    <w:p w14:paraId="6C4A10F6"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i/>
          <w:iCs/>
          <w:noProof/>
          <w:u w:color="000000"/>
          <w:bdr w:val="nil"/>
        </w:rPr>
        <w:t>Ex post</w:t>
      </w:r>
      <w:r w:rsidRPr="000254DF">
        <w:rPr>
          <w:noProof/>
          <w:u w:color="000000"/>
          <w:bdr w:val="nil"/>
        </w:rPr>
        <w:t xml:space="preserve"> izvērtējumi / spēkā esošo tiesību aktu atbilstības pārbaude</w:t>
      </w:r>
    </w:p>
    <w:p w14:paraId="70798FBF" w14:textId="77777777" w:rsidR="000223AE" w:rsidRPr="000254DF" w:rsidRDefault="000223AE" w:rsidP="000223AE">
      <w:pPr>
        <w:pBdr>
          <w:top w:val="nil"/>
          <w:left w:val="nil"/>
          <w:bottom w:val="nil"/>
          <w:right w:val="nil"/>
          <w:between w:val="nil"/>
          <w:bar w:val="nil"/>
        </w:pBdr>
        <w:spacing w:before="0" w:after="240"/>
        <w:rPr>
          <w:noProof/>
        </w:rPr>
      </w:pPr>
      <w:r w:rsidRPr="000254DF">
        <w:rPr>
          <w:noProof/>
        </w:rPr>
        <w:t>Neattiecas</w:t>
      </w:r>
    </w:p>
    <w:p w14:paraId="028C7F43"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Apspriešanās ar ieinteresētajām personām</w:t>
      </w:r>
    </w:p>
    <w:p w14:paraId="62FADDF7" w14:textId="77777777" w:rsidR="000223AE" w:rsidRPr="000254DF" w:rsidRDefault="000223AE" w:rsidP="000223AE">
      <w:pPr>
        <w:pBdr>
          <w:top w:val="nil"/>
          <w:left w:val="nil"/>
          <w:bottom w:val="nil"/>
          <w:right w:val="nil"/>
          <w:between w:val="nil"/>
          <w:bar w:val="nil"/>
        </w:pBdr>
        <w:spacing w:before="0" w:after="240"/>
        <w:rPr>
          <w:noProof/>
        </w:rPr>
      </w:pPr>
      <w:r w:rsidRPr="000254DF">
        <w:rPr>
          <w:noProof/>
        </w:rPr>
        <w:t xml:space="preserve">Apspriešanās ar ārējām ieinteresētajām personām nenotika. Tomēr priekšlikumā ir ņemtas vērā pēdējo nedēļu laikā notikušās apspriešanās ar dalībvalstīm un Eiropas Parlamenta deputātiem. </w:t>
      </w:r>
    </w:p>
    <w:p w14:paraId="4D224884"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Ekspertu atzinumu pieprasīšana un izmantošana</w:t>
      </w:r>
    </w:p>
    <w:p w14:paraId="3744BD21" w14:textId="77777777" w:rsidR="000223AE" w:rsidRPr="000254DF" w:rsidRDefault="000223AE" w:rsidP="000223AE">
      <w:pPr>
        <w:rPr>
          <w:noProof/>
        </w:rPr>
      </w:pPr>
      <w:r w:rsidRPr="000254DF">
        <w:rPr>
          <w:noProof/>
        </w:rPr>
        <w:t>Neattiecas</w:t>
      </w:r>
    </w:p>
    <w:p w14:paraId="63187846"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Ietekmes novērtējums</w:t>
      </w:r>
    </w:p>
    <w:p w14:paraId="3CCAF4BD" w14:textId="77777777" w:rsidR="000223AE" w:rsidRPr="000254DF" w:rsidRDefault="000223AE" w:rsidP="000223AE">
      <w:pPr>
        <w:pBdr>
          <w:top w:val="nil"/>
          <w:left w:val="nil"/>
          <w:bottom w:val="nil"/>
          <w:right w:val="nil"/>
          <w:between w:val="nil"/>
          <w:bar w:val="nil"/>
        </w:pBdr>
        <w:spacing w:before="0" w:after="240"/>
        <w:rPr>
          <w:rFonts w:eastAsia="Arial Unicode MS"/>
          <w:noProof/>
        </w:rPr>
      </w:pPr>
      <w:r w:rsidRPr="000254DF">
        <w:rPr>
          <w:noProof/>
        </w:rPr>
        <w:t>Lai sagatavotu priekšlikumu par Regulu (ES) Nr. 1305/2013, tika veikts ietekmes novērtējums. Atsevišķs ietekmes novērtējums par šiem ierosinātajiem ierobežotajiem grozījumiem nav vajadzīgs.</w:t>
      </w:r>
    </w:p>
    <w:p w14:paraId="511BD24C"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Normatīvā atbilstība un vienkāršošana</w:t>
      </w:r>
    </w:p>
    <w:p w14:paraId="335F8D12" w14:textId="77777777" w:rsidR="000223AE" w:rsidRPr="000254DF" w:rsidRDefault="000223AE" w:rsidP="000223AE">
      <w:pPr>
        <w:rPr>
          <w:noProof/>
        </w:rPr>
      </w:pPr>
      <w:r w:rsidRPr="000254DF">
        <w:rPr>
          <w:noProof/>
        </w:rPr>
        <w:t>Neattiecas</w:t>
      </w:r>
    </w:p>
    <w:p w14:paraId="73B3AEBF"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Pamattiesības</w:t>
      </w:r>
    </w:p>
    <w:p w14:paraId="4F43D2F7" w14:textId="77777777" w:rsidR="000223AE" w:rsidRPr="000254DF" w:rsidRDefault="000223AE" w:rsidP="000223AE">
      <w:pPr>
        <w:rPr>
          <w:noProof/>
        </w:rPr>
      </w:pPr>
      <w:r w:rsidRPr="000254DF">
        <w:rPr>
          <w:noProof/>
        </w:rPr>
        <w:t>Neattiecas</w:t>
      </w:r>
    </w:p>
    <w:p w14:paraId="7801380D" w14:textId="77777777" w:rsidR="0082116A" w:rsidRPr="000254DF" w:rsidRDefault="0082116A" w:rsidP="0082116A">
      <w:pPr>
        <w:pStyle w:val="ManualHeading1"/>
        <w:rPr>
          <w:noProof/>
        </w:rPr>
      </w:pPr>
      <w:r w:rsidRPr="000254DF">
        <w:rPr>
          <w:noProof/>
        </w:rPr>
        <w:t>4.</w:t>
      </w:r>
      <w:r w:rsidRPr="000254DF">
        <w:rPr>
          <w:noProof/>
        </w:rPr>
        <w:tab/>
        <w:t>IETEKME UZ BUDŽETU</w:t>
      </w:r>
    </w:p>
    <w:p w14:paraId="61D04142" w14:textId="13F791C8" w:rsidR="0082116A" w:rsidRPr="000254DF" w:rsidRDefault="0082116A" w:rsidP="0082116A">
      <w:pPr>
        <w:rPr>
          <w:noProof/>
        </w:rPr>
      </w:pPr>
      <w:r w:rsidRPr="000254DF">
        <w:rPr>
          <w:noProof/>
        </w:rPr>
        <w:t>Ierosinātais grozījums nekādi nemaina daudzgadu finanšu shēmas gada maksimālos apjomus, kas saistībām un maksājumiem noteikti Regulas (ES) 2020/2093 I pielikumā. Eiropas Lauksaimniecības fonda lauku attīstībai (ELFLA) ietvaros noteiktais saistību apropriāciju kopējais sadalījums pa gadiem paliek nemainīgs. Maksājumi saņēmējiem tiks veikti līdz 2023. gada 15. oktobrim un tātad tiks finansēti no 2023. gada budžeta. Maksājumu apropriācijas, kas vajadzīgas šā pasākuma finansēšanai, jāsagatavo atbilstoši ELFLA apropriācijām, kas iekļautas gaidāmajā Komisijas 2023. gada budžeta projektā, un tās izlīdzinās atbilstošs maksājumu vajadzību samazinājums nākamajos gados.</w:t>
      </w:r>
    </w:p>
    <w:p w14:paraId="0D64689B" w14:textId="77777777" w:rsidR="000223AE" w:rsidRPr="000254DF" w:rsidRDefault="000223AE" w:rsidP="000223AE">
      <w:pPr>
        <w:pStyle w:val="ManualHeading1"/>
        <w:rPr>
          <w:noProof/>
        </w:rPr>
      </w:pPr>
      <w:r w:rsidRPr="000254DF">
        <w:rPr>
          <w:noProof/>
        </w:rPr>
        <w:t>5.</w:t>
      </w:r>
      <w:r w:rsidRPr="000254DF">
        <w:rPr>
          <w:noProof/>
        </w:rPr>
        <w:tab/>
        <w:t>CITI ELEMENTI</w:t>
      </w:r>
    </w:p>
    <w:p w14:paraId="600DBDCD"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Īstenošanas plāni un uzraudzīšanas, izvērtēšanas un ziņošanas kārtība</w:t>
      </w:r>
    </w:p>
    <w:p w14:paraId="0A3743DB" w14:textId="77777777" w:rsidR="000223AE" w:rsidRPr="000254DF" w:rsidRDefault="000223AE" w:rsidP="000223AE">
      <w:pPr>
        <w:pBdr>
          <w:top w:val="nil"/>
          <w:left w:val="nil"/>
          <w:bottom w:val="nil"/>
          <w:right w:val="nil"/>
          <w:between w:val="nil"/>
          <w:bar w:val="nil"/>
        </w:pBdr>
        <w:spacing w:before="0" w:after="240"/>
        <w:rPr>
          <w:rFonts w:eastAsia="Arial Unicode MS"/>
          <w:noProof/>
        </w:rPr>
      </w:pPr>
      <w:r w:rsidRPr="000254DF">
        <w:rPr>
          <w:noProof/>
        </w:rPr>
        <w:t>Pasākumu īstenošana tiks uzraudzīta, un par to tiks ziņots ar Regulām (ES) Nr. 1303/2013 un Nr. 1305/2013 izveidoto vispārējo ziņošanas mehānismu satvarā.</w:t>
      </w:r>
    </w:p>
    <w:p w14:paraId="0532EEFF"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Skaidrojošie dokumenti (direktīvām)</w:t>
      </w:r>
    </w:p>
    <w:p w14:paraId="0E07563A" w14:textId="77777777" w:rsidR="000223AE" w:rsidRPr="000254DF" w:rsidRDefault="000223AE" w:rsidP="000223AE">
      <w:pPr>
        <w:pBdr>
          <w:top w:val="nil"/>
          <w:left w:val="nil"/>
          <w:bottom w:val="nil"/>
          <w:right w:val="nil"/>
          <w:between w:val="nil"/>
          <w:bar w:val="nil"/>
        </w:pBdr>
        <w:spacing w:before="0" w:after="240"/>
        <w:rPr>
          <w:noProof/>
        </w:rPr>
      </w:pPr>
      <w:r w:rsidRPr="000254DF">
        <w:rPr>
          <w:noProof/>
        </w:rPr>
        <w:t>Neattiecas</w:t>
      </w:r>
    </w:p>
    <w:p w14:paraId="4A839B47" w14:textId="77777777" w:rsidR="000223AE" w:rsidRPr="000254DF" w:rsidRDefault="000223AE" w:rsidP="000223AE">
      <w:pPr>
        <w:pStyle w:val="ManualHeading2"/>
        <w:rPr>
          <w:rFonts w:eastAsia="Arial Unicode MS"/>
          <w:noProof/>
          <w:u w:color="000000"/>
          <w:bdr w:val="nil"/>
        </w:rPr>
      </w:pPr>
      <w:r w:rsidRPr="000254DF">
        <w:rPr>
          <w:noProof/>
          <w:u w:color="000000"/>
          <w:bdr w:val="nil"/>
        </w:rPr>
        <w:t>•</w:t>
      </w:r>
      <w:r w:rsidRPr="000254DF">
        <w:rPr>
          <w:noProof/>
        </w:rPr>
        <w:tab/>
      </w:r>
      <w:r w:rsidRPr="000254DF">
        <w:rPr>
          <w:noProof/>
          <w:u w:color="000000"/>
          <w:bdr w:val="nil"/>
        </w:rPr>
        <w:t>Detalizēts konkrētu priekšlikuma noteikumu skaidrojums</w:t>
      </w:r>
    </w:p>
    <w:p w14:paraId="35E8D314" w14:textId="77777777" w:rsidR="00BB7C46" w:rsidRPr="000254DF" w:rsidRDefault="00CC52E1" w:rsidP="00363C6C">
      <w:pPr>
        <w:rPr>
          <w:noProof/>
        </w:rPr>
      </w:pPr>
      <w:r w:rsidRPr="000254DF">
        <w:rPr>
          <w:noProof/>
        </w:rPr>
        <w:t xml:space="preserve">Ierosināts grozīt Regulu (ES) Nr. 1305/2013. </w:t>
      </w:r>
    </w:p>
    <w:p w14:paraId="3FF66967" w14:textId="77777777" w:rsidR="00BB7C46" w:rsidRPr="000254DF" w:rsidRDefault="00BB7C46" w:rsidP="00066E3B">
      <w:pPr>
        <w:spacing w:before="0" w:after="200"/>
        <w:jc w:val="left"/>
        <w:rPr>
          <w:noProof/>
        </w:rPr>
        <w:sectPr w:rsidR="00BB7C46" w:rsidRPr="000254DF" w:rsidSect="00400A03">
          <w:footerReference w:type="default" r:id="rId13"/>
          <w:footerReference w:type="first" r:id="rId14"/>
          <w:pgSz w:w="11907" w:h="16839"/>
          <w:pgMar w:top="1134" w:right="1417" w:bottom="1134" w:left="1417" w:header="709" w:footer="709" w:gutter="0"/>
          <w:cols w:space="720"/>
          <w:docGrid w:linePitch="360"/>
        </w:sectPr>
      </w:pPr>
    </w:p>
    <w:p w14:paraId="2298C1B3" w14:textId="6B26A9A7" w:rsidR="003F751D" w:rsidRDefault="003F751D" w:rsidP="003F751D">
      <w:pPr>
        <w:pStyle w:val="Rfrenceinterinstitutionnelle"/>
        <w:rPr>
          <w:noProof/>
        </w:rPr>
      </w:pPr>
      <w:r w:rsidRPr="003F751D">
        <w:t>2022/0166 (COD)</w:t>
      </w:r>
    </w:p>
    <w:p w14:paraId="6B3664AA" w14:textId="6A10D3C3" w:rsidR="00E3385C" w:rsidRPr="000254DF" w:rsidRDefault="00F075D8" w:rsidP="00F075D8">
      <w:pPr>
        <w:pStyle w:val="Statut"/>
        <w:rPr>
          <w:noProof/>
        </w:rPr>
      </w:pPr>
      <w:r w:rsidRPr="00F075D8">
        <w:rPr>
          <w:noProof/>
        </w:rPr>
        <w:t>Priekšlikums</w:t>
      </w:r>
    </w:p>
    <w:p w14:paraId="20C0BC34" w14:textId="5CAAFCB7" w:rsidR="0017261E" w:rsidRPr="000254DF" w:rsidRDefault="00F075D8" w:rsidP="00F075D8">
      <w:pPr>
        <w:pStyle w:val="Typedudocument"/>
        <w:rPr>
          <w:noProof/>
        </w:rPr>
      </w:pPr>
      <w:r w:rsidRPr="00F075D8">
        <w:rPr>
          <w:noProof/>
        </w:rPr>
        <w:t>EIROPAS PARLAMENTA UN PADOMES REGULA,</w:t>
      </w:r>
    </w:p>
    <w:p w14:paraId="1D00E6D7" w14:textId="79E271FC" w:rsidR="00E3385C" w:rsidRPr="000254DF" w:rsidRDefault="00F075D8" w:rsidP="00F075D8">
      <w:pPr>
        <w:pStyle w:val="Titreobjet"/>
        <w:rPr>
          <w:noProof/>
        </w:rPr>
      </w:pPr>
      <w:r w:rsidRPr="00F075D8">
        <w:rPr>
          <w:noProof/>
        </w:rPr>
        <w:t>ar ko Regulu (ES) Nr. 1305/2013 groza attiecībā uz īpašu pasākumu, ar kuru, reaģējot uz ietekmi, ko rada Krievijas iebrukums Ukrainā, nodrošina ārkārtas pagaidu atbalstu no Eiropas Lauksaimniecības fonda lauku attīstībai (ELFLA)</w:t>
      </w:r>
    </w:p>
    <w:p w14:paraId="46A498AD" w14:textId="77777777" w:rsidR="00E3385C" w:rsidRPr="000254DF" w:rsidRDefault="00E3385C" w:rsidP="00E3385C">
      <w:pPr>
        <w:pStyle w:val="Institutionquiagit"/>
        <w:rPr>
          <w:noProof/>
        </w:rPr>
      </w:pPr>
      <w:r w:rsidRPr="000254DF">
        <w:rPr>
          <w:noProof/>
        </w:rPr>
        <w:t>EIROPAS PARLAMENTS UN EIROPAS SAVIENĪBAS PADOME,</w:t>
      </w:r>
    </w:p>
    <w:p w14:paraId="33820522" w14:textId="77777777" w:rsidR="00E3385C" w:rsidRPr="000254DF" w:rsidRDefault="00E3385C" w:rsidP="00E3385C">
      <w:pPr>
        <w:rPr>
          <w:noProof/>
        </w:rPr>
      </w:pPr>
      <w:r w:rsidRPr="000254DF">
        <w:rPr>
          <w:noProof/>
        </w:rPr>
        <w:t xml:space="preserve">ņemot vērā Līgumu par Eiropas Savienības darbību un jo īpaši tā 42. pantu un 43. panta 2. punktu, </w:t>
      </w:r>
    </w:p>
    <w:p w14:paraId="1E0BAC7D" w14:textId="77777777" w:rsidR="00E3385C" w:rsidRPr="000254DF" w:rsidRDefault="00E3385C" w:rsidP="00E3385C">
      <w:pPr>
        <w:rPr>
          <w:noProof/>
        </w:rPr>
      </w:pPr>
      <w:r w:rsidRPr="000254DF">
        <w:rPr>
          <w:noProof/>
        </w:rPr>
        <w:t>ņemot vērā Eiropas Komisijas priekšlikumu,</w:t>
      </w:r>
    </w:p>
    <w:p w14:paraId="40E507A9" w14:textId="77777777" w:rsidR="00E3385C" w:rsidRPr="000254DF" w:rsidRDefault="00E3385C" w:rsidP="00E3385C">
      <w:pPr>
        <w:rPr>
          <w:noProof/>
        </w:rPr>
      </w:pPr>
      <w:r w:rsidRPr="000254DF">
        <w:rPr>
          <w:noProof/>
        </w:rPr>
        <w:t>pēc leģislatīvā akta projekta nosūtīšanas valstu parlamentiem,</w:t>
      </w:r>
    </w:p>
    <w:p w14:paraId="2D63A67A" w14:textId="77777777" w:rsidR="00E3385C" w:rsidRPr="000254DF" w:rsidRDefault="00E3385C" w:rsidP="00E3385C">
      <w:pPr>
        <w:rPr>
          <w:noProof/>
        </w:rPr>
      </w:pPr>
      <w:r w:rsidRPr="000254DF">
        <w:rPr>
          <w:noProof/>
        </w:rPr>
        <w:t>ņemot vērā Eiropas Ekonomikas un sociālo lietu komitejas atzinumu</w:t>
      </w:r>
      <w:r w:rsidRPr="000254DF">
        <w:rPr>
          <w:rStyle w:val="FootnoteReference"/>
          <w:noProof/>
        </w:rPr>
        <w:footnoteReference w:id="2"/>
      </w:r>
      <w:r w:rsidRPr="000254DF">
        <w:rPr>
          <w:noProof/>
        </w:rPr>
        <w:t xml:space="preserve">, </w:t>
      </w:r>
    </w:p>
    <w:p w14:paraId="62F6661E" w14:textId="77777777" w:rsidR="00E3385C" w:rsidRPr="000254DF" w:rsidRDefault="00E3385C" w:rsidP="00E3385C">
      <w:pPr>
        <w:rPr>
          <w:noProof/>
        </w:rPr>
      </w:pPr>
      <w:r w:rsidRPr="000254DF">
        <w:rPr>
          <w:noProof/>
        </w:rPr>
        <w:t>ņemot vērā Reģionu komitejas atzinumu</w:t>
      </w:r>
      <w:r w:rsidRPr="000254DF">
        <w:rPr>
          <w:rStyle w:val="FootnoteReference"/>
          <w:noProof/>
        </w:rPr>
        <w:footnoteReference w:id="3"/>
      </w:r>
      <w:r w:rsidRPr="000254DF">
        <w:rPr>
          <w:noProof/>
        </w:rPr>
        <w:t xml:space="preserve">, </w:t>
      </w:r>
    </w:p>
    <w:p w14:paraId="21B877E6" w14:textId="77777777" w:rsidR="00E3385C" w:rsidRPr="000254DF" w:rsidRDefault="00E3385C" w:rsidP="00E3385C">
      <w:pPr>
        <w:rPr>
          <w:noProof/>
        </w:rPr>
      </w:pPr>
      <w:r w:rsidRPr="000254DF">
        <w:rPr>
          <w:noProof/>
        </w:rPr>
        <w:t>saskaņā ar parasto likumdošanas procedūru,</w:t>
      </w:r>
    </w:p>
    <w:p w14:paraId="3CDC74B8" w14:textId="77777777" w:rsidR="00E3385C" w:rsidRPr="000254DF" w:rsidRDefault="00E3385C" w:rsidP="00E3385C">
      <w:pPr>
        <w:rPr>
          <w:noProof/>
        </w:rPr>
      </w:pPr>
      <w:r w:rsidRPr="000254DF">
        <w:rPr>
          <w:noProof/>
        </w:rPr>
        <w:t>tā kā:</w:t>
      </w:r>
    </w:p>
    <w:p w14:paraId="7076793A" w14:textId="2065913C" w:rsidR="00E3385C" w:rsidRPr="000254DF" w:rsidRDefault="006039A2" w:rsidP="006039A2">
      <w:pPr>
        <w:pStyle w:val="ManualConsidrant"/>
        <w:rPr>
          <w:noProof/>
        </w:rPr>
      </w:pPr>
      <w:r w:rsidRPr="006039A2">
        <w:t>(1)</w:t>
      </w:r>
      <w:r w:rsidRPr="006039A2">
        <w:tab/>
      </w:r>
      <w:r w:rsidR="003F3996" w:rsidRPr="000254DF">
        <w:rPr>
          <w:noProof/>
        </w:rPr>
        <w:t>Krievijas iebrukums Ukrainā ir radījis sekas, kuras lauksaimniekus un lauku uzņēmumus skārušas līdz šim nepieredzētā veidā. Ielaides cenu, it īpaši enerģijas, mēslošanas līdzekļu un dzīvnieku barības cenu, pieaugums ir radījis ekonomiskus traucējumus lauksaimniecības nozarē un lauku kopienās un sagādājis likviditātes problēmas lauksaimniekiem un maziem lauku uzņēmumiem, kas nodarbojas ar lauksaimniecības produktu pārstrādi, tirdzniecību vai izstrādi. Tādējādi ir izveidojusies ārkārtas situācija, kas jārisina.</w:t>
      </w:r>
    </w:p>
    <w:p w14:paraId="0C15A3BB" w14:textId="342C3E7A" w:rsidR="00B92CA8" w:rsidRPr="000254DF" w:rsidRDefault="006039A2" w:rsidP="006039A2">
      <w:pPr>
        <w:pStyle w:val="ManualConsidrant"/>
        <w:rPr>
          <w:noProof/>
        </w:rPr>
      </w:pPr>
      <w:r w:rsidRPr="006039A2">
        <w:t>(2)</w:t>
      </w:r>
      <w:r w:rsidRPr="006039A2">
        <w:tab/>
      </w:r>
      <w:r w:rsidR="003F3996" w:rsidRPr="000254DF">
        <w:rPr>
          <w:noProof/>
        </w:rPr>
        <w:t>Lai mazinātu ietekmi, ko rada Krievijas iebrukums Ukrainā, ar jaunu ārkārtas un pagaidu pasākumu būtu jānovērš likviditātes problēmas, kas apdraud lauksaimniecības darbību nepārtrauktību un to mazo uzņēmumu darbības turpināšanos, kuri nodarbojas ar lauksaimniecības produktu pārstrā</w:t>
      </w:r>
      <w:r w:rsidR="00F075D8">
        <w:rPr>
          <w:noProof/>
        </w:rPr>
        <w:t>di, tirdzniecību vai izstrādi.</w:t>
      </w:r>
    </w:p>
    <w:p w14:paraId="3536E193" w14:textId="61E89F18" w:rsidR="00893674" w:rsidRPr="000254DF" w:rsidRDefault="006039A2" w:rsidP="006039A2">
      <w:pPr>
        <w:pStyle w:val="ManualConsidrant"/>
        <w:rPr>
          <w:noProof/>
        </w:rPr>
      </w:pPr>
      <w:r w:rsidRPr="006039A2">
        <w:t>(3)</w:t>
      </w:r>
      <w:r w:rsidRPr="006039A2">
        <w:tab/>
      </w:r>
      <w:r w:rsidR="003F3996" w:rsidRPr="000254DF">
        <w:rPr>
          <w:noProof/>
        </w:rPr>
        <w:t>Lai pieejamos līdzekļus maksimāli novirzītu saņēmējiem, kuri no sekām, ko rada Krievijas iebrukums Ukrainā, cieš visvairāk, atbalsts, kura mērķis ir nodrošināt lauksaimniecības uzņēmumu konkurētspēju un lauku saimniecību dzīvotspēju, būtu jāpiešķir, pamatojoties uz objektīviem un nediskriminējošiem kritērijiem, kuru mērķis ir atbalstu novirzīt tiem, kas ietekmēti vissmagāk. Lauksaimnieku gadījumā šādi kritēriji var ietvert ražošanas nozares, lauksaimniecības vai lauku saimniecību struktūru veidus, bet MVU gadījumā – nozares, darbības veidus, reģionu veidus vai citus īpašus ierobežojumus.</w:t>
      </w:r>
    </w:p>
    <w:p w14:paraId="27D2DC03" w14:textId="4C18790C" w:rsidR="001D552F" w:rsidRPr="000254DF" w:rsidRDefault="006039A2" w:rsidP="006039A2">
      <w:pPr>
        <w:pStyle w:val="ManualConsidrant"/>
        <w:rPr>
          <w:noProof/>
        </w:rPr>
      </w:pPr>
      <w:r w:rsidRPr="006039A2">
        <w:t>(4)</w:t>
      </w:r>
      <w:r w:rsidRPr="006039A2">
        <w:tab/>
      </w:r>
      <w:r w:rsidR="001D552F" w:rsidRPr="000254DF">
        <w:rPr>
          <w:noProof/>
        </w:rPr>
        <w:t xml:space="preserve">Pašreizējā dramatiskā krīze apstiprina vajadzību paātrināt pāreju uz ilgtspēju, lai labāk sagatavotos turpmākām krīzēm, tāpēc šim pasākumam domātais atbalsts nedrīkstētu samazināt ELFLA ieguldījuma kopējo daļu, kas rezervēta Regulas (ES) Nr. 1305/2013 59. panta 6. punktā minētajiem pasākumiem. </w:t>
      </w:r>
    </w:p>
    <w:p w14:paraId="1578976D" w14:textId="6C31C326" w:rsidR="00B92CA8" w:rsidRPr="000254DF" w:rsidRDefault="006039A2" w:rsidP="006039A2">
      <w:pPr>
        <w:pStyle w:val="ManualConsidrant"/>
        <w:rPr>
          <w:noProof/>
        </w:rPr>
      </w:pPr>
      <w:r w:rsidRPr="006039A2">
        <w:t>(5)</w:t>
      </w:r>
      <w:r w:rsidRPr="006039A2">
        <w:tab/>
      </w:r>
      <w:r w:rsidR="00B92CA8" w:rsidRPr="000254DF">
        <w:rPr>
          <w:noProof/>
        </w:rPr>
        <w:t>Ņemot vērā šā pasākuma steidzamību un pagaidu un izņēmuma raksturu, būtu jānosaka vienreizējs maksājums un pasākuma piemērošanas beigu datums, vienlaikus atgādinot principu, ka Komisija maksājumus veiks saskaņā ar budžeta apropriācijām un atbil</w:t>
      </w:r>
      <w:r w:rsidR="00F075D8">
        <w:rPr>
          <w:noProof/>
        </w:rPr>
        <w:t>stoši pieejamajam finansējumam.</w:t>
      </w:r>
    </w:p>
    <w:p w14:paraId="4E55EDF7" w14:textId="3C03787A" w:rsidR="006D42E3" w:rsidRPr="000254DF" w:rsidRDefault="006039A2" w:rsidP="006039A2">
      <w:pPr>
        <w:pStyle w:val="ManualConsidrant"/>
        <w:rPr>
          <w:noProof/>
        </w:rPr>
      </w:pPr>
      <w:r w:rsidRPr="006039A2">
        <w:t>(6)</w:t>
      </w:r>
      <w:r w:rsidRPr="006039A2">
        <w:tab/>
      </w:r>
      <w:r w:rsidR="006D42E3" w:rsidRPr="000254DF">
        <w:rPr>
          <w:noProof/>
        </w:rPr>
        <w:t>Lai sniegtu lielāku atbalstu vissmagāk skartajiem lauksaimniekiem un MVU, ir lietderīgi ļaut dalībvalstīm vienreizējo maksājumu līmeni pielāgot konkrētām atbalsttiesīgo saņēmēju kategorijām, piemēram, noteikt konkrētus diapazonus vai plašas kategorijas, kas pamatojas uz objektīviem un nediskriminējošiem kritērijiem.</w:t>
      </w:r>
    </w:p>
    <w:p w14:paraId="5196ED81" w14:textId="2DC00EC5" w:rsidR="00B31F98" w:rsidRPr="000254DF" w:rsidRDefault="006039A2" w:rsidP="006039A2">
      <w:pPr>
        <w:pStyle w:val="ManualConsidrant"/>
        <w:rPr>
          <w:noProof/>
        </w:rPr>
      </w:pPr>
      <w:r w:rsidRPr="006039A2">
        <w:t>(7)</w:t>
      </w:r>
      <w:r w:rsidRPr="006039A2">
        <w:tab/>
      </w:r>
      <w:r w:rsidR="00B31F98" w:rsidRPr="000254DF">
        <w:rPr>
          <w:noProof/>
        </w:rPr>
        <w:t>Lai jaunajam pasākumam nodrošinātu pienācīgu finansējumu, neapdraudot citus lauku attīstības programmu mērķus, būtu jānosaka Savienības ieguldījuma maksimālā daļa šajā pasākumā.</w:t>
      </w:r>
    </w:p>
    <w:p w14:paraId="2622405C" w14:textId="63F449CC" w:rsidR="0012559F" w:rsidRPr="000254DF" w:rsidRDefault="006039A2" w:rsidP="006039A2">
      <w:pPr>
        <w:pStyle w:val="ManualConsidrant"/>
        <w:rPr>
          <w:noProof/>
        </w:rPr>
      </w:pPr>
      <w:r w:rsidRPr="006039A2">
        <w:t>(8)</w:t>
      </w:r>
      <w:r w:rsidRPr="006039A2">
        <w:tab/>
      </w:r>
      <w:r w:rsidR="0012559F" w:rsidRPr="000254DF">
        <w:rPr>
          <w:noProof/>
        </w:rPr>
        <w:t>Tādēļ Regula (ES) Nr. 1305/2013 būtu attiecīgi jāgroza.</w:t>
      </w:r>
    </w:p>
    <w:p w14:paraId="0B0BE2BD" w14:textId="5F3DE12C" w:rsidR="00E3385C" w:rsidRPr="000254DF" w:rsidRDefault="006039A2" w:rsidP="006039A2">
      <w:pPr>
        <w:pStyle w:val="ManualConsidrant"/>
        <w:rPr>
          <w:noProof/>
        </w:rPr>
      </w:pPr>
      <w:r w:rsidRPr="006039A2">
        <w:t>(9)</w:t>
      </w:r>
      <w:r w:rsidRPr="006039A2">
        <w:tab/>
      </w:r>
      <w:r w:rsidR="003F3996" w:rsidRPr="000254DF">
        <w:rPr>
          <w:noProof/>
        </w:rPr>
        <w:t>Ņemot vērā Krievijas iebrukumu Ukrainā un vajadzību steidzami novērst tā ietekmi uz Savienības agropārtikas nozari, tiek uzskatīts par nepieciešamu paredzēt izņēmumu attiecībā uz astoņu nedēļu laikposmu, kas minēts 4. pantā Protokolā Nr. 1 par valstu parlamentu lomu Eiropas Savienībā, kas pievienots Līgumam par Eiropas Savienību, Līgumam par Eiropas Savienības darbību un Eiropas Atomenerģijas kopienas dibināšanas līgumam.</w:t>
      </w:r>
    </w:p>
    <w:p w14:paraId="620633EA" w14:textId="02CBCB2B" w:rsidR="00C667FC" w:rsidRPr="000254DF" w:rsidRDefault="006039A2" w:rsidP="006039A2">
      <w:pPr>
        <w:pStyle w:val="ManualConsidrant"/>
        <w:rPr>
          <w:noProof/>
        </w:rPr>
      </w:pPr>
      <w:r w:rsidRPr="006039A2">
        <w:t>(10)</w:t>
      </w:r>
      <w:r w:rsidRPr="006039A2">
        <w:tab/>
      </w:r>
      <w:r w:rsidR="003F3996" w:rsidRPr="000254DF">
        <w:rPr>
          <w:noProof/>
        </w:rPr>
        <w:t xml:space="preserve">Ņemot vērā ar Krievijas iebrukumu Ukrainā saistītās situācijas steidzamību, ir lietderīgi, ka šī regula stājas spēkā dienā, kad to publicē </w:t>
      </w:r>
      <w:r w:rsidR="003F3996" w:rsidRPr="000254DF">
        <w:rPr>
          <w:i/>
          <w:noProof/>
        </w:rPr>
        <w:t>Eiropas Savienības Oficiālajā Vēstnesī</w:t>
      </w:r>
      <w:r w:rsidR="003F3996" w:rsidRPr="000254DF">
        <w:rPr>
          <w:noProof/>
        </w:rPr>
        <w:t>,</w:t>
      </w:r>
    </w:p>
    <w:p w14:paraId="23028E3F" w14:textId="77777777" w:rsidR="00581004" w:rsidRPr="000254DF" w:rsidRDefault="00581004" w:rsidP="005224E1">
      <w:pPr>
        <w:pStyle w:val="Formuledadoption"/>
        <w:rPr>
          <w:noProof/>
        </w:rPr>
      </w:pPr>
      <w:r w:rsidRPr="000254DF">
        <w:rPr>
          <w:noProof/>
        </w:rPr>
        <w:t>IR PIEŅĒMUŠI ŠO REGULU.</w:t>
      </w:r>
    </w:p>
    <w:p w14:paraId="3417D27E" w14:textId="77777777" w:rsidR="00DB21B9" w:rsidRPr="000254DF" w:rsidRDefault="00581004" w:rsidP="0017261E">
      <w:pPr>
        <w:pStyle w:val="Titrearticle"/>
        <w:rPr>
          <w:b/>
          <w:noProof/>
        </w:rPr>
      </w:pPr>
      <w:r w:rsidRPr="000254DF">
        <w:rPr>
          <w:noProof/>
        </w:rPr>
        <w:t xml:space="preserve">1. pants </w:t>
      </w:r>
      <w:r w:rsidRPr="000254DF">
        <w:rPr>
          <w:noProof/>
        </w:rPr>
        <w:br/>
      </w:r>
    </w:p>
    <w:p w14:paraId="10F2E9D1" w14:textId="77777777" w:rsidR="004B792B" w:rsidRPr="000254DF" w:rsidRDefault="004B792B" w:rsidP="004B792B">
      <w:pPr>
        <w:rPr>
          <w:noProof/>
        </w:rPr>
      </w:pPr>
      <w:r w:rsidRPr="000254DF">
        <w:rPr>
          <w:noProof/>
        </w:rPr>
        <w:t>Regulu (ES) Nr. 1305/2013 groza šādi:</w:t>
      </w:r>
    </w:p>
    <w:p w14:paraId="5200B9B0" w14:textId="5C614F03" w:rsidR="00D25B42" w:rsidRPr="000254DF" w:rsidRDefault="004B792B" w:rsidP="004B792B">
      <w:pPr>
        <w:pStyle w:val="ManualNumPar1"/>
        <w:rPr>
          <w:noProof/>
        </w:rPr>
      </w:pPr>
      <w:r w:rsidRPr="000254DF">
        <w:rPr>
          <w:noProof/>
        </w:rPr>
        <w:t>1)</w:t>
      </w:r>
      <w:r w:rsidRPr="000254DF">
        <w:rPr>
          <w:noProof/>
        </w:rPr>
        <w:tab/>
        <w:t>iekļauj šādu pantu:</w:t>
      </w:r>
    </w:p>
    <w:p w14:paraId="00E068B6" w14:textId="35B14388" w:rsidR="008017E3" w:rsidRPr="000254DF" w:rsidRDefault="00362974" w:rsidP="00731EE3">
      <w:pPr>
        <w:pStyle w:val="Titrearticle"/>
        <w:ind w:left="284"/>
        <w:rPr>
          <w:noProof/>
        </w:rPr>
      </w:pPr>
      <w:r w:rsidRPr="000254DF">
        <w:rPr>
          <w:noProof/>
        </w:rPr>
        <w:t xml:space="preserve">“39.c pants </w:t>
      </w:r>
      <w:r w:rsidRPr="000254DF">
        <w:rPr>
          <w:noProof/>
        </w:rPr>
        <w:br/>
        <w:t>Ārkārtas pagaidu atbalsts lauksaimniekiem un MVU, kurus īpaši skārusi ietekme, ko rada Krievijas iebrukums Ukrainā</w:t>
      </w:r>
    </w:p>
    <w:p w14:paraId="3C1DC471" w14:textId="6A8521CE" w:rsidR="008017E3" w:rsidRPr="000254DF" w:rsidRDefault="008017E3" w:rsidP="00731EE3">
      <w:pPr>
        <w:ind w:left="568"/>
        <w:rPr>
          <w:noProof/>
        </w:rPr>
      </w:pPr>
    </w:p>
    <w:p w14:paraId="5D05F0FA" w14:textId="03FC8FAF" w:rsidR="008017E3" w:rsidRPr="000254DF" w:rsidRDefault="003F3996" w:rsidP="007650C9">
      <w:pPr>
        <w:pStyle w:val="ListNumber"/>
        <w:tabs>
          <w:tab w:val="clear" w:pos="360"/>
          <w:tab w:val="num" w:pos="720"/>
        </w:tabs>
        <w:rPr>
          <w:noProof/>
        </w:rPr>
      </w:pPr>
      <w:r w:rsidRPr="000254DF">
        <w:rPr>
          <w:noProof/>
        </w:rPr>
        <w:t>Atbalsts saskaņā ar šo pasākumu nodrošina ārkārtas palīdzību lauksaimniekiem un MVU, kurus īpaši skārusi ietekme, ko rada Krievijas iebrukums Ukrainā, un tā mērķis ir nodrošināt to uzņēmējdarbības nepārtrauktību, ievērojot šajā pantā izklāstītos nosacījumu</w:t>
      </w:r>
      <w:r w:rsidR="00F075D8">
        <w:rPr>
          <w:noProof/>
        </w:rPr>
        <w:t>s.</w:t>
      </w:r>
    </w:p>
    <w:p w14:paraId="47FA8887" w14:textId="77777777" w:rsidR="002F3617" w:rsidRPr="000254DF" w:rsidRDefault="002F3617" w:rsidP="00761F91">
      <w:pPr>
        <w:rPr>
          <w:noProof/>
        </w:rPr>
      </w:pPr>
    </w:p>
    <w:p w14:paraId="7154777C" w14:textId="77777777" w:rsidR="008017E3" w:rsidRPr="000254DF" w:rsidRDefault="008017E3" w:rsidP="007650C9">
      <w:pPr>
        <w:pStyle w:val="ListNumber"/>
        <w:tabs>
          <w:tab w:val="clear" w:pos="360"/>
          <w:tab w:val="num" w:pos="720"/>
        </w:tabs>
        <w:rPr>
          <w:noProof/>
        </w:rPr>
      </w:pPr>
      <w:r w:rsidRPr="000254DF">
        <w:rPr>
          <w:noProof/>
        </w:rPr>
        <w:t>Atbalstu piešķir lauksaimniekiem vai MVU, kas nodarbojas ar LESD I pielikuma aptverto lauksaimniecības produktu vai kokvilnas (izņemot zivsaimniecības produktu) pārstrādi, tirdzniecību vai izstrādi. Ražošanas procesa izlaide var būt arī produkts, kuru minētais pielikums neaptver.</w:t>
      </w:r>
    </w:p>
    <w:p w14:paraId="5078C516" w14:textId="77777777" w:rsidR="00EE7E4D" w:rsidRPr="000254DF" w:rsidRDefault="00EE7E4D" w:rsidP="00B94564">
      <w:pPr>
        <w:rPr>
          <w:noProof/>
        </w:rPr>
      </w:pPr>
    </w:p>
    <w:p w14:paraId="0FD7E311" w14:textId="6CA57A79" w:rsidR="00C94C11" w:rsidRPr="000254DF" w:rsidRDefault="003F3996" w:rsidP="007650C9">
      <w:pPr>
        <w:pStyle w:val="ListNumber"/>
        <w:tabs>
          <w:tab w:val="clear" w:pos="360"/>
          <w:tab w:val="num" w:pos="720"/>
        </w:tabs>
        <w:rPr>
          <w:noProof/>
        </w:rPr>
      </w:pPr>
      <w:r w:rsidRPr="000254DF">
        <w:rPr>
          <w:noProof/>
        </w:rPr>
        <w:t>Dalībvalstis atbalstu mērķtiecīgi novirza vissmagāk skartajiem saņēmējiem, kurus nosaka, pamatojoties uz pieejamiem pierādījumiem, atbilstības nosacījumiem un – kad tas tiek uzskatīts par lietderīgu – objektīviem un nediskriminējošiem atlases kritērijiem. Dalībvalstu sniegtais atbalsts veicina pārtikas nodrošinājumu vai novērš tirgus nelīdzsvarotību, un atbalsta lauksaimniekus vai MVU, kuri veic vienu vai vairākas no turpmāk minētajām darbībām, kas vērstas uz šādu mērķu sasniegšanu:</w:t>
      </w:r>
    </w:p>
    <w:p w14:paraId="682EAC3C" w14:textId="30BB02FE" w:rsidR="00C94C11" w:rsidRPr="000254DF" w:rsidRDefault="00C94C11" w:rsidP="00582598">
      <w:pPr>
        <w:pStyle w:val="ListNumber"/>
        <w:numPr>
          <w:ilvl w:val="0"/>
          <w:numId w:val="18"/>
        </w:numPr>
        <w:rPr>
          <w:noProof/>
        </w:rPr>
      </w:pPr>
      <w:r w:rsidRPr="000254DF">
        <w:rPr>
          <w:noProof/>
        </w:rPr>
        <w:t>aprites ekonomika;</w:t>
      </w:r>
    </w:p>
    <w:p w14:paraId="61926850" w14:textId="3DCA897E" w:rsidR="00C94C11" w:rsidRPr="000254DF" w:rsidRDefault="00C94C11" w:rsidP="00582598">
      <w:pPr>
        <w:pStyle w:val="ListNumber"/>
        <w:numPr>
          <w:ilvl w:val="0"/>
          <w:numId w:val="18"/>
        </w:numPr>
        <w:rPr>
          <w:noProof/>
        </w:rPr>
      </w:pPr>
      <w:r w:rsidRPr="000254DF">
        <w:rPr>
          <w:noProof/>
        </w:rPr>
        <w:t>barības vielu pārvaldība;</w:t>
      </w:r>
    </w:p>
    <w:p w14:paraId="48B8C231" w14:textId="5C6680B2" w:rsidR="00C94C11" w:rsidRPr="000254DF" w:rsidRDefault="00C94C11" w:rsidP="00582598">
      <w:pPr>
        <w:pStyle w:val="ListNumber"/>
        <w:numPr>
          <w:ilvl w:val="0"/>
          <w:numId w:val="18"/>
        </w:numPr>
        <w:rPr>
          <w:noProof/>
        </w:rPr>
      </w:pPr>
      <w:r w:rsidRPr="000254DF">
        <w:rPr>
          <w:noProof/>
        </w:rPr>
        <w:t>resursu efektīva izmantošana;</w:t>
      </w:r>
    </w:p>
    <w:p w14:paraId="442DAC57" w14:textId="415F7AD0" w:rsidR="008017E3" w:rsidRPr="000254DF" w:rsidRDefault="00C94C11" w:rsidP="00582598">
      <w:pPr>
        <w:pStyle w:val="ListNumber"/>
        <w:numPr>
          <w:ilvl w:val="0"/>
          <w:numId w:val="18"/>
        </w:numPr>
        <w:rPr>
          <w:noProof/>
        </w:rPr>
      </w:pPr>
      <w:r w:rsidRPr="000254DF">
        <w:rPr>
          <w:noProof/>
        </w:rPr>
        <w:t>vidi un klimatu saudzējošu ražošanas metožu izmantošana.</w:t>
      </w:r>
    </w:p>
    <w:p w14:paraId="27396D29" w14:textId="77777777" w:rsidR="008017E3" w:rsidRPr="000254DF" w:rsidRDefault="008017E3" w:rsidP="008C10AC">
      <w:pPr>
        <w:rPr>
          <w:noProof/>
        </w:rPr>
      </w:pPr>
    </w:p>
    <w:p w14:paraId="611D726B" w14:textId="23585B49" w:rsidR="008017E3" w:rsidRPr="000254DF" w:rsidRDefault="003F3996" w:rsidP="00EE7E4D">
      <w:pPr>
        <w:pStyle w:val="ListNumber"/>
        <w:rPr>
          <w:noProof/>
        </w:rPr>
      </w:pPr>
      <w:r w:rsidRPr="000254DF">
        <w:rPr>
          <w:noProof/>
        </w:rPr>
        <w:t>Atbalstu sniedz kā fiksētas summas maksājumu, kas jāsamaksā līdz 2023. gada 15. oktobrim, pamatojoties uz atbalsta pieteikumiem, kurus kompetentā iestāde apstiprinājusi līdz 2023. gada 31. martam. Pēc tam Komisija to atmaksā saskaņā ar budžeta apropriācijām un atbilstoši pieejamajam finansējumam. Maksājumu līmeni drīkst diferencēt pa saņēmēju kategorijām saskaņā ar objektīviem un nediskriminējošiem kritērijiem.</w:t>
      </w:r>
    </w:p>
    <w:p w14:paraId="41BB5960" w14:textId="77777777" w:rsidR="008017E3" w:rsidRPr="000254DF" w:rsidRDefault="008017E3" w:rsidP="00967350">
      <w:pPr>
        <w:rPr>
          <w:noProof/>
        </w:rPr>
      </w:pPr>
    </w:p>
    <w:p w14:paraId="4B607DEF" w14:textId="5852923C" w:rsidR="008017E3" w:rsidRPr="000254DF" w:rsidRDefault="003F3996" w:rsidP="00EE7E4D">
      <w:pPr>
        <w:pStyle w:val="ListNumber"/>
        <w:rPr>
          <w:noProof/>
        </w:rPr>
      </w:pPr>
      <w:r w:rsidRPr="000254DF">
        <w:rPr>
          <w:noProof/>
        </w:rPr>
        <w:t>Atbalsta maksimālā summa nepārsniedz 15 000 EUR vienam lauksaimniekam un 100 000 EUR vienam MVU.</w:t>
      </w:r>
    </w:p>
    <w:p w14:paraId="4FCC0D4B" w14:textId="77777777" w:rsidR="008017E3" w:rsidRPr="000254DF" w:rsidRDefault="008017E3" w:rsidP="00731EE3">
      <w:pPr>
        <w:pStyle w:val="ListParagraph"/>
        <w:ind w:left="568"/>
        <w:rPr>
          <w:noProof/>
        </w:rPr>
      </w:pPr>
    </w:p>
    <w:p w14:paraId="480E8647" w14:textId="0A6DAD65" w:rsidR="003F3996" w:rsidRPr="000254DF" w:rsidRDefault="003F3996" w:rsidP="00BF1471">
      <w:pPr>
        <w:pStyle w:val="ListNumber"/>
        <w:rPr>
          <w:noProof/>
        </w:rPr>
      </w:pPr>
      <w:r w:rsidRPr="000254DF">
        <w:rPr>
          <w:noProof/>
        </w:rPr>
        <w:t>Kad dalībvalstis piešķir atbalstu saskaņā ar šo pantu, tās ņem vērā atbalstu, kas saskaņā ar citiem valsts vai Savienības atbalsta instrumentiem vai privātām shēmām piešķirts, lai reaģētu uz ietekmi, ko rada Krievijas iebrukums Ukrainā.”;</w:t>
      </w:r>
    </w:p>
    <w:p w14:paraId="080956A6" w14:textId="77777777" w:rsidR="008017E3" w:rsidRPr="000254DF" w:rsidRDefault="008017E3" w:rsidP="00731EE3">
      <w:pPr>
        <w:ind w:left="284"/>
        <w:rPr>
          <w:noProof/>
        </w:rPr>
      </w:pPr>
    </w:p>
    <w:p w14:paraId="694DCCAF" w14:textId="77777777" w:rsidR="00AB6F55" w:rsidRPr="000254DF" w:rsidRDefault="00AB6F55" w:rsidP="00270031">
      <w:pPr>
        <w:pStyle w:val="ManualNumPar1"/>
        <w:rPr>
          <w:noProof/>
        </w:rPr>
      </w:pPr>
      <w:r w:rsidRPr="000254DF">
        <w:rPr>
          <w:noProof/>
        </w:rPr>
        <w:t>2)</w:t>
      </w:r>
      <w:r w:rsidRPr="000254DF">
        <w:rPr>
          <w:noProof/>
        </w:rPr>
        <w:tab/>
        <w:t xml:space="preserve">regulas 49. panta 2. punktu aizstāj ar šādu: </w:t>
      </w:r>
    </w:p>
    <w:p w14:paraId="00CDA734" w14:textId="650650F5" w:rsidR="00BF1471" w:rsidRPr="000254DF" w:rsidRDefault="00362974" w:rsidP="00BF1471">
      <w:pPr>
        <w:pStyle w:val="Text1"/>
        <w:rPr>
          <w:noProof/>
        </w:rPr>
      </w:pPr>
      <w:r w:rsidRPr="000254DF">
        <w:rPr>
          <w:noProof/>
        </w:rPr>
        <w:t>“2. Dalībvalsts iestāde, kas atbild par darbību atlasi, nodrošina, ka darbības, izņemot 18. panta 1. punkta b) apakšpunktā, 24. panta 1. punkta d) apakšpunktā, 28.–31. pantā, 33., 34. pantā un 36.–39.c pantā minētās darbības, tiek atlasītas saskaņā ar šā panta 1. punktā minētajiem atlases kritērijiem un saskaņā ar pārredzamu un labi dokumentētu procedūru.”;</w:t>
      </w:r>
    </w:p>
    <w:p w14:paraId="1952CA58" w14:textId="77777777" w:rsidR="00AB6F55" w:rsidRPr="000254DF" w:rsidRDefault="00AB6F55" w:rsidP="00731EE3">
      <w:pPr>
        <w:ind w:left="284"/>
        <w:rPr>
          <w:noProof/>
        </w:rPr>
      </w:pPr>
    </w:p>
    <w:p w14:paraId="182946B9" w14:textId="77777777" w:rsidR="00B31F98" w:rsidRPr="000254DF" w:rsidRDefault="004B792B" w:rsidP="00270031">
      <w:pPr>
        <w:pStyle w:val="ManualNumPar1"/>
        <w:rPr>
          <w:noProof/>
          <w:color w:val="1F497D"/>
        </w:rPr>
      </w:pPr>
      <w:r w:rsidRPr="000254DF">
        <w:rPr>
          <w:noProof/>
        </w:rPr>
        <w:t>3)</w:t>
      </w:r>
      <w:r w:rsidRPr="000254DF">
        <w:rPr>
          <w:noProof/>
        </w:rPr>
        <w:tab/>
        <w:t>regulas 59. pantā iekļauj šādu punktu:</w:t>
      </w:r>
      <w:r w:rsidRPr="000254DF">
        <w:rPr>
          <w:noProof/>
          <w:color w:val="1F497D"/>
        </w:rPr>
        <w:t xml:space="preserve"> </w:t>
      </w:r>
    </w:p>
    <w:p w14:paraId="5D3D7F97" w14:textId="017975D8" w:rsidR="00BF1471" w:rsidRPr="000254DF" w:rsidRDefault="00362974" w:rsidP="00362974">
      <w:pPr>
        <w:pStyle w:val="Text1"/>
        <w:rPr>
          <w:noProof/>
        </w:rPr>
      </w:pPr>
      <w:r w:rsidRPr="000254DF">
        <w:rPr>
          <w:noProof/>
        </w:rPr>
        <w:t>“6.b ELFLA atbalsts, ko sniedz saskaņā ar 39.c pantu, nepārsniedz 5 % no kopējā ELFLA ieguldījuma 2021.–2022. gada lauku attīstības programmā, kas noteikts I pielikuma otrajā daļā.”</w:t>
      </w:r>
    </w:p>
    <w:p w14:paraId="233C4586" w14:textId="77777777" w:rsidR="008017E3" w:rsidRPr="000254DF" w:rsidRDefault="008017E3" w:rsidP="008017E3">
      <w:pPr>
        <w:ind w:left="-76"/>
        <w:rPr>
          <w:noProof/>
        </w:rPr>
      </w:pPr>
    </w:p>
    <w:p w14:paraId="5A43FA46" w14:textId="77777777" w:rsidR="00D25B42" w:rsidRPr="000254DF" w:rsidRDefault="00D25B42" w:rsidP="009261A5">
      <w:pPr>
        <w:pStyle w:val="Titrearticle"/>
        <w:rPr>
          <w:noProof/>
        </w:rPr>
      </w:pPr>
      <w:r w:rsidRPr="000254DF">
        <w:rPr>
          <w:noProof/>
        </w:rPr>
        <w:t>2. pants</w:t>
      </w:r>
    </w:p>
    <w:p w14:paraId="7CE5430A" w14:textId="77777777" w:rsidR="00581004" w:rsidRPr="000254DF" w:rsidRDefault="00581004" w:rsidP="005224E1">
      <w:pPr>
        <w:rPr>
          <w:noProof/>
        </w:rPr>
      </w:pPr>
      <w:r w:rsidRPr="000254DF">
        <w:rPr>
          <w:noProof/>
        </w:rPr>
        <w:t xml:space="preserve">Šī regula stājas spēkā dienā, kad to publicē </w:t>
      </w:r>
      <w:r w:rsidRPr="000254DF">
        <w:rPr>
          <w:i/>
          <w:noProof/>
        </w:rPr>
        <w:t>Eiropas Savienības Oficiālajā Vēstnesī</w:t>
      </w:r>
      <w:r w:rsidRPr="000254DF">
        <w:rPr>
          <w:noProof/>
        </w:rPr>
        <w:t>.</w:t>
      </w:r>
    </w:p>
    <w:p w14:paraId="0249E141" w14:textId="77777777" w:rsidR="00581004" w:rsidRPr="000254DF" w:rsidRDefault="00581004" w:rsidP="00C779F7">
      <w:pPr>
        <w:pStyle w:val="Applicationdirecte"/>
        <w:keepNext/>
        <w:keepLines/>
        <w:rPr>
          <w:noProof/>
        </w:rPr>
      </w:pPr>
      <w:r w:rsidRPr="000254DF">
        <w:rPr>
          <w:noProof/>
        </w:rPr>
        <w:t>Šī regula uzliek saistības kopumā un ir tieši piemērojama visās dalībvalstīs.</w:t>
      </w:r>
    </w:p>
    <w:p w14:paraId="67532F96" w14:textId="4EFB79E3" w:rsidR="00581004" w:rsidRPr="000254DF" w:rsidRDefault="0081316F" w:rsidP="00C779F7">
      <w:pPr>
        <w:pStyle w:val="Fait"/>
        <w:rPr>
          <w:noProof/>
        </w:rPr>
      </w:pPr>
      <w:r w:rsidRPr="0081316F">
        <w:t>Briselē,</w:t>
      </w:r>
    </w:p>
    <w:p w14:paraId="7D557771" w14:textId="77777777" w:rsidR="00581004" w:rsidRPr="000254DF" w:rsidRDefault="00581004" w:rsidP="00C779F7">
      <w:pPr>
        <w:pStyle w:val="Institutionquisigne"/>
        <w:rPr>
          <w:noProof/>
        </w:rPr>
      </w:pPr>
      <w:r w:rsidRPr="000254DF">
        <w:rPr>
          <w:noProof/>
        </w:rPr>
        <w:t>Eiropas Parlamenta vārdā –</w:t>
      </w:r>
      <w:r w:rsidRPr="000254DF">
        <w:rPr>
          <w:noProof/>
        </w:rPr>
        <w:tab/>
        <w:t>Padomes vārdā –</w:t>
      </w:r>
    </w:p>
    <w:p w14:paraId="52D414BF" w14:textId="77777777" w:rsidR="00581004" w:rsidRPr="000254DF" w:rsidRDefault="00581004" w:rsidP="00581004">
      <w:pPr>
        <w:pStyle w:val="Personnequisigne"/>
        <w:rPr>
          <w:noProof/>
        </w:rPr>
      </w:pPr>
      <w:r w:rsidRPr="000254DF">
        <w:rPr>
          <w:noProof/>
        </w:rPr>
        <w:t>priekšsēdētāja</w:t>
      </w:r>
      <w:r w:rsidRPr="000254DF">
        <w:rPr>
          <w:noProof/>
        </w:rPr>
        <w:tab/>
        <w:t>priekšsēdētājs</w:t>
      </w:r>
    </w:p>
    <w:p w14:paraId="2D2CD667" w14:textId="77777777" w:rsidR="00D270D2" w:rsidRPr="000254DF" w:rsidRDefault="00D270D2" w:rsidP="00D270D2">
      <w:pPr>
        <w:rPr>
          <w:noProof/>
        </w:rPr>
        <w:sectPr w:rsidR="00D270D2" w:rsidRPr="000254DF" w:rsidSect="00400A03">
          <w:pgSz w:w="11907" w:h="16839"/>
          <w:pgMar w:top="1134" w:right="1417" w:bottom="1134" w:left="1417" w:header="709" w:footer="709" w:gutter="0"/>
          <w:cols w:space="720"/>
          <w:docGrid w:linePitch="360"/>
        </w:sectPr>
      </w:pPr>
    </w:p>
    <w:p w14:paraId="2C2A004A" w14:textId="77777777" w:rsidR="00277323" w:rsidRPr="000254DF" w:rsidRDefault="00277323" w:rsidP="00AB7207">
      <w:pPr>
        <w:pStyle w:val="Fichefinanciretitre"/>
        <w:rPr>
          <w:noProof/>
        </w:rPr>
      </w:pPr>
      <w:r w:rsidRPr="000254DF">
        <w:rPr>
          <w:noProof/>
        </w:rPr>
        <w:t>TIESĪBU AKTA PRIEKŠLIKUMA FINANŠU PĀRSKATS</w:t>
      </w:r>
    </w:p>
    <w:p w14:paraId="6259ECAD" w14:textId="407C7CC8" w:rsidR="00277323" w:rsidRPr="000254DF" w:rsidRDefault="006039A2" w:rsidP="006039A2">
      <w:pPr>
        <w:pStyle w:val="ManualHeading1"/>
        <w:rPr>
          <w:noProof/>
        </w:rPr>
      </w:pPr>
      <w:bookmarkStart w:id="1" w:name="_Toc514938007"/>
      <w:bookmarkStart w:id="2" w:name="_Toc520485025"/>
      <w:r w:rsidRPr="006039A2">
        <w:t>1.</w:t>
      </w:r>
      <w:r w:rsidRPr="006039A2">
        <w:tab/>
      </w:r>
      <w:r w:rsidR="00277323" w:rsidRPr="000254DF">
        <w:rPr>
          <w:noProof/>
        </w:rPr>
        <w:t>PRIEKŠLIKUMA/INICIATĪVAS KONTEKSTS</w:t>
      </w:r>
      <w:bookmarkEnd w:id="1"/>
      <w:bookmarkEnd w:id="2"/>
      <w:r w:rsidR="00277323" w:rsidRPr="000254DF">
        <w:rPr>
          <w:noProof/>
        </w:rPr>
        <w:t xml:space="preserve"> </w:t>
      </w:r>
    </w:p>
    <w:p w14:paraId="2ED981DD" w14:textId="14E8C28E" w:rsidR="00277323" w:rsidRPr="000254DF" w:rsidRDefault="006039A2" w:rsidP="006039A2">
      <w:pPr>
        <w:pStyle w:val="ManualHeading2"/>
        <w:rPr>
          <w:noProof/>
        </w:rPr>
      </w:pPr>
      <w:bookmarkStart w:id="3" w:name="_Toc514938008"/>
      <w:bookmarkStart w:id="4" w:name="_Toc520485026"/>
      <w:r w:rsidRPr="006039A2">
        <w:t>1.1.</w:t>
      </w:r>
      <w:r w:rsidRPr="006039A2">
        <w:tab/>
      </w:r>
      <w:r w:rsidR="00277323" w:rsidRPr="000254DF">
        <w:rPr>
          <w:noProof/>
        </w:rPr>
        <w:t>Priekšlikuma/iniciatīvas nosaukums</w:t>
      </w:r>
      <w:bookmarkEnd w:id="3"/>
      <w:bookmarkEnd w:id="4"/>
    </w:p>
    <w:p w14:paraId="3BE11505" w14:textId="750959DA" w:rsidR="00BF1471" w:rsidRPr="000254DF" w:rsidRDefault="00BF1471" w:rsidP="00BF1471">
      <w:pPr>
        <w:pStyle w:val="Text1"/>
        <w:pBdr>
          <w:top w:val="single" w:sz="4" w:space="1" w:color="auto"/>
          <w:left w:val="single" w:sz="4" w:space="4" w:color="auto"/>
          <w:bottom w:val="single" w:sz="4" w:space="1" w:color="auto"/>
          <w:right w:val="single" w:sz="4" w:space="4" w:color="auto"/>
        </w:pBdr>
        <w:rPr>
          <w:noProof/>
        </w:rPr>
      </w:pPr>
      <w:bookmarkStart w:id="5" w:name="_Toc514938014"/>
      <w:bookmarkStart w:id="6" w:name="_Toc520485028"/>
      <w:r w:rsidRPr="000254DF">
        <w:rPr>
          <w:noProof/>
        </w:rPr>
        <w:t>Priekšlikums Eiropas Parlamenta un Padomes regulai, ar ko Regulu (ES) Nr. 1305/2013 groza attiecībā uz īpašu pasākumu, ar kuru, reaģējot uz ietekmi, ko rada Krievijas iebrukums Ukrainā, nodrošina ārkārtas pagaidu atbalstu no ELFLA</w:t>
      </w:r>
    </w:p>
    <w:p w14:paraId="68618C43" w14:textId="200C5A16" w:rsidR="00277323" w:rsidRPr="000254DF" w:rsidRDefault="006039A2" w:rsidP="006039A2">
      <w:pPr>
        <w:pStyle w:val="ManualHeading2"/>
        <w:rPr>
          <w:bCs/>
          <w:noProof/>
          <w:szCs w:val="24"/>
        </w:rPr>
      </w:pPr>
      <w:r w:rsidRPr="006039A2">
        <w:t>1.2.</w:t>
      </w:r>
      <w:r w:rsidRPr="006039A2">
        <w:tab/>
      </w:r>
      <w:r w:rsidR="00277323" w:rsidRPr="000254DF">
        <w:rPr>
          <w:noProof/>
        </w:rPr>
        <w:t>Priekšlikums/iniciatīva attiecas uz:</w:t>
      </w:r>
      <w:bookmarkEnd w:id="5"/>
      <w:bookmarkEnd w:id="6"/>
      <w:r w:rsidR="00277323" w:rsidRPr="000254DF">
        <w:rPr>
          <w:noProof/>
        </w:rPr>
        <w:t xml:space="preserve"> </w:t>
      </w:r>
    </w:p>
    <w:p w14:paraId="014ED6D0" w14:textId="56B4FFEB" w:rsidR="00277323" w:rsidRPr="000254DF" w:rsidRDefault="00277323" w:rsidP="00277323">
      <w:pPr>
        <w:pStyle w:val="Text1"/>
        <w:rPr>
          <w:b/>
          <w:noProof/>
          <w:sz w:val="22"/>
        </w:rPr>
      </w:pPr>
      <w:r w:rsidRPr="000254DF">
        <w:rPr>
          <w:noProof/>
          <w:sz w:val="22"/>
        </w:rPr>
        <w:sym w:font="Wingdings" w:char="F0A8"/>
      </w:r>
      <w:r w:rsidRPr="000254DF">
        <w:rPr>
          <w:b/>
          <w:i/>
          <w:noProof/>
          <w:sz w:val="22"/>
        </w:rPr>
        <w:t xml:space="preserve"> </w:t>
      </w:r>
      <w:r w:rsidRPr="000254DF">
        <w:rPr>
          <w:b/>
          <w:noProof/>
        </w:rPr>
        <w:t>jaunu darbību</w:t>
      </w:r>
    </w:p>
    <w:p w14:paraId="48938F53" w14:textId="24B83E93" w:rsidR="00277323" w:rsidRPr="000254DF" w:rsidRDefault="00277323" w:rsidP="00277323">
      <w:pPr>
        <w:pStyle w:val="Text1"/>
        <w:rPr>
          <w:noProof/>
          <w:sz w:val="22"/>
        </w:rPr>
      </w:pPr>
      <w:r w:rsidRPr="000254DF">
        <w:rPr>
          <w:noProof/>
          <w:sz w:val="22"/>
        </w:rPr>
        <w:sym w:font="Wingdings" w:char="F0A8"/>
      </w:r>
      <w:r w:rsidRPr="000254DF">
        <w:rPr>
          <w:i/>
          <w:noProof/>
          <w:sz w:val="22"/>
        </w:rPr>
        <w:t xml:space="preserve"> </w:t>
      </w:r>
      <w:r w:rsidRPr="000254DF">
        <w:rPr>
          <w:b/>
          <w:noProof/>
        </w:rPr>
        <w:t>jaunu darbību, pamatojoties uz izmēģinājuma projektu/sagatavošanas darbību</w:t>
      </w:r>
      <w:r w:rsidRPr="000254DF">
        <w:rPr>
          <w:rStyle w:val="FootnoteReference"/>
          <w:b/>
          <w:noProof/>
        </w:rPr>
        <w:footnoteReference w:id="4"/>
      </w:r>
    </w:p>
    <w:p w14:paraId="5FEE51F9" w14:textId="216BC31B" w:rsidR="00277323" w:rsidRPr="000254DF" w:rsidRDefault="00277323" w:rsidP="00277323">
      <w:pPr>
        <w:pStyle w:val="Text1"/>
        <w:rPr>
          <w:noProof/>
          <w:sz w:val="22"/>
        </w:rPr>
      </w:pPr>
      <w:r w:rsidRPr="000254DF">
        <w:rPr>
          <w:noProof/>
          <w:sz w:val="22"/>
        </w:rPr>
        <w:sym w:font="Wingdings" w:char="F0A8"/>
      </w:r>
      <w:r w:rsidRPr="000254DF">
        <w:rPr>
          <w:i/>
          <w:noProof/>
          <w:sz w:val="22"/>
        </w:rPr>
        <w:t xml:space="preserve"> </w:t>
      </w:r>
      <w:r w:rsidRPr="000254DF">
        <w:rPr>
          <w:b/>
          <w:noProof/>
        </w:rPr>
        <w:t>esošas darbības pagarināšanu</w:t>
      </w:r>
    </w:p>
    <w:p w14:paraId="54CB9532" w14:textId="39BCF1B6" w:rsidR="00277323" w:rsidRPr="000254DF" w:rsidRDefault="00277323" w:rsidP="00277323">
      <w:pPr>
        <w:pStyle w:val="Text1"/>
        <w:rPr>
          <w:noProof/>
        </w:rPr>
      </w:pPr>
      <w:r w:rsidRPr="000254DF">
        <w:rPr>
          <w:noProof/>
          <w:sz w:val="22"/>
        </w:rPr>
        <w:t>X</w:t>
      </w:r>
      <w:r w:rsidRPr="000254DF">
        <w:rPr>
          <w:i/>
          <w:noProof/>
          <w:sz w:val="22"/>
        </w:rPr>
        <w:t xml:space="preserve"> </w:t>
      </w:r>
      <w:r w:rsidRPr="000254DF">
        <w:rPr>
          <w:b/>
          <w:noProof/>
        </w:rPr>
        <w:t>vienas vai vairāku darbību apvienošanu vai pārorientēšanu uz citu/jaunu darbību</w:t>
      </w:r>
    </w:p>
    <w:p w14:paraId="212793E8" w14:textId="74EF6BED" w:rsidR="00277323" w:rsidRPr="000254DF" w:rsidRDefault="006039A2" w:rsidP="006039A2">
      <w:pPr>
        <w:pStyle w:val="ManualHeading2"/>
        <w:rPr>
          <w:bCs/>
          <w:noProof/>
          <w:szCs w:val="24"/>
        </w:rPr>
      </w:pPr>
      <w:bookmarkStart w:id="7" w:name="_Toc514938015"/>
      <w:bookmarkStart w:id="8" w:name="_Toc520485029"/>
      <w:r w:rsidRPr="006039A2">
        <w:t>1.3.</w:t>
      </w:r>
      <w:r w:rsidRPr="006039A2">
        <w:tab/>
      </w:r>
      <w:r w:rsidR="00277323" w:rsidRPr="000254DF">
        <w:rPr>
          <w:noProof/>
        </w:rPr>
        <w:t>Mērķi</w:t>
      </w:r>
      <w:bookmarkEnd w:id="7"/>
      <w:bookmarkEnd w:id="8"/>
    </w:p>
    <w:p w14:paraId="0661DE9C" w14:textId="0CDF7DF2" w:rsidR="00277323" w:rsidRPr="000254DF" w:rsidRDefault="006039A2" w:rsidP="006039A2">
      <w:pPr>
        <w:pStyle w:val="ManualHeading3"/>
        <w:rPr>
          <w:noProof/>
        </w:rPr>
      </w:pPr>
      <w:bookmarkStart w:id="9" w:name="_Toc514938016"/>
      <w:bookmarkStart w:id="10" w:name="_Toc520485030"/>
      <w:r w:rsidRPr="006039A2">
        <w:t>1.3.1.</w:t>
      </w:r>
      <w:r w:rsidRPr="006039A2">
        <w:tab/>
      </w:r>
      <w:r w:rsidR="00277323" w:rsidRPr="000254DF">
        <w:rPr>
          <w:noProof/>
        </w:rPr>
        <w:t>Vispārīgie mērķi</w:t>
      </w:r>
      <w:bookmarkEnd w:id="9"/>
      <w:bookmarkEnd w:id="10"/>
    </w:p>
    <w:p w14:paraId="73A5CA67"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 xml:space="preserve">Nodrošināt jaunu ārkārtas un pagaidu pasākumu, kas novērš likviditātes problēmas, kuras apdraud lauksaimniecības darbību nepārtrauktību un to mazo uzņēmumu darbības turpināšanos, kas pārstrādā lauksaimniecības produktus </w:t>
      </w:r>
    </w:p>
    <w:p w14:paraId="3A52D96A" w14:textId="0F320466" w:rsidR="00277323" w:rsidRPr="000254DF" w:rsidRDefault="006039A2" w:rsidP="006039A2">
      <w:pPr>
        <w:pStyle w:val="ManualHeading3"/>
        <w:rPr>
          <w:bCs/>
          <w:noProof/>
          <w:szCs w:val="24"/>
        </w:rPr>
      </w:pPr>
      <w:bookmarkStart w:id="11" w:name="_Toc514938018"/>
      <w:bookmarkStart w:id="12" w:name="_Toc520485031"/>
      <w:r w:rsidRPr="006039A2">
        <w:t>1.3.2.</w:t>
      </w:r>
      <w:r w:rsidRPr="006039A2">
        <w:tab/>
      </w:r>
      <w:r w:rsidR="00277323" w:rsidRPr="000254DF">
        <w:rPr>
          <w:noProof/>
        </w:rPr>
        <w:t>Konkrētie mērķi</w:t>
      </w:r>
      <w:bookmarkEnd w:id="11"/>
      <w:bookmarkEnd w:id="12"/>
    </w:p>
    <w:p w14:paraId="176B8510"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u w:val="single"/>
        </w:rPr>
      </w:pPr>
      <w:r w:rsidRPr="000254DF">
        <w:rPr>
          <w:noProof/>
          <w:u w:val="single"/>
        </w:rPr>
        <w:t>Konkrētais mērķis Nr.</w:t>
      </w:r>
    </w:p>
    <w:p w14:paraId="12DC6A37"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2CE38AAF" w14:textId="3D4B5CC0" w:rsidR="00277323" w:rsidRPr="000254DF" w:rsidRDefault="006039A2" w:rsidP="006039A2">
      <w:pPr>
        <w:pStyle w:val="ManualHeading3"/>
        <w:rPr>
          <w:noProof/>
        </w:rPr>
      </w:pPr>
      <w:bookmarkStart w:id="13" w:name="_Toc514938019"/>
      <w:bookmarkStart w:id="14" w:name="_Toc520485032"/>
      <w:r w:rsidRPr="006039A2">
        <w:t>1.3.3.</w:t>
      </w:r>
      <w:r w:rsidRPr="006039A2">
        <w:tab/>
      </w:r>
      <w:r w:rsidR="00277323" w:rsidRPr="000254DF">
        <w:rPr>
          <w:noProof/>
        </w:rPr>
        <w:t>Paredzamie rezultāti un ietekme</w:t>
      </w:r>
      <w:bookmarkEnd w:id="13"/>
      <w:bookmarkEnd w:id="14"/>
    </w:p>
    <w:p w14:paraId="304C3916" w14:textId="77777777" w:rsidR="00277323" w:rsidRPr="000254DF" w:rsidRDefault="00277323" w:rsidP="00277323">
      <w:pPr>
        <w:pStyle w:val="Text1"/>
        <w:rPr>
          <w:i/>
          <w:noProof/>
          <w:color w:val="000000" w:themeColor="text1"/>
          <w:sz w:val="20"/>
        </w:rPr>
      </w:pPr>
      <w:r w:rsidRPr="000254DF">
        <w:rPr>
          <w:i/>
          <w:noProof/>
          <w:color w:val="000000" w:themeColor="text1"/>
          <w:sz w:val="20"/>
        </w:rPr>
        <w:t>Norādīt, kāda ir priekšlikuma/iniciatīvas iecerētā ietekme uz labuma guvējiem/mērķgrupām.</w:t>
      </w:r>
    </w:p>
    <w:p w14:paraId="7736CED7"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0CAA03BF" w14:textId="7C96B930" w:rsidR="00277323" w:rsidRPr="000254DF" w:rsidRDefault="006039A2" w:rsidP="006039A2">
      <w:pPr>
        <w:pStyle w:val="ManualHeading3"/>
        <w:rPr>
          <w:noProof/>
          <w:szCs w:val="24"/>
        </w:rPr>
      </w:pPr>
      <w:bookmarkStart w:id="15" w:name="_Toc514938023"/>
      <w:bookmarkStart w:id="16" w:name="_Toc520485033"/>
      <w:r w:rsidRPr="006039A2">
        <w:t>1.3.4.</w:t>
      </w:r>
      <w:r w:rsidRPr="006039A2">
        <w:tab/>
      </w:r>
      <w:r w:rsidR="00277323" w:rsidRPr="000254DF">
        <w:rPr>
          <w:noProof/>
        </w:rPr>
        <w:t>Snieguma rādītāji</w:t>
      </w:r>
      <w:bookmarkEnd w:id="15"/>
      <w:bookmarkEnd w:id="16"/>
    </w:p>
    <w:p w14:paraId="715E70C1" w14:textId="77777777" w:rsidR="00277323" w:rsidRPr="000254DF" w:rsidRDefault="00277323" w:rsidP="00277323">
      <w:pPr>
        <w:pStyle w:val="Text1"/>
        <w:rPr>
          <w:i/>
          <w:noProof/>
          <w:color w:val="000000" w:themeColor="text1"/>
          <w:sz w:val="20"/>
        </w:rPr>
      </w:pPr>
      <w:r w:rsidRPr="000254DF">
        <w:rPr>
          <w:i/>
          <w:noProof/>
          <w:color w:val="000000" w:themeColor="text1"/>
          <w:sz w:val="20"/>
        </w:rPr>
        <w:t>Norādīt, pēc kādiem rādītājiem seko līdzi progresam un sasniegumiem.</w:t>
      </w:r>
    </w:p>
    <w:p w14:paraId="4F18890F"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7B4EE27B" w14:textId="6BC4EBCB" w:rsidR="00277323" w:rsidRPr="000254DF" w:rsidRDefault="006039A2" w:rsidP="006039A2">
      <w:pPr>
        <w:pStyle w:val="ManualHeading2"/>
        <w:rPr>
          <w:bCs/>
          <w:noProof/>
          <w:szCs w:val="24"/>
        </w:rPr>
      </w:pPr>
      <w:bookmarkStart w:id="17" w:name="_Toc514938025"/>
      <w:bookmarkStart w:id="18" w:name="_Toc520485034"/>
      <w:r w:rsidRPr="006039A2">
        <w:t>1.4.</w:t>
      </w:r>
      <w:r w:rsidRPr="006039A2">
        <w:tab/>
      </w:r>
      <w:r w:rsidR="00277323" w:rsidRPr="000254DF">
        <w:rPr>
          <w:noProof/>
        </w:rPr>
        <w:t>Priekšlikuma/iniciatīvas pamatojums</w:t>
      </w:r>
      <w:bookmarkEnd w:id="17"/>
      <w:bookmarkEnd w:id="18"/>
      <w:r w:rsidR="00277323" w:rsidRPr="000254DF">
        <w:rPr>
          <w:noProof/>
        </w:rPr>
        <w:t xml:space="preserve"> </w:t>
      </w:r>
    </w:p>
    <w:p w14:paraId="1C538751" w14:textId="4A0638FC" w:rsidR="00277323" w:rsidRPr="000254DF" w:rsidRDefault="006039A2" w:rsidP="006039A2">
      <w:pPr>
        <w:pStyle w:val="ManualHeading3"/>
        <w:rPr>
          <w:noProof/>
        </w:rPr>
      </w:pPr>
      <w:bookmarkStart w:id="19" w:name="_Toc514938026"/>
      <w:bookmarkStart w:id="20" w:name="_Toc520485035"/>
      <w:r w:rsidRPr="006039A2">
        <w:t>1.4.1.</w:t>
      </w:r>
      <w:r w:rsidRPr="006039A2">
        <w:tab/>
      </w:r>
      <w:r w:rsidR="00277323" w:rsidRPr="000254DF">
        <w:rPr>
          <w:noProof/>
        </w:rPr>
        <w:t>Īstermiņā vai ilgtermiņā izpildāmās vajadzības, tostarp sīki izstrādāts iniciatīvas izvēršanas grafiks</w:t>
      </w:r>
      <w:bookmarkEnd w:id="19"/>
      <w:bookmarkEnd w:id="20"/>
    </w:p>
    <w:p w14:paraId="4B7AE101"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4416AE24" w14:textId="77DF3BCE" w:rsidR="00277323" w:rsidRPr="000254DF" w:rsidRDefault="006039A2" w:rsidP="006039A2">
      <w:pPr>
        <w:pStyle w:val="ManualHeading3"/>
        <w:rPr>
          <w:bCs/>
          <w:noProof/>
          <w:szCs w:val="24"/>
        </w:rPr>
      </w:pPr>
      <w:bookmarkStart w:id="21" w:name="_Toc514938029"/>
      <w:bookmarkStart w:id="22" w:name="_Toc520485036"/>
      <w:r w:rsidRPr="006039A2">
        <w:t>1.4.2.</w:t>
      </w:r>
      <w:r w:rsidRPr="006039A2">
        <w:tab/>
      </w:r>
      <w:r w:rsidR="00277323" w:rsidRPr="000254DF">
        <w:rPr>
          <w:noProof/>
        </w:rPr>
        <w:t>Savienības iesaistīšanās pievienotā vērtība (tās pamatā var būt dažādi faktori, piemēram, koordinēšanas radītie ieguvumi, juridiskā noteiktība, lielāka rezultativitāte vai komplementaritāte). Šā punkta izpratnē “Savienības iesaistīšanās pievienotā vērtība” ir vērtība, kas veidojas Savienības iesaistīšanās rezultātā un kas papildina vērtību, kura veidotos, ja dalībvalstis rīkotos atsevišķi.</w:t>
      </w:r>
      <w:bookmarkEnd w:id="21"/>
      <w:bookmarkEnd w:id="22"/>
    </w:p>
    <w:p w14:paraId="35237F8F"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2DE15AAE" w14:textId="56B4F9C7" w:rsidR="00277323" w:rsidRPr="000254DF" w:rsidRDefault="006039A2" w:rsidP="006039A2">
      <w:pPr>
        <w:pStyle w:val="ManualHeading3"/>
        <w:rPr>
          <w:noProof/>
        </w:rPr>
      </w:pPr>
      <w:bookmarkStart w:id="23" w:name="_Toc514938030"/>
      <w:bookmarkStart w:id="24" w:name="_Toc520485037"/>
      <w:r w:rsidRPr="006039A2">
        <w:t>1.4.3.</w:t>
      </w:r>
      <w:r w:rsidRPr="006039A2">
        <w:tab/>
      </w:r>
      <w:r w:rsidR="00277323" w:rsidRPr="000254DF">
        <w:rPr>
          <w:noProof/>
        </w:rPr>
        <w:t>Līdzīgas līdzšinējās pieredzes rezultātā gūtās atziņas</w:t>
      </w:r>
      <w:bookmarkEnd w:id="23"/>
      <w:bookmarkEnd w:id="24"/>
    </w:p>
    <w:p w14:paraId="396094DC"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493B98FC" w14:textId="7C9762C4" w:rsidR="00277323" w:rsidRPr="000254DF" w:rsidRDefault="006039A2" w:rsidP="006039A2">
      <w:pPr>
        <w:pStyle w:val="ManualHeading3"/>
        <w:rPr>
          <w:noProof/>
        </w:rPr>
      </w:pPr>
      <w:bookmarkStart w:id="25" w:name="_Toc514938033"/>
      <w:bookmarkStart w:id="26" w:name="_Toc520485038"/>
      <w:r w:rsidRPr="006039A2">
        <w:t>1.4.4.</w:t>
      </w:r>
      <w:r w:rsidRPr="006039A2">
        <w:tab/>
      </w:r>
      <w:r w:rsidR="00277323" w:rsidRPr="000254DF">
        <w:rPr>
          <w:noProof/>
        </w:rPr>
        <w:t>Saderība ar daudzgadu finanšu shēmu un iespējamā sinerģija ar citiem atbilstošiem instrumentiem</w:t>
      </w:r>
      <w:bookmarkEnd w:id="25"/>
      <w:bookmarkEnd w:id="26"/>
    </w:p>
    <w:p w14:paraId="0E68C5F4"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647EE347" w14:textId="1DA5CC32" w:rsidR="00277323" w:rsidRPr="000254DF" w:rsidRDefault="006039A2" w:rsidP="006039A2">
      <w:pPr>
        <w:pStyle w:val="ManualHeading3"/>
        <w:rPr>
          <w:noProof/>
        </w:rPr>
      </w:pPr>
      <w:bookmarkStart w:id="27" w:name="_Toc514938036"/>
      <w:bookmarkStart w:id="28" w:name="_Toc520485039"/>
      <w:r w:rsidRPr="006039A2">
        <w:t>1.4.5.</w:t>
      </w:r>
      <w:r w:rsidRPr="006039A2">
        <w:tab/>
      </w:r>
      <w:r w:rsidR="00277323" w:rsidRPr="000254DF">
        <w:rPr>
          <w:noProof/>
        </w:rPr>
        <w:t>Dažādo pieejamo finansēšanas iespēju, tostarp pārdales iespējas, novērtējums</w:t>
      </w:r>
      <w:bookmarkEnd w:id="27"/>
      <w:bookmarkEnd w:id="28"/>
    </w:p>
    <w:p w14:paraId="72E1F920"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rPr>
      </w:pPr>
      <w:r w:rsidRPr="000254DF">
        <w:rPr>
          <w:noProof/>
        </w:rPr>
        <w:t>Neattiecas</w:t>
      </w:r>
    </w:p>
    <w:p w14:paraId="621F34C3" w14:textId="77777777" w:rsidR="00277323" w:rsidRPr="000254DF" w:rsidRDefault="00277323" w:rsidP="00277323">
      <w:pPr>
        <w:pStyle w:val="Text1"/>
        <w:rPr>
          <w:noProof/>
        </w:rPr>
      </w:pPr>
    </w:p>
    <w:p w14:paraId="62380BA8" w14:textId="69C09F22" w:rsidR="00277323" w:rsidRPr="000254DF" w:rsidRDefault="00277323" w:rsidP="006039A2">
      <w:pPr>
        <w:pStyle w:val="ManualHeading2"/>
        <w:rPr>
          <w:bCs/>
          <w:noProof/>
          <w:szCs w:val="24"/>
        </w:rPr>
      </w:pPr>
      <w:r w:rsidRPr="000254DF">
        <w:rPr>
          <w:noProof/>
        </w:rPr>
        <w:br w:type="page"/>
      </w:r>
      <w:bookmarkStart w:id="29" w:name="_Toc514938039"/>
      <w:bookmarkStart w:id="30" w:name="_Toc520485040"/>
      <w:r w:rsidR="006039A2" w:rsidRPr="006039A2">
        <w:t>1.5.</w:t>
      </w:r>
      <w:r w:rsidR="006039A2" w:rsidRPr="006039A2">
        <w:tab/>
      </w:r>
      <w:r w:rsidRPr="000254DF">
        <w:rPr>
          <w:noProof/>
        </w:rPr>
        <w:t>Priekšlikuma/iniciatīvas ilgums un finansiālā ietekme</w:t>
      </w:r>
      <w:bookmarkEnd w:id="29"/>
      <w:bookmarkEnd w:id="30"/>
    </w:p>
    <w:p w14:paraId="1B241EAD" w14:textId="77777777" w:rsidR="00277323" w:rsidRPr="000254DF" w:rsidRDefault="00277323" w:rsidP="00277323">
      <w:pPr>
        <w:pStyle w:val="Text1"/>
        <w:rPr>
          <w:noProof/>
        </w:rPr>
      </w:pPr>
      <w:r w:rsidRPr="000254DF">
        <w:rPr>
          <w:noProof/>
        </w:rPr>
        <w:t>X</w:t>
      </w:r>
      <w:r w:rsidRPr="000254DF">
        <w:rPr>
          <w:b/>
          <w:i/>
          <w:noProof/>
        </w:rPr>
        <w:t xml:space="preserve"> </w:t>
      </w:r>
      <w:r w:rsidRPr="000254DF">
        <w:rPr>
          <w:b/>
          <w:noProof/>
        </w:rPr>
        <w:t xml:space="preserve">Ierobežots ilgums </w:t>
      </w:r>
    </w:p>
    <w:p w14:paraId="53B982E0" w14:textId="77777777" w:rsidR="00277323" w:rsidRPr="000254DF" w:rsidRDefault="00277323" w:rsidP="00277323">
      <w:pPr>
        <w:pStyle w:val="ListDash2"/>
        <w:rPr>
          <w:noProof/>
        </w:rPr>
      </w:pPr>
      <w:r w:rsidRPr="000254DF">
        <w:rPr>
          <w:noProof/>
        </w:rPr>
        <w:sym w:font="Wingdings" w:char="F0A8"/>
      </w:r>
      <w:r w:rsidRPr="000254DF">
        <w:rPr>
          <w:noProof/>
        </w:rPr>
        <w:tab/>
        <w:t xml:space="preserve">Priekšlikuma/iniciatīvas darbības laiks: [DD.MM.]GGGG.–[DD.MM.]GGGG. </w:t>
      </w:r>
    </w:p>
    <w:p w14:paraId="0EDEB5C7" w14:textId="77777777" w:rsidR="00277323" w:rsidRPr="000254DF" w:rsidRDefault="00277323" w:rsidP="00277323">
      <w:pPr>
        <w:pStyle w:val="ListDash2"/>
        <w:rPr>
          <w:noProof/>
        </w:rPr>
      </w:pPr>
      <w:r w:rsidRPr="000254DF">
        <w:rPr>
          <w:noProof/>
        </w:rPr>
        <w:t>X</w:t>
      </w:r>
      <w:r w:rsidRPr="000254DF">
        <w:rPr>
          <w:noProof/>
        </w:rPr>
        <w:tab/>
        <w:t xml:space="preserve">Nav vispārējas finansiālās ietekmes uz saistību un maksājumu apropriācijām. </w:t>
      </w:r>
    </w:p>
    <w:p w14:paraId="10F04413" w14:textId="77777777" w:rsidR="00277323" w:rsidRPr="000254DF" w:rsidRDefault="00277323" w:rsidP="00277323">
      <w:pPr>
        <w:pStyle w:val="Text1"/>
        <w:rPr>
          <w:noProof/>
        </w:rPr>
      </w:pPr>
      <w:r w:rsidRPr="000254DF">
        <w:rPr>
          <w:noProof/>
        </w:rPr>
        <w:sym w:font="Wingdings" w:char="F0A8"/>
      </w:r>
      <w:r w:rsidRPr="000254DF">
        <w:rPr>
          <w:b/>
          <w:i/>
          <w:noProof/>
        </w:rPr>
        <w:t xml:space="preserve"> </w:t>
      </w:r>
      <w:r w:rsidRPr="000254DF">
        <w:rPr>
          <w:b/>
          <w:noProof/>
        </w:rPr>
        <w:t>Beztermiņa</w:t>
      </w:r>
    </w:p>
    <w:p w14:paraId="6C7049E4" w14:textId="77777777" w:rsidR="00277323" w:rsidRPr="000254DF" w:rsidRDefault="00277323" w:rsidP="00277323">
      <w:pPr>
        <w:pStyle w:val="ListDash1"/>
        <w:rPr>
          <w:noProof/>
        </w:rPr>
      </w:pPr>
      <w:r w:rsidRPr="000254DF">
        <w:rPr>
          <w:noProof/>
        </w:rPr>
        <w:t>Īstenošana ar uzsākšanas periodu no GGGG. līdz GGGG. gadam,</w:t>
      </w:r>
    </w:p>
    <w:p w14:paraId="2ACFAA7D" w14:textId="77777777" w:rsidR="00277323" w:rsidRPr="000254DF" w:rsidRDefault="00277323" w:rsidP="00277323">
      <w:pPr>
        <w:pStyle w:val="ListDash1"/>
        <w:rPr>
          <w:noProof/>
        </w:rPr>
      </w:pPr>
      <w:r w:rsidRPr="000254DF">
        <w:rPr>
          <w:noProof/>
        </w:rPr>
        <w:t>pēc kura turpinās normāla darbība.</w:t>
      </w:r>
    </w:p>
    <w:p w14:paraId="7BCC3E38" w14:textId="5F70141E" w:rsidR="00277323" w:rsidRPr="000254DF" w:rsidRDefault="006039A2" w:rsidP="006039A2">
      <w:pPr>
        <w:pStyle w:val="ManualHeading2"/>
        <w:rPr>
          <w:bCs/>
          <w:noProof/>
          <w:szCs w:val="24"/>
        </w:rPr>
      </w:pPr>
      <w:bookmarkStart w:id="31" w:name="_Toc514938040"/>
      <w:bookmarkStart w:id="32" w:name="_Toc520485041"/>
      <w:r w:rsidRPr="006039A2">
        <w:t>1.6.</w:t>
      </w:r>
      <w:r w:rsidRPr="006039A2">
        <w:tab/>
      </w:r>
      <w:r w:rsidR="00277323" w:rsidRPr="000254DF">
        <w:rPr>
          <w:noProof/>
        </w:rPr>
        <w:t>Paredzētie pārvaldības veidi</w:t>
      </w:r>
      <w:r w:rsidR="00277323" w:rsidRPr="000254DF">
        <w:rPr>
          <w:rStyle w:val="FootnoteReference"/>
          <w:noProof/>
        </w:rPr>
        <w:footnoteReference w:id="5"/>
      </w:r>
      <w:r w:rsidR="00277323" w:rsidRPr="000254DF">
        <w:rPr>
          <w:rStyle w:val="FootnoteReference"/>
          <w:noProof/>
        </w:rPr>
        <w:t xml:space="preserve"> </w:t>
      </w:r>
      <w:bookmarkEnd w:id="31"/>
      <w:bookmarkEnd w:id="32"/>
      <w:r w:rsidR="00277323" w:rsidRPr="000254DF">
        <w:rPr>
          <w:rStyle w:val="FootnoteReference"/>
          <w:noProof/>
        </w:rPr>
        <w:t xml:space="preserve"> </w:t>
      </w:r>
    </w:p>
    <w:p w14:paraId="657BEF1D" w14:textId="77777777" w:rsidR="00277323" w:rsidRPr="000254DF" w:rsidRDefault="00277323" w:rsidP="00277323">
      <w:pPr>
        <w:pStyle w:val="Text1"/>
        <w:rPr>
          <w:noProof/>
        </w:rPr>
      </w:pPr>
      <w:r w:rsidRPr="000254DF">
        <w:rPr>
          <w:noProof/>
        </w:rPr>
        <w:sym w:font="Wingdings" w:char="F0A8"/>
      </w:r>
      <w:r w:rsidRPr="000254DF">
        <w:rPr>
          <w:i/>
          <w:noProof/>
        </w:rPr>
        <w:t xml:space="preserve"> </w:t>
      </w:r>
      <w:r w:rsidRPr="000254DF">
        <w:rPr>
          <w:noProof/>
        </w:rPr>
        <w:t xml:space="preserve">Komisijas īstenota </w:t>
      </w:r>
      <w:r w:rsidRPr="000254DF">
        <w:rPr>
          <w:b/>
          <w:noProof/>
        </w:rPr>
        <w:t>tieša pārvaldība</w:t>
      </w:r>
      <w:r w:rsidRPr="000254DF">
        <w:rPr>
          <w:noProof/>
        </w:rPr>
        <w:t>:</w:t>
      </w:r>
    </w:p>
    <w:p w14:paraId="5E9126A4" w14:textId="77777777" w:rsidR="00277323" w:rsidRPr="000254DF" w:rsidRDefault="00277323" w:rsidP="00277323">
      <w:pPr>
        <w:pStyle w:val="ListDash2"/>
        <w:rPr>
          <w:rFonts w:cs="EUAlbertina"/>
          <w:noProof/>
        </w:rPr>
      </w:pPr>
      <w:r w:rsidRPr="000254DF">
        <w:rPr>
          <w:noProof/>
        </w:rPr>
        <w:sym w:font="Wingdings" w:char="F0A8"/>
      </w:r>
      <w:r w:rsidRPr="000254DF">
        <w:rPr>
          <w:noProof/>
        </w:rPr>
        <w:tab/>
        <w:t xml:space="preserve">ko veic tās struktūrvienības, tostarp personāls Savienības delegācijās; </w:t>
      </w:r>
    </w:p>
    <w:p w14:paraId="01844C21" w14:textId="77777777" w:rsidR="00277323" w:rsidRPr="000254DF" w:rsidRDefault="00277323" w:rsidP="00277323">
      <w:pPr>
        <w:pStyle w:val="ListDash2"/>
        <w:rPr>
          <w:noProof/>
        </w:rPr>
      </w:pPr>
      <w:r w:rsidRPr="000254DF">
        <w:rPr>
          <w:noProof/>
        </w:rPr>
        <w:sym w:font="Wingdings" w:char="F0A8"/>
      </w:r>
      <w:r w:rsidRPr="000254DF">
        <w:rPr>
          <w:noProof/>
        </w:rPr>
        <w:tab/>
        <w:t xml:space="preserve">ko veic izpildaģentūras. </w:t>
      </w:r>
    </w:p>
    <w:p w14:paraId="4B694CB4" w14:textId="77777777" w:rsidR="00277323" w:rsidRPr="000254DF" w:rsidRDefault="00277323" w:rsidP="00277323">
      <w:pPr>
        <w:pStyle w:val="Text1"/>
        <w:rPr>
          <w:noProof/>
        </w:rPr>
      </w:pPr>
      <w:r w:rsidRPr="000254DF">
        <w:rPr>
          <w:noProof/>
        </w:rPr>
        <w:t>X</w:t>
      </w:r>
      <w:r w:rsidRPr="000254DF">
        <w:rPr>
          <w:b/>
          <w:i/>
          <w:noProof/>
        </w:rPr>
        <w:t xml:space="preserve"> </w:t>
      </w:r>
      <w:r w:rsidRPr="000254DF">
        <w:rPr>
          <w:b/>
          <w:noProof/>
        </w:rPr>
        <w:t>Dalīta pārvaldība</w:t>
      </w:r>
      <w:r w:rsidRPr="000254DF">
        <w:rPr>
          <w:noProof/>
        </w:rPr>
        <w:t xml:space="preserve"> kopā ar dalībvalstīm </w:t>
      </w:r>
    </w:p>
    <w:p w14:paraId="21B07082" w14:textId="77777777" w:rsidR="00277323" w:rsidRPr="000254DF" w:rsidRDefault="00277323" w:rsidP="00277323">
      <w:pPr>
        <w:pStyle w:val="Text1"/>
        <w:rPr>
          <w:noProof/>
        </w:rPr>
      </w:pPr>
      <w:r w:rsidRPr="000254DF">
        <w:rPr>
          <w:noProof/>
        </w:rPr>
        <w:sym w:font="Wingdings" w:char="F0A8"/>
      </w:r>
      <w:r w:rsidRPr="000254DF">
        <w:rPr>
          <w:i/>
          <w:noProof/>
        </w:rPr>
        <w:t xml:space="preserve"> </w:t>
      </w:r>
      <w:r w:rsidRPr="000254DF">
        <w:rPr>
          <w:b/>
          <w:noProof/>
        </w:rPr>
        <w:t>Netieša pārvaldība</w:t>
      </w:r>
      <w:r w:rsidRPr="000254DF">
        <w:rPr>
          <w:noProof/>
        </w:rPr>
        <w:t>, kurā budžeta izpildes uzdevumi uzticēti:</w:t>
      </w:r>
    </w:p>
    <w:p w14:paraId="08D8E560" w14:textId="77777777" w:rsidR="00277323" w:rsidRPr="000254DF" w:rsidRDefault="00277323" w:rsidP="00277323">
      <w:pPr>
        <w:pStyle w:val="ListDash2"/>
        <w:rPr>
          <w:noProof/>
        </w:rPr>
      </w:pPr>
      <w:r w:rsidRPr="000254DF">
        <w:rPr>
          <w:noProof/>
        </w:rPr>
        <w:sym w:font="Wingdings" w:char="F0A8"/>
      </w:r>
      <w:r w:rsidRPr="000254DF">
        <w:rPr>
          <w:noProof/>
        </w:rPr>
        <w:tab/>
        <w:t>trešām valstīm vai to izraudzītām struktūrām;</w:t>
      </w:r>
    </w:p>
    <w:p w14:paraId="03E4458E" w14:textId="77777777" w:rsidR="00277323" w:rsidRPr="000254DF" w:rsidRDefault="00277323" w:rsidP="00277323">
      <w:pPr>
        <w:pStyle w:val="ListDash2"/>
        <w:rPr>
          <w:noProof/>
        </w:rPr>
      </w:pPr>
      <w:r w:rsidRPr="000254DF">
        <w:rPr>
          <w:noProof/>
        </w:rPr>
        <w:sym w:font="Wingdings" w:char="F0A8"/>
      </w:r>
      <w:r w:rsidRPr="000254DF">
        <w:rPr>
          <w:noProof/>
        </w:rPr>
        <w:tab/>
        <w:t>starptautiskām organizācijām un to aģentūrām (precizēt);</w:t>
      </w:r>
    </w:p>
    <w:p w14:paraId="674D1C78" w14:textId="77777777" w:rsidR="00277323" w:rsidRPr="000254DF" w:rsidRDefault="00277323" w:rsidP="00277323">
      <w:pPr>
        <w:pStyle w:val="ListDash2"/>
        <w:rPr>
          <w:noProof/>
        </w:rPr>
      </w:pPr>
      <w:r w:rsidRPr="000254DF">
        <w:rPr>
          <w:noProof/>
        </w:rPr>
        <w:sym w:font="Wingdings" w:char="F0A8"/>
      </w:r>
      <w:r w:rsidRPr="000254DF">
        <w:rPr>
          <w:noProof/>
        </w:rPr>
        <w:tab/>
        <w:t>EIB un Eiropas Investīciju fondam;</w:t>
      </w:r>
    </w:p>
    <w:p w14:paraId="144A172A" w14:textId="77777777" w:rsidR="00277323" w:rsidRPr="000254DF" w:rsidRDefault="00277323" w:rsidP="00277323">
      <w:pPr>
        <w:pStyle w:val="ListDash2"/>
        <w:rPr>
          <w:noProof/>
        </w:rPr>
      </w:pPr>
      <w:r w:rsidRPr="000254DF">
        <w:rPr>
          <w:noProof/>
        </w:rPr>
        <w:sym w:font="Wingdings" w:char="F0A8"/>
      </w:r>
      <w:r w:rsidRPr="000254DF">
        <w:rPr>
          <w:noProof/>
        </w:rPr>
        <w:tab/>
        <w:t>Finanšu regulas 70. un 71. pantā minētajām struktūrām;</w:t>
      </w:r>
    </w:p>
    <w:p w14:paraId="79676B7D" w14:textId="77777777" w:rsidR="00277323" w:rsidRPr="000254DF" w:rsidRDefault="00277323" w:rsidP="00277323">
      <w:pPr>
        <w:pStyle w:val="ListDash2"/>
        <w:rPr>
          <w:noProof/>
        </w:rPr>
      </w:pPr>
      <w:r w:rsidRPr="000254DF">
        <w:rPr>
          <w:noProof/>
        </w:rPr>
        <w:sym w:font="Wingdings" w:char="F0A8"/>
      </w:r>
      <w:r w:rsidRPr="000254DF">
        <w:rPr>
          <w:noProof/>
        </w:rPr>
        <w:tab/>
        <w:t>publisko tiesību subjektiem;</w:t>
      </w:r>
    </w:p>
    <w:p w14:paraId="0F939452" w14:textId="77777777" w:rsidR="00277323" w:rsidRPr="000254DF" w:rsidRDefault="00277323" w:rsidP="00277323">
      <w:pPr>
        <w:pStyle w:val="ListDash2"/>
        <w:rPr>
          <w:noProof/>
        </w:rPr>
      </w:pPr>
      <w:r w:rsidRPr="000254DF">
        <w:rPr>
          <w:noProof/>
        </w:rPr>
        <w:sym w:font="Wingdings" w:char="F0A8"/>
      </w:r>
      <w:r w:rsidRPr="000254DF">
        <w:rPr>
          <w:noProof/>
        </w:rPr>
        <w:tab/>
        <w:t>privāttiesību subjektiem, kas veic sabiedrisko pakalpojumu sniedzēju uzdevumus, tādā mērā, kādā tie sniedz pienācīgas finanšu garantijas;</w:t>
      </w:r>
    </w:p>
    <w:p w14:paraId="2BADD5A6" w14:textId="77777777" w:rsidR="00277323" w:rsidRPr="000254DF" w:rsidRDefault="00277323" w:rsidP="00277323">
      <w:pPr>
        <w:pStyle w:val="ListDash2"/>
        <w:rPr>
          <w:noProof/>
        </w:rPr>
      </w:pPr>
      <w:r w:rsidRPr="000254DF">
        <w:rPr>
          <w:noProof/>
        </w:rPr>
        <w:sym w:font="Wingdings" w:char="F0A8"/>
      </w:r>
      <w:r w:rsidRPr="000254DF">
        <w:rPr>
          <w:noProof/>
        </w:rPr>
        <w:tab/>
        <w:t>dalībvalstu privāttiesību subjektiem, kuriem ir uzticēta publiskā un privātā sektora partnerības īstenošana un kuri sniedz pienācīgas finanšu garantijas;</w:t>
      </w:r>
    </w:p>
    <w:p w14:paraId="46E9FC33" w14:textId="77777777" w:rsidR="00277323" w:rsidRPr="000254DF" w:rsidRDefault="00277323" w:rsidP="00277323">
      <w:pPr>
        <w:pStyle w:val="ListDash2"/>
        <w:rPr>
          <w:noProof/>
        </w:rPr>
      </w:pPr>
      <w:r w:rsidRPr="000254DF">
        <w:rPr>
          <w:noProof/>
        </w:rPr>
        <w:sym w:font="Wingdings" w:char="F0A8"/>
      </w:r>
      <w:r w:rsidRPr="000254DF">
        <w:rPr>
          <w:noProof/>
        </w:rPr>
        <w:tab/>
        <w:t>personām, kurām, ievērojot Līguma par Eiropas Savienību V sadaļu, uzticēts īstenot konkrētas KĀDP darbības un kuras ir noteiktas attiecīgajā pamataktā.</w:t>
      </w:r>
    </w:p>
    <w:p w14:paraId="197D0187" w14:textId="77777777" w:rsidR="00277323" w:rsidRPr="000254DF" w:rsidRDefault="00277323" w:rsidP="00277323">
      <w:pPr>
        <w:pStyle w:val="ListDash2"/>
        <w:rPr>
          <w:i/>
          <w:noProof/>
          <w:sz w:val="18"/>
          <w:u w:val="single"/>
        </w:rPr>
      </w:pPr>
      <w:r w:rsidRPr="000254DF">
        <w:rPr>
          <w:i/>
          <w:noProof/>
          <w:sz w:val="18"/>
        </w:rPr>
        <w:t>Ja norādīti vairāki pārvaldības veidi, sniedziet papildu informāciju iedaļā “Piezīmes”.</w:t>
      </w:r>
    </w:p>
    <w:p w14:paraId="6BB05914" w14:textId="77777777" w:rsidR="00277323" w:rsidRPr="000254DF" w:rsidRDefault="00277323" w:rsidP="00277323">
      <w:pPr>
        <w:rPr>
          <w:noProof/>
        </w:rPr>
      </w:pPr>
      <w:r w:rsidRPr="000254DF">
        <w:rPr>
          <w:noProof/>
        </w:rPr>
        <w:t xml:space="preserve">Piezīmes </w:t>
      </w:r>
    </w:p>
    <w:p w14:paraId="67564794" w14:textId="77777777" w:rsidR="00277323" w:rsidRPr="000254DF" w:rsidRDefault="00277323" w:rsidP="00BD06FC">
      <w:pPr>
        <w:pStyle w:val="Text1"/>
        <w:pBdr>
          <w:top w:val="single" w:sz="4" w:space="1" w:color="auto"/>
          <w:left w:val="single" w:sz="4" w:space="4" w:color="auto"/>
          <w:bottom w:val="single" w:sz="4" w:space="1" w:color="auto"/>
          <w:right w:val="single" w:sz="4" w:space="4" w:color="auto"/>
        </w:pBdr>
        <w:rPr>
          <w:noProof/>
        </w:rPr>
      </w:pPr>
      <w:r w:rsidRPr="000254DF">
        <w:rPr>
          <w:noProof/>
        </w:rPr>
        <w:t>Šis jaunais priekšlikums nekādi nemaina daudzgadu finanšu shēmas gada maksimumus, kas saistībām un maksājumiem noteikti Regulas (ES) 2020/2093 I pielikumā. Eiropas Lauksaimniecības fonda lauku attīstībai ietvaros noteiktais saistību apropriāciju sadalījums pa gadiem paliek nemainīgs.</w:t>
      </w:r>
    </w:p>
    <w:p w14:paraId="7404E795" w14:textId="77777777" w:rsidR="00277323" w:rsidRPr="000254DF" w:rsidRDefault="00277323" w:rsidP="00BD06FC">
      <w:pPr>
        <w:pStyle w:val="Text1"/>
        <w:pBdr>
          <w:top w:val="single" w:sz="4" w:space="1" w:color="auto"/>
          <w:left w:val="single" w:sz="4" w:space="4" w:color="auto"/>
          <w:bottom w:val="single" w:sz="4" w:space="1" w:color="auto"/>
          <w:right w:val="single" w:sz="4" w:space="4" w:color="auto"/>
        </w:pBdr>
        <w:rPr>
          <w:noProof/>
        </w:rPr>
      </w:pPr>
      <w:r w:rsidRPr="000254DF">
        <w:rPr>
          <w:noProof/>
        </w:rPr>
        <w:t>Kopumā šim pasākumam nav vajadzīgas papildu maksājumu apropriācijas. 2023. gada maksājumu apropriācijas, kas vajadzīgas šā pasākuma finansēšanai, izlīdzinās mazākas maksājumu vajadzības nākamajos gados.</w:t>
      </w:r>
    </w:p>
    <w:p w14:paraId="7B3531C4" w14:textId="77777777" w:rsidR="00170E6A" w:rsidRPr="000254DF" w:rsidRDefault="00170E6A" w:rsidP="00DB13DF">
      <w:pPr>
        <w:pBdr>
          <w:top w:val="single" w:sz="4" w:space="1" w:color="auto"/>
          <w:left w:val="single" w:sz="4" w:space="4" w:color="auto"/>
          <w:bottom w:val="single" w:sz="4" w:space="1" w:color="auto"/>
          <w:right w:val="single" w:sz="4" w:space="4" w:color="auto"/>
        </w:pBdr>
        <w:rPr>
          <w:noProof/>
          <w:color w:val="000000" w:themeColor="text1"/>
        </w:rPr>
        <w:sectPr w:rsidR="00170E6A" w:rsidRPr="000254DF" w:rsidSect="00400A03">
          <w:pgSz w:w="11907" w:h="16840" w:code="9"/>
          <w:pgMar w:top="1134" w:right="1418" w:bottom="1134" w:left="1418" w:header="709" w:footer="709" w:gutter="0"/>
          <w:cols w:space="708"/>
          <w:docGrid w:linePitch="360"/>
        </w:sectPr>
      </w:pPr>
    </w:p>
    <w:p w14:paraId="42C3291C" w14:textId="37C6C493" w:rsidR="00277323" w:rsidRPr="000254DF" w:rsidRDefault="006039A2" w:rsidP="006039A2">
      <w:pPr>
        <w:pStyle w:val="ManualHeading1"/>
        <w:rPr>
          <w:bCs/>
          <w:noProof/>
          <w:szCs w:val="24"/>
        </w:rPr>
      </w:pPr>
      <w:bookmarkStart w:id="33" w:name="_Toc514938041"/>
      <w:bookmarkStart w:id="34" w:name="_Toc520485042"/>
      <w:r w:rsidRPr="006039A2">
        <w:t>2.</w:t>
      </w:r>
      <w:r w:rsidRPr="006039A2">
        <w:tab/>
      </w:r>
      <w:r w:rsidR="00277323" w:rsidRPr="000254DF">
        <w:rPr>
          <w:noProof/>
        </w:rPr>
        <w:t>PĀRVALDĪBAS PASĀKUMI</w:t>
      </w:r>
      <w:bookmarkEnd w:id="33"/>
      <w:bookmarkEnd w:id="34"/>
    </w:p>
    <w:p w14:paraId="540CE938" w14:textId="2A3469AC" w:rsidR="00277323" w:rsidRPr="000254DF" w:rsidRDefault="006039A2" w:rsidP="006039A2">
      <w:pPr>
        <w:pStyle w:val="ManualHeading2"/>
        <w:rPr>
          <w:noProof/>
        </w:rPr>
      </w:pPr>
      <w:bookmarkStart w:id="35" w:name="_Toc514938042"/>
      <w:bookmarkStart w:id="36" w:name="_Toc520485043"/>
      <w:r w:rsidRPr="006039A2">
        <w:t>2.1.</w:t>
      </w:r>
      <w:r w:rsidRPr="006039A2">
        <w:tab/>
      </w:r>
      <w:r w:rsidR="00277323" w:rsidRPr="000254DF">
        <w:rPr>
          <w:noProof/>
        </w:rPr>
        <w:t>Pārraudzības un ziņošanas noteikumi</w:t>
      </w:r>
      <w:bookmarkEnd w:id="35"/>
      <w:bookmarkEnd w:id="36"/>
    </w:p>
    <w:p w14:paraId="0E5BDF37" w14:textId="77777777" w:rsidR="00277323" w:rsidRPr="000254DF" w:rsidRDefault="00277323" w:rsidP="00277323">
      <w:pPr>
        <w:pStyle w:val="Text1"/>
        <w:rPr>
          <w:i/>
          <w:noProof/>
          <w:sz w:val="20"/>
        </w:rPr>
      </w:pPr>
      <w:r w:rsidRPr="000254DF">
        <w:rPr>
          <w:i/>
          <w:noProof/>
          <w:sz w:val="20"/>
        </w:rPr>
        <w:t>Norādīt biežumu un nosacījumus.</w:t>
      </w:r>
    </w:p>
    <w:p w14:paraId="758EFA99" w14:textId="77777777" w:rsidR="00277323" w:rsidRPr="000254DF" w:rsidRDefault="00277323" w:rsidP="00BD06FC">
      <w:pPr>
        <w:pStyle w:val="Text1"/>
        <w:pBdr>
          <w:top w:val="single" w:sz="4" w:space="1" w:color="auto"/>
          <w:left w:val="single" w:sz="4" w:space="4" w:color="auto"/>
          <w:bottom w:val="single" w:sz="4" w:space="1" w:color="auto"/>
          <w:right w:val="single" w:sz="4" w:space="4" w:color="auto"/>
        </w:pBdr>
        <w:rPr>
          <w:noProof/>
          <w:color w:val="000000" w:themeColor="text1"/>
        </w:rPr>
      </w:pPr>
      <w:r w:rsidRPr="000254DF">
        <w:rPr>
          <w:noProof/>
        </w:rPr>
        <w:t>Neattiecas</w:t>
      </w:r>
    </w:p>
    <w:p w14:paraId="0930B393" w14:textId="3A74B444" w:rsidR="00277323" w:rsidRPr="000254DF" w:rsidRDefault="006039A2" w:rsidP="006039A2">
      <w:pPr>
        <w:pStyle w:val="ManualHeading2"/>
        <w:rPr>
          <w:bCs/>
          <w:noProof/>
          <w:szCs w:val="24"/>
        </w:rPr>
      </w:pPr>
      <w:bookmarkStart w:id="37" w:name="_Toc514938045"/>
      <w:bookmarkStart w:id="38" w:name="_Toc520485044"/>
      <w:r w:rsidRPr="006039A2">
        <w:t>2.2.</w:t>
      </w:r>
      <w:r w:rsidRPr="006039A2">
        <w:tab/>
      </w:r>
      <w:r w:rsidR="00277323" w:rsidRPr="000254DF">
        <w:rPr>
          <w:noProof/>
        </w:rPr>
        <w:t>Pārvaldības un kontroles sistēma</w:t>
      </w:r>
      <w:bookmarkEnd w:id="37"/>
      <w:bookmarkEnd w:id="38"/>
    </w:p>
    <w:p w14:paraId="2C65C8C6" w14:textId="11F68C65" w:rsidR="00277323" w:rsidRPr="000254DF" w:rsidRDefault="006039A2" w:rsidP="006039A2">
      <w:pPr>
        <w:pStyle w:val="ManualHeading3"/>
        <w:rPr>
          <w:noProof/>
        </w:rPr>
      </w:pPr>
      <w:bookmarkStart w:id="39" w:name="_Toc514938046"/>
      <w:bookmarkStart w:id="40" w:name="_Toc520485045"/>
      <w:r w:rsidRPr="006039A2">
        <w:t>2.2.1.</w:t>
      </w:r>
      <w:r w:rsidRPr="006039A2">
        <w:tab/>
      </w:r>
      <w:r w:rsidR="00277323" w:rsidRPr="000254DF">
        <w:rPr>
          <w:noProof/>
        </w:rPr>
        <w:t>Ierosināto pārvaldības veidu, finansējuma apgūšanas mehānismu, maksāšanas kārtības un kontroles stratēģijas pamatojums</w:t>
      </w:r>
      <w:bookmarkEnd w:id="39"/>
      <w:bookmarkEnd w:id="40"/>
    </w:p>
    <w:p w14:paraId="57D41A83"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color w:val="000000" w:themeColor="text1"/>
        </w:rPr>
      </w:pPr>
      <w:r w:rsidRPr="000254DF">
        <w:rPr>
          <w:noProof/>
          <w:color w:val="000000" w:themeColor="text1"/>
        </w:rPr>
        <w:t>Neattiecas</w:t>
      </w:r>
    </w:p>
    <w:p w14:paraId="7F09F179" w14:textId="57DE9B3E" w:rsidR="00277323" w:rsidRPr="000254DF" w:rsidRDefault="006039A2" w:rsidP="006039A2">
      <w:pPr>
        <w:pStyle w:val="ManualHeading3"/>
        <w:rPr>
          <w:bCs/>
          <w:noProof/>
          <w:szCs w:val="24"/>
        </w:rPr>
      </w:pPr>
      <w:bookmarkStart w:id="41" w:name="_Toc514938047"/>
      <w:bookmarkStart w:id="42" w:name="_Toc520485046"/>
      <w:r w:rsidRPr="006039A2">
        <w:t>2.2.2.</w:t>
      </w:r>
      <w:r w:rsidRPr="006039A2">
        <w:tab/>
      </w:r>
      <w:r w:rsidR="00277323" w:rsidRPr="000254DF">
        <w:rPr>
          <w:noProof/>
        </w:rPr>
        <w:t>Informācija par apzinātajiem riskiem un risku mazināšanai izveidoto iekšējās kontroles sistēmu</w:t>
      </w:r>
      <w:bookmarkEnd w:id="41"/>
      <w:bookmarkEnd w:id="42"/>
    </w:p>
    <w:p w14:paraId="3B819FA6"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color w:val="000000" w:themeColor="text1"/>
        </w:rPr>
      </w:pPr>
      <w:r w:rsidRPr="000254DF">
        <w:rPr>
          <w:noProof/>
          <w:color w:val="000000" w:themeColor="text1"/>
        </w:rPr>
        <w:t>Neattiecas</w:t>
      </w:r>
    </w:p>
    <w:p w14:paraId="76D68455" w14:textId="02CEF020" w:rsidR="00277323" w:rsidRPr="000254DF" w:rsidRDefault="006039A2" w:rsidP="006039A2">
      <w:pPr>
        <w:pStyle w:val="ManualHeading3"/>
        <w:rPr>
          <w:noProof/>
        </w:rPr>
      </w:pPr>
      <w:bookmarkStart w:id="43" w:name="_Toc514938048"/>
      <w:bookmarkStart w:id="44" w:name="_Toc520485047"/>
      <w:r w:rsidRPr="006039A2">
        <w:t>2.2.3.</w:t>
      </w:r>
      <w:r w:rsidRPr="006039A2">
        <w:tab/>
      </w:r>
      <w:r w:rsidR="00277323" w:rsidRPr="000254DF">
        <w:rPr>
          <w:noProof/>
        </w:rPr>
        <w:t>Kontroles izmaksefektivitātes (kontroles izmaksu attiecība pret attiecīgo pārvaldīto līdzekļu vērtību) aplēse un pamatojums un gaidāmā kļūdu riska līmeņa novērtējums (maksājumu izdarīšanas brīdī un slēgšanas brīdī)</w:t>
      </w:r>
      <w:bookmarkEnd w:id="43"/>
      <w:bookmarkEnd w:id="44"/>
      <w:r w:rsidR="00277323" w:rsidRPr="000254DF">
        <w:rPr>
          <w:noProof/>
        </w:rPr>
        <w:t xml:space="preserve"> </w:t>
      </w:r>
    </w:p>
    <w:p w14:paraId="1E9FB9B3"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color w:val="000000" w:themeColor="text1"/>
        </w:rPr>
      </w:pPr>
      <w:r w:rsidRPr="000254DF">
        <w:rPr>
          <w:noProof/>
        </w:rPr>
        <w:t>Neattiecas</w:t>
      </w:r>
    </w:p>
    <w:p w14:paraId="70A3D593" w14:textId="59B4A947" w:rsidR="00277323" w:rsidRPr="000254DF" w:rsidRDefault="006039A2" w:rsidP="006039A2">
      <w:pPr>
        <w:pStyle w:val="ManualHeading2"/>
        <w:rPr>
          <w:bCs/>
          <w:noProof/>
          <w:szCs w:val="24"/>
        </w:rPr>
      </w:pPr>
      <w:bookmarkStart w:id="45" w:name="_Toc514938049"/>
      <w:bookmarkStart w:id="46" w:name="_Toc520485048"/>
      <w:r w:rsidRPr="006039A2">
        <w:t>2.3.</w:t>
      </w:r>
      <w:r w:rsidRPr="006039A2">
        <w:tab/>
      </w:r>
      <w:r w:rsidR="00277323" w:rsidRPr="000254DF">
        <w:rPr>
          <w:noProof/>
        </w:rPr>
        <w:t>Krāpšanas un pārkāpumu novēršanas pasākumi</w:t>
      </w:r>
      <w:bookmarkEnd w:id="45"/>
      <w:bookmarkEnd w:id="46"/>
      <w:r w:rsidR="00277323" w:rsidRPr="000254DF">
        <w:rPr>
          <w:noProof/>
        </w:rPr>
        <w:t xml:space="preserve"> </w:t>
      </w:r>
    </w:p>
    <w:p w14:paraId="58456887" w14:textId="77777777" w:rsidR="00277323" w:rsidRPr="000254DF" w:rsidRDefault="00277323" w:rsidP="00277323">
      <w:pPr>
        <w:pStyle w:val="Text1"/>
        <w:rPr>
          <w:i/>
          <w:noProof/>
          <w:color w:val="000000" w:themeColor="text1"/>
          <w:sz w:val="20"/>
        </w:rPr>
      </w:pPr>
      <w:r w:rsidRPr="000254DF">
        <w:rPr>
          <w:i/>
          <w:noProof/>
          <w:color w:val="000000" w:themeColor="text1"/>
          <w:sz w:val="20"/>
        </w:rPr>
        <w:t>Norādīt esošos vai plānotos novēršanas pasākumus un citus pretpasākumus, piemēram, krāpšanas apkarošanas stratēģijā iekļautos pasākumus.</w:t>
      </w:r>
    </w:p>
    <w:p w14:paraId="79C7F442"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color w:val="000000" w:themeColor="text1"/>
        </w:rPr>
      </w:pPr>
      <w:r w:rsidRPr="000254DF">
        <w:rPr>
          <w:noProof/>
        </w:rPr>
        <w:t>Neattiecas</w:t>
      </w:r>
    </w:p>
    <w:p w14:paraId="06F2736D" w14:textId="77777777" w:rsidR="00277323" w:rsidRPr="000254DF" w:rsidRDefault="00277323" w:rsidP="00277323">
      <w:pPr>
        <w:rPr>
          <w:noProof/>
        </w:rPr>
        <w:sectPr w:rsidR="00277323" w:rsidRPr="000254DF" w:rsidSect="00400A03">
          <w:pgSz w:w="11907" w:h="16840" w:code="9"/>
          <w:pgMar w:top="1134" w:right="1418" w:bottom="1134" w:left="1418" w:header="709" w:footer="709" w:gutter="0"/>
          <w:cols w:space="708"/>
          <w:docGrid w:linePitch="360"/>
        </w:sectPr>
      </w:pPr>
    </w:p>
    <w:p w14:paraId="1E42E25C" w14:textId="287633F9" w:rsidR="00277323" w:rsidRPr="000254DF" w:rsidRDefault="006039A2" w:rsidP="006039A2">
      <w:pPr>
        <w:pStyle w:val="ManualHeading1"/>
        <w:rPr>
          <w:bCs/>
          <w:noProof/>
          <w:szCs w:val="24"/>
        </w:rPr>
      </w:pPr>
      <w:bookmarkStart w:id="47" w:name="_Toc514938050"/>
      <w:bookmarkStart w:id="48" w:name="_Toc520485049"/>
      <w:r w:rsidRPr="006039A2">
        <w:t>3.</w:t>
      </w:r>
      <w:r w:rsidRPr="006039A2">
        <w:tab/>
      </w:r>
      <w:r w:rsidR="00277323" w:rsidRPr="000254DF">
        <w:rPr>
          <w:noProof/>
        </w:rPr>
        <w:t>PRIEKŠLIKUMA/INICIATĪVAS APLĒSTĀ FINANSIĀLĀ IETEKME</w:t>
      </w:r>
      <w:bookmarkEnd w:id="47"/>
      <w:bookmarkEnd w:id="48"/>
      <w:r w:rsidR="00277323" w:rsidRPr="000254DF">
        <w:rPr>
          <w:noProof/>
        </w:rPr>
        <w:t xml:space="preserve"> </w:t>
      </w:r>
    </w:p>
    <w:p w14:paraId="06F29B06" w14:textId="4CD87E68" w:rsidR="00277323" w:rsidRPr="000254DF" w:rsidRDefault="006039A2" w:rsidP="006039A2">
      <w:pPr>
        <w:pStyle w:val="ManualHeading2"/>
        <w:rPr>
          <w:noProof/>
        </w:rPr>
      </w:pPr>
      <w:bookmarkStart w:id="49" w:name="_Toc514938051"/>
      <w:bookmarkStart w:id="50" w:name="_Toc520485050"/>
      <w:r w:rsidRPr="006039A2">
        <w:t>3.1.</w:t>
      </w:r>
      <w:r w:rsidRPr="006039A2">
        <w:tab/>
      </w:r>
      <w:r w:rsidR="00277323" w:rsidRPr="000254DF">
        <w:rPr>
          <w:noProof/>
        </w:rPr>
        <w:t>Attiecīgās daudzgadu finanšu shēmas izdevumu kategorijas un budžeta izdevumu pozīcijas</w:t>
      </w:r>
      <w:bookmarkEnd w:id="49"/>
      <w:bookmarkEnd w:id="50"/>
    </w:p>
    <w:p w14:paraId="2431E01E" w14:textId="53734DFB" w:rsidR="00277323" w:rsidRPr="000254DF" w:rsidRDefault="00F075D8" w:rsidP="00277323">
      <w:pPr>
        <w:pStyle w:val="ListBullet1"/>
        <w:rPr>
          <w:noProof/>
        </w:rPr>
      </w:pPr>
      <w:r>
        <w:rPr>
          <w:noProof/>
        </w:rPr>
        <w:t>Esošās budžeta pozīcijas</w:t>
      </w:r>
    </w:p>
    <w:p w14:paraId="286F9573" w14:textId="77777777" w:rsidR="00277323" w:rsidRPr="000254DF" w:rsidRDefault="00277323" w:rsidP="00277323">
      <w:pPr>
        <w:pStyle w:val="Text1"/>
        <w:rPr>
          <w:i/>
          <w:noProof/>
        </w:rPr>
      </w:pPr>
      <w:r w:rsidRPr="000254DF">
        <w:rPr>
          <w:i/>
          <w:noProof/>
          <w:u w:val="single"/>
        </w:rPr>
        <w:t>Sarindotas</w:t>
      </w:r>
      <w:r w:rsidRPr="000254DF">
        <w:rPr>
          <w:i/>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77323" w:rsidRPr="000254DF" w14:paraId="31C5AF0B" w14:textId="77777777" w:rsidTr="00B31F98">
        <w:tc>
          <w:tcPr>
            <w:tcW w:w="1080" w:type="dxa"/>
            <w:vMerge w:val="restart"/>
            <w:vAlign w:val="center"/>
          </w:tcPr>
          <w:p w14:paraId="5BC5193E" w14:textId="77777777" w:rsidR="00277323" w:rsidRPr="000254DF" w:rsidRDefault="00277323" w:rsidP="00B31F98">
            <w:pPr>
              <w:spacing w:before="60" w:after="60"/>
              <w:jc w:val="center"/>
              <w:rPr>
                <w:noProof/>
              </w:rPr>
            </w:pPr>
            <w:r w:rsidRPr="000254DF">
              <w:rPr>
                <w:noProof/>
                <w:sz w:val="18"/>
              </w:rPr>
              <w:t>Daudzgadu finanšu shēmas izdevumu kategorija</w:t>
            </w:r>
          </w:p>
        </w:tc>
        <w:tc>
          <w:tcPr>
            <w:tcW w:w="3960" w:type="dxa"/>
            <w:vAlign w:val="center"/>
          </w:tcPr>
          <w:p w14:paraId="33664FC4" w14:textId="77777777" w:rsidR="00277323" w:rsidRPr="000254DF" w:rsidRDefault="00277323" w:rsidP="00B31F98">
            <w:pPr>
              <w:spacing w:before="60" w:after="60"/>
              <w:jc w:val="center"/>
              <w:rPr>
                <w:noProof/>
              </w:rPr>
            </w:pPr>
            <w:r w:rsidRPr="000254DF">
              <w:rPr>
                <w:noProof/>
                <w:sz w:val="20"/>
              </w:rPr>
              <w:t>Budžeta pozīcija</w:t>
            </w:r>
          </w:p>
        </w:tc>
        <w:tc>
          <w:tcPr>
            <w:tcW w:w="1080" w:type="dxa"/>
            <w:vAlign w:val="center"/>
          </w:tcPr>
          <w:p w14:paraId="770EEFC9" w14:textId="77777777" w:rsidR="00277323" w:rsidRPr="00F075D8" w:rsidRDefault="00277323" w:rsidP="00B31F98">
            <w:pPr>
              <w:spacing w:before="60" w:after="60"/>
              <w:jc w:val="center"/>
              <w:rPr>
                <w:noProof/>
                <w:sz w:val="20"/>
                <w:szCs w:val="20"/>
              </w:rPr>
            </w:pPr>
            <w:r w:rsidRPr="00F075D8">
              <w:rPr>
                <w:noProof/>
                <w:sz w:val="20"/>
                <w:szCs w:val="20"/>
              </w:rPr>
              <w:t>Izdevumu veids</w:t>
            </w:r>
          </w:p>
        </w:tc>
        <w:tc>
          <w:tcPr>
            <w:tcW w:w="4440" w:type="dxa"/>
            <w:gridSpan w:val="4"/>
            <w:vAlign w:val="center"/>
          </w:tcPr>
          <w:p w14:paraId="1311ED34" w14:textId="77777777" w:rsidR="00277323" w:rsidRPr="000254DF" w:rsidRDefault="00277323" w:rsidP="00B31F98">
            <w:pPr>
              <w:spacing w:before="60" w:after="60"/>
              <w:jc w:val="center"/>
              <w:rPr>
                <w:noProof/>
              </w:rPr>
            </w:pPr>
            <w:r w:rsidRPr="000254DF">
              <w:rPr>
                <w:noProof/>
                <w:sz w:val="20"/>
              </w:rPr>
              <w:t xml:space="preserve">Iemaksas </w:t>
            </w:r>
          </w:p>
        </w:tc>
      </w:tr>
      <w:tr w:rsidR="00277323" w:rsidRPr="000254DF" w14:paraId="4A8E7855" w14:textId="77777777" w:rsidTr="00B31F98">
        <w:tc>
          <w:tcPr>
            <w:tcW w:w="1080" w:type="dxa"/>
            <w:vMerge/>
            <w:vAlign w:val="center"/>
          </w:tcPr>
          <w:p w14:paraId="07D919F5" w14:textId="77777777" w:rsidR="00277323" w:rsidRPr="000254DF" w:rsidRDefault="00277323" w:rsidP="00B31F98">
            <w:pPr>
              <w:jc w:val="center"/>
              <w:rPr>
                <w:noProof/>
              </w:rPr>
            </w:pPr>
          </w:p>
        </w:tc>
        <w:tc>
          <w:tcPr>
            <w:tcW w:w="3960" w:type="dxa"/>
            <w:vAlign w:val="center"/>
          </w:tcPr>
          <w:p w14:paraId="2EC58121" w14:textId="77777777" w:rsidR="00277323" w:rsidRPr="000254DF" w:rsidRDefault="00277323" w:rsidP="00B31F98">
            <w:pPr>
              <w:rPr>
                <w:noProof/>
              </w:rPr>
            </w:pPr>
            <w:r w:rsidRPr="000254DF">
              <w:rPr>
                <w:noProof/>
                <w:sz w:val="20"/>
              </w:rPr>
              <w:t xml:space="preserve">Nr. </w:t>
            </w:r>
            <w:r w:rsidRPr="000254DF">
              <w:rPr>
                <w:noProof/>
              </w:rPr>
              <w:t xml:space="preserve"> </w:t>
            </w:r>
            <w:r w:rsidRPr="000254DF">
              <w:rPr>
                <w:noProof/>
              </w:rPr>
              <w:br/>
            </w:r>
          </w:p>
        </w:tc>
        <w:tc>
          <w:tcPr>
            <w:tcW w:w="1080" w:type="dxa"/>
            <w:vAlign w:val="center"/>
          </w:tcPr>
          <w:p w14:paraId="69F7A082" w14:textId="77777777" w:rsidR="00277323" w:rsidRPr="000254DF" w:rsidRDefault="00277323" w:rsidP="00B31F98">
            <w:pPr>
              <w:jc w:val="center"/>
              <w:rPr>
                <w:noProof/>
              </w:rPr>
            </w:pPr>
            <w:r w:rsidRPr="000254DF">
              <w:rPr>
                <w:noProof/>
                <w:sz w:val="18"/>
              </w:rPr>
              <w:t>Dif./nedif.</w:t>
            </w:r>
            <w:r w:rsidRPr="000254DF">
              <w:rPr>
                <w:rStyle w:val="FootnoteReference"/>
                <w:noProof/>
                <w:sz w:val="18"/>
              </w:rPr>
              <w:footnoteReference w:id="6"/>
            </w:r>
          </w:p>
        </w:tc>
        <w:tc>
          <w:tcPr>
            <w:tcW w:w="956" w:type="dxa"/>
            <w:vAlign w:val="center"/>
          </w:tcPr>
          <w:p w14:paraId="5BD58D0B" w14:textId="77777777" w:rsidR="00277323" w:rsidRPr="000254DF" w:rsidRDefault="00277323" w:rsidP="00B31F98">
            <w:pPr>
              <w:jc w:val="center"/>
              <w:rPr>
                <w:noProof/>
              </w:rPr>
            </w:pPr>
            <w:r w:rsidRPr="000254DF">
              <w:rPr>
                <w:noProof/>
                <w:sz w:val="18"/>
              </w:rPr>
              <w:t>no EBTA valstīm</w:t>
            </w:r>
            <w:r w:rsidRPr="000254DF">
              <w:rPr>
                <w:rStyle w:val="FootnoteReference"/>
                <w:noProof/>
                <w:sz w:val="18"/>
              </w:rPr>
              <w:footnoteReference w:id="7"/>
            </w:r>
          </w:p>
          <w:p w14:paraId="2A90B577" w14:textId="77777777" w:rsidR="00277323" w:rsidRPr="000254DF" w:rsidRDefault="00277323" w:rsidP="00B31F98">
            <w:pPr>
              <w:spacing w:before="0" w:after="0"/>
              <w:jc w:val="center"/>
              <w:rPr>
                <w:b/>
                <w:noProof/>
                <w:sz w:val="18"/>
              </w:rPr>
            </w:pPr>
          </w:p>
        </w:tc>
        <w:tc>
          <w:tcPr>
            <w:tcW w:w="1080" w:type="dxa"/>
            <w:vAlign w:val="center"/>
          </w:tcPr>
          <w:p w14:paraId="0C8E613D" w14:textId="77777777" w:rsidR="00277323" w:rsidRPr="000254DF" w:rsidRDefault="00277323" w:rsidP="00B31F98">
            <w:pPr>
              <w:jc w:val="center"/>
              <w:rPr>
                <w:noProof/>
              </w:rPr>
            </w:pPr>
            <w:r w:rsidRPr="000254DF">
              <w:rPr>
                <w:noProof/>
                <w:sz w:val="18"/>
              </w:rPr>
              <w:t>no kandidātvalstīm</w:t>
            </w:r>
            <w:r w:rsidRPr="000254DF">
              <w:rPr>
                <w:rStyle w:val="FootnoteReference"/>
                <w:noProof/>
                <w:sz w:val="18"/>
              </w:rPr>
              <w:footnoteReference w:id="8"/>
            </w:r>
          </w:p>
          <w:p w14:paraId="4D350DD1" w14:textId="77777777" w:rsidR="00277323" w:rsidRPr="000254DF" w:rsidRDefault="00277323" w:rsidP="00B31F98">
            <w:pPr>
              <w:spacing w:before="0" w:after="0"/>
              <w:jc w:val="center"/>
              <w:rPr>
                <w:noProof/>
                <w:sz w:val="18"/>
              </w:rPr>
            </w:pPr>
          </w:p>
        </w:tc>
        <w:tc>
          <w:tcPr>
            <w:tcW w:w="956" w:type="dxa"/>
            <w:vAlign w:val="center"/>
          </w:tcPr>
          <w:p w14:paraId="075FEEA9" w14:textId="77777777" w:rsidR="00277323" w:rsidRPr="000254DF" w:rsidRDefault="00277323" w:rsidP="00B31F98">
            <w:pPr>
              <w:jc w:val="center"/>
              <w:rPr>
                <w:noProof/>
                <w:sz w:val="18"/>
              </w:rPr>
            </w:pPr>
            <w:r w:rsidRPr="000254DF">
              <w:rPr>
                <w:noProof/>
                <w:sz w:val="18"/>
              </w:rPr>
              <w:t>no trešām valstīm</w:t>
            </w:r>
          </w:p>
        </w:tc>
        <w:tc>
          <w:tcPr>
            <w:tcW w:w="1448" w:type="dxa"/>
            <w:vAlign w:val="center"/>
          </w:tcPr>
          <w:p w14:paraId="065373CF" w14:textId="77777777" w:rsidR="00277323" w:rsidRPr="000254DF" w:rsidRDefault="00277323" w:rsidP="00B31F98">
            <w:pPr>
              <w:jc w:val="center"/>
              <w:rPr>
                <w:noProof/>
              </w:rPr>
            </w:pPr>
            <w:r w:rsidRPr="000254DF">
              <w:rPr>
                <w:noProof/>
                <w:sz w:val="16"/>
              </w:rPr>
              <w:t xml:space="preserve">Finanšu regulas 21. panta 2. punkta b) apakšpunkta nozīmē </w:t>
            </w:r>
          </w:p>
        </w:tc>
      </w:tr>
      <w:tr w:rsidR="00277323" w:rsidRPr="000254DF" w14:paraId="683914F0" w14:textId="77777777" w:rsidTr="00B31F98">
        <w:tc>
          <w:tcPr>
            <w:tcW w:w="1080" w:type="dxa"/>
            <w:vAlign w:val="center"/>
          </w:tcPr>
          <w:p w14:paraId="56AB2E31" w14:textId="77777777" w:rsidR="00277323" w:rsidRPr="000254DF" w:rsidRDefault="002A39E3" w:rsidP="00B31F98">
            <w:pPr>
              <w:jc w:val="center"/>
              <w:rPr>
                <w:noProof/>
                <w:color w:val="0000FF"/>
              </w:rPr>
            </w:pPr>
            <w:r w:rsidRPr="000254DF">
              <w:rPr>
                <w:noProof/>
                <w:color w:val="000000" w:themeColor="text1"/>
              </w:rPr>
              <w:t>3</w:t>
            </w:r>
          </w:p>
        </w:tc>
        <w:tc>
          <w:tcPr>
            <w:tcW w:w="3960" w:type="dxa"/>
            <w:vAlign w:val="center"/>
          </w:tcPr>
          <w:p w14:paraId="0017FB6D" w14:textId="77777777" w:rsidR="00277323" w:rsidRPr="000254DF" w:rsidRDefault="00277323" w:rsidP="002A75B7">
            <w:pPr>
              <w:spacing w:before="60"/>
              <w:rPr>
                <w:noProof/>
              </w:rPr>
            </w:pPr>
            <w:r w:rsidRPr="000254DF">
              <w:rPr>
                <w:noProof/>
              </w:rPr>
              <w:t>08.030102</w:t>
            </w:r>
          </w:p>
        </w:tc>
        <w:tc>
          <w:tcPr>
            <w:tcW w:w="1080" w:type="dxa"/>
            <w:vAlign w:val="center"/>
          </w:tcPr>
          <w:p w14:paraId="33152E1C" w14:textId="77777777" w:rsidR="00277323" w:rsidRPr="000254DF" w:rsidRDefault="00277323" w:rsidP="00B31F98">
            <w:pPr>
              <w:jc w:val="center"/>
              <w:rPr>
                <w:noProof/>
                <w:color w:val="0000FF"/>
              </w:rPr>
            </w:pPr>
            <w:r w:rsidRPr="000254DF">
              <w:rPr>
                <w:noProof/>
                <w:sz w:val="22"/>
              </w:rPr>
              <w:t>Dif.</w:t>
            </w:r>
          </w:p>
        </w:tc>
        <w:tc>
          <w:tcPr>
            <w:tcW w:w="956" w:type="dxa"/>
            <w:vAlign w:val="center"/>
          </w:tcPr>
          <w:p w14:paraId="4E96B3C6" w14:textId="77777777" w:rsidR="00277323" w:rsidRPr="000254DF" w:rsidRDefault="00277323" w:rsidP="00B31F98">
            <w:pPr>
              <w:jc w:val="center"/>
              <w:rPr>
                <w:noProof/>
                <w:sz w:val="20"/>
                <w:szCs w:val="20"/>
              </w:rPr>
            </w:pPr>
            <w:r w:rsidRPr="000254DF">
              <w:rPr>
                <w:noProof/>
                <w:sz w:val="20"/>
                <w:szCs w:val="20"/>
              </w:rPr>
              <w:t>NĒ</w:t>
            </w:r>
          </w:p>
        </w:tc>
        <w:tc>
          <w:tcPr>
            <w:tcW w:w="1080" w:type="dxa"/>
            <w:vAlign w:val="center"/>
          </w:tcPr>
          <w:p w14:paraId="067BA4F9" w14:textId="77777777" w:rsidR="00277323" w:rsidRPr="000254DF" w:rsidRDefault="00277323" w:rsidP="00B31F98">
            <w:pPr>
              <w:jc w:val="center"/>
              <w:rPr>
                <w:noProof/>
                <w:sz w:val="20"/>
                <w:szCs w:val="20"/>
              </w:rPr>
            </w:pPr>
            <w:r w:rsidRPr="000254DF">
              <w:rPr>
                <w:noProof/>
                <w:sz w:val="20"/>
                <w:szCs w:val="20"/>
              </w:rPr>
              <w:t>NĒ</w:t>
            </w:r>
          </w:p>
        </w:tc>
        <w:tc>
          <w:tcPr>
            <w:tcW w:w="956" w:type="dxa"/>
            <w:vAlign w:val="center"/>
          </w:tcPr>
          <w:p w14:paraId="5074A977" w14:textId="77777777" w:rsidR="00277323" w:rsidRPr="000254DF" w:rsidRDefault="00277323" w:rsidP="00B31F98">
            <w:pPr>
              <w:jc w:val="center"/>
              <w:rPr>
                <w:noProof/>
                <w:sz w:val="20"/>
                <w:szCs w:val="20"/>
              </w:rPr>
            </w:pPr>
            <w:r w:rsidRPr="000254DF">
              <w:rPr>
                <w:noProof/>
                <w:sz w:val="20"/>
                <w:szCs w:val="20"/>
              </w:rPr>
              <w:t>NĒ</w:t>
            </w:r>
          </w:p>
        </w:tc>
        <w:tc>
          <w:tcPr>
            <w:tcW w:w="1448" w:type="dxa"/>
            <w:vAlign w:val="center"/>
          </w:tcPr>
          <w:p w14:paraId="26961F3C" w14:textId="77777777" w:rsidR="00277323" w:rsidRPr="000254DF" w:rsidRDefault="00277323" w:rsidP="00B31F98">
            <w:pPr>
              <w:jc w:val="center"/>
              <w:rPr>
                <w:noProof/>
                <w:sz w:val="20"/>
                <w:szCs w:val="20"/>
              </w:rPr>
            </w:pPr>
            <w:r w:rsidRPr="000254DF">
              <w:rPr>
                <w:noProof/>
                <w:sz w:val="20"/>
                <w:szCs w:val="20"/>
              </w:rPr>
              <w:t>NĒ</w:t>
            </w:r>
          </w:p>
        </w:tc>
      </w:tr>
    </w:tbl>
    <w:p w14:paraId="70E53AB6" w14:textId="77777777" w:rsidR="00277323" w:rsidRPr="000254DF" w:rsidRDefault="00277323" w:rsidP="00277323">
      <w:pPr>
        <w:pStyle w:val="ListBullet1"/>
        <w:rPr>
          <w:noProof/>
        </w:rPr>
      </w:pPr>
      <w:r w:rsidRPr="000254DF">
        <w:rPr>
          <w:noProof/>
        </w:rPr>
        <w:t xml:space="preserve">Jaunveidojamās budžeta pozīcijas </w:t>
      </w:r>
    </w:p>
    <w:p w14:paraId="250A5E2A" w14:textId="77777777" w:rsidR="00277323" w:rsidRPr="000254DF" w:rsidRDefault="00277323" w:rsidP="00277323">
      <w:pPr>
        <w:pStyle w:val="Text1"/>
        <w:rPr>
          <w:i/>
          <w:noProof/>
          <w:sz w:val="20"/>
        </w:rPr>
      </w:pPr>
      <w:r w:rsidRPr="000254DF">
        <w:rPr>
          <w:i/>
          <w:noProof/>
          <w:u w:val="single"/>
        </w:rPr>
        <w:t>Sarindotas</w:t>
      </w:r>
      <w:r w:rsidRPr="000254DF">
        <w:rPr>
          <w:i/>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77323" w:rsidRPr="000254DF" w14:paraId="30512AFE" w14:textId="77777777" w:rsidTr="00B31F98">
        <w:tc>
          <w:tcPr>
            <w:tcW w:w="1080" w:type="dxa"/>
            <w:vMerge w:val="restart"/>
            <w:vAlign w:val="center"/>
          </w:tcPr>
          <w:p w14:paraId="19CB4973" w14:textId="77777777" w:rsidR="00277323" w:rsidRPr="000254DF" w:rsidRDefault="00277323" w:rsidP="00B31F98">
            <w:pPr>
              <w:spacing w:before="60" w:after="60"/>
              <w:jc w:val="center"/>
              <w:rPr>
                <w:noProof/>
                <w:sz w:val="18"/>
                <w:szCs w:val="18"/>
              </w:rPr>
            </w:pPr>
            <w:r w:rsidRPr="000254DF">
              <w:rPr>
                <w:noProof/>
                <w:sz w:val="18"/>
              </w:rPr>
              <w:t>Daudzgadu finanšu shēmas izdevumu kategorija</w:t>
            </w:r>
          </w:p>
        </w:tc>
        <w:tc>
          <w:tcPr>
            <w:tcW w:w="3960" w:type="dxa"/>
            <w:vAlign w:val="center"/>
          </w:tcPr>
          <w:p w14:paraId="26CD929A" w14:textId="77777777" w:rsidR="00277323" w:rsidRPr="000254DF" w:rsidRDefault="00277323" w:rsidP="00B31F98">
            <w:pPr>
              <w:spacing w:before="60" w:after="60"/>
              <w:jc w:val="center"/>
              <w:rPr>
                <w:noProof/>
              </w:rPr>
            </w:pPr>
            <w:r w:rsidRPr="000254DF">
              <w:rPr>
                <w:noProof/>
                <w:sz w:val="20"/>
              </w:rPr>
              <w:t>Budžeta pozīcija</w:t>
            </w:r>
          </w:p>
        </w:tc>
        <w:tc>
          <w:tcPr>
            <w:tcW w:w="1080" w:type="dxa"/>
            <w:vAlign w:val="center"/>
          </w:tcPr>
          <w:p w14:paraId="377DDEE9" w14:textId="77777777" w:rsidR="00277323" w:rsidRPr="000254DF" w:rsidRDefault="00277323" w:rsidP="00B31F98">
            <w:pPr>
              <w:spacing w:before="60" w:after="60"/>
              <w:jc w:val="center"/>
              <w:rPr>
                <w:noProof/>
              </w:rPr>
            </w:pPr>
            <w:r w:rsidRPr="000254DF">
              <w:rPr>
                <w:noProof/>
                <w:sz w:val="18"/>
              </w:rPr>
              <w:t>Izdevumu</w:t>
            </w:r>
            <w:r w:rsidRPr="000254DF">
              <w:rPr>
                <w:noProof/>
              </w:rPr>
              <w:t xml:space="preserve"> </w:t>
            </w:r>
            <w:r w:rsidRPr="000254DF">
              <w:rPr>
                <w:noProof/>
              </w:rPr>
              <w:br/>
            </w:r>
            <w:r w:rsidRPr="000254DF">
              <w:rPr>
                <w:noProof/>
                <w:sz w:val="18"/>
              </w:rPr>
              <w:t>veids</w:t>
            </w:r>
          </w:p>
        </w:tc>
        <w:tc>
          <w:tcPr>
            <w:tcW w:w="4440" w:type="dxa"/>
            <w:gridSpan w:val="4"/>
            <w:vAlign w:val="center"/>
          </w:tcPr>
          <w:p w14:paraId="72DD56A0" w14:textId="77777777" w:rsidR="00277323" w:rsidRPr="000254DF" w:rsidRDefault="00277323" w:rsidP="00B31F98">
            <w:pPr>
              <w:spacing w:before="60" w:after="60"/>
              <w:jc w:val="center"/>
              <w:rPr>
                <w:noProof/>
              </w:rPr>
            </w:pPr>
            <w:r w:rsidRPr="000254DF">
              <w:rPr>
                <w:noProof/>
                <w:sz w:val="20"/>
              </w:rPr>
              <w:t xml:space="preserve">Iemaksas </w:t>
            </w:r>
          </w:p>
        </w:tc>
      </w:tr>
      <w:tr w:rsidR="00277323" w:rsidRPr="000254DF" w14:paraId="7451F629" w14:textId="77777777" w:rsidTr="00B31F98">
        <w:tc>
          <w:tcPr>
            <w:tcW w:w="1080" w:type="dxa"/>
            <w:vMerge/>
            <w:vAlign w:val="center"/>
          </w:tcPr>
          <w:p w14:paraId="34EB1749" w14:textId="77777777" w:rsidR="00277323" w:rsidRPr="000254DF" w:rsidRDefault="00277323" w:rsidP="00B31F98">
            <w:pPr>
              <w:jc w:val="center"/>
              <w:rPr>
                <w:noProof/>
              </w:rPr>
            </w:pPr>
          </w:p>
        </w:tc>
        <w:tc>
          <w:tcPr>
            <w:tcW w:w="3960" w:type="dxa"/>
            <w:vAlign w:val="center"/>
          </w:tcPr>
          <w:p w14:paraId="39E90A29" w14:textId="77777777" w:rsidR="00277323" w:rsidRPr="000254DF" w:rsidRDefault="00277323" w:rsidP="00B31F98">
            <w:pPr>
              <w:rPr>
                <w:noProof/>
              </w:rPr>
            </w:pPr>
            <w:r w:rsidRPr="000254DF">
              <w:rPr>
                <w:noProof/>
                <w:sz w:val="20"/>
              </w:rPr>
              <w:t xml:space="preserve">Nr. </w:t>
            </w:r>
            <w:r w:rsidRPr="000254DF">
              <w:rPr>
                <w:noProof/>
              </w:rPr>
              <w:t xml:space="preserve"> </w:t>
            </w:r>
            <w:r w:rsidRPr="000254DF">
              <w:rPr>
                <w:noProof/>
              </w:rPr>
              <w:br/>
            </w:r>
          </w:p>
        </w:tc>
        <w:tc>
          <w:tcPr>
            <w:tcW w:w="1080" w:type="dxa"/>
            <w:vAlign w:val="center"/>
          </w:tcPr>
          <w:p w14:paraId="3C379B0A" w14:textId="77777777" w:rsidR="00277323" w:rsidRPr="000254DF" w:rsidRDefault="00277323" w:rsidP="00B31F98">
            <w:pPr>
              <w:jc w:val="center"/>
              <w:rPr>
                <w:noProof/>
              </w:rPr>
            </w:pPr>
            <w:r w:rsidRPr="000254DF">
              <w:rPr>
                <w:noProof/>
                <w:sz w:val="18"/>
              </w:rPr>
              <w:t>Dif./nedif.</w:t>
            </w:r>
          </w:p>
        </w:tc>
        <w:tc>
          <w:tcPr>
            <w:tcW w:w="956" w:type="dxa"/>
            <w:vAlign w:val="center"/>
          </w:tcPr>
          <w:p w14:paraId="3C43A7CC" w14:textId="77777777" w:rsidR="00277323" w:rsidRPr="000254DF" w:rsidRDefault="00277323" w:rsidP="00B31F98">
            <w:pPr>
              <w:jc w:val="center"/>
              <w:rPr>
                <w:noProof/>
                <w:sz w:val="18"/>
              </w:rPr>
            </w:pPr>
            <w:r w:rsidRPr="000254DF">
              <w:rPr>
                <w:noProof/>
                <w:sz w:val="18"/>
              </w:rPr>
              <w:t>no EBTA valstīm</w:t>
            </w:r>
          </w:p>
        </w:tc>
        <w:tc>
          <w:tcPr>
            <w:tcW w:w="1080" w:type="dxa"/>
            <w:vAlign w:val="center"/>
          </w:tcPr>
          <w:p w14:paraId="0A891CCC" w14:textId="77777777" w:rsidR="00277323" w:rsidRPr="000254DF" w:rsidRDefault="00277323" w:rsidP="00B31F98">
            <w:pPr>
              <w:jc w:val="center"/>
              <w:rPr>
                <w:noProof/>
                <w:sz w:val="18"/>
              </w:rPr>
            </w:pPr>
            <w:r w:rsidRPr="000254DF">
              <w:rPr>
                <w:noProof/>
                <w:sz w:val="18"/>
              </w:rPr>
              <w:t>no kandidātvalstīm</w:t>
            </w:r>
          </w:p>
        </w:tc>
        <w:tc>
          <w:tcPr>
            <w:tcW w:w="956" w:type="dxa"/>
            <w:vAlign w:val="center"/>
          </w:tcPr>
          <w:p w14:paraId="49226FDD" w14:textId="77777777" w:rsidR="00277323" w:rsidRPr="000254DF" w:rsidRDefault="00277323" w:rsidP="00B31F98">
            <w:pPr>
              <w:jc w:val="center"/>
              <w:rPr>
                <w:noProof/>
                <w:sz w:val="18"/>
              </w:rPr>
            </w:pPr>
            <w:r w:rsidRPr="000254DF">
              <w:rPr>
                <w:noProof/>
                <w:sz w:val="18"/>
              </w:rPr>
              <w:t>no trešām valstīm</w:t>
            </w:r>
          </w:p>
        </w:tc>
        <w:tc>
          <w:tcPr>
            <w:tcW w:w="1448" w:type="dxa"/>
            <w:vAlign w:val="center"/>
          </w:tcPr>
          <w:p w14:paraId="492A3C23" w14:textId="77777777" w:rsidR="00277323" w:rsidRPr="000254DF" w:rsidRDefault="00277323" w:rsidP="00B31F98">
            <w:pPr>
              <w:jc w:val="center"/>
              <w:rPr>
                <w:noProof/>
              </w:rPr>
            </w:pPr>
            <w:r w:rsidRPr="000254DF">
              <w:rPr>
                <w:noProof/>
                <w:sz w:val="16"/>
              </w:rPr>
              <w:t xml:space="preserve">Finanšu regulas 21. panta 2. punkta b) apakšpunkta nozīmē </w:t>
            </w:r>
          </w:p>
        </w:tc>
      </w:tr>
      <w:tr w:rsidR="00277323" w:rsidRPr="000254DF" w14:paraId="2A3D9EA8" w14:textId="77777777" w:rsidTr="00B31F98">
        <w:tc>
          <w:tcPr>
            <w:tcW w:w="1080" w:type="dxa"/>
            <w:vAlign w:val="center"/>
          </w:tcPr>
          <w:p w14:paraId="075D6EDF" w14:textId="77777777" w:rsidR="00277323" w:rsidRPr="000254DF" w:rsidRDefault="00277323" w:rsidP="00B31F98">
            <w:pPr>
              <w:jc w:val="center"/>
              <w:rPr>
                <w:noProof/>
                <w:color w:val="0000FF"/>
              </w:rPr>
            </w:pPr>
          </w:p>
        </w:tc>
        <w:tc>
          <w:tcPr>
            <w:tcW w:w="3960" w:type="dxa"/>
            <w:vAlign w:val="center"/>
          </w:tcPr>
          <w:p w14:paraId="26730AC0" w14:textId="77777777" w:rsidR="00277323" w:rsidRPr="000254DF" w:rsidRDefault="00277323" w:rsidP="00B31F98">
            <w:pPr>
              <w:spacing w:before="60"/>
              <w:rPr>
                <w:noProof/>
              </w:rPr>
            </w:pPr>
            <w:r w:rsidRPr="000254DF">
              <w:rPr>
                <w:noProof/>
                <w:sz w:val="22"/>
              </w:rPr>
              <w:t>Neattiecas</w:t>
            </w:r>
          </w:p>
          <w:p w14:paraId="267021E5" w14:textId="77777777" w:rsidR="00277323" w:rsidRPr="000254DF" w:rsidRDefault="00277323" w:rsidP="00B31F98">
            <w:pPr>
              <w:spacing w:after="60"/>
              <w:rPr>
                <w:noProof/>
                <w:color w:val="0000FF"/>
              </w:rPr>
            </w:pPr>
          </w:p>
        </w:tc>
        <w:tc>
          <w:tcPr>
            <w:tcW w:w="1080" w:type="dxa"/>
            <w:vAlign w:val="center"/>
          </w:tcPr>
          <w:p w14:paraId="36D1263C" w14:textId="77777777" w:rsidR="00277323" w:rsidRPr="000254DF" w:rsidRDefault="00277323" w:rsidP="00B31F98">
            <w:pPr>
              <w:jc w:val="center"/>
              <w:rPr>
                <w:noProof/>
                <w:color w:val="0000FF"/>
              </w:rPr>
            </w:pPr>
          </w:p>
        </w:tc>
        <w:tc>
          <w:tcPr>
            <w:tcW w:w="956" w:type="dxa"/>
            <w:vAlign w:val="center"/>
          </w:tcPr>
          <w:p w14:paraId="10B48FAF" w14:textId="77777777" w:rsidR="00277323" w:rsidRPr="000254DF" w:rsidRDefault="00277323" w:rsidP="00B31F98">
            <w:pPr>
              <w:jc w:val="center"/>
              <w:rPr>
                <w:noProof/>
                <w:sz w:val="20"/>
                <w:szCs w:val="20"/>
              </w:rPr>
            </w:pPr>
            <w:r w:rsidRPr="000254DF">
              <w:rPr>
                <w:noProof/>
                <w:sz w:val="20"/>
                <w:szCs w:val="20"/>
              </w:rPr>
              <w:t>NĒ</w:t>
            </w:r>
          </w:p>
        </w:tc>
        <w:tc>
          <w:tcPr>
            <w:tcW w:w="1080" w:type="dxa"/>
            <w:vAlign w:val="center"/>
          </w:tcPr>
          <w:p w14:paraId="79F8F5C7" w14:textId="77777777" w:rsidR="00277323" w:rsidRPr="000254DF" w:rsidRDefault="00277323" w:rsidP="00B31F98">
            <w:pPr>
              <w:jc w:val="center"/>
              <w:rPr>
                <w:noProof/>
                <w:color w:val="0000FF"/>
                <w:sz w:val="20"/>
                <w:szCs w:val="20"/>
              </w:rPr>
            </w:pPr>
            <w:r w:rsidRPr="000254DF">
              <w:rPr>
                <w:noProof/>
                <w:sz w:val="20"/>
                <w:szCs w:val="20"/>
              </w:rPr>
              <w:t>NĒ</w:t>
            </w:r>
          </w:p>
        </w:tc>
        <w:tc>
          <w:tcPr>
            <w:tcW w:w="956" w:type="dxa"/>
            <w:vAlign w:val="center"/>
          </w:tcPr>
          <w:p w14:paraId="5EF9BEE3" w14:textId="77777777" w:rsidR="00277323" w:rsidRPr="000254DF" w:rsidRDefault="00277323" w:rsidP="00B31F98">
            <w:pPr>
              <w:jc w:val="center"/>
              <w:rPr>
                <w:noProof/>
                <w:color w:val="0000FF"/>
                <w:sz w:val="20"/>
                <w:szCs w:val="20"/>
              </w:rPr>
            </w:pPr>
            <w:r w:rsidRPr="000254DF">
              <w:rPr>
                <w:noProof/>
                <w:sz w:val="20"/>
                <w:szCs w:val="20"/>
              </w:rPr>
              <w:t>NĒ</w:t>
            </w:r>
          </w:p>
        </w:tc>
        <w:tc>
          <w:tcPr>
            <w:tcW w:w="1448" w:type="dxa"/>
            <w:vAlign w:val="center"/>
          </w:tcPr>
          <w:p w14:paraId="2E1D0460" w14:textId="77777777" w:rsidR="00277323" w:rsidRPr="000254DF" w:rsidRDefault="00277323" w:rsidP="00B31F98">
            <w:pPr>
              <w:jc w:val="center"/>
              <w:rPr>
                <w:noProof/>
                <w:sz w:val="20"/>
                <w:szCs w:val="20"/>
              </w:rPr>
            </w:pPr>
            <w:r w:rsidRPr="000254DF">
              <w:rPr>
                <w:noProof/>
                <w:sz w:val="20"/>
                <w:szCs w:val="20"/>
              </w:rPr>
              <w:t>NĒ</w:t>
            </w:r>
          </w:p>
        </w:tc>
      </w:tr>
    </w:tbl>
    <w:p w14:paraId="18FC6D53" w14:textId="77777777" w:rsidR="00277323" w:rsidRPr="000254DF" w:rsidRDefault="00277323" w:rsidP="00277323">
      <w:pPr>
        <w:rPr>
          <w:noProof/>
        </w:rPr>
        <w:sectPr w:rsidR="00277323" w:rsidRPr="000254DF" w:rsidSect="00400A03">
          <w:pgSz w:w="11907" w:h="16840" w:code="1"/>
          <w:pgMar w:top="1134" w:right="1418" w:bottom="1134" w:left="1418" w:header="709" w:footer="709" w:gutter="0"/>
          <w:cols w:space="708"/>
          <w:docGrid w:linePitch="360"/>
        </w:sectPr>
      </w:pPr>
    </w:p>
    <w:p w14:paraId="26FAB7E9" w14:textId="0EA78CFD" w:rsidR="00277323" w:rsidRPr="000254DF" w:rsidRDefault="006039A2" w:rsidP="006039A2">
      <w:pPr>
        <w:pStyle w:val="ManualHeading2"/>
        <w:rPr>
          <w:bCs/>
          <w:noProof/>
          <w:szCs w:val="24"/>
        </w:rPr>
      </w:pPr>
      <w:bookmarkStart w:id="51" w:name="_Toc514938052"/>
      <w:bookmarkStart w:id="52" w:name="_Toc520485051"/>
      <w:r w:rsidRPr="006039A2">
        <w:t>3.2.</w:t>
      </w:r>
      <w:r w:rsidRPr="006039A2">
        <w:tab/>
      </w:r>
      <w:r w:rsidR="00277323" w:rsidRPr="000254DF">
        <w:rPr>
          <w:noProof/>
        </w:rPr>
        <w:t>Priekšlikuma aplēstā finansiālā ietekme uz apropriācijām</w:t>
      </w:r>
      <w:bookmarkEnd w:id="51"/>
      <w:bookmarkEnd w:id="52"/>
      <w:r w:rsidR="00277323" w:rsidRPr="000254DF">
        <w:rPr>
          <w:noProof/>
        </w:rPr>
        <w:t xml:space="preserve"> </w:t>
      </w:r>
    </w:p>
    <w:p w14:paraId="7B6E264E" w14:textId="4F0F07B5" w:rsidR="00277323" w:rsidRPr="000254DF" w:rsidRDefault="006039A2" w:rsidP="006039A2">
      <w:pPr>
        <w:pStyle w:val="ManualHeading3"/>
        <w:rPr>
          <w:noProof/>
        </w:rPr>
      </w:pPr>
      <w:bookmarkStart w:id="53" w:name="_Toc514938053"/>
      <w:bookmarkStart w:id="54" w:name="_Toc520485052"/>
      <w:r w:rsidRPr="006039A2">
        <w:t>3.2.1.</w:t>
      </w:r>
      <w:r w:rsidRPr="006039A2">
        <w:tab/>
      </w:r>
      <w:r w:rsidR="00277323" w:rsidRPr="000254DF">
        <w:rPr>
          <w:noProof/>
        </w:rPr>
        <w:t>Kopsavilkums par aplēsto ietekmi uz darbības apropriācijām</w:t>
      </w:r>
      <w:bookmarkEnd w:id="53"/>
      <w:bookmarkEnd w:id="54"/>
      <w:r w:rsidR="00277323" w:rsidRPr="000254DF">
        <w:rPr>
          <w:noProof/>
        </w:rPr>
        <w:t xml:space="preserve"> </w:t>
      </w:r>
    </w:p>
    <w:p w14:paraId="4BC0752C" w14:textId="77777777" w:rsidR="00277323" w:rsidRPr="000254DF" w:rsidRDefault="00277323" w:rsidP="00277323">
      <w:pPr>
        <w:pStyle w:val="ListDash1"/>
        <w:rPr>
          <w:noProof/>
        </w:rPr>
      </w:pPr>
      <w:r w:rsidRPr="000254DF">
        <w:rPr>
          <w:noProof/>
        </w:rPr>
        <w:sym w:font="Wingdings" w:char="F0A8"/>
      </w:r>
      <w:r w:rsidRPr="000254DF">
        <w:rPr>
          <w:noProof/>
        </w:rPr>
        <w:tab/>
        <w:t xml:space="preserve">Priekšlikumam/iniciatīvai nav vajadzīgas darbības apropriācijas </w:t>
      </w:r>
    </w:p>
    <w:p w14:paraId="315BF61F" w14:textId="77777777" w:rsidR="00277323" w:rsidRPr="000254DF" w:rsidRDefault="00277323" w:rsidP="00277323">
      <w:pPr>
        <w:pStyle w:val="ListDash1"/>
        <w:rPr>
          <w:noProof/>
        </w:rPr>
      </w:pPr>
      <w:r w:rsidRPr="000254DF">
        <w:rPr>
          <w:noProof/>
        </w:rPr>
        <w:t>X</w:t>
      </w:r>
      <w:r w:rsidRPr="000254DF">
        <w:rPr>
          <w:noProof/>
        </w:rPr>
        <w:tab/>
        <w:t>Priekšlikumam/iniciatīvai ir vajadzīgas šādas darbības apropriācijas:</w:t>
      </w:r>
    </w:p>
    <w:p w14:paraId="2FFDD4A3" w14:textId="77777777" w:rsidR="00277323" w:rsidRPr="000254DF" w:rsidRDefault="00277323" w:rsidP="00277323">
      <w:pPr>
        <w:jc w:val="right"/>
        <w:rPr>
          <w:noProof/>
          <w:sz w:val="18"/>
          <w:szCs w:val="18"/>
        </w:rPr>
      </w:pPr>
      <w:r w:rsidRPr="000254DF">
        <w:rPr>
          <w:noProof/>
          <w:sz w:val="18"/>
          <w:szCs w:val="18"/>
        </w:rPr>
        <w:t>miljonos EUR (trīs zīmes aiz komata)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77323" w:rsidRPr="000254DF" w14:paraId="264935A6" w14:textId="77777777" w:rsidTr="00B31F98">
        <w:trPr>
          <w:jc w:val="center"/>
        </w:trPr>
        <w:tc>
          <w:tcPr>
            <w:tcW w:w="4744" w:type="dxa"/>
            <w:shd w:val="thinDiagStripe" w:color="C0C0C0" w:fill="auto"/>
            <w:vAlign w:val="center"/>
          </w:tcPr>
          <w:p w14:paraId="37D32EBB" w14:textId="77777777" w:rsidR="00277323" w:rsidRPr="000254DF" w:rsidRDefault="00277323" w:rsidP="00B31F98">
            <w:pPr>
              <w:spacing w:before="60" w:after="60"/>
              <w:jc w:val="center"/>
              <w:rPr>
                <w:b/>
                <w:noProof/>
              </w:rPr>
            </w:pPr>
            <w:r w:rsidRPr="000254DF">
              <w:rPr>
                <w:b/>
                <w:noProof/>
                <w:sz w:val="22"/>
              </w:rPr>
              <w:t>Daudzgadu finanšu shēmas</w:t>
            </w:r>
            <w:r w:rsidRPr="000254DF">
              <w:rPr>
                <w:b/>
                <w:noProof/>
                <w:sz w:val="22"/>
              </w:rPr>
              <w:br/>
              <w:t xml:space="preserve">izdevumu kategorija </w:t>
            </w:r>
          </w:p>
        </w:tc>
        <w:tc>
          <w:tcPr>
            <w:tcW w:w="1080" w:type="dxa"/>
            <w:vAlign w:val="center"/>
          </w:tcPr>
          <w:p w14:paraId="1A9D7633" w14:textId="02351881" w:rsidR="00277323" w:rsidRPr="000254DF" w:rsidRDefault="00277323" w:rsidP="00F075D8">
            <w:pPr>
              <w:spacing w:before="60" w:after="60"/>
              <w:jc w:val="center"/>
              <w:rPr>
                <w:noProof/>
              </w:rPr>
            </w:pPr>
            <w:r w:rsidRPr="000254DF">
              <w:rPr>
                <w:noProof/>
                <w:sz w:val="22"/>
              </w:rPr>
              <w:t>Nr.</w:t>
            </w:r>
            <w:r w:rsidR="00F075D8">
              <w:rPr>
                <w:noProof/>
                <w:sz w:val="22"/>
              </w:rPr>
              <w:t> 3</w:t>
            </w:r>
          </w:p>
        </w:tc>
        <w:tc>
          <w:tcPr>
            <w:tcW w:w="7817" w:type="dxa"/>
            <w:vAlign w:val="center"/>
          </w:tcPr>
          <w:p w14:paraId="25CC363B" w14:textId="77777777" w:rsidR="00277323" w:rsidRPr="000254DF" w:rsidRDefault="000F0A02" w:rsidP="00B31F98">
            <w:pPr>
              <w:spacing w:before="60" w:after="60"/>
              <w:rPr>
                <w:noProof/>
              </w:rPr>
            </w:pPr>
            <w:r w:rsidRPr="000254DF">
              <w:rPr>
                <w:noProof/>
              </w:rPr>
              <w:t>Dabas resursi un vide</w:t>
            </w:r>
          </w:p>
        </w:tc>
      </w:tr>
    </w:tbl>
    <w:p w14:paraId="619BEE54" w14:textId="77777777" w:rsidR="00277323" w:rsidRPr="000254DF" w:rsidRDefault="00277323" w:rsidP="00277323">
      <w:pPr>
        <w:rPr>
          <w:b/>
          <w:i/>
          <w:noProof/>
        </w:rPr>
      </w:pPr>
    </w:p>
    <w:p w14:paraId="3613023B" w14:textId="77777777" w:rsidR="009E2DFC" w:rsidRPr="000254DF" w:rsidRDefault="00277323" w:rsidP="00277323">
      <w:pPr>
        <w:rPr>
          <w:b/>
          <w:i/>
          <w:noProof/>
        </w:rPr>
      </w:pPr>
      <w:r w:rsidRPr="000254DF">
        <w:rPr>
          <w:b/>
          <w:i/>
          <w:noProof/>
        </w:rPr>
        <w:t xml:space="preserve">Saistību apropriācijas netiek ietekmētas. Tā kā šo grozījumu finansēs, dalībvalstu lauku attīstības programmās izdarot grozījumus saskaņotā finansējuma robežās, papildu maksājumu apropriācijas kopumā nebūs vajadzīgas, un jebkādus maksājumus par šo pasākumu izlīdzinās ar mazākiem maksājumiem par citiem lauku attīstības pasākumiem. </w:t>
      </w:r>
    </w:p>
    <w:p w14:paraId="124952A0" w14:textId="77777777" w:rsidR="00277323" w:rsidRPr="000254DF" w:rsidRDefault="00277323" w:rsidP="00277323">
      <w:pPr>
        <w:rPr>
          <w:b/>
          <w:i/>
          <w:noProof/>
        </w:rPr>
      </w:pPr>
      <w:r w:rsidRPr="000254DF">
        <w:rPr>
          <w:b/>
          <w:i/>
          <w:noProof/>
        </w:rPr>
        <w:t xml:space="preserve">Tiek pieņemts, ka priekšlikums neietekmē ELFLA maksājumu apropriācijas 2022. gada budžetā. Ņemot vērā laiku, kas dalībvalstīm vajadzīgs šā jaunā pasākuma īstenošanai, gaidāms, ka saistītie izdevumi tiks deklarēti 2023. gada trešajā ceturksnī un tādējādi ietekmēs 2023. gada budžetu. Attiecīgā ietekme uz maksājumu apropriācijām, kas tiek lēsta aptuveni 450 miljonu EUR apmērā, tiks pielāgota tādu maksājumu apropriāciju līmenī, kas pieprasītas 2023. gada budžeta projektā, un izlīdzināsies ar attiecīgu maksājumu vajadzību samazinājumu nākamajos gados (sk. tālāk). </w:t>
      </w:r>
    </w:p>
    <w:p w14:paraId="21F378A7" w14:textId="77777777" w:rsidR="00277323" w:rsidRPr="000254DF" w:rsidRDefault="00277323" w:rsidP="00277323">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277323" w:rsidRPr="000254DF" w14:paraId="7B8041C4" w14:textId="77777777" w:rsidTr="00B31F98">
        <w:tc>
          <w:tcPr>
            <w:tcW w:w="3960" w:type="dxa"/>
            <w:vAlign w:val="center"/>
          </w:tcPr>
          <w:p w14:paraId="14685ECF" w14:textId="77777777" w:rsidR="00277323" w:rsidRPr="000254DF" w:rsidRDefault="00277323" w:rsidP="00B31F98">
            <w:pPr>
              <w:jc w:val="center"/>
              <w:rPr>
                <w:noProof/>
              </w:rPr>
            </w:pPr>
            <w:r w:rsidRPr="000254DF">
              <w:rPr>
                <w:i/>
                <w:iCs/>
                <w:noProof/>
                <w:sz w:val="22"/>
              </w:rPr>
              <w:t>AGRI</w:t>
            </w:r>
            <w:r w:rsidRPr="000254DF">
              <w:rPr>
                <w:noProof/>
                <w:sz w:val="22"/>
              </w:rPr>
              <w:t xml:space="preserve"> ĢD</w:t>
            </w:r>
          </w:p>
        </w:tc>
        <w:tc>
          <w:tcPr>
            <w:tcW w:w="1560" w:type="dxa"/>
            <w:gridSpan w:val="2"/>
          </w:tcPr>
          <w:p w14:paraId="0309F143" w14:textId="77777777" w:rsidR="00277323" w:rsidRPr="000254DF" w:rsidRDefault="00277323" w:rsidP="00B31F98">
            <w:pPr>
              <w:rPr>
                <w:noProof/>
                <w:sz w:val="20"/>
              </w:rPr>
            </w:pPr>
          </w:p>
        </w:tc>
        <w:tc>
          <w:tcPr>
            <w:tcW w:w="534" w:type="dxa"/>
          </w:tcPr>
          <w:p w14:paraId="2F794473" w14:textId="77777777" w:rsidR="00277323" w:rsidRPr="000254DF" w:rsidRDefault="00277323" w:rsidP="00B31F98">
            <w:pPr>
              <w:jc w:val="center"/>
              <w:rPr>
                <w:noProof/>
                <w:sz w:val="20"/>
              </w:rPr>
            </w:pPr>
          </w:p>
        </w:tc>
        <w:tc>
          <w:tcPr>
            <w:tcW w:w="868" w:type="dxa"/>
            <w:vAlign w:val="center"/>
          </w:tcPr>
          <w:p w14:paraId="5A43B097" w14:textId="77777777" w:rsidR="00277323" w:rsidRPr="000254DF" w:rsidRDefault="00277323" w:rsidP="000E7B3B">
            <w:pPr>
              <w:jc w:val="center"/>
              <w:rPr>
                <w:noProof/>
                <w:sz w:val="20"/>
              </w:rPr>
            </w:pPr>
            <w:r w:rsidRPr="000254DF">
              <w:rPr>
                <w:noProof/>
                <w:sz w:val="20"/>
              </w:rPr>
              <w:t>2022.</w:t>
            </w:r>
            <w:r w:rsidRPr="000254DF">
              <w:rPr>
                <w:noProof/>
              </w:rPr>
              <w:t xml:space="preserve"> </w:t>
            </w:r>
            <w:r w:rsidRPr="000254DF">
              <w:rPr>
                <w:noProof/>
              </w:rPr>
              <w:br/>
            </w:r>
            <w:r w:rsidRPr="000254DF">
              <w:rPr>
                <w:noProof/>
                <w:sz w:val="20"/>
              </w:rPr>
              <w:t>gads</w:t>
            </w:r>
          </w:p>
        </w:tc>
        <w:tc>
          <w:tcPr>
            <w:tcW w:w="868" w:type="dxa"/>
            <w:vAlign w:val="center"/>
          </w:tcPr>
          <w:p w14:paraId="71DA8644" w14:textId="77777777" w:rsidR="00277323" w:rsidRPr="000254DF" w:rsidRDefault="00277323" w:rsidP="000E7B3B">
            <w:pPr>
              <w:jc w:val="center"/>
              <w:rPr>
                <w:noProof/>
                <w:sz w:val="20"/>
              </w:rPr>
            </w:pPr>
            <w:r w:rsidRPr="000254DF">
              <w:rPr>
                <w:noProof/>
                <w:sz w:val="20"/>
              </w:rPr>
              <w:t>2023.</w:t>
            </w:r>
            <w:r w:rsidRPr="000254DF">
              <w:rPr>
                <w:noProof/>
              </w:rPr>
              <w:t xml:space="preserve"> </w:t>
            </w:r>
            <w:r w:rsidRPr="000254DF">
              <w:rPr>
                <w:noProof/>
              </w:rPr>
              <w:br/>
            </w:r>
            <w:r w:rsidRPr="000254DF">
              <w:rPr>
                <w:noProof/>
                <w:sz w:val="20"/>
              </w:rPr>
              <w:t>gads</w:t>
            </w:r>
          </w:p>
        </w:tc>
        <w:tc>
          <w:tcPr>
            <w:tcW w:w="868" w:type="dxa"/>
            <w:vAlign w:val="center"/>
          </w:tcPr>
          <w:p w14:paraId="675DD0BE" w14:textId="77777777" w:rsidR="00277323" w:rsidRPr="000254DF" w:rsidRDefault="00277323" w:rsidP="000E7B3B">
            <w:pPr>
              <w:jc w:val="center"/>
              <w:rPr>
                <w:noProof/>
                <w:sz w:val="20"/>
              </w:rPr>
            </w:pPr>
            <w:r w:rsidRPr="000254DF">
              <w:rPr>
                <w:noProof/>
                <w:sz w:val="20"/>
              </w:rPr>
              <w:t>2024.</w:t>
            </w:r>
            <w:r w:rsidRPr="000254DF">
              <w:rPr>
                <w:noProof/>
              </w:rPr>
              <w:t xml:space="preserve"> </w:t>
            </w:r>
            <w:r w:rsidRPr="000254DF">
              <w:rPr>
                <w:noProof/>
              </w:rPr>
              <w:br/>
            </w:r>
            <w:r w:rsidRPr="000254DF">
              <w:rPr>
                <w:noProof/>
                <w:sz w:val="20"/>
              </w:rPr>
              <w:t>gads</w:t>
            </w:r>
          </w:p>
        </w:tc>
        <w:tc>
          <w:tcPr>
            <w:tcW w:w="868" w:type="dxa"/>
            <w:vAlign w:val="center"/>
          </w:tcPr>
          <w:p w14:paraId="151DF48C" w14:textId="77777777" w:rsidR="00277323" w:rsidRPr="000254DF" w:rsidRDefault="00277323" w:rsidP="000E7B3B">
            <w:pPr>
              <w:jc w:val="center"/>
              <w:rPr>
                <w:noProof/>
                <w:sz w:val="22"/>
              </w:rPr>
            </w:pPr>
            <w:r w:rsidRPr="000254DF">
              <w:rPr>
                <w:noProof/>
                <w:sz w:val="22"/>
              </w:rPr>
              <w:t>2025.</w:t>
            </w:r>
            <w:r w:rsidRPr="000254DF">
              <w:rPr>
                <w:noProof/>
              </w:rPr>
              <w:t xml:space="preserve"> </w:t>
            </w:r>
            <w:r w:rsidRPr="000254DF">
              <w:rPr>
                <w:noProof/>
              </w:rPr>
              <w:br/>
            </w:r>
            <w:r w:rsidRPr="000254DF">
              <w:rPr>
                <w:noProof/>
                <w:sz w:val="20"/>
              </w:rPr>
              <w:t>gads</w:t>
            </w:r>
          </w:p>
        </w:tc>
        <w:tc>
          <w:tcPr>
            <w:tcW w:w="2604" w:type="dxa"/>
            <w:gridSpan w:val="3"/>
            <w:vAlign w:val="center"/>
          </w:tcPr>
          <w:p w14:paraId="393B6B70" w14:textId="77777777" w:rsidR="00277323" w:rsidRPr="000254DF" w:rsidRDefault="00277323" w:rsidP="00B31F98">
            <w:pPr>
              <w:jc w:val="center"/>
              <w:rPr>
                <w:b/>
                <w:noProof/>
                <w:sz w:val="18"/>
              </w:rPr>
            </w:pPr>
            <w:r w:rsidRPr="000254DF">
              <w:rPr>
                <w:noProof/>
                <w:sz w:val="18"/>
              </w:rPr>
              <w:t>Norādīt tik gadu, cik nepieciešams ietekmes ilguma atspoguļošanai (sk. 1.6. punktu)</w:t>
            </w:r>
          </w:p>
        </w:tc>
        <w:tc>
          <w:tcPr>
            <w:tcW w:w="1777" w:type="dxa"/>
            <w:vAlign w:val="center"/>
          </w:tcPr>
          <w:p w14:paraId="37957397" w14:textId="77777777" w:rsidR="00277323" w:rsidRPr="000254DF" w:rsidRDefault="00277323" w:rsidP="00B31F98">
            <w:pPr>
              <w:jc w:val="center"/>
              <w:rPr>
                <w:b/>
                <w:noProof/>
                <w:sz w:val="20"/>
              </w:rPr>
            </w:pPr>
            <w:r w:rsidRPr="000254DF">
              <w:rPr>
                <w:b/>
                <w:noProof/>
                <w:sz w:val="20"/>
              </w:rPr>
              <w:t>KOPĀ</w:t>
            </w:r>
          </w:p>
        </w:tc>
      </w:tr>
      <w:tr w:rsidR="00277323" w:rsidRPr="000254DF" w14:paraId="5BBCE111" w14:textId="77777777" w:rsidTr="00B31F98">
        <w:trPr>
          <w:trHeight w:val="213"/>
        </w:trPr>
        <w:tc>
          <w:tcPr>
            <w:tcW w:w="6054" w:type="dxa"/>
            <w:gridSpan w:val="4"/>
            <w:vAlign w:val="center"/>
          </w:tcPr>
          <w:p w14:paraId="0267FB36" w14:textId="77777777" w:rsidR="00277323" w:rsidRPr="000254DF" w:rsidRDefault="00277323" w:rsidP="00B31F98">
            <w:pPr>
              <w:spacing w:before="20" w:after="20"/>
              <w:rPr>
                <w:noProof/>
                <w:sz w:val="21"/>
              </w:rPr>
            </w:pPr>
            <w:r w:rsidRPr="000254DF">
              <w:rPr>
                <w:noProof/>
                <w:sz w:val="21"/>
              </w:rPr>
              <w:sym w:font="Wingdings" w:char="F09F"/>
            </w:r>
            <w:r w:rsidRPr="000254DF">
              <w:rPr>
                <w:noProof/>
                <w:sz w:val="21"/>
              </w:rPr>
              <w:t xml:space="preserve"> Darbības apropriācijas </w:t>
            </w:r>
          </w:p>
        </w:tc>
        <w:tc>
          <w:tcPr>
            <w:tcW w:w="868" w:type="dxa"/>
            <w:vAlign w:val="center"/>
          </w:tcPr>
          <w:p w14:paraId="6A1CF598" w14:textId="77777777" w:rsidR="00277323" w:rsidRPr="000254DF" w:rsidRDefault="00277323" w:rsidP="00B31F98">
            <w:pPr>
              <w:rPr>
                <w:noProof/>
                <w:sz w:val="20"/>
              </w:rPr>
            </w:pPr>
          </w:p>
        </w:tc>
        <w:tc>
          <w:tcPr>
            <w:tcW w:w="868" w:type="dxa"/>
            <w:vAlign w:val="center"/>
          </w:tcPr>
          <w:p w14:paraId="7406C426" w14:textId="77777777" w:rsidR="00277323" w:rsidRPr="000254DF" w:rsidRDefault="00277323" w:rsidP="00B31F98">
            <w:pPr>
              <w:rPr>
                <w:noProof/>
                <w:sz w:val="20"/>
              </w:rPr>
            </w:pPr>
          </w:p>
        </w:tc>
        <w:tc>
          <w:tcPr>
            <w:tcW w:w="868" w:type="dxa"/>
            <w:vAlign w:val="center"/>
          </w:tcPr>
          <w:p w14:paraId="429FE748" w14:textId="77777777" w:rsidR="00277323" w:rsidRPr="000254DF" w:rsidRDefault="00277323" w:rsidP="00B31F98">
            <w:pPr>
              <w:rPr>
                <w:noProof/>
                <w:sz w:val="20"/>
              </w:rPr>
            </w:pPr>
          </w:p>
        </w:tc>
        <w:tc>
          <w:tcPr>
            <w:tcW w:w="868" w:type="dxa"/>
            <w:vAlign w:val="center"/>
          </w:tcPr>
          <w:p w14:paraId="0B788A34" w14:textId="77777777" w:rsidR="00277323" w:rsidRPr="000254DF" w:rsidRDefault="00277323" w:rsidP="00B31F98">
            <w:pPr>
              <w:rPr>
                <w:noProof/>
                <w:sz w:val="20"/>
              </w:rPr>
            </w:pPr>
          </w:p>
        </w:tc>
        <w:tc>
          <w:tcPr>
            <w:tcW w:w="868" w:type="dxa"/>
            <w:vAlign w:val="center"/>
          </w:tcPr>
          <w:p w14:paraId="2A5AA696" w14:textId="77777777" w:rsidR="00277323" w:rsidRPr="000254DF" w:rsidRDefault="00277323" w:rsidP="00B31F98">
            <w:pPr>
              <w:rPr>
                <w:noProof/>
                <w:sz w:val="20"/>
              </w:rPr>
            </w:pPr>
          </w:p>
        </w:tc>
        <w:tc>
          <w:tcPr>
            <w:tcW w:w="868" w:type="dxa"/>
            <w:vAlign w:val="center"/>
          </w:tcPr>
          <w:p w14:paraId="72B59D15" w14:textId="77777777" w:rsidR="00277323" w:rsidRPr="000254DF" w:rsidRDefault="00277323" w:rsidP="00B31F98">
            <w:pPr>
              <w:rPr>
                <w:noProof/>
                <w:sz w:val="20"/>
              </w:rPr>
            </w:pPr>
          </w:p>
        </w:tc>
        <w:tc>
          <w:tcPr>
            <w:tcW w:w="868" w:type="dxa"/>
            <w:vAlign w:val="center"/>
          </w:tcPr>
          <w:p w14:paraId="3C58319B" w14:textId="77777777" w:rsidR="00277323" w:rsidRPr="000254DF" w:rsidRDefault="00277323" w:rsidP="00B31F98">
            <w:pPr>
              <w:rPr>
                <w:b/>
                <w:noProof/>
                <w:sz w:val="20"/>
              </w:rPr>
            </w:pPr>
          </w:p>
        </w:tc>
        <w:tc>
          <w:tcPr>
            <w:tcW w:w="1777" w:type="dxa"/>
            <w:vAlign w:val="center"/>
          </w:tcPr>
          <w:p w14:paraId="1E73CE45" w14:textId="77777777" w:rsidR="00277323" w:rsidRPr="000254DF" w:rsidRDefault="00277323" w:rsidP="00B31F98">
            <w:pPr>
              <w:rPr>
                <w:b/>
                <w:noProof/>
                <w:sz w:val="20"/>
              </w:rPr>
            </w:pPr>
          </w:p>
        </w:tc>
      </w:tr>
      <w:tr w:rsidR="00277323" w:rsidRPr="000254DF" w14:paraId="6666F672" w14:textId="77777777" w:rsidTr="00B31F98">
        <w:trPr>
          <w:trHeight w:val="277"/>
        </w:trPr>
        <w:tc>
          <w:tcPr>
            <w:tcW w:w="3960" w:type="dxa"/>
            <w:vMerge w:val="restart"/>
            <w:vAlign w:val="center"/>
          </w:tcPr>
          <w:p w14:paraId="78132542" w14:textId="77777777" w:rsidR="00277323" w:rsidRPr="000254DF" w:rsidRDefault="00277323" w:rsidP="000E7B3B">
            <w:pPr>
              <w:rPr>
                <w:noProof/>
              </w:rPr>
            </w:pPr>
            <w:r w:rsidRPr="000254DF">
              <w:rPr>
                <w:noProof/>
                <w:sz w:val="20"/>
              </w:rPr>
              <w:t>08.030102</w:t>
            </w:r>
          </w:p>
        </w:tc>
        <w:tc>
          <w:tcPr>
            <w:tcW w:w="1440" w:type="dxa"/>
            <w:vAlign w:val="center"/>
          </w:tcPr>
          <w:p w14:paraId="11895E40" w14:textId="77777777" w:rsidR="00277323" w:rsidRPr="000254DF" w:rsidRDefault="00277323" w:rsidP="00B31F98">
            <w:pPr>
              <w:spacing w:before="20" w:after="20"/>
              <w:rPr>
                <w:noProof/>
                <w:sz w:val="18"/>
              </w:rPr>
            </w:pPr>
            <w:r w:rsidRPr="000254DF">
              <w:rPr>
                <w:noProof/>
                <w:sz w:val="18"/>
              </w:rPr>
              <w:t>Saistības</w:t>
            </w:r>
          </w:p>
        </w:tc>
        <w:tc>
          <w:tcPr>
            <w:tcW w:w="654" w:type="dxa"/>
            <w:gridSpan w:val="2"/>
            <w:vAlign w:val="center"/>
          </w:tcPr>
          <w:p w14:paraId="5DF167BC" w14:textId="77777777" w:rsidR="00277323" w:rsidRPr="000254DF" w:rsidRDefault="00277323" w:rsidP="00B31F98">
            <w:pPr>
              <w:spacing w:before="20" w:after="20"/>
              <w:jc w:val="center"/>
              <w:rPr>
                <w:noProof/>
                <w:sz w:val="14"/>
              </w:rPr>
            </w:pPr>
            <w:r w:rsidRPr="000254DF">
              <w:rPr>
                <w:noProof/>
                <w:sz w:val="14"/>
              </w:rPr>
              <w:t>(1a)</w:t>
            </w:r>
          </w:p>
        </w:tc>
        <w:tc>
          <w:tcPr>
            <w:tcW w:w="868" w:type="dxa"/>
            <w:vAlign w:val="center"/>
          </w:tcPr>
          <w:p w14:paraId="112570C4"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6463BE08"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617E26E6"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3FA73845"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0D268C6E" w14:textId="77777777" w:rsidR="00277323" w:rsidRPr="000254DF" w:rsidRDefault="00277323" w:rsidP="00B31F98">
            <w:pPr>
              <w:spacing w:before="20" w:after="20"/>
              <w:jc w:val="right"/>
              <w:rPr>
                <w:noProof/>
                <w:sz w:val="20"/>
              </w:rPr>
            </w:pPr>
          </w:p>
        </w:tc>
        <w:tc>
          <w:tcPr>
            <w:tcW w:w="868" w:type="dxa"/>
            <w:vAlign w:val="center"/>
          </w:tcPr>
          <w:p w14:paraId="1AE617E1" w14:textId="77777777" w:rsidR="00277323" w:rsidRPr="000254DF" w:rsidRDefault="00277323" w:rsidP="00B31F98">
            <w:pPr>
              <w:spacing w:before="20" w:after="20"/>
              <w:jc w:val="right"/>
              <w:rPr>
                <w:noProof/>
                <w:sz w:val="20"/>
              </w:rPr>
            </w:pPr>
          </w:p>
        </w:tc>
        <w:tc>
          <w:tcPr>
            <w:tcW w:w="868" w:type="dxa"/>
            <w:vAlign w:val="center"/>
          </w:tcPr>
          <w:p w14:paraId="082EC3E5" w14:textId="77777777" w:rsidR="00277323" w:rsidRPr="000254DF" w:rsidRDefault="00277323" w:rsidP="00B31F98">
            <w:pPr>
              <w:spacing w:before="20" w:after="20"/>
              <w:jc w:val="right"/>
              <w:rPr>
                <w:b/>
                <w:noProof/>
                <w:sz w:val="20"/>
              </w:rPr>
            </w:pPr>
          </w:p>
        </w:tc>
        <w:tc>
          <w:tcPr>
            <w:tcW w:w="1777" w:type="dxa"/>
            <w:vAlign w:val="center"/>
          </w:tcPr>
          <w:p w14:paraId="051DE1AA" w14:textId="77777777" w:rsidR="00277323" w:rsidRPr="000254DF" w:rsidRDefault="00277323" w:rsidP="00B31F98">
            <w:pPr>
              <w:spacing w:before="20" w:after="20"/>
              <w:jc w:val="right"/>
              <w:rPr>
                <w:b/>
                <w:noProof/>
                <w:sz w:val="20"/>
              </w:rPr>
            </w:pPr>
            <w:r w:rsidRPr="000254DF">
              <w:rPr>
                <w:b/>
                <w:noProof/>
                <w:sz w:val="20"/>
              </w:rPr>
              <w:t>0</w:t>
            </w:r>
          </w:p>
        </w:tc>
      </w:tr>
      <w:tr w:rsidR="00277323" w:rsidRPr="000254DF" w14:paraId="53C16AE8" w14:textId="77777777" w:rsidTr="00B31F98">
        <w:tc>
          <w:tcPr>
            <w:tcW w:w="3960" w:type="dxa"/>
            <w:vMerge/>
          </w:tcPr>
          <w:p w14:paraId="17095C64" w14:textId="77777777" w:rsidR="00277323" w:rsidRPr="000254DF" w:rsidRDefault="00277323" w:rsidP="00B31F98">
            <w:pPr>
              <w:jc w:val="center"/>
              <w:rPr>
                <w:noProof/>
                <w:sz w:val="20"/>
              </w:rPr>
            </w:pPr>
          </w:p>
        </w:tc>
        <w:tc>
          <w:tcPr>
            <w:tcW w:w="1440" w:type="dxa"/>
            <w:vAlign w:val="center"/>
          </w:tcPr>
          <w:p w14:paraId="5D2A2E29" w14:textId="77777777" w:rsidR="00277323" w:rsidRPr="000254DF" w:rsidRDefault="00277323" w:rsidP="00B31F98">
            <w:pPr>
              <w:spacing w:before="20" w:after="20"/>
              <w:rPr>
                <w:noProof/>
                <w:sz w:val="18"/>
              </w:rPr>
            </w:pPr>
            <w:r w:rsidRPr="000254DF">
              <w:rPr>
                <w:noProof/>
                <w:sz w:val="18"/>
              </w:rPr>
              <w:t>Maksājumi</w:t>
            </w:r>
          </w:p>
        </w:tc>
        <w:tc>
          <w:tcPr>
            <w:tcW w:w="654" w:type="dxa"/>
            <w:gridSpan w:val="2"/>
            <w:vAlign w:val="center"/>
          </w:tcPr>
          <w:p w14:paraId="3639BFD3" w14:textId="77777777" w:rsidR="00277323" w:rsidRPr="000254DF" w:rsidRDefault="00277323" w:rsidP="00B31F98">
            <w:pPr>
              <w:spacing w:before="20" w:after="20"/>
              <w:jc w:val="center"/>
              <w:rPr>
                <w:noProof/>
                <w:sz w:val="14"/>
              </w:rPr>
            </w:pPr>
            <w:r w:rsidRPr="000254DF">
              <w:rPr>
                <w:noProof/>
                <w:sz w:val="14"/>
              </w:rPr>
              <w:t>(2a)</w:t>
            </w:r>
          </w:p>
        </w:tc>
        <w:tc>
          <w:tcPr>
            <w:tcW w:w="868" w:type="dxa"/>
            <w:vAlign w:val="center"/>
          </w:tcPr>
          <w:p w14:paraId="6080CED4"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488B784D" w14:textId="77777777" w:rsidR="00277323" w:rsidRPr="000254DF" w:rsidRDefault="00926069" w:rsidP="00B31F98">
            <w:pPr>
              <w:spacing w:before="20" w:after="20"/>
              <w:jc w:val="right"/>
              <w:rPr>
                <w:noProof/>
                <w:sz w:val="20"/>
              </w:rPr>
            </w:pPr>
            <w:r w:rsidRPr="000254DF">
              <w:rPr>
                <w:noProof/>
                <w:sz w:val="20"/>
              </w:rPr>
              <w:t>+ 450</w:t>
            </w:r>
          </w:p>
        </w:tc>
        <w:tc>
          <w:tcPr>
            <w:tcW w:w="868" w:type="dxa"/>
            <w:vAlign w:val="center"/>
          </w:tcPr>
          <w:p w14:paraId="29930148" w14:textId="77777777" w:rsidR="00277323" w:rsidRPr="000254DF" w:rsidRDefault="007F11DA" w:rsidP="00926069">
            <w:pPr>
              <w:spacing w:before="20" w:after="20"/>
              <w:jc w:val="right"/>
              <w:rPr>
                <w:noProof/>
                <w:sz w:val="20"/>
              </w:rPr>
            </w:pPr>
            <w:r w:rsidRPr="000254DF">
              <w:rPr>
                <w:noProof/>
                <w:sz w:val="20"/>
              </w:rPr>
              <w:t>-225</w:t>
            </w:r>
          </w:p>
        </w:tc>
        <w:tc>
          <w:tcPr>
            <w:tcW w:w="868" w:type="dxa"/>
            <w:vAlign w:val="center"/>
          </w:tcPr>
          <w:p w14:paraId="07A502CC" w14:textId="77777777" w:rsidR="00277323" w:rsidRPr="000254DF" w:rsidRDefault="007F11DA" w:rsidP="00926069">
            <w:pPr>
              <w:spacing w:before="20" w:after="20"/>
              <w:jc w:val="right"/>
              <w:rPr>
                <w:noProof/>
                <w:sz w:val="20"/>
              </w:rPr>
            </w:pPr>
            <w:r w:rsidRPr="000254DF">
              <w:rPr>
                <w:noProof/>
                <w:sz w:val="20"/>
              </w:rPr>
              <w:t>-225</w:t>
            </w:r>
          </w:p>
        </w:tc>
        <w:tc>
          <w:tcPr>
            <w:tcW w:w="868" w:type="dxa"/>
            <w:vAlign w:val="center"/>
          </w:tcPr>
          <w:p w14:paraId="60690534" w14:textId="77777777" w:rsidR="00277323" w:rsidRPr="000254DF" w:rsidRDefault="00277323" w:rsidP="00B31F98">
            <w:pPr>
              <w:spacing w:before="20" w:after="20"/>
              <w:jc w:val="right"/>
              <w:rPr>
                <w:noProof/>
                <w:sz w:val="20"/>
              </w:rPr>
            </w:pPr>
          </w:p>
        </w:tc>
        <w:tc>
          <w:tcPr>
            <w:tcW w:w="868" w:type="dxa"/>
            <w:vAlign w:val="center"/>
          </w:tcPr>
          <w:p w14:paraId="37F98577" w14:textId="77777777" w:rsidR="00277323" w:rsidRPr="000254DF" w:rsidRDefault="00277323" w:rsidP="00B31F98">
            <w:pPr>
              <w:spacing w:before="20" w:after="20"/>
              <w:jc w:val="right"/>
              <w:rPr>
                <w:noProof/>
                <w:sz w:val="20"/>
              </w:rPr>
            </w:pPr>
          </w:p>
        </w:tc>
        <w:tc>
          <w:tcPr>
            <w:tcW w:w="868" w:type="dxa"/>
            <w:vAlign w:val="center"/>
          </w:tcPr>
          <w:p w14:paraId="7A81FD72" w14:textId="77777777" w:rsidR="00277323" w:rsidRPr="000254DF" w:rsidRDefault="00277323" w:rsidP="00B31F98">
            <w:pPr>
              <w:spacing w:before="20" w:after="20"/>
              <w:jc w:val="right"/>
              <w:rPr>
                <w:b/>
                <w:noProof/>
                <w:sz w:val="20"/>
              </w:rPr>
            </w:pPr>
          </w:p>
        </w:tc>
        <w:tc>
          <w:tcPr>
            <w:tcW w:w="1777" w:type="dxa"/>
            <w:vAlign w:val="center"/>
          </w:tcPr>
          <w:p w14:paraId="67E4E8BC" w14:textId="77777777" w:rsidR="00277323" w:rsidRPr="000254DF" w:rsidRDefault="00277323" w:rsidP="00B31F98">
            <w:pPr>
              <w:spacing w:before="20" w:after="20"/>
              <w:jc w:val="right"/>
              <w:rPr>
                <w:b/>
                <w:noProof/>
                <w:sz w:val="20"/>
              </w:rPr>
            </w:pPr>
            <w:r w:rsidRPr="000254DF">
              <w:rPr>
                <w:b/>
                <w:noProof/>
                <w:sz w:val="20"/>
              </w:rPr>
              <w:t>0</w:t>
            </w:r>
          </w:p>
        </w:tc>
      </w:tr>
      <w:tr w:rsidR="00277323" w:rsidRPr="000254DF" w14:paraId="39E3F5DD" w14:textId="77777777" w:rsidTr="00B31F98">
        <w:trPr>
          <w:trHeight w:val="619"/>
        </w:trPr>
        <w:tc>
          <w:tcPr>
            <w:tcW w:w="6054" w:type="dxa"/>
            <w:gridSpan w:val="4"/>
            <w:vAlign w:val="center"/>
          </w:tcPr>
          <w:p w14:paraId="3E2F34BA" w14:textId="77777777" w:rsidR="00277323" w:rsidRPr="000254DF" w:rsidRDefault="00277323" w:rsidP="00B31F98">
            <w:pPr>
              <w:spacing w:before="20" w:after="20"/>
              <w:rPr>
                <w:noProof/>
              </w:rPr>
            </w:pPr>
            <w:r w:rsidRPr="000254DF">
              <w:rPr>
                <w:noProof/>
                <w:sz w:val="21"/>
              </w:rPr>
              <w:t>Administratīvās apropriācijas, kas tiek finansētas no konkrētu programmu piešķīrumiem</w:t>
            </w:r>
          </w:p>
        </w:tc>
        <w:tc>
          <w:tcPr>
            <w:tcW w:w="868" w:type="dxa"/>
            <w:vAlign w:val="center"/>
          </w:tcPr>
          <w:p w14:paraId="3406935F" w14:textId="77777777" w:rsidR="00277323" w:rsidRPr="000254DF" w:rsidRDefault="00277323" w:rsidP="00B31F98">
            <w:pPr>
              <w:rPr>
                <w:b/>
                <w:noProof/>
                <w:sz w:val="20"/>
              </w:rPr>
            </w:pPr>
          </w:p>
        </w:tc>
        <w:tc>
          <w:tcPr>
            <w:tcW w:w="868" w:type="dxa"/>
            <w:vAlign w:val="center"/>
          </w:tcPr>
          <w:p w14:paraId="7B506825" w14:textId="77777777" w:rsidR="00277323" w:rsidRPr="000254DF" w:rsidRDefault="00277323" w:rsidP="00B31F98">
            <w:pPr>
              <w:rPr>
                <w:b/>
                <w:noProof/>
                <w:sz w:val="20"/>
              </w:rPr>
            </w:pPr>
          </w:p>
        </w:tc>
        <w:tc>
          <w:tcPr>
            <w:tcW w:w="868" w:type="dxa"/>
            <w:vAlign w:val="center"/>
          </w:tcPr>
          <w:p w14:paraId="56B83BF7" w14:textId="77777777" w:rsidR="00277323" w:rsidRPr="000254DF" w:rsidRDefault="00277323" w:rsidP="00B31F98">
            <w:pPr>
              <w:rPr>
                <w:b/>
                <w:noProof/>
                <w:sz w:val="20"/>
              </w:rPr>
            </w:pPr>
          </w:p>
        </w:tc>
        <w:tc>
          <w:tcPr>
            <w:tcW w:w="868" w:type="dxa"/>
            <w:vAlign w:val="center"/>
          </w:tcPr>
          <w:p w14:paraId="74E15B8D" w14:textId="77777777" w:rsidR="00277323" w:rsidRPr="000254DF" w:rsidRDefault="00277323" w:rsidP="00B31F98">
            <w:pPr>
              <w:rPr>
                <w:b/>
                <w:noProof/>
                <w:sz w:val="20"/>
              </w:rPr>
            </w:pPr>
          </w:p>
        </w:tc>
        <w:tc>
          <w:tcPr>
            <w:tcW w:w="868" w:type="dxa"/>
            <w:vAlign w:val="center"/>
          </w:tcPr>
          <w:p w14:paraId="048234DA" w14:textId="77777777" w:rsidR="00277323" w:rsidRPr="000254DF" w:rsidRDefault="00277323" w:rsidP="00B31F98">
            <w:pPr>
              <w:rPr>
                <w:b/>
                <w:noProof/>
                <w:sz w:val="20"/>
              </w:rPr>
            </w:pPr>
          </w:p>
        </w:tc>
        <w:tc>
          <w:tcPr>
            <w:tcW w:w="868" w:type="dxa"/>
            <w:vAlign w:val="center"/>
          </w:tcPr>
          <w:p w14:paraId="12322FCB" w14:textId="77777777" w:rsidR="00277323" w:rsidRPr="000254DF" w:rsidRDefault="00277323" w:rsidP="00B31F98">
            <w:pPr>
              <w:rPr>
                <w:b/>
                <w:noProof/>
                <w:sz w:val="20"/>
              </w:rPr>
            </w:pPr>
          </w:p>
        </w:tc>
        <w:tc>
          <w:tcPr>
            <w:tcW w:w="868" w:type="dxa"/>
            <w:vAlign w:val="center"/>
          </w:tcPr>
          <w:p w14:paraId="2A6032BF" w14:textId="77777777" w:rsidR="00277323" w:rsidRPr="000254DF" w:rsidRDefault="00277323" w:rsidP="00B31F98">
            <w:pPr>
              <w:rPr>
                <w:b/>
                <w:noProof/>
                <w:sz w:val="20"/>
              </w:rPr>
            </w:pPr>
          </w:p>
        </w:tc>
        <w:tc>
          <w:tcPr>
            <w:tcW w:w="1777" w:type="dxa"/>
            <w:vAlign w:val="center"/>
          </w:tcPr>
          <w:p w14:paraId="4787A579" w14:textId="77777777" w:rsidR="00277323" w:rsidRPr="000254DF" w:rsidRDefault="00277323" w:rsidP="00B31F98">
            <w:pPr>
              <w:rPr>
                <w:b/>
                <w:noProof/>
                <w:sz w:val="20"/>
              </w:rPr>
            </w:pPr>
          </w:p>
        </w:tc>
      </w:tr>
      <w:tr w:rsidR="00277323" w:rsidRPr="000254DF" w14:paraId="55CCAFEE" w14:textId="77777777" w:rsidTr="00B31F98">
        <w:trPr>
          <w:trHeight w:val="319"/>
        </w:trPr>
        <w:tc>
          <w:tcPr>
            <w:tcW w:w="3960" w:type="dxa"/>
            <w:vAlign w:val="center"/>
          </w:tcPr>
          <w:p w14:paraId="795BF021" w14:textId="77777777" w:rsidR="00277323" w:rsidRPr="000254DF" w:rsidRDefault="00277323" w:rsidP="00B31F98">
            <w:pPr>
              <w:spacing w:before="60" w:after="60"/>
              <w:rPr>
                <w:noProof/>
              </w:rPr>
            </w:pPr>
            <w:r w:rsidRPr="000254DF">
              <w:rPr>
                <w:noProof/>
              </w:rPr>
              <w:t>Neattiecas</w:t>
            </w:r>
          </w:p>
        </w:tc>
        <w:tc>
          <w:tcPr>
            <w:tcW w:w="1440" w:type="dxa"/>
            <w:vAlign w:val="center"/>
          </w:tcPr>
          <w:p w14:paraId="571821D1" w14:textId="77777777" w:rsidR="00277323" w:rsidRPr="000254DF" w:rsidRDefault="00277323" w:rsidP="00B31F98">
            <w:pPr>
              <w:spacing w:before="40" w:after="40"/>
              <w:jc w:val="right"/>
              <w:rPr>
                <w:noProof/>
                <w:sz w:val="18"/>
              </w:rPr>
            </w:pPr>
          </w:p>
        </w:tc>
        <w:tc>
          <w:tcPr>
            <w:tcW w:w="654" w:type="dxa"/>
            <w:gridSpan w:val="2"/>
            <w:vAlign w:val="center"/>
          </w:tcPr>
          <w:p w14:paraId="53D62445" w14:textId="77777777" w:rsidR="00277323" w:rsidRPr="000254DF" w:rsidRDefault="00277323" w:rsidP="00B31F98">
            <w:pPr>
              <w:spacing w:before="40" w:after="40"/>
              <w:jc w:val="center"/>
              <w:rPr>
                <w:noProof/>
                <w:sz w:val="14"/>
              </w:rPr>
            </w:pPr>
            <w:r w:rsidRPr="000254DF">
              <w:rPr>
                <w:noProof/>
                <w:sz w:val="14"/>
              </w:rPr>
              <w:t>(3)</w:t>
            </w:r>
          </w:p>
        </w:tc>
        <w:tc>
          <w:tcPr>
            <w:tcW w:w="868" w:type="dxa"/>
            <w:vAlign w:val="center"/>
          </w:tcPr>
          <w:p w14:paraId="593A40A2" w14:textId="77777777" w:rsidR="00277323" w:rsidRPr="000254DF" w:rsidRDefault="00277323" w:rsidP="00B31F98">
            <w:pPr>
              <w:spacing w:before="40" w:after="40"/>
              <w:jc w:val="right"/>
              <w:rPr>
                <w:b/>
                <w:noProof/>
                <w:sz w:val="20"/>
              </w:rPr>
            </w:pPr>
          </w:p>
        </w:tc>
        <w:tc>
          <w:tcPr>
            <w:tcW w:w="868" w:type="dxa"/>
            <w:vAlign w:val="center"/>
          </w:tcPr>
          <w:p w14:paraId="2ACE7154" w14:textId="77777777" w:rsidR="00277323" w:rsidRPr="000254DF" w:rsidRDefault="00277323" w:rsidP="00B31F98">
            <w:pPr>
              <w:spacing w:before="40" w:after="40"/>
              <w:jc w:val="right"/>
              <w:rPr>
                <w:b/>
                <w:noProof/>
                <w:sz w:val="20"/>
              </w:rPr>
            </w:pPr>
          </w:p>
        </w:tc>
        <w:tc>
          <w:tcPr>
            <w:tcW w:w="868" w:type="dxa"/>
            <w:vAlign w:val="center"/>
          </w:tcPr>
          <w:p w14:paraId="4CDE5B43" w14:textId="77777777" w:rsidR="00277323" w:rsidRPr="000254DF" w:rsidRDefault="00277323" w:rsidP="00B31F98">
            <w:pPr>
              <w:spacing w:before="40" w:after="40"/>
              <w:jc w:val="right"/>
              <w:rPr>
                <w:b/>
                <w:noProof/>
                <w:sz w:val="20"/>
              </w:rPr>
            </w:pPr>
          </w:p>
        </w:tc>
        <w:tc>
          <w:tcPr>
            <w:tcW w:w="868" w:type="dxa"/>
            <w:vAlign w:val="center"/>
          </w:tcPr>
          <w:p w14:paraId="095FF894" w14:textId="77777777" w:rsidR="00277323" w:rsidRPr="000254DF" w:rsidRDefault="00277323" w:rsidP="00B31F98">
            <w:pPr>
              <w:spacing w:before="40" w:after="40"/>
              <w:jc w:val="right"/>
              <w:rPr>
                <w:b/>
                <w:noProof/>
                <w:sz w:val="20"/>
              </w:rPr>
            </w:pPr>
          </w:p>
        </w:tc>
        <w:tc>
          <w:tcPr>
            <w:tcW w:w="868" w:type="dxa"/>
            <w:vAlign w:val="center"/>
          </w:tcPr>
          <w:p w14:paraId="41CFF412" w14:textId="77777777" w:rsidR="00277323" w:rsidRPr="000254DF" w:rsidRDefault="00277323" w:rsidP="00B31F98">
            <w:pPr>
              <w:spacing w:before="40" w:after="40"/>
              <w:jc w:val="right"/>
              <w:rPr>
                <w:b/>
                <w:noProof/>
                <w:sz w:val="20"/>
              </w:rPr>
            </w:pPr>
          </w:p>
        </w:tc>
        <w:tc>
          <w:tcPr>
            <w:tcW w:w="868" w:type="dxa"/>
            <w:vAlign w:val="center"/>
          </w:tcPr>
          <w:p w14:paraId="61D33A1E" w14:textId="77777777" w:rsidR="00277323" w:rsidRPr="000254DF" w:rsidRDefault="00277323" w:rsidP="00B31F98">
            <w:pPr>
              <w:spacing w:before="40" w:after="40"/>
              <w:jc w:val="right"/>
              <w:rPr>
                <w:b/>
                <w:noProof/>
                <w:sz w:val="20"/>
              </w:rPr>
            </w:pPr>
          </w:p>
        </w:tc>
        <w:tc>
          <w:tcPr>
            <w:tcW w:w="868" w:type="dxa"/>
            <w:vAlign w:val="center"/>
          </w:tcPr>
          <w:p w14:paraId="7F697A18" w14:textId="77777777" w:rsidR="00277323" w:rsidRPr="000254DF" w:rsidRDefault="00277323" w:rsidP="00B31F98">
            <w:pPr>
              <w:spacing w:before="40" w:after="40"/>
              <w:jc w:val="right"/>
              <w:rPr>
                <w:b/>
                <w:noProof/>
                <w:sz w:val="20"/>
              </w:rPr>
            </w:pPr>
          </w:p>
        </w:tc>
        <w:tc>
          <w:tcPr>
            <w:tcW w:w="1777" w:type="dxa"/>
            <w:vAlign w:val="center"/>
          </w:tcPr>
          <w:p w14:paraId="0C7DEBD3" w14:textId="77777777" w:rsidR="00277323" w:rsidRPr="000254DF" w:rsidRDefault="00277323" w:rsidP="00B31F98">
            <w:pPr>
              <w:spacing w:before="40" w:after="40"/>
              <w:jc w:val="right"/>
              <w:rPr>
                <w:b/>
                <w:noProof/>
                <w:sz w:val="20"/>
              </w:rPr>
            </w:pPr>
          </w:p>
        </w:tc>
      </w:tr>
      <w:tr w:rsidR="00277323" w:rsidRPr="000254DF" w14:paraId="2DE07821" w14:textId="77777777" w:rsidTr="00B31F98">
        <w:tc>
          <w:tcPr>
            <w:tcW w:w="3960" w:type="dxa"/>
            <w:vMerge w:val="restart"/>
            <w:vAlign w:val="center"/>
          </w:tcPr>
          <w:p w14:paraId="288612BB" w14:textId="77777777" w:rsidR="00277323" w:rsidRPr="000254DF" w:rsidRDefault="00277323" w:rsidP="00B31F98">
            <w:pPr>
              <w:jc w:val="center"/>
              <w:rPr>
                <w:b/>
                <w:noProof/>
              </w:rPr>
            </w:pPr>
            <w:r w:rsidRPr="000254DF">
              <w:rPr>
                <w:b/>
                <w:noProof/>
                <w:sz w:val="22"/>
              </w:rPr>
              <w:t xml:space="preserve">KOPĀ </w:t>
            </w:r>
            <w:r w:rsidRPr="000254DF">
              <w:rPr>
                <w:b/>
                <w:i/>
                <w:iCs/>
                <w:noProof/>
                <w:sz w:val="22"/>
              </w:rPr>
              <w:t>AGRI</w:t>
            </w:r>
            <w:r w:rsidRPr="000254DF">
              <w:rPr>
                <w:b/>
                <w:noProof/>
                <w:sz w:val="22"/>
              </w:rPr>
              <w:t xml:space="preserve"> ĢD</w:t>
            </w:r>
            <w:r w:rsidRPr="000254DF">
              <w:rPr>
                <w:b/>
                <w:noProof/>
                <w:sz w:val="22"/>
              </w:rPr>
              <w:br/>
              <w:t>apropriācijas</w:t>
            </w:r>
          </w:p>
        </w:tc>
        <w:tc>
          <w:tcPr>
            <w:tcW w:w="1440" w:type="dxa"/>
            <w:vAlign w:val="center"/>
          </w:tcPr>
          <w:p w14:paraId="3A895E89" w14:textId="77777777" w:rsidR="00277323" w:rsidRPr="000254DF" w:rsidRDefault="00277323" w:rsidP="00B31F98">
            <w:pPr>
              <w:rPr>
                <w:noProof/>
                <w:sz w:val="18"/>
              </w:rPr>
            </w:pPr>
            <w:r w:rsidRPr="000254DF">
              <w:rPr>
                <w:noProof/>
                <w:sz w:val="18"/>
              </w:rPr>
              <w:t>Saistības</w:t>
            </w:r>
          </w:p>
        </w:tc>
        <w:tc>
          <w:tcPr>
            <w:tcW w:w="654" w:type="dxa"/>
            <w:gridSpan w:val="2"/>
            <w:vAlign w:val="center"/>
          </w:tcPr>
          <w:p w14:paraId="42FC7600" w14:textId="77777777" w:rsidR="00277323" w:rsidRPr="000254DF" w:rsidRDefault="00277323" w:rsidP="00B31F98">
            <w:pPr>
              <w:jc w:val="center"/>
              <w:rPr>
                <w:noProof/>
                <w:sz w:val="14"/>
              </w:rPr>
            </w:pPr>
            <w:r w:rsidRPr="000254DF">
              <w:rPr>
                <w:noProof/>
                <w:sz w:val="14"/>
              </w:rPr>
              <w:t>=1a+1b +3</w:t>
            </w:r>
          </w:p>
        </w:tc>
        <w:tc>
          <w:tcPr>
            <w:tcW w:w="868" w:type="dxa"/>
            <w:vAlign w:val="center"/>
          </w:tcPr>
          <w:p w14:paraId="6A47BBBC"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5CF9FE0D"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7D9421FE"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36E91558"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26E4A56A" w14:textId="77777777" w:rsidR="00277323" w:rsidRPr="000254DF" w:rsidRDefault="00277323" w:rsidP="00B31F98">
            <w:pPr>
              <w:spacing w:before="20" w:after="20"/>
              <w:jc w:val="right"/>
              <w:rPr>
                <w:noProof/>
                <w:sz w:val="20"/>
              </w:rPr>
            </w:pPr>
          </w:p>
        </w:tc>
        <w:tc>
          <w:tcPr>
            <w:tcW w:w="868" w:type="dxa"/>
            <w:vAlign w:val="center"/>
          </w:tcPr>
          <w:p w14:paraId="2CAAA22F" w14:textId="77777777" w:rsidR="00277323" w:rsidRPr="000254DF" w:rsidRDefault="00277323" w:rsidP="00B31F98">
            <w:pPr>
              <w:spacing w:before="20" w:after="20"/>
              <w:jc w:val="right"/>
              <w:rPr>
                <w:noProof/>
                <w:sz w:val="20"/>
              </w:rPr>
            </w:pPr>
          </w:p>
        </w:tc>
        <w:tc>
          <w:tcPr>
            <w:tcW w:w="868" w:type="dxa"/>
            <w:vAlign w:val="center"/>
          </w:tcPr>
          <w:p w14:paraId="291CB446" w14:textId="77777777" w:rsidR="00277323" w:rsidRPr="000254DF" w:rsidRDefault="00277323" w:rsidP="00B31F98">
            <w:pPr>
              <w:spacing w:before="20" w:after="20"/>
              <w:jc w:val="right"/>
              <w:rPr>
                <w:b/>
                <w:noProof/>
                <w:sz w:val="20"/>
              </w:rPr>
            </w:pPr>
          </w:p>
        </w:tc>
        <w:tc>
          <w:tcPr>
            <w:tcW w:w="1777" w:type="dxa"/>
            <w:vAlign w:val="center"/>
          </w:tcPr>
          <w:p w14:paraId="4D3CBB0B" w14:textId="77777777" w:rsidR="00277323" w:rsidRPr="000254DF" w:rsidRDefault="00277323" w:rsidP="00B31F98">
            <w:pPr>
              <w:spacing w:before="20" w:after="20"/>
              <w:jc w:val="right"/>
              <w:rPr>
                <w:b/>
                <w:noProof/>
                <w:sz w:val="20"/>
              </w:rPr>
            </w:pPr>
            <w:r w:rsidRPr="000254DF">
              <w:rPr>
                <w:b/>
                <w:noProof/>
                <w:sz w:val="20"/>
              </w:rPr>
              <w:t>0</w:t>
            </w:r>
          </w:p>
        </w:tc>
      </w:tr>
      <w:tr w:rsidR="00277323" w:rsidRPr="000254DF" w14:paraId="3B8E4B86" w14:textId="77777777" w:rsidTr="00B31F98">
        <w:tc>
          <w:tcPr>
            <w:tcW w:w="3960" w:type="dxa"/>
            <w:vMerge/>
          </w:tcPr>
          <w:p w14:paraId="176D4961" w14:textId="77777777" w:rsidR="00277323" w:rsidRPr="000254DF" w:rsidRDefault="00277323" w:rsidP="00B31F98">
            <w:pPr>
              <w:rPr>
                <w:noProof/>
                <w:sz w:val="20"/>
              </w:rPr>
            </w:pPr>
          </w:p>
        </w:tc>
        <w:tc>
          <w:tcPr>
            <w:tcW w:w="1440" w:type="dxa"/>
            <w:vAlign w:val="center"/>
          </w:tcPr>
          <w:p w14:paraId="56A4DB57" w14:textId="77777777" w:rsidR="00277323" w:rsidRPr="000254DF" w:rsidRDefault="00277323" w:rsidP="00B31F98">
            <w:pPr>
              <w:rPr>
                <w:noProof/>
                <w:sz w:val="18"/>
              </w:rPr>
            </w:pPr>
            <w:r w:rsidRPr="000254DF">
              <w:rPr>
                <w:noProof/>
                <w:sz w:val="18"/>
              </w:rPr>
              <w:t>Maksājumi</w:t>
            </w:r>
          </w:p>
        </w:tc>
        <w:tc>
          <w:tcPr>
            <w:tcW w:w="654" w:type="dxa"/>
            <w:gridSpan w:val="2"/>
            <w:vAlign w:val="center"/>
          </w:tcPr>
          <w:p w14:paraId="0D7F6EED" w14:textId="77777777" w:rsidR="00277323" w:rsidRPr="000254DF" w:rsidRDefault="00277323" w:rsidP="00B31F98">
            <w:pPr>
              <w:jc w:val="center"/>
              <w:rPr>
                <w:noProof/>
                <w:sz w:val="14"/>
              </w:rPr>
            </w:pPr>
            <w:r w:rsidRPr="000254DF">
              <w:rPr>
                <w:noProof/>
                <w:sz w:val="14"/>
              </w:rPr>
              <w:t>=2a+2b</w:t>
            </w:r>
          </w:p>
          <w:p w14:paraId="6CCF3729" w14:textId="77777777" w:rsidR="00277323" w:rsidRPr="000254DF" w:rsidRDefault="00277323" w:rsidP="00B31F98">
            <w:pPr>
              <w:jc w:val="center"/>
              <w:rPr>
                <w:noProof/>
                <w:sz w:val="14"/>
              </w:rPr>
            </w:pPr>
            <w:r w:rsidRPr="000254DF">
              <w:rPr>
                <w:noProof/>
                <w:sz w:val="14"/>
              </w:rPr>
              <w:t>+3</w:t>
            </w:r>
          </w:p>
        </w:tc>
        <w:tc>
          <w:tcPr>
            <w:tcW w:w="868" w:type="dxa"/>
            <w:vAlign w:val="center"/>
          </w:tcPr>
          <w:p w14:paraId="64842185"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3C06CE72" w14:textId="77777777" w:rsidR="00277323" w:rsidRPr="000254DF" w:rsidRDefault="007F11DA" w:rsidP="00B31F98">
            <w:pPr>
              <w:spacing w:before="20" w:after="20"/>
              <w:jc w:val="right"/>
              <w:rPr>
                <w:noProof/>
                <w:sz w:val="20"/>
              </w:rPr>
            </w:pPr>
            <w:r w:rsidRPr="000254DF">
              <w:rPr>
                <w:noProof/>
                <w:sz w:val="20"/>
              </w:rPr>
              <w:t>+450</w:t>
            </w:r>
          </w:p>
        </w:tc>
        <w:tc>
          <w:tcPr>
            <w:tcW w:w="868" w:type="dxa"/>
            <w:vAlign w:val="center"/>
          </w:tcPr>
          <w:p w14:paraId="6C2AD12A" w14:textId="77777777" w:rsidR="00277323" w:rsidRPr="000254DF" w:rsidRDefault="007F11DA" w:rsidP="00926069">
            <w:pPr>
              <w:spacing w:before="20" w:after="20"/>
              <w:jc w:val="right"/>
              <w:rPr>
                <w:noProof/>
                <w:sz w:val="20"/>
              </w:rPr>
            </w:pPr>
            <w:r w:rsidRPr="000254DF">
              <w:rPr>
                <w:noProof/>
                <w:sz w:val="20"/>
              </w:rPr>
              <w:t>-225</w:t>
            </w:r>
          </w:p>
        </w:tc>
        <w:tc>
          <w:tcPr>
            <w:tcW w:w="868" w:type="dxa"/>
            <w:vAlign w:val="center"/>
          </w:tcPr>
          <w:p w14:paraId="41A72BB9" w14:textId="77777777" w:rsidR="00277323" w:rsidRPr="000254DF" w:rsidRDefault="007F11DA" w:rsidP="00926069">
            <w:pPr>
              <w:spacing w:before="20" w:after="20"/>
              <w:jc w:val="right"/>
              <w:rPr>
                <w:noProof/>
                <w:sz w:val="20"/>
              </w:rPr>
            </w:pPr>
            <w:r w:rsidRPr="000254DF">
              <w:rPr>
                <w:noProof/>
                <w:sz w:val="20"/>
              </w:rPr>
              <w:t>-225</w:t>
            </w:r>
          </w:p>
        </w:tc>
        <w:tc>
          <w:tcPr>
            <w:tcW w:w="868" w:type="dxa"/>
            <w:vAlign w:val="center"/>
          </w:tcPr>
          <w:p w14:paraId="45452E99" w14:textId="77777777" w:rsidR="00277323" w:rsidRPr="000254DF" w:rsidRDefault="00277323" w:rsidP="00B31F98">
            <w:pPr>
              <w:spacing w:before="20" w:after="20"/>
              <w:jc w:val="right"/>
              <w:rPr>
                <w:noProof/>
                <w:sz w:val="20"/>
              </w:rPr>
            </w:pPr>
          </w:p>
        </w:tc>
        <w:tc>
          <w:tcPr>
            <w:tcW w:w="868" w:type="dxa"/>
            <w:vAlign w:val="center"/>
          </w:tcPr>
          <w:p w14:paraId="0A198DFC" w14:textId="77777777" w:rsidR="00277323" w:rsidRPr="000254DF" w:rsidRDefault="00277323" w:rsidP="00B31F98">
            <w:pPr>
              <w:spacing w:before="20" w:after="20"/>
              <w:jc w:val="right"/>
              <w:rPr>
                <w:noProof/>
                <w:sz w:val="20"/>
              </w:rPr>
            </w:pPr>
          </w:p>
        </w:tc>
        <w:tc>
          <w:tcPr>
            <w:tcW w:w="868" w:type="dxa"/>
            <w:vAlign w:val="center"/>
          </w:tcPr>
          <w:p w14:paraId="1168AD54" w14:textId="77777777" w:rsidR="00277323" w:rsidRPr="000254DF" w:rsidRDefault="00277323" w:rsidP="00B31F98">
            <w:pPr>
              <w:spacing w:before="20" w:after="20"/>
              <w:jc w:val="right"/>
              <w:rPr>
                <w:b/>
                <w:noProof/>
                <w:sz w:val="20"/>
              </w:rPr>
            </w:pPr>
          </w:p>
        </w:tc>
        <w:tc>
          <w:tcPr>
            <w:tcW w:w="1777" w:type="dxa"/>
            <w:vAlign w:val="center"/>
          </w:tcPr>
          <w:p w14:paraId="77CE2C81" w14:textId="77777777" w:rsidR="00277323" w:rsidRPr="000254DF" w:rsidRDefault="00277323" w:rsidP="00B31F98">
            <w:pPr>
              <w:spacing w:before="20" w:after="20"/>
              <w:jc w:val="right"/>
              <w:rPr>
                <w:b/>
                <w:noProof/>
                <w:sz w:val="20"/>
              </w:rPr>
            </w:pPr>
            <w:r w:rsidRPr="000254DF">
              <w:rPr>
                <w:b/>
                <w:noProof/>
                <w:sz w:val="20"/>
              </w:rPr>
              <w:t>0</w:t>
            </w:r>
          </w:p>
        </w:tc>
      </w:tr>
    </w:tbl>
    <w:p w14:paraId="5CF4147E" w14:textId="77777777" w:rsidR="00277323" w:rsidRPr="000254DF" w:rsidRDefault="00277323" w:rsidP="00277323">
      <w:pPr>
        <w:rPr>
          <w:noProof/>
        </w:rPr>
      </w:pPr>
    </w:p>
    <w:p w14:paraId="1AC30430" w14:textId="77777777" w:rsidR="00277323" w:rsidRPr="000254DF" w:rsidRDefault="00277323" w:rsidP="00277323">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277323" w:rsidRPr="000254DF" w14:paraId="29D6407E" w14:textId="77777777" w:rsidTr="00B31F98">
        <w:trPr>
          <w:trHeight w:val="277"/>
        </w:trPr>
        <w:tc>
          <w:tcPr>
            <w:tcW w:w="3960" w:type="dxa"/>
            <w:vMerge w:val="restart"/>
            <w:vAlign w:val="center"/>
          </w:tcPr>
          <w:p w14:paraId="468453D1" w14:textId="77777777" w:rsidR="00277323" w:rsidRPr="000254DF" w:rsidRDefault="00277323" w:rsidP="00B31F98">
            <w:pPr>
              <w:spacing w:before="20" w:after="20"/>
              <w:rPr>
                <w:noProof/>
              </w:rPr>
            </w:pPr>
            <w:r w:rsidRPr="000254DF">
              <w:rPr>
                <w:noProof/>
              </w:rPr>
              <w:br w:type="page"/>
            </w:r>
            <w:r w:rsidRPr="000254DF">
              <w:rPr>
                <w:noProof/>
                <w:sz w:val="21"/>
              </w:rPr>
              <w:sym w:font="Wingdings" w:char="F09F"/>
            </w:r>
            <w:r w:rsidRPr="000254DF">
              <w:rPr>
                <w:noProof/>
                <w:sz w:val="21"/>
              </w:rPr>
              <w:t xml:space="preserve"> KOPĀ darbības apropriācijas </w:t>
            </w:r>
          </w:p>
        </w:tc>
        <w:tc>
          <w:tcPr>
            <w:tcW w:w="1440" w:type="dxa"/>
            <w:vAlign w:val="center"/>
          </w:tcPr>
          <w:p w14:paraId="5D906379" w14:textId="77777777" w:rsidR="00277323" w:rsidRPr="000254DF" w:rsidRDefault="00277323" w:rsidP="00B31F98">
            <w:pPr>
              <w:spacing w:beforeLines="20" w:before="48" w:afterLines="20" w:after="48"/>
              <w:rPr>
                <w:noProof/>
                <w:sz w:val="18"/>
              </w:rPr>
            </w:pPr>
            <w:r w:rsidRPr="000254DF">
              <w:rPr>
                <w:noProof/>
                <w:sz w:val="18"/>
              </w:rPr>
              <w:t>Saistības</w:t>
            </w:r>
          </w:p>
        </w:tc>
        <w:tc>
          <w:tcPr>
            <w:tcW w:w="654" w:type="dxa"/>
            <w:vAlign w:val="center"/>
          </w:tcPr>
          <w:p w14:paraId="0744FE0A" w14:textId="77777777" w:rsidR="00277323" w:rsidRPr="000254DF" w:rsidRDefault="00277323" w:rsidP="00B31F98">
            <w:pPr>
              <w:spacing w:beforeLines="20" w:before="48" w:afterLines="20" w:after="48"/>
              <w:jc w:val="center"/>
              <w:rPr>
                <w:noProof/>
                <w:sz w:val="14"/>
              </w:rPr>
            </w:pPr>
            <w:r w:rsidRPr="000254DF">
              <w:rPr>
                <w:noProof/>
                <w:sz w:val="14"/>
              </w:rPr>
              <w:t>(4)</w:t>
            </w:r>
          </w:p>
        </w:tc>
        <w:tc>
          <w:tcPr>
            <w:tcW w:w="868" w:type="dxa"/>
            <w:vAlign w:val="center"/>
          </w:tcPr>
          <w:p w14:paraId="7CD27A61"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31ADD6A5"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75105812"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0F0FAC78"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675829DE" w14:textId="77777777" w:rsidR="00277323" w:rsidRPr="000254DF" w:rsidRDefault="00277323" w:rsidP="00B31F98">
            <w:pPr>
              <w:spacing w:before="20" w:after="20"/>
              <w:jc w:val="right"/>
              <w:rPr>
                <w:noProof/>
                <w:sz w:val="20"/>
              </w:rPr>
            </w:pPr>
          </w:p>
        </w:tc>
        <w:tc>
          <w:tcPr>
            <w:tcW w:w="868" w:type="dxa"/>
            <w:vAlign w:val="center"/>
          </w:tcPr>
          <w:p w14:paraId="3C4B2548" w14:textId="77777777" w:rsidR="00277323" w:rsidRPr="000254DF" w:rsidRDefault="00277323" w:rsidP="00B31F98">
            <w:pPr>
              <w:spacing w:before="20" w:after="20"/>
              <w:jc w:val="right"/>
              <w:rPr>
                <w:noProof/>
                <w:sz w:val="20"/>
              </w:rPr>
            </w:pPr>
          </w:p>
        </w:tc>
        <w:tc>
          <w:tcPr>
            <w:tcW w:w="868" w:type="dxa"/>
            <w:vAlign w:val="center"/>
          </w:tcPr>
          <w:p w14:paraId="29E209C2" w14:textId="77777777" w:rsidR="00277323" w:rsidRPr="000254DF" w:rsidRDefault="00277323" w:rsidP="00B31F98">
            <w:pPr>
              <w:spacing w:before="20" w:after="20"/>
              <w:jc w:val="right"/>
              <w:rPr>
                <w:b/>
                <w:noProof/>
                <w:sz w:val="20"/>
              </w:rPr>
            </w:pPr>
          </w:p>
        </w:tc>
        <w:tc>
          <w:tcPr>
            <w:tcW w:w="1777" w:type="dxa"/>
            <w:vAlign w:val="center"/>
          </w:tcPr>
          <w:p w14:paraId="5F9D1FB5" w14:textId="77777777" w:rsidR="00277323" w:rsidRPr="000254DF" w:rsidRDefault="00277323" w:rsidP="00B31F98">
            <w:pPr>
              <w:spacing w:before="20" w:after="20"/>
              <w:jc w:val="right"/>
              <w:rPr>
                <w:b/>
                <w:noProof/>
                <w:sz w:val="20"/>
              </w:rPr>
            </w:pPr>
            <w:r w:rsidRPr="000254DF">
              <w:rPr>
                <w:b/>
                <w:noProof/>
                <w:sz w:val="20"/>
              </w:rPr>
              <w:t>0</w:t>
            </w:r>
          </w:p>
        </w:tc>
      </w:tr>
      <w:tr w:rsidR="00277323" w:rsidRPr="000254DF" w14:paraId="4AC72167" w14:textId="77777777" w:rsidTr="00B31F98">
        <w:tc>
          <w:tcPr>
            <w:tcW w:w="3960" w:type="dxa"/>
            <w:vMerge/>
          </w:tcPr>
          <w:p w14:paraId="1B74DE2B" w14:textId="77777777" w:rsidR="00277323" w:rsidRPr="000254DF" w:rsidRDefault="00277323" w:rsidP="00B31F98">
            <w:pPr>
              <w:jc w:val="center"/>
              <w:rPr>
                <w:noProof/>
                <w:sz w:val="20"/>
              </w:rPr>
            </w:pPr>
          </w:p>
        </w:tc>
        <w:tc>
          <w:tcPr>
            <w:tcW w:w="1440" w:type="dxa"/>
            <w:vAlign w:val="center"/>
          </w:tcPr>
          <w:p w14:paraId="6D7BDA88" w14:textId="77777777" w:rsidR="00277323" w:rsidRPr="000254DF" w:rsidRDefault="00277323" w:rsidP="00B31F98">
            <w:pPr>
              <w:spacing w:beforeLines="20" w:before="48" w:afterLines="20" w:after="48"/>
              <w:rPr>
                <w:noProof/>
                <w:sz w:val="18"/>
              </w:rPr>
            </w:pPr>
            <w:r w:rsidRPr="000254DF">
              <w:rPr>
                <w:noProof/>
                <w:sz w:val="18"/>
              </w:rPr>
              <w:t>Maksājumi</w:t>
            </w:r>
          </w:p>
        </w:tc>
        <w:tc>
          <w:tcPr>
            <w:tcW w:w="654" w:type="dxa"/>
            <w:vAlign w:val="center"/>
          </w:tcPr>
          <w:p w14:paraId="437B751D" w14:textId="77777777" w:rsidR="00277323" w:rsidRPr="000254DF" w:rsidRDefault="00277323" w:rsidP="00B31F98">
            <w:pPr>
              <w:spacing w:beforeLines="20" w:before="48" w:afterLines="20" w:after="48"/>
              <w:jc w:val="center"/>
              <w:rPr>
                <w:noProof/>
                <w:sz w:val="14"/>
              </w:rPr>
            </w:pPr>
            <w:r w:rsidRPr="000254DF">
              <w:rPr>
                <w:noProof/>
                <w:sz w:val="14"/>
              </w:rPr>
              <w:t>(5)</w:t>
            </w:r>
          </w:p>
        </w:tc>
        <w:tc>
          <w:tcPr>
            <w:tcW w:w="868" w:type="dxa"/>
            <w:vAlign w:val="center"/>
          </w:tcPr>
          <w:p w14:paraId="7248ADFA"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694744DB" w14:textId="77777777" w:rsidR="00277323" w:rsidRPr="000254DF" w:rsidRDefault="000E7B3B" w:rsidP="00B31F98">
            <w:pPr>
              <w:spacing w:before="20" w:after="20"/>
              <w:jc w:val="right"/>
              <w:rPr>
                <w:noProof/>
                <w:sz w:val="20"/>
              </w:rPr>
            </w:pPr>
            <w:r w:rsidRPr="000254DF">
              <w:rPr>
                <w:noProof/>
                <w:sz w:val="20"/>
              </w:rPr>
              <w:t>0</w:t>
            </w:r>
          </w:p>
        </w:tc>
        <w:tc>
          <w:tcPr>
            <w:tcW w:w="868" w:type="dxa"/>
            <w:vAlign w:val="center"/>
          </w:tcPr>
          <w:p w14:paraId="6E297B45" w14:textId="77777777" w:rsidR="00277323" w:rsidRPr="000254DF" w:rsidRDefault="000E7B3B" w:rsidP="00926069">
            <w:pPr>
              <w:spacing w:before="20" w:after="20"/>
              <w:jc w:val="right"/>
              <w:rPr>
                <w:noProof/>
                <w:sz w:val="20"/>
              </w:rPr>
            </w:pPr>
            <w:r w:rsidRPr="000254DF">
              <w:rPr>
                <w:noProof/>
                <w:sz w:val="20"/>
              </w:rPr>
              <w:t>0</w:t>
            </w:r>
          </w:p>
        </w:tc>
        <w:tc>
          <w:tcPr>
            <w:tcW w:w="868" w:type="dxa"/>
            <w:vAlign w:val="center"/>
          </w:tcPr>
          <w:p w14:paraId="486AED9E" w14:textId="77777777" w:rsidR="00277323" w:rsidRPr="000254DF" w:rsidRDefault="000E7B3B" w:rsidP="00926069">
            <w:pPr>
              <w:spacing w:before="20" w:after="20"/>
              <w:jc w:val="right"/>
              <w:rPr>
                <w:noProof/>
                <w:sz w:val="20"/>
              </w:rPr>
            </w:pPr>
            <w:r w:rsidRPr="000254DF">
              <w:rPr>
                <w:noProof/>
                <w:sz w:val="20"/>
              </w:rPr>
              <w:t>0</w:t>
            </w:r>
          </w:p>
        </w:tc>
        <w:tc>
          <w:tcPr>
            <w:tcW w:w="868" w:type="dxa"/>
            <w:vAlign w:val="center"/>
          </w:tcPr>
          <w:p w14:paraId="492AA170" w14:textId="77777777" w:rsidR="00277323" w:rsidRPr="000254DF" w:rsidRDefault="00277323" w:rsidP="00B31F98">
            <w:pPr>
              <w:spacing w:before="20" w:after="20"/>
              <w:jc w:val="right"/>
              <w:rPr>
                <w:noProof/>
                <w:sz w:val="20"/>
              </w:rPr>
            </w:pPr>
          </w:p>
        </w:tc>
        <w:tc>
          <w:tcPr>
            <w:tcW w:w="868" w:type="dxa"/>
            <w:vAlign w:val="center"/>
          </w:tcPr>
          <w:p w14:paraId="038013C4" w14:textId="77777777" w:rsidR="00277323" w:rsidRPr="000254DF" w:rsidRDefault="00277323" w:rsidP="00B31F98">
            <w:pPr>
              <w:spacing w:before="20" w:after="20"/>
              <w:jc w:val="right"/>
              <w:rPr>
                <w:noProof/>
                <w:sz w:val="20"/>
              </w:rPr>
            </w:pPr>
          </w:p>
        </w:tc>
        <w:tc>
          <w:tcPr>
            <w:tcW w:w="868" w:type="dxa"/>
            <w:vAlign w:val="center"/>
          </w:tcPr>
          <w:p w14:paraId="63830404" w14:textId="77777777" w:rsidR="00277323" w:rsidRPr="000254DF" w:rsidRDefault="00277323" w:rsidP="00B31F98">
            <w:pPr>
              <w:spacing w:before="20" w:after="20"/>
              <w:jc w:val="right"/>
              <w:rPr>
                <w:b/>
                <w:noProof/>
                <w:sz w:val="20"/>
              </w:rPr>
            </w:pPr>
          </w:p>
        </w:tc>
        <w:tc>
          <w:tcPr>
            <w:tcW w:w="1777" w:type="dxa"/>
            <w:vAlign w:val="center"/>
          </w:tcPr>
          <w:p w14:paraId="343E0809" w14:textId="77777777" w:rsidR="00277323" w:rsidRPr="000254DF" w:rsidRDefault="00277323" w:rsidP="00B31F98">
            <w:pPr>
              <w:spacing w:before="20" w:after="20"/>
              <w:jc w:val="right"/>
              <w:rPr>
                <w:b/>
                <w:noProof/>
                <w:sz w:val="20"/>
              </w:rPr>
            </w:pPr>
            <w:r w:rsidRPr="000254DF">
              <w:rPr>
                <w:b/>
                <w:noProof/>
                <w:sz w:val="20"/>
              </w:rPr>
              <w:t>0</w:t>
            </w:r>
          </w:p>
        </w:tc>
      </w:tr>
      <w:tr w:rsidR="00277323" w:rsidRPr="000254DF" w14:paraId="6A1B4923" w14:textId="77777777" w:rsidTr="00B31F98">
        <w:trPr>
          <w:trHeight w:val="533"/>
        </w:trPr>
        <w:tc>
          <w:tcPr>
            <w:tcW w:w="5400" w:type="dxa"/>
            <w:gridSpan w:val="2"/>
            <w:vAlign w:val="center"/>
          </w:tcPr>
          <w:p w14:paraId="545947FB" w14:textId="77777777" w:rsidR="00277323" w:rsidRPr="000254DF" w:rsidRDefault="00277323" w:rsidP="00B31F98">
            <w:pPr>
              <w:spacing w:beforeLines="20" w:before="48" w:afterLines="20" w:after="48"/>
              <w:rPr>
                <w:noProof/>
              </w:rPr>
            </w:pPr>
            <w:r w:rsidRPr="000254DF">
              <w:rPr>
                <w:noProof/>
                <w:sz w:val="21"/>
              </w:rPr>
              <w:sym w:font="Wingdings" w:char="F09F"/>
            </w:r>
            <w:r w:rsidRPr="000254DF">
              <w:rPr>
                <w:noProof/>
                <w:sz w:val="21"/>
              </w:rPr>
              <w:t xml:space="preserve">KOPĀ administratīvās apropriācijas, kas tiek finansētas no konkrētu programmu piešķīrumiem </w:t>
            </w:r>
          </w:p>
        </w:tc>
        <w:tc>
          <w:tcPr>
            <w:tcW w:w="654" w:type="dxa"/>
            <w:vAlign w:val="center"/>
          </w:tcPr>
          <w:p w14:paraId="002B40AE" w14:textId="77777777" w:rsidR="00277323" w:rsidRPr="000254DF" w:rsidRDefault="00277323" w:rsidP="00B31F98">
            <w:pPr>
              <w:spacing w:beforeLines="20" w:before="48" w:afterLines="20" w:after="48"/>
              <w:jc w:val="center"/>
              <w:rPr>
                <w:noProof/>
                <w:sz w:val="14"/>
              </w:rPr>
            </w:pPr>
            <w:r w:rsidRPr="000254DF">
              <w:rPr>
                <w:noProof/>
                <w:sz w:val="14"/>
              </w:rPr>
              <w:t>(6)</w:t>
            </w:r>
          </w:p>
        </w:tc>
        <w:tc>
          <w:tcPr>
            <w:tcW w:w="868" w:type="dxa"/>
            <w:vAlign w:val="center"/>
          </w:tcPr>
          <w:p w14:paraId="165CF42F" w14:textId="77777777" w:rsidR="00277323" w:rsidRPr="000254DF" w:rsidRDefault="00277323" w:rsidP="00B31F98">
            <w:pPr>
              <w:spacing w:before="20" w:after="20"/>
              <w:jc w:val="right"/>
              <w:rPr>
                <w:b/>
                <w:noProof/>
                <w:sz w:val="20"/>
              </w:rPr>
            </w:pPr>
          </w:p>
        </w:tc>
        <w:tc>
          <w:tcPr>
            <w:tcW w:w="868" w:type="dxa"/>
            <w:vAlign w:val="center"/>
          </w:tcPr>
          <w:p w14:paraId="07105F8F" w14:textId="77777777" w:rsidR="00277323" w:rsidRPr="000254DF" w:rsidRDefault="00277323" w:rsidP="00B31F98">
            <w:pPr>
              <w:spacing w:before="20" w:after="20"/>
              <w:jc w:val="right"/>
              <w:rPr>
                <w:b/>
                <w:noProof/>
                <w:sz w:val="20"/>
              </w:rPr>
            </w:pPr>
          </w:p>
        </w:tc>
        <w:tc>
          <w:tcPr>
            <w:tcW w:w="868" w:type="dxa"/>
            <w:vAlign w:val="center"/>
          </w:tcPr>
          <w:p w14:paraId="1A2EA070" w14:textId="77777777" w:rsidR="00277323" w:rsidRPr="000254DF" w:rsidRDefault="00277323" w:rsidP="00B31F98">
            <w:pPr>
              <w:spacing w:before="20" w:after="20"/>
              <w:jc w:val="right"/>
              <w:rPr>
                <w:b/>
                <w:noProof/>
                <w:sz w:val="20"/>
              </w:rPr>
            </w:pPr>
          </w:p>
        </w:tc>
        <w:tc>
          <w:tcPr>
            <w:tcW w:w="868" w:type="dxa"/>
            <w:vAlign w:val="center"/>
          </w:tcPr>
          <w:p w14:paraId="09CDAA29" w14:textId="77777777" w:rsidR="00277323" w:rsidRPr="000254DF" w:rsidRDefault="00277323" w:rsidP="00B31F98">
            <w:pPr>
              <w:spacing w:before="20" w:after="20"/>
              <w:jc w:val="right"/>
              <w:rPr>
                <w:b/>
                <w:noProof/>
                <w:sz w:val="20"/>
              </w:rPr>
            </w:pPr>
          </w:p>
        </w:tc>
        <w:tc>
          <w:tcPr>
            <w:tcW w:w="868" w:type="dxa"/>
            <w:vAlign w:val="center"/>
          </w:tcPr>
          <w:p w14:paraId="320598C7" w14:textId="77777777" w:rsidR="00277323" w:rsidRPr="000254DF" w:rsidRDefault="00277323" w:rsidP="00B31F98">
            <w:pPr>
              <w:spacing w:before="20" w:after="20"/>
              <w:jc w:val="right"/>
              <w:rPr>
                <w:b/>
                <w:noProof/>
                <w:sz w:val="20"/>
              </w:rPr>
            </w:pPr>
          </w:p>
        </w:tc>
        <w:tc>
          <w:tcPr>
            <w:tcW w:w="868" w:type="dxa"/>
            <w:vAlign w:val="center"/>
          </w:tcPr>
          <w:p w14:paraId="1BC2EAEF" w14:textId="77777777" w:rsidR="00277323" w:rsidRPr="000254DF" w:rsidRDefault="00277323" w:rsidP="00B31F98">
            <w:pPr>
              <w:spacing w:before="20" w:after="20"/>
              <w:jc w:val="right"/>
              <w:rPr>
                <w:b/>
                <w:noProof/>
                <w:sz w:val="20"/>
              </w:rPr>
            </w:pPr>
          </w:p>
        </w:tc>
        <w:tc>
          <w:tcPr>
            <w:tcW w:w="868" w:type="dxa"/>
            <w:vAlign w:val="center"/>
          </w:tcPr>
          <w:p w14:paraId="1FBB9A4F" w14:textId="77777777" w:rsidR="00277323" w:rsidRPr="000254DF" w:rsidRDefault="00277323" w:rsidP="00B31F98">
            <w:pPr>
              <w:spacing w:before="20" w:after="20"/>
              <w:jc w:val="right"/>
              <w:rPr>
                <w:b/>
                <w:noProof/>
                <w:sz w:val="20"/>
              </w:rPr>
            </w:pPr>
          </w:p>
        </w:tc>
        <w:tc>
          <w:tcPr>
            <w:tcW w:w="1777" w:type="dxa"/>
            <w:vAlign w:val="center"/>
          </w:tcPr>
          <w:p w14:paraId="7B1B871C" w14:textId="77777777" w:rsidR="00277323" w:rsidRPr="000254DF" w:rsidRDefault="00277323" w:rsidP="00B31F98">
            <w:pPr>
              <w:spacing w:before="20" w:after="20"/>
              <w:jc w:val="right"/>
              <w:rPr>
                <w:b/>
                <w:noProof/>
                <w:sz w:val="20"/>
              </w:rPr>
            </w:pPr>
          </w:p>
        </w:tc>
      </w:tr>
      <w:tr w:rsidR="00277323" w:rsidRPr="000254DF" w14:paraId="295FD05F" w14:textId="77777777" w:rsidTr="00B31F98">
        <w:tc>
          <w:tcPr>
            <w:tcW w:w="3960" w:type="dxa"/>
            <w:vMerge w:val="restart"/>
            <w:shd w:val="thinDiagStripe" w:color="C0C0C0" w:fill="auto"/>
            <w:vAlign w:val="center"/>
          </w:tcPr>
          <w:p w14:paraId="33D1A93E" w14:textId="77777777" w:rsidR="00277323" w:rsidRPr="000254DF" w:rsidRDefault="00277323" w:rsidP="000F0A02">
            <w:pPr>
              <w:jc w:val="center"/>
              <w:rPr>
                <w:b/>
                <w:noProof/>
              </w:rPr>
            </w:pPr>
            <w:r w:rsidRPr="000254DF">
              <w:rPr>
                <w:b/>
                <w:noProof/>
                <w:sz w:val="22"/>
              </w:rPr>
              <w:t>KOPĀ</w:t>
            </w:r>
            <w:r w:rsidRPr="000254DF">
              <w:rPr>
                <w:noProof/>
              </w:rPr>
              <w:t xml:space="preserve"> </w:t>
            </w:r>
            <w:r w:rsidRPr="000254DF">
              <w:rPr>
                <w:noProof/>
                <w:sz w:val="22"/>
              </w:rPr>
              <w:t>daudzgadu finanšu shēmas</w:t>
            </w:r>
            <w:r w:rsidRPr="000254DF">
              <w:rPr>
                <w:noProof/>
              </w:rPr>
              <w:t xml:space="preserve"> </w:t>
            </w:r>
            <w:r w:rsidRPr="000254DF">
              <w:rPr>
                <w:b/>
                <w:noProof/>
                <w:sz w:val="22"/>
              </w:rPr>
              <w:t>3. IZDEVUMU KATEGORIJAS</w:t>
            </w:r>
            <w:r w:rsidRPr="000254DF">
              <w:rPr>
                <w:b/>
                <w:noProof/>
                <w:sz w:val="22"/>
              </w:rPr>
              <w:br/>
              <w:t>apropriācijas</w:t>
            </w:r>
          </w:p>
        </w:tc>
        <w:tc>
          <w:tcPr>
            <w:tcW w:w="1440" w:type="dxa"/>
            <w:vAlign w:val="center"/>
          </w:tcPr>
          <w:p w14:paraId="0D568E16" w14:textId="77777777" w:rsidR="00277323" w:rsidRPr="000254DF" w:rsidRDefault="00277323" w:rsidP="00B31F98">
            <w:pPr>
              <w:rPr>
                <w:noProof/>
                <w:sz w:val="18"/>
              </w:rPr>
            </w:pPr>
            <w:r w:rsidRPr="000254DF">
              <w:rPr>
                <w:noProof/>
                <w:sz w:val="18"/>
              </w:rPr>
              <w:t>Saistības</w:t>
            </w:r>
          </w:p>
        </w:tc>
        <w:tc>
          <w:tcPr>
            <w:tcW w:w="654" w:type="dxa"/>
            <w:vAlign w:val="center"/>
          </w:tcPr>
          <w:p w14:paraId="4C959E4F" w14:textId="77777777" w:rsidR="00277323" w:rsidRPr="000254DF" w:rsidRDefault="00277323" w:rsidP="00B31F98">
            <w:pPr>
              <w:jc w:val="center"/>
              <w:rPr>
                <w:noProof/>
                <w:sz w:val="14"/>
              </w:rPr>
            </w:pPr>
            <w:r w:rsidRPr="000254DF">
              <w:rPr>
                <w:noProof/>
                <w:sz w:val="14"/>
              </w:rPr>
              <w:t>=4+ 6</w:t>
            </w:r>
          </w:p>
        </w:tc>
        <w:tc>
          <w:tcPr>
            <w:tcW w:w="868" w:type="dxa"/>
            <w:vAlign w:val="center"/>
          </w:tcPr>
          <w:p w14:paraId="22E71F02"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179D4F32"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08F3DEE0"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0EB9E336"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0C4E4C10" w14:textId="77777777" w:rsidR="00277323" w:rsidRPr="000254DF" w:rsidRDefault="00277323" w:rsidP="00B31F98">
            <w:pPr>
              <w:spacing w:before="20" w:after="20"/>
              <w:jc w:val="right"/>
              <w:rPr>
                <w:noProof/>
                <w:sz w:val="20"/>
              </w:rPr>
            </w:pPr>
          </w:p>
        </w:tc>
        <w:tc>
          <w:tcPr>
            <w:tcW w:w="868" w:type="dxa"/>
            <w:vAlign w:val="center"/>
          </w:tcPr>
          <w:p w14:paraId="32C8B331" w14:textId="77777777" w:rsidR="00277323" w:rsidRPr="000254DF" w:rsidRDefault="00277323" w:rsidP="00B31F98">
            <w:pPr>
              <w:spacing w:before="20" w:after="20"/>
              <w:jc w:val="right"/>
              <w:rPr>
                <w:noProof/>
                <w:sz w:val="20"/>
              </w:rPr>
            </w:pPr>
          </w:p>
        </w:tc>
        <w:tc>
          <w:tcPr>
            <w:tcW w:w="868" w:type="dxa"/>
            <w:vAlign w:val="center"/>
          </w:tcPr>
          <w:p w14:paraId="588F2D2D" w14:textId="77777777" w:rsidR="00277323" w:rsidRPr="000254DF" w:rsidRDefault="00277323" w:rsidP="00B31F98">
            <w:pPr>
              <w:spacing w:before="20" w:after="20"/>
              <w:jc w:val="right"/>
              <w:rPr>
                <w:b/>
                <w:noProof/>
                <w:sz w:val="20"/>
              </w:rPr>
            </w:pPr>
          </w:p>
        </w:tc>
        <w:tc>
          <w:tcPr>
            <w:tcW w:w="1777" w:type="dxa"/>
            <w:vAlign w:val="center"/>
          </w:tcPr>
          <w:p w14:paraId="07C4F10A" w14:textId="77777777" w:rsidR="00277323" w:rsidRPr="000254DF" w:rsidRDefault="00277323" w:rsidP="00B31F98">
            <w:pPr>
              <w:spacing w:before="20" w:after="20"/>
              <w:jc w:val="right"/>
              <w:rPr>
                <w:b/>
                <w:noProof/>
                <w:sz w:val="20"/>
              </w:rPr>
            </w:pPr>
            <w:r w:rsidRPr="000254DF">
              <w:rPr>
                <w:b/>
                <w:noProof/>
                <w:sz w:val="20"/>
              </w:rPr>
              <w:t>0</w:t>
            </w:r>
          </w:p>
        </w:tc>
      </w:tr>
      <w:tr w:rsidR="00277323" w:rsidRPr="000254DF" w14:paraId="2FF47A90" w14:textId="77777777" w:rsidTr="00B31F98">
        <w:tc>
          <w:tcPr>
            <w:tcW w:w="3960" w:type="dxa"/>
            <w:vMerge/>
            <w:shd w:val="thinDiagStripe" w:color="C0C0C0" w:fill="auto"/>
          </w:tcPr>
          <w:p w14:paraId="5BC987C7" w14:textId="77777777" w:rsidR="00277323" w:rsidRPr="000254DF" w:rsidRDefault="00277323" w:rsidP="00B31F98">
            <w:pPr>
              <w:rPr>
                <w:noProof/>
                <w:sz w:val="20"/>
              </w:rPr>
            </w:pPr>
          </w:p>
        </w:tc>
        <w:tc>
          <w:tcPr>
            <w:tcW w:w="1440" w:type="dxa"/>
            <w:vAlign w:val="center"/>
          </w:tcPr>
          <w:p w14:paraId="5D6AD121" w14:textId="77777777" w:rsidR="00277323" w:rsidRPr="000254DF" w:rsidRDefault="00277323" w:rsidP="00B31F98">
            <w:pPr>
              <w:rPr>
                <w:noProof/>
                <w:sz w:val="18"/>
              </w:rPr>
            </w:pPr>
            <w:r w:rsidRPr="000254DF">
              <w:rPr>
                <w:noProof/>
                <w:sz w:val="18"/>
              </w:rPr>
              <w:t>Maksājumi</w:t>
            </w:r>
          </w:p>
        </w:tc>
        <w:tc>
          <w:tcPr>
            <w:tcW w:w="654" w:type="dxa"/>
            <w:vAlign w:val="center"/>
          </w:tcPr>
          <w:p w14:paraId="65E5D825" w14:textId="77777777" w:rsidR="00277323" w:rsidRPr="000254DF" w:rsidRDefault="00277323" w:rsidP="00B31F98">
            <w:pPr>
              <w:jc w:val="center"/>
              <w:rPr>
                <w:noProof/>
                <w:sz w:val="14"/>
              </w:rPr>
            </w:pPr>
            <w:r w:rsidRPr="000254DF">
              <w:rPr>
                <w:noProof/>
                <w:sz w:val="14"/>
              </w:rPr>
              <w:t>=5+ 6</w:t>
            </w:r>
          </w:p>
        </w:tc>
        <w:tc>
          <w:tcPr>
            <w:tcW w:w="868" w:type="dxa"/>
            <w:vAlign w:val="center"/>
          </w:tcPr>
          <w:p w14:paraId="3DA1F8A1" w14:textId="77777777" w:rsidR="00277323" w:rsidRPr="000254DF" w:rsidRDefault="00277323" w:rsidP="00B31F98">
            <w:pPr>
              <w:spacing w:before="20" w:after="20"/>
              <w:jc w:val="right"/>
              <w:rPr>
                <w:noProof/>
                <w:sz w:val="20"/>
              </w:rPr>
            </w:pPr>
            <w:r w:rsidRPr="000254DF">
              <w:rPr>
                <w:noProof/>
                <w:sz w:val="20"/>
              </w:rPr>
              <w:t>0</w:t>
            </w:r>
          </w:p>
        </w:tc>
        <w:tc>
          <w:tcPr>
            <w:tcW w:w="868" w:type="dxa"/>
            <w:vAlign w:val="center"/>
          </w:tcPr>
          <w:p w14:paraId="09CC15A1" w14:textId="77777777" w:rsidR="00277323" w:rsidRPr="000254DF" w:rsidRDefault="007F11DA" w:rsidP="00926069">
            <w:pPr>
              <w:spacing w:before="20" w:after="20"/>
              <w:jc w:val="right"/>
              <w:rPr>
                <w:noProof/>
                <w:sz w:val="20"/>
              </w:rPr>
            </w:pPr>
            <w:r w:rsidRPr="000254DF">
              <w:rPr>
                <w:noProof/>
                <w:sz w:val="20"/>
              </w:rPr>
              <w:t>+450</w:t>
            </w:r>
          </w:p>
        </w:tc>
        <w:tc>
          <w:tcPr>
            <w:tcW w:w="868" w:type="dxa"/>
            <w:vAlign w:val="center"/>
          </w:tcPr>
          <w:p w14:paraId="75666C7F" w14:textId="77777777" w:rsidR="00277323" w:rsidRPr="000254DF" w:rsidRDefault="007F11DA" w:rsidP="00926069">
            <w:pPr>
              <w:spacing w:before="20" w:after="20"/>
              <w:jc w:val="right"/>
              <w:rPr>
                <w:noProof/>
                <w:sz w:val="20"/>
              </w:rPr>
            </w:pPr>
            <w:r w:rsidRPr="000254DF">
              <w:rPr>
                <w:noProof/>
                <w:sz w:val="20"/>
              </w:rPr>
              <w:t>-225</w:t>
            </w:r>
          </w:p>
        </w:tc>
        <w:tc>
          <w:tcPr>
            <w:tcW w:w="868" w:type="dxa"/>
            <w:vAlign w:val="center"/>
          </w:tcPr>
          <w:p w14:paraId="755D2803" w14:textId="77777777" w:rsidR="00277323" w:rsidRPr="000254DF" w:rsidRDefault="007F11DA" w:rsidP="00926069">
            <w:pPr>
              <w:spacing w:before="20" w:after="20"/>
              <w:jc w:val="right"/>
              <w:rPr>
                <w:noProof/>
                <w:sz w:val="20"/>
              </w:rPr>
            </w:pPr>
            <w:r w:rsidRPr="000254DF">
              <w:rPr>
                <w:noProof/>
                <w:sz w:val="20"/>
              </w:rPr>
              <w:t>-225</w:t>
            </w:r>
          </w:p>
        </w:tc>
        <w:tc>
          <w:tcPr>
            <w:tcW w:w="868" w:type="dxa"/>
            <w:vAlign w:val="center"/>
          </w:tcPr>
          <w:p w14:paraId="11D5003E" w14:textId="77777777" w:rsidR="00277323" w:rsidRPr="000254DF" w:rsidRDefault="00277323" w:rsidP="00B31F98">
            <w:pPr>
              <w:spacing w:before="20" w:after="20"/>
              <w:jc w:val="right"/>
              <w:rPr>
                <w:noProof/>
                <w:sz w:val="20"/>
              </w:rPr>
            </w:pPr>
          </w:p>
        </w:tc>
        <w:tc>
          <w:tcPr>
            <w:tcW w:w="868" w:type="dxa"/>
            <w:vAlign w:val="center"/>
          </w:tcPr>
          <w:p w14:paraId="3376F575" w14:textId="77777777" w:rsidR="00277323" w:rsidRPr="000254DF" w:rsidRDefault="00277323" w:rsidP="00B31F98">
            <w:pPr>
              <w:spacing w:before="20" w:after="20"/>
              <w:jc w:val="right"/>
              <w:rPr>
                <w:noProof/>
                <w:sz w:val="20"/>
              </w:rPr>
            </w:pPr>
          </w:p>
        </w:tc>
        <w:tc>
          <w:tcPr>
            <w:tcW w:w="868" w:type="dxa"/>
            <w:vAlign w:val="center"/>
          </w:tcPr>
          <w:p w14:paraId="75B36669" w14:textId="77777777" w:rsidR="00277323" w:rsidRPr="000254DF" w:rsidRDefault="00277323" w:rsidP="00B31F98">
            <w:pPr>
              <w:spacing w:before="20" w:after="20"/>
              <w:jc w:val="right"/>
              <w:rPr>
                <w:b/>
                <w:noProof/>
                <w:sz w:val="20"/>
              </w:rPr>
            </w:pPr>
          </w:p>
        </w:tc>
        <w:tc>
          <w:tcPr>
            <w:tcW w:w="1777" w:type="dxa"/>
            <w:vAlign w:val="center"/>
          </w:tcPr>
          <w:p w14:paraId="7E6CD356" w14:textId="77777777" w:rsidR="00277323" w:rsidRPr="000254DF" w:rsidRDefault="00277323" w:rsidP="00B31F98">
            <w:pPr>
              <w:spacing w:before="20" w:after="20"/>
              <w:jc w:val="right"/>
              <w:rPr>
                <w:b/>
                <w:noProof/>
                <w:sz w:val="20"/>
              </w:rPr>
            </w:pPr>
            <w:r w:rsidRPr="000254DF">
              <w:rPr>
                <w:b/>
                <w:noProof/>
                <w:sz w:val="20"/>
              </w:rPr>
              <w:t>0</w:t>
            </w:r>
          </w:p>
        </w:tc>
      </w:tr>
    </w:tbl>
    <w:p w14:paraId="510EA494" w14:textId="77777777" w:rsidR="00277323" w:rsidRPr="000254DF" w:rsidRDefault="00277323" w:rsidP="00277323">
      <w:pPr>
        <w:spacing w:before="0" w:after="0"/>
        <w:jc w:val="left"/>
        <w:rPr>
          <w:noProof/>
        </w:rPr>
      </w:pPr>
      <w:r w:rsidRPr="000254DF">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77323" w:rsidRPr="000254DF" w14:paraId="75D947BF" w14:textId="77777777" w:rsidTr="00B31F98">
        <w:trPr>
          <w:jc w:val="center"/>
        </w:trPr>
        <w:tc>
          <w:tcPr>
            <w:tcW w:w="4744" w:type="dxa"/>
            <w:shd w:val="thinDiagStripe" w:color="C0C0C0" w:fill="auto"/>
            <w:vAlign w:val="center"/>
          </w:tcPr>
          <w:p w14:paraId="39CC996F" w14:textId="77777777" w:rsidR="00277323" w:rsidRPr="000254DF" w:rsidRDefault="00277323" w:rsidP="00B31F98">
            <w:pPr>
              <w:spacing w:before="60" w:after="60"/>
              <w:jc w:val="center"/>
              <w:rPr>
                <w:b/>
                <w:noProof/>
              </w:rPr>
            </w:pPr>
            <w:r w:rsidRPr="000254DF">
              <w:rPr>
                <w:noProof/>
              </w:rPr>
              <w:br w:type="page"/>
            </w:r>
            <w:r w:rsidRPr="000254DF">
              <w:rPr>
                <w:b/>
                <w:noProof/>
                <w:sz w:val="22"/>
              </w:rPr>
              <w:t>Daudzgadu finanšu shēmas</w:t>
            </w:r>
            <w:r w:rsidRPr="000254DF">
              <w:rPr>
                <w:b/>
                <w:noProof/>
                <w:sz w:val="22"/>
              </w:rPr>
              <w:br/>
              <w:t xml:space="preserve">izdevumu kategorija </w:t>
            </w:r>
          </w:p>
        </w:tc>
        <w:tc>
          <w:tcPr>
            <w:tcW w:w="1080" w:type="dxa"/>
            <w:shd w:val="thinDiagStripe" w:color="C0C0C0" w:fill="auto"/>
            <w:vAlign w:val="center"/>
          </w:tcPr>
          <w:p w14:paraId="7926FEBA" w14:textId="77777777" w:rsidR="00277323" w:rsidRPr="000254DF" w:rsidRDefault="000F0A02" w:rsidP="00B31F98">
            <w:pPr>
              <w:spacing w:before="60" w:after="60"/>
              <w:jc w:val="center"/>
              <w:rPr>
                <w:noProof/>
              </w:rPr>
            </w:pPr>
            <w:r w:rsidRPr="000254DF">
              <w:rPr>
                <w:b/>
                <w:noProof/>
                <w:sz w:val="22"/>
              </w:rPr>
              <w:t>7.</w:t>
            </w:r>
          </w:p>
        </w:tc>
        <w:tc>
          <w:tcPr>
            <w:tcW w:w="7817" w:type="dxa"/>
            <w:vAlign w:val="center"/>
          </w:tcPr>
          <w:p w14:paraId="680729BE" w14:textId="77777777" w:rsidR="00277323" w:rsidRPr="000254DF" w:rsidRDefault="00277323" w:rsidP="000F0A02">
            <w:pPr>
              <w:spacing w:before="60" w:after="60"/>
              <w:rPr>
                <w:noProof/>
              </w:rPr>
            </w:pPr>
            <w:r w:rsidRPr="000254DF">
              <w:rPr>
                <w:noProof/>
                <w:sz w:val="22"/>
              </w:rPr>
              <w:t>Eiropas publiskā pārvalde</w:t>
            </w:r>
          </w:p>
        </w:tc>
      </w:tr>
    </w:tbl>
    <w:p w14:paraId="2BA24F8B" w14:textId="77777777" w:rsidR="00277323" w:rsidRPr="000254DF" w:rsidRDefault="00277323" w:rsidP="00277323">
      <w:pPr>
        <w:jc w:val="left"/>
        <w:rPr>
          <w:noProof/>
          <w:sz w:val="20"/>
        </w:rPr>
      </w:pPr>
      <w:r w:rsidRPr="000254DF">
        <w:rPr>
          <w:noProof/>
        </w:rPr>
        <w:t xml:space="preserve">Šī iedaļa būtu jāaizpilda, izmantojot administratīva rakstura budžeta datu izklājlapu, kas vispirms jānoformē </w:t>
      </w:r>
      <w:hyperlink r:id="rId15" w:history="1">
        <w:r w:rsidRPr="000254DF">
          <w:rPr>
            <w:rStyle w:val="Hyperlink"/>
            <w:noProof/>
          </w:rPr>
          <w:t>tiesību akta finanšu pārskata pielikumā</w:t>
        </w:r>
      </w:hyperlink>
      <w:r w:rsidRPr="000254DF">
        <w:rPr>
          <w:noProof/>
        </w:rPr>
        <w:t xml:space="preserve"> (iekšējo noteikumu V pielikums), kurš starpdienestu konsultāciju vajadzībām tiek augšupielādēts sistēmā </w:t>
      </w:r>
      <w:r w:rsidRPr="000254DF">
        <w:rPr>
          <w:i/>
          <w:iCs/>
          <w:noProof/>
        </w:rPr>
        <w:t>DECIDE</w:t>
      </w:r>
      <w:r w:rsidRPr="000254DF">
        <w:rPr>
          <w:noProof/>
        </w:rPr>
        <w:t>.</w:t>
      </w:r>
    </w:p>
    <w:p w14:paraId="0CD2435E" w14:textId="77777777" w:rsidR="00277323" w:rsidRPr="000254DF" w:rsidRDefault="00277323" w:rsidP="00277323">
      <w:pPr>
        <w:jc w:val="right"/>
        <w:rPr>
          <w:noProof/>
          <w:sz w:val="20"/>
        </w:rPr>
      </w:pPr>
      <w:r w:rsidRPr="000254DF">
        <w:rPr>
          <w:noProof/>
          <w:sz w:val="20"/>
        </w:rPr>
        <w:t>miljonos EUR (trīs zīmes aiz komata)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277323" w:rsidRPr="000254DF" w14:paraId="21368A95" w14:textId="77777777" w:rsidTr="00B31F98">
        <w:tc>
          <w:tcPr>
            <w:tcW w:w="3960" w:type="dxa"/>
            <w:tcBorders>
              <w:top w:val="nil"/>
              <w:left w:val="nil"/>
              <w:right w:val="nil"/>
            </w:tcBorders>
            <w:vAlign w:val="center"/>
          </w:tcPr>
          <w:p w14:paraId="796F25A4" w14:textId="77777777" w:rsidR="00277323" w:rsidRPr="000254DF" w:rsidRDefault="00277323" w:rsidP="00B31F98">
            <w:pPr>
              <w:jc w:val="center"/>
              <w:rPr>
                <w:noProof/>
              </w:rPr>
            </w:pPr>
          </w:p>
        </w:tc>
        <w:tc>
          <w:tcPr>
            <w:tcW w:w="1560" w:type="dxa"/>
            <w:tcBorders>
              <w:top w:val="nil"/>
              <w:left w:val="nil"/>
              <w:right w:val="nil"/>
            </w:tcBorders>
          </w:tcPr>
          <w:p w14:paraId="38040322" w14:textId="77777777" w:rsidR="00277323" w:rsidRPr="000254DF" w:rsidRDefault="00277323" w:rsidP="00B31F98">
            <w:pPr>
              <w:rPr>
                <w:noProof/>
                <w:sz w:val="20"/>
              </w:rPr>
            </w:pPr>
          </w:p>
        </w:tc>
        <w:tc>
          <w:tcPr>
            <w:tcW w:w="534" w:type="dxa"/>
            <w:tcBorders>
              <w:top w:val="nil"/>
              <w:left w:val="nil"/>
            </w:tcBorders>
          </w:tcPr>
          <w:p w14:paraId="0CF90140" w14:textId="77777777" w:rsidR="00277323" w:rsidRPr="000254DF" w:rsidRDefault="00277323" w:rsidP="00B31F98">
            <w:pPr>
              <w:jc w:val="center"/>
              <w:rPr>
                <w:noProof/>
                <w:sz w:val="20"/>
              </w:rPr>
            </w:pPr>
          </w:p>
        </w:tc>
        <w:tc>
          <w:tcPr>
            <w:tcW w:w="868" w:type="dxa"/>
            <w:vAlign w:val="center"/>
          </w:tcPr>
          <w:p w14:paraId="47B1BC2E" w14:textId="77777777" w:rsidR="00277323" w:rsidRPr="000254DF" w:rsidRDefault="00277323" w:rsidP="00B31F98">
            <w:pPr>
              <w:jc w:val="center"/>
              <w:rPr>
                <w:noProof/>
                <w:sz w:val="20"/>
              </w:rPr>
            </w:pPr>
            <w:r w:rsidRPr="000254DF">
              <w:rPr>
                <w:b/>
                <w:noProof/>
                <w:sz w:val="20"/>
              </w:rPr>
              <w:t>N</w:t>
            </w:r>
            <w:r w:rsidRPr="000254DF">
              <w:rPr>
                <w:noProof/>
              </w:rPr>
              <w:br/>
            </w:r>
            <w:r w:rsidRPr="000254DF">
              <w:rPr>
                <w:noProof/>
                <w:sz w:val="20"/>
              </w:rPr>
              <w:t>gads</w:t>
            </w:r>
          </w:p>
        </w:tc>
        <w:tc>
          <w:tcPr>
            <w:tcW w:w="868" w:type="dxa"/>
            <w:vAlign w:val="center"/>
          </w:tcPr>
          <w:p w14:paraId="088D18F1" w14:textId="77777777" w:rsidR="00277323" w:rsidRPr="000254DF" w:rsidRDefault="00277323" w:rsidP="00B31F98">
            <w:pPr>
              <w:jc w:val="center"/>
              <w:rPr>
                <w:noProof/>
                <w:sz w:val="20"/>
              </w:rPr>
            </w:pPr>
            <w:r w:rsidRPr="000254DF">
              <w:rPr>
                <w:b/>
                <w:noProof/>
                <w:sz w:val="20"/>
              </w:rPr>
              <w:t>N+1</w:t>
            </w:r>
            <w:r w:rsidRPr="000254DF">
              <w:rPr>
                <w:noProof/>
              </w:rPr>
              <w:br/>
            </w:r>
            <w:r w:rsidRPr="000254DF">
              <w:rPr>
                <w:noProof/>
                <w:sz w:val="20"/>
              </w:rPr>
              <w:t>gads</w:t>
            </w:r>
          </w:p>
        </w:tc>
        <w:tc>
          <w:tcPr>
            <w:tcW w:w="868" w:type="dxa"/>
            <w:vAlign w:val="center"/>
          </w:tcPr>
          <w:p w14:paraId="28027C11" w14:textId="77777777" w:rsidR="00277323" w:rsidRPr="000254DF" w:rsidRDefault="00277323" w:rsidP="00B31F98">
            <w:pPr>
              <w:jc w:val="center"/>
              <w:rPr>
                <w:noProof/>
                <w:sz w:val="20"/>
              </w:rPr>
            </w:pPr>
            <w:r w:rsidRPr="000254DF">
              <w:rPr>
                <w:b/>
                <w:noProof/>
                <w:sz w:val="20"/>
              </w:rPr>
              <w:t>N+2</w:t>
            </w:r>
            <w:r w:rsidRPr="000254DF">
              <w:rPr>
                <w:noProof/>
              </w:rPr>
              <w:br/>
            </w:r>
            <w:r w:rsidRPr="000254DF">
              <w:rPr>
                <w:noProof/>
                <w:sz w:val="20"/>
              </w:rPr>
              <w:t>gads</w:t>
            </w:r>
          </w:p>
        </w:tc>
        <w:tc>
          <w:tcPr>
            <w:tcW w:w="868" w:type="dxa"/>
            <w:vAlign w:val="center"/>
          </w:tcPr>
          <w:p w14:paraId="025E5998" w14:textId="77777777" w:rsidR="00277323" w:rsidRPr="000254DF" w:rsidRDefault="00277323" w:rsidP="00B31F98">
            <w:pPr>
              <w:jc w:val="center"/>
              <w:rPr>
                <w:noProof/>
                <w:sz w:val="20"/>
              </w:rPr>
            </w:pPr>
            <w:r w:rsidRPr="000254DF">
              <w:rPr>
                <w:b/>
                <w:noProof/>
                <w:sz w:val="20"/>
              </w:rPr>
              <w:t>N+3</w:t>
            </w:r>
            <w:r w:rsidRPr="000254DF">
              <w:rPr>
                <w:noProof/>
              </w:rPr>
              <w:br/>
            </w:r>
            <w:r w:rsidRPr="000254DF">
              <w:rPr>
                <w:noProof/>
                <w:sz w:val="20"/>
              </w:rPr>
              <w:t>gads</w:t>
            </w:r>
          </w:p>
        </w:tc>
        <w:tc>
          <w:tcPr>
            <w:tcW w:w="2604" w:type="dxa"/>
            <w:gridSpan w:val="3"/>
            <w:vAlign w:val="center"/>
          </w:tcPr>
          <w:p w14:paraId="789FBF48" w14:textId="77777777" w:rsidR="00277323" w:rsidRPr="000254DF" w:rsidRDefault="00277323" w:rsidP="00B31F98">
            <w:pPr>
              <w:jc w:val="center"/>
              <w:rPr>
                <w:b/>
                <w:noProof/>
                <w:sz w:val="18"/>
              </w:rPr>
            </w:pPr>
            <w:r w:rsidRPr="000254DF">
              <w:rPr>
                <w:noProof/>
                <w:sz w:val="18"/>
              </w:rPr>
              <w:t xml:space="preserve">Norādīt tik gadu, cik nepieciešams ietekmes ilguma atspoguļošanai (sk. 1.6. punktu) </w:t>
            </w:r>
          </w:p>
        </w:tc>
        <w:tc>
          <w:tcPr>
            <w:tcW w:w="1777" w:type="dxa"/>
            <w:vAlign w:val="center"/>
          </w:tcPr>
          <w:p w14:paraId="237A2DAA" w14:textId="77777777" w:rsidR="00277323" w:rsidRPr="000254DF" w:rsidRDefault="00277323" w:rsidP="00B31F98">
            <w:pPr>
              <w:jc w:val="center"/>
              <w:rPr>
                <w:b/>
                <w:noProof/>
                <w:sz w:val="20"/>
              </w:rPr>
            </w:pPr>
            <w:r w:rsidRPr="000254DF">
              <w:rPr>
                <w:b/>
                <w:noProof/>
                <w:sz w:val="20"/>
              </w:rPr>
              <w:t>KOPĀ</w:t>
            </w:r>
          </w:p>
        </w:tc>
      </w:tr>
      <w:tr w:rsidR="00277323" w:rsidRPr="000254DF" w14:paraId="79763BA3" w14:textId="77777777" w:rsidTr="00B31F98">
        <w:trPr>
          <w:gridAfter w:val="10"/>
          <w:wAfter w:w="9947" w:type="dxa"/>
        </w:trPr>
        <w:tc>
          <w:tcPr>
            <w:tcW w:w="3960" w:type="dxa"/>
            <w:vAlign w:val="center"/>
          </w:tcPr>
          <w:p w14:paraId="446F35F8" w14:textId="77777777" w:rsidR="00277323" w:rsidRPr="000254DF" w:rsidRDefault="00277323" w:rsidP="00B31F98">
            <w:pPr>
              <w:spacing w:before="60" w:after="60"/>
              <w:jc w:val="center"/>
              <w:rPr>
                <w:noProof/>
              </w:rPr>
            </w:pPr>
            <w:r w:rsidRPr="000254DF">
              <w:rPr>
                <w:noProof/>
                <w:sz w:val="22"/>
              </w:rPr>
              <w:t>&lt;…….&gt; ĢD</w:t>
            </w:r>
          </w:p>
        </w:tc>
      </w:tr>
      <w:tr w:rsidR="00277323" w:rsidRPr="000254DF" w14:paraId="6C571CB2" w14:textId="77777777" w:rsidTr="00B31F98">
        <w:trPr>
          <w:trHeight w:val="313"/>
        </w:trPr>
        <w:tc>
          <w:tcPr>
            <w:tcW w:w="6054" w:type="dxa"/>
            <w:gridSpan w:val="3"/>
            <w:vAlign w:val="center"/>
          </w:tcPr>
          <w:p w14:paraId="47DAE688" w14:textId="77777777" w:rsidR="00277323" w:rsidRPr="000254DF" w:rsidRDefault="00277323" w:rsidP="00B31F98">
            <w:pPr>
              <w:spacing w:before="20" w:after="20"/>
              <w:rPr>
                <w:noProof/>
              </w:rPr>
            </w:pPr>
            <w:r w:rsidRPr="000254DF">
              <w:rPr>
                <w:noProof/>
                <w:sz w:val="22"/>
              </w:rPr>
              <w:sym w:font="Wingdings" w:char="F09F"/>
            </w:r>
            <w:r w:rsidRPr="000254DF">
              <w:rPr>
                <w:noProof/>
                <w:sz w:val="22"/>
              </w:rPr>
              <w:t xml:space="preserve"> Cilvēkresursi </w:t>
            </w:r>
          </w:p>
        </w:tc>
        <w:tc>
          <w:tcPr>
            <w:tcW w:w="868" w:type="dxa"/>
            <w:vAlign w:val="center"/>
          </w:tcPr>
          <w:p w14:paraId="33CAD53C" w14:textId="77777777" w:rsidR="00277323" w:rsidRPr="000254DF" w:rsidRDefault="00277323" w:rsidP="00B31F98">
            <w:pPr>
              <w:spacing w:before="20" w:after="20"/>
              <w:jc w:val="right"/>
              <w:rPr>
                <w:noProof/>
                <w:sz w:val="20"/>
              </w:rPr>
            </w:pPr>
          </w:p>
        </w:tc>
        <w:tc>
          <w:tcPr>
            <w:tcW w:w="868" w:type="dxa"/>
            <w:vAlign w:val="center"/>
          </w:tcPr>
          <w:p w14:paraId="076332DF" w14:textId="77777777" w:rsidR="00277323" w:rsidRPr="000254DF" w:rsidRDefault="00277323" w:rsidP="00B31F98">
            <w:pPr>
              <w:spacing w:before="20" w:after="20"/>
              <w:jc w:val="right"/>
              <w:rPr>
                <w:noProof/>
                <w:sz w:val="20"/>
              </w:rPr>
            </w:pPr>
          </w:p>
        </w:tc>
        <w:tc>
          <w:tcPr>
            <w:tcW w:w="868" w:type="dxa"/>
            <w:vAlign w:val="center"/>
          </w:tcPr>
          <w:p w14:paraId="03A340D9" w14:textId="77777777" w:rsidR="00277323" w:rsidRPr="000254DF" w:rsidRDefault="00277323" w:rsidP="00B31F98">
            <w:pPr>
              <w:spacing w:before="20" w:after="20"/>
              <w:jc w:val="right"/>
              <w:rPr>
                <w:noProof/>
                <w:sz w:val="20"/>
              </w:rPr>
            </w:pPr>
          </w:p>
        </w:tc>
        <w:tc>
          <w:tcPr>
            <w:tcW w:w="868" w:type="dxa"/>
            <w:vAlign w:val="center"/>
          </w:tcPr>
          <w:p w14:paraId="28FB8246" w14:textId="77777777" w:rsidR="00277323" w:rsidRPr="000254DF" w:rsidRDefault="00277323" w:rsidP="00B31F98">
            <w:pPr>
              <w:spacing w:before="20" w:after="20"/>
              <w:jc w:val="right"/>
              <w:rPr>
                <w:noProof/>
                <w:sz w:val="20"/>
              </w:rPr>
            </w:pPr>
          </w:p>
        </w:tc>
        <w:tc>
          <w:tcPr>
            <w:tcW w:w="868" w:type="dxa"/>
            <w:vAlign w:val="center"/>
          </w:tcPr>
          <w:p w14:paraId="53C18F2B" w14:textId="77777777" w:rsidR="00277323" w:rsidRPr="000254DF" w:rsidRDefault="00277323" w:rsidP="00B31F98">
            <w:pPr>
              <w:spacing w:before="20" w:after="20"/>
              <w:jc w:val="right"/>
              <w:rPr>
                <w:noProof/>
                <w:sz w:val="20"/>
              </w:rPr>
            </w:pPr>
          </w:p>
        </w:tc>
        <w:tc>
          <w:tcPr>
            <w:tcW w:w="868" w:type="dxa"/>
            <w:vAlign w:val="center"/>
          </w:tcPr>
          <w:p w14:paraId="439E595C" w14:textId="77777777" w:rsidR="00277323" w:rsidRPr="000254DF" w:rsidRDefault="00277323" w:rsidP="00B31F98">
            <w:pPr>
              <w:spacing w:before="20" w:after="20"/>
              <w:jc w:val="right"/>
              <w:rPr>
                <w:noProof/>
                <w:sz w:val="20"/>
              </w:rPr>
            </w:pPr>
          </w:p>
        </w:tc>
        <w:tc>
          <w:tcPr>
            <w:tcW w:w="868" w:type="dxa"/>
            <w:vAlign w:val="center"/>
          </w:tcPr>
          <w:p w14:paraId="2CD6F81D" w14:textId="77777777" w:rsidR="00277323" w:rsidRPr="000254DF" w:rsidRDefault="00277323" w:rsidP="00B31F98">
            <w:pPr>
              <w:spacing w:before="20" w:after="20"/>
              <w:jc w:val="right"/>
              <w:rPr>
                <w:b/>
                <w:noProof/>
                <w:sz w:val="20"/>
              </w:rPr>
            </w:pPr>
          </w:p>
        </w:tc>
        <w:tc>
          <w:tcPr>
            <w:tcW w:w="1777" w:type="dxa"/>
            <w:vAlign w:val="center"/>
          </w:tcPr>
          <w:p w14:paraId="4DF93445" w14:textId="77777777" w:rsidR="00277323" w:rsidRPr="000254DF" w:rsidRDefault="00277323" w:rsidP="00B31F98">
            <w:pPr>
              <w:spacing w:before="20" w:after="20"/>
              <w:jc w:val="right"/>
              <w:rPr>
                <w:b/>
                <w:noProof/>
                <w:sz w:val="20"/>
              </w:rPr>
            </w:pPr>
          </w:p>
        </w:tc>
      </w:tr>
      <w:tr w:rsidR="00277323" w:rsidRPr="000254DF" w14:paraId="23902481" w14:textId="77777777" w:rsidTr="00B31F98">
        <w:trPr>
          <w:trHeight w:val="351"/>
        </w:trPr>
        <w:tc>
          <w:tcPr>
            <w:tcW w:w="6054" w:type="dxa"/>
            <w:gridSpan w:val="3"/>
            <w:vAlign w:val="center"/>
          </w:tcPr>
          <w:p w14:paraId="64F4CC80" w14:textId="77777777" w:rsidR="00277323" w:rsidRPr="000254DF" w:rsidRDefault="00277323" w:rsidP="00B31F98">
            <w:pPr>
              <w:spacing w:before="20" w:after="20"/>
              <w:rPr>
                <w:noProof/>
              </w:rPr>
            </w:pPr>
            <w:r w:rsidRPr="000254DF">
              <w:rPr>
                <w:noProof/>
                <w:sz w:val="22"/>
              </w:rPr>
              <w:sym w:font="Wingdings" w:char="F09F"/>
            </w:r>
            <w:r w:rsidRPr="000254DF">
              <w:rPr>
                <w:noProof/>
                <w:sz w:val="22"/>
              </w:rPr>
              <w:t xml:space="preserve"> Citi administratīvie izdevumi </w:t>
            </w:r>
          </w:p>
        </w:tc>
        <w:tc>
          <w:tcPr>
            <w:tcW w:w="868" w:type="dxa"/>
            <w:vAlign w:val="center"/>
          </w:tcPr>
          <w:p w14:paraId="1E5643D0" w14:textId="77777777" w:rsidR="00277323" w:rsidRPr="000254DF" w:rsidRDefault="00277323" w:rsidP="00B31F98">
            <w:pPr>
              <w:spacing w:before="20" w:after="20"/>
              <w:jc w:val="right"/>
              <w:rPr>
                <w:b/>
                <w:noProof/>
                <w:sz w:val="20"/>
              </w:rPr>
            </w:pPr>
          </w:p>
        </w:tc>
        <w:tc>
          <w:tcPr>
            <w:tcW w:w="868" w:type="dxa"/>
            <w:vAlign w:val="center"/>
          </w:tcPr>
          <w:p w14:paraId="6E7438F5" w14:textId="77777777" w:rsidR="00277323" w:rsidRPr="000254DF" w:rsidRDefault="00277323" w:rsidP="00B31F98">
            <w:pPr>
              <w:spacing w:before="20" w:after="20"/>
              <w:jc w:val="right"/>
              <w:rPr>
                <w:b/>
                <w:noProof/>
                <w:sz w:val="20"/>
              </w:rPr>
            </w:pPr>
          </w:p>
        </w:tc>
        <w:tc>
          <w:tcPr>
            <w:tcW w:w="868" w:type="dxa"/>
            <w:vAlign w:val="center"/>
          </w:tcPr>
          <w:p w14:paraId="7BBA0A42" w14:textId="77777777" w:rsidR="00277323" w:rsidRPr="000254DF" w:rsidRDefault="00277323" w:rsidP="00B31F98">
            <w:pPr>
              <w:spacing w:before="20" w:after="20"/>
              <w:jc w:val="right"/>
              <w:rPr>
                <w:b/>
                <w:noProof/>
                <w:sz w:val="20"/>
              </w:rPr>
            </w:pPr>
          </w:p>
        </w:tc>
        <w:tc>
          <w:tcPr>
            <w:tcW w:w="868" w:type="dxa"/>
            <w:vAlign w:val="center"/>
          </w:tcPr>
          <w:p w14:paraId="2B287E8A" w14:textId="77777777" w:rsidR="00277323" w:rsidRPr="000254DF" w:rsidRDefault="00277323" w:rsidP="00B31F98">
            <w:pPr>
              <w:spacing w:before="20" w:after="20"/>
              <w:jc w:val="right"/>
              <w:rPr>
                <w:b/>
                <w:noProof/>
                <w:sz w:val="20"/>
              </w:rPr>
            </w:pPr>
          </w:p>
        </w:tc>
        <w:tc>
          <w:tcPr>
            <w:tcW w:w="868" w:type="dxa"/>
            <w:vAlign w:val="center"/>
          </w:tcPr>
          <w:p w14:paraId="4B8B31A6" w14:textId="77777777" w:rsidR="00277323" w:rsidRPr="000254DF" w:rsidRDefault="00277323" w:rsidP="00B31F98">
            <w:pPr>
              <w:spacing w:before="20" w:after="20"/>
              <w:jc w:val="right"/>
              <w:rPr>
                <w:b/>
                <w:noProof/>
                <w:sz w:val="20"/>
              </w:rPr>
            </w:pPr>
          </w:p>
        </w:tc>
        <w:tc>
          <w:tcPr>
            <w:tcW w:w="868" w:type="dxa"/>
            <w:vAlign w:val="center"/>
          </w:tcPr>
          <w:p w14:paraId="35FC8C04" w14:textId="77777777" w:rsidR="00277323" w:rsidRPr="000254DF" w:rsidRDefault="00277323" w:rsidP="00B31F98">
            <w:pPr>
              <w:spacing w:before="20" w:after="20"/>
              <w:jc w:val="right"/>
              <w:rPr>
                <w:b/>
                <w:noProof/>
                <w:sz w:val="20"/>
              </w:rPr>
            </w:pPr>
          </w:p>
        </w:tc>
        <w:tc>
          <w:tcPr>
            <w:tcW w:w="868" w:type="dxa"/>
            <w:vAlign w:val="center"/>
          </w:tcPr>
          <w:p w14:paraId="34943FB5" w14:textId="77777777" w:rsidR="00277323" w:rsidRPr="000254DF" w:rsidRDefault="00277323" w:rsidP="00B31F98">
            <w:pPr>
              <w:spacing w:before="20" w:after="20"/>
              <w:jc w:val="right"/>
              <w:rPr>
                <w:b/>
                <w:noProof/>
                <w:sz w:val="20"/>
              </w:rPr>
            </w:pPr>
          </w:p>
        </w:tc>
        <w:tc>
          <w:tcPr>
            <w:tcW w:w="1777" w:type="dxa"/>
            <w:vAlign w:val="center"/>
          </w:tcPr>
          <w:p w14:paraId="365CDCD2" w14:textId="77777777" w:rsidR="00277323" w:rsidRPr="000254DF" w:rsidRDefault="00277323" w:rsidP="00B31F98">
            <w:pPr>
              <w:spacing w:before="20" w:after="20"/>
              <w:jc w:val="right"/>
              <w:rPr>
                <w:b/>
                <w:noProof/>
                <w:sz w:val="20"/>
              </w:rPr>
            </w:pPr>
          </w:p>
        </w:tc>
      </w:tr>
      <w:tr w:rsidR="00277323" w:rsidRPr="000254DF" w14:paraId="006CA157" w14:textId="77777777" w:rsidTr="00B31F98">
        <w:tc>
          <w:tcPr>
            <w:tcW w:w="3960" w:type="dxa"/>
            <w:vAlign w:val="center"/>
          </w:tcPr>
          <w:p w14:paraId="6BD535E3" w14:textId="6CAE18CB" w:rsidR="00277323" w:rsidRPr="000254DF" w:rsidRDefault="00277323" w:rsidP="00F075D8">
            <w:pPr>
              <w:jc w:val="center"/>
              <w:rPr>
                <w:b/>
                <w:noProof/>
              </w:rPr>
            </w:pPr>
            <w:r w:rsidRPr="000254DF">
              <w:rPr>
                <w:b/>
                <w:noProof/>
                <w:sz w:val="22"/>
              </w:rPr>
              <w:t>KOPĀ</w:t>
            </w:r>
            <w:r w:rsidRPr="000254DF">
              <w:rPr>
                <w:noProof/>
                <w:sz w:val="22"/>
              </w:rPr>
              <w:t xml:space="preserve"> &lt;…….&gt; </w:t>
            </w:r>
            <w:r w:rsidRPr="000254DF">
              <w:rPr>
                <w:b/>
                <w:bCs/>
                <w:noProof/>
                <w:sz w:val="22"/>
              </w:rPr>
              <w:t>ĢD</w:t>
            </w:r>
            <w:r w:rsidRPr="000254DF">
              <w:rPr>
                <w:noProof/>
                <w:sz w:val="22"/>
              </w:rPr>
              <w:t xml:space="preserve"> </w:t>
            </w:r>
            <w:r w:rsidR="00F075D8">
              <w:rPr>
                <w:noProof/>
                <w:sz w:val="22"/>
              </w:rPr>
              <w:t>a</w:t>
            </w:r>
            <w:r w:rsidRPr="000254DF">
              <w:rPr>
                <w:noProof/>
                <w:sz w:val="22"/>
              </w:rPr>
              <w:t>propriācijas</w:t>
            </w:r>
          </w:p>
        </w:tc>
        <w:tc>
          <w:tcPr>
            <w:tcW w:w="2094" w:type="dxa"/>
            <w:gridSpan w:val="2"/>
            <w:vAlign w:val="center"/>
          </w:tcPr>
          <w:p w14:paraId="6D813B2D" w14:textId="77777777" w:rsidR="00277323" w:rsidRPr="000254DF" w:rsidRDefault="00277323" w:rsidP="00B31F98">
            <w:pPr>
              <w:rPr>
                <w:noProof/>
                <w:sz w:val="14"/>
              </w:rPr>
            </w:pPr>
            <w:r w:rsidRPr="000254DF">
              <w:rPr>
                <w:noProof/>
                <w:sz w:val="18"/>
              </w:rPr>
              <w:t xml:space="preserve"> </w:t>
            </w:r>
          </w:p>
        </w:tc>
        <w:tc>
          <w:tcPr>
            <w:tcW w:w="868" w:type="dxa"/>
            <w:vAlign w:val="center"/>
          </w:tcPr>
          <w:p w14:paraId="11C814FA" w14:textId="77777777" w:rsidR="00277323" w:rsidRPr="000254DF" w:rsidRDefault="00277323" w:rsidP="00B31F98">
            <w:pPr>
              <w:spacing w:before="60" w:after="60"/>
              <w:jc w:val="right"/>
              <w:rPr>
                <w:noProof/>
                <w:sz w:val="20"/>
              </w:rPr>
            </w:pPr>
          </w:p>
        </w:tc>
        <w:tc>
          <w:tcPr>
            <w:tcW w:w="868" w:type="dxa"/>
            <w:vAlign w:val="center"/>
          </w:tcPr>
          <w:p w14:paraId="43D97663" w14:textId="77777777" w:rsidR="00277323" w:rsidRPr="000254DF" w:rsidRDefault="00277323" w:rsidP="00B31F98">
            <w:pPr>
              <w:spacing w:before="20" w:after="20"/>
              <w:jc w:val="right"/>
              <w:rPr>
                <w:noProof/>
                <w:sz w:val="20"/>
              </w:rPr>
            </w:pPr>
          </w:p>
        </w:tc>
        <w:tc>
          <w:tcPr>
            <w:tcW w:w="868" w:type="dxa"/>
            <w:vAlign w:val="center"/>
          </w:tcPr>
          <w:p w14:paraId="089F9D51" w14:textId="77777777" w:rsidR="00277323" w:rsidRPr="000254DF" w:rsidRDefault="00277323" w:rsidP="00B31F98">
            <w:pPr>
              <w:spacing w:before="20" w:after="20"/>
              <w:jc w:val="right"/>
              <w:rPr>
                <w:noProof/>
                <w:sz w:val="20"/>
              </w:rPr>
            </w:pPr>
          </w:p>
        </w:tc>
        <w:tc>
          <w:tcPr>
            <w:tcW w:w="868" w:type="dxa"/>
            <w:vAlign w:val="center"/>
          </w:tcPr>
          <w:p w14:paraId="6E62EEBC" w14:textId="77777777" w:rsidR="00277323" w:rsidRPr="000254DF" w:rsidRDefault="00277323" w:rsidP="00B31F98">
            <w:pPr>
              <w:spacing w:before="20" w:after="20"/>
              <w:jc w:val="right"/>
              <w:rPr>
                <w:noProof/>
                <w:sz w:val="20"/>
              </w:rPr>
            </w:pPr>
          </w:p>
        </w:tc>
        <w:tc>
          <w:tcPr>
            <w:tcW w:w="868" w:type="dxa"/>
            <w:vAlign w:val="center"/>
          </w:tcPr>
          <w:p w14:paraId="646D98FB" w14:textId="77777777" w:rsidR="00277323" w:rsidRPr="000254DF" w:rsidRDefault="00277323" w:rsidP="00B31F98">
            <w:pPr>
              <w:spacing w:before="20" w:after="20"/>
              <w:jc w:val="right"/>
              <w:rPr>
                <w:noProof/>
                <w:sz w:val="20"/>
              </w:rPr>
            </w:pPr>
          </w:p>
        </w:tc>
        <w:tc>
          <w:tcPr>
            <w:tcW w:w="868" w:type="dxa"/>
            <w:vAlign w:val="center"/>
          </w:tcPr>
          <w:p w14:paraId="5B92CA98" w14:textId="77777777" w:rsidR="00277323" w:rsidRPr="000254DF" w:rsidRDefault="00277323" w:rsidP="00B31F98">
            <w:pPr>
              <w:spacing w:before="20" w:after="20"/>
              <w:jc w:val="right"/>
              <w:rPr>
                <w:noProof/>
                <w:sz w:val="20"/>
              </w:rPr>
            </w:pPr>
          </w:p>
        </w:tc>
        <w:tc>
          <w:tcPr>
            <w:tcW w:w="868" w:type="dxa"/>
            <w:vAlign w:val="center"/>
          </w:tcPr>
          <w:p w14:paraId="29731B43" w14:textId="77777777" w:rsidR="00277323" w:rsidRPr="000254DF" w:rsidRDefault="00277323" w:rsidP="00B31F98">
            <w:pPr>
              <w:spacing w:before="20" w:after="20"/>
              <w:jc w:val="right"/>
              <w:rPr>
                <w:b/>
                <w:noProof/>
                <w:sz w:val="20"/>
              </w:rPr>
            </w:pPr>
          </w:p>
        </w:tc>
        <w:tc>
          <w:tcPr>
            <w:tcW w:w="1777" w:type="dxa"/>
            <w:vAlign w:val="center"/>
          </w:tcPr>
          <w:p w14:paraId="3FE99E59" w14:textId="77777777" w:rsidR="00277323" w:rsidRPr="000254DF" w:rsidRDefault="00277323" w:rsidP="00B31F98">
            <w:pPr>
              <w:spacing w:before="20" w:after="20"/>
              <w:jc w:val="right"/>
              <w:rPr>
                <w:b/>
                <w:noProof/>
                <w:sz w:val="20"/>
              </w:rPr>
            </w:pPr>
          </w:p>
        </w:tc>
      </w:tr>
    </w:tbl>
    <w:p w14:paraId="62763463" w14:textId="77777777" w:rsidR="00277323" w:rsidRPr="000254DF" w:rsidRDefault="00277323" w:rsidP="00277323">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277323" w:rsidRPr="000254DF" w14:paraId="08DB4850" w14:textId="77777777" w:rsidTr="00B31F98">
        <w:tc>
          <w:tcPr>
            <w:tcW w:w="3960" w:type="dxa"/>
            <w:shd w:val="thinDiagStripe" w:color="C0C0C0" w:fill="auto"/>
            <w:vAlign w:val="center"/>
          </w:tcPr>
          <w:p w14:paraId="6BC49321" w14:textId="77777777" w:rsidR="00277323" w:rsidRPr="000254DF" w:rsidRDefault="00277323" w:rsidP="00B31F98">
            <w:pPr>
              <w:jc w:val="center"/>
              <w:rPr>
                <w:b/>
                <w:noProof/>
              </w:rPr>
            </w:pPr>
            <w:r w:rsidRPr="000254DF">
              <w:rPr>
                <w:b/>
                <w:noProof/>
                <w:sz w:val="22"/>
              </w:rPr>
              <w:t>KOPĀ</w:t>
            </w:r>
            <w:r w:rsidRPr="000254DF">
              <w:rPr>
                <w:noProof/>
              </w:rPr>
              <w:t xml:space="preserve"> </w:t>
            </w:r>
            <w:r w:rsidRPr="000254DF">
              <w:rPr>
                <w:noProof/>
                <w:sz w:val="22"/>
              </w:rPr>
              <w:t>daudzgadu finanšu shēmas</w:t>
            </w:r>
            <w:r w:rsidRPr="000254DF">
              <w:rPr>
                <w:noProof/>
              </w:rPr>
              <w:t xml:space="preserve"> </w:t>
            </w:r>
            <w:r w:rsidRPr="000254DF">
              <w:rPr>
                <w:b/>
                <w:noProof/>
                <w:sz w:val="22"/>
              </w:rPr>
              <w:t>5. IZDEVUMU KATEGORIJAS</w:t>
            </w:r>
            <w:r w:rsidRPr="000254DF">
              <w:rPr>
                <w:b/>
                <w:noProof/>
                <w:sz w:val="22"/>
              </w:rPr>
              <w:br/>
              <w:t xml:space="preserve">apropriācijas </w:t>
            </w:r>
          </w:p>
        </w:tc>
        <w:tc>
          <w:tcPr>
            <w:tcW w:w="2094" w:type="dxa"/>
            <w:vAlign w:val="center"/>
          </w:tcPr>
          <w:p w14:paraId="6F4D4422" w14:textId="77777777" w:rsidR="00277323" w:rsidRPr="000254DF" w:rsidRDefault="00277323" w:rsidP="00B31F98">
            <w:pPr>
              <w:spacing w:before="40" w:after="40"/>
              <w:rPr>
                <w:noProof/>
              </w:rPr>
            </w:pPr>
            <w:r w:rsidRPr="000254DF">
              <w:rPr>
                <w:noProof/>
                <w:sz w:val="18"/>
              </w:rPr>
              <w:t>(Saistību summa = maksājumu summa)</w:t>
            </w:r>
          </w:p>
        </w:tc>
        <w:tc>
          <w:tcPr>
            <w:tcW w:w="868" w:type="dxa"/>
            <w:vAlign w:val="center"/>
          </w:tcPr>
          <w:p w14:paraId="023BC2F8" w14:textId="77777777" w:rsidR="00277323" w:rsidRPr="000254DF" w:rsidRDefault="00277323" w:rsidP="00B31F98">
            <w:pPr>
              <w:spacing w:before="20" w:after="20"/>
              <w:jc w:val="right"/>
              <w:rPr>
                <w:noProof/>
                <w:sz w:val="20"/>
              </w:rPr>
            </w:pPr>
          </w:p>
        </w:tc>
        <w:tc>
          <w:tcPr>
            <w:tcW w:w="868" w:type="dxa"/>
            <w:vAlign w:val="center"/>
          </w:tcPr>
          <w:p w14:paraId="49B345E3" w14:textId="77777777" w:rsidR="00277323" w:rsidRPr="000254DF" w:rsidRDefault="00277323" w:rsidP="00B31F98">
            <w:pPr>
              <w:spacing w:before="20" w:after="20"/>
              <w:jc w:val="right"/>
              <w:rPr>
                <w:noProof/>
                <w:sz w:val="20"/>
              </w:rPr>
            </w:pPr>
          </w:p>
        </w:tc>
        <w:tc>
          <w:tcPr>
            <w:tcW w:w="868" w:type="dxa"/>
            <w:vAlign w:val="center"/>
          </w:tcPr>
          <w:p w14:paraId="7D8CEC3B" w14:textId="77777777" w:rsidR="00277323" w:rsidRPr="000254DF" w:rsidRDefault="00277323" w:rsidP="00B31F98">
            <w:pPr>
              <w:spacing w:before="20" w:after="20"/>
              <w:jc w:val="right"/>
              <w:rPr>
                <w:noProof/>
                <w:sz w:val="20"/>
              </w:rPr>
            </w:pPr>
          </w:p>
        </w:tc>
        <w:tc>
          <w:tcPr>
            <w:tcW w:w="868" w:type="dxa"/>
            <w:vAlign w:val="center"/>
          </w:tcPr>
          <w:p w14:paraId="224F9151" w14:textId="77777777" w:rsidR="00277323" w:rsidRPr="000254DF" w:rsidRDefault="00277323" w:rsidP="00B31F98">
            <w:pPr>
              <w:spacing w:before="20" w:after="20"/>
              <w:jc w:val="right"/>
              <w:rPr>
                <w:noProof/>
                <w:sz w:val="20"/>
              </w:rPr>
            </w:pPr>
          </w:p>
        </w:tc>
        <w:tc>
          <w:tcPr>
            <w:tcW w:w="868" w:type="dxa"/>
            <w:vAlign w:val="center"/>
          </w:tcPr>
          <w:p w14:paraId="618689E5" w14:textId="77777777" w:rsidR="00277323" w:rsidRPr="000254DF" w:rsidRDefault="00277323" w:rsidP="00B31F98">
            <w:pPr>
              <w:spacing w:before="20" w:after="20"/>
              <w:jc w:val="right"/>
              <w:rPr>
                <w:noProof/>
                <w:sz w:val="20"/>
              </w:rPr>
            </w:pPr>
          </w:p>
        </w:tc>
        <w:tc>
          <w:tcPr>
            <w:tcW w:w="868" w:type="dxa"/>
            <w:vAlign w:val="center"/>
          </w:tcPr>
          <w:p w14:paraId="0164FC3F" w14:textId="77777777" w:rsidR="00277323" w:rsidRPr="000254DF" w:rsidRDefault="00277323" w:rsidP="00B31F98">
            <w:pPr>
              <w:spacing w:before="20" w:after="20"/>
              <w:jc w:val="right"/>
              <w:rPr>
                <w:noProof/>
                <w:sz w:val="20"/>
              </w:rPr>
            </w:pPr>
          </w:p>
        </w:tc>
        <w:tc>
          <w:tcPr>
            <w:tcW w:w="868" w:type="dxa"/>
            <w:vAlign w:val="center"/>
          </w:tcPr>
          <w:p w14:paraId="1A2DBF80" w14:textId="77777777" w:rsidR="00277323" w:rsidRPr="000254DF" w:rsidRDefault="00277323" w:rsidP="00B31F98">
            <w:pPr>
              <w:spacing w:before="20" w:after="20"/>
              <w:jc w:val="right"/>
              <w:rPr>
                <w:b/>
                <w:noProof/>
                <w:sz w:val="20"/>
              </w:rPr>
            </w:pPr>
          </w:p>
        </w:tc>
        <w:tc>
          <w:tcPr>
            <w:tcW w:w="1777" w:type="dxa"/>
            <w:vAlign w:val="center"/>
          </w:tcPr>
          <w:p w14:paraId="68185755" w14:textId="77777777" w:rsidR="00277323" w:rsidRPr="000254DF" w:rsidRDefault="00277323" w:rsidP="00B31F98">
            <w:pPr>
              <w:spacing w:before="20" w:after="20"/>
              <w:jc w:val="right"/>
              <w:rPr>
                <w:b/>
                <w:noProof/>
                <w:sz w:val="20"/>
              </w:rPr>
            </w:pPr>
          </w:p>
        </w:tc>
      </w:tr>
    </w:tbl>
    <w:p w14:paraId="5F71DA8F" w14:textId="77777777" w:rsidR="00277323" w:rsidRPr="000254DF" w:rsidRDefault="00277323" w:rsidP="00277323">
      <w:pPr>
        <w:jc w:val="right"/>
        <w:rPr>
          <w:noProof/>
          <w:sz w:val="20"/>
        </w:rPr>
      </w:pPr>
      <w:r w:rsidRPr="000254DF">
        <w:rPr>
          <w:noProof/>
          <w:sz w:val="20"/>
        </w:rPr>
        <w:t>miljonos EUR (trīs zīmes aiz komata)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277323" w:rsidRPr="000254DF" w14:paraId="6C504C2D" w14:textId="77777777" w:rsidTr="00B31F98">
        <w:tc>
          <w:tcPr>
            <w:tcW w:w="3960" w:type="dxa"/>
            <w:tcBorders>
              <w:top w:val="nil"/>
              <w:left w:val="nil"/>
              <w:right w:val="nil"/>
            </w:tcBorders>
            <w:vAlign w:val="center"/>
          </w:tcPr>
          <w:p w14:paraId="2DDA9450" w14:textId="77777777" w:rsidR="00277323" w:rsidRPr="000254DF" w:rsidRDefault="00277323" w:rsidP="00B31F98">
            <w:pPr>
              <w:jc w:val="center"/>
              <w:rPr>
                <w:noProof/>
              </w:rPr>
            </w:pPr>
          </w:p>
        </w:tc>
        <w:tc>
          <w:tcPr>
            <w:tcW w:w="1560" w:type="dxa"/>
            <w:tcBorders>
              <w:top w:val="nil"/>
              <w:left w:val="nil"/>
              <w:right w:val="nil"/>
            </w:tcBorders>
          </w:tcPr>
          <w:p w14:paraId="35789E46" w14:textId="77777777" w:rsidR="00277323" w:rsidRPr="000254DF" w:rsidRDefault="00277323" w:rsidP="00B31F98">
            <w:pPr>
              <w:rPr>
                <w:noProof/>
                <w:sz w:val="20"/>
              </w:rPr>
            </w:pPr>
          </w:p>
        </w:tc>
        <w:tc>
          <w:tcPr>
            <w:tcW w:w="534" w:type="dxa"/>
            <w:tcBorders>
              <w:top w:val="nil"/>
              <w:left w:val="nil"/>
            </w:tcBorders>
          </w:tcPr>
          <w:p w14:paraId="6F5CBBC5" w14:textId="77777777" w:rsidR="00277323" w:rsidRPr="000254DF" w:rsidRDefault="00277323" w:rsidP="00B31F98">
            <w:pPr>
              <w:jc w:val="center"/>
              <w:rPr>
                <w:noProof/>
                <w:sz w:val="20"/>
              </w:rPr>
            </w:pPr>
          </w:p>
        </w:tc>
        <w:tc>
          <w:tcPr>
            <w:tcW w:w="868" w:type="dxa"/>
            <w:vAlign w:val="center"/>
          </w:tcPr>
          <w:p w14:paraId="539C5453" w14:textId="77777777" w:rsidR="00277323" w:rsidRPr="000254DF" w:rsidRDefault="00277323" w:rsidP="00EA4DA9">
            <w:pPr>
              <w:jc w:val="center"/>
              <w:rPr>
                <w:noProof/>
                <w:sz w:val="20"/>
              </w:rPr>
            </w:pPr>
            <w:r w:rsidRPr="000254DF">
              <w:rPr>
                <w:b/>
                <w:noProof/>
                <w:sz w:val="20"/>
              </w:rPr>
              <w:t>2022.</w:t>
            </w:r>
            <w:r w:rsidRPr="000254DF">
              <w:rPr>
                <w:noProof/>
              </w:rPr>
              <w:t xml:space="preserve"> </w:t>
            </w:r>
            <w:r w:rsidRPr="000254DF">
              <w:rPr>
                <w:noProof/>
              </w:rPr>
              <w:br/>
            </w:r>
            <w:r w:rsidRPr="000254DF">
              <w:rPr>
                <w:noProof/>
                <w:sz w:val="20"/>
              </w:rPr>
              <w:t>gads</w:t>
            </w:r>
          </w:p>
        </w:tc>
        <w:tc>
          <w:tcPr>
            <w:tcW w:w="868" w:type="dxa"/>
            <w:vAlign w:val="center"/>
          </w:tcPr>
          <w:p w14:paraId="2F5BD363" w14:textId="77777777" w:rsidR="00277323" w:rsidRPr="000254DF" w:rsidRDefault="00277323" w:rsidP="000F0A02">
            <w:pPr>
              <w:jc w:val="center"/>
              <w:rPr>
                <w:noProof/>
                <w:sz w:val="20"/>
              </w:rPr>
            </w:pPr>
            <w:r w:rsidRPr="000254DF">
              <w:rPr>
                <w:b/>
                <w:noProof/>
                <w:sz w:val="20"/>
              </w:rPr>
              <w:t>2023.</w:t>
            </w:r>
            <w:r w:rsidRPr="000254DF">
              <w:rPr>
                <w:noProof/>
              </w:rPr>
              <w:t xml:space="preserve"> </w:t>
            </w:r>
            <w:r w:rsidRPr="000254DF">
              <w:rPr>
                <w:noProof/>
              </w:rPr>
              <w:br/>
            </w:r>
            <w:r w:rsidRPr="000254DF">
              <w:rPr>
                <w:noProof/>
                <w:sz w:val="20"/>
              </w:rPr>
              <w:t>gads</w:t>
            </w:r>
          </w:p>
        </w:tc>
        <w:tc>
          <w:tcPr>
            <w:tcW w:w="868" w:type="dxa"/>
            <w:vAlign w:val="center"/>
          </w:tcPr>
          <w:p w14:paraId="70C951A2" w14:textId="77777777" w:rsidR="00277323" w:rsidRPr="000254DF" w:rsidRDefault="00277323" w:rsidP="000F0A02">
            <w:pPr>
              <w:jc w:val="center"/>
              <w:rPr>
                <w:noProof/>
                <w:sz w:val="20"/>
              </w:rPr>
            </w:pPr>
            <w:r w:rsidRPr="000254DF">
              <w:rPr>
                <w:b/>
                <w:noProof/>
                <w:sz w:val="20"/>
              </w:rPr>
              <w:t>2024.</w:t>
            </w:r>
            <w:r w:rsidRPr="000254DF">
              <w:rPr>
                <w:noProof/>
              </w:rPr>
              <w:t xml:space="preserve"> </w:t>
            </w:r>
            <w:r w:rsidRPr="000254DF">
              <w:rPr>
                <w:noProof/>
              </w:rPr>
              <w:br/>
            </w:r>
            <w:r w:rsidRPr="000254DF">
              <w:rPr>
                <w:noProof/>
                <w:sz w:val="20"/>
              </w:rPr>
              <w:t>gads</w:t>
            </w:r>
          </w:p>
        </w:tc>
        <w:tc>
          <w:tcPr>
            <w:tcW w:w="868" w:type="dxa"/>
            <w:vAlign w:val="center"/>
          </w:tcPr>
          <w:p w14:paraId="764D976E" w14:textId="77777777" w:rsidR="00277323" w:rsidRPr="000254DF" w:rsidRDefault="00277323" w:rsidP="000F0A02">
            <w:pPr>
              <w:jc w:val="center"/>
              <w:rPr>
                <w:noProof/>
                <w:sz w:val="20"/>
              </w:rPr>
            </w:pPr>
            <w:r w:rsidRPr="000254DF">
              <w:rPr>
                <w:b/>
                <w:noProof/>
                <w:sz w:val="20"/>
              </w:rPr>
              <w:t>2025.</w:t>
            </w:r>
            <w:r w:rsidRPr="000254DF">
              <w:rPr>
                <w:noProof/>
              </w:rPr>
              <w:t xml:space="preserve"> </w:t>
            </w:r>
            <w:r w:rsidRPr="000254DF">
              <w:rPr>
                <w:noProof/>
              </w:rPr>
              <w:br/>
            </w:r>
            <w:r w:rsidRPr="000254DF">
              <w:rPr>
                <w:noProof/>
                <w:sz w:val="20"/>
              </w:rPr>
              <w:t>gads</w:t>
            </w:r>
          </w:p>
        </w:tc>
        <w:tc>
          <w:tcPr>
            <w:tcW w:w="2604" w:type="dxa"/>
            <w:gridSpan w:val="3"/>
            <w:vAlign w:val="center"/>
          </w:tcPr>
          <w:p w14:paraId="19B7403D" w14:textId="77777777" w:rsidR="00277323" w:rsidRPr="000254DF" w:rsidRDefault="00277323" w:rsidP="00B31F98">
            <w:pPr>
              <w:jc w:val="center"/>
              <w:rPr>
                <w:b/>
                <w:noProof/>
                <w:sz w:val="18"/>
              </w:rPr>
            </w:pPr>
            <w:r w:rsidRPr="000254DF">
              <w:rPr>
                <w:noProof/>
                <w:sz w:val="18"/>
              </w:rPr>
              <w:t>Norādīt tik gadu, cik nepieciešams ietekmes ilguma atspoguļošanai (sk. 1.6. punktu)</w:t>
            </w:r>
          </w:p>
        </w:tc>
        <w:tc>
          <w:tcPr>
            <w:tcW w:w="1777" w:type="dxa"/>
            <w:vAlign w:val="center"/>
          </w:tcPr>
          <w:p w14:paraId="26281F95" w14:textId="77777777" w:rsidR="00277323" w:rsidRPr="000254DF" w:rsidRDefault="00277323" w:rsidP="00B31F98">
            <w:pPr>
              <w:jc w:val="center"/>
              <w:rPr>
                <w:b/>
                <w:noProof/>
                <w:sz w:val="20"/>
              </w:rPr>
            </w:pPr>
            <w:r w:rsidRPr="000254DF">
              <w:rPr>
                <w:b/>
                <w:noProof/>
                <w:sz w:val="20"/>
              </w:rPr>
              <w:t>KOPĀ</w:t>
            </w:r>
          </w:p>
        </w:tc>
      </w:tr>
      <w:tr w:rsidR="00277323" w:rsidRPr="000254DF" w14:paraId="7BC424E3" w14:textId="77777777" w:rsidTr="00B31F98">
        <w:tc>
          <w:tcPr>
            <w:tcW w:w="3960" w:type="dxa"/>
            <w:vMerge w:val="restart"/>
            <w:shd w:val="clear" w:color="auto" w:fill="C0C0C0"/>
            <w:vAlign w:val="center"/>
          </w:tcPr>
          <w:p w14:paraId="5F874B43" w14:textId="77777777" w:rsidR="00277323" w:rsidRPr="000254DF" w:rsidRDefault="00277323" w:rsidP="000F0A02">
            <w:pPr>
              <w:jc w:val="center"/>
              <w:rPr>
                <w:b/>
                <w:noProof/>
              </w:rPr>
            </w:pPr>
            <w:r w:rsidRPr="000254DF">
              <w:rPr>
                <w:b/>
                <w:noProof/>
                <w:sz w:val="22"/>
              </w:rPr>
              <w:t>KOPĀ</w:t>
            </w:r>
            <w:r w:rsidRPr="000254DF">
              <w:rPr>
                <w:noProof/>
              </w:rPr>
              <w:t xml:space="preserve"> </w:t>
            </w:r>
            <w:r w:rsidRPr="000254DF">
              <w:rPr>
                <w:noProof/>
                <w:sz w:val="22"/>
              </w:rPr>
              <w:t>daudzgadu finanšu shēmas</w:t>
            </w:r>
            <w:r w:rsidRPr="000254DF">
              <w:rPr>
                <w:noProof/>
              </w:rPr>
              <w:t xml:space="preserve"> </w:t>
            </w:r>
            <w:r w:rsidRPr="000254DF">
              <w:rPr>
                <w:b/>
                <w:noProof/>
                <w:sz w:val="22"/>
              </w:rPr>
              <w:t>1.–7. IZDEVUMU KATEGORIJAS</w:t>
            </w:r>
            <w:r w:rsidRPr="000254DF">
              <w:rPr>
                <w:b/>
                <w:noProof/>
                <w:sz w:val="22"/>
              </w:rPr>
              <w:br/>
              <w:t xml:space="preserve">apropriācijas </w:t>
            </w:r>
          </w:p>
        </w:tc>
        <w:tc>
          <w:tcPr>
            <w:tcW w:w="2094" w:type="dxa"/>
            <w:gridSpan w:val="2"/>
            <w:vAlign w:val="center"/>
          </w:tcPr>
          <w:p w14:paraId="645F3F5A" w14:textId="77777777" w:rsidR="00277323" w:rsidRPr="000254DF" w:rsidRDefault="00277323" w:rsidP="00B31F98">
            <w:pPr>
              <w:rPr>
                <w:noProof/>
                <w:sz w:val="14"/>
              </w:rPr>
            </w:pPr>
            <w:r w:rsidRPr="000254DF">
              <w:rPr>
                <w:noProof/>
                <w:sz w:val="18"/>
              </w:rPr>
              <w:t>Saistības</w:t>
            </w:r>
          </w:p>
        </w:tc>
        <w:tc>
          <w:tcPr>
            <w:tcW w:w="868" w:type="dxa"/>
            <w:vAlign w:val="center"/>
          </w:tcPr>
          <w:p w14:paraId="350E3CC2" w14:textId="77777777" w:rsidR="00277323" w:rsidRPr="000254DF" w:rsidRDefault="00EA4DA9" w:rsidP="00B31F98">
            <w:pPr>
              <w:spacing w:before="60" w:after="60"/>
              <w:jc w:val="right"/>
              <w:rPr>
                <w:noProof/>
                <w:sz w:val="20"/>
              </w:rPr>
            </w:pPr>
            <w:r w:rsidRPr="000254DF">
              <w:rPr>
                <w:noProof/>
                <w:sz w:val="20"/>
              </w:rPr>
              <w:t>0</w:t>
            </w:r>
          </w:p>
        </w:tc>
        <w:tc>
          <w:tcPr>
            <w:tcW w:w="868" w:type="dxa"/>
            <w:vAlign w:val="center"/>
          </w:tcPr>
          <w:p w14:paraId="7E3DA8E0" w14:textId="77777777" w:rsidR="00277323" w:rsidRPr="000254DF" w:rsidRDefault="00EA4DA9" w:rsidP="00B31F98">
            <w:pPr>
              <w:spacing w:before="60" w:after="60"/>
              <w:jc w:val="right"/>
              <w:rPr>
                <w:noProof/>
                <w:sz w:val="20"/>
              </w:rPr>
            </w:pPr>
            <w:r w:rsidRPr="000254DF">
              <w:rPr>
                <w:noProof/>
                <w:sz w:val="20"/>
              </w:rPr>
              <w:t>0</w:t>
            </w:r>
          </w:p>
        </w:tc>
        <w:tc>
          <w:tcPr>
            <w:tcW w:w="868" w:type="dxa"/>
            <w:vAlign w:val="center"/>
          </w:tcPr>
          <w:p w14:paraId="1E84A7BE" w14:textId="77777777" w:rsidR="00277323" w:rsidRPr="000254DF" w:rsidRDefault="00EA4DA9" w:rsidP="00B31F98">
            <w:pPr>
              <w:spacing w:before="60" w:after="60"/>
              <w:jc w:val="right"/>
              <w:rPr>
                <w:noProof/>
                <w:sz w:val="20"/>
              </w:rPr>
            </w:pPr>
            <w:r w:rsidRPr="000254DF">
              <w:rPr>
                <w:noProof/>
                <w:sz w:val="20"/>
              </w:rPr>
              <w:t>0</w:t>
            </w:r>
          </w:p>
        </w:tc>
        <w:tc>
          <w:tcPr>
            <w:tcW w:w="868" w:type="dxa"/>
            <w:vAlign w:val="center"/>
          </w:tcPr>
          <w:p w14:paraId="6223DBFE" w14:textId="77777777" w:rsidR="00277323" w:rsidRPr="000254DF" w:rsidRDefault="00EA4DA9" w:rsidP="00B31F98">
            <w:pPr>
              <w:spacing w:before="60" w:after="60"/>
              <w:jc w:val="right"/>
              <w:rPr>
                <w:noProof/>
                <w:sz w:val="20"/>
              </w:rPr>
            </w:pPr>
            <w:r w:rsidRPr="000254DF">
              <w:rPr>
                <w:noProof/>
                <w:sz w:val="20"/>
              </w:rPr>
              <w:t>0</w:t>
            </w:r>
          </w:p>
        </w:tc>
        <w:tc>
          <w:tcPr>
            <w:tcW w:w="868" w:type="dxa"/>
            <w:vAlign w:val="center"/>
          </w:tcPr>
          <w:p w14:paraId="14BB936A" w14:textId="77777777" w:rsidR="00277323" w:rsidRPr="000254DF" w:rsidRDefault="00277323" w:rsidP="00B31F98">
            <w:pPr>
              <w:spacing w:before="60" w:after="60"/>
              <w:jc w:val="right"/>
              <w:rPr>
                <w:noProof/>
                <w:sz w:val="20"/>
              </w:rPr>
            </w:pPr>
          </w:p>
        </w:tc>
        <w:tc>
          <w:tcPr>
            <w:tcW w:w="868" w:type="dxa"/>
            <w:vAlign w:val="center"/>
          </w:tcPr>
          <w:p w14:paraId="7B1311CF" w14:textId="77777777" w:rsidR="00277323" w:rsidRPr="000254DF" w:rsidRDefault="00277323" w:rsidP="00B31F98">
            <w:pPr>
              <w:spacing w:before="60" w:after="60"/>
              <w:jc w:val="right"/>
              <w:rPr>
                <w:noProof/>
                <w:sz w:val="20"/>
              </w:rPr>
            </w:pPr>
          </w:p>
        </w:tc>
        <w:tc>
          <w:tcPr>
            <w:tcW w:w="868" w:type="dxa"/>
            <w:vAlign w:val="center"/>
          </w:tcPr>
          <w:p w14:paraId="259F3D45" w14:textId="77777777" w:rsidR="00277323" w:rsidRPr="000254DF" w:rsidRDefault="00277323" w:rsidP="00B31F98">
            <w:pPr>
              <w:spacing w:before="60" w:after="60"/>
              <w:jc w:val="right"/>
              <w:rPr>
                <w:b/>
                <w:noProof/>
                <w:sz w:val="20"/>
              </w:rPr>
            </w:pPr>
          </w:p>
        </w:tc>
        <w:tc>
          <w:tcPr>
            <w:tcW w:w="1777" w:type="dxa"/>
            <w:vAlign w:val="center"/>
          </w:tcPr>
          <w:p w14:paraId="68FE3856" w14:textId="77777777" w:rsidR="00277323" w:rsidRPr="000254DF" w:rsidRDefault="00277323" w:rsidP="00B31F98">
            <w:pPr>
              <w:spacing w:before="60" w:after="60"/>
              <w:jc w:val="right"/>
              <w:rPr>
                <w:b/>
                <w:noProof/>
                <w:sz w:val="20"/>
              </w:rPr>
            </w:pPr>
          </w:p>
        </w:tc>
      </w:tr>
      <w:tr w:rsidR="00277323" w:rsidRPr="000254DF" w14:paraId="6425B0CE" w14:textId="77777777" w:rsidTr="00B31F98">
        <w:tc>
          <w:tcPr>
            <w:tcW w:w="3960" w:type="dxa"/>
            <w:vMerge/>
            <w:shd w:val="clear" w:color="auto" w:fill="C0C0C0"/>
          </w:tcPr>
          <w:p w14:paraId="2EC81D04" w14:textId="77777777" w:rsidR="00277323" w:rsidRPr="000254DF" w:rsidRDefault="00277323" w:rsidP="00B31F98">
            <w:pPr>
              <w:rPr>
                <w:noProof/>
                <w:sz w:val="20"/>
              </w:rPr>
            </w:pPr>
          </w:p>
        </w:tc>
        <w:tc>
          <w:tcPr>
            <w:tcW w:w="2094" w:type="dxa"/>
            <w:gridSpan w:val="2"/>
            <w:vAlign w:val="center"/>
          </w:tcPr>
          <w:p w14:paraId="4E0DE25E" w14:textId="77777777" w:rsidR="00277323" w:rsidRPr="000254DF" w:rsidRDefault="00277323" w:rsidP="00B31F98">
            <w:pPr>
              <w:rPr>
                <w:noProof/>
                <w:sz w:val="14"/>
              </w:rPr>
            </w:pPr>
            <w:r w:rsidRPr="000254DF">
              <w:rPr>
                <w:noProof/>
                <w:sz w:val="18"/>
              </w:rPr>
              <w:t>Maksājumi</w:t>
            </w:r>
          </w:p>
        </w:tc>
        <w:tc>
          <w:tcPr>
            <w:tcW w:w="868" w:type="dxa"/>
            <w:vAlign w:val="center"/>
          </w:tcPr>
          <w:p w14:paraId="05B207AB" w14:textId="77777777" w:rsidR="00277323" w:rsidRPr="000254DF" w:rsidRDefault="00EA4DA9" w:rsidP="00B31F98">
            <w:pPr>
              <w:spacing w:before="60" w:after="60"/>
              <w:jc w:val="right"/>
              <w:rPr>
                <w:noProof/>
                <w:sz w:val="20"/>
              </w:rPr>
            </w:pPr>
            <w:r w:rsidRPr="000254DF">
              <w:rPr>
                <w:noProof/>
                <w:sz w:val="20"/>
              </w:rPr>
              <w:t>0</w:t>
            </w:r>
          </w:p>
        </w:tc>
        <w:tc>
          <w:tcPr>
            <w:tcW w:w="868" w:type="dxa"/>
            <w:vAlign w:val="center"/>
          </w:tcPr>
          <w:p w14:paraId="19DCE498" w14:textId="77777777" w:rsidR="00277323" w:rsidRPr="000254DF" w:rsidRDefault="007F11DA" w:rsidP="00B31F98">
            <w:pPr>
              <w:spacing w:before="60" w:after="60"/>
              <w:jc w:val="right"/>
              <w:rPr>
                <w:noProof/>
                <w:sz w:val="20"/>
              </w:rPr>
            </w:pPr>
            <w:r w:rsidRPr="000254DF">
              <w:rPr>
                <w:noProof/>
                <w:sz w:val="20"/>
              </w:rPr>
              <w:t>+450</w:t>
            </w:r>
          </w:p>
        </w:tc>
        <w:tc>
          <w:tcPr>
            <w:tcW w:w="868" w:type="dxa"/>
            <w:vAlign w:val="center"/>
          </w:tcPr>
          <w:p w14:paraId="4A3A5AE8" w14:textId="77777777" w:rsidR="00277323" w:rsidRPr="000254DF" w:rsidRDefault="007F11DA" w:rsidP="00B31F98">
            <w:pPr>
              <w:spacing w:before="60" w:after="60"/>
              <w:jc w:val="right"/>
              <w:rPr>
                <w:noProof/>
                <w:sz w:val="20"/>
              </w:rPr>
            </w:pPr>
            <w:r w:rsidRPr="000254DF">
              <w:rPr>
                <w:noProof/>
                <w:sz w:val="20"/>
              </w:rPr>
              <w:t>-225</w:t>
            </w:r>
          </w:p>
        </w:tc>
        <w:tc>
          <w:tcPr>
            <w:tcW w:w="868" w:type="dxa"/>
            <w:vAlign w:val="center"/>
          </w:tcPr>
          <w:p w14:paraId="3BBE5F42" w14:textId="77777777" w:rsidR="00277323" w:rsidRPr="000254DF" w:rsidRDefault="007F11DA" w:rsidP="00B31F98">
            <w:pPr>
              <w:spacing w:before="60" w:after="60"/>
              <w:jc w:val="right"/>
              <w:rPr>
                <w:noProof/>
                <w:sz w:val="20"/>
              </w:rPr>
            </w:pPr>
            <w:r w:rsidRPr="000254DF">
              <w:rPr>
                <w:noProof/>
                <w:sz w:val="20"/>
              </w:rPr>
              <w:t>-225</w:t>
            </w:r>
          </w:p>
        </w:tc>
        <w:tc>
          <w:tcPr>
            <w:tcW w:w="868" w:type="dxa"/>
            <w:vAlign w:val="center"/>
          </w:tcPr>
          <w:p w14:paraId="11592CD0" w14:textId="77777777" w:rsidR="00277323" w:rsidRPr="000254DF" w:rsidRDefault="00277323" w:rsidP="00B31F98">
            <w:pPr>
              <w:spacing w:before="60" w:after="60"/>
              <w:jc w:val="right"/>
              <w:rPr>
                <w:noProof/>
                <w:sz w:val="20"/>
              </w:rPr>
            </w:pPr>
          </w:p>
        </w:tc>
        <w:tc>
          <w:tcPr>
            <w:tcW w:w="868" w:type="dxa"/>
            <w:vAlign w:val="center"/>
          </w:tcPr>
          <w:p w14:paraId="2518E621" w14:textId="77777777" w:rsidR="00277323" w:rsidRPr="000254DF" w:rsidRDefault="00277323" w:rsidP="00B31F98">
            <w:pPr>
              <w:spacing w:before="60" w:after="60"/>
              <w:jc w:val="right"/>
              <w:rPr>
                <w:noProof/>
                <w:sz w:val="20"/>
              </w:rPr>
            </w:pPr>
          </w:p>
        </w:tc>
        <w:tc>
          <w:tcPr>
            <w:tcW w:w="868" w:type="dxa"/>
            <w:vAlign w:val="center"/>
          </w:tcPr>
          <w:p w14:paraId="47414D2A" w14:textId="77777777" w:rsidR="00277323" w:rsidRPr="000254DF" w:rsidRDefault="00277323" w:rsidP="00B31F98">
            <w:pPr>
              <w:spacing w:before="60" w:after="60"/>
              <w:jc w:val="right"/>
              <w:rPr>
                <w:b/>
                <w:noProof/>
                <w:sz w:val="20"/>
              </w:rPr>
            </w:pPr>
          </w:p>
        </w:tc>
        <w:tc>
          <w:tcPr>
            <w:tcW w:w="1777" w:type="dxa"/>
            <w:vAlign w:val="center"/>
          </w:tcPr>
          <w:p w14:paraId="2F3A218B" w14:textId="77777777" w:rsidR="00277323" w:rsidRPr="000254DF" w:rsidRDefault="00277323" w:rsidP="00B31F98">
            <w:pPr>
              <w:spacing w:before="60" w:after="60"/>
              <w:jc w:val="right"/>
              <w:rPr>
                <w:b/>
                <w:noProof/>
                <w:sz w:val="20"/>
              </w:rPr>
            </w:pPr>
          </w:p>
        </w:tc>
      </w:tr>
    </w:tbl>
    <w:p w14:paraId="14FCAA7A" w14:textId="77777777" w:rsidR="00277323" w:rsidRPr="000254DF" w:rsidRDefault="00277323" w:rsidP="00277323">
      <w:pPr>
        <w:rPr>
          <w:noProof/>
        </w:rPr>
      </w:pPr>
    </w:p>
    <w:p w14:paraId="3C24C36B" w14:textId="4D0189C4" w:rsidR="00277323" w:rsidRPr="000254DF" w:rsidRDefault="006039A2" w:rsidP="006039A2">
      <w:pPr>
        <w:pStyle w:val="ManualHeading3"/>
        <w:rPr>
          <w:bCs/>
          <w:noProof/>
          <w:szCs w:val="24"/>
        </w:rPr>
      </w:pPr>
      <w:bookmarkStart w:id="55" w:name="_Toc514938054"/>
      <w:bookmarkStart w:id="56" w:name="_Toc520485053"/>
      <w:r w:rsidRPr="006039A2">
        <w:t>3.2.2.</w:t>
      </w:r>
      <w:r w:rsidRPr="006039A2">
        <w:tab/>
      </w:r>
      <w:r w:rsidR="00277323" w:rsidRPr="000254DF">
        <w:rPr>
          <w:noProof/>
        </w:rPr>
        <w:t>Aplēstais iznākums, ko dos finansējums no darbības apropriācijām</w:t>
      </w:r>
      <w:bookmarkEnd w:id="55"/>
      <w:bookmarkEnd w:id="56"/>
      <w:r w:rsidR="00277323" w:rsidRPr="000254DF">
        <w:rPr>
          <w:noProof/>
        </w:rPr>
        <w:t xml:space="preserve"> </w:t>
      </w:r>
    </w:p>
    <w:p w14:paraId="6969A314" w14:textId="77777777" w:rsidR="00277323" w:rsidRPr="000254DF" w:rsidRDefault="00277323" w:rsidP="00277323">
      <w:pPr>
        <w:jc w:val="right"/>
        <w:rPr>
          <w:noProof/>
          <w:sz w:val="20"/>
        </w:rPr>
      </w:pPr>
      <w:r w:rsidRPr="000254DF">
        <w:rPr>
          <w:noProof/>
          <w:sz w:val="20"/>
        </w:rPr>
        <w:t>Saistību apropriācijas miljonos EUR (trīs zīmes aiz komata)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277323" w:rsidRPr="000254DF" w14:paraId="5EB53C97" w14:textId="77777777" w:rsidTr="00B31F98">
        <w:trPr>
          <w:jc w:val="center"/>
        </w:trPr>
        <w:tc>
          <w:tcPr>
            <w:tcW w:w="1423" w:type="dxa"/>
            <w:vMerge w:val="restart"/>
            <w:vAlign w:val="center"/>
          </w:tcPr>
          <w:p w14:paraId="14A233D9" w14:textId="77777777" w:rsidR="00277323" w:rsidRPr="000254DF" w:rsidRDefault="00277323" w:rsidP="00B31F98">
            <w:pPr>
              <w:ind w:right="-29"/>
              <w:jc w:val="center"/>
              <w:rPr>
                <w:b/>
                <w:noProof/>
                <w:sz w:val="18"/>
                <w:szCs w:val="18"/>
              </w:rPr>
            </w:pPr>
            <w:r w:rsidRPr="000254DF">
              <w:rPr>
                <w:b/>
                <w:noProof/>
                <w:sz w:val="18"/>
              </w:rPr>
              <w:t xml:space="preserve">Norādīt mērķus un iznākumus </w:t>
            </w:r>
          </w:p>
          <w:p w14:paraId="2DABCFCB" w14:textId="77777777" w:rsidR="00277323" w:rsidRPr="000254DF" w:rsidRDefault="00277323" w:rsidP="00B31F98">
            <w:pPr>
              <w:ind w:right="-29"/>
              <w:jc w:val="center"/>
              <w:rPr>
                <w:b/>
                <w:noProof/>
                <w:sz w:val="18"/>
                <w:szCs w:val="18"/>
              </w:rPr>
            </w:pPr>
          </w:p>
          <w:p w14:paraId="334F6EEC" w14:textId="77777777" w:rsidR="00277323" w:rsidRPr="000254DF" w:rsidRDefault="00277323" w:rsidP="00B31F98">
            <w:pPr>
              <w:ind w:right="-29"/>
              <w:jc w:val="center"/>
              <w:rPr>
                <w:noProof/>
                <w:sz w:val="18"/>
                <w:szCs w:val="18"/>
              </w:rPr>
            </w:pPr>
            <w:r w:rsidRPr="000254DF">
              <w:rPr>
                <w:noProof/>
                <w:sz w:val="18"/>
              </w:rPr>
              <w:sym w:font="Wingdings" w:char="F0F2"/>
            </w:r>
          </w:p>
        </w:tc>
        <w:tc>
          <w:tcPr>
            <w:tcW w:w="720" w:type="dxa"/>
            <w:vAlign w:val="center"/>
          </w:tcPr>
          <w:p w14:paraId="095F14DA" w14:textId="77777777" w:rsidR="00277323" w:rsidRPr="000254DF" w:rsidRDefault="00277323" w:rsidP="00B31F98">
            <w:pPr>
              <w:ind w:right="-29"/>
              <w:jc w:val="center"/>
              <w:rPr>
                <w:noProof/>
                <w:sz w:val="18"/>
                <w:szCs w:val="18"/>
              </w:rPr>
            </w:pPr>
          </w:p>
        </w:tc>
        <w:tc>
          <w:tcPr>
            <w:tcW w:w="701" w:type="dxa"/>
            <w:vAlign w:val="center"/>
          </w:tcPr>
          <w:p w14:paraId="1FAF9CC1" w14:textId="77777777" w:rsidR="00277323" w:rsidRPr="000254DF" w:rsidRDefault="00277323" w:rsidP="00B31F98">
            <w:pPr>
              <w:ind w:right="-29"/>
              <w:jc w:val="center"/>
              <w:rPr>
                <w:noProof/>
                <w:sz w:val="18"/>
                <w:szCs w:val="18"/>
              </w:rPr>
            </w:pPr>
          </w:p>
        </w:tc>
        <w:tc>
          <w:tcPr>
            <w:tcW w:w="1224" w:type="dxa"/>
            <w:gridSpan w:val="2"/>
            <w:tcBorders>
              <w:left w:val="nil"/>
            </w:tcBorders>
            <w:vAlign w:val="center"/>
          </w:tcPr>
          <w:p w14:paraId="2F1D5C60" w14:textId="77777777" w:rsidR="00277323" w:rsidRPr="000254DF" w:rsidRDefault="00277323" w:rsidP="00B31F98">
            <w:pPr>
              <w:ind w:right="-29"/>
              <w:jc w:val="center"/>
              <w:rPr>
                <w:noProof/>
                <w:sz w:val="18"/>
                <w:szCs w:val="18"/>
              </w:rPr>
            </w:pPr>
            <w:r w:rsidRPr="000254DF">
              <w:rPr>
                <w:b/>
                <w:noProof/>
                <w:sz w:val="18"/>
              </w:rPr>
              <w:t>N</w:t>
            </w:r>
            <w:r w:rsidRPr="000254DF">
              <w:rPr>
                <w:noProof/>
              </w:rPr>
              <w:br/>
            </w:r>
            <w:r w:rsidRPr="000254DF">
              <w:rPr>
                <w:noProof/>
                <w:sz w:val="18"/>
              </w:rPr>
              <w:t>gads</w:t>
            </w:r>
          </w:p>
        </w:tc>
        <w:tc>
          <w:tcPr>
            <w:tcW w:w="1260" w:type="dxa"/>
            <w:gridSpan w:val="2"/>
            <w:vAlign w:val="center"/>
          </w:tcPr>
          <w:p w14:paraId="146D9490" w14:textId="77777777" w:rsidR="00277323" w:rsidRPr="000254DF" w:rsidRDefault="00277323" w:rsidP="00B31F98">
            <w:pPr>
              <w:ind w:right="-29"/>
              <w:jc w:val="center"/>
              <w:rPr>
                <w:noProof/>
                <w:sz w:val="18"/>
                <w:szCs w:val="18"/>
              </w:rPr>
            </w:pPr>
            <w:r w:rsidRPr="000254DF">
              <w:rPr>
                <w:b/>
                <w:noProof/>
                <w:sz w:val="18"/>
              </w:rPr>
              <w:t>N+1</w:t>
            </w:r>
            <w:r w:rsidRPr="000254DF">
              <w:rPr>
                <w:noProof/>
              </w:rPr>
              <w:br/>
            </w:r>
            <w:r w:rsidRPr="000254DF">
              <w:rPr>
                <w:noProof/>
                <w:sz w:val="18"/>
              </w:rPr>
              <w:t>gads</w:t>
            </w:r>
          </w:p>
        </w:tc>
        <w:tc>
          <w:tcPr>
            <w:tcW w:w="1440" w:type="dxa"/>
            <w:gridSpan w:val="2"/>
            <w:vAlign w:val="center"/>
          </w:tcPr>
          <w:p w14:paraId="4AE908F1" w14:textId="77777777" w:rsidR="00277323" w:rsidRPr="000254DF" w:rsidRDefault="00277323" w:rsidP="00B31F98">
            <w:pPr>
              <w:ind w:right="-29"/>
              <w:jc w:val="center"/>
              <w:rPr>
                <w:noProof/>
                <w:sz w:val="18"/>
                <w:szCs w:val="18"/>
              </w:rPr>
            </w:pPr>
            <w:r w:rsidRPr="000254DF">
              <w:rPr>
                <w:b/>
                <w:noProof/>
                <w:sz w:val="18"/>
              </w:rPr>
              <w:t>N+2</w:t>
            </w:r>
            <w:r w:rsidRPr="000254DF">
              <w:rPr>
                <w:noProof/>
              </w:rPr>
              <w:br/>
            </w:r>
            <w:r w:rsidRPr="000254DF">
              <w:rPr>
                <w:noProof/>
                <w:sz w:val="18"/>
              </w:rPr>
              <w:t>gads</w:t>
            </w:r>
          </w:p>
        </w:tc>
        <w:tc>
          <w:tcPr>
            <w:tcW w:w="1620" w:type="dxa"/>
            <w:gridSpan w:val="3"/>
            <w:vAlign w:val="center"/>
          </w:tcPr>
          <w:p w14:paraId="6908DAF8" w14:textId="77777777" w:rsidR="00277323" w:rsidRPr="000254DF" w:rsidRDefault="00277323" w:rsidP="00B31F98">
            <w:pPr>
              <w:ind w:right="-29"/>
              <w:jc w:val="center"/>
              <w:rPr>
                <w:noProof/>
                <w:sz w:val="18"/>
                <w:szCs w:val="18"/>
              </w:rPr>
            </w:pPr>
            <w:r w:rsidRPr="000254DF">
              <w:rPr>
                <w:b/>
                <w:noProof/>
                <w:sz w:val="18"/>
              </w:rPr>
              <w:t>N+3</w:t>
            </w:r>
            <w:r w:rsidRPr="000254DF">
              <w:rPr>
                <w:noProof/>
              </w:rPr>
              <w:br/>
            </w:r>
            <w:r w:rsidRPr="000254DF">
              <w:rPr>
                <w:noProof/>
                <w:sz w:val="18"/>
              </w:rPr>
              <w:t>gads</w:t>
            </w:r>
          </w:p>
        </w:tc>
        <w:tc>
          <w:tcPr>
            <w:tcW w:w="3600" w:type="dxa"/>
            <w:gridSpan w:val="6"/>
            <w:vAlign w:val="center"/>
          </w:tcPr>
          <w:p w14:paraId="13C538A2" w14:textId="77777777" w:rsidR="00277323" w:rsidRPr="000254DF" w:rsidRDefault="00277323" w:rsidP="00B31F98">
            <w:pPr>
              <w:jc w:val="center"/>
              <w:rPr>
                <w:noProof/>
                <w:sz w:val="18"/>
                <w:szCs w:val="18"/>
              </w:rPr>
            </w:pPr>
            <w:r w:rsidRPr="000254DF">
              <w:rPr>
                <w:noProof/>
                <w:sz w:val="18"/>
              </w:rPr>
              <w:t>Norādīt tik gadu, cik nepieciešams ietekmes ilguma atspoguļošanai (sk. 1.6. punktu)</w:t>
            </w:r>
          </w:p>
        </w:tc>
        <w:tc>
          <w:tcPr>
            <w:tcW w:w="1620" w:type="dxa"/>
            <w:gridSpan w:val="2"/>
            <w:tcBorders>
              <w:left w:val="nil"/>
              <w:bottom w:val="nil"/>
            </w:tcBorders>
            <w:vAlign w:val="center"/>
          </w:tcPr>
          <w:p w14:paraId="101A5ED8" w14:textId="77777777" w:rsidR="00277323" w:rsidRPr="000254DF" w:rsidRDefault="00277323" w:rsidP="00B31F98">
            <w:pPr>
              <w:ind w:right="-29"/>
              <w:jc w:val="center"/>
              <w:rPr>
                <w:noProof/>
                <w:sz w:val="18"/>
                <w:szCs w:val="18"/>
              </w:rPr>
            </w:pPr>
            <w:r w:rsidRPr="000254DF">
              <w:rPr>
                <w:b/>
                <w:noProof/>
                <w:sz w:val="18"/>
              </w:rPr>
              <w:t>KOPĀ</w:t>
            </w:r>
          </w:p>
        </w:tc>
      </w:tr>
      <w:tr w:rsidR="00277323" w:rsidRPr="000254DF" w14:paraId="045DCFE7" w14:textId="77777777" w:rsidTr="00B31F98">
        <w:trPr>
          <w:jc w:val="center"/>
        </w:trPr>
        <w:tc>
          <w:tcPr>
            <w:tcW w:w="1423" w:type="dxa"/>
            <w:vMerge/>
            <w:vAlign w:val="center"/>
          </w:tcPr>
          <w:p w14:paraId="69E24891" w14:textId="77777777" w:rsidR="00277323" w:rsidRPr="000254DF" w:rsidRDefault="00277323" w:rsidP="00B31F98">
            <w:pPr>
              <w:ind w:right="-29"/>
              <w:jc w:val="center"/>
              <w:rPr>
                <w:noProof/>
                <w:sz w:val="18"/>
                <w:szCs w:val="18"/>
              </w:rPr>
            </w:pPr>
          </w:p>
        </w:tc>
        <w:tc>
          <w:tcPr>
            <w:tcW w:w="12185" w:type="dxa"/>
            <w:gridSpan w:val="19"/>
            <w:vAlign w:val="center"/>
          </w:tcPr>
          <w:p w14:paraId="2906C91B" w14:textId="77777777" w:rsidR="00277323" w:rsidRPr="000254DF" w:rsidRDefault="00277323" w:rsidP="00B31F98">
            <w:pPr>
              <w:spacing w:before="60" w:after="60"/>
              <w:ind w:right="-29"/>
              <w:jc w:val="center"/>
              <w:rPr>
                <w:noProof/>
                <w:sz w:val="18"/>
                <w:szCs w:val="18"/>
              </w:rPr>
            </w:pPr>
            <w:r w:rsidRPr="000254DF">
              <w:rPr>
                <w:b/>
                <w:noProof/>
                <w:sz w:val="18"/>
              </w:rPr>
              <w:t>IZNĀKUMI</w:t>
            </w:r>
          </w:p>
        </w:tc>
      </w:tr>
      <w:tr w:rsidR="00277323" w:rsidRPr="000254DF" w14:paraId="69B6444C" w14:textId="77777777" w:rsidTr="00B31F98">
        <w:trPr>
          <w:cantSplit/>
          <w:trHeight w:val="1134"/>
          <w:jc w:val="center"/>
        </w:trPr>
        <w:tc>
          <w:tcPr>
            <w:tcW w:w="1423" w:type="dxa"/>
            <w:vMerge/>
            <w:vAlign w:val="center"/>
          </w:tcPr>
          <w:p w14:paraId="1DFD8226" w14:textId="77777777" w:rsidR="00277323" w:rsidRPr="000254DF" w:rsidRDefault="00277323" w:rsidP="00B31F98">
            <w:pPr>
              <w:rPr>
                <w:noProof/>
                <w:sz w:val="18"/>
                <w:szCs w:val="18"/>
              </w:rPr>
            </w:pPr>
          </w:p>
        </w:tc>
        <w:tc>
          <w:tcPr>
            <w:tcW w:w="720" w:type="dxa"/>
            <w:vAlign w:val="center"/>
          </w:tcPr>
          <w:p w14:paraId="2176AC3F" w14:textId="77777777" w:rsidR="00277323" w:rsidRPr="000254DF" w:rsidRDefault="00277323" w:rsidP="00B31F98">
            <w:pPr>
              <w:jc w:val="center"/>
              <w:rPr>
                <w:noProof/>
                <w:sz w:val="18"/>
                <w:szCs w:val="18"/>
              </w:rPr>
            </w:pPr>
            <w:r w:rsidRPr="000254DF">
              <w:rPr>
                <w:noProof/>
                <w:sz w:val="18"/>
              </w:rPr>
              <w:t>Veids</w:t>
            </w:r>
            <w:r w:rsidRPr="000254DF">
              <w:rPr>
                <w:rStyle w:val="FootnoteReference"/>
                <w:noProof/>
                <w:sz w:val="18"/>
              </w:rPr>
              <w:footnoteReference w:id="9"/>
            </w:r>
          </w:p>
          <w:p w14:paraId="60BAA874" w14:textId="77777777" w:rsidR="00277323" w:rsidRPr="000254DF" w:rsidRDefault="00277323" w:rsidP="00B31F98">
            <w:pPr>
              <w:spacing w:before="0" w:after="0"/>
              <w:jc w:val="center"/>
              <w:rPr>
                <w:noProof/>
                <w:sz w:val="18"/>
                <w:szCs w:val="18"/>
              </w:rPr>
            </w:pPr>
          </w:p>
        </w:tc>
        <w:tc>
          <w:tcPr>
            <w:tcW w:w="701" w:type="dxa"/>
            <w:vAlign w:val="center"/>
          </w:tcPr>
          <w:p w14:paraId="73DD537D" w14:textId="77777777" w:rsidR="00277323" w:rsidRPr="000254DF" w:rsidRDefault="00277323" w:rsidP="00B31F98">
            <w:pPr>
              <w:jc w:val="center"/>
              <w:rPr>
                <w:noProof/>
                <w:sz w:val="18"/>
                <w:szCs w:val="18"/>
              </w:rPr>
            </w:pPr>
            <w:r w:rsidRPr="000254DF">
              <w:rPr>
                <w:noProof/>
                <w:sz w:val="18"/>
              </w:rPr>
              <w:t>Vidējās izmaksas</w:t>
            </w:r>
          </w:p>
        </w:tc>
        <w:tc>
          <w:tcPr>
            <w:tcW w:w="504" w:type="dxa"/>
            <w:tcBorders>
              <w:left w:val="nil"/>
              <w:right w:val="dashSmallGap" w:sz="4" w:space="0" w:color="auto"/>
            </w:tcBorders>
            <w:shd w:val="pct10" w:color="auto" w:fill="auto"/>
            <w:textDirection w:val="btLr"/>
            <w:vAlign w:val="center"/>
          </w:tcPr>
          <w:p w14:paraId="0CD8CB17" w14:textId="77777777" w:rsidR="00277323" w:rsidRPr="000254DF" w:rsidRDefault="00277323" w:rsidP="00B31F98">
            <w:pPr>
              <w:ind w:left="113" w:right="113"/>
              <w:jc w:val="center"/>
              <w:rPr>
                <w:noProof/>
                <w:sz w:val="18"/>
                <w:szCs w:val="18"/>
              </w:rPr>
            </w:pPr>
            <w:r w:rsidRPr="000254DF">
              <w:rPr>
                <w:noProof/>
                <w:sz w:val="18"/>
              </w:rPr>
              <w:t>Daudzums</w:t>
            </w:r>
          </w:p>
        </w:tc>
        <w:tc>
          <w:tcPr>
            <w:tcW w:w="720" w:type="dxa"/>
            <w:tcBorders>
              <w:left w:val="dashSmallGap" w:sz="4" w:space="0" w:color="auto"/>
            </w:tcBorders>
            <w:shd w:val="pct10" w:color="auto" w:fill="auto"/>
            <w:vAlign w:val="center"/>
          </w:tcPr>
          <w:p w14:paraId="73F3DB63" w14:textId="77777777" w:rsidR="00277323" w:rsidRPr="000254DF" w:rsidRDefault="00277323" w:rsidP="00B31F98">
            <w:pPr>
              <w:jc w:val="center"/>
              <w:rPr>
                <w:noProof/>
                <w:sz w:val="18"/>
                <w:szCs w:val="18"/>
              </w:rPr>
            </w:pPr>
            <w:r w:rsidRPr="000254DF">
              <w:rPr>
                <w:noProof/>
                <w:sz w:val="18"/>
              </w:rPr>
              <w:t>Izmaksas</w:t>
            </w:r>
          </w:p>
        </w:tc>
        <w:tc>
          <w:tcPr>
            <w:tcW w:w="540" w:type="dxa"/>
            <w:tcBorders>
              <w:right w:val="dashSmallGap" w:sz="4" w:space="0" w:color="auto"/>
            </w:tcBorders>
            <w:shd w:val="pct10" w:color="auto" w:fill="auto"/>
            <w:textDirection w:val="btLr"/>
            <w:vAlign w:val="center"/>
          </w:tcPr>
          <w:p w14:paraId="6D346158" w14:textId="77777777" w:rsidR="00277323" w:rsidRPr="000254DF" w:rsidRDefault="00277323" w:rsidP="00B31F98">
            <w:pPr>
              <w:ind w:left="113" w:right="113"/>
              <w:jc w:val="center"/>
              <w:rPr>
                <w:noProof/>
                <w:sz w:val="18"/>
                <w:szCs w:val="18"/>
              </w:rPr>
            </w:pPr>
            <w:r w:rsidRPr="000254DF">
              <w:rPr>
                <w:noProof/>
                <w:sz w:val="18"/>
              </w:rPr>
              <w:t>Daudzums</w:t>
            </w:r>
          </w:p>
        </w:tc>
        <w:tc>
          <w:tcPr>
            <w:tcW w:w="720" w:type="dxa"/>
            <w:tcBorders>
              <w:left w:val="dashSmallGap" w:sz="4" w:space="0" w:color="auto"/>
            </w:tcBorders>
            <w:shd w:val="pct10" w:color="auto" w:fill="auto"/>
            <w:vAlign w:val="center"/>
          </w:tcPr>
          <w:p w14:paraId="0D875AE4" w14:textId="77777777" w:rsidR="00277323" w:rsidRPr="000254DF" w:rsidRDefault="00277323" w:rsidP="00B31F98">
            <w:pPr>
              <w:jc w:val="center"/>
              <w:rPr>
                <w:noProof/>
                <w:sz w:val="18"/>
                <w:szCs w:val="18"/>
              </w:rPr>
            </w:pPr>
            <w:r w:rsidRPr="000254DF">
              <w:rPr>
                <w:noProof/>
                <w:sz w:val="18"/>
              </w:rPr>
              <w:t>Izmaksas</w:t>
            </w:r>
          </w:p>
        </w:tc>
        <w:tc>
          <w:tcPr>
            <w:tcW w:w="720" w:type="dxa"/>
            <w:tcBorders>
              <w:right w:val="dashSmallGap" w:sz="4" w:space="0" w:color="auto"/>
            </w:tcBorders>
            <w:shd w:val="pct10" w:color="auto" w:fill="auto"/>
            <w:textDirection w:val="btLr"/>
            <w:vAlign w:val="center"/>
          </w:tcPr>
          <w:p w14:paraId="1CB6A24A" w14:textId="77777777" w:rsidR="00277323" w:rsidRPr="000254DF" w:rsidRDefault="00277323" w:rsidP="00B31F98">
            <w:pPr>
              <w:ind w:left="113" w:right="113"/>
              <w:jc w:val="center"/>
              <w:rPr>
                <w:noProof/>
                <w:sz w:val="18"/>
                <w:szCs w:val="18"/>
              </w:rPr>
            </w:pPr>
            <w:r w:rsidRPr="000254DF">
              <w:rPr>
                <w:noProof/>
                <w:sz w:val="18"/>
              </w:rPr>
              <w:t>Daudzums</w:t>
            </w:r>
          </w:p>
        </w:tc>
        <w:tc>
          <w:tcPr>
            <w:tcW w:w="720" w:type="dxa"/>
            <w:tcBorders>
              <w:left w:val="dashSmallGap" w:sz="4" w:space="0" w:color="auto"/>
            </w:tcBorders>
            <w:shd w:val="pct10" w:color="auto" w:fill="auto"/>
            <w:vAlign w:val="center"/>
          </w:tcPr>
          <w:p w14:paraId="257CB2F9" w14:textId="77777777" w:rsidR="00277323" w:rsidRPr="000254DF" w:rsidRDefault="00277323" w:rsidP="00B31F98">
            <w:pPr>
              <w:jc w:val="center"/>
              <w:rPr>
                <w:noProof/>
                <w:sz w:val="18"/>
                <w:szCs w:val="18"/>
              </w:rPr>
            </w:pPr>
            <w:r w:rsidRPr="000254DF">
              <w:rPr>
                <w:noProof/>
                <w:sz w:val="18"/>
              </w:rPr>
              <w:t>Izmaksas</w:t>
            </w:r>
          </w:p>
        </w:tc>
        <w:tc>
          <w:tcPr>
            <w:tcW w:w="900" w:type="dxa"/>
            <w:tcBorders>
              <w:right w:val="dashSmallGap" w:sz="4" w:space="0" w:color="auto"/>
            </w:tcBorders>
            <w:shd w:val="pct10" w:color="auto" w:fill="auto"/>
            <w:textDirection w:val="btLr"/>
            <w:vAlign w:val="center"/>
          </w:tcPr>
          <w:p w14:paraId="3BEAB5E0" w14:textId="77777777" w:rsidR="00277323" w:rsidRPr="000254DF" w:rsidRDefault="00277323" w:rsidP="00B31F98">
            <w:pPr>
              <w:ind w:left="113" w:right="113"/>
              <w:jc w:val="center"/>
              <w:rPr>
                <w:noProof/>
                <w:sz w:val="18"/>
                <w:szCs w:val="18"/>
              </w:rPr>
            </w:pPr>
            <w:r w:rsidRPr="000254DF">
              <w:rPr>
                <w:noProof/>
                <w:sz w:val="18"/>
              </w:rPr>
              <w:t>Daudzums</w:t>
            </w:r>
          </w:p>
        </w:tc>
        <w:tc>
          <w:tcPr>
            <w:tcW w:w="720" w:type="dxa"/>
            <w:gridSpan w:val="2"/>
            <w:tcBorders>
              <w:left w:val="dashSmallGap" w:sz="4" w:space="0" w:color="auto"/>
            </w:tcBorders>
            <w:shd w:val="pct10" w:color="auto" w:fill="auto"/>
            <w:vAlign w:val="center"/>
          </w:tcPr>
          <w:p w14:paraId="36502DCA" w14:textId="77777777" w:rsidR="00277323" w:rsidRPr="000254DF" w:rsidRDefault="00277323" w:rsidP="00B31F98">
            <w:pPr>
              <w:jc w:val="center"/>
              <w:rPr>
                <w:noProof/>
                <w:sz w:val="18"/>
                <w:szCs w:val="18"/>
              </w:rPr>
            </w:pPr>
            <w:r w:rsidRPr="000254DF">
              <w:rPr>
                <w:noProof/>
                <w:sz w:val="18"/>
              </w:rPr>
              <w:t>Izmaksas</w:t>
            </w:r>
          </w:p>
        </w:tc>
        <w:tc>
          <w:tcPr>
            <w:tcW w:w="540" w:type="dxa"/>
            <w:tcBorders>
              <w:right w:val="dashSmallGap" w:sz="4" w:space="0" w:color="auto"/>
            </w:tcBorders>
            <w:shd w:val="pct10" w:color="auto" w:fill="auto"/>
            <w:textDirection w:val="btLr"/>
            <w:vAlign w:val="center"/>
          </w:tcPr>
          <w:p w14:paraId="3CF968F0" w14:textId="77777777" w:rsidR="00277323" w:rsidRPr="000254DF" w:rsidRDefault="00277323" w:rsidP="00B31F98">
            <w:pPr>
              <w:ind w:left="113" w:right="113"/>
              <w:jc w:val="center"/>
              <w:rPr>
                <w:noProof/>
                <w:sz w:val="18"/>
                <w:szCs w:val="18"/>
              </w:rPr>
            </w:pPr>
            <w:r w:rsidRPr="000254DF">
              <w:rPr>
                <w:noProof/>
                <w:sz w:val="18"/>
              </w:rPr>
              <w:t>Daudzums</w:t>
            </w:r>
          </w:p>
        </w:tc>
        <w:tc>
          <w:tcPr>
            <w:tcW w:w="648" w:type="dxa"/>
            <w:tcBorders>
              <w:left w:val="dashSmallGap" w:sz="4" w:space="0" w:color="auto"/>
            </w:tcBorders>
            <w:shd w:val="pct10" w:color="auto" w:fill="auto"/>
            <w:vAlign w:val="center"/>
          </w:tcPr>
          <w:p w14:paraId="473B8EC3" w14:textId="77777777" w:rsidR="00277323" w:rsidRPr="000254DF" w:rsidRDefault="00277323" w:rsidP="00B31F98">
            <w:pPr>
              <w:jc w:val="center"/>
              <w:rPr>
                <w:noProof/>
                <w:sz w:val="18"/>
                <w:szCs w:val="18"/>
              </w:rPr>
            </w:pPr>
            <w:r w:rsidRPr="000254DF">
              <w:rPr>
                <w:noProof/>
                <w:sz w:val="18"/>
              </w:rPr>
              <w:t>Izmaksas</w:t>
            </w:r>
          </w:p>
        </w:tc>
        <w:tc>
          <w:tcPr>
            <w:tcW w:w="432" w:type="dxa"/>
            <w:tcBorders>
              <w:right w:val="dashSmallGap" w:sz="4" w:space="0" w:color="auto"/>
            </w:tcBorders>
            <w:shd w:val="pct10" w:color="auto" w:fill="auto"/>
            <w:textDirection w:val="btLr"/>
            <w:vAlign w:val="center"/>
          </w:tcPr>
          <w:p w14:paraId="52E0A4EE" w14:textId="77777777" w:rsidR="00277323" w:rsidRPr="000254DF" w:rsidRDefault="00277323" w:rsidP="00B31F98">
            <w:pPr>
              <w:ind w:left="113" w:right="113"/>
              <w:jc w:val="center"/>
              <w:rPr>
                <w:noProof/>
                <w:sz w:val="18"/>
                <w:szCs w:val="18"/>
              </w:rPr>
            </w:pPr>
            <w:r w:rsidRPr="000254DF">
              <w:rPr>
                <w:noProof/>
                <w:sz w:val="18"/>
              </w:rPr>
              <w:t>Daudzums</w:t>
            </w:r>
          </w:p>
        </w:tc>
        <w:tc>
          <w:tcPr>
            <w:tcW w:w="720" w:type="dxa"/>
            <w:tcBorders>
              <w:left w:val="dashSmallGap" w:sz="4" w:space="0" w:color="auto"/>
            </w:tcBorders>
            <w:shd w:val="pct10" w:color="auto" w:fill="auto"/>
            <w:vAlign w:val="center"/>
          </w:tcPr>
          <w:p w14:paraId="0F24335A" w14:textId="77777777" w:rsidR="00277323" w:rsidRPr="000254DF" w:rsidRDefault="00277323" w:rsidP="00B31F98">
            <w:pPr>
              <w:jc w:val="center"/>
              <w:rPr>
                <w:noProof/>
                <w:sz w:val="18"/>
                <w:szCs w:val="18"/>
              </w:rPr>
            </w:pPr>
            <w:r w:rsidRPr="000254DF">
              <w:rPr>
                <w:noProof/>
                <w:sz w:val="18"/>
              </w:rPr>
              <w:t>Izmaksas</w:t>
            </w:r>
          </w:p>
        </w:tc>
        <w:tc>
          <w:tcPr>
            <w:tcW w:w="540" w:type="dxa"/>
            <w:tcBorders>
              <w:right w:val="dashSmallGap" w:sz="4" w:space="0" w:color="auto"/>
            </w:tcBorders>
            <w:shd w:val="pct10" w:color="auto" w:fill="auto"/>
            <w:textDirection w:val="btLr"/>
            <w:vAlign w:val="center"/>
          </w:tcPr>
          <w:p w14:paraId="7AD2C4F4" w14:textId="77777777" w:rsidR="00277323" w:rsidRPr="000254DF" w:rsidRDefault="00277323" w:rsidP="00B31F98">
            <w:pPr>
              <w:ind w:left="113" w:right="113"/>
              <w:jc w:val="center"/>
              <w:rPr>
                <w:noProof/>
                <w:sz w:val="18"/>
                <w:szCs w:val="18"/>
              </w:rPr>
            </w:pPr>
            <w:r w:rsidRPr="000254DF">
              <w:rPr>
                <w:noProof/>
                <w:sz w:val="18"/>
              </w:rPr>
              <w:t>Daudzums</w:t>
            </w:r>
          </w:p>
        </w:tc>
        <w:tc>
          <w:tcPr>
            <w:tcW w:w="720" w:type="dxa"/>
            <w:tcBorders>
              <w:left w:val="dashSmallGap" w:sz="4" w:space="0" w:color="auto"/>
            </w:tcBorders>
            <w:shd w:val="pct10" w:color="auto" w:fill="auto"/>
            <w:vAlign w:val="center"/>
          </w:tcPr>
          <w:p w14:paraId="02DACCDD" w14:textId="77777777" w:rsidR="00277323" w:rsidRPr="000254DF" w:rsidRDefault="00277323" w:rsidP="00B31F98">
            <w:pPr>
              <w:jc w:val="center"/>
              <w:rPr>
                <w:noProof/>
                <w:sz w:val="18"/>
                <w:szCs w:val="18"/>
              </w:rPr>
            </w:pPr>
            <w:r w:rsidRPr="000254DF">
              <w:rPr>
                <w:noProof/>
                <w:sz w:val="18"/>
              </w:rPr>
              <w:t>Izmaksas</w:t>
            </w:r>
          </w:p>
        </w:tc>
        <w:tc>
          <w:tcPr>
            <w:tcW w:w="720" w:type="dxa"/>
            <w:tcBorders>
              <w:right w:val="dashSmallGap" w:sz="4" w:space="0" w:color="auto"/>
            </w:tcBorders>
            <w:shd w:val="pct10" w:color="auto" w:fill="auto"/>
            <w:vAlign w:val="center"/>
          </w:tcPr>
          <w:p w14:paraId="1EF1F674" w14:textId="77777777" w:rsidR="00277323" w:rsidRPr="000254DF" w:rsidRDefault="00277323" w:rsidP="00B31F98">
            <w:pPr>
              <w:jc w:val="center"/>
              <w:rPr>
                <w:noProof/>
                <w:sz w:val="18"/>
                <w:szCs w:val="18"/>
              </w:rPr>
            </w:pPr>
            <w:r w:rsidRPr="000254DF">
              <w:rPr>
                <w:noProof/>
                <w:sz w:val="18"/>
              </w:rPr>
              <w:t>Kopējais daudzums</w:t>
            </w:r>
          </w:p>
        </w:tc>
        <w:tc>
          <w:tcPr>
            <w:tcW w:w="900" w:type="dxa"/>
            <w:tcBorders>
              <w:left w:val="dashSmallGap" w:sz="4" w:space="0" w:color="auto"/>
            </w:tcBorders>
            <w:shd w:val="pct10" w:color="auto" w:fill="auto"/>
            <w:vAlign w:val="center"/>
          </w:tcPr>
          <w:p w14:paraId="43889483" w14:textId="77777777" w:rsidR="00277323" w:rsidRPr="000254DF" w:rsidRDefault="00277323" w:rsidP="00B31F98">
            <w:pPr>
              <w:jc w:val="center"/>
              <w:rPr>
                <w:noProof/>
                <w:sz w:val="18"/>
                <w:szCs w:val="18"/>
              </w:rPr>
            </w:pPr>
            <w:r w:rsidRPr="000254DF">
              <w:rPr>
                <w:noProof/>
                <w:sz w:val="18"/>
              </w:rPr>
              <w:t>Kopējās izmaksas</w:t>
            </w:r>
          </w:p>
        </w:tc>
      </w:tr>
      <w:tr w:rsidR="00277323" w:rsidRPr="000254DF" w14:paraId="6EB6BAE8" w14:textId="77777777" w:rsidTr="00B31F98">
        <w:trPr>
          <w:jc w:val="center"/>
        </w:trPr>
        <w:tc>
          <w:tcPr>
            <w:tcW w:w="2844" w:type="dxa"/>
            <w:gridSpan w:val="3"/>
            <w:vAlign w:val="center"/>
          </w:tcPr>
          <w:p w14:paraId="1067083B" w14:textId="77777777" w:rsidR="00277323" w:rsidRPr="000254DF" w:rsidRDefault="00277323" w:rsidP="00B31F98">
            <w:pPr>
              <w:spacing w:before="60" w:after="60"/>
              <w:ind w:right="-29"/>
              <w:jc w:val="center"/>
              <w:rPr>
                <w:noProof/>
                <w:sz w:val="18"/>
                <w:szCs w:val="18"/>
              </w:rPr>
            </w:pPr>
            <w:r w:rsidRPr="000254DF">
              <w:rPr>
                <w:noProof/>
                <w:sz w:val="18"/>
              </w:rPr>
              <w:t>KONKRĒTAIS MĒRĶIS Nr. 1</w:t>
            </w:r>
            <w:r w:rsidRPr="000254DF">
              <w:rPr>
                <w:rStyle w:val="FootnoteReference"/>
                <w:noProof/>
                <w:sz w:val="18"/>
              </w:rPr>
              <w:footnoteReference w:id="10"/>
            </w:r>
            <w:r w:rsidRPr="000254DF">
              <w:rPr>
                <w:noProof/>
                <w:sz w:val="18"/>
              </w:rPr>
              <w:t xml:space="preserve"> ...</w:t>
            </w:r>
          </w:p>
        </w:tc>
        <w:tc>
          <w:tcPr>
            <w:tcW w:w="504" w:type="dxa"/>
            <w:tcBorders>
              <w:top w:val="nil"/>
              <w:left w:val="nil"/>
              <w:bottom w:val="nil"/>
              <w:right w:val="nil"/>
            </w:tcBorders>
          </w:tcPr>
          <w:p w14:paraId="5BB37322"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0E54C5EF" w14:textId="77777777" w:rsidR="00277323" w:rsidRPr="000254DF" w:rsidRDefault="00277323" w:rsidP="00B31F98">
            <w:pPr>
              <w:spacing w:before="60" w:after="60"/>
              <w:ind w:right="-29"/>
              <w:jc w:val="center"/>
              <w:rPr>
                <w:noProof/>
                <w:sz w:val="18"/>
                <w:szCs w:val="18"/>
              </w:rPr>
            </w:pPr>
          </w:p>
        </w:tc>
        <w:tc>
          <w:tcPr>
            <w:tcW w:w="540" w:type="dxa"/>
            <w:tcBorders>
              <w:top w:val="nil"/>
              <w:left w:val="nil"/>
              <w:bottom w:val="nil"/>
              <w:right w:val="nil"/>
            </w:tcBorders>
          </w:tcPr>
          <w:p w14:paraId="653A087C"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7E6472C1"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6E936406"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27713B95" w14:textId="77777777" w:rsidR="00277323" w:rsidRPr="000254DF" w:rsidRDefault="00277323" w:rsidP="00B31F98">
            <w:pPr>
              <w:spacing w:before="60" w:after="60"/>
              <w:ind w:right="-29"/>
              <w:jc w:val="center"/>
              <w:rPr>
                <w:noProof/>
                <w:sz w:val="18"/>
                <w:szCs w:val="18"/>
              </w:rPr>
            </w:pPr>
          </w:p>
        </w:tc>
        <w:tc>
          <w:tcPr>
            <w:tcW w:w="900" w:type="dxa"/>
            <w:tcBorders>
              <w:top w:val="nil"/>
              <w:left w:val="nil"/>
              <w:bottom w:val="nil"/>
              <w:right w:val="nil"/>
            </w:tcBorders>
          </w:tcPr>
          <w:p w14:paraId="3E079148" w14:textId="77777777" w:rsidR="00277323" w:rsidRPr="000254DF" w:rsidRDefault="00277323" w:rsidP="00B31F98">
            <w:pPr>
              <w:spacing w:before="60" w:after="60"/>
              <w:ind w:right="-29"/>
              <w:jc w:val="center"/>
              <w:rPr>
                <w:noProof/>
                <w:sz w:val="18"/>
                <w:szCs w:val="18"/>
              </w:rPr>
            </w:pPr>
          </w:p>
        </w:tc>
        <w:tc>
          <w:tcPr>
            <w:tcW w:w="720" w:type="dxa"/>
            <w:gridSpan w:val="2"/>
            <w:tcBorders>
              <w:top w:val="nil"/>
              <w:left w:val="nil"/>
              <w:bottom w:val="nil"/>
              <w:right w:val="nil"/>
            </w:tcBorders>
          </w:tcPr>
          <w:p w14:paraId="435D3BF1" w14:textId="77777777" w:rsidR="00277323" w:rsidRPr="000254DF" w:rsidRDefault="00277323" w:rsidP="00B31F98">
            <w:pPr>
              <w:spacing w:before="60" w:after="60"/>
              <w:ind w:right="-29"/>
              <w:jc w:val="center"/>
              <w:rPr>
                <w:noProof/>
                <w:sz w:val="18"/>
                <w:szCs w:val="18"/>
              </w:rPr>
            </w:pPr>
          </w:p>
        </w:tc>
        <w:tc>
          <w:tcPr>
            <w:tcW w:w="540" w:type="dxa"/>
            <w:tcBorders>
              <w:top w:val="nil"/>
              <w:left w:val="nil"/>
              <w:bottom w:val="nil"/>
              <w:right w:val="nil"/>
            </w:tcBorders>
          </w:tcPr>
          <w:p w14:paraId="6AD15CA6" w14:textId="77777777" w:rsidR="00277323" w:rsidRPr="000254DF" w:rsidRDefault="00277323" w:rsidP="00B31F98">
            <w:pPr>
              <w:spacing w:before="60" w:after="60"/>
              <w:ind w:right="-29"/>
              <w:jc w:val="center"/>
              <w:rPr>
                <w:noProof/>
                <w:sz w:val="18"/>
                <w:szCs w:val="18"/>
              </w:rPr>
            </w:pPr>
          </w:p>
        </w:tc>
        <w:tc>
          <w:tcPr>
            <w:tcW w:w="648" w:type="dxa"/>
            <w:tcBorders>
              <w:top w:val="nil"/>
              <w:left w:val="nil"/>
              <w:bottom w:val="nil"/>
              <w:right w:val="nil"/>
            </w:tcBorders>
          </w:tcPr>
          <w:p w14:paraId="7CDC2CCF" w14:textId="77777777" w:rsidR="00277323" w:rsidRPr="000254DF" w:rsidRDefault="00277323" w:rsidP="00B31F98">
            <w:pPr>
              <w:spacing w:before="60" w:after="60"/>
              <w:ind w:right="-29"/>
              <w:jc w:val="center"/>
              <w:rPr>
                <w:noProof/>
                <w:sz w:val="18"/>
                <w:szCs w:val="18"/>
              </w:rPr>
            </w:pPr>
          </w:p>
        </w:tc>
        <w:tc>
          <w:tcPr>
            <w:tcW w:w="432" w:type="dxa"/>
            <w:tcBorders>
              <w:top w:val="nil"/>
              <w:left w:val="nil"/>
              <w:bottom w:val="nil"/>
              <w:right w:val="nil"/>
            </w:tcBorders>
          </w:tcPr>
          <w:p w14:paraId="25AFFF9B"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6BEDA144" w14:textId="77777777" w:rsidR="00277323" w:rsidRPr="000254DF" w:rsidRDefault="00277323" w:rsidP="00B31F98">
            <w:pPr>
              <w:spacing w:before="60" w:after="60"/>
              <w:ind w:right="-29"/>
              <w:jc w:val="center"/>
              <w:rPr>
                <w:noProof/>
                <w:sz w:val="18"/>
                <w:szCs w:val="18"/>
              </w:rPr>
            </w:pPr>
          </w:p>
        </w:tc>
        <w:tc>
          <w:tcPr>
            <w:tcW w:w="540" w:type="dxa"/>
            <w:tcBorders>
              <w:top w:val="nil"/>
              <w:left w:val="nil"/>
              <w:bottom w:val="nil"/>
              <w:right w:val="nil"/>
            </w:tcBorders>
          </w:tcPr>
          <w:p w14:paraId="1650A43E"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2EB99FCA"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2233C3E1" w14:textId="77777777" w:rsidR="00277323" w:rsidRPr="000254DF" w:rsidRDefault="00277323" w:rsidP="00B31F98">
            <w:pPr>
              <w:spacing w:before="60" w:after="60"/>
              <w:ind w:right="-29"/>
              <w:jc w:val="center"/>
              <w:rPr>
                <w:noProof/>
                <w:sz w:val="18"/>
                <w:szCs w:val="18"/>
              </w:rPr>
            </w:pPr>
          </w:p>
        </w:tc>
        <w:tc>
          <w:tcPr>
            <w:tcW w:w="900" w:type="dxa"/>
            <w:tcBorders>
              <w:top w:val="nil"/>
              <w:left w:val="nil"/>
              <w:bottom w:val="nil"/>
              <w:right w:val="nil"/>
            </w:tcBorders>
          </w:tcPr>
          <w:p w14:paraId="36EE4AC2" w14:textId="77777777" w:rsidR="00277323" w:rsidRPr="000254DF" w:rsidRDefault="00277323" w:rsidP="00B31F98">
            <w:pPr>
              <w:spacing w:before="60" w:after="60"/>
              <w:ind w:right="-29"/>
              <w:jc w:val="center"/>
              <w:rPr>
                <w:noProof/>
                <w:sz w:val="18"/>
                <w:szCs w:val="18"/>
              </w:rPr>
            </w:pPr>
          </w:p>
        </w:tc>
      </w:tr>
      <w:tr w:rsidR="00277323" w:rsidRPr="000254DF" w14:paraId="04009154" w14:textId="77777777" w:rsidTr="00B31F98">
        <w:trPr>
          <w:trHeight w:hRule="exact" w:val="369"/>
          <w:jc w:val="center"/>
        </w:trPr>
        <w:tc>
          <w:tcPr>
            <w:tcW w:w="1423" w:type="dxa"/>
          </w:tcPr>
          <w:p w14:paraId="732D4C97" w14:textId="77777777" w:rsidR="00277323" w:rsidRPr="000254DF" w:rsidRDefault="00277323" w:rsidP="00B31F98">
            <w:pPr>
              <w:ind w:right="-29"/>
              <w:jc w:val="center"/>
              <w:rPr>
                <w:noProof/>
                <w:sz w:val="18"/>
                <w:szCs w:val="18"/>
              </w:rPr>
            </w:pPr>
            <w:r w:rsidRPr="000254DF">
              <w:rPr>
                <w:noProof/>
                <w:sz w:val="18"/>
              </w:rPr>
              <w:t>0 Iznākums</w:t>
            </w:r>
          </w:p>
        </w:tc>
        <w:tc>
          <w:tcPr>
            <w:tcW w:w="720" w:type="dxa"/>
          </w:tcPr>
          <w:p w14:paraId="2BE035DE" w14:textId="77777777" w:rsidR="00277323" w:rsidRPr="000254DF" w:rsidRDefault="00277323" w:rsidP="00B31F98">
            <w:pPr>
              <w:ind w:right="-29"/>
              <w:jc w:val="center"/>
              <w:rPr>
                <w:noProof/>
                <w:sz w:val="18"/>
                <w:szCs w:val="18"/>
              </w:rPr>
            </w:pPr>
          </w:p>
        </w:tc>
        <w:tc>
          <w:tcPr>
            <w:tcW w:w="701" w:type="dxa"/>
          </w:tcPr>
          <w:p w14:paraId="537F469C" w14:textId="77777777" w:rsidR="00277323" w:rsidRPr="000254DF" w:rsidRDefault="00277323" w:rsidP="00B31F98">
            <w:pPr>
              <w:ind w:right="-29"/>
              <w:jc w:val="center"/>
              <w:rPr>
                <w:noProof/>
                <w:sz w:val="18"/>
                <w:szCs w:val="18"/>
              </w:rPr>
            </w:pPr>
          </w:p>
        </w:tc>
        <w:tc>
          <w:tcPr>
            <w:tcW w:w="504" w:type="dxa"/>
            <w:tcBorders>
              <w:right w:val="dashSmallGap" w:sz="4" w:space="0" w:color="auto"/>
            </w:tcBorders>
          </w:tcPr>
          <w:p w14:paraId="54C4BB04"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1A477B52" w14:textId="77777777" w:rsidR="00277323" w:rsidRPr="000254DF" w:rsidRDefault="00277323" w:rsidP="00B31F98">
            <w:pPr>
              <w:ind w:right="-29"/>
              <w:jc w:val="center"/>
              <w:rPr>
                <w:noProof/>
                <w:sz w:val="18"/>
                <w:szCs w:val="18"/>
              </w:rPr>
            </w:pPr>
          </w:p>
        </w:tc>
        <w:tc>
          <w:tcPr>
            <w:tcW w:w="540" w:type="dxa"/>
            <w:tcBorders>
              <w:right w:val="dashSmallGap" w:sz="4" w:space="0" w:color="auto"/>
            </w:tcBorders>
          </w:tcPr>
          <w:p w14:paraId="4352BDB9"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5845403E" w14:textId="77777777" w:rsidR="00277323" w:rsidRPr="000254DF" w:rsidRDefault="00277323" w:rsidP="00B31F98">
            <w:pPr>
              <w:ind w:right="-29"/>
              <w:jc w:val="center"/>
              <w:rPr>
                <w:noProof/>
                <w:sz w:val="18"/>
                <w:szCs w:val="18"/>
              </w:rPr>
            </w:pPr>
          </w:p>
        </w:tc>
        <w:tc>
          <w:tcPr>
            <w:tcW w:w="720" w:type="dxa"/>
            <w:tcBorders>
              <w:right w:val="dashSmallGap" w:sz="4" w:space="0" w:color="auto"/>
            </w:tcBorders>
          </w:tcPr>
          <w:p w14:paraId="73BE62C9"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69E0B82C" w14:textId="77777777" w:rsidR="00277323" w:rsidRPr="000254DF" w:rsidRDefault="00277323" w:rsidP="00B31F98">
            <w:pPr>
              <w:ind w:right="-29"/>
              <w:jc w:val="center"/>
              <w:rPr>
                <w:noProof/>
                <w:sz w:val="18"/>
                <w:szCs w:val="18"/>
              </w:rPr>
            </w:pPr>
          </w:p>
        </w:tc>
        <w:tc>
          <w:tcPr>
            <w:tcW w:w="900" w:type="dxa"/>
            <w:tcBorders>
              <w:right w:val="dashSmallGap" w:sz="4" w:space="0" w:color="auto"/>
            </w:tcBorders>
          </w:tcPr>
          <w:p w14:paraId="6D065343" w14:textId="77777777" w:rsidR="00277323" w:rsidRPr="000254DF" w:rsidRDefault="00277323" w:rsidP="00B31F98">
            <w:pPr>
              <w:ind w:right="-29"/>
              <w:jc w:val="center"/>
              <w:rPr>
                <w:noProof/>
                <w:sz w:val="18"/>
                <w:szCs w:val="18"/>
              </w:rPr>
            </w:pPr>
          </w:p>
        </w:tc>
        <w:tc>
          <w:tcPr>
            <w:tcW w:w="720" w:type="dxa"/>
            <w:gridSpan w:val="2"/>
            <w:tcBorders>
              <w:left w:val="dashSmallGap" w:sz="4" w:space="0" w:color="auto"/>
            </w:tcBorders>
          </w:tcPr>
          <w:p w14:paraId="26B52508" w14:textId="77777777" w:rsidR="00277323" w:rsidRPr="000254DF" w:rsidRDefault="00277323" w:rsidP="00B31F98">
            <w:pPr>
              <w:ind w:right="-29"/>
              <w:jc w:val="center"/>
              <w:rPr>
                <w:noProof/>
                <w:sz w:val="18"/>
                <w:szCs w:val="18"/>
              </w:rPr>
            </w:pPr>
          </w:p>
        </w:tc>
        <w:tc>
          <w:tcPr>
            <w:tcW w:w="540" w:type="dxa"/>
            <w:tcBorders>
              <w:right w:val="dashSmallGap" w:sz="4" w:space="0" w:color="auto"/>
            </w:tcBorders>
          </w:tcPr>
          <w:p w14:paraId="0E5A68C5" w14:textId="77777777" w:rsidR="00277323" w:rsidRPr="000254DF" w:rsidRDefault="00277323" w:rsidP="00B31F98">
            <w:pPr>
              <w:ind w:right="-29"/>
              <w:jc w:val="center"/>
              <w:rPr>
                <w:noProof/>
                <w:sz w:val="18"/>
                <w:szCs w:val="18"/>
              </w:rPr>
            </w:pPr>
          </w:p>
        </w:tc>
        <w:tc>
          <w:tcPr>
            <w:tcW w:w="648" w:type="dxa"/>
            <w:tcBorders>
              <w:left w:val="dashSmallGap" w:sz="4" w:space="0" w:color="auto"/>
            </w:tcBorders>
          </w:tcPr>
          <w:p w14:paraId="3D71FE45" w14:textId="77777777" w:rsidR="00277323" w:rsidRPr="000254DF" w:rsidRDefault="00277323" w:rsidP="00B31F98">
            <w:pPr>
              <w:ind w:right="-29"/>
              <w:jc w:val="center"/>
              <w:rPr>
                <w:noProof/>
                <w:sz w:val="18"/>
                <w:szCs w:val="18"/>
              </w:rPr>
            </w:pPr>
          </w:p>
        </w:tc>
        <w:tc>
          <w:tcPr>
            <w:tcW w:w="432" w:type="dxa"/>
            <w:tcBorders>
              <w:right w:val="dashSmallGap" w:sz="4" w:space="0" w:color="auto"/>
            </w:tcBorders>
          </w:tcPr>
          <w:p w14:paraId="59347974"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4D242F8E" w14:textId="77777777" w:rsidR="00277323" w:rsidRPr="000254DF" w:rsidRDefault="00277323" w:rsidP="00B31F98">
            <w:pPr>
              <w:ind w:right="-29"/>
              <w:jc w:val="center"/>
              <w:rPr>
                <w:noProof/>
                <w:sz w:val="18"/>
                <w:szCs w:val="18"/>
              </w:rPr>
            </w:pPr>
          </w:p>
        </w:tc>
        <w:tc>
          <w:tcPr>
            <w:tcW w:w="540" w:type="dxa"/>
            <w:tcBorders>
              <w:right w:val="dashSmallGap" w:sz="4" w:space="0" w:color="auto"/>
            </w:tcBorders>
          </w:tcPr>
          <w:p w14:paraId="00414151"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62737506" w14:textId="77777777" w:rsidR="00277323" w:rsidRPr="000254DF" w:rsidRDefault="00277323" w:rsidP="00B31F98">
            <w:pPr>
              <w:ind w:right="-29"/>
              <w:jc w:val="center"/>
              <w:rPr>
                <w:noProof/>
                <w:sz w:val="18"/>
                <w:szCs w:val="18"/>
              </w:rPr>
            </w:pPr>
          </w:p>
        </w:tc>
        <w:tc>
          <w:tcPr>
            <w:tcW w:w="720" w:type="dxa"/>
          </w:tcPr>
          <w:p w14:paraId="025D54A8" w14:textId="77777777" w:rsidR="00277323" w:rsidRPr="000254DF" w:rsidRDefault="00277323" w:rsidP="00B31F98">
            <w:pPr>
              <w:ind w:right="-29"/>
              <w:jc w:val="center"/>
              <w:rPr>
                <w:noProof/>
                <w:sz w:val="18"/>
                <w:szCs w:val="18"/>
              </w:rPr>
            </w:pPr>
          </w:p>
        </w:tc>
        <w:tc>
          <w:tcPr>
            <w:tcW w:w="900" w:type="dxa"/>
          </w:tcPr>
          <w:p w14:paraId="51855AFE" w14:textId="77777777" w:rsidR="00277323" w:rsidRPr="000254DF" w:rsidRDefault="00277323" w:rsidP="00B31F98">
            <w:pPr>
              <w:ind w:right="-29"/>
              <w:jc w:val="center"/>
              <w:rPr>
                <w:noProof/>
                <w:sz w:val="18"/>
                <w:szCs w:val="18"/>
              </w:rPr>
            </w:pPr>
          </w:p>
        </w:tc>
      </w:tr>
      <w:tr w:rsidR="00277323" w:rsidRPr="000254DF" w14:paraId="4037FD71" w14:textId="77777777" w:rsidTr="00B31F98">
        <w:trPr>
          <w:trHeight w:hRule="exact" w:val="369"/>
          <w:jc w:val="center"/>
        </w:trPr>
        <w:tc>
          <w:tcPr>
            <w:tcW w:w="1423" w:type="dxa"/>
          </w:tcPr>
          <w:p w14:paraId="24D3FFD6" w14:textId="77777777" w:rsidR="00277323" w:rsidRPr="000254DF" w:rsidRDefault="00277323" w:rsidP="00B31F98">
            <w:pPr>
              <w:ind w:right="-29"/>
              <w:jc w:val="center"/>
              <w:rPr>
                <w:noProof/>
                <w:sz w:val="18"/>
                <w:szCs w:val="18"/>
              </w:rPr>
            </w:pPr>
            <w:r w:rsidRPr="000254DF">
              <w:rPr>
                <w:noProof/>
                <w:sz w:val="18"/>
              </w:rPr>
              <w:t>0 Iznākums</w:t>
            </w:r>
          </w:p>
        </w:tc>
        <w:tc>
          <w:tcPr>
            <w:tcW w:w="720" w:type="dxa"/>
          </w:tcPr>
          <w:p w14:paraId="740A70AF" w14:textId="77777777" w:rsidR="00277323" w:rsidRPr="000254DF" w:rsidRDefault="00277323" w:rsidP="00B31F98">
            <w:pPr>
              <w:ind w:right="-29"/>
              <w:jc w:val="center"/>
              <w:rPr>
                <w:noProof/>
                <w:sz w:val="18"/>
                <w:szCs w:val="18"/>
              </w:rPr>
            </w:pPr>
          </w:p>
        </w:tc>
        <w:tc>
          <w:tcPr>
            <w:tcW w:w="701" w:type="dxa"/>
          </w:tcPr>
          <w:p w14:paraId="4F91CF67" w14:textId="77777777" w:rsidR="00277323" w:rsidRPr="000254DF" w:rsidRDefault="00277323" w:rsidP="00B31F98">
            <w:pPr>
              <w:ind w:right="-29"/>
              <w:jc w:val="center"/>
              <w:rPr>
                <w:noProof/>
                <w:sz w:val="18"/>
                <w:szCs w:val="18"/>
              </w:rPr>
            </w:pPr>
          </w:p>
        </w:tc>
        <w:tc>
          <w:tcPr>
            <w:tcW w:w="504" w:type="dxa"/>
            <w:tcBorders>
              <w:right w:val="dashSmallGap" w:sz="4" w:space="0" w:color="auto"/>
            </w:tcBorders>
          </w:tcPr>
          <w:p w14:paraId="27CE7690"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36A74B7A" w14:textId="77777777" w:rsidR="00277323" w:rsidRPr="000254DF" w:rsidRDefault="00277323" w:rsidP="00B31F98">
            <w:pPr>
              <w:ind w:right="-29"/>
              <w:jc w:val="center"/>
              <w:rPr>
                <w:noProof/>
                <w:sz w:val="18"/>
                <w:szCs w:val="18"/>
              </w:rPr>
            </w:pPr>
          </w:p>
        </w:tc>
        <w:tc>
          <w:tcPr>
            <w:tcW w:w="540" w:type="dxa"/>
            <w:tcBorders>
              <w:right w:val="dashSmallGap" w:sz="4" w:space="0" w:color="auto"/>
            </w:tcBorders>
          </w:tcPr>
          <w:p w14:paraId="4B076701"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7607697A" w14:textId="77777777" w:rsidR="00277323" w:rsidRPr="000254DF" w:rsidRDefault="00277323" w:rsidP="00B31F98">
            <w:pPr>
              <w:ind w:right="-29"/>
              <w:jc w:val="center"/>
              <w:rPr>
                <w:noProof/>
                <w:sz w:val="18"/>
                <w:szCs w:val="18"/>
              </w:rPr>
            </w:pPr>
          </w:p>
        </w:tc>
        <w:tc>
          <w:tcPr>
            <w:tcW w:w="720" w:type="dxa"/>
            <w:tcBorders>
              <w:right w:val="dashSmallGap" w:sz="4" w:space="0" w:color="auto"/>
            </w:tcBorders>
          </w:tcPr>
          <w:p w14:paraId="15665E8A"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1345994B" w14:textId="77777777" w:rsidR="00277323" w:rsidRPr="000254DF" w:rsidRDefault="00277323" w:rsidP="00B31F98">
            <w:pPr>
              <w:ind w:right="-29"/>
              <w:jc w:val="center"/>
              <w:rPr>
                <w:noProof/>
                <w:sz w:val="18"/>
                <w:szCs w:val="18"/>
              </w:rPr>
            </w:pPr>
          </w:p>
        </w:tc>
        <w:tc>
          <w:tcPr>
            <w:tcW w:w="900" w:type="dxa"/>
            <w:tcBorders>
              <w:right w:val="dashSmallGap" w:sz="4" w:space="0" w:color="auto"/>
            </w:tcBorders>
          </w:tcPr>
          <w:p w14:paraId="70169ED2" w14:textId="77777777" w:rsidR="00277323" w:rsidRPr="000254DF" w:rsidRDefault="00277323" w:rsidP="00B31F98">
            <w:pPr>
              <w:ind w:right="-29"/>
              <w:jc w:val="center"/>
              <w:rPr>
                <w:noProof/>
                <w:sz w:val="18"/>
                <w:szCs w:val="18"/>
              </w:rPr>
            </w:pPr>
          </w:p>
        </w:tc>
        <w:tc>
          <w:tcPr>
            <w:tcW w:w="720" w:type="dxa"/>
            <w:gridSpan w:val="2"/>
            <w:tcBorders>
              <w:left w:val="dashSmallGap" w:sz="4" w:space="0" w:color="auto"/>
            </w:tcBorders>
          </w:tcPr>
          <w:p w14:paraId="2ED7D08E" w14:textId="77777777" w:rsidR="00277323" w:rsidRPr="000254DF" w:rsidRDefault="00277323" w:rsidP="00B31F98">
            <w:pPr>
              <w:ind w:right="-29"/>
              <w:jc w:val="center"/>
              <w:rPr>
                <w:noProof/>
                <w:sz w:val="18"/>
                <w:szCs w:val="18"/>
              </w:rPr>
            </w:pPr>
          </w:p>
        </w:tc>
        <w:tc>
          <w:tcPr>
            <w:tcW w:w="540" w:type="dxa"/>
            <w:tcBorders>
              <w:right w:val="dashSmallGap" w:sz="4" w:space="0" w:color="auto"/>
            </w:tcBorders>
          </w:tcPr>
          <w:p w14:paraId="2868B194" w14:textId="77777777" w:rsidR="00277323" w:rsidRPr="000254DF" w:rsidRDefault="00277323" w:rsidP="00B31F98">
            <w:pPr>
              <w:ind w:right="-29"/>
              <w:jc w:val="center"/>
              <w:rPr>
                <w:noProof/>
                <w:sz w:val="18"/>
                <w:szCs w:val="18"/>
              </w:rPr>
            </w:pPr>
          </w:p>
        </w:tc>
        <w:tc>
          <w:tcPr>
            <w:tcW w:w="648" w:type="dxa"/>
            <w:tcBorders>
              <w:left w:val="dashSmallGap" w:sz="4" w:space="0" w:color="auto"/>
            </w:tcBorders>
          </w:tcPr>
          <w:p w14:paraId="53713403" w14:textId="77777777" w:rsidR="00277323" w:rsidRPr="000254DF" w:rsidRDefault="00277323" w:rsidP="00B31F98">
            <w:pPr>
              <w:ind w:right="-29"/>
              <w:jc w:val="center"/>
              <w:rPr>
                <w:noProof/>
                <w:sz w:val="18"/>
                <w:szCs w:val="18"/>
              </w:rPr>
            </w:pPr>
          </w:p>
        </w:tc>
        <w:tc>
          <w:tcPr>
            <w:tcW w:w="432" w:type="dxa"/>
            <w:tcBorders>
              <w:right w:val="dashSmallGap" w:sz="4" w:space="0" w:color="auto"/>
            </w:tcBorders>
          </w:tcPr>
          <w:p w14:paraId="38E5283D"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4A457B22" w14:textId="77777777" w:rsidR="00277323" w:rsidRPr="000254DF" w:rsidRDefault="00277323" w:rsidP="00B31F98">
            <w:pPr>
              <w:ind w:right="-29"/>
              <w:jc w:val="center"/>
              <w:rPr>
                <w:noProof/>
                <w:sz w:val="18"/>
                <w:szCs w:val="18"/>
              </w:rPr>
            </w:pPr>
          </w:p>
        </w:tc>
        <w:tc>
          <w:tcPr>
            <w:tcW w:w="540" w:type="dxa"/>
            <w:tcBorders>
              <w:right w:val="dashSmallGap" w:sz="4" w:space="0" w:color="auto"/>
            </w:tcBorders>
          </w:tcPr>
          <w:p w14:paraId="6691B26C" w14:textId="77777777" w:rsidR="00277323" w:rsidRPr="000254DF" w:rsidRDefault="00277323" w:rsidP="00B31F98">
            <w:pPr>
              <w:ind w:right="-29"/>
              <w:jc w:val="center"/>
              <w:rPr>
                <w:noProof/>
                <w:sz w:val="18"/>
                <w:szCs w:val="18"/>
              </w:rPr>
            </w:pPr>
          </w:p>
        </w:tc>
        <w:tc>
          <w:tcPr>
            <w:tcW w:w="720" w:type="dxa"/>
            <w:tcBorders>
              <w:left w:val="dashSmallGap" w:sz="4" w:space="0" w:color="auto"/>
            </w:tcBorders>
          </w:tcPr>
          <w:p w14:paraId="7E76C8B9" w14:textId="77777777" w:rsidR="00277323" w:rsidRPr="000254DF" w:rsidRDefault="00277323" w:rsidP="00B31F98">
            <w:pPr>
              <w:ind w:right="-29"/>
              <w:jc w:val="center"/>
              <w:rPr>
                <w:noProof/>
                <w:sz w:val="18"/>
                <w:szCs w:val="18"/>
              </w:rPr>
            </w:pPr>
          </w:p>
        </w:tc>
        <w:tc>
          <w:tcPr>
            <w:tcW w:w="720" w:type="dxa"/>
          </w:tcPr>
          <w:p w14:paraId="2DFF6C33" w14:textId="77777777" w:rsidR="00277323" w:rsidRPr="000254DF" w:rsidRDefault="00277323" w:rsidP="00B31F98">
            <w:pPr>
              <w:ind w:right="-29"/>
              <w:jc w:val="center"/>
              <w:rPr>
                <w:noProof/>
                <w:sz w:val="18"/>
                <w:szCs w:val="18"/>
              </w:rPr>
            </w:pPr>
          </w:p>
        </w:tc>
        <w:tc>
          <w:tcPr>
            <w:tcW w:w="900" w:type="dxa"/>
          </w:tcPr>
          <w:p w14:paraId="3AE6B845" w14:textId="77777777" w:rsidR="00277323" w:rsidRPr="000254DF" w:rsidRDefault="00277323" w:rsidP="00B31F98">
            <w:pPr>
              <w:ind w:right="-29"/>
              <w:jc w:val="center"/>
              <w:rPr>
                <w:noProof/>
                <w:sz w:val="18"/>
                <w:szCs w:val="18"/>
              </w:rPr>
            </w:pPr>
          </w:p>
        </w:tc>
      </w:tr>
      <w:tr w:rsidR="00277323" w:rsidRPr="000254DF" w14:paraId="7F9C9C0C" w14:textId="77777777" w:rsidTr="00B31F98">
        <w:trPr>
          <w:trHeight w:hRule="exact" w:val="369"/>
          <w:jc w:val="center"/>
        </w:trPr>
        <w:tc>
          <w:tcPr>
            <w:tcW w:w="1423" w:type="dxa"/>
          </w:tcPr>
          <w:p w14:paraId="3F02B1BE" w14:textId="77777777" w:rsidR="00277323" w:rsidRPr="000254DF" w:rsidRDefault="00277323" w:rsidP="00B31F98">
            <w:pPr>
              <w:ind w:right="-29"/>
              <w:jc w:val="center"/>
              <w:rPr>
                <w:noProof/>
                <w:sz w:val="18"/>
                <w:szCs w:val="18"/>
              </w:rPr>
            </w:pPr>
            <w:r w:rsidRPr="000254DF">
              <w:rPr>
                <w:noProof/>
                <w:sz w:val="18"/>
              </w:rPr>
              <w:t>0 Iznākums</w:t>
            </w:r>
          </w:p>
        </w:tc>
        <w:tc>
          <w:tcPr>
            <w:tcW w:w="720" w:type="dxa"/>
          </w:tcPr>
          <w:p w14:paraId="656989C2" w14:textId="77777777" w:rsidR="00277323" w:rsidRPr="000254DF" w:rsidRDefault="00277323" w:rsidP="00B31F98">
            <w:pPr>
              <w:ind w:right="-29"/>
              <w:jc w:val="center"/>
              <w:rPr>
                <w:noProof/>
                <w:sz w:val="18"/>
                <w:szCs w:val="18"/>
              </w:rPr>
            </w:pPr>
          </w:p>
        </w:tc>
        <w:tc>
          <w:tcPr>
            <w:tcW w:w="701" w:type="dxa"/>
          </w:tcPr>
          <w:p w14:paraId="1CD6B91C" w14:textId="77777777" w:rsidR="00277323" w:rsidRPr="000254DF" w:rsidRDefault="00277323" w:rsidP="00B31F98">
            <w:pPr>
              <w:ind w:right="-29"/>
              <w:jc w:val="center"/>
              <w:rPr>
                <w:noProof/>
                <w:sz w:val="18"/>
                <w:szCs w:val="18"/>
              </w:rPr>
            </w:pPr>
          </w:p>
        </w:tc>
        <w:tc>
          <w:tcPr>
            <w:tcW w:w="504" w:type="dxa"/>
          </w:tcPr>
          <w:p w14:paraId="748834A5" w14:textId="77777777" w:rsidR="00277323" w:rsidRPr="000254DF" w:rsidRDefault="00277323" w:rsidP="00B31F98">
            <w:pPr>
              <w:ind w:right="-29"/>
              <w:jc w:val="center"/>
              <w:rPr>
                <w:noProof/>
                <w:sz w:val="18"/>
                <w:szCs w:val="18"/>
              </w:rPr>
            </w:pPr>
          </w:p>
        </w:tc>
        <w:tc>
          <w:tcPr>
            <w:tcW w:w="720" w:type="dxa"/>
          </w:tcPr>
          <w:p w14:paraId="2858971A" w14:textId="77777777" w:rsidR="00277323" w:rsidRPr="000254DF" w:rsidRDefault="00277323" w:rsidP="00B31F98">
            <w:pPr>
              <w:ind w:right="-29"/>
              <w:jc w:val="center"/>
              <w:rPr>
                <w:noProof/>
                <w:sz w:val="18"/>
                <w:szCs w:val="18"/>
              </w:rPr>
            </w:pPr>
          </w:p>
        </w:tc>
        <w:tc>
          <w:tcPr>
            <w:tcW w:w="540" w:type="dxa"/>
          </w:tcPr>
          <w:p w14:paraId="69A98F58" w14:textId="77777777" w:rsidR="00277323" w:rsidRPr="000254DF" w:rsidRDefault="00277323" w:rsidP="00B31F98">
            <w:pPr>
              <w:ind w:right="-29"/>
              <w:jc w:val="center"/>
              <w:rPr>
                <w:noProof/>
                <w:sz w:val="18"/>
                <w:szCs w:val="18"/>
              </w:rPr>
            </w:pPr>
          </w:p>
        </w:tc>
        <w:tc>
          <w:tcPr>
            <w:tcW w:w="720" w:type="dxa"/>
          </w:tcPr>
          <w:p w14:paraId="28ED0713" w14:textId="77777777" w:rsidR="00277323" w:rsidRPr="000254DF" w:rsidRDefault="00277323" w:rsidP="00B31F98">
            <w:pPr>
              <w:ind w:right="-29"/>
              <w:jc w:val="center"/>
              <w:rPr>
                <w:noProof/>
                <w:sz w:val="18"/>
                <w:szCs w:val="18"/>
              </w:rPr>
            </w:pPr>
          </w:p>
        </w:tc>
        <w:tc>
          <w:tcPr>
            <w:tcW w:w="720" w:type="dxa"/>
          </w:tcPr>
          <w:p w14:paraId="28353128" w14:textId="77777777" w:rsidR="00277323" w:rsidRPr="000254DF" w:rsidRDefault="00277323" w:rsidP="00B31F98">
            <w:pPr>
              <w:ind w:right="-29"/>
              <w:jc w:val="center"/>
              <w:rPr>
                <w:noProof/>
                <w:sz w:val="18"/>
                <w:szCs w:val="18"/>
              </w:rPr>
            </w:pPr>
          </w:p>
        </w:tc>
        <w:tc>
          <w:tcPr>
            <w:tcW w:w="720" w:type="dxa"/>
          </w:tcPr>
          <w:p w14:paraId="1BAB896D" w14:textId="77777777" w:rsidR="00277323" w:rsidRPr="000254DF" w:rsidRDefault="00277323" w:rsidP="00B31F98">
            <w:pPr>
              <w:ind w:right="-29"/>
              <w:jc w:val="center"/>
              <w:rPr>
                <w:noProof/>
                <w:sz w:val="18"/>
                <w:szCs w:val="18"/>
              </w:rPr>
            </w:pPr>
          </w:p>
        </w:tc>
        <w:tc>
          <w:tcPr>
            <w:tcW w:w="900" w:type="dxa"/>
          </w:tcPr>
          <w:p w14:paraId="1EC3CF6D" w14:textId="77777777" w:rsidR="00277323" w:rsidRPr="000254DF" w:rsidRDefault="00277323" w:rsidP="00B31F98">
            <w:pPr>
              <w:ind w:right="-29"/>
              <w:jc w:val="center"/>
              <w:rPr>
                <w:noProof/>
                <w:sz w:val="18"/>
                <w:szCs w:val="18"/>
              </w:rPr>
            </w:pPr>
          </w:p>
        </w:tc>
        <w:tc>
          <w:tcPr>
            <w:tcW w:w="720" w:type="dxa"/>
            <w:gridSpan w:val="2"/>
          </w:tcPr>
          <w:p w14:paraId="58F93E3F" w14:textId="77777777" w:rsidR="00277323" w:rsidRPr="000254DF" w:rsidRDefault="00277323" w:rsidP="00B31F98">
            <w:pPr>
              <w:ind w:right="-29"/>
              <w:jc w:val="center"/>
              <w:rPr>
                <w:noProof/>
                <w:sz w:val="18"/>
                <w:szCs w:val="18"/>
              </w:rPr>
            </w:pPr>
          </w:p>
        </w:tc>
        <w:tc>
          <w:tcPr>
            <w:tcW w:w="540" w:type="dxa"/>
          </w:tcPr>
          <w:p w14:paraId="6CD5D2D2" w14:textId="77777777" w:rsidR="00277323" w:rsidRPr="000254DF" w:rsidRDefault="00277323" w:rsidP="00B31F98">
            <w:pPr>
              <w:ind w:right="-29"/>
              <w:jc w:val="center"/>
              <w:rPr>
                <w:noProof/>
                <w:sz w:val="18"/>
                <w:szCs w:val="18"/>
              </w:rPr>
            </w:pPr>
          </w:p>
        </w:tc>
        <w:tc>
          <w:tcPr>
            <w:tcW w:w="648" w:type="dxa"/>
          </w:tcPr>
          <w:p w14:paraId="6205BD9F" w14:textId="77777777" w:rsidR="00277323" w:rsidRPr="000254DF" w:rsidRDefault="00277323" w:rsidP="00B31F98">
            <w:pPr>
              <w:ind w:right="-29"/>
              <w:jc w:val="center"/>
              <w:rPr>
                <w:noProof/>
                <w:sz w:val="18"/>
                <w:szCs w:val="18"/>
              </w:rPr>
            </w:pPr>
          </w:p>
        </w:tc>
        <w:tc>
          <w:tcPr>
            <w:tcW w:w="432" w:type="dxa"/>
          </w:tcPr>
          <w:p w14:paraId="11485601" w14:textId="77777777" w:rsidR="00277323" w:rsidRPr="000254DF" w:rsidRDefault="00277323" w:rsidP="00B31F98">
            <w:pPr>
              <w:ind w:right="-29"/>
              <w:jc w:val="center"/>
              <w:rPr>
                <w:noProof/>
                <w:sz w:val="18"/>
                <w:szCs w:val="18"/>
              </w:rPr>
            </w:pPr>
          </w:p>
        </w:tc>
        <w:tc>
          <w:tcPr>
            <w:tcW w:w="720" w:type="dxa"/>
          </w:tcPr>
          <w:p w14:paraId="1F1824A7" w14:textId="77777777" w:rsidR="00277323" w:rsidRPr="000254DF" w:rsidRDefault="00277323" w:rsidP="00B31F98">
            <w:pPr>
              <w:ind w:right="-29"/>
              <w:jc w:val="center"/>
              <w:rPr>
                <w:noProof/>
                <w:sz w:val="18"/>
                <w:szCs w:val="18"/>
              </w:rPr>
            </w:pPr>
          </w:p>
        </w:tc>
        <w:tc>
          <w:tcPr>
            <w:tcW w:w="540" w:type="dxa"/>
          </w:tcPr>
          <w:p w14:paraId="7C42EEA9" w14:textId="77777777" w:rsidR="00277323" w:rsidRPr="000254DF" w:rsidRDefault="00277323" w:rsidP="00B31F98">
            <w:pPr>
              <w:ind w:right="-29"/>
              <w:jc w:val="center"/>
              <w:rPr>
                <w:noProof/>
                <w:sz w:val="18"/>
                <w:szCs w:val="18"/>
              </w:rPr>
            </w:pPr>
          </w:p>
        </w:tc>
        <w:tc>
          <w:tcPr>
            <w:tcW w:w="720" w:type="dxa"/>
          </w:tcPr>
          <w:p w14:paraId="2ECABAFD" w14:textId="77777777" w:rsidR="00277323" w:rsidRPr="000254DF" w:rsidRDefault="00277323" w:rsidP="00B31F98">
            <w:pPr>
              <w:ind w:right="-29"/>
              <w:jc w:val="center"/>
              <w:rPr>
                <w:noProof/>
                <w:sz w:val="18"/>
                <w:szCs w:val="18"/>
              </w:rPr>
            </w:pPr>
          </w:p>
        </w:tc>
        <w:tc>
          <w:tcPr>
            <w:tcW w:w="720" w:type="dxa"/>
          </w:tcPr>
          <w:p w14:paraId="32743D79" w14:textId="77777777" w:rsidR="00277323" w:rsidRPr="000254DF" w:rsidRDefault="00277323" w:rsidP="00B31F98">
            <w:pPr>
              <w:ind w:right="-29"/>
              <w:jc w:val="center"/>
              <w:rPr>
                <w:noProof/>
                <w:sz w:val="18"/>
                <w:szCs w:val="18"/>
              </w:rPr>
            </w:pPr>
          </w:p>
        </w:tc>
        <w:tc>
          <w:tcPr>
            <w:tcW w:w="900" w:type="dxa"/>
          </w:tcPr>
          <w:p w14:paraId="30672253" w14:textId="77777777" w:rsidR="00277323" w:rsidRPr="000254DF" w:rsidRDefault="00277323" w:rsidP="00B31F98">
            <w:pPr>
              <w:ind w:right="-29"/>
              <w:jc w:val="center"/>
              <w:rPr>
                <w:noProof/>
                <w:sz w:val="18"/>
                <w:szCs w:val="18"/>
              </w:rPr>
            </w:pPr>
          </w:p>
        </w:tc>
      </w:tr>
      <w:tr w:rsidR="00277323" w:rsidRPr="000254DF" w14:paraId="32EB903B" w14:textId="77777777" w:rsidTr="00B31F98">
        <w:trPr>
          <w:trHeight w:val="77"/>
          <w:jc w:val="center"/>
        </w:trPr>
        <w:tc>
          <w:tcPr>
            <w:tcW w:w="2844" w:type="dxa"/>
            <w:gridSpan w:val="3"/>
            <w:tcBorders>
              <w:bottom w:val="single" w:sz="12" w:space="0" w:color="auto"/>
            </w:tcBorders>
            <w:vAlign w:val="center"/>
          </w:tcPr>
          <w:p w14:paraId="361B66A8" w14:textId="77777777" w:rsidR="00277323" w:rsidRPr="000254DF" w:rsidRDefault="00277323" w:rsidP="00B31F98">
            <w:pPr>
              <w:ind w:right="-29"/>
              <w:jc w:val="center"/>
              <w:rPr>
                <w:noProof/>
                <w:sz w:val="18"/>
                <w:szCs w:val="18"/>
              </w:rPr>
            </w:pPr>
            <w:r w:rsidRPr="000254DF">
              <w:rPr>
                <w:noProof/>
                <w:sz w:val="18"/>
              </w:rPr>
              <w:t>Starpsumma – konkrētais mērķis Nr. 1</w:t>
            </w:r>
          </w:p>
        </w:tc>
        <w:tc>
          <w:tcPr>
            <w:tcW w:w="504" w:type="dxa"/>
            <w:tcBorders>
              <w:bottom w:val="single" w:sz="12" w:space="0" w:color="auto"/>
            </w:tcBorders>
          </w:tcPr>
          <w:p w14:paraId="543DFCE4"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691BAA11" w14:textId="77777777" w:rsidR="00277323" w:rsidRPr="000254DF" w:rsidRDefault="00277323" w:rsidP="00B31F98">
            <w:pPr>
              <w:ind w:right="-29"/>
              <w:jc w:val="center"/>
              <w:rPr>
                <w:noProof/>
                <w:sz w:val="18"/>
                <w:szCs w:val="18"/>
              </w:rPr>
            </w:pPr>
          </w:p>
        </w:tc>
        <w:tc>
          <w:tcPr>
            <w:tcW w:w="540" w:type="dxa"/>
            <w:tcBorders>
              <w:bottom w:val="single" w:sz="12" w:space="0" w:color="auto"/>
            </w:tcBorders>
          </w:tcPr>
          <w:p w14:paraId="655835F3"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041A9B13"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0BBBDBAE"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40E76965" w14:textId="77777777" w:rsidR="00277323" w:rsidRPr="000254DF" w:rsidRDefault="00277323" w:rsidP="00B31F98">
            <w:pPr>
              <w:ind w:right="-29"/>
              <w:jc w:val="center"/>
              <w:rPr>
                <w:noProof/>
                <w:sz w:val="18"/>
                <w:szCs w:val="18"/>
              </w:rPr>
            </w:pPr>
          </w:p>
        </w:tc>
        <w:tc>
          <w:tcPr>
            <w:tcW w:w="900" w:type="dxa"/>
            <w:tcBorders>
              <w:bottom w:val="single" w:sz="12" w:space="0" w:color="auto"/>
            </w:tcBorders>
          </w:tcPr>
          <w:p w14:paraId="08C3109A" w14:textId="77777777" w:rsidR="00277323" w:rsidRPr="000254DF" w:rsidRDefault="00277323" w:rsidP="00B31F98">
            <w:pPr>
              <w:ind w:right="-29"/>
              <w:jc w:val="center"/>
              <w:rPr>
                <w:noProof/>
                <w:sz w:val="18"/>
                <w:szCs w:val="18"/>
              </w:rPr>
            </w:pPr>
          </w:p>
        </w:tc>
        <w:tc>
          <w:tcPr>
            <w:tcW w:w="720" w:type="dxa"/>
            <w:gridSpan w:val="2"/>
            <w:tcBorders>
              <w:bottom w:val="single" w:sz="12" w:space="0" w:color="auto"/>
            </w:tcBorders>
          </w:tcPr>
          <w:p w14:paraId="3E608D4E" w14:textId="77777777" w:rsidR="00277323" w:rsidRPr="000254DF" w:rsidRDefault="00277323" w:rsidP="00B31F98">
            <w:pPr>
              <w:ind w:right="-29"/>
              <w:jc w:val="center"/>
              <w:rPr>
                <w:noProof/>
                <w:sz w:val="18"/>
                <w:szCs w:val="18"/>
              </w:rPr>
            </w:pPr>
          </w:p>
        </w:tc>
        <w:tc>
          <w:tcPr>
            <w:tcW w:w="540" w:type="dxa"/>
            <w:tcBorders>
              <w:bottom w:val="single" w:sz="12" w:space="0" w:color="auto"/>
            </w:tcBorders>
          </w:tcPr>
          <w:p w14:paraId="1919CD5E" w14:textId="77777777" w:rsidR="00277323" w:rsidRPr="000254DF" w:rsidRDefault="00277323" w:rsidP="00B31F98">
            <w:pPr>
              <w:ind w:right="-29"/>
              <w:jc w:val="center"/>
              <w:rPr>
                <w:noProof/>
                <w:sz w:val="18"/>
                <w:szCs w:val="18"/>
              </w:rPr>
            </w:pPr>
          </w:p>
        </w:tc>
        <w:tc>
          <w:tcPr>
            <w:tcW w:w="648" w:type="dxa"/>
            <w:tcBorders>
              <w:bottom w:val="single" w:sz="12" w:space="0" w:color="auto"/>
            </w:tcBorders>
          </w:tcPr>
          <w:p w14:paraId="0DE8556F" w14:textId="77777777" w:rsidR="00277323" w:rsidRPr="000254DF" w:rsidRDefault="00277323" w:rsidP="00B31F98">
            <w:pPr>
              <w:ind w:right="-29"/>
              <w:jc w:val="center"/>
              <w:rPr>
                <w:noProof/>
                <w:sz w:val="18"/>
                <w:szCs w:val="18"/>
              </w:rPr>
            </w:pPr>
          </w:p>
        </w:tc>
        <w:tc>
          <w:tcPr>
            <w:tcW w:w="432" w:type="dxa"/>
            <w:tcBorders>
              <w:bottom w:val="single" w:sz="12" w:space="0" w:color="auto"/>
            </w:tcBorders>
          </w:tcPr>
          <w:p w14:paraId="25224557"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2ECACF0F" w14:textId="77777777" w:rsidR="00277323" w:rsidRPr="000254DF" w:rsidRDefault="00277323" w:rsidP="00B31F98">
            <w:pPr>
              <w:ind w:right="-29"/>
              <w:jc w:val="center"/>
              <w:rPr>
                <w:noProof/>
                <w:sz w:val="18"/>
                <w:szCs w:val="18"/>
              </w:rPr>
            </w:pPr>
          </w:p>
        </w:tc>
        <w:tc>
          <w:tcPr>
            <w:tcW w:w="540" w:type="dxa"/>
            <w:tcBorders>
              <w:bottom w:val="single" w:sz="12" w:space="0" w:color="auto"/>
            </w:tcBorders>
          </w:tcPr>
          <w:p w14:paraId="35762B9F"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11743CF2"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3352BCA6" w14:textId="77777777" w:rsidR="00277323" w:rsidRPr="000254DF" w:rsidRDefault="00277323" w:rsidP="00B31F98">
            <w:pPr>
              <w:ind w:right="-29"/>
              <w:jc w:val="center"/>
              <w:rPr>
                <w:noProof/>
                <w:sz w:val="18"/>
                <w:szCs w:val="18"/>
              </w:rPr>
            </w:pPr>
          </w:p>
        </w:tc>
        <w:tc>
          <w:tcPr>
            <w:tcW w:w="900" w:type="dxa"/>
            <w:tcBorders>
              <w:bottom w:val="single" w:sz="12" w:space="0" w:color="auto"/>
            </w:tcBorders>
          </w:tcPr>
          <w:p w14:paraId="081BF0A5" w14:textId="77777777" w:rsidR="00277323" w:rsidRPr="000254DF" w:rsidRDefault="00277323" w:rsidP="00B31F98">
            <w:pPr>
              <w:ind w:right="-29"/>
              <w:jc w:val="center"/>
              <w:rPr>
                <w:noProof/>
                <w:sz w:val="18"/>
                <w:szCs w:val="18"/>
              </w:rPr>
            </w:pPr>
          </w:p>
        </w:tc>
      </w:tr>
      <w:tr w:rsidR="00277323" w:rsidRPr="000254DF" w14:paraId="7F565A38" w14:textId="77777777" w:rsidTr="00B31F98">
        <w:trPr>
          <w:jc w:val="center"/>
        </w:trPr>
        <w:tc>
          <w:tcPr>
            <w:tcW w:w="2844" w:type="dxa"/>
            <w:gridSpan w:val="3"/>
            <w:vAlign w:val="center"/>
          </w:tcPr>
          <w:p w14:paraId="1208FA4F" w14:textId="77777777" w:rsidR="00277323" w:rsidRPr="000254DF" w:rsidRDefault="00277323" w:rsidP="00B31F98">
            <w:pPr>
              <w:spacing w:before="60" w:after="60"/>
              <w:ind w:right="-29"/>
              <w:jc w:val="center"/>
              <w:rPr>
                <w:noProof/>
                <w:sz w:val="18"/>
                <w:szCs w:val="18"/>
              </w:rPr>
            </w:pPr>
            <w:r w:rsidRPr="000254DF">
              <w:rPr>
                <w:noProof/>
                <w:sz w:val="18"/>
              </w:rPr>
              <w:t>KONKRĒTAIS MĒRĶIS Nr. 2 ...</w:t>
            </w:r>
          </w:p>
        </w:tc>
        <w:tc>
          <w:tcPr>
            <w:tcW w:w="504" w:type="dxa"/>
            <w:tcBorders>
              <w:top w:val="nil"/>
              <w:left w:val="nil"/>
              <w:bottom w:val="nil"/>
              <w:right w:val="nil"/>
            </w:tcBorders>
          </w:tcPr>
          <w:p w14:paraId="7D775820"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667CC300" w14:textId="77777777" w:rsidR="00277323" w:rsidRPr="000254DF" w:rsidRDefault="00277323" w:rsidP="00B31F98">
            <w:pPr>
              <w:spacing w:before="60" w:after="60"/>
              <w:ind w:right="-29"/>
              <w:jc w:val="center"/>
              <w:rPr>
                <w:noProof/>
                <w:sz w:val="18"/>
                <w:szCs w:val="18"/>
              </w:rPr>
            </w:pPr>
          </w:p>
        </w:tc>
        <w:tc>
          <w:tcPr>
            <w:tcW w:w="540" w:type="dxa"/>
            <w:tcBorders>
              <w:top w:val="nil"/>
              <w:left w:val="nil"/>
              <w:bottom w:val="nil"/>
              <w:right w:val="nil"/>
            </w:tcBorders>
          </w:tcPr>
          <w:p w14:paraId="5B51CF1C"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6C834587"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030F3C84"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7A9139CA" w14:textId="77777777" w:rsidR="00277323" w:rsidRPr="000254DF" w:rsidRDefault="00277323" w:rsidP="00B31F98">
            <w:pPr>
              <w:spacing w:before="60" w:after="60"/>
              <w:ind w:right="-29"/>
              <w:jc w:val="center"/>
              <w:rPr>
                <w:noProof/>
                <w:sz w:val="18"/>
                <w:szCs w:val="18"/>
              </w:rPr>
            </w:pPr>
          </w:p>
        </w:tc>
        <w:tc>
          <w:tcPr>
            <w:tcW w:w="900" w:type="dxa"/>
            <w:tcBorders>
              <w:top w:val="nil"/>
              <w:left w:val="nil"/>
              <w:bottom w:val="nil"/>
              <w:right w:val="nil"/>
            </w:tcBorders>
          </w:tcPr>
          <w:p w14:paraId="3062F02C" w14:textId="77777777" w:rsidR="00277323" w:rsidRPr="000254DF" w:rsidRDefault="00277323" w:rsidP="00B31F98">
            <w:pPr>
              <w:spacing w:before="60" w:after="60"/>
              <w:ind w:right="-29"/>
              <w:jc w:val="center"/>
              <w:rPr>
                <w:noProof/>
                <w:sz w:val="18"/>
                <w:szCs w:val="18"/>
              </w:rPr>
            </w:pPr>
          </w:p>
        </w:tc>
        <w:tc>
          <w:tcPr>
            <w:tcW w:w="720" w:type="dxa"/>
            <w:gridSpan w:val="2"/>
            <w:tcBorders>
              <w:top w:val="nil"/>
              <w:left w:val="nil"/>
              <w:bottom w:val="nil"/>
              <w:right w:val="nil"/>
            </w:tcBorders>
          </w:tcPr>
          <w:p w14:paraId="5EA4A737" w14:textId="77777777" w:rsidR="00277323" w:rsidRPr="000254DF" w:rsidRDefault="00277323" w:rsidP="00B31F98">
            <w:pPr>
              <w:spacing w:before="60" w:after="60"/>
              <w:ind w:right="-29"/>
              <w:jc w:val="center"/>
              <w:rPr>
                <w:noProof/>
                <w:sz w:val="18"/>
                <w:szCs w:val="18"/>
              </w:rPr>
            </w:pPr>
          </w:p>
        </w:tc>
        <w:tc>
          <w:tcPr>
            <w:tcW w:w="540" w:type="dxa"/>
            <w:tcBorders>
              <w:top w:val="nil"/>
              <w:left w:val="nil"/>
              <w:bottom w:val="nil"/>
              <w:right w:val="nil"/>
            </w:tcBorders>
          </w:tcPr>
          <w:p w14:paraId="6DAFE403" w14:textId="77777777" w:rsidR="00277323" w:rsidRPr="000254DF" w:rsidRDefault="00277323" w:rsidP="00B31F98">
            <w:pPr>
              <w:spacing w:before="60" w:after="60"/>
              <w:ind w:right="-29"/>
              <w:jc w:val="center"/>
              <w:rPr>
                <w:noProof/>
                <w:sz w:val="18"/>
                <w:szCs w:val="18"/>
              </w:rPr>
            </w:pPr>
          </w:p>
        </w:tc>
        <w:tc>
          <w:tcPr>
            <w:tcW w:w="648" w:type="dxa"/>
            <w:tcBorders>
              <w:top w:val="nil"/>
              <w:left w:val="nil"/>
              <w:bottom w:val="nil"/>
              <w:right w:val="nil"/>
            </w:tcBorders>
          </w:tcPr>
          <w:p w14:paraId="0FCB2AAC" w14:textId="77777777" w:rsidR="00277323" w:rsidRPr="000254DF" w:rsidRDefault="00277323" w:rsidP="00B31F98">
            <w:pPr>
              <w:spacing w:before="60" w:after="60"/>
              <w:ind w:right="-29"/>
              <w:jc w:val="center"/>
              <w:rPr>
                <w:noProof/>
                <w:sz w:val="18"/>
                <w:szCs w:val="18"/>
              </w:rPr>
            </w:pPr>
          </w:p>
        </w:tc>
        <w:tc>
          <w:tcPr>
            <w:tcW w:w="432" w:type="dxa"/>
            <w:tcBorders>
              <w:top w:val="nil"/>
              <w:left w:val="nil"/>
              <w:bottom w:val="nil"/>
              <w:right w:val="nil"/>
            </w:tcBorders>
          </w:tcPr>
          <w:p w14:paraId="0030CB66"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6AF7C365" w14:textId="77777777" w:rsidR="00277323" w:rsidRPr="000254DF" w:rsidRDefault="00277323" w:rsidP="00B31F98">
            <w:pPr>
              <w:spacing w:before="60" w:after="60"/>
              <w:ind w:right="-29"/>
              <w:jc w:val="center"/>
              <w:rPr>
                <w:noProof/>
                <w:sz w:val="18"/>
                <w:szCs w:val="18"/>
              </w:rPr>
            </w:pPr>
          </w:p>
        </w:tc>
        <w:tc>
          <w:tcPr>
            <w:tcW w:w="540" w:type="dxa"/>
            <w:tcBorders>
              <w:top w:val="nil"/>
              <w:left w:val="nil"/>
              <w:bottom w:val="nil"/>
              <w:right w:val="nil"/>
            </w:tcBorders>
          </w:tcPr>
          <w:p w14:paraId="3E0FF480"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0523AFA4" w14:textId="77777777" w:rsidR="00277323" w:rsidRPr="000254DF" w:rsidRDefault="00277323" w:rsidP="00B31F98">
            <w:pPr>
              <w:spacing w:before="60" w:after="60"/>
              <w:ind w:right="-29"/>
              <w:jc w:val="center"/>
              <w:rPr>
                <w:noProof/>
                <w:sz w:val="18"/>
                <w:szCs w:val="18"/>
              </w:rPr>
            </w:pPr>
          </w:p>
        </w:tc>
        <w:tc>
          <w:tcPr>
            <w:tcW w:w="720" w:type="dxa"/>
            <w:tcBorders>
              <w:top w:val="nil"/>
              <w:left w:val="nil"/>
              <w:bottom w:val="nil"/>
              <w:right w:val="nil"/>
            </w:tcBorders>
          </w:tcPr>
          <w:p w14:paraId="4515D196" w14:textId="77777777" w:rsidR="00277323" w:rsidRPr="000254DF" w:rsidRDefault="00277323" w:rsidP="00B31F98">
            <w:pPr>
              <w:spacing w:before="60" w:after="60"/>
              <w:ind w:right="-29"/>
              <w:jc w:val="center"/>
              <w:rPr>
                <w:noProof/>
                <w:sz w:val="18"/>
                <w:szCs w:val="18"/>
              </w:rPr>
            </w:pPr>
          </w:p>
        </w:tc>
        <w:tc>
          <w:tcPr>
            <w:tcW w:w="900" w:type="dxa"/>
            <w:tcBorders>
              <w:top w:val="nil"/>
              <w:left w:val="nil"/>
              <w:bottom w:val="nil"/>
              <w:right w:val="nil"/>
            </w:tcBorders>
          </w:tcPr>
          <w:p w14:paraId="71164B5E" w14:textId="77777777" w:rsidR="00277323" w:rsidRPr="000254DF" w:rsidRDefault="00277323" w:rsidP="00B31F98">
            <w:pPr>
              <w:spacing w:before="60" w:after="60"/>
              <w:ind w:right="-29"/>
              <w:jc w:val="center"/>
              <w:rPr>
                <w:noProof/>
                <w:sz w:val="18"/>
                <w:szCs w:val="18"/>
              </w:rPr>
            </w:pPr>
          </w:p>
        </w:tc>
      </w:tr>
      <w:tr w:rsidR="00277323" w:rsidRPr="000254DF" w14:paraId="44BFAF42" w14:textId="77777777" w:rsidTr="00B31F98">
        <w:trPr>
          <w:trHeight w:hRule="exact" w:val="369"/>
          <w:jc w:val="center"/>
        </w:trPr>
        <w:tc>
          <w:tcPr>
            <w:tcW w:w="1423" w:type="dxa"/>
          </w:tcPr>
          <w:p w14:paraId="2ED006F6" w14:textId="77777777" w:rsidR="00277323" w:rsidRPr="000254DF" w:rsidRDefault="00277323" w:rsidP="00B31F98">
            <w:pPr>
              <w:ind w:right="-29"/>
              <w:jc w:val="center"/>
              <w:rPr>
                <w:noProof/>
                <w:sz w:val="18"/>
                <w:szCs w:val="18"/>
              </w:rPr>
            </w:pPr>
            <w:r w:rsidRPr="000254DF">
              <w:rPr>
                <w:noProof/>
                <w:sz w:val="18"/>
              </w:rPr>
              <w:t>0 Iznākums</w:t>
            </w:r>
          </w:p>
        </w:tc>
        <w:tc>
          <w:tcPr>
            <w:tcW w:w="720" w:type="dxa"/>
          </w:tcPr>
          <w:p w14:paraId="7DA7E581" w14:textId="77777777" w:rsidR="00277323" w:rsidRPr="000254DF" w:rsidRDefault="00277323" w:rsidP="00B31F98">
            <w:pPr>
              <w:ind w:right="-29"/>
              <w:jc w:val="center"/>
              <w:rPr>
                <w:noProof/>
                <w:sz w:val="18"/>
                <w:szCs w:val="18"/>
              </w:rPr>
            </w:pPr>
          </w:p>
        </w:tc>
        <w:tc>
          <w:tcPr>
            <w:tcW w:w="701" w:type="dxa"/>
          </w:tcPr>
          <w:p w14:paraId="2D1C7369" w14:textId="77777777" w:rsidR="00277323" w:rsidRPr="000254DF" w:rsidRDefault="00277323" w:rsidP="00B31F98">
            <w:pPr>
              <w:ind w:right="-29"/>
              <w:jc w:val="center"/>
              <w:rPr>
                <w:noProof/>
                <w:sz w:val="18"/>
                <w:szCs w:val="18"/>
              </w:rPr>
            </w:pPr>
          </w:p>
        </w:tc>
        <w:tc>
          <w:tcPr>
            <w:tcW w:w="504" w:type="dxa"/>
          </w:tcPr>
          <w:p w14:paraId="37844C33" w14:textId="77777777" w:rsidR="00277323" w:rsidRPr="000254DF" w:rsidRDefault="00277323" w:rsidP="00B31F98">
            <w:pPr>
              <w:ind w:right="-29"/>
              <w:jc w:val="center"/>
              <w:rPr>
                <w:noProof/>
                <w:sz w:val="18"/>
                <w:szCs w:val="18"/>
              </w:rPr>
            </w:pPr>
          </w:p>
        </w:tc>
        <w:tc>
          <w:tcPr>
            <w:tcW w:w="720" w:type="dxa"/>
          </w:tcPr>
          <w:p w14:paraId="696C1E2F" w14:textId="77777777" w:rsidR="00277323" w:rsidRPr="000254DF" w:rsidRDefault="00277323" w:rsidP="00B31F98">
            <w:pPr>
              <w:ind w:right="-29"/>
              <w:jc w:val="center"/>
              <w:rPr>
                <w:noProof/>
                <w:sz w:val="18"/>
                <w:szCs w:val="18"/>
              </w:rPr>
            </w:pPr>
          </w:p>
        </w:tc>
        <w:tc>
          <w:tcPr>
            <w:tcW w:w="540" w:type="dxa"/>
          </w:tcPr>
          <w:p w14:paraId="73CEF339" w14:textId="77777777" w:rsidR="00277323" w:rsidRPr="000254DF" w:rsidRDefault="00277323" w:rsidP="00B31F98">
            <w:pPr>
              <w:ind w:right="-29"/>
              <w:jc w:val="center"/>
              <w:rPr>
                <w:noProof/>
                <w:sz w:val="18"/>
                <w:szCs w:val="18"/>
              </w:rPr>
            </w:pPr>
          </w:p>
        </w:tc>
        <w:tc>
          <w:tcPr>
            <w:tcW w:w="720" w:type="dxa"/>
          </w:tcPr>
          <w:p w14:paraId="6555BF1A" w14:textId="77777777" w:rsidR="00277323" w:rsidRPr="000254DF" w:rsidRDefault="00277323" w:rsidP="00B31F98">
            <w:pPr>
              <w:ind w:right="-29"/>
              <w:jc w:val="center"/>
              <w:rPr>
                <w:noProof/>
                <w:sz w:val="18"/>
                <w:szCs w:val="18"/>
              </w:rPr>
            </w:pPr>
          </w:p>
        </w:tc>
        <w:tc>
          <w:tcPr>
            <w:tcW w:w="720" w:type="dxa"/>
          </w:tcPr>
          <w:p w14:paraId="259129C7" w14:textId="77777777" w:rsidR="00277323" w:rsidRPr="000254DF" w:rsidRDefault="00277323" w:rsidP="00B31F98">
            <w:pPr>
              <w:ind w:right="-29"/>
              <w:jc w:val="center"/>
              <w:rPr>
                <w:noProof/>
                <w:sz w:val="18"/>
                <w:szCs w:val="18"/>
              </w:rPr>
            </w:pPr>
          </w:p>
        </w:tc>
        <w:tc>
          <w:tcPr>
            <w:tcW w:w="720" w:type="dxa"/>
          </w:tcPr>
          <w:p w14:paraId="4CFC8F42" w14:textId="77777777" w:rsidR="00277323" w:rsidRPr="000254DF" w:rsidRDefault="00277323" w:rsidP="00B31F98">
            <w:pPr>
              <w:ind w:right="-29"/>
              <w:jc w:val="center"/>
              <w:rPr>
                <w:noProof/>
                <w:sz w:val="18"/>
                <w:szCs w:val="18"/>
              </w:rPr>
            </w:pPr>
          </w:p>
        </w:tc>
        <w:tc>
          <w:tcPr>
            <w:tcW w:w="900" w:type="dxa"/>
          </w:tcPr>
          <w:p w14:paraId="1010BA43" w14:textId="77777777" w:rsidR="00277323" w:rsidRPr="000254DF" w:rsidRDefault="00277323" w:rsidP="00B31F98">
            <w:pPr>
              <w:ind w:right="-29"/>
              <w:jc w:val="center"/>
              <w:rPr>
                <w:noProof/>
                <w:sz w:val="18"/>
                <w:szCs w:val="18"/>
              </w:rPr>
            </w:pPr>
          </w:p>
        </w:tc>
        <w:tc>
          <w:tcPr>
            <w:tcW w:w="720" w:type="dxa"/>
            <w:gridSpan w:val="2"/>
          </w:tcPr>
          <w:p w14:paraId="6CC6434D" w14:textId="77777777" w:rsidR="00277323" w:rsidRPr="000254DF" w:rsidRDefault="00277323" w:rsidP="00B31F98">
            <w:pPr>
              <w:ind w:right="-29"/>
              <w:jc w:val="center"/>
              <w:rPr>
                <w:noProof/>
                <w:sz w:val="18"/>
                <w:szCs w:val="18"/>
              </w:rPr>
            </w:pPr>
          </w:p>
        </w:tc>
        <w:tc>
          <w:tcPr>
            <w:tcW w:w="540" w:type="dxa"/>
          </w:tcPr>
          <w:p w14:paraId="0D10CC33" w14:textId="77777777" w:rsidR="00277323" w:rsidRPr="000254DF" w:rsidRDefault="00277323" w:rsidP="00B31F98">
            <w:pPr>
              <w:ind w:right="-29"/>
              <w:jc w:val="center"/>
              <w:rPr>
                <w:noProof/>
                <w:sz w:val="18"/>
                <w:szCs w:val="18"/>
              </w:rPr>
            </w:pPr>
          </w:p>
        </w:tc>
        <w:tc>
          <w:tcPr>
            <w:tcW w:w="648" w:type="dxa"/>
          </w:tcPr>
          <w:p w14:paraId="5876714E" w14:textId="77777777" w:rsidR="00277323" w:rsidRPr="000254DF" w:rsidRDefault="00277323" w:rsidP="00B31F98">
            <w:pPr>
              <w:ind w:right="-29"/>
              <w:jc w:val="center"/>
              <w:rPr>
                <w:noProof/>
                <w:sz w:val="18"/>
                <w:szCs w:val="18"/>
              </w:rPr>
            </w:pPr>
          </w:p>
        </w:tc>
        <w:tc>
          <w:tcPr>
            <w:tcW w:w="432" w:type="dxa"/>
          </w:tcPr>
          <w:p w14:paraId="52E5A0B1" w14:textId="77777777" w:rsidR="00277323" w:rsidRPr="000254DF" w:rsidRDefault="00277323" w:rsidP="00B31F98">
            <w:pPr>
              <w:ind w:right="-29"/>
              <w:jc w:val="center"/>
              <w:rPr>
                <w:noProof/>
                <w:sz w:val="18"/>
                <w:szCs w:val="18"/>
              </w:rPr>
            </w:pPr>
          </w:p>
        </w:tc>
        <w:tc>
          <w:tcPr>
            <w:tcW w:w="720" w:type="dxa"/>
          </w:tcPr>
          <w:p w14:paraId="4E527A98" w14:textId="77777777" w:rsidR="00277323" w:rsidRPr="000254DF" w:rsidRDefault="00277323" w:rsidP="00B31F98">
            <w:pPr>
              <w:ind w:right="-29"/>
              <w:jc w:val="center"/>
              <w:rPr>
                <w:noProof/>
                <w:sz w:val="18"/>
                <w:szCs w:val="18"/>
              </w:rPr>
            </w:pPr>
          </w:p>
        </w:tc>
        <w:tc>
          <w:tcPr>
            <w:tcW w:w="540" w:type="dxa"/>
          </w:tcPr>
          <w:p w14:paraId="4D360052" w14:textId="77777777" w:rsidR="00277323" w:rsidRPr="000254DF" w:rsidRDefault="00277323" w:rsidP="00B31F98">
            <w:pPr>
              <w:ind w:right="-29"/>
              <w:jc w:val="center"/>
              <w:rPr>
                <w:noProof/>
                <w:sz w:val="18"/>
                <w:szCs w:val="18"/>
              </w:rPr>
            </w:pPr>
          </w:p>
        </w:tc>
        <w:tc>
          <w:tcPr>
            <w:tcW w:w="720" w:type="dxa"/>
          </w:tcPr>
          <w:p w14:paraId="2BB7213B" w14:textId="77777777" w:rsidR="00277323" w:rsidRPr="000254DF" w:rsidRDefault="00277323" w:rsidP="00B31F98">
            <w:pPr>
              <w:ind w:right="-29"/>
              <w:jc w:val="center"/>
              <w:rPr>
                <w:noProof/>
                <w:sz w:val="18"/>
                <w:szCs w:val="18"/>
              </w:rPr>
            </w:pPr>
          </w:p>
        </w:tc>
        <w:tc>
          <w:tcPr>
            <w:tcW w:w="720" w:type="dxa"/>
          </w:tcPr>
          <w:p w14:paraId="2B82AD4D" w14:textId="77777777" w:rsidR="00277323" w:rsidRPr="000254DF" w:rsidRDefault="00277323" w:rsidP="00B31F98">
            <w:pPr>
              <w:ind w:right="-29"/>
              <w:jc w:val="center"/>
              <w:rPr>
                <w:noProof/>
                <w:sz w:val="18"/>
                <w:szCs w:val="18"/>
              </w:rPr>
            </w:pPr>
          </w:p>
        </w:tc>
        <w:tc>
          <w:tcPr>
            <w:tcW w:w="900" w:type="dxa"/>
          </w:tcPr>
          <w:p w14:paraId="4F3F26C8" w14:textId="77777777" w:rsidR="00277323" w:rsidRPr="000254DF" w:rsidRDefault="00277323" w:rsidP="00B31F98">
            <w:pPr>
              <w:ind w:right="-29"/>
              <w:jc w:val="center"/>
              <w:rPr>
                <w:noProof/>
                <w:sz w:val="18"/>
                <w:szCs w:val="18"/>
              </w:rPr>
            </w:pPr>
          </w:p>
        </w:tc>
      </w:tr>
      <w:tr w:rsidR="00277323" w:rsidRPr="000254DF" w14:paraId="4FEF89D3" w14:textId="77777777" w:rsidTr="00B31F98">
        <w:trPr>
          <w:jc w:val="center"/>
        </w:trPr>
        <w:tc>
          <w:tcPr>
            <w:tcW w:w="2844" w:type="dxa"/>
            <w:gridSpan w:val="3"/>
            <w:tcBorders>
              <w:bottom w:val="single" w:sz="12" w:space="0" w:color="auto"/>
            </w:tcBorders>
            <w:vAlign w:val="center"/>
          </w:tcPr>
          <w:p w14:paraId="08B34056" w14:textId="77777777" w:rsidR="00277323" w:rsidRPr="000254DF" w:rsidRDefault="00277323" w:rsidP="00B31F98">
            <w:pPr>
              <w:jc w:val="center"/>
              <w:rPr>
                <w:noProof/>
                <w:sz w:val="18"/>
                <w:szCs w:val="18"/>
              </w:rPr>
            </w:pPr>
            <w:r w:rsidRPr="000254DF">
              <w:rPr>
                <w:noProof/>
                <w:sz w:val="18"/>
              </w:rPr>
              <w:t>Starpsumma – konkrētais mērķis Nr. 2</w:t>
            </w:r>
          </w:p>
        </w:tc>
        <w:tc>
          <w:tcPr>
            <w:tcW w:w="504" w:type="dxa"/>
            <w:tcBorders>
              <w:bottom w:val="single" w:sz="12" w:space="0" w:color="auto"/>
            </w:tcBorders>
          </w:tcPr>
          <w:p w14:paraId="5FB7D00C"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29B54E07" w14:textId="77777777" w:rsidR="00277323" w:rsidRPr="000254DF" w:rsidRDefault="00277323" w:rsidP="00B31F98">
            <w:pPr>
              <w:ind w:right="-29"/>
              <w:jc w:val="center"/>
              <w:rPr>
                <w:noProof/>
                <w:sz w:val="18"/>
                <w:szCs w:val="18"/>
              </w:rPr>
            </w:pPr>
          </w:p>
        </w:tc>
        <w:tc>
          <w:tcPr>
            <w:tcW w:w="540" w:type="dxa"/>
            <w:tcBorders>
              <w:bottom w:val="single" w:sz="12" w:space="0" w:color="auto"/>
            </w:tcBorders>
          </w:tcPr>
          <w:p w14:paraId="2B7F2B13"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48A44B26"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61E3C313"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79BF9AAC" w14:textId="77777777" w:rsidR="00277323" w:rsidRPr="000254DF" w:rsidRDefault="00277323" w:rsidP="00B31F98">
            <w:pPr>
              <w:ind w:right="-29"/>
              <w:jc w:val="center"/>
              <w:rPr>
                <w:noProof/>
                <w:sz w:val="18"/>
                <w:szCs w:val="18"/>
              </w:rPr>
            </w:pPr>
          </w:p>
        </w:tc>
        <w:tc>
          <w:tcPr>
            <w:tcW w:w="951" w:type="dxa"/>
            <w:gridSpan w:val="2"/>
            <w:tcBorders>
              <w:bottom w:val="single" w:sz="12" w:space="0" w:color="auto"/>
            </w:tcBorders>
          </w:tcPr>
          <w:p w14:paraId="469DB278" w14:textId="77777777" w:rsidR="00277323" w:rsidRPr="000254DF" w:rsidRDefault="00277323" w:rsidP="00B31F98">
            <w:pPr>
              <w:ind w:right="-29"/>
              <w:jc w:val="center"/>
              <w:rPr>
                <w:noProof/>
                <w:sz w:val="18"/>
                <w:szCs w:val="18"/>
              </w:rPr>
            </w:pPr>
          </w:p>
        </w:tc>
        <w:tc>
          <w:tcPr>
            <w:tcW w:w="669" w:type="dxa"/>
            <w:tcBorders>
              <w:bottom w:val="single" w:sz="12" w:space="0" w:color="auto"/>
            </w:tcBorders>
          </w:tcPr>
          <w:p w14:paraId="2AD47458" w14:textId="77777777" w:rsidR="00277323" w:rsidRPr="000254DF" w:rsidRDefault="00277323" w:rsidP="00B31F98">
            <w:pPr>
              <w:ind w:right="-29"/>
              <w:jc w:val="center"/>
              <w:rPr>
                <w:noProof/>
                <w:sz w:val="18"/>
                <w:szCs w:val="18"/>
              </w:rPr>
            </w:pPr>
          </w:p>
        </w:tc>
        <w:tc>
          <w:tcPr>
            <w:tcW w:w="540" w:type="dxa"/>
            <w:tcBorders>
              <w:bottom w:val="single" w:sz="12" w:space="0" w:color="auto"/>
            </w:tcBorders>
          </w:tcPr>
          <w:p w14:paraId="33802A23" w14:textId="77777777" w:rsidR="00277323" w:rsidRPr="000254DF" w:rsidRDefault="00277323" w:rsidP="00B31F98">
            <w:pPr>
              <w:ind w:right="-29"/>
              <w:jc w:val="center"/>
              <w:rPr>
                <w:noProof/>
                <w:sz w:val="18"/>
                <w:szCs w:val="18"/>
              </w:rPr>
            </w:pPr>
          </w:p>
        </w:tc>
        <w:tc>
          <w:tcPr>
            <w:tcW w:w="648" w:type="dxa"/>
            <w:tcBorders>
              <w:bottom w:val="single" w:sz="12" w:space="0" w:color="auto"/>
            </w:tcBorders>
          </w:tcPr>
          <w:p w14:paraId="56DD5635" w14:textId="77777777" w:rsidR="00277323" w:rsidRPr="000254DF" w:rsidRDefault="00277323" w:rsidP="00B31F98">
            <w:pPr>
              <w:ind w:right="-29"/>
              <w:jc w:val="center"/>
              <w:rPr>
                <w:noProof/>
                <w:sz w:val="18"/>
                <w:szCs w:val="18"/>
              </w:rPr>
            </w:pPr>
          </w:p>
        </w:tc>
        <w:tc>
          <w:tcPr>
            <w:tcW w:w="432" w:type="dxa"/>
            <w:tcBorders>
              <w:bottom w:val="single" w:sz="12" w:space="0" w:color="auto"/>
            </w:tcBorders>
          </w:tcPr>
          <w:p w14:paraId="044112C3"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4F797EB5" w14:textId="77777777" w:rsidR="00277323" w:rsidRPr="000254DF" w:rsidRDefault="00277323" w:rsidP="00B31F98">
            <w:pPr>
              <w:ind w:right="-29"/>
              <w:jc w:val="center"/>
              <w:rPr>
                <w:noProof/>
                <w:sz w:val="18"/>
                <w:szCs w:val="18"/>
              </w:rPr>
            </w:pPr>
          </w:p>
        </w:tc>
        <w:tc>
          <w:tcPr>
            <w:tcW w:w="540" w:type="dxa"/>
            <w:tcBorders>
              <w:bottom w:val="single" w:sz="12" w:space="0" w:color="auto"/>
            </w:tcBorders>
          </w:tcPr>
          <w:p w14:paraId="02FEC49E"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02C9933B" w14:textId="77777777" w:rsidR="00277323" w:rsidRPr="000254DF" w:rsidRDefault="00277323" w:rsidP="00B31F98">
            <w:pPr>
              <w:ind w:right="-29"/>
              <w:jc w:val="center"/>
              <w:rPr>
                <w:noProof/>
                <w:sz w:val="18"/>
                <w:szCs w:val="18"/>
              </w:rPr>
            </w:pPr>
          </w:p>
        </w:tc>
        <w:tc>
          <w:tcPr>
            <w:tcW w:w="720" w:type="dxa"/>
            <w:tcBorders>
              <w:bottom w:val="single" w:sz="12" w:space="0" w:color="auto"/>
            </w:tcBorders>
          </w:tcPr>
          <w:p w14:paraId="0A21E9E6" w14:textId="77777777" w:rsidR="00277323" w:rsidRPr="000254DF" w:rsidRDefault="00277323" w:rsidP="00B31F98">
            <w:pPr>
              <w:ind w:right="-29"/>
              <w:jc w:val="center"/>
              <w:rPr>
                <w:noProof/>
                <w:sz w:val="18"/>
                <w:szCs w:val="18"/>
              </w:rPr>
            </w:pPr>
          </w:p>
        </w:tc>
        <w:tc>
          <w:tcPr>
            <w:tcW w:w="900" w:type="dxa"/>
            <w:tcBorders>
              <w:bottom w:val="single" w:sz="12" w:space="0" w:color="auto"/>
            </w:tcBorders>
          </w:tcPr>
          <w:p w14:paraId="5216CE27" w14:textId="77777777" w:rsidR="00277323" w:rsidRPr="000254DF" w:rsidRDefault="00277323" w:rsidP="00B31F98">
            <w:pPr>
              <w:ind w:right="-29"/>
              <w:jc w:val="center"/>
              <w:rPr>
                <w:noProof/>
                <w:sz w:val="18"/>
                <w:szCs w:val="18"/>
              </w:rPr>
            </w:pPr>
          </w:p>
        </w:tc>
      </w:tr>
      <w:tr w:rsidR="00277323" w:rsidRPr="000254DF" w14:paraId="4F070FD3" w14:textId="77777777" w:rsidTr="00B31F98">
        <w:trPr>
          <w:jc w:val="center"/>
        </w:trPr>
        <w:tc>
          <w:tcPr>
            <w:tcW w:w="2844" w:type="dxa"/>
            <w:gridSpan w:val="3"/>
            <w:tcBorders>
              <w:top w:val="single" w:sz="12" w:space="0" w:color="auto"/>
              <w:left w:val="single" w:sz="12" w:space="0" w:color="auto"/>
              <w:bottom w:val="single" w:sz="12" w:space="0" w:color="auto"/>
            </w:tcBorders>
            <w:vAlign w:val="center"/>
          </w:tcPr>
          <w:p w14:paraId="33873B3F" w14:textId="77777777" w:rsidR="00277323" w:rsidRPr="000254DF" w:rsidRDefault="00277323" w:rsidP="00B31F98">
            <w:pPr>
              <w:ind w:right="-29"/>
              <w:jc w:val="center"/>
              <w:rPr>
                <w:noProof/>
                <w:sz w:val="18"/>
                <w:szCs w:val="18"/>
              </w:rPr>
            </w:pPr>
            <w:r w:rsidRPr="000254DF">
              <w:rPr>
                <w:b/>
                <w:noProof/>
                <w:sz w:val="18"/>
              </w:rPr>
              <w:t>KOPSUMMAS</w:t>
            </w:r>
          </w:p>
        </w:tc>
        <w:tc>
          <w:tcPr>
            <w:tcW w:w="504" w:type="dxa"/>
            <w:tcBorders>
              <w:top w:val="single" w:sz="12" w:space="0" w:color="auto"/>
              <w:bottom w:val="single" w:sz="12" w:space="0" w:color="auto"/>
            </w:tcBorders>
          </w:tcPr>
          <w:p w14:paraId="65F8A053" w14:textId="77777777" w:rsidR="00277323" w:rsidRPr="000254DF" w:rsidRDefault="00277323" w:rsidP="00B31F98">
            <w:pPr>
              <w:spacing w:before="180" w:after="180"/>
              <w:ind w:right="-29"/>
              <w:jc w:val="center"/>
              <w:rPr>
                <w:noProof/>
                <w:sz w:val="18"/>
                <w:szCs w:val="18"/>
              </w:rPr>
            </w:pPr>
          </w:p>
        </w:tc>
        <w:tc>
          <w:tcPr>
            <w:tcW w:w="720" w:type="dxa"/>
            <w:tcBorders>
              <w:top w:val="single" w:sz="12" w:space="0" w:color="auto"/>
              <w:bottom w:val="single" w:sz="12" w:space="0" w:color="auto"/>
            </w:tcBorders>
          </w:tcPr>
          <w:p w14:paraId="0E2B7216" w14:textId="77777777" w:rsidR="00277323" w:rsidRPr="000254DF" w:rsidRDefault="00277323" w:rsidP="00B31F98">
            <w:pPr>
              <w:spacing w:before="180" w:after="180"/>
              <w:ind w:right="-29"/>
              <w:jc w:val="center"/>
              <w:rPr>
                <w:noProof/>
                <w:sz w:val="18"/>
                <w:szCs w:val="18"/>
              </w:rPr>
            </w:pPr>
          </w:p>
        </w:tc>
        <w:tc>
          <w:tcPr>
            <w:tcW w:w="540" w:type="dxa"/>
            <w:tcBorders>
              <w:top w:val="single" w:sz="12" w:space="0" w:color="auto"/>
              <w:bottom w:val="single" w:sz="12" w:space="0" w:color="auto"/>
            </w:tcBorders>
          </w:tcPr>
          <w:p w14:paraId="33C478FB" w14:textId="77777777" w:rsidR="00277323" w:rsidRPr="000254DF" w:rsidRDefault="00277323" w:rsidP="00B31F98">
            <w:pPr>
              <w:spacing w:before="180" w:after="180"/>
              <w:ind w:right="-29"/>
              <w:jc w:val="center"/>
              <w:rPr>
                <w:noProof/>
                <w:sz w:val="18"/>
                <w:szCs w:val="18"/>
              </w:rPr>
            </w:pPr>
          </w:p>
        </w:tc>
        <w:tc>
          <w:tcPr>
            <w:tcW w:w="720" w:type="dxa"/>
            <w:tcBorders>
              <w:top w:val="single" w:sz="12" w:space="0" w:color="auto"/>
              <w:bottom w:val="single" w:sz="12" w:space="0" w:color="auto"/>
            </w:tcBorders>
          </w:tcPr>
          <w:p w14:paraId="1361F780" w14:textId="77777777" w:rsidR="00277323" w:rsidRPr="000254DF" w:rsidRDefault="00277323" w:rsidP="00B31F98">
            <w:pPr>
              <w:spacing w:before="180" w:after="180"/>
              <w:ind w:right="-29"/>
              <w:jc w:val="center"/>
              <w:rPr>
                <w:noProof/>
                <w:sz w:val="18"/>
                <w:szCs w:val="18"/>
              </w:rPr>
            </w:pPr>
          </w:p>
        </w:tc>
        <w:tc>
          <w:tcPr>
            <w:tcW w:w="720" w:type="dxa"/>
            <w:tcBorders>
              <w:top w:val="single" w:sz="12" w:space="0" w:color="auto"/>
              <w:bottom w:val="single" w:sz="12" w:space="0" w:color="auto"/>
            </w:tcBorders>
          </w:tcPr>
          <w:p w14:paraId="30609376" w14:textId="77777777" w:rsidR="00277323" w:rsidRPr="000254DF" w:rsidRDefault="00277323" w:rsidP="00B31F98">
            <w:pPr>
              <w:spacing w:before="180" w:after="180"/>
              <w:ind w:right="-29"/>
              <w:jc w:val="center"/>
              <w:rPr>
                <w:noProof/>
                <w:sz w:val="18"/>
                <w:szCs w:val="18"/>
              </w:rPr>
            </w:pPr>
          </w:p>
        </w:tc>
        <w:tc>
          <w:tcPr>
            <w:tcW w:w="720" w:type="dxa"/>
            <w:tcBorders>
              <w:top w:val="single" w:sz="12" w:space="0" w:color="auto"/>
              <w:bottom w:val="single" w:sz="12" w:space="0" w:color="auto"/>
            </w:tcBorders>
          </w:tcPr>
          <w:p w14:paraId="0405E4EC" w14:textId="77777777" w:rsidR="00277323" w:rsidRPr="000254DF" w:rsidRDefault="00277323" w:rsidP="00B31F98">
            <w:pPr>
              <w:spacing w:before="180" w:after="180"/>
              <w:ind w:right="-29"/>
              <w:jc w:val="center"/>
              <w:rPr>
                <w:noProof/>
                <w:sz w:val="18"/>
                <w:szCs w:val="18"/>
              </w:rPr>
            </w:pPr>
          </w:p>
        </w:tc>
        <w:tc>
          <w:tcPr>
            <w:tcW w:w="900" w:type="dxa"/>
            <w:tcBorders>
              <w:top w:val="single" w:sz="12" w:space="0" w:color="auto"/>
              <w:bottom w:val="single" w:sz="12" w:space="0" w:color="auto"/>
            </w:tcBorders>
          </w:tcPr>
          <w:p w14:paraId="712BD70C" w14:textId="77777777" w:rsidR="00277323" w:rsidRPr="000254DF" w:rsidRDefault="00277323" w:rsidP="00B31F98">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39E5D2BB" w14:textId="77777777" w:rsidR="00277323" w:rsidRPr="000254DF" w:rsidRDefault="00277323" w:rsidP="00B31F98">
            <w:pPr>
              <w:spacing w:before="180" w:after="180"/>
              <w:ind w:right="-29"/>
              <w:jc w:val="center"/>
              <w:rPr>
                <w:noProof/>
                <w:sz w:val="18"/>
                <w:szCs w:val="18"/>
              </w:rPr>
            </w:pPr>
          </w:p>
        </w:tc>
        <w:tc>
          <w:tcPr>
            <w:tcW w:w="540" w:type="dxa"/>
            <w:tcBorders>
              <w:top w:val="single" w:sz="12" w:space="0" w:color="auto"/>
              <w:bottom w:val="single" w:sz="12" w:space="0" w:color="auto"/>
            </w:tcBorders>
          </w:tcPr>
          <w:p w14:paraId="40D23503" w14:textId="77777777" w:rsidR="00277323" w:rsidRPr="000254DF" w:rsidRDefault="00277323" w:rsidP="00B31F98">
            <w:pPr>
              <w:spacing w:before="180" w:after="180"/>
              <w:ind w:right="-29"/>
              <w:jc w:val="center"/>
              <w:rPr>
                <w:noProof/>
                <w:sz w:val="18"/>
                <w:szCs w:val="18"/>
              </w:rPr>
            </w:pPr>
          </w:p>
        </w:tc>
        <w:tc>
          <w:tcPr>
            <w:tcW w:w="648" w:type="dxa"/>
            <w:tcBorders>
              <w:top w:val="single" w:sz="12" w:space="0" w:color="auto"/>
              <w:bottom w:val="single" w:sz="12" w:space="0" w:color="auto"/>
            </w:tcBorders>
          </w:tcPr>
          <w:p w14:paraId="5B488F34" w14:textId="77777777" w:rsidR="00277323" w:rsidRPr="000254DF" w:rsidRDefault="00277323" w:rsidP="00B31F98">
            <w:pPr>
              <w:spacing w:before="180" w:after="180"/>
              <w:ind w:right="-29"/>
              <w:jc w:val="center"/>
              <w:rPr>
                <w:noProof/>
                <w:sz w:val="18"/>
                <w:szCs w:val="18"/>
              </w:rPr>
            </w:pPr>
          </w:p>
        </w:tc>
        <w:tc>
          <w:tcPr>
            <w:tcW w:w="432" w:type="dxa"/>
            <w:tcBorders>
              <w:top w:val="single" w:sz="12" w:space="0" w:color="auto"/>
              <w:bottom w:val="single" w:sz="12" w:space="0" w:color="auto"/>
            </w:tcBorders>
          </w:tcPr>
          <w:p w14:paraId="09AA92F0" w14:textId="77777777" w:rsidR="00277323" w:rsidRPr="000254DF" w:rsidRDefault="00277323" w:rsidP="00B31F98">
            <w:pPr>
              <w:spacing w:before="180" w:after="180"/>
              <w:ind w:right="-29"/>
              <w:jc w:val="center"/>
              <w:rPr>
                <w:noProof/>
                <w:sz w:val="18"/>
                <w:szCs w:val="18"/>
              </w:rPr>
            </w:pPr>
          </w:p>
        </w:tc>
        <w:tc>
          <w:tcPr>
            <w:tcW w:w="720" w:type="dxa"/>
            <w:tcBorders>
              <w:top w:val="single" w:sz="12" w:space="0" w:color="auto"/>
              <w:bottom w:val="single" w:sz="12" w:space="0" w:color="auto"/>
            </w:tcBorders>
          </w:tcPr>
          <w:p w14:paraId="6FD3BAE1" w14:textId="77777777" w:rsidR="00277323" w:rsidRPr="000254DF" w:rsidRDefault="00277323" w:rsidP="00B31F98">
            <w:pPr>
              <w:spacing w:before="180" w:after="180"/>
              <w:ind w:right="-29"/>
              <w:jc w:val="center"/>
              <w:rPr>
                <w:noProof/>
                <w:sz w:val="18"/>
                <w:szCs w:val="18"/>
              </w:rPr>
            </w:pPr>
          </w:p>
        </w:tc>
        <w:tc>
          <w:tcPr>
            <w:tcW w:w="540" w:type="dxa"/>
            <w:tcBorders>
              <w:top w:val="single" w:sz="12" w:space="0" w:color="auto"/>
              <w:bottom w:val="single" w:sz="12" w:space="0" w:color="auto"/>
            </w:tcBorders>
          </w:tcPr>
          <w:p w14:paraId="28B544B3" w14:textId="77777777" w:rsidR="00277323" w:rsidRPr="000254DF" w:rsidRDefault="00277323" w:rsidP="00B31F98">
            <w:pPr>
              <w:spacing w:before="180" w:after="180"/>
              <w:ind w:right="-29"/>
              <w:jc w:val="center"/>
              <w:rPr>
                <w:noProof/>
                <w:sz w:val="18"/>
                <w:szCs w:val="18"/>
              </w:rPr>
            </w:pPr>
          </w:p>
        </w:tc>
        <w:tc>
          <w:tcPr>
            <w:tcW w:w="720" w:type="dxa"/>
            <w:tcBorders>
              <w:top w:val="single" w:sz="12" w:space="0" w:color="auto"/>
              <w:bottom w:val="single" w:sz="12" w:space="0" w:color="auto"/>
            </w:tcBorders>
          </w:tcPr>
          <w:p w14:paraId="4D193D5A" w14:textId="77777777" w:rsidR="00277323" w:rsidRPr="000254DF" w:rsidRDefault="00277323" w:rsidP="00B31F98">
            <w:pPr>
              <w:spacing w:before="180" w:after="180"/>
              <w:ind w:right="-29"/>
              <w:jc w:val="center"/>
              <w:rPr>
                <w:noProof/>
                <w:sz w:val="18"/>
                <w:szCs w:val="18"/>
              </w:rPr>
            </w:pPr>
          </w:p>
        </w:tc>
        <w:tc>
          <w:tcPr>
            <w:tcW w:w="720" w:type="dxa"/>
            <w:tcBorders>
              <w:top w:val="single" w:sz="12" w:space="0" w:color="auto"/>
              <w:bottom w:val="single" w:sz="12" w:space="0" w:color="auto"/>
            </w:tcBorders>
          </w:tcPr>
          <w:p w14:paraId="5C53739F" w14:textId="77777777" w:rsidR="00277323" w:rsidRPr="000254DF" w:rsidRDefault="00277323" w:rsidP="00B31F98">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8877102" w14:textId="77777777" w:rsidR="00277323" w:rsidRPr="000254DF" w:rsidRDefault="00277323" w:rsidP="00B31F98">
            <w:pPr>
              <w:spacing w:before="180" w:after="180"/>
              <w:ind w:right="-29"/>
              <w:jc w:val="center"/>
              <w:rPr>
                <w:noProof/>
                <w:sz w:val="18"/>
                <w:szCs w:val="18"/>
              </w:rPr>
            </w:pPr>
          </w:p>
        </w:tc>
      </w:tr>
    </w:tbl>
    <w:p w14:paraId="5CF6F109" w14:textId="77777777" w:rsidR="00277323" w:rsidRPr="000254DF" w:rsidRDefault="00277323" w:rsidP="00277323">
      <w:pPr>
        <w:rPr>
          <w:noProof/>
        </w:rPr>
        <w:sectPr w:rsidR="00277323" w:rsidRPr="000254DF" w:rsidSect="00400A03">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0889C8E1" w14:textId="3256F4FE" w:rsidR="00277323" w:rsidRPr="000254DF" w:rsidRDefault="006039A2" w:rsidP="006039A2">
      <w:pPr>
        <w:pStyle w:val="ManualHeading3"/>
        <w:rPr>
          <w:bCs/>
          <w:noProof/>
          <w:szCs w:val="24"/>
        </w:rPr>
      </w:pPr>
      <w:bookmarkStart w:id="57" w:name="_Toc514938055"/>
      <w:bookmarkStart w:id="58" w:name="_Toc520485054"/>
      <w:r w:rsidRPr="006039A2">
        <w:t>3.2.3.</w:t>
      </w:r>
      <w:r w:rsidRPr="006039A2">
        <w:tab/>
      </w:r>
      <w:r w:rsidR="00277323" w:rsidRPr="000254DF">
        <w:rPr>
          <w:noProof/>
        </w:rPr>
        <w:t>Kopsavilkums par aplēsto ietekmi uz administratīvajām apropriācijām</w:t>
      </w:r>
      <w:bookmarkEnd w:id="57"/>
      <w:bookmarkEnd w:id="58"/>
      <w:r w:rsidR="00277323" w:rsidRPr="000254DF">
        <w:rPr>
          <w:noProof/>
        </w:rPr>
        <w:t xml:space="preserve"> </w:t>
      </w:r>
    </w:p>
    <w:p w14:paraId="28EC14B7" w14:textId="77777777" w:rsidR="00277323" w:rsidRPr="000254DF" w:rsidRDefault="00277323" w:rsidP="00277323">
      <w:pPr>
        <w:pStyle w:val="ListDash1"/>
        <w:rPr>
          <w:noProof/>
        </w:rPr>
      </w:pPr>
      <w:r w:rsidRPr="000254DF">
        <w:rPr>
          <w:noProof/>
        </w:rPr>
        <w:t>X</w:t>
      </w:r>
      <w:r w:rsidRPr="000254DF">
        <w:rPr>
          <w:noProof/>
        </w:rPr>
        <w:tab/>
        <w:t xml:space="preserve">Priekšlikumam/iniciatīvai nav vajadzīgas administratīvās apropriācijas </w:t>
      </w:r>
    </w:p>
    <w:p w14:paraId="03E37412" w14:textId="77777777" w:rsidR="00277323" w:rsidRPr="000254DF" w:rsidRDefault="00277323" w:rsidP="00277323">
      <w:pPr>
        <w:pStyle w:val="ListDash1"/>
        <w:rPr>
          <w:noProof/>
        </w:rPr>
      </w:pPr>
      <w:r w:rsidRPr="000254DF">
        <w:rPr>
          <w:noProof/>
        </w:rPr>
        <w:sym w:font="Wingdings" w:char="F0A8"/>
      </w:r>
      <w:r w:rsidRPr="000254DF">
        <w:rPr>
          <w:noProof/>
        </w:rPr>
        <w:tab/>
        <w:t>Priekšlikumam/iniciatīvai ir vajadzīgas šādas administratīvās apropriācijas:</w:t>
      </w:r>
    </w:p>
    <w:p w14:paraId="47E883DF" w14:textId="77777777" w:rsidR="00277323" w:rsidRPr="000254DF" w:rsidRDefault="00277323" w:rsidP="00277323">
      <w:pPr>
        <w:jc w:val="right"/>
        <w:rPr>
          <w:noProof/>
          <w:sz w:val="20"/>
        </w:rPr>
      </w:pPr>
      <w:r w:rsidRPr="000254DF">
        <w:rPr>
          <w:noProof/>
          <w:sz w:val="20"/>
        </w:rPr>
        <w:t>miljonos EUR (trīs zīmes aiz komata)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277323" w:rsidRPr="000254DF" w14:paraId="055F5586" w14:textId="77777777" w:rsidTr="00B31F98">
        <w:trPr>
          <w:trHeight w:val="585"/>
        </w:trPr>
        <w:tc>
          <w:tcPr>
            <w:tcW w:w="1980" w:type="dxa"/>
          </w:tcPr>
          <w:p w14:paraId="3E17D7BB" w14:textId="77777777" w:rsidR="00277323" w:rsidRPr="000254DF" w:rsidRDefault="00277323" w:rsidP="00B31F98">
            <w:pPr>
              <w:spacing w:before="60" w:after="60" w:line="200" w:lineRule="exact"/>
              <w:rPr>
                <w:noProof/>
                <w:sz w:val="16"/>
                <w:szCs w:val="16"/>
              </w:rPr>
            </w:pPr>
          </w:p>
        </w:tc>
        <w:tc>
          <w:tcPr>
            <w:tcW w:w="1080" w:type="dxa"/>
            <w:vAlign w:val="center"/>
          </w:tcPr>
          <w:p w14:paraId="33BBF2FB" w14:textId="77777777" w:rsidR="00277323" w:rsidRPr="000254DF" w:rsidRDefault="00277323" w:rsidP="00B31F98">
            <w:pPr>
              <w:spacing w:before="60" w:after="60" w:line="200" w:lineRule="exact"/>
              <w:jc w:val="center"/>
              <w:rPr>
                <w:noProof/>
                <w:sz w:val="16"/>
                <w:szCs w:val="16"/>
              </w:rPr>
            </w:pPr>
            <w:r w:rsidRPr="000254DF">
              <w:rPr>
                <w:b/>
                <w:noProof/>
                <w:sz w:val="16"/>
              </w:rPr>
              <w:t>N</w:t>
            </w:r>
            <w:r w:rsidRPr="000254DF">
              <w:rPr>
                <w:noProof/>
              </w:rPr>
              <w:br/>
            </w:r>
            <w:r w:rsidRPr="000254DF">
              <w:rPr>
                <w:noProof/>
                <w:sz w:val="16"/>
              </w:rPr>
              <w:t>gads</w:t>
            </w:r>
            <w:r w:rsidRPr="000254DF">
              <w:rPr>
                <w:rStyle w:val="FootnoteReference"/>
                <w:b/>
                <w:noProof/>
                <w:sz w:val="16"/>
              </w:rPr>
              <w:footnoteReference w:id="11"/>
            </w:r>
          </w:p>
        </w:tc>
        <w:tc>
          <w:tcPr>
            <w:tcW w:w="1080" w:type="dxa"/>
            <w:vAlign w:val="center"/>
          </w:tcPr>
          <w:p w14:paraId="4C655D0D" w14:textId="77777777" w:rsidR="00277323" w:rsidRPr="000254DF" w:rsidRDefault="00277323" w:rsidP="00B31F98">
            <w:pPr>
              <w:spacing w:before="60" w:after="60" w:line="200" w:lineRule="exact"/>
              <w:jc w:val="center"/>
              <w:rPr>
                <w:noProof/>
                <w:sz w:val="16"/>
                <w:szCs w:val="16"/>
              </w:rPr>
            </w:pPr>
            <w:r w:rsidRPr="000254DF">
              <w:rPr>
                <w:b/>
                <w:noProof/>
                <w:sz w:val="16"/>
              </w:rPr>
              <w:t>N+1</w:t>
            </w:r>
            <w:r w:rsidRPr="000254DF">
              <w:rPr>
                <w:noProof/>
              </w:rPr>
              <w:br/>
            </w:r>
            <w:r w:rsidRPr="000254DF">
              <w:rPr>
                <w:noProof/>
                <w:sz w:val="16"/>
              </w:rPr>
              <w:t>gads</w:t>
            </w:r>
          </w:p>
        </w:tc>
        <w:tc>
          <w:tcPr>
            <w:tcW w:w="1080" w:type="dxa"/>
            <w:vAlign w:val="center"/>
          </w:tcPr>
          <w:p w14:paraId="67AF9BB4" w14:textId="77777777" w:rsidR="00277323" w:rsidRPr="000254DF" w:rsidRDefault="00277323" w:rsidP="00B31F98">
            <w:pPr>
              <w:spacing w:before="60" w:after="60" w:line="200" w:lineRule="exact"/>
              <w:jc w:val="center"/>
              <w:rPr>
                <w:noProof/>
                <w:sz w:val="16"/>
                <w:szCs w:val="16"/>
              </w:rPr>
            </w:pPr>
            <w:r w:rsidRPr="000254DF">
              <w:rPr>
                <w:b/>
                <w:noProof/>
                <w:sz w:val="16"/>
              </w:rPr>
              <w:t>N+2</w:t>
            </w:r>
            <w:r w:rsidRPr="000254DF">
              <w:rPr>
                <w:noProof/>
              </w:rPr>
              <w:br/>
            </w:r>
            <w:r w:rsidRPr="000254DF">
              <w:rPr>
                <w:noProof/>
                <w:sz w:val="16"/>
              </w:rPr>
              <w:t>gads</w:t>
            </w:r>
          </w:p>
        </w:tc>
        <w:tc>
          <w:tcPr>
            <w:tcW w:w="1080" w:type="dxa"/>
            <w:vAlign w:val="center"/>
          </w:tcPr>
          <w:p w14:paraId="56F53C61" w14:textId="77777777" w:rsidR="00277323" w:rsidRPr="000254DF" w:rsidRDefault="00277323" w:rsidP="00B31F98">
            <w:pPr>
              <w:spacing w:before="60" w:after="60" w:line="200" w:lineRule="exact"/>
              <w:jc w:val="center"/>
              <w:rPr>
                <w:noProof/>
                <w:sz w:val="16"/>
                <w:szCs w:val="16"/>
              </w:rPr>
            </w:pPr>
            <w:r w:rsidRPr="000254DF">
              <w:rPr>
                <w:b/>
                <w:noProof/>
                <w:sz w:val="16"/>
              </w:rPr>
              <w:t>N+3</w:t>
            </w:r>
            <w:r w:rsidRPr="000254DF">
              <w:rPr>
                <w:noProof/>
              </w:rPr>
              <w:br/>
            </w:r>
            <w:r w:rsidRPr="000254DF">
              <w:rPr>
                <w:noProof/>
                <w:sz w:val="16"/>
              </w:rPr>
              <w:t>gads</w:t>
            </w:r>
          </w:p>
        </w:tc>
        <w:tc>
          <w:tcPr>
            <w:tcW w:w="3240" w:type="dxa"/>
            <w:vAlign w:val="center"/>
          </w:tcPr>
          <w:p w14:paraId="191A35F9" w14:textId="77777777" w:rsidR="00277323" w:rsidRPr="000254DF" w:rsidRDefault="00277323" w:rsidP="00B31F98">
            <w:pPr>
              <w:spacing w:line="200" w:lineRule="exact"/>
              <w:jc w:val="center"/>
              <w:rPr>
                <w:b/>
                <w:noProof/>
                <w:sz w:val="16"/>
                <w:szCs w:val="16"/>
              </w:rPr>
            </w:pPr>
            <w:r w:rsidRPr="000254DF">
              <w:rPr>
                <w:noProof/>
                <w:sz w:val="16"/>
              </w:rPr>
              <w:t>Norādīt tik gadu, cik nepieciešams ietekmes ilguma atspoguļošanai (sk. 1.6. punktu)</w:t>
            </w:r>
          </w:p>
        </w:tc>
        <w:tc>
          <w:tcPr>
            <w:tcW w:w="1080" w:type="dxa"/>
            <w:vAlign w:val="center"/>
          </w:tcPr>
          <w:p w14:paraId="1D95580B" w14:textId="77777777" w:rsidR="00277323" w:rsidRPr="000254DF" w:rsidRDefault="00277323" w:rsidP="00B31F98">
            <w:pPr>
              <w:spacing w:before="60" w:after="60" w:line="200" w:lineRule="exact"/>
              <w:jc w:val="center"/>
              <w:rPr>
                <w:b/>
                <w:noProof/>
                <w:sz w:val="16"/>
                <w:szCs w:val="16"/>
              </w:rPr>
            </w:pPr>
            <w:r w:rsidRPr="000254DF">
              <w:rPr>
                <w:b/>
                <w:noProof/>
                <w:sz w:val="16"/>
              </w:rPr>
              <w:t>KOPĀ</w:t>
            </w:r>
          </w:p>
        </w:tc>
      </w:tr>
    </w:tbl>
    <w:p w14:paraId="356099A5" w14:textId="77777777" w:rsidR="00277323" w:rsidRPr="000254DF" w:rsidRDefault="00277323" w:rsidP="00277323">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77323" w:rsidRPr="000254DF" w14:paraId="52296C20" w14:textId="77777777" w:rsidTr="00B31F98">
        <w:trPr>
          <w:trHeight w:val="585"/>
        </w:trPr>
        <w:tc>
          <w:tcPr>
            <w:tcW w:w="1980" w:type="dxa"/>
            <w:shd w:val="clear" w:color="auto" w:fill="CCCCCC"/>
            <w:vAlign w:val="center"/>
          </w:tcPr>
          <w:p w14:paraId="55F32FF9" w14:textId="77777777" w:rsidR="00277323" w:rsidRPr="000254DF" w:rsidRDefault="00277323" w:rsidP="000F0A02">
            <w:pPr>
              <w:spacing w:before="60" w:after="60" w:line="200" w:lineRule="exact"/>
              <w:jc w:val="center"/>
              <w:rPr>
                <w:b/>
                <w:noProof/>
                <w:sz w:val="16"/>
                <w:szCs w:val="16"/>
              </w:rPr>
            </w:pPr>
            <w:r w:rsidRPr="000254DF">
              <w:rPr>
                <w:b/>
                <w:noProof/>
                <w:sz w:val="16"/>
              </w:rPr>
              <w:t>Daudzgadu finanšu shēmas</w:t>
            </w:r>
            <w:r w:rsidRPr="000254DF">
              <w:rPr>
                <w:noProof/>
              </w:rPr>
              <w:t xml:space="preserve"> </w:t>
            </w:r>
            <w:r w:rsidRPr="000254DF">
              <w:rPr>
                <w:noProof/>
              </w:rPr>
              <w:br/>
            </w:r>
            <w:r w:rsidRPr="000254DF">
              <w:rPr>
                <w:b/>
                <w:noProof/>
                <w:sz w:val="16"/>
              </w:rPr>
              <w:t>7. IZDEVUMU KATEGORIJA</w:t>
            </w:r>
          </w:p>
        </w:tc>
        <w:tc>
          <w:tcPr>
            <w:tcW w:w="1080" w:type="dxa"/>
            <w:vAlign w:val="center"/>
          </w:tcPr>
          <w:p w14:paraId="6D8445E9"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067AEF6A"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53F5B0C"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5A94B546"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5FB1713"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5CB0E2CE"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08F9EDCD"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772499B3" w14:textId="77777777" w:rsidR="00277323" w:rsidRPr="000254DF" w:rsidRDefault="00277323" w:rsidP="00B31F98">
            <w:pPr>
              <w:spacing w:before="60" w:after="60" w:line="200" w:lineRule="exact"/>
              <w:jc w:val="right"/>
              <w:rPr>
                <w:b/>
                <w:noProof/>
                <w:sz w:val="16"/>
                <w:szCs w:val="16"/>
              </w:rPr>
            </w:pPr>
          </w:p>
        </w:tc>
      </w:tr>
      <w:tr w:rsidR="00277323" w:rsidRPr="000254DF" w14:paraId="07E0ECD6" w14:textId="77777777" w:rsidTr="00B31F98">
        <w:trPr>
          <w:trHeight w:val="585"/>
        </w:trPr>
        <w:tc>
          <w:tcPr>
            <w:tcW w:w="1980" w:type="dxa"/>
            <w:vAlign w:val="center"/>
          </w:tcPr>
          <w:p w14:paraId="1A25EA75" w14:textId="77777777" w:rsidR="00277323" w:rsidRPr="000254DF" w:rsidRDefault="00277323" w:rsidP="00B31F98">
            <w:pPr>
              <w:spacing w:before="60" w:after="60" w:line="200" w:lineRule="exact"/>
              <w:ind w:left="72"/>
              <w:jc w:val="left"/>
              <w:rPr>
                <w:noProof/>
                <w:sz w:val="16"/>
                <w:szCs w:val="16"/>
              </w:rPr>
            </w:pPr>
            <w:r w:rsidRPr="000254DF">
              <w:rPr>
                <w:noProof/>
                <w:sz w:val="16"/>
              </w:rPr>
              <w:t xml:space="preserve">Cilvēkresursi </w:t>
            </w:r>
          </w:p>
        </w:tc>
        <w:tc>
          <w:tcPr>
            <w:tcW w:w="1080" w:type="dxa"/>
            <w:vAlign w:val="center"/>
          </w:tcPr>
          <w:p w14:paraId="3BA05462"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0D21131"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65EA3341"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64BD3621"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49D270F2"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943CF67"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97873F1"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0D04B002" w14:textId="77777777" w:rsidR="00277323" w:rsidRPr="000254DF" w:rsidRDefault="00277323" w:rsidP="00B31F98">
            <w:pPr>
              <w:spacing w:before="60" w:after="60" w:line="200" w:lineRule="exact"/>
              <w:jc w:val="right"/>
              <w:rPr>
                <w:b/>
                <w:noProof/>
                <w:sz w:val="16"/>
                <w:szCs w:val="16"/>
              </w:rPr>
            </w:pPr>
          </w:p>
        </w:tc>
      </w:tr>
      <w:tr w:rsidR="00277323" w:rsidRPr="000254DF" w14:paraId="7DD5470A" w14:textId="77777777" w:rsidTr="00B31F98">
        <w:trPr>
          <w:trHeight w:val="585"/>
        </w:trPr>
        <w:tc>
          <w:tcPr>
            <w:tcW w:w="1980" w:type="dxa"/>
            <w:vAlign w:val="center"/>
          </w:tcPr>
          <w:p w14:paraId="5AEA7261" w14:textId="77777777" w:rsidR="00277323" w:rsidRPr="000254DF" w:rsidRDefault="00277323" w:rsidP="00B31F98">
            <w:pPr>
              <w:spacing w:before="60" w:after="60" w:line="200" w:lineRule="exact"/>
              <w:ind w:left="72"/>
              <w:jc w:val="left"/>
              <w:rPr>
                <w:noProof/>
                <w:sz w:val="16"/>
                <w:szCs w:val="16"/>
              </w:rPr>
            </w:pPr>
            <w:r w:rsidRPr="000254DF">
              <w:rPr>
                <w:noProof/>
                <w:sz w:val="16"/>
              </w:rPr>
              <w:t xml:space="preserve">Citi administratīvie izdevumi </w:t>
            </w:r>
          </w:p>
        </w:tc>
        <w:tc>
          <w:tcPr>
            <w:tcW w:w="1080" w:type="dxa"/>
            <w:vAlign w:val="center"/>
          </w:tcPr>
          <w:p w14:paraId="6F32EC9F"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0FAC737F"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65D7799E"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661A23B"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A996044"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90ED856"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98E2798"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1D91CF95" w14:textId="77777777" w:rsidR="00277323" w:rsidRPr="000254DF" w:rsidRDefault="00277323" w:rsidP="00B31F98">
            <w:pPr>
              <w:spacing w:before="60" w:after="60" w:line="200" w:lineRule="exact"/>
              <w:jc w:val="right"/>
              <w:rPr>
                <w:b/>
                <w:noProof/>
                <w:sz w:val="16"/>
                <w:szCs w:val="16"/>
              </w:rPr>
            </w:pPr>
          </w:p>
        </w:tc>
      </w:tr>
      <w:tr w:rsidR="00277323" w:rsidRPr="000254DF" w14:paraId="1D63433F" w14:textId="77777777" w:rsidTr="00B31F98">
        <w:trPr>
          <w:trHeight w:val="585"/>
        </w:trPr>
        <w:tc>
          <w:tcPr>
            <w:tcW w:w="1980" w:type="dxa"/>
            <w:shd w:val="clear" w:color="auto" w:fill="CCCCCC"/>
            <w:vAlign w:val="center"/>
          </w:tcPr>
          <w:p w14:paraId="7A134882" w14:textId="77777777" w:rsidR="00277323" w:rsidRPr="000254DF" w:rsidRDefault="00277323" w:rsidP="000F0A02">
            <w:pPr>
              <w:spacing w:before="60" w:after="60" w:line="200" w:lineRule="exact"/>
              <w:jc w:val="center"/>
              <w:rPr>
                <w:b/>
                <w:noProof/>
                <w:sz w:val="16"/>
                <w:szCs w:val="16"/>
              </w:rPr>
            </w:pPr>
            <w:r w:rsidRPr="000254DF">
              <w:rPr>
                <w:b/>
                <w:noProof/>
                <w:sz w:val="16"/>
              </w:rPr>
              <w:t xml:space="preserve">Starpsumma – daudzgadu finanšu shēmas IZDEVUMU KATEGORIJA </w:t>
            </w:r>
          </w:p>
        </w:tc>
        <w:tc>
          <w:tcPr>
            <w:tcW w:w="1080" w:type="dxa"/>
            <w:vAlign w:val="center"/>
          </w:tcPr>
          <w:p w14:paraId="50D1A96C"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65D7A5D"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B2C0B5E"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03BCD6DD"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7E8B9B39"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4CCEC9B9"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41DAD54"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718F314D" w14:textId="77777777" w:rsidR="00277323" w:rsidRPr="000254DF" w:rsidRDefault="00277323" w:rsidP="00B31F98">
            <w:pPr>
              <w:spacing w:before="60" w:after="60" w:line="200" w:lineRule="exact"/>
              <w:jc w:val="right"/>
              <w:rPr>
                <w:b/>
                <w:noProof/>
                <w:sz w:val="16"/>
                <w:szCs w:val="16"/>
              </w:rPr>
            </w:pPr>
          </w:p>
        </w:tc>
      </w:tr>
    </w:tbl>
    <w:p w14:paraId="04178D80" w14:textId="77777777" w:rsidR="00277323" w:rsidRPr="000254DF" w:rsidRDefault="00277323" w:rsidP="00277323">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77323" w:rsidRPr="000254DF" w14:paraId="0544BE6C" w14:textId="77777777" w:rsidTr="00B31F98">
        <w:trPr>
          <w:trHeight w:val="585"/>
        </w:trPr>
        <w:tc>
          <w:tcPr>
            <w:tcW w:w="1980" w:type="dxa"/>
            <w:shd w:val="clear" w:color="auto" w:fill="CCCCCC"/>
            <w:vAlign w:val="center"/>
          </w:tcPr>
          <w:p w14:paraId="169C112A" w14:textId="77777777" w:rsidR="00277323" w:rsidRPr="000254DF" w:rsidRDefault="00277323" w:rsidP="00B31F98">
            <w:pPr>
              <w:spacing w:before="60" w:after="60" w:line="200" w:lineRule="exact"/>
              <w:jc w:val="center"/>
              <w:rPr>
                <w:noProof/>
                <w:sz w:val="16"/>
                <w:szCs w:val="16"/>
              </w:rPr>
            </w:pPr>
            <w:r w:rsidRPr="000254DF">
              <w:rPr>
                <w:b/>
                <w:noProof/>
                <w:sz w:val="16"/>
              </w:rPr>
              <w:t>Ārpus daudzgadu finanšu shēmas IZDEVUMU KATEGORIJAS</w:t>
            </w:r>
            <w:r w:rsidRPr="000254DF">
              <w:rPr>
                <w:rStyle w:val="FootnoteReference"/>
                <w:b/>
                <w:noProof/>
                <w:sz w:val="16"/>
              </w:rPr>
              <w:footnoteReference w:id="12"/>
            </w:r>
            <w:r w:rsidRPr="000254DF">
              <w:rPr>
                <w:b/>
                <w:noProof/>
                <w:sz w:val="16"/>
              </w:rPr>
              <w:t xml:space="preserve"> </w:t>
            </w:r>
          </w:p>
          <w:p w14:paraId="7C4B2B6E" w14:textId="77777777" w:rsidR="00277323" w:rsidRPr="000254DF" w:rsidRDefault="00277323" w:rsidP="00B31F98">
            <w:pPr>
              <w:spacing w:before="0" w:after="0" w:line="200" w:lineRule="exact"/>
              <w:jc w:val="center"/>
              <w:rPr>
                <w:b/>
                <w:noProof/>
                <w:sz w:val="16"/>
                <w:szCs w:val="16"/>
              </w:rPr>
            </w:pPr>
          </w:p>
        </w:tc>
        <w:tc>
          <w:tcPr>
            <w:tcW w:w="1080" w:type="dxa"/>
            <w:vAlign w:val="center"/>
          </w:tcPr>
          <w:p w14:paraId="6ACE1D7C"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004E0813"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4C987547"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0FD7FD5D"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6C1F8F1B"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1C1F31A"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5897DC53"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54EC389D" w14:textId="77777777" w:rsidR="00277323" w:rsidRPr="000254DF" w:rsidRDefault="00277323" w:rsidP="00B31F98">
            <w:pPr>
              <w:spacing w:before="60" w:after="60" w:line="200" w:lineRule="exact"/>
              <w:jc w:val="right"/>
              <w:rPr>
                <w:b/>
                <w:noProof/>
                <w:sz w:val="16"/>
                <w:szCs w:val="16"/>
              </w:rPr>
            </w:pPr>
          </w:p>
        </w:tc>
      </w:tr>
      <w:tr w:rsidR="00277323" w:rsidRPr="000254DF" w14:paraId="43937BD0" w14:textId="77777777" w:rsidTr="00B31F98">
        <w:trPr>
          <w:trHeight w:val="585"/>
        </w:trPr>
        <w:tc>
          <w:tcPr>
            <w:tcW w:w="1980" w:type="dxa"/>
            <w:vAlign w:val="center"/>
          </w:tcPr>
          <w:p w14:paraId="3949F17A" w14:textId="77777777" w:rsidR="00277323" w:rsidRPr="000254DF" w:rsidRDefault="00277323" w:rsidP="00B31F98">
            <w:pPr>
              <w:spacing w:before="60" w:after="60" w:line="200" w:lineRule="exact"/>
              <w:ind w:left="72"/>
              <w:jc w:val="left"/>
              <w:rPr>
                <w:noProof/>
                <w:sz w:val="16"/>
                <w:szCs w:val="16"/>
              </w:rPr>
            </w:pPr>
            <w:r w:rsidRPr="000254DF">
              <w:rPr>
                <w:noProof/>
                <w:sz w:val="16"/>
              </w:rPr>
              <w:t xml:space="preserve">Cilvēkresursi </w:t>
            </w:r>
          </w:p>
        </w:tc>
        <w:tc>
          <w:tcPr>
            <w:tcW w:w="1080" w:type="dxa"/>
            <w:vAlign w:val="center"/>
          </w:tcPr>
          <w:p w14:paraId="64C1B0A8"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75A306FA"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0A4F9EE2"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B8EF388"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621816C"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6E6EDDFB"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E46C68B"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6C3B8CBF" w14:textId="77777777" w:rsidR="00277323" w:rsidRPr="000254DF" w:rsidRDefault="00277323" w:rsidP="00B31F98">
            <w:pPr>
              <w:spacing w:before="60" w:after="60" w:line="200" w:lineRule="exact"/>
              <w:jc w:val="right"/>
              <w:rPr>
                <w:b/>
                <w:noProof/>
                <w:sz w:val="16"/>
                <w:szCs w:val="16"/>
              </w:rPr>
            </w:pPr>
          </w:p>
        </w:tc>
      </w:tr>
      <w:tr w:rsidR="00277323" w:rsidRPr="000254DF" w14:paraId="29039539" w14:textId="77777777" w:rsidTr="00B31F98">
        <w:trPr>
          <w:trHeight w:val="585"/>
        </w:trPr>
        <w:tc>
          <w:tcPr>
            <w:tcW w:w="1980" w:type="dxa"/>
            <w:vAlign w:val="center"/>
          </w:tcPr>
          <w:p w14:paraId="0C01C14B" w14:textId="77777777" w:rsidR="00277323" w:rsidRPr="000254DF" w:rsidRDefault="00277323" w:rsidP="00B31F98">
            <w:pPr>
              <w:spacing w:before="60" w:after="60" w:line="200" w:lineRule="exact"/>
              <w:ind w:left="72"/>
              <w:jc w:val="left"/>
              <w:rPr>
                <w:noProof/>
                <w:sz w:val="16"/>
                <w:szCs w:val="16"/>
              </w:rPr>
            </w:pPr>
            <w:r w:rsidRPr="000254DF">
              <w:rPr>
                <w:noProof/>
                <w:sz w:val="16"/>
              </w:rPr>
              <w:t xml:space="preserve">Pārējie </w:t>
            </w:r>
            <w:r w:rsidRPr="000254DF">
              <w:rPr>
                <w:noProof/>
              </w:rPr>
              <w:t xml:space="preserve"> </w:t>
            </w:r>
            <w:r w:rsidRPr="000254DF">
              <w:rPr>
                <w:noProof/>
              </w:rPr>
              <w:br/>
            </w:r>
            <w:r w:rsidRPr="000254DF">
              <w:rPr>
                <w:noProof/>
                <w:sz w:val="16"/>
              </w:rPr>
              <w:t>administratīvie izdevumi</w:t>
            </w:r>
          </w:p>
        </w:tc>
        <w:tc>
          <w:tcPr>
            <w:tcW w:w="1080" w:type="dxa"/>
            <w:vAlign w:val="center"/>
          </w:tcPr>
          <w:p w14:paraId="3A610ED9"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88361F1"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3511C7D"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79BEBB40"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25229045"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A057105"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7DCDB15E"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571A5A35" w14:textId="77777777" w:rsidR="00277323" w:rsidRPr="000254DF" w:rsidRDefault="00277323" w:rsidP="00B31F98">
            <w:pPr>
              <w:spacing w:before="60" w:after="60" w:line="200" w:lineRule="exact"/>
              <w:jc w:val="right"/>
              <w:rPr>
                <w:b/>
                <w:noProof/>
                <w:sz w:val="16"/>
                <w:szCs w:val="16"/>
              </w:rPr>
            </w:pPr>
          </w:p>
        </w:tc>
      </w:tr>
      <w:tr w:rsidR="00277323" w:rsidRPr="000254DF" w14:paraId="18322971" w14:textId="77777777" w:rsidTr="00B31F98">
        <w:trPr>
          <w:trHeight w:val="585"/>
        </w:trPr>
        <w:tc>
          <w:tcPr>
            <w:tcW w:w="1980" w:type="dxa"/>
            <w:shd w:val="clear" w:color="auto" w:fill="CCCCCC"/>
            <w:vAlign w:val="center"/>
          </w:tcPr>
          <w:p w14:paraId="098069C0" w14:textId="77777777" w:rsidR="00277323" w:rsidRPr="000254DF" w:rsidRDefault="00277323" w:rsidP="000F0A02">
            <w:pPr>
              <w:spacing w:before="60" w:after="60" w:line="200" w:lineRule="exact"/>
              <w:jc w:val="center"/>
              <w:rPr>
                <w:b/>
                <w:noProof/>
                <w:sz w:val="16"/>
                <w:szCs w:val="16"/>
              </w:rPr>
            </w:pPr>
            <w:r w:rsidRPr="000254DF">
              <w:rPr>
                <w:b/>
                <w:noProof/>
                <w:sz w:val="16"/>
              </w:rPr>
              <w:t xml:space="preserve">Starpsumma – ārpus daudzgadu finanšu shēmas IZDEVUMU KATEGORIJAS </w:t>
            </w:r>
          </w:p>
        </w:tc>
        <w:tc>
          <w:tcPr>
            <w:tcW w:w="1080" w:type="dxa"/>
            <w:vAlign w:val="center"/>
          </w:tcPr>
          <w:p w14:paraId="1E65AD83"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DBE4E5C"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48D0FC1C"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4648C1A"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705F7152"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188B599E" w14:textId="77777777" w:rsidR="00277323" w:rsidRPr="000254DF" w:rsidRDefault="00277323" w:rsidP="00B31F98">
            <w:pPr>
              <w:spacing w:before="60" w:after="60" w:line="200" w:lineRule="exact"/>
              <w:jc w:val="right"/>
              <w:rPr>
                <w:noProof/>
                <w:sz w:val="16"/>
                <w:szCs w:val="16"/>
              </w:rPr>
            </w:pPr>
          </w:p>
        </w:tc>
        <w:tc>
          <w:tcPr>
            <w:tcW w:w="1080" w:type="dxa"/>
            <w:vAlign w:val="center"/>
          </w:tcPr>
          <w:p w14:paraId="34F9BB92" w14:textId="77777777" w:rsidR="00277323" w:rsidRPr="000254DF" w:rsidRDefault="00277323" w:rsidP="00B31F98">
            <w:pPr>
              <w:spacing w:before="60" w:after="60" w:line="200" w:lineRule="exact"/>
              <w:jc w:val="right"/>
              <w:rPr>
                <w:b/>
                <w:noProof/>
                <w:sz w:val="16"/>
                <w:szCs w:val="16"/>
              </w:rPr>
            </w:pPr>
          </w:p>
        </w:tc>
        <w:tc>
          <w:tcPr>
            <w:tcW w:w="1080" w:type="dxa"/>
            <w:vAlign w:val="center"/>
          </w:tcPr>
          <w:p w14:paraId="6B9D9A37" w14:textId="77777777" w:rsidR="00277323" w:rsidRPr="000254DF" w:rsidRDefault="00277323" w:rsidP="00B31F98">
            <w:pPr>
              <w:spacing w:before="60" w:after="60" w:line="200" w:lineRule="exact"/>
              <w:jc w:val="right"/>
              <w:rPr>
                <w:b/>
                <w:noProof/>
                <w:sz w:val="16"/>
                <w:szCs w:val="16"/>
              </w:rPr>
            </w:pPr>
          </w:p>
        </w:tc>
      </w:tr>
    </w:tbl>
    <w:p w14:paraId="576C9876" w14:textId="77777777" w:rsidR="00277323" w:rsidRPr="000254DF" w:rsidRDefault="00277323" w:rsidP="00277323">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77323" w:rsidRPr="000254DF" w14:paraId="1C584685" w14:textId="77777777" w:rsidTr="00B31F98">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C21BA7C" w14:textId="77777777" w:rsidR="00277323" w:rsidRPr="000254DF" w:rsidRDefault="00277323" w:rsidP="00B31F98">
            <w:pPr>
              <w:spacing w:before="60" w:after="60" w:line="200" w:lineRule="exact"/>
              <w:jc w:val="center"/>
              <w:rPr>
                <w:noProof/>
                <w:sz w:val="16"/>
                <w:szCs w:val="16"/>
              </w:rPr>
            </w:pPr>
            <w:r w:rsidRPr="000254DF">
              <w:rPr>
                <w:b/>
                <w:noProof/>
                <w:sz w:val="16"/>
              </w:rPr>
              <w:t>KOPĀ</w:t>
            </w:r>
          </w:p>
        </w:tc>
        <w:tc>
          <w:tcPr>
            <w:tcW w:w="1080" w:type="dxa"/>
            <w:tcBorders>
              <w:top w:val="single" w:sz="12" w:space="0" w:color="auto"/>
              <w:left w:val="single" w:sz="2" w:space="0" w:color="auto"/>
              <w:bottom w:val="single" w:sz="12" w:space="0" w:color="auto"/>
              <w:right w:val="single" w:sz="2" w:space="0" w:color="auto"/>
            </w:tcBorders>
            <w:vAlign w:val="center"/>
          </w:tcPr>
          <w:p w14:paraId="34FC1C29" w14:textId="77777777" w:rsidR="00277323" w:rsidRPr="000254DF" w:rsidRDefault="00277323" w:rsidP="00B31F9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6D12723" w14:textId="77777777" w:rsidR="00277323" w:rsidRPr="000254DF" w:rsidRDefault="00277323" w:rsidP="00B31F9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0D7462D" w14:textId="77777777" w:rsidR="00277323" w:rsidRPr="000254DF" w:rsidRDefault="00277323" w:rsidP="00B31F9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DAC0BBB" w14:textId="77777777" w:rsidR="00277323" w:rsidRPr="000254DF" w:rsidRDefault="00277323" w:rsidP="00B31F9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C4AE78B" w14:textId="77777777" w:rsidR="00277323" w:rsidRPr="000254DF" w:rsidRDefault="00277323" w:rsidP="00B31F9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0A17479" w14:textId="77777777" w:rsidR="00277323" w:rsidRPr="000254DF" w:rsidRDefault="00277323" w:rsidP="00B31F9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CFE098B" w14:textId="77777777" w:rsidR="00277323" w:rsidRPr="000254DF" w:rsidRDefault="00277323" w:rsidP="00B31F9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8C0ED30" w14:textId="77777777" w:rsidR="00277323" w:rsidRPr="000254DF" w:rsidRDefault="00277323" w:rsidP="00B31F98">
            <w:pPr>
              <w:spacing w:before="60" w:after="60" w:line="200" w:lineRule="exact"/>
              <w:jc w:val="right"/>
              <w:rPr>
                <w:b/>
                <w:noProof/>
                <w:sz w:val="16"/>
                <w:szCs w:val="16"/>
              </w:rPr>
            </w:pPr>
          </w:p>
        </w:tc>
      </w:tr>
    </w:tbl>
    <w:p w14:paraId="01962E5E" w14:textId="77777777" w:rsidR="00277323" w:rsidRPr="000254DF" w:rsidRDefault="00277323" w:rsidP="00277323">
      <w:pPr>
        <w:rPr>
          <w:noProof/>
          <w:sz w:val="18"/>
        </w:rPr>
      </w:pPr>
      <w:r w:rsidRPr="000254DF">
        <w:rPr>
          <w:noProof/>
          <w:sz w:val="18"/>
        </w:rPr>
        <w:t>Vajadzīgās cilvēkresursu un citu administratīvu izdevumu apropriācijas tiks nodrošinātas no ĢD apropriācijām, kas jau ir piešķirtas darbības pārvaldībai un/vai ir pārdalītas attiecīgajā ĢD, vajadzības gadījumā izmantojot arī vadošajam ĢD gada budžeta sadales procedūrā piešķirtus papildu resursus un ņemot vērā budžeta ierobežojumus.</w:t>
      </w:r>
    </w:p>
    <w:p w14:paraId="797D7BA6" w14:textId="77777777" w:rsidR="00277323" w:rsidRPr="000254DF" w:rsidRDefault="00277323" w:rsidP="00277323">
      <w:pPr>
        <w:rPr>
          <w:noProof/>
          <w:sz w:val="18"/>
        </w:rPr>
        <w:sectPr w:rsidR="00277323" w:rsidRPr="000254DF" w:rsidSect="00400A03">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5DFD95A7" w14:textId="46FEA6EF" w:rsidR="00277323" w:rsidRPr="000254DF" w:rsidRDefault="006039A2" w:rsidP="006039A2">
      <w:pPr>
        <w:pStyle w:val="ManualHeading4"/>
        <w:rPr>
          <w:bCs/>
          <w:noProof/>
          <w:szCs w:val="24"/>
        </w:rPr>
      </w:pPr>
      <w:r w:rsidRPr="006039A2">
        <w:t>3.2.3.1.</w:t>
      </w:r>
      <w:r w:rsidRPr="006039A2">
        <w:tab/>
      </w:r>
      <w:r w:rsidR="00277323" w:rsidRPr="000254DF">
        <w:rPr>
          <w:noProof/>
        </w:rPr>
        <w:t xml:space="preserve">Aplēstās cilvēkresursu vajadzības </w:t>
      </w:r>
    </w:p>
    <w:p w14:paraId="646300E8" w14:textId="77777777" w:rsidR="00277323" w:rsidRPr="000254DF" w:rsidRDefault="00277323" w:rsidP="00277323">
      <w:pPr>
        <w:pStyle w:val="ListDash1"/>
        <w:rPr>
          <w:noProof/>
        </w:rPr>
      </w:pPr>
      <w:r w:rsidRPr="000254DF">
        <w:rPr>
          <w:noProof/>
        </w:rPr>
        <w:t>X</w:t>
      </w:r>
      <w:r w:rsidRPr="000254DF">
        <w:rPr>
          <w:noProof/>
        </w:rPr>
        <w:tab/>
        <w:t xml:space="preserve">Priekšlikumam/iniciatīvai nav vajadzīgi cilvēkresursi </w:t>
      </w:r>
    </w:p>
    <w:p w14:paraId="4526AAEF" w14:textId="77777777" w:rsidR="00277323" w:rsidRPr="000254DF" w:rsidRDefault="00277323" w:rsidP="00277323">
      <w:pPr>
        <w:pStyle w:val="ListDash1"/>
        <w:rPr>
          <w:noProof/>
        </w:rPr>
      </w:pPr>
      <w:r w:rsidRPr="000254DF">
        <w:rPr>
          <w:noProof/>
        </w:rPr>
        <w:sym w:font="Wingdings" w:char="F0A8"/>
      </w:r>
      <w:r w:rsidRPr="000254DF">
        <w:rPr>
          <w:noProof/>
        </w:rPr>
        <w:tab/>
        <w:t>Priekšlikumam/iniciatīvai ir vajadzīgi šādi cilvēkresursi:</w:t>
      </w:r>
    </w:p>
    <w:p w14:paraId="777866D1" w14:textId="77777777" w:rsidR="00277323" w:rsidRPr="000254DF" w:rsidRDefault="00277323" w:rsidP="00277323">
      <w:pPr>
        <w:spacing w:after="60"/>
        <w:jc w:val="right"/>
        <w:rPr>
          <w:i/>
          <w:noProof/>
          <w:sz w:val="20"/>
        </w:rPr>
      </w:pPr>
      <w:r w:rsidRPr="000254DF">
        <w:rPr>
          <w:i/>
          <w:noProof/>
          <w:sz w:val="20"/>
        </w:rPr>
        <w:t>Aplēse izsakāma ar pilnslodzes ekvivalentu</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277323" w:rsidRPr="000254DF" w14:paraId="0092DD5A" w14:textId="77777777" w:rsidTr="00B31F98">
        <w:trPr>
          <w:gridBefore w:val="1"/>
          <w:wBefore w:w="13" w:type="dxa"/>
          <w:trHeight w:val="289"/>
          <w:jc w:val="center"/>
        </w:trPr>
        <w:tc>
          <w:tcPr>
            <w:tcW w:w="3906" w:type="dxa"/>
            <w:gridSpan w:val="2"/>
            <w:shd w:val="clear" w:color="auto" w:fill="auto"/>
          </w:tcPr>
          <w:p w14:paraId="610D5184" w14:textId="77777777" w:rsidR="00277323" w:rsidRPr="000254DF" w:rsidRDefault="00277323" w:rsidP="00B31F98">
            <w:pPr>
              <w:pStyle w:val="Text1"/>
              <w:spacing w:before="40" w:after="40"/>
              <w:ind w:left="0"/>
              <w:jc w:val="center"/>
              <w:rPr>
                <w:i/>
                <w:noProof/>
                <w:sz w:val="16"/>
                <w:szCs w:val="16"/>
              </w:rPr>
            </w:pPr>
          </w:p>
        </w:tc>
        <w:tc>
          <w:tcPr>
            <w:tcW w:w="600" w:type="dxa"/>
            <w:shd w:val="clear" w:color="auto" w:fill="auto"/>
            <w:vAlign w:val="center"/>
          </w:tcPr>
          <w:p w14:paraId="56FD1CE1" w14:textId="77777777" w:rsidR="00277323" w:rsidRPr="000254DF" w:rsidRDefault="00277323" w:rsidP="00B31F98">
            <w:pPr>
              <w:spacing w:before="20" w:after="20"/>
              <w:jc w:val="center"/>
              <w:rPr>
                <w:noProof/>
                <w:sz w:val="16"/>
                <w:szCs w:val="16"/>
              </w:rPr>
            </w:pPr>
            <w:r w:rsidRPr="000254DF">
              <w:rPr>
                <w:b/>
                <w:noProof/>
                <w:sz w:val="16"/>
              </w:rPr>
              <w:t>N</w:t>
            </w:r>
            <w:r w:rsidRPr="000254DF">
              <w:rPr>
                <w:noProof/>
              </w:rPr>
              <w:br/>
            </w:r>
            <w:r w:rsidRPr="000254DF">
              <w:rPr>
                <w:noProof/>
                <w:sz w:val="16"/>
              </w:rPr>
              <w:t>gads</w:t>
            </w:r>
          </w:p>
        </w:tc>
        <w:tc>
          <w:tcPr>
            <w:tcW w:w="600" w:type="dxa"/>
            <w:shd w:val="clear" w:color="auto" w:fill="auto"/>
            <w:vAlign w:val="center"/>
          </w:tcPr>
          <w:p w14:paraId="4749BB1B" w14:textId="77777777" w:rsidR="00277323" w:rsidRPr="000254DF" w:rsidRDefault="00277323" w:rsidP="00B31F98">
            <w:pPr>
              <w:spacing w:before="20" w:after="20"/>
              <w:jc w:val="center"/>
              <w:rPr>
                <w:noProof/>
                <w:sz w:val="16"/>
                <w:szCs w:val="16"/>
              </w:rPr>
            </w:pPr>
            <w:r w:rsidRPr="000254DF">
              <w:rPr>
                <w:b/>
                <w:noProof/>
                <w:sz w:val="16"/>
              </w:rPr>
              <w:t>N+1</w:t>
            </w:r>
            <w:r w:rsidRPr="000254DF">
              <w:rPr>
                <w:noProof/>
              </w:rPr>
              <w:br/>
            </w:r>
            <w:r w:rsidRPr="000254DF">
              <w:rPr>
                <w:noProof/>
                <w:sz w:val="16"/>
              </w:rPr>
              <w:t>gads</w:t>
            </w:r>
          </w:p>
        </w:tc>
        <w:tc>
          <w:tcPr>
            <w:tcW w:w="600" w:type="dxa"/>
            <w:shd w:val="clear" w:color="auto" w:fill="auto"/>
            <w:vAlign w:val="center"/>
          </w:tcPr>
          <w:p w14:paraId="729BCCB4" w14:textId="77777777" w:rsidR="00277323" w:rsidRPr="000254DF" w:rsidRDefault="00277323" w:rsidP="00B31F98">
            <w:pPr>
              <w:spacing w:before="20" w:after="20"/>
              <w:jc w:val="center"/>
              <w:rPr>
                <w:noProof/>
                <w:sz w:val="16"/>
                <w:szCs w:val="16"/>
              </w:rPr>
            </w:pPr>
            <w:r w:rsidRPr="000254DF">
              <w:rPr>
                <w:b/>
                <w:noProof/>
                <w:sz w:val="16"/>
                <w:szCs w:val="16"/>
              </w:rPr>
              <w:t>N+2</w:t>
            </w:r>
            <w:r w:rsidRPr="000254DF">
              <w:rPr>
                <w:noProof/>
                <w:sz w:val="16"/>
                <w:szCs w:val="16"/>
              </w:rPr>
              <w:t xml:space="preserve"> gads</w:t>
            </w:r>
          </w:p>
        </w:tc>
        <w:tc>
          <w:tcPr>
            <w:tcW w:w="600" w:type="dxa"/>
            <w:shd w:val="clear" w:color="auto" w:fill="auto"/>
            <w:vAlign w:val="center"/>
          </w:tcPr>
          <w:p w14:paraId="5E0903AF" w14:textId="77777777" w:rsidR="00277323" w:rsidRPr="000254DF" w:rsidRDefault="00277323" w:rsidP="00B31F98">
            <w:pPr>
              <w:spacing w:before="20" w:after="20"/>
              <w:jc w:val="center"/>
              <w:rPr>
                <w:noProof/>
                <w:sz w:val="16"/>
                <w:szCs w:val="16"/>
              </w:rPr>
            </w:pPr>
            <w:r w:rsidRPr="000254DF">
              <w:rPr>
                <w:b/>
                <w:noProof/>
                <w:sz w:val="16"/>
                <w:szCs w:val="16"/>
              </w:rPr>
              <w:t>N+3</w:t>
            </w:r>
            <w:r w:rsidRPr="000254DF">
              <w:rPr>
                <w:noProof/>
                <w:sz w:val="16"/>
                <w:szCs w:val="16"/>
              </w:rPr>
              <w:t xml:space="preserve"> gads</w:t>
            </w:r>
          </w:p>
        </w:tc>
        <w:tc>
          <w:tcPr>
            <w:tcW w:w="600" w:type="dxa"/>
            <w:gridSpan w:val="3"/>
            <w:shd w:val="clear" w:color="auto" w:fill="auto"/>
            <w:vAlign w:val="center"/>
          </w:tcPr>
          <w:p w14:paraId="1ADF38CD" w14:textId="77777777" w:rsidR="00277323" w:rsidRPr="000254DF" w:rsidRDefault="00277323" w:rsidP="00B31F98">
            <w:pPr>
              <w:jc w:val="center"/>
              <w:rPr>
                <w:b/>
                <w:noProof/>
                <w:sz w:val="16"/>
                <w:szCs w:val="16"/>
              </w:rPr>
            </w:pPr>
            <w:r w:rsidRPr="000254DF">
              <w:rPr>
                <w:noProof/>
                <w:sz w:val="16"/>
              </w:rPr>
              <w:t>Norādīt tik gadu, cik nepieciešams ietekmes ilguma atspoguļošanai (sk. 1.6. punktu)</w:t>
            </w:r>
          </w:p>
        </w:tc>
      </w:tr>
      <w:tr w:rsidR="00277323" w:rsidRPr="000254DF" w14:paraId="1C46069B" w14:textId="77777777" w:rsidTr="00B31F98">
        <w:trPr>
          <w:gridBefore w:val="1"/>
          <w:wBefore w:w="13" w:type="dxa"/>
          <w:trHeight w:val="289"/>
          <w:jc w:val="center"/>
        </w:trPr>
        <w:tc>
          <w:tcPr>
            <w:tcW w:w="600" w:type="dxa"/>
            <w:gridSpan w:val="9"/>
            <w:shd w:val="clear" w:color="auto" w:fill="auto"/>
          </w:tcPr>
          <w:p w14:paraId="1D42871C" w14:textId="77777777" w:rsidR="00277323" w:rsidRPr="000254DF" w:rsidRDefault="00277323" w:rsidP="00B31F98">
            <w:pPr>
              <w:jc w:val="left"/>
              <w:rPr>
                <w:noProof/>
                <w:sz w:val="16"/>
                <w:szCs w:val="16"/>
              </w:rPr>
            </w:pPr>
            <w:r w:rsidRPr="000254DF">
              <w:rPr>
                <w:b/>
                <w:noProof/>
                <w:sz w:val="16"/>
              </w:rPr>
              <w:sym w:font="Wingdings" w:char="F09F"/>
            </w:r>
            <w:r w:rsidRPr="000254DF">
              <w:rPr>
                <w:b/>
                <w:noProof/>
                <w:sz w:val="16"/>
              </w:rPr>
              <w:t xml:space="preserve"> Štatu sarakstā ietvertās amata vietas (ierēdņi un pagaidu darbinieki)</w:t>
            </w:r>
          </w:p>
        </w:tc>
      </w:tr>
      <w:tr w:rsidR="00277323" w:rsidRPr="000254DF" w14:paraId="3583D6EB" w14:textId="77777777" w:rsidTr="00B31F98">
        <w:trPr>
          <w:gridBefore w:val="1"/>
          <w:wBefore w:w="13" w:type="dxa"/>
          <w:trHeight w:val="289"/>
          <w:jc w:val="center"/>
        </w:trPr>
        <w:tc>
          <w:tcPr>
            <w:tcW w:w="3906" w:type="dxa"/>
            <w:gridSpan w:val="2"/>
            <w:shd w:val="clear" w:color="auto" w:fill="auto"/>
            <w:vAlign w:val="center"/>
          </w:tcPr>
          <w:p w14:paraId="45782796" w14:textId="77777777" w:rsidR="00277323" w:rsidRPr="000254DF" w:rsidRDefault="00277323" w:rsidP="00B31F98">
            <w:pPr>
              <w:pStyle w:val="Text1"/>
              <w:spacing w:beforeLines="20" w:before="48" w:afterLines="20" w:after="48"/>
              <w:ind w:left="134"/>
              <w:jc w:val="left"/>
              <w:rPr>
                <w:b/>
                <w:noProof/>
                <w:sz w:val="16"/>
                <w:szCs w:val="16"/>
              </w:rPr>
            </w:pPr>
            <w:r w:rsidRPr="000254DF">
              <w:rPr>
                <w:noProof/>
                <w:sz w:val="16"/>
              </w:rPr>
              <w:t>XX 01 01 01 (Galvenā mītne un Komisijas pārstāvniecības)</w:t>
            </w:r>
          </w:p>
        </w:tc>
        <w:tc>
          <w:tcPr>
            <w:tcW w:w="600" w:type="dxa"/>
            <w:shd w:val="clear" w:color="auto" w:fill="auto"/>
            <w:vAlign w:val="center"/>
          </w:tcPr>
          <w:p w14:paraId="2D937B53"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DEEE870"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2157B687"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3D022878"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16D74BC1"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C81DB84"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CCF3DD4" w14:textId="77777777" w:rsidR="00277323" w:rsidRPr="000254DF" w:rsidRDefault="00277323" w:rsidP="00B31F98">
            <w:pPr>
              <w:spacing w:beforeLines="20" w:before="48" w:afterLines="20" w:after="48"/>
              <w:jc w:val="center"/>
              <w:rPr>
                <w:noProof/>
                <w:sz w:val="16"/>
                <w:szCs w:val="16"/>
              </w:rPr>
            </w:pPr>
          </w:p>
        </w:tc>
      </w:tr>
      <w:tr w:rsidR="00277323" w:rsidRPr="000254DF" w14:paraId="64F31821" w14:textId="77777777" w:rsidTr="00B31F98">
        <w:trPr>
          <w:gridBefore w:val="1"/>
          <w:wBefore w:w="13" w:type="dxa"/>
          <w:trHeight w:val="289"/>
          <w:jc w:val="center"/>
        </w:trPr>
        <w:tc>
          <w:tcPr>
            <w:tcW w:w="3906" w:type="dxa"/>
            <w:gridSpan w:val="2"/>
            <w:shd w:val="clear" w:color="auto" w:fill="auto"/>
            <w:vAlign w:val="center"/>
          </w:tcPr>
          <w:p w14:paraId="1DD8B43D" w14:textId="77777777" w:rsidR="00277323" w:rsidRPr="000254DF" w:rsidRDefault="00277323" w:rsidP="00B31F98">
            <w:pPr>
              <w:pStyle w:val="Text1"/>
              <w:spacing w:beforeLines="20" w:before="48" w:afterLines="20" w:after="48"/>
              <w:ind w:left="134"/>
              <w:jc w:val="left"/>
              <w:rPr>
                <w:noProof/>
                <w:sz w:val="16"/>
                <w:szCs w:val="16"/>
              </w:rPr>
            </w:pPr>
            <w:r w:rsidRPr="000254DF">
              <w:rPr>
                <w:noProof/>
                <w:sz w:val="16"/>
              </w:rPr>
              <w:t>XX 01 01 02 (Delegācijas)</w:t>
            </w:r>
          </w:p>
        </w:tc>
        <w:tc>
          <w:tcPr>
            <w:tcW w:w="600" w:type="dxa"/>
            <w:shd w:val="clear" w:color="auto" w:fill="auto"/>
            <w:vAlign w:val="center"/>
          </w:tcPr>
          <w:p w14:paraId="1D874AD9"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6A4F33A2"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B7CAEA8"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94556F1"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4255BC0"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83DCCDC"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5E8F45B" w14:textId="77777777" w:rsidR="00277323" w:rsidRPr="000254DF" w:rsidRDefault="00277323" w:rsidP="00B31F98">
            <w:pPr>
              <w:spacing w:beforeLines="20" w:before="48" w:afterLines="20" w:after="48"/>
              <w:jc w:val="center"/>
              <w:rPr>
                <w:noProof/>
                <w:sz w:val="16"/>
                <w:szCs w:val="16"/>
              </w:rPr>
            </w:pPr>
          </w:p>
        </w:tc>
      </w:tr>
      <w:tr w:rsidR="00277323" w:rsidRPr="000254DF" w14:paraId="4097D18F" w14:textId="77777777" w:rsidTr="00B31F98">
        <w:trPr>
          <w:gridBefore w:val="1"/>
          <w:wBefore w:w="13" w:type="dxa"/>
          <w:trHeight w:val="289"/>
          <w:jc w:val="center"/>
        </w:trPr>
        <w:tc>
          <w:tcPr>
            <w:tcW w:w="3906" w:type="dxa"/>
            <w:gridSpan w:val="2"/>
            <w:shd w:val="clear" w:color="auto" w:fill="auto"/>
            <w:vAlign w:val="center"/>
          </w:tcPr>
          <w:p w14:paraId="5CF1985B" w14:textId="77777777" w:rsidR="00277323" w:rsidRPr="000254DF" w:rsidRDefault="00277323" w:rsidP="00B31F98">
            <w:pPr>
              <w:pStyle w:val="Text1"/>
              <w:spacing w:beforeLines="20" w:before="48" w:afterLines="20" w:after="48"/>
              <w:ind w:left="134"/>
              <w:jc w:val="left"/>
              <w:rPr>
                <w:noProof/>
                <w:sz w:val="16"/>
                <w:szCs w:val="16"/>
              </w:rPr>
            </w:pPr>
            <w:r w:rsidRPr="000254DF">
              <w:rPr>
                <w:noProof/>
                <w:sz w:val="16"/>
              </w:rPr>
              <w:t>XX 01 05 01/11/21 (Netiešā pētniecība)</w:t>
            </w:r>
          </w:p>
        </w:tc>
        <w:tc>
          <w:tcPr>
            <w:tcW w:w="600" w:type="dxa"/>
            <w:shd w:val="clear" w:color="auto" w:fill="auto"/>
            <w:vAlign w:val="center"/>
          </w:tcPr>
          <w:p w14:paraId="3B6ECA41"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2451E85F"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54C464C"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A31BDE2"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314E4CB6"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23E1B225"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247BE89F" w14:textId="77777777" w:rsidR="00277323" w:rsidRPr="000254DF" w:rsidRDefault="00277323" w:rsidP="00B31F98">
            <w:pPr>
              <w:spacing w:beforeLines="20" w:before="48" w:afterLines="20" w:after="48"/>
              <w:jc w:val="center"/>
              <w:rPr>
                <w:noProof/>
                <w:sz w:val="16"/>
                <w:szCs w:val="16"/>
              </w:rPr>
            </w:pPr>
          </w:p>
        </w:tc>
      </w:tr>
      <w:tr w:rsidR="00277323" w:rsidRPr="000254DF" w14:paraId="2093DC05" w14:textId="77777777" w:rsidTr="00B31F98">
        <w:trPr>
          <w:gridBefore w:val="1"/>
          <w:wBefore w:w="13" w:type="dxa"/>
          <w:trHeight w:val="289"/>
          <w:jc w:val="center"/>
        </w:trPr>
        <w:tc>
          <w:tcPr>
            <w:tcW w:w="3906" w:type="dxa"/>
            <w:gridSpan w:val="2"/>
            <w:shd w:val="clear" w:color="auto" w:fill="auto"/>
            <w:vAlign w:val="center"/>
          </w:tcPr>
          <w:p w14:paraId="1B4F44D3" w14:textId="77777777" w:rsidR="00277323" w:rsidRPr="000254DF" w:rsidRDefault="00277323" w:rsidP="00B31F98">
            <w:pPr>
              <w:pStyle w:val="Text1"/>
              <w:spacing w:beforeLines="20" w:before="48" w:afterLines="20" w:after="48"/>
              <w:ind w:left="134"/>
              <w:jc w:val="left"/>
              <w:rPr>
                <w:noProof/>
                <w:sz w:val="16"/>
                <w:szCs w:val="16"/>
              </w:rPr>
            </w:pPr>
            <w:r w:rsidRPr="000254DF">
              <w:rPr>
                <w:noProof/>
                <w:sz w:val="16"/>
              </w:rPr>
              <w:t>10 01 05 01/11 (Tiešā pētniecība)</w:t>
            </w:r>
          </w:p>
        </w:tc>
        <w:tc>
          <w:tcPr>
            <w:tcW w:w="600" w:type="dxa"/>
            <w:shd w:val="clear" w:color="auto" w:fill="auto"/>
            <w:vAlign w:val="center"/>
          </w:tcPr>
          <w:p w14:paraId="4B101F61"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490A614"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C401EEF"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2EFB694"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13C1A12"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9C0D0E5"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51ACF69" w14:textId="77777777" w:rsidR="00277323" w:rsidRPr="000254DF" w:rsidRDefault="00277323" w:rsidP="00B31F98">
            <w:pPr>
              <w:spacing w:beforeLines="20" w:before="48" w:afterLines="20" w:after="48"/>
              <w:jc w:val="center"/>
              <w:rPr>
                <w:noProof/>
                <w:sz w:val="16"/>
                <w:szCs w:val="16"/>
              </w:rPr>
            </w:pPr>
          </w:p>
        </w:tc>
      </w:tr>
      <w:tr w:rsidR="00277323" w:rsidRPr="000254DF" w14:paraId="19C705EB" w14:textId="77777777" w:rsidTr="00B31F98">
        <w:trPr>
          <w:trHeight w:val="248"/>
          <w:jc w:val="center"/>
        </w:trPr>
        <w:tc>
          <w:tcPr>
            <w:tcW w:w="600" w:type="dxa"/>
            <w:gridSpan w:val="10"/>
            <w:shd w:val="clear" w:color="auto" w:fill="auto"/>
            <w:vAlign w:val="center"/>
          </w:tcPr>
          <w:p w14:paraId="636C5C71" w14:textId="77777777" w:rsidR="00277323" w:rsidRPr="000254DF" w:rsidRDefault="00277323" w:rsidP="00B31F98">
            <w:pPr>
              <w:pStyle w:val="Text1"/>
              <w:spacing w:before="60" w:after="60"/>
              <w:ind w:left="0"/>
              <w:jc w:val="left"/>
              <w:rPr>
                <w:b/>
                <w:noProof/>
                <w:sz w:val="16"/>
                <w:szCs w:val="16"/>
              </w:rPr>
            </w:pPr>
            <w:r w:rsidRPr="000254DF">
              <w:rPr>
                <w:b/>
                <w:noProof/>
                <w:sz w:val="16"/>
              </w:rPr>
              <w:sym w:font="Wingdings" w:char="F09F"/>
            </w:r>
            <w:r w:rsidRPr="000254DF">
              <w:rPr>
                <w:b/>
                <w:noProof/>
                <w:sz w:val="16"/>
              </w:rPr>
              <w:t xml:space="preserve"> Ārštata darbinieki (izsakot ar pilnslodzes ekvivalentu </w:t>
            </w:r>
            <w:r w:rsidRPr="000254DF">
              <w:rPr>
                <w:b/>
                <w:i/>
                <w:iCs/>
                <w:noProof/>
                <w:sz w:val="16"/>
              </w:rPr>
              <w:t>FTE</w:t>
            </w:r>
            <w:r w:rsidRPr="000254DF">
              <w:rPr>
                <w:b/>
                <w:noProof/>
                <w:sz w:val="16"/>
              </w:rPr>
              <w:t>)</w:t>
            </w:r>
            <w:r w:rsidRPr="000254DF">
              <w:rPr>
                <w:rStyle w:val="FootnoteReference"/>
                <w:b/>
                <w:noProof/>
                <w:sz w:val="16"/>
              </w:rPr>
              <w:footnoteReference w:id="13"/>
            </w:r>
          </w:p>
          <w:p w14:paraId="4F2356D5" w14:textId="77777777" w:rsidR="00277323" w:rsidRPr="000254DF" w:rsidRDefault="00277323" w:rsidP="00B31F98">
            <w:pPr>
              <w:pStyle w:val="Text1"/>
              <w:spacing w:before="0" w:after="0"/>
              <w:ind w:left="0"/>
              <w:jc w:val="left"/>
              <w:rPr>
                <w:noProof/>
                <w:sz w:val="16"/>
                <w:szCs w:val="16"/>
              </w:rPr>
            </w:pPr>
          </w:p>
        </w:tc>
      </w:tr>
      <w:tr w:rsidR="00277323" w:rsidRPr="000254DF" w14:paraId="45FF78D8" w14:textId="77777777" w:rsidTr="00B31F98">
        <w:trPr>
          <w:gridBefore w:val="1"/>
          <w:wBefore w:w="13" w:type="dxa"/>
          <w:trHeight w:val="289"/>
          <w:jc w:val="center"/>
        </w:trPr>
        <w:tc>
          <w:tcPr>
            <w:tcW w:w="3906" w:type="dxa"/>
            <w:gridSpan w:val="2"/>
            <w:shd w:val="clear" w:color="auto" w:fill="auto"/>
            <w:vAlign w:val="center"/>
          </w:tcPr>
          <w:p w14:paraId="033AC85D" w14:textId="77777777" w:rsidR="00277323" w:rsidRPr="000254DF" w:rsidRDefault="00277323" w:rsidP="00B31F98">
            <w:pPr>
              <w:pStyle w:val="Text1"/>
              <w:spacing w:beforeLines="20" w:before="48" w:afterLines="20" w:after="48"/>
              <w:ind w:left="136"/>
              <w:jc w:val="left"/>
              <w:rPr>
                <w:b/>
                <w:noProof/>
                <w:sz w:val="16"/>
                <w:szCs w:val="16"/>
              </w:rPr>
            </w:pPr>
            <w:r w:rsidRPr="000254DF">
              <w:rPr>
                <w:noProof/>
                <w:sz w:val="16"/>
              </w:rPr>
              <w:t>XX 01 02 01 (</w:t>
            </w:r>
            <w:r w:rsidRPr="000254DF">
              <w:rPr>
                <w:i/>
                <w:iCs/>
                <w:noProof/>
                <w:sz w:val="16"/>
              </w:rPr>
              <w:t>AC</w:t>
            </w:r>
            <w:r w:rsidRPr="000254DF">
              <w:rPr>
                <w:noProof/>
                <w:sz w:val="16"/>
              </w:rPr>
              <w:t xml:space="preserve">, </w:t>
            </w:r>
            <w:r w:rsidRPr="000254DF">
              <w:rPr>
                <w:i/>
                <w:iCs/>
                <w:noProof/>
                <w:sz w:val="16"/>
              </w:rPr>
              <w:t>END</w:t>
            </w:r>
            <w:r w:rsidRPr="000254DF">
              <w:rPr>
                <w:noProof/>
                <w:sz w:val="16"/>
              </w:rPr>
              <w:t xml:space="preserve">, </w:t>
            </w:r>
            <w:r w:rsidRPr="000254DF">
              <w:rPr>
                <w:i/>
                <w:iCs/>
                <w:noProof/>
                <w:sz w:val="16"/>
              </w:rPr>
              <w:t>INT</w:t>
            </w:r>
            <w:r w:rsidRPr="000254DF">
              <w:rPr>
                <w:noProof/>
                <w:sz w:val="16"/>
              </w:rPr>
              <w:t>, ko finansē no vispārīgajām apropriācijām)</w:t>
            </w:r>
          </w:p>
        </w:tc>
        <w:tc>
          <w:tcPr>
            <w:tcW w:w="600" w:type="dxa"/>
            <w:shd w:val="clear" w:color="auto" w:fill="auto"/>
            <w:vAlign w:val="center"/>
          </w:tcPr>
          <w:p w14:paraId="01254FE9"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F775300"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6FB7D7B2"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ADAB749"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33B66607"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774F3C8"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CB9264E" w14:textId="77777777" w:rsidR="00277323" w:rsidRPr="000254DF" w:rsidRDefault="00277323" w:rsidP="00B31F98">
            <w:pPr>
              <w:spacing w:beforeLines="20" w:before="48" w:afterLines="20" w:after="48"/>
              <w:jc w:val="center"/>
              <w:rPr>
                <w:noProof/>
                <w:sz w:val="16"/>
                <w:szCs w:val="16"/>
              </w:rPr>
            </w:pPr>
          </w:p>
        </w:tc>
      </w:tr>
      <w:tr w:rsidR="00277323" w:rsidRPr="000254DF" w14:paraId="76431A14" w14:textId="77777777" w:rsidTr="00B31F98">
        <w:trPr>
          <w:gridBefore w:val="1"/>
          <w:wBefore w:w="13" w:type="dxa"/>
          <w:trHeight w:val="289"/>
          <w:jc w:val="center"/>
        </w:trPr>
        <w:tc>
          <w:tcPr>
            <w:tcW w:w="3906" w:type="dxa"/>
            <w:gridSpan w:val="2"/>
            <w:shd w:val="clear" w:color="auto" w:fill="auto"/>
            <w:vAlign w:val="center"/>
          </w:tcPr>
          <w:p w14:paraId="74CBCFA1" w14:textId="77777777" w:rsidR="00277323" w:rsidRPr="000254DF" w:rsidRDefault="00277323" w:rsidP="00B31F98">
            <w:pPr>
              <w:pStyle w:val="Text1"/>
              <w:spacing w:beforeLines="20" w:before="48" w:afterLines="20" w:after="48"/>
              <w:ind w:left="136"/>
              <w:jc w:val="left"/>
              <w:rPr>
                <w:noProof/>
                <w:sz w:val="16"/>
                <w:szCs w:val="16"/>
              </w:rPr>
            </w:pPr>
            <w:r w:rsidRPr="000254DF">
              <w:rPr>
                <w:noProof/>
                <w:sz w:val="16"/>
              </w:rPr>
              <w:t>XX 01 02 02 (</w:t>
            </w:r>
            <w:r w:rsidRPr="000254DF">
              <w:rPr>
                <w:i/>
                <w:iCs/>
                <w:noProof/>
                <w:sz w:val="16"/>
              </w:rPr>
              <w:t>AC</w:t>
            </w:r>
            <w:r w:rsidRPr="000254DF">
              <w:rPr>
                <w:noProof/>
                <w:sz w:val="16"/>
              </w:rPr>
              <w:t xml:space="preserve">, </w:t>
            </w:r>
            <w:r w:rsidRPr="000254DF">
              <w:rPr>
                <w:i/>
                <w:iCs/>
                <w:noProof/>
                <w:sz w:val="16"/>
              </w:rPr>
              <w:t>AL</w:t>
            </w:r>
            <w:r w:rsidRPr="000254DF">
              <w:rPr>
                <w:noProof/>
                <w:sz w:val="16"/>
              </w:rPr>
              <w:t xml:space="preserve">, </w:t>
            </w:r>
            <w:r w:rsidRPr="000254DF">
              <w:rPr>
                <w:i/>
                <w:iCs/>
                <w:noProof/>
                <w:sz w:val="16"/>
              </w:rPr>
              <w:t>END</w:t>
            </w:r>
            <w:r w:rsidRPr="000254DF">
              <w:rPr>
                <w:noProof/>
                <w:sz w:val="16"/>
              </w:rPr>
              <w:t xml:space="preserve">, </w:t>
            </w:r>
            <w:r w:rsidRPr="000254DF">
              <w:rPr>
                <w:i/>
                <w:iCs/>
                <w:noProof/>
                <w:sz w:val="16"/>
              </w:rPr>
              <w:t>INT</w:t>
            </w:r>
            <w:r w:rsidRPr="000254DF">
              <w:rPr>
                <w:noProof/>
                <w:sz w:val="16"/>
              </w:rPr>
              <w:t xml:space="preserve"> un JED delegācijās)</w:t>
            </w:r>
          </w:p>
        </w:tc>
        <w:tc>
          <w:tcPr>
            <w:tcW w:w="600" w:type="dxa"/>
            <w:shd w:val="clear" w:color="auto" w:fill="auto"/>
            <w:vAlign w:val="center"/>
          </w:tcPr>
          <w:p w14:paraId="49E95989"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181CB4F7"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20571331"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787FFC3"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76BC830"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CEBA5F1"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749D37C" w14:textId="77777777" w:rsidR="00277323" w:rsidRPr="000254DF" w:rsidRDefault="00277323" w:rsidP="00B31F98">
            <w:pPr>
              <w:spacing w:beforeLines="20" w:before="48" w:afterLines="20" w:after="48"/>
              <w:jc w:val="center"/>
              <w:rPr>
                <w:noProof/>
                <w:sz w:val="16"/>
                <w:szCs w:val="16"/>
              </w:rPr>
            </w:pPr>
          </w:p>
        </w:tc>
      </w:tr>
      <w:tr w:rsidR="00277323" w:rsidRPr="000254DF" w14:paraId="70FD3F99" w14:textId="77777777" w:rsidTr="00B31F98">
        <w:trPr>
          <w:gridBefore w:val="1"/>
          <w:wBefore w:w="13" w:type="dxa"/>
          <w:trHeight w:val="289"/>
          <w:jc w:val="center"/>
        </w:trPr>
        <w:tc>
          <w:tcPr>
            <w:tcW w:w="1952" w:type="dxa"/>
            <w:vMerge w:val="restart"/>
            <w:shd w:val="clear" w:color="auto" w:fill="auto"/>
            <w:vAlign w:val="center"/>
          </w:tcPr>
          <w:p w14:paraId="074C6FE6" w14:textId="77777777" w:rsidR="00277323" w:rsidRPr="000254DF" w:rsidRDefault="00277323" w:rsidP="00B31F98">
            <w:pPr>
              <w:pStyle w:val="Text1"/>
              <w:spacing w:beforeLines="20" w:before="48" w:afterLines="20" w:after="48"/>
              <w:ind w:left="136"/>
              <w:jc w:val="left"/>
              <w:rPr>
                <w:b/>
                <w:noProof/>
                <w:sz w:val="16"/>
                <w:szCs w:val="16"/>
              </w:rPr>
            </w:pPr>
            <w:r w:rsidRPr="000254DF">
              <w:rPr>
                <w:b/>
                <w:noProof/>
                <w:sz w:val="16"/>
                <w:szCs w:val="16"/>
              </w:rPr>
              <w:t>XX</w:t>
            </w:r>
            <w:r w:rsidRPr="000254DF">
              <w:rPr>
                <w:noProof/>
                <w:sz w:val="16"/>
                <w:szCs w:val="16"/>
              </w:rPr>
              <w:t xml:space="preserve"> 01 04 </w:t>
            </w:r>
            <w:r w:rsidRPr="000254DF">
              <w:rPr>
                <w:b/>
                <w:noProof/>
                <w:sz w:val="16"/>
                <w:szCs w:val="16"/>
              </w:rPr>
              <w:t>yy</w:t>
            </w:r>
            <w:r w:rsidRPr="000254DF">
              <w:rPr>
                <w:b/>
                <w:i/>
                <w:noProof/>
                <w:sz w:val="16"/>
              </w:rPr>
              <w:t xml:space="preserve"> </w:t>
            </w:r>
            <w:r w:rsidRPr="000254DF">
              <w:rPr>
                <w:rStyle w:val="FootnoteReference"/>
                <w:b/>
                <w:i/>
                <w:noProof/>
                <w:sz w:val="16"/>
              </w:rPr>
              <w:footnoteReference w:id="14"/>
            </w:r>
          </w:p>
          <w:p w14:paraId="1A6D7D22" w14:textId="77777777" w:rsidR="00277323" w:rsidRPr="000254DF" w:rsidRDefault="00277323" w:rsidP="00B31F98">
            <w:pPr>
              <w:pStyle w:val="Text1"/>
              <w:spacing w:beforeLines="20" w:before="48" w:afterLines="20" w:after="48"/>
              <w:ind w:left="136"/>
              <w:jc w:val="left"/>
              <w:rPr>
                <w:b/>
                <w:noProof/>
                <w:sz w:val="16"/>
                <w:szCs w:val="16"/>
              </w:rPr>
            </w:pPr>
          </w:p>
        </w:tc>
        <w:tc>
          <w:tcPr>
            <w:tcW w:w="1954" w:type="dxa"/>
            <w:shd w:val="clear" w:color="auto" w:fill="auto"/>
            <w:vAlign w:val="center"/>
          </w:tcPr>
          <w:p w14:paraId="75664C21" w14:textId="77777777" w:rsidR="00277323" w:rsidRPr="000254DF" w:rsidRDefault="00277323" w:rsidP="00B31F98">
            <w:pPr>
              <w:pStyle w:val="Text1"/>
              <w:spacing w:beforeLines="20" w:before="48" w:afterLines="20" w:after="48"/>
              <w:ind w:left="136"/>
              <w:jc w:val="left"/>
              <w:rPr>
                <w:b/>
                <w:noProof/>
                <w:sz w:val="16"/>
                <w:szCs w:val="16"/>
              </w:rPr>
            </w:pPr>
            <w:r w:rsidRPr="000254DF">
              <w:rPr>
                <w:noProof/>
                <w:sz w:val="16"/>
              </w:rPr>
              <w:t>0 galvenajā mītnē</w:t>
            </w:r>
          </w:p>
          <w:p w14:paraId="70837277" w14:textId="77777777" w:rsidR="00277323" w:rsidRPr="000254DF" w:rsidRDefault="00277323" w:rsidP="00B31F98">
            <w:pPr>
              <w:pStyle w:val="Text1"/>
              <w:spacing w:beforeLines="20" w:before="48" w:afterLines="20" w:after="48"/>
              <w:ind w:left="136"/>
              <w:jc w:val="left"/>
              <w:rPr>
                <w:b/>
                <w:noProof/>
                <w:sz w:val="16"/>
                <w:szCs w:val="16"/>
              </w:rPr>
            </w:pPr>
          </w:p>
        </w:tc>
        <w:tc>
          <w:tcPr>
            <w:tcW w:w="600" w:type="dxa"/>
            <w:shd w:val="clear" w:color="auto" w:fill="auto"/>
            <w:vAlign w:val="center"/>
          </w:tcPr>
          <w:p w14:paraId="7DCB2F65" w14:textId="77777777" w:rsidR="00277323" w:rsidRPr="000254DF" w:rsidRDefault="00277323" w:rsidP="00B31F98">
            <w:pPr>
              <w:pStyle w:val="Text1"/>
              <w:spacing w:beforeLines="20" w:before="48" w:afterLines="20" w:after="48"/>
              <w:ind w:left="0"/>
              <w:rPr>
                <w:noProof/>
                <w:sz w:val="16"/>
                <w:szCs w:val="16"/>
              </w:rPr>
            </w:pPr>
          </w:p>
        </w:tc>
        <w:tc>
          <w:tcPr>
            <w:tcW w:w="600" w:type="dxa"/>
            <w:shd w:val="clear" w:color="auto" w:fill="auto"/>
            <w:vAlign w:val="center"/>
          </w:tcPr>
          <w:p w14:paraId="76E632BE"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835A95E"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3DAF6F36"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E4A5265"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447B61F"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E229D66" w14:textId="77777777" w:rsidR="00277323" w:rsidRPr="000254DF" w:rsidRDefault="00277323" w:rsidP="00B31F98">
            <w:pPr>
              <w:spacing w:beforeLines="20" w:before="48" w:afterLines="20" w:after="48"/>
              <w:jc w:val="center"/>
              <w:rPr>
                <w:noProof/>
                <w:sz w:val="16"/>
                <w:szCs w:val="16"/>
              </w:rPr>
            </w:pPr>
          </w:p>
        </w:tc>
      </w:tr>
      <w:tr w:rsidR="00277323" w:rsidRPr="000254DF" w14:paraId="263A012D" w14:textId="77777777" w:rsidTr="00B31F98">
        <w:trPr>
          <w:gridBefore w:val="1"/>
          <w:wBefore w:w="13" w:type="dxa"/>
          <w:trHeight w:val="289"/>
          <w:jc w:val="center"/>
        </w:trPr>
        <w:tc>
          <w:tcPr>
            <w:tcW w:w="1952" w:type="dxa"/>
            <w:vMerge/>
            <w:shd w:val="clear" w:color="auto" w:fill="auto"/>
            <w:vAlign w:val="center"/>
          </w:tcPr>
          <w:p w14:paraId="3E7DBFDA" w14:textId="77777777" w:rsidR="00277323" w:rsidRPr="000254DF" w:rsidRDefault="00277323" w:rsidP="00B31F98">
            <w:pPr>
              <w:pStyle w:val="Text1"/>
              <w:spacing w:beforeLines="20" w:before="48" w:afterLines="20" w:after="48"/>
              <w:ind w:left="136"/>
              <w:jc w:val="left"/>
              <w:rPr>
                <w:b/>
                <w:noProof/>
                <w:sz w:val="16"/>
                <w:szCs w:val="16"/>
              </w:rPr>
            </w:pPr>
          </w:p>
        </w:tc>
        <w:tc>
          <w:tcPr>
            <w:tcW w:w="1954" w:type="dxa"/>
            <w:shd w:val="clear" w:color="auto" w:fill="auto"/>
            <w:vAlign w:val="center"/>
          </w:tcPr>
          <w:p w14:paraId="7935DDFE" w14:textId="77777777" w:rsidR="00277323" w:rsidRPr="000254DF" w:rsidRDefault="00277323" w:rsidP="00B31F98">
            <w:pPr>
              <w:pStyle w:val="Text1"/>
              <w:spacing w:beforeLines="20" w:before="48" w:afterLines="20" w:after="48"/>
              <w:ind w:left="136"/>
              <w:jc w:val="left"/>
              <w:rPr>
                <w:b/>
                <w:noProof/>
                <w:sz w:val="16"/>
                <w:szCs w:val="16"/>
              </w:rPr>
            </w:pPr>
            <w:r w:rsidRPr="000254DF">
              <w:rPr>
                <w:noProof/>
                <w:sz w:val="16"/>
              </w:rPr>
              <w:t xml:space="preserve">0 delegācijās </w:t>
            </w:r>
          </w:p>
        </w:tc>
        <w:tc>
          <w:tcPr>
            <w:tcW w:w="600" w:type="dxa"/>
            <w:shd w:val="clear" w:color="auto" w:fill="auto"/>
            <w:vAlign w:val="center"/>
          </w:tcPr>
          <w:p w14:paraId="22924446" w14:textId="77777777" w:rsidR="00277323" w:rsidRPr="000254DF" w:rsidRDefault="00277323" w:rsidP="00B31F98">
            <w:pPr>
              <w:pStyle w:val="Text1"/>
              <w:spacing w:beforeLines="20" w:before="48" w:afterLines="20" w:after="48"/>
              <w:ind w:left="0"/>
              <w:rPr>
                <w:noProof/>
                <w:sz w:val="16"/>
                <w:szCs w:val="16"/>
              </w:rPr>
            </w:pPr>
          </w:p>
        </w:tc>
        <w:tc>
          <w:tcPr>
            <w:tcW w:w="600" w:type="dxa"/>
            <w:shd w:val="clear" w:color="auto" w:fill="auto"/>
            <w:vAlign w:val="center"/>
          </w:tcPr>
          <w:p w14:paraId="6051F397"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2FAD09B"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2B21A19A"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4415BE0"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1A6E6C6E"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19427973" w14:textId="77777777" w:rsidR="00277323" w:rsidRPr="000254DF" w:rsidRDefault="00277323" w:rsidP="00B31F98">
            <w:pPr>
              <w:spacing w:beforeLines="20" w:before="48" w:afterLines="20" w:after="48"/>
              <w:jc w:val="center"/>
              <w:rPr>
                <w:noProof/>
                <w:sz w:val="16"/>
                <w:szCs w:val="16"/>
              </w:rPr>
            </w:pPr>
          </w:p>
        </w:tc>
      </w:tr>
      <w:tr w:rsidR="00277323" w:rsidRPr="000254DF" w14:paraId="594C0D1A" w14:textId="77777777" w:rsidTr="00B31F98">
        <w:trPr>
          <w:gridBefore w:val="1"/>
          <w:wBefore w:w="13" w:type="dxa"/>
          <w:trHeight w:val="289"/>
          <w:jc w:val="center"/>
        </w:trPr>
        <w:tc>
          <w:tcPr>
            <w:tcW w:w="3906" w:type="dxa"/>
            <w:gridSpan w:val="2"/>
            <w:shd w:val="clear" w:color="auto" w:fill="auto"/>
            <w:vAlign w:val="center"/>
          </w:tcPr>
          <w:p w14:paraId="1A4BF15E" w14:textId="77777777" w:rsidR="00277323" w:rsidRPr="000254DF" w:rsidRDefault="00277323" w:rsidP="00B31F98">
            <w:pPr>
              <w:pStyle w:val="Text1"/>
              <w:spacing w:beforeLines="20" w:before="48" w:afterLines="20" w:after="48"/>
              <w:ind w:left="136"/>
              <w:jc w:val="left"/>
              <w:rPr>
                <w:noProof/>
                <w:sz w:val="16"/>
                <w:szCs w:val="16"/>
              </w:rPr>
            </w:pPr>
            <w:r w:rsidRPr="000254DF">
              <w:rPr>
                <w:b/>
                <w:noProof/>
                <w:sz w:val="16"/>
                <w:szCs w:val="16"/>
              </w:rPr>
              <w:t>XX</w:t>
            </w:r>
            <w:r w:rsidRPr="000254DF">
              <w:rPr>
                <w:noProof/>
                <w:sz w:val="16"/>
                <w:szCs w:val="16"/>
              </w:rPr>
              <w:t xml:space="preserve"> 01 05 02/12/22 (</w:t>
            </w:r>
            <w:r w:rsidRPr="000254DF">
              <w:rPr>
                <w:i/>
                <w:iCs/>
                <w:noProof/>
                <w:sz w:val="16"/>
                <w:szCs w:val="16"/>
              </w:rPr>
              <w:t>AC</w:t>
            </w:r>
            <w:r w:rsidRPr="000254DF">
              <w:rPr>
                <w:noProof/>
                <w:sz w:val="16"/>
                <w:szCs w:val="16"/>
              </w:rPr>
              <w:t xml:space="preserve">, </w:t>
            </w:r>
            <w:r w:rsidRPr="000254DF">
              <w:rPr>
                <w:i/>
                <w:iCs/>
                <w:noProof/>
                <w:sz w:val="16"/>
                <w:szCs w:val="16"/>
              </w:rPr>
              <w:t>END</w:t>
            </w:r>
            <w:r w:rsidRPr="000254DF">
              <w:rPr>
                <w:noProof/>
                <w:sz w:val="16"/>
                <w:szCs w:val="16"/>
              </w:rPr>
              <w:t xml:space="preserve">, </w:t>
            </w:r>
            <w:r w:rsidRPr="000254DF">
              <w:rPr>
                <w:i/>
                <w:iCs/>
                <w:noProof/>
                <w:sz w:val="16"/>
                <w:szCs w:val="16"/>
              </w:rPr>
              <w:t>INT</w:t>
            </w:r>
            <w:r w:rsidRPr="000254DF">
              <w:rPr>
                <w:noProof/>
                <w:sz w:val="16"/>
                <w:szCs w:val="16"/>
              </w:rPr>
              <w:t xml:space="preserve"> 0 netiešā pētniecība)</w:t>
            </w:r>
          </w:p>
        </w:tc>
        <w:tc>
          <w:tcPr>
            <w:tcW w:w="600" w:type="dxa"/>
            <w:shd w:val="clear" w:color="auto" w:fill="auto"/>
            <w:vAlign w:val="center"/>
          </w:tcPr>
          <w:p w14:paraId="6E776AB4"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6456722"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F928B58"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13F8A2E3"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48D91DE"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621BC5B"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743A634" w14:textId="77777777" w:rsidR="00277323" w:rsidRPr="000254DF" w:rsidRDefault="00277323" w:rsidP="00B31F98">
            <w:pPr>
              <w:spacing w:beforeLines="20" w:before="48" w:afterLines="20" w:after="48"/>
              <w:jc w:val="center"/>
              <w:rPr>
                <w:noProof/>
                <w:sz w:val="16"/>
                <w:szCs w:val="16"/>
              </w:rPr>
            </w:pPr>
          </w:p>
        </w:tc>
      </w:tr>
      <w:tr w:rsidR="00277323" w:rsidRPr="000254DF" w14:paraId="5273697A" w14:textId="77777777" w:rsidTr="00B31F98">
        <w:trPr>
          <w:gridBefore w:val="1"/>
          <w:wBefore w:w="13" w:type="dxa"/>
          <w:trHeight w:val="289"/>
          <w:jc w:val="center"/>
        </w:trPr>
        <w:tc>
          <w:tcPr>
            <w:tcW w:w="3906" w:type="dxa"/>
            <w:gridSpan w:val="2"/>
            <w:shd w:val="clear" w:color="auto" w:fill="auto"/>
            <w:vAlign w:val="center"/>
          </w:tcPr>
          <w:p w14:paraId="559F9415" w14:textId="77777777" w:rsidR="00277323" w:rsidRPr="000254DF" w:rsidRDefault="00277323" w:rsidP="00B31F98">
            <w:pPr>
              <w:pStyle w:val="Text1"/>
              <w:spacing w:beforeLines="20" w:before="48" w:afterLines="20" w:after="48"/>
              <w:ind w:left="136"/>
              <w:jc w:val="left"/>
              <w:rPr>
                <w:noProof/>
                <w:sz w:val="16"/>
                <w:szCs w:val="16"/>
              </w:rPr>
            </w:pPr>
            <w:r w:rsidRPr="000254DF">
              <w:rPr>
                <w:noProof/>
                <w:sz w:val="16"/>
              </w:rPr>
              <w:t>10 01 05 02/12 (</w:t>
            </w:r>
            <w:r w:rsidRPr="000254DF">
              <w:rPr>
                <w:i/>
                <w:iCs/>
                <w:noProof/>
                <w:sz w:val="16"/>
              </w:rPr>
              <w:t>AC</w:t>
            </w:r>
            <w:r w:rsidRPr="000254DF">
              <w:rPr>
                <w:noProof/>
                <w:sz w:val="16"/>
              </w:rPr>
              <w:t xml:space="preserve">, </w:t>
            </w:r>
            <w:r w:rsidRPr="000254DF">
              <w:rPr>
                <w:i/>
                <w:iCs/>
                <w:noProof/>
                <w:sz w:val="16"/>
              </w:rPr>
              <w:t>END</w:t>
            </w:r>
            <w:r w:rsidRPr="000254DF">
              <w:rPr>
                <w:noProof/>
                <w:sz w:val="16"/>
              </w:rPr>
              <w:t xml:space="preserve">, </w:t>
            </w:r>
            <w:r w:rsidRPr="000254DF">
              <w:rPr>
                <w:i/>
                <w:iCs/>
                <w:noProof/>
                <w:sz w:val="16"/>
              </w:rPr>
              <w:t>INT</w:t>
            </w:r>
            <w:r w:rsidRPr="000254DF">
              <w:rPr>
                <w:noProof/>
                <w:sz w:val="16"/>
              </w:rPr>
              <w:t xml:space="preserve"> 0 tiešā pētniecība)</w:t>
            </w:r>
          </w:p>
        </w:tc>
        <w:tc>
          <w:tcPr>
            <w:tcW w:w="600" w:type="dxa"/>
            <w:shd w:val="clear" w:color="auto" w:fill="auto"/>
            <w:vAlign w:val="center"/>
          </w:tcPr>
          <w:p w14:paraId="6600CA36"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475A58A0"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006D840"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51A2FF31"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7524E306"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2326506C" w14:textId="77777777" w:rsidR="00277323" w:rsidRPr="000254DF" w:rsidRDefault="00277323" w:rsidP="00B31F98">
            <w:pPr>
              <w:spacing w:beforeLines="20" w:before="48" w:afterLines="20" w:after="48"/>
              <w:jc w:val="center"/>
              <w:rPr>
                <w:noProof/>
                <w:sz w:val="16"/>
                <w:szCs w:val="16"/>
              </w:rPr>
            </w:pPr>
          </w:p>
        </w:tc>
        <w:tc>
          <w:tcPr>
            <w:tcW w:w="600" w:type="dxa"/>
            <w:shd w:val="clear" w:color="auto" w:fill="auto"/>
            <w:vAlign w:val="center"/>
          </w:tcPr>
          <w:p w14:paraId="0FE800CD" w14:textId="77777777" w:rsidR="00277323" w:rsidRPr="000254DF" w:rsidRDefault="00277323" w:rsidP="00B31F98">
            <w:pPr>
              <w:spacing w:beforeLines="20" w:before="48" w:afterLines="20" w:after="48"/>
              <w:jc w:val="center"/>
              <w:rPr>
                <w:noProof/>
                <w:sz w:val="16"/>
                <w:szCs w:val="16"/>
              </w:rPr>
            </w:pPr>
          </w:p>
        </w:tc>
      </w:tr>
      <w:tr w:rsidR="00277323" w:rsidRPr="000254DF" w14:paraId="0DEDF6CB" w14:textId="77777777" w:rsidTr="00B31F98">
        <w:trPr>
          <w:gridBefore w:val="1"/>
          <w:wBefore w:w="13" w:type="dxa"/>
          <w:trHeight w:val="289"/>
          <w:jc w:val="center"/>
        </w:trPr>
        <w:tc>
          <w:tcPr>
            <w:tcW w:w="3906" w:type="dxa"/>
            <w:gridSpan w:val="2"/>
            <w:tcBorders>
              <w:bottom w:val="double" w:sz="4" w:space="0" w:color="auto"/>
            </w:tcBorders>
            <w:shd w:val="clear" w:color="auto" w:fill="auto"/>
            <w:vAlign w:val="center"/>
          </w:tcPr>
          <w:p w14:paraId="30A23F38" w14:textId="77777777" w:rsidR="00277323" w:rsidRPr="000254DF" w:rsidRDefault="00277323" w:rsidP="00B31F98">
            <w:pPr>
              <w:pStyle w:val="Text1"/>
              <w:spacing w:beforeLines="20" w:before="48" w:afterLines="20" w:after="48"/>
              <w:ind w:left="134"/>
              <w:jc w:val="left"/>
              <w:rPr>
                <w:noProof/>
                <w:sz w:val="16"/>
                <w:szCs w:val="16"/>
              </w:rPr>
            </w:pPr>
            <w:r w:rsidRPr="000254DF">
              <w:rPr>
                <w:noProof/>
                <w:sz w:val="16"/>
              </w:rPr>
              <w:t>Citas budžeta pozīcijas (norādīt)</w:t>
            </w:r>
          </w:p>
        </w:tc>
        <w:tc>
          <w:tcPr>
            <w:tcW w:w="600" w:type="dxa"/>
            <w:tcBorders>
              <w:bottom w:val="double" w:sz="4" w:space="0" w:color="auto"/>
            </w:tcBorders>
            <w:shd w:val="clear" w:color="auto" w:fill="auto"/>
            <w:vAlign w:val="center"/>
          </w:tcPr>
          <w:p w14:paraId="5B600F46" w14:textId="77777777" w:rsidR="00277323" w:rsidRPr="000254DF" w:rsidRDefault="00277323" w:rsidP="00B31F98">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14:paraId="0F36D8A9" w14:textId="77777777" w:rsidR="00277323" w:rsidRPr="000254DF" w:rsidRDefault="00277323" w:rsidP="00B31F98">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14:paraId="462271E8" w14:textId="77777777" w:rsidR="00277323" w:rsidRPr="000254DF" w:rsidRDefault="00277323" w:rsidP="00B31F98">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14:paraId="3278B90F" w14:textId="77777777" w:rsidR="00277323" w:rsidRPr="000254DF" w:rsidRDefault="00277323" w:rsidP="00B31F98">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14:paraId="5C603DE1" w14:textId="77777777" w:rsidR="00277323" w:rsidRPr="000254DF" w:rsidRDefault="00277323" w:rsidP="00B31F98">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14:paraId="7332BAE0" w14:textId="77777777" w:rsidR="00277323" w:rsidRPr="000254DF" w:rsidRDefault="00277323" w:rsidP="00B31F98">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14:paraId="7C3810EB" w14:textId="77777777" w:rsidR="00277323" w:rsidRPr="000254DF" w:rsidRDefault="00277323" w:rsidP="00B31F98">
            <w:pPr>
              <w:spacing w:beforeLines="20" w:before="48" w:afterLines="20" w:after="48"/>
              <w:jc w:val="center"/>
              <w:rPr>
                <w:noProof/>
                <w:sz w:val="16"/>
                <w:szCs w:val="16"/>
              </w:rPr>
            </w:pPr>
          </w:p>
        </w:tc>
      </w:tr>
      <w:tr w:rsidR="00277323" w:rsidRPr="000254DF" w14:paraId="3DE81B45" w14:textId="77777777" w:rsidTr="00B31F98">
        <w:trPr>
          <w:gridBefore w:val="1"/>
          <w:wBefore w:w="13" w:type="dxa"/>
          <w:trHeight w:val="289"/>
          <w:jc w:val="center"/>
        </w:trPr>
        <w:tc>
          <w:tcPr>
            <w:tcW w:w="3906" w:type="dxa"/>
            <w:gridSpan w:val="2"/>
            <w:tcBorders>
              <w:top w:val="double" w:sz="4" w:space="0" w:color="auto"/>
            </w:tcBorders>
            <w:shd w:val="clear" w:color="auto" w:fill="auto"/>
            <w:vAlign w:val="center"/>
          </w:tcPr>
          <w:p w14:paraId="7D21811D" w14:textId="77777777" w:rsidR="00277323" w:rsidRPr="000254DF" w:rsidRDefault="00277323" w:rsidP="00B31F98">
            <w:pPr>
              <w:pStyle w:val="Text1"/>
              <w:spacing w:beforeLines="20" w:before="48" w:afterLines="20" w:after="48"/>
              <w:ind w:left="136"/>
              <w:jc w:val="left"/>
              <w:rPr>
                <w:noProof/>
                <w:sz w:val="16"/>
                <w:szCs w:val="16"/>
              </w:rPr>
            </w:pPr>
            <w:r w:rsidRPr="000254DF">
              <w:rPr>
                <w:b/>
                <w:noProof/>
                <w:sz w:val="16"/>
              </w:rPr>
              <w:t>KOPĀ</w:t>
            </w:r>
          </w:p>
        </w:tc>
        <w:tc>
          <w:tcPr>
            <w:tcW w:w="600" w:type="dxa"/>
            <w:tcBorders>
              <w:top w:val="double" w:sz="4" w:space="0" w:color="auto"/>
            </w:tcBorders>
            <w:shd w:val="clear" w:color="auto" w:fill="auto"/>
            <w:vAlign w:val="center"/>
          </w:tcPr>
          <w:p w14:paraId="09633EA8" w14:textId="77777777" w:rsidR="00277323" w:rsidRPr="000254DF" w:rsidRDefault="00277323" w:rsidP="00B31F98">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14:paraId="3F677618" w14:textId="77777777" w:rsidR="00277323" w:rsidRPr="000254DF" w:rsidRDefault="00277323" w:rsidP="00B31F98">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14:paraId="7F2A3FFF" w14:textId="77777777" w:rsidR="00277323" w:rsidRPr="000254DF" w:rsidRDefault="00277323" w:rsidP="00B31F98">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14:paraId="12E60C35" w14:textId="77777777" w:rsidR="00277323" w:rsidRPr="000254DF" w:rsidRDefault="00277323" w:rsidP="00B31F98">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14:paraId="1E6EF664" w14:textId="77777777" w:rsidR="00277323" w:rsidRPr="000254DF" w:rsidRDefault="00277323" w:rsidP="00B31F98">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14:paraId="21EF2974" w14:textId="77777777" w:rsidR="00277323" w:rsidRPr="000254DF" w:rsidRDefault="00277323" w:rsidP="00B31F98">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14:paraId="6F1619C9" w14:textId="77777777" w:rsidR="00277323" w:rsidRPr="000254DF" w:rsidRDefault="00277323" w:rsidP="00B31F98">
            <w:pPr>
              <w:spacing w:beforeLines="20" w:before="48" w:afterLines="20" w:after="48"/>
              <w:jc w:val="center"/>
              <w:rPr>
                <w:b/>
                <w:noProof/>
                <w:sz w:val="16"/>
                <w:szCs w:val="16"/>
              </w:rPr>
            </w:pPr>
          </w:p>
        </w:tc>
      </w:tr>
    </w:tbl>
    <w:p w14:paraId="0C6B0B99" w14:textId="77777777" w:rsidR="00277323" w:rsidRPr="000254DF" w:rsidRDefault="00277323" w:rsidP="00277323">
      <w:pPr>
        <w:pStyle w:val="Text1"/>
        <w:spacing w:before="60" w:after="60"/>
        <w:ind w:left="851"/>
        <w:rPr>
          <w:noProof/>
          <w:sz w:val="18"/>
          <w:szCs w:val="18"/>
        </w:rPr>
      </w:pPr>
      <w:r w:rsidRPr="000254DF">
        <w:rPr>
          <w:b/>
          <w:noProof/>
          <w:sz w:val="18"/>
          <w:szCs w:val="18"/>
        </w:rPr>
        <w:t>XX</w:t>
      </w:r>
      <w:r w:rsidRPr="000254DF">
        <w:rPr>
          <w:noProof/>
          <w:sz w:val="18"/>
          <w:szCs w:val="18"/>
        </w:rPr>
        <w:t xml:space="preserve"> ir attiecīgā politikas joma vai budžeta sadaļa.</w:t>
      </w:r>
    </w:p>
    <w:p w14:paraId="01A8A4C8" w14:textId="77777777" w:rsidR="00277323" w:rsidRPr="000254DF" w:rsidRDefault="00277323" w:rsidP="00277323">
      <w:pPr>
        <w:pStyle w:val="Text1"/>
        <w:rPr>
          <w:noProof/>
          <w:sz w:val="18"/>
          <w:szCs w:val="18"/>
        </w:rPr>
      </w:pPr>
      <w:r w:rsidRPr="000254DF">
        <w:rPr>
          <w:noProof/>
          <w:sz w:val="18"/>
        </w:rPr>
        <w:t>Nepieciešamie cilvēkresursi tiks nodrošināti, izmantojot attiecīgā ĢD darbiniekus, kuri jau ir iesaistīti konkrētās darbības pārvaldībā un/vai ir pārgrupēti attiecīgajā ĢD, vajadzības gadījumā izmantojot arī vadošajam ĢD gada budžeta sadales procedūrā piešķirtos papildu resursus un ņemot vērā budžeta ierobežojumus.</w:t>
      </w:r>
    </w:p>
    <w:p w14:paraId="3DC648F9" w14:textId="77777777" w:rsidR="00277323" w:rsidRPr="000254DF" w:rsidRDefault="00277323" w:rsidP="00277323">
      <w:pPr>
        <w:rPr>
          <w:noProof/>
          <w:sz w:val="20"/>
        </w:rPr>
      </w:pPr>
      <w:r w:rsidRPr="000254DF">
        <w:rPr>
          <w:noProof/>
          <w:sz w:val="20"/>
        </w:rPr>
        <w:t>Veicamo uzdevumu apraksts: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277323" w:rsidRPr="000254DF" w14:paraId="6811D067" w14:textId="77777777" w:rsidTr="00B31F98">
        <w:tc>
          <w:tcPr>
            <w:tcW w:w="3240" w:type="dxa"/>
          </w:tcPr>
          <w:p w14:paraId="7AEA5AC3" w14:textId="77777777" w:rsidR="00277323" w:rsidRPr="000254DF" w:rsidRDefault="00277323" w:rsidP="00B31F98">
            <w:pPr>
              <w:rPr>
                <w:noProof/>
                <w:sz w:val="20"/>
              </w:rPr>
            </w:pPr>
            <w:r w:rsidRPr="000254DF">
              <w:rPr>
                <w:noProof/>
                <w:sz w:val="20"/>
              </w:rPr>
              <w:t>Ierēdņi un pagaidu darbinieki</w:t>
            </w:r>
          </w:p>
        </w:tc>
        <w:tc>
          <w:tcPr>
            <w:tcW w:w="7200" w:type="dxa"/>
          </w:tcPr>
          <w:p w14:paraId="0BA8DC23" w14:textId="77777777" w:rsidR="00277323" w:rsidRPr="000254DF" w:rsidRDefault="00277323" w:rsidP="00B31F98">
            <w:pPr>
              <w:rPr>
                <w:noProof/>
                <w:sz w:val="20"/>
              </w:rPr>
            </w:pPr>
          </w:p>
        </w:tc>
      </w:tr>
      <w:tr w:rsidR="00277323" w:rsidRPr="000254DF" w14:paraId="63A6353F" w14:textId="77777777" w:rsidTr="00B31F98">
        <w:tc>
          <w:tcPr>
            <w:tcW w:w="3240" w:type="dxa"/>
          </w:tcPr>
          <w:p w14:paraId="0E74E746" w14:textId="77777777" w:rsidR="00277323" w:rsidRPr="000254DF" w:rsidRDefault="00277323" w:rsidP="00B31F98">
            <w:pPr>
              <w:spacing w:before="60" w:after="60"/>
              <w:rPr>
                <w:noProof/>
                <w:sz w:val="20"/>
              </w:rPr>
            </w:pPr>
            <w:r w:rsidRPr="000254DF">
              <w:rPr>
                <w:noProof/>
                <w:sz w:val="20"/>
              </w:rPr>
              <w:t>Ārštata darbinieki</w:t>
            </w:r>
          </w:p>
        </w:tc>
        <w:tc>
          <w:tcPr>
            <w:tcW w:w="7200" w:type="dxa"/>
          </w:tcPr>
          <w:p w14:paraId="35D91277" w14:textId="77777777" w:rsidR="00277323" w:rsidRPr="000254DF" w:rsidRDefault="00277323" w:rsidP="00B31F98">
            <w:pPr>
              <w:rPr>
                <w:noProof/>
                <w:sz w:val="20"/>
              </w:rPr>
            </w:pPr>
          </w:p>
        </w:tc>
      </w:tr>
    </w:tbl>
    <w:p w14:paraId="7A559FCE" w14:textId="77777777" w:rsidR="00277323" w:rsidRPr="000254DF" w:rsidRDefault="00277323" w:rsidP="00277323">
      <w:pPr>
        <w:rPr>
          <w:noProof/>
        </w:rPr>
        <w:sectPr w:rsidR="00277323" w:rsidRPr="000254DF" w:rsidSect="00400A03">
          <w:pgSz w:w="11907" w:h="16840"/>
          <w:pgMar w:top="1134" w:right="1418" w:bottom="1134" w:left="1418" w:header="709" w:footer="709" w:gutter="0"/>
          <w:cols w:space="708"/>
          <w:docGrid w:linePitch="360"/>
        </w:sectPr>
      </w:pPr>
    </w:p>
    <w:p w14:paraId="41E08D95" w14:textId="146377FB" w:rsidR="00277323" w:rsidRPr="000254DF" w:rsidRDefault="006039A2" w:rsidP="006039A2">
      <w:pPr>
        <w:pStyle w:val="ManualHeading3"/>
        <w:rPr>
          <w:noProof/>
        </w:rPr>
      </w:pPr>
      <w:bookmarkStart w:id="59" w:name="_Toc514938056"/>
      <w:bookmarkStart w:id="60" w:name="_Toc520485055"/>
      <w:r w:rsidRPr="006039A2">
        <w:t>3.2.4.</w:t>
      </w:r>
      <w:r w:rsidRPr="006039A2">
        <w:tab/>
      </w:r>
      <w:r w:rsidR="00277323" w:rsidRPr="000254DF">
        <w:rPr>
          <w:noProof/>
        </w:rPr>
        <w:t>Saderība ar pašreizējo daudzgadu finanšu shēmu</w:t>
      </w:r>
      <w:bookmarkEnd w:id="59"/>
      <w:bookmarkEnd w:id="60"/>
      <w:r w:rsidR="00277323" w:rsidRPr="000254DF">
        <w:rPr>
          <w:noProof/>
        </w:rPr>
        <w:t xml:space="preserve"> </w:t>
      </w:r>
    </w:p>
    <w:p w14:paraId="5EA46EC2" w14:textId="77777777" w:rsidR="00277323" w:rsidRPr="000254DF" w:rsidRDefault="00277323" w:rsidP="00277323">
      <w:pPr>
        <w:pStyle w:val="Text1"/>
        <w:rPr>
          <w:noProof/>
        </w:rPr>
      </w:pPr>
      <w:r w:rsidRPr="000254DF">
        <w:rPr>
          <w:noProof/>
        </w:rPr>
        <w:t>Priekšlikuma/iniciatīvas finansēšanai:</w:t>
      </w:r>
    </w:p>
    <w:p w14:paraId="6539FC50" w14:textId="77777777" w:rsidR="00277323" w:rsidRPr="000254DF" w:rsidRDefault="00277323" w:rsidP="00277323">
      <w:pPr>
        <w:pStyle w:val="ListDash1"/>
        <w:rPr>
          <w:noProof/>
        </w:rPr>
      </w:pPr>
      <w:r w:rsidRPr="000254DF">
        <w:rPr>
          <w:noProof/>
        </w:rPr>
        <w:t>X</w:t>
      </w:r>
      <w:r w:rsidRPr="000254DF">
        <w:rPr>
          <w:noProof/>
        </w:rPr>
        <w:tab/>
        <w:t>pilnībā pietiek ar līdzekļu pārvietošanu daudzgadu finanšu shēmas (DFS) attiecīgajā izdevumu kategorijā</w:t>
      </w:r>
    </w:p>
    <w:p w14:paraId="7C918238"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sz w:val="20"/>
        </w:rPr>
      </w:pPr>
      <w:r w:rsidRPr="000254DF">
        <w:rPr>
          <w:noProof/>
          <w:sz w:val="20"/>
        </w:rPr>
        <w:t>Aprakstiet, kas jāpārplāno, norādot attiecīgās budžeta pozīcijas un summas.</w:t>
      </w:r>
      <w:r w:rsidRPr="000254DF">
        <w:rPr>
          <w:noProof/>
        </w:rPr>
        <w:t xml:space="preserve"> </w:t>
      </w:r>
      <w:r w:rsidRPr="000254DF">
        <w:rPr>
          <w:noProof/>
          <w:sz w:val="20"/>
        </w:rPr>
        <w:t>Lielas pārplānošanas gadījumā sniedziet Excel tabulu.</w:t>
      </w:r>
    </w:p>
    <w:p w14:paraId="753D9387" w14:textId="77777777" w:rsidR="00277323" w:rsidRPr="000254DF" w:rsidRDefault="00277323" w:rsidP="00277323">
      <w:pPr>
        <w:pStyle w:val="ListDash1"/>
        <w:rPr>
          <w:noProof/>
        </w:rPr>
      </w:pPr>
      <w:r w:rsidRPr="000254DF">
        <w:rPr>
          <w:noProof/>
        </w:rPr>
        <w:sym w:font="Wingdings" w:char="F0A8"/>
      </w:r>
      <w:r w:rsidRPr="000254DF">
        <w:rPr>
          <w:noProof/>
        </w:rPr>
        <w:tab/>
        <w:t>jāizmanto no DFS attiecīgās izdevumu kategorijas nepiešķirtās rezerves un/vai īpašie instrumenti, kas noteikti DFS regulā</w:t>
      </w:r>
    </w:p>
    <w:p w14:paraId="5651A58B"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sz w:val="20"/>
        </w:rPr>
      </w:pPr>
      <w:r w:rsidRPr="000254DF">
        <w:rPr>
          <w:noProof/>
          <w:sz w:val="20"/>
        </w:rPr>
        <w:t>Paskaidrojiet, kas jādara, norādot attiecīgās izdevumu kategorijas un budžeta pozīcijas, atbilstošās summas un instrumentus, kurus ierosināts izmantot.</w:t>
      </w:r>
    </w:p>
    <w:p w14:paraId="154896F2" w14:textId="77777777" w:rsidR="00277323" w:rsidRPr="000254DF" w:rsidRDefault="00277323" w:rsidP="00277323">
      <w:pPr>
        <w:pStyle w:val="ListDash1"/>
        <w:rPr>
          <w:noProof/>
        </w:rPr>
      </w:pPr>
      <w:r w:rsidRPr="000254DF">
        <w:rPr>
          <w:noProof/>
        </w:rPr>
        <w:sym w:font="Wingdings" w:char="F0A8"/>
      </w:r>
      <w:r w:rsidRPr="000254DF">
        <w:rPr>
          <w:noProof/>
        </w:rPr>
        <w:tab/>
        <w:t>jāpārskata DFS</w:t>
      </w:r>
    </w:p>
    <w:p w14:paraId="1CD38667"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sz w:val="20"/>
        </w:rPr>
      </w:pPr>
      <w:r w:rsidRPr="000254DF">
        <w:rPr>
          <w:noProof/>
          <w:sz w:val="20"/>
        </w:rPr>
        <w:t>Paskaidrojiet, kas jādara, norādot attiecīgās izdevumu kategorijas, budžeta pozīcijas un atbilstošās summas.</w:t>
      </w:r>
    </w:p>
    <w:p w14:paraId="79D7D1A4" w14:textId="6E56D62D" w:rsidR="00277323" w:rsidRPr="000254DF" w:rsidRDefault="006039A2" w:rsidP="006039A2">
      <w:pPr>
        <w:pStyle w:val="ManualHeading3"/>
        <w:rPr>
          <w:bCs/>
          <w:noProof/>
          <w:szCs w:val="24"/>
        </w:rPr>
      </w:pPr>
      <w:bookmarkStart w:id="61" w:name="_Toc514938058"/>
      <w:bookmarkStart w:id="62" w:name="_Toc520485056"/>
      <w:r w:rsidRPr="006039A2">
        <w:t>3.2.5.</w:t>
      </w:r>
      <w:r w:rsidRPr="006039A2">
        <w:tab/>
      </w:r>
      <w:r w:rsidR="00277323" w:rsidRPr="000254DF">
        <w:rPr>
          <w:noProof/>
        </w:rPr>
        <w:t>Trešo personu iemaksas</w:t>
      </w:r>
      <w:bookmarkEnd w:id="61"/>
      <w:bookmarkEnd w:id="62"/>
      <w:r w:rsidR="00277323" w:rsidRPr="000254DF">
        <w:rPr>
          <w:noProof/>
        </w:rPr>
        <w:t xml:space="preserve"> </w:t>
      </w:r>
    </w:p>
    <w:p w14:paraId="67927191" w14:textId="77777777" w:rsidR="00277323" w:rsidRPr="000254DF" w:rsidRDefault="00277323" w:rsidP="00277323">
      <w:pPr>
        <w:pStyle w:val="Text1"/>
        <w:rPr>
          <w:noProof/>
        </w:rPr>
      </w:pPr>
      <w:r w:rsidRPr="000254DF">
        <w:rPr>
          <w:noProof/>
        </w:rPr>
        <w:t>Priekšlikums/iniciatīva:</w:t>
      </w:r>
    </w:p>
    <w:p w14:paraId="781BC494" w14:textId="77777777" w:rsidR="00277323" w:rsidRPr="000254DF" w:rsidRDefault="00277323" w:rsidP="00277323">
      <w:pPr>
        <w:pStyle w:val="ListDash1"/>
        <w:rPr>
          <w:noProof/>
        </w:rPr>
      </w:pPr>
      <w:r w:rsidRPr="000254DF">
        <w:rPr>
          <w:noProof/>
        </w:rPr>
        <w:sym w:font="Wingdings" w:char="F0A8"/>
      </w:r>
      <w:r w:rsidRPr="000254DF">
        <w:rPr>
          <w:noProof/>
        </w:rPr>
        <w:tab/>
        <w:t>neparedz trešo personu līdzfinansējumu</w:t>
      </w:r>
    </w:p>
    <w:p w14:paraId="5C515A19" w14:textId="77777777" w:rsidR="00277323" w:rsidRPr="000254DF" w:rsidRDefault="00277323" w:rsidP="00277323">
      <w:pPr>
        <w:pStyle w:val="ListDash1"/>
        <w:rPr>
          <w:noProof/>
        </w:rPr>
      </w:pPr>
      <w:r w:rsidRPr="000254DF">
        <w:rPr>
          <w:noProof/>
        </w:rPr>
        <w:sym w:font="Wingdings" w:char="F0A8"/>
      </w:r>
      <w:r w:rsidRPr="000254DF">
        <w:rPr>
          <w:noProof/>
        </w:rPr>
        <w:tab/>
        <w:t>paredz trešo personu sniegtu līdzfinansējumu atbilstoši šādai aplēsei:</w:t>
      </w:r>
    </w:p>
    <w:p w14:paraId="37FA667F" w14:textId="77777777" w:rsidR="00277323" w:rsidRPr="000254DF" w:rsidRDefault="00277323" w:rsidP="00277323">
      <w:pPr>
        <w:jc w:val="right"/>
        <w:rPr>
          <w:noProof/>
          <w:sz w:val="20"/>
        </w:rPr>
      </w:pPr>
      <w:r w:rsidRPr="000254DF">
        <w:rPr>
          <w:noProof/>
          <w:sz w:val="20"/>
        </w:rPr>
        <w:t>Apropriācijas miljonos EUR (trīs zīmes aiz komata)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277323" w:rsidRPr="000254DF" w14:paraId="7AB3D0BE" w14:textId="77777777" w:rsidTr="00B31F98">
        <w:trPr>
          <w:cantSplit/>
        </w:trPr>
        <w:tc>
          <w:tcPr>
            <w:tcW w:w="2340" w:type="dxa"/>
          </w:tcPr>
          <w:p w14:paraId="1C3AE1D1" w14:textId="77777777" w:rsidR="00277323" w:rsidRPr="000254DF" w:rsidRDefault="00277323" w:rsidP="00B31F98">
            <w:pPr>
              <w:spacing w:before="60" w:after="60"/>
              <w:rPr>
                <w:noProof/>
                <w:sz w:val="20"/>
              </w:rPr>
            </w:pPr>
          </w:p>
        </w:tc>
        <w:tc>
          <w:tcPr>
            <w:tcW w:w="964" w:type="dxa"/>
            <w:vAlign w:val="center"/>
          </w:tcPr>
          <w:p w14:paraId="19F5D3F0" w14:textId="77777777" w:rsidR="00277323" w:rsidRPr="000254DF" w:rsidRDefault="00277323" w:rsidP="00B31F98">
            <w:pPr>
              <w:jc w:val="center"/>
              <w:rPr>
                <w:noProof/>
                <w:sz w:val="20"/>
              </w:rPr>
            </w:pPr>
            <w:r w:rsidRPr="000254DF">
              <w:rPr>
                <w:b/>
                <w:noProof/>
                <w:sz w:val="20"/>
              </w:rPr>
              <w:t>N</w:t>
            </w:r>
            <w:r w:rsidRPr="000254DF">
              <w:rPr>
                <w:noProof/>
              </w:rPr>
              <w:br/>
            </w:r>
            <w:r w:rsidRPr="000254DF">
              <w:rPr>
                <w:noProof/>
                <w:sz w:val="20"/>
              </w:rPr>
              <w:t>gads</w:t>
            </w:r>
            <w:r w:rsidRPr="000254DF">
              <w:rPr>
                <w:rStyle w:val="FootnoteReference"/>
                <w:b/>
                <w:noProof/>
                <w:sz w:val="20"/>
              </w:rPr>
              <w:footnoteReference w:id="15"/>
            </w:r>
          </w:p>
        </w:tc>
        <w:tc>
          <w:tcPr>
            <w:tcW w:w="964" w:type="dxa"/>
            <w:vAlign w:val="center"/>
          </w:tcPr>
          <w:p w14:paraId="06D05CD5" w14:textId="77777777" w:rsidR="00277323" w:rsidRPr="000254DF" w:rsidRDefault="00277323" w:rsidP="00B31F98">
            <w:pPr>
              <w:jc w:val="center"/>
              <w:rPr>
                <w:noProof/>
                <w:sz w:val="20"/>
              </w:rPr>
            </w:pPr>
            <w:r w:rsidRPr="000254DF">
              <w:rPr>
                <w:b/>
                <w:noProof/>
                <w:sz w:val="20"/>
              </w:rPr>
              <w:t>N+1</w:t>
            </w:r>
            <w:r w:rsidRPr="000254DF">
              <w:rPr>
                <w:noProof/>
              </w:rPr>
              <w:br/>
            </w:r>
            <w:r w:rsidRPr="000254DF">
              <w:rPr>
                <w:noProof/>
                <w:sz w:val="20"/>
              </w:rPr>
              <w:t>gads</w:t>
            </w:r>
          </w:p>
        </w:tc>
        <w:tc>
          <w:tcPr>
            <w:tcW w:w="964" w:type="dxa"/>
            <w:vAlign w:val="center"/>
          </w:tcPr>
          <w:p w14:paraId="0286052A" w14:textId="77777777" w:rsidR="00277323" w:rsidRPr="000254DF" w:rsidRDefault="00277323" w:rsidP="00B31F98">
            <w:pPr>
              <w:jc w:val="center"/>
              <w:rPr>
                <w:noProof/>
                <w:sz w:val="20"/>
              </w:rPr>
            </w:pPr>
            <w:r w:rsidRPr="000254DF">
              <w:rPr>
                <w:b/>
                <w:noProof/>
                <w:sz w:val="20"/>
              </w:rPr>
              <w:t>N+2</w:t>
            </w:r>
            <w:r w:rsidRPr="000254DF">
              <w:rPr>
                <w:noProof/>
              </w:rPr>
              <w:br/>
            </w:r>
            <w:r w:rsidRPr="000254DF">
              <w:rPr>
                <w:noProof/>
                <w:sz w:val="20"/>
              </w:rPr>
              <w:t>gads</w:t>
            </w:r>
          </w:p>
        </w:tc>
        <w:tc>
          <w:tcPr>
            <w:tcW w:w="964" w:type="dxa"/>
            <w:vAlign w:val="center"/>
          </w:tcPr>
          <w:p w14:paraId="6A80CF0F" w14:textId="77777777" w:rsidR="00277323" w:rsidRPr="000254DF" w:rsidRDefault="00277323" w:rsidP="00B31F98">
            <w:pPr>
              <w:jc w:val="center"/>
              <w:rPr>
                <w:noProof/>
                <w:sz w:val="20"/>
              </w:rPr>
            </w:pPr>
            <w:r w:rsidRPr="000254DF">
              <w:rPr>
                <w:b/>
                <w:noProof/>
                <w:sz w:val="20"/>
              </w:rPr>
              <w:t>N+3</w:t>
            </w:r>
            <w:r w:rsidRPr="000254DF">
              <w:rPr>
                <w:noProof/>
              </w:rPr>
              <w:br/>
            </w:r>
            <w:r w:rsidRPr="000254DF">
              <w:rPr>
                <w:noProof/>
                <w:sz w:val="20"/>
              </w:rPr>
              <w:t>gads</w:t>
            </w:r>
          </w:p>
        </w:tc>
        <w:tc>
          <w:tcPr>
            <w:tcW w:w="2892" w:type="dxa"/>
            <w:gridSpan w:val="3"/>
            <w:vAlign w:val="center"/>
          </w:tcPr>
          <w:p w14:paraId="6A945222" w14:textId="77777777" w:rsidR="00277323" w:rsidRPr="000254DF" w:rsidRDefault="00277323" w:rsidP="00B31F98">
            <w:pPr>
              <w:jc w:val="center"/>
              <w:rPr>
                <w:b/>
                <w:noProof/>
                <w:sz w:val="20"/>
              </w:rPr>
            </w:pPr>
            <w:r w:rsidRPr="000254DF">
              <w:rPr>
                <w:noProof/>
                <w:sz w:val="20"/>
              </w:rPr>
              <w:t>Norādīt tik gadu, cik nepieciešams ietekmes ilguma atspoguļošanai (sk. 1.6. punktu)</w:t>
            </w:r>
          </w:p>
        </w:tc>
        <w:tc>
          <w:tcPr>
            <w:tcW w:w="1158" w:type="dxa"/>
            <w:vAlign w:val="center"/>
          </w:tcPr>
          <w:p w14:paraId="571FD178" w14:textId="77777777" w:rsidR="00277323" w:rsidRPr="000254DF" w:rsidRDefault="00277323" w:rsidP="00B31F98">
            <w:pPr>
              <w:spacing w:before="60" w:after="60"/>
              <w:jc w:val="center"/>
              <w:rPr>
                <w:noProof/>
                <w:sz w:val="20"/>
              </w:rPr>
            </w:pPr>
            <w:r w:rsidRPr="000254DF">
              <w:rPr>
                <w:noProof/>
                <w:sz w:val="20"/>
              </w:rPr>
              <w:t>Kopā</w:t>
            </w:r>
          </w:p>
        </w:tc>
      </w:tr>
      <w:tr w:rsidR="00277323" w:rsidRPr="000254DF" w14:paraId="01C36414" w14:textId="77777777" w:rsidTr="00B31F98">
        <w:trPr>
          <w:cantSplit/>
        </w:trPr>
        <w:tc>
          <w:tcPr>
            <w:tcW w:w="2340" w:type="dxa"/>
          </w:tcPr>
          <w:p w14:paraId="5F5BF54B" w14:textId="77777777" w:rsidR="00277323" w:rsidRPr="000254DF" w:rsidRDefault="00277323" w:rsidP="00B31F98">
            <w:pPr>
              <w:rPr>
                <w:noProof/>
              </w:rPr>
            </w:pPr>
            <w:r w:rsidRPr="000254DF">
              <w:rPr>
                <w:noProof/>
                <w:sz w:val="20"/>
              </w:rPr>
              <w:t>Norādīt līdzfinansētāju struktūru</w:t>
            </w:r>
            <w:r w:rsidRPr="000254DF">
              <w:rPr>
                <w:i/>
                <w:noProof/>
                <w:sz w:val="20"/>
              </w:rPr>
              <w:t xml:space="preserve"> </w:t>
            </w:r>
          </w:p>
        </w:tc>
        <w:tc>
          <w:tcPr>
            <w:tcW w:w="964" w:type="dxa"/>
            <w:vAlign w:val="center"/>
          </w:tcPr>
          <w:p w14:paraId="65DE2A37" w14:textId="77777777" w:rsidR="00277323" w:rsidRPr="000254DF" w:rsidRDefault="00277323" w:rsidP="00B31F98">
            <w:pPr>
              <w:spacing w:before="60" w:after="60"/>
              <w:jc w:val="center"/>
              <w:rPr>
                <w:noProof/>
                <w:sz w:val="20"/>
              </w:rPr>
            </w:pPr>
          </w:p>
        </w:tc>
        <w:tc>
          <w:tcPr>
            <w:tcW w:w="964" w:type="dxa"/>
            <w:vAlign w:val="center"/>
          </w:tcPr>
          <w:p w14:paraId="1706765F" w14:textId="77777777" w:rsidR="00277323" w:rsidRPr="000254DF" w:rsidRDefault="00277323" w:rsidP="00B31F98">
            <w:pPr>
              <w:spacing w:before="60" w:after="60"/>
              <w:jc w:val="center"/>
              <w:rPr>
                <w:noProof/>
                <w:sz w:val="20"/>
              </w:rPr>
            </w:pPr>
          </w:p>
        </w:tc>
        <w:tc>
          <w:tcPr>
            <w:tcW w:w="964" w:type="dxa"/>
            <w:vAlign w:val="center"/>
          </w:tcPr>
          <w:p w14:paraId="6DF7CDAF" w14:textId="77777777" w:rsidR="00277323" w:rsidRPr="000254DF" w:rsidRDefault="00277323" w:rsidP="00B31F98">
            <w:pPr>
              <w:spacing w:before="60" w:after="60"/>
              <w:jc w:val="center"/>
              <w:rPr>
                <w:noProof/>
                <w:sz w:val="20"/>
              </w:rPr>
            </w:pPr>
          </w:p>
        </w:tc>
        <w:tc>
          <w:tcPr>
            <w:tcW w:w="964" w:type="dxa"/>
            <w:vAlign w:val="center"/>
          </w:tcPr>
          <w:p w14:paraId="569AB519" w14:textId="77777777" w:rsidR="00277323" w:rsidRPr="000254DF" w:rsidRDefault="00277323" w:rsidP="00B31F98">
            <w:pPr>
              <w:spacing w:before="60" w:after="60"/>
              <w:jc w:val="center"/>
              <w:rPr>
                <w:noProof/>
                <w:sz w:val="20"/>
              </w:rPr>
            </w:pPr>
          </w:p>
        </w:tc>
        <w:tc>
          <w:tcPr>
            <w:tcW w:w="964" w:type="dxa"/>
            <w:vAlign w:val="center"/>
          </w:tcPr>
          <w:p w14:paraId="08226A1C" w14:textId="77777777" w:rsidR="00277323" w:rsidRPr="000254DF" w:rsidRDefault="00277323" w:rsidP="00B31F98">
            <w:pPr>
              <w:spacing w:before="60" w:after="60"/>
              <w:jc w:val="center"/>
              <w:rPr>
                <w:noProof/>
                <w:sz w:val="20"/>
              </w:rPr>
            </w:pPr>
          </w:p>
        </w:tc>
        <w:tc>
          <w:tcPr>
            <w:tcW w:w="964" w:type="dxa"/>
            <w:vAlign w:val="center"/>
          </w:tcPr>
          <w:p w14:paraId="2B4D6879" w14:textId="77777777" w:rsidR="00277323" w:rsidRPr="000254DF" w:rsidRDefault="00277323" w:rsidP="00B31F98">
            <w:pPr>
              <w:spacing w:before="60" w:after="60"/>
              <w:jc w:val="center"/>
              <w:rPr>
                <w:noProof/>
                <w:sz w:val="20"/>
              </w:rPr>
            </w:pPr>
          </w:p>
        </w:tc>
        <w:tc>
          <w:tcPr>
            <w:tcW w:w="964" w:type="dxa"/>
            <w:vAlign w:val="center"/>
          </w:tcPr>
          <w:p w14:paraId="53ADBB8E" w14:textId="77777777" w:rsidR="00277323" w:rsidRPr="000254DF" w:rsidRDefault="00277323" w:rsidP="00B31F98">
            <w:pPr>
              <w:spacing w:before="60" w:after="60"/>
              <w:jc w:val="center"/>
              <w:rPr>
                <w:noProof/>
                <w:sz w:val="20"/>
              </w:rPr>
            </w:pPr>
          </w:p>
        </w:tc>
        <w:tc>
          <w:tcPr>
            <w:tcW w:w="1158" w:type="dxa"/>
            <w:vAlign w:val="center"/>
          </w:tcPr>
          <w:p w14:paraId="4B010902" w14:textId="77777777" w:rsidR="00277323" w:rsidRPr="000254DF" w:rsidRDefault="00277323" w:rsidP="00B31F98">
            <w:pPr>
              <w:spacing w:before="60" w:after="60"/>
              <w:jc w:val="center"/>
              <w:rPr>
                <w:noProof/>
                <w:sz w:val="20"/>
              </w:rPr>
            </w:pPr>
          </w:p>
        </w:tc>
      </w:tr>
      <w:tr w:rsidR="00277323" w:rsidRPr="000254DF" w14:paraId="7CA7264A" w14:textId="77777777" w:rsidTr="00B31F98">
        <w:trPr>
          <w:cantSplit/>
        </w:trPr>
        <w:tc>
          <w:tcPr>
            <w:tcW w:w="2340" w:type="dxa"/>
          </w:tcPr>
          <w:p w14:paraId="3FE2F848" w14:textId="77777777" w:rsidR="00277323" w:rsidRPr="000254DF" w:rsidRDefault="00277323" w:rsidP="00B31F98">
            <w:pPr>
              <w:spacing w:before="60" w:after="60"/>
              <w:jc w:val="left"/>
              <w:rPr>
                <w:noProof/>
                <w:sz w:val="20"/>
              </w:rPr>
            </w:pPr>
            <w:r w:rsidRPr="000254DF">
              <w:rPr>
                <w:noProof/>
                <w:sz w:val="20"/>
              </w:rPr>
              <w:t xml:space="preserve">KOPĀ līdzfinansētās apropriācijas </w:t>
            </w:r>
          </w:p>
        </w:tc>
        <w:tc>
          <w:tcPr>
            <w:tcW w:w="964" w:type="dxa"/>
            <w:vAlign w:val="center"/>
          </w:tcPr>
          <w:p w14:paraId="015BB1A9" w14:textId="77777777" w:rsidR="00277323" w:rsidRPr="000254DF" w:rsidRDefault="00277323" w:rsidP="00B31F98">
            <w:pPr>
              <w:spacing w:before="60" w:after="60"/>
              <w:jc w:val="center"/>
              <w:rPr>
                <w:noProof/>
                <w:sz w:val="20"/>
              </w:rPr>
            </w:pPr>
          </w:p>
        </w:tc>
        <w:tc>
          <w:tcPr>
            <w:tcW w:w="964" w:type="dxa"/>
            <w:vAlign w:val="center"/>
          </w:tcPr>
          <w:p w14:paraId="35BB6029" w14:textId="77777777" w:rsidR="00277323" w:rsidRPr="000254DF" w:rsidRDefault="00277323" w:rsidP="00B31F98">
            <w:pPr>
              <w:spacing w:before="60" w:after="60"/>
              <w:jc w:val="center"/>
              <w:rPr>
                <w:noProof/>
                <w:sz w:val="20"/>
              </w:rPr>
            </w:pPr>
          </w:p>
        </w:tc>
        <w:tc>
          <w:tcPr>
            <w:tcW w:w="964" w:type="dxa"/>
            <w:vAlign w:val="center"/>
          </w:tcPr>
          <w:p w14:paraId="7064CE79" w14:textId="77777777" w:rsidR="00277323" w:rsidRPr="000254DF" w:rsidRDefault="00277323" w:rsidP="00B31F98">
            <w:pPr>
              <w:spacing w:before="60" w:after="60"/>
              <w:jc w:val="center"/>
              <w:rPr>
                <w:noProof/>
                <w:sz w:val="20"/>
              </w:rPr>
            </w:pPr>
          </w:p>
        </w:tc>
        <w:tc>
          <w:tcPr>
            <w:tcW w:w="964" w:type="dxa"/>
            <w:vAlign w:val="center"/>
          </w:tcPr>
          <w:p w14:paraId="6651EB7F" w14:textId="77777777" w:rsidR="00277323" w:rsidRPr="000254DF" w:rsidRDefault="00277323" w:rsidP="00B31F98">
            <w:pPr>
              <w:spacing w:before="60" w:after="60"/>
              <w:jc w:val="center"/>
              <w:rPr>
                <w:noProof/>
                <w:sz w:val="20"/>
              </w:rPr>
            </w:pPr>
          </w:p>
        </w:tc>
        <w:tc>
          <w:tcPr>
            <w:tcW w:w="964" w:type="dxa"/>
            <w:vAlign w:val="center"/>
          </w:tcPr>
          <w:p w14:paraId="6FC44492" w14:textId="77777777" w:rsidR="00277323" w:rsidRPr="000254DF" w:rsidRDefault="00277323" w:rsidP="00B31F98">
            <w:pPr>
              <w:spacing w:before="60" w:after="60"/>
              <w:jc w:val="center"/>
              <w:rPr>
                <w:noProof/>
                <w:sz w:val="20"/>
              </w:rPr>
            </w:pPr>
          </w:p>
        </w:tc>
        <w:tc>
          <w:tcPr>
            <w:tcW w:w="964" w:type="dxa"/>
            <w:vAlign w:val="center"/>
          </w:tcPr>
          <w:p w14:paraId="57878249" w14:textId="77777777" w:rsidR="00277323" w:rsidRPr="000254DF" w:rsidRDefault="00277323" w:rsidP="00B31F98">
            <w:pPr>
              <w:spacing w:before="60" w:after="60"/>
              <w:jc w:val="center"/>
              <w:rPr>
                <w:noProof/>
                <w:sz w:val="20"/>
              </w:rPr>
            </w:pPr>
          </w:p>
        </w:tc>
        <w:tc>
          <w:tcPr>
            <w:tcW w:w="964" w:type="dxa"/>
            <w:vAlign w:val="center"/>
          </w:tcPr>
          <w:p w14:paraId="049DFE12" w14:textId="77777777" w:rsidR="00277323" w:rsidRPr="000254DF" w:rsidRDefault="00277323" w:rsidP="00B31F98">
            <w:pPr>
              <w:spacing w:before="60" w:after="60"/>
              <w:jc w:val="center"/>
              <w:rPr>
                <w:noProof/>
                <w:sz w:val="20"/>
              </w:rPr>
            </w:pPr>
          </w:p>
        </w:tc>
        <w:tc>
          <w:tcPr>
            <w:tcW w:w="1158" w:type="dxa"/>
            <w:vAlign w:val="center"/>
          </w:tcPr>
          <w:p w14:paraId="3C2899F5" w14:textId="77777777" w:rsidR="00277323" w:rsidRPr="000254DF" w:rsidRDefault="00277323" w:rsidP="00B31F98">
            <w:pPr>
              <w:spacing w:before="60" w:after="60"/>
              <w:jc w:val="center"/>
              <w:rPr>
                <w:noProof/>
                <w:sz w:val="20"/>
              </w:rPr>
            </w:pPr>
          </w:p>
        </w:tc>
      </w:tr>
    </w:tbl>
    <w:p w14:paraId="3374E05E" w14:textId="77777777" w:rsidR="00277323" w:rsidRPr="000254DF" w:rsidRDefault="00277323" w:rsidP="00277323">
      <w:pPr>
        <w:rPr>
          <w:noProof/>
        </w:rPr>
      </w:pPr>
      <w:r w:rsidRPr="000254DF">
        <w:rPr>
          <w:noProof/>
        </w:rPr>
        <w:t xml:space="preserve"> </w:t>
      </w:r>
      <w:r w:rsidRPr="000254DF">
        <w:rPr>
          <w:noProof/>
        </w:rPr>
        <w:br/>
      </w:r>
    </w:p>
    <w:p w14:paraId="25D036D0" w14:textId="29F9C712" w:rsidR="00277323" w:rsidRPr="000254DF" w:rsidRDefault="00277323" w:rsidP="006039A2">
      <w:pPr>
        <w:pStyle w:val="ManualHeading2"/>
        <w:rPr>
          <w:bCs/>
          <w:noProof/>
          <w:szCs w:val="24"/>
        </w:rPr>
      </w:pPr>
      <w:r w:rsidRPr="000254DF">
        <w:rPr>
          <w:noProof/>
        </w:rPr>
        <w:br w:type="page"/>
      </w:r>
      <w:bookmarkStart w:id="63" w:name="_Toc514938059"/>
      <w:bookmarkStart w:id="64" w:name="_Toc520485057"/>
      <w:r w:rsidR="006039A2" w:rsidRPr="006039A2">
        <w:t>3.3.</w:t>
      </w:r>
      <w:r w:rsidR="006039A2" w:rsidRPr="006039A2">
        <w:tab/>
      </w:r>
      <w:r w:rsidRPr="000254DF">
        <w:rPr>
          <w:noProof/>
        </w:rPr>
        <w:t>Aplēstā ietekme uz ieņēmumiem</w:t>
      </w:r>
      <w:bookmarkEnd w:id="63"/>
      <w:bookmarkEnd w:id="64"/>
      <w:r w:rsidRPr="000254DF">
        <w:rPr>
          <w:noProof/>
        </w:rPr>
        <w:t xml:space="preserve"> </w:t>
      </w:r>
    </w:p>
    <w:p w14:paraId="3FD39A09" w14:textId="77777777" w:rsidR="00277323" w:rsidRPr="000254DF" w:rsidRDefault="00277323" w:rsidP="00277323">
      <w:pPr>
        <w:pStyle w:val="ListDash1"/>
        <w:rPr>
          <w:noProof/>
        </w:rPr>
      </w:pPr>
      <w:r w:rsidRPr="000254DF">
        <w:rPr>
          <w:noProof/>
        </w:rPr>
        <w:t>X</w:t>
      </w:r>
      <w:r w:rsidRPr="000254DF">
        <w:rPr>
          <w:noProof/>
        </w:rPr>
        <w:tab/>
        <w:t>Priekšlikums/iniciatīva finansiāli neietekmē ieņēmumus.</w:t>
      </w:r>
    </w:p>
    <w:p w14:paraId="33C92842" w14:textId="77777777" w:rsidR="00277323" w:rsidRPr="000254DF" w:rsidRDefault="00277323" w:rsidP="00277323">
      <w:pPr>
        <w:pStyle w:val="ListDash1"/>
        <w:rPr>
          <w:noProof/>
        </w:rPr>
      </w:pPr>
      <w:r w:rsidRPr="000254DF">
        <w:rPr>
          <w:noProof/>
        </w:rPr>
        <w:sym w:font="Wingdings" w:char="F0A8"/>
      </w:r>
      <w:r w:rsidRPr="000254DF">
        <w:rPr>
          <w:noProof/>
        </w:rPr>
        <w:tab/>
        <w:t>Priekšlikums/iniciatīva finansiāli ietekmē:</w:t>
      </w:r>
    </w:p>
    <w:p w14:paraId="471A2F69" w14:textId="77777777" w:rsidR="00277323" w:rsidRPr="000254DF" w:rsidRDefault="00277323" w:rsidP="00687FB8">
      <w:pPr>
        <w:pStyle w:val="Tiret2"/>
        <w:numPr>
          <w:ilvl w:val="0"/>
          <w:numId w:val="17"/>
        </w:numPr>
        <w:rPr>
          <w:noProof/>
        </w:rPr>
      </w:pPr>
      <w:r w:rsidRPr="000254DF">
        <w:rPr>
          <w:noProof/>
        </w:rPr>
        <w:sym w:font="Wingdings" w:char="F0A8"/>
      </w:r>
      <w:r w:rsidRPr="000254DF">
        <w:rPr>
          <w:noProof/>
        </w:rPr>
        <w:tab/>
        <w:t xml:space="preserve">pašu resursus </w:t>
      </w:r>
    </w:p>
    <w:p w14:paraId="5299BB44" w14:textId="77777777" w:rsidR="00277323" w:rsidRPr="000254DF" w:rsidRDefault="00277323" w:rsidP="008C10AC">
      <w:pPr>
        <w:pStyle w:val="Tiret2"/>
        <w:rPr>
          <w:noProof/>
        </w:rPr>
      </w:pPr>
      <w:r w:rsidRPr="000254DF">
        <w:rPr>
          <w:noProof/>
        </w:rPr>
        <w:sym w:font="Wingdings" w:char="F0A8"/>
      </w:r>
      <w:r w:rsidRPr="000254DF">
        <w:rPr>
          <w:noProof/>
        </w:rPr>
        <w:tab/>
        <w:t>citus ieņēmumus</w:t>
      </w:r>
    </w:p>
    <w:p w14:paraId="6EB1FDA9" w14:textId="77777777" w:rsidR="00277323" w:rsidRPr="000254DF" w:rsidRDefault="008C10AC" w:rsidP="008C10AC">
      <w:pPr>
        <w:pStyle w:val="Tiret2"/>
        <w:rPr>
          <w:noProof/>
        </w:rPr>
      </w:pPr>
      <w:r w:rsidRPr="000254DF">
        <w:rPr>
          <w:noProof/>
        </w:rPr>
        <w:sym w:font="Wingdings" w:char="F0A8"/>
      </w:r>
      <w:r w:rsidRPr="000254DF">
        <w:rPr>
          <w:noProof/>
        </w:rPr>
        <w:tab/>
        <w:t>Atzīmējiet, ja ieņēmumi ir piešķirti izdevumu pozīcijām</w:t>
      </w:r>
    </w:p>
    <w:p w14:paraId="3D5D340E" w14:textId="77777777" w:rsidR="00277323" w:rsidRPr="000254DF" w:rsidRDefault="00277323" w:rsidP="00277323">
      <w:pPr>
        <w:ind w:left="4320"/>
        <w:rPr>
          <w:i/>
          <w:noProof/>
          <w:sz w:val="20"/>
        </w:rPr>
      </w:pPr>
      <w:r w:rsidRPr="000254DF">
        <w:rPr>
          <w:noProof/>
        </w:rPr>
        <w:t xml:space="preserve">     miljonos EUR (trīs zīmes aiz komata)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277323" w:rsidRPr="000254DF" w14:paraId="0420BED3" w14:textId="77777777" w:rsidTr="00B31F98">
        <w:trPr>
          <w:trHeight w:val="388"/>
        </w:trPr>
        <w:tc>
          <w:tcPr>
            <w:tcW w:w="2144" w:type="dxa"/>
            <w:vMerge w:val="restart"/>
            <w:vAlign w:val="center"/>
          </w:tcPr>
          <w:p w14:paraId="3BA2DA13" w14:textId="77777777" w:rsidR="00277323" w:rsidRPr="000254DF" w:rsidRDefault="00277323" w:rsidP="00B31F98">
            <w:pPr>
              <w:spacing w:before="40" w:after="40"/>
              <w:rPr>
                <w:noProof/>
                <w:sz w:val="18"/>
              </w:rPr>
            </w:pPr>
            <w:r w:rsidRPr="000254DF">
              <w:rPr>
                <w:noProof/>
                <w:sz w:val="18"/>
              </w:rPr>
              <w:t>Budžeta ieņēmumu pozīcija</w:t>
            </w:r>
          </w:p>
        </w:tc>
        <w:tc>
          <w:tcPr>
            <w:tcW w:w="1325" w:type="dxa"/>
            <w:vMerge w:val="restart"/>
            <w:vAlign w:val="center"/>
          </w:tcPr>
          <w:p w14:paraId="7194CE56" w14:textId="77777777" w:rsidR="00277323" w:rsidRPr="000254DF" w:rsidRDefault="00277323" w:rsidP="00B31F98">
            <w:pPr>
              <w:jc w:val="center"/>
              <w:rPr>
                <w:noProof/>
                <w:sz w:val="18"/>
              </w:rPr>
            </w:pPr>
            <w:r w:rsidRPr="000254DF">
              <w:rPr>
                <w:noProof/>
                <w:sz w:val="18"/>
              </w:rPr>
              <w:t>Kārtējā finanšu gadā pieejamās apropriācijas</w:t>
            </w:r>
          </w:p>
        </w:tc>
        <w:tc>
          <w:tcPr>
            <w:tcW w:w="7151" w:type="dxa"/>
            <w:gridSpan w:val="7"/>
            <w:vAlign w:val="center"/>
          </w:tcPr>
          <w:p w14:paraId="74BCA55C" w14:textId="77777777" w:rsidR="00277323" w:rsidRPr="000254DF" w:rsidRDefault="00277323" w:rsidP="00B31F98">
            <w:pPr>
              <w:jc w:val="center"/>
              <w:rPr>
                <w:noProof/>
                <w:sz w:val="18"/>
              </w:rPr>
            </w:pPr>
            <w:r w:rsidRPr="000254DF">
              <w:rPr>
                <w:noProof/>
                <w:sz w:val="18"/>
              </w:rPr>
              <w:t>Priekšlikuma/iniciatīvas ietekme</w:t>
            </w:r>
            <w:r w:rsidRPr="000254DF">
              <w:rPr>
                <w:rStyle w:val="FootnoteReference"/>
                <w:noProof/>
                <w:sz w:val="18"/>
              </w:rPr>
              <w:footnoteReference w:id="16"/>
            </w:r>
          </w:p>
        </w:tc>
      </w:tr>
      <w:tr w:rsidR="00277323" w:rsidRPr="000254DF" w14:paraId="1C83FA9D" w14:textId="77777777" w:rsidTr="00B31F98">
        <w:trPr>
          <w:trHeight w:val="388"/>
        </w:trPr>
        <w:tc>
          <w:tcPr>
            <w:tcW w:w="2144" w:type="dxa"/>
            <w:vMerge/>
          </w:tcPr>
          <w:p w14:paraId="774556A0" w14:textId="77777777" w:rsidR="00277323" w:rsidRPr="000254DF" w:rsidRDefault="00277323" w:rsidP="00B31F98">
            <w:pPr>
              <w:spacing w:before="40" w:after="40"/>
              <w:rPr>
                <w:noProof/>
                <w:sz w:val="18"/>
              </w:rPr>
            </w:pPr>
          </w:p>
        </w:tc>
        <w:tc>
          <w:tcPr>
            <w:tcW w:w="1325" w:type="dxa"/>
            <w:vMerge/>
          </w:tcPr>
          <w:p w14:paraId="3A193E3F" w14:textId="77777777" w:rsidR="00277323" w:rsidRPr="000254DF" w:rsidRDefault="00277323" w:rsidP="00B31F98">
            <w:pPr>
              <w:spacing w:beforeLines="40" w:before="96" w:afterLines="40" w:after="96"/>
              <w:rPr>
                <w:i/>
                <w:noProof/>
                <w:sz w:val="18"/>
              </w:rPr>
            </w:pPr>
          </w:p>
        </w:tc>
        <w:tc>
          <w:tcPr>
            <w:tcW w:w="1031" w:type="dxa"/>
            <w:vAlign w:val="center"/>
          </w:tcPr>
          <w:p w14:paraId="7575D61E" w14:textId="77777777" w:rsidR="00277323" w:rsidRPr="000254DF" w:rsidRDefault="00277323" w:rsidP="00B31F98">
            <w:pPr>
              <w:jc w:val="center"/>
              <w:rPr>
                <w:noProof/>
                <w:sz w:val="18"/>
              </w:rPr>
            </w:pPr>
            <w:r w:rsidRPr="000254DF">
              <w:rPr>
                <w:b/>
                <w:noProof/>
                <w:sz w:val="18"/>
              </w:rPr>
              <w:t>N</w:t>
            </w:r>
            <w:r w:rsidRPr="000254DF">
              <w:rPr>
                <w:noProof/>
              </w:rPr>
              <w:br/>
            </w:r>
            <w:r w:rsidRPr="000254DF">
              <w:rPr>
                <w:noProof/>
                <w:sz w:val="18"/>
              </w:rPr>
              <w:t>gads</w:t>
            </w:r>
          </w:p>
        </w:tc>
        <w:tc>
          <w:tcPr>
            <w:tcW w:w="900" w:type="dxa"/>
            <w:vAlign w:val="center"/>
          </w:tcPr>
          <w:p w14:paraId="44A437EE" w14:textId="77777777" w:rsidR="00277323" w:rsidRPr="000254DF" w:rsidRDefault="00277323" w:rsidP="00B31F98">
            <w:pPr>
              <w:jc w:val="center"/>
              <w:rPr>
                <w:noProof/>
                <w:sz w:val="18"/>
              </w:rPr>
            </w:pPr>
            <w:r w:rsidRPr="000254DF">
              <w:rPr>
                <w:b/>
                <w:noProof/>
                <w:sz w:val="18"/>
              </w:rPr>
              <w:t>N+1</w:t>
            </w:r>
            <w:r w:rsidRPr="000254DF">
              <w:rPr>
                <w:noProof/>
              </w:rPr>
              <w:br/>
            </w:r>
            <w:r w:rsidRPr="000254DF">
              <w:rPr>
                <w:noProof/>
                <w:sz w:val="18"/>
              </w:rPr>
              <w:t>gads</w:t>
            </w:r>
          </w:p>
        </w:tc>
        <w:tc>
          <w:tcPr>
            <w:tcW w:w="900" w:type="dxa"/>
            <w:vAlign w:val="center"/>
          </w:tcPr>
          <w:p w14:paraId="6B028930" w14:textId="77777777" w:rsidR="00277323" w:rsidRPr="000254DF" w:rsidRDefault="00277323" w:rsidP="00B31F98">
            <w:pPr>
              <w:jc w:val="center"/>
              <w:rPr>
                <w:noProof/>
                <w:sz w:val="18"/>
              </w:rPr>
            </w:pPr>
            <w:r w:rsidRPr="000254DF">
              <w:rPr>
                <w:b/>
                <w:noProof/>
                <w:sz w:val="18"/>
              </w:rPr>
              <w:t>N+2</w:t>
            </w:r>
            <w:r w:rsidRPr="000254DF">
              <w:rPr>
                <w:noProof/>
              </w:rPr>
              <w:br/>
            </w:r>
            <w:r w:rsidRPr="000254DF">
              <w:rPr>
                <w:noProof/>
                <w:sz w:val="18"/>
              </w:rPr>
              <w:t>gads</w:t>
            </w:r>
          </w:p>
        </w:tc>
        <w:tc>
          <w:tcPr>
            <w:tcW w:w="1080" w:type="dxa"/>
            <w:vAlign w:val="center"/>
          </w:tcPr>
          <w:p w14:paraId="5B55ED92" w14:textId="77777777" w:rsidR="00277323" w:rsidRPr="000254DF" w:rsidRDefault="00277323" w:rsidP="00B31F98">
            <w:pPr>
              <w:jc w:val="center"/>
              <w:rPr>
                <w:noProof/>
                <w:sz w:val="18"/>
              </w:rPr>
            </w:pPr>
            <w:r w:rsidRPr="000254DF">
              <w:rPr>
                <w:b/>
                <w:noProof/>
                <w:sz w:val="18"/>
              </w:rPr>
              <w:t>N+3</w:t>
            </w:r>
            <w:r w:rsidRPr="000254DF">
              <w:rPr>
                <w:noProof/>
              </w:rPr>
              <w:br/>
            </w:r>
            <w:r w:rsidRPr="000254DF">
              <w:rPr>
                <w:noProof/>
                <w:sz w:val="18"/>
              </w:rPr>
              <w:t>gads</w:t>
            </w:r>
          </w:p>
        </w:tc>
        <w:tc>
          <w:tcPr>
            <w:tcW w:w="3240" w:type="dxa"/>
            <w:gridSpan w:val="3"/>
            <w:vAlign w:val="center"/>
          </w:tcPr>
          <w:p w14:paraId="0A87F30D" w14:textId="77777777" w:rsidR="00277323" w:rsidRPr="000254DF" w:rsidRDefault="00277323" w:rsidP="00B31F98">
            <w:pPr>
              <w:jc w:val="center"/>
              <w:rPr>
                <w:b/>
                <w:noProof/>
                <w:sz w:val="18"/>
              </w:rPr>
            </w:pPr>
            <w:r w:rsidRPr="000254DF">
              <w:rPr>
                <w:noProof/>
                <w:sz w:val="18"/>
              </w:rPr>
              <w:t>Norādīt tik gadu, cik nepieciešams ietekmes ilguma atspoguļošanai (sk. 1.6. punktu)</w:t>
            </w:r>
          </w:p>
        </w:tc>
      </w:tr>
      <w:tr w:rsidR="00277323" w:rsidRPr="000254DF" w14:paraId="7D1639DA" w14:textId="77777777" w:rsidTr="00B31F98">
        <w:trPr>
          <w:trHeight w:val="388"/>
        </w:trPr>
        <w:tc>
          <w:tcPr>
            <w:tcW w:w="2144" w:type="dxa"/>
            <w:vAlign w:val="center"/>
          </w:tcPr>
          <w:p w14:paraId="0E32180E" w14:textId="77777777" w:rsidR="00277323" w:rsidRPr="000254DF" w:rsidRDefault="00277323" w:rsidP="00B31F98">
            <w:pPr>
              <w:spacing w:before="40" w:after="40"/>
              <w:rPr>
                <w:noProof/>
                <w:sz w:val="18"/>
              </w:rPr>
            </w:pPr>
            <w:r w:rsidRPr="000254DF">
              <w:rPr>
                <w:noProof/>
                <w:sz w:val="18"/>
              </w:rPr>
              <w:t>…………. pants</w:t>
            </w:r>
          </w:p>
        </w:tc>
        <w:tc>
          <w:tcPr>
            <w:tcW w:w="1325" w:type="dxa"/>
          </w:tcPr>
          <w:p w14:paraId="32D17B59" w14:textId="77777777" w:rsidR="00277323" w:rsidRPr="000254DF" w:rsidRDefault="00277323" w:rsidP="00B31F98">
            <w:pPr>
              <w:spacing w:beforeLines="40" w:before="96" w:afterLines="40" w:after="96"/>
              <w:jc w:val="center"/>
              <w:rPr>
                <w:i/>
                <w:noProof/>
                <w:sz w:val="18"/>
              </w:rPr>
            </w:pPr>
          </w:p>
        </w:tc>
        <w:tc>
          <w:tcPr>
            <w:tcW w:w="1031" w:type="dxa"/>
          </w:tcPr>
          <w:p w14:paraId="2975C9E5" w14:textId="77777777" w:rsidR="00277323" w:rsidRPr="000254DF" w:rsidRDefault="00277323" w:rsidP="00B31F98">
            <w:pPr>
              <w:spacing w:beforeLines="40" w:before="96" w:afterLines="40" w:after="96"/>
              <w:jc w:val="center"/>
              <w:rPr>
                <w:noProof/>
                <w:sz w:val="18"/>
              </w:rPr>
            </w:pPr>
          </w:p>
        </w:tc>
        <w:tc>
          <w:tcPr>
            <w:tcW w:w="900" w:type="dxa"/>
          </w:tcPr>
          <w:p w14:paraId="26CF1163" w14:textId="77777777" w:rsidR="00277323" w:rsidRPr="000254DF" w:rsidRDefault="00277323" w:rsidP="00B31F98">
            <w:pPr>
              <w:spacing w:beforeLines="40" w:before="96" w:afterLines="40" w:after="96"/>
              <w:jc w:val="center"/>
              <w:rPr>
                <w:noProof/>
                <w:sz w:val="18"/>
              </w:rPr>
            </w:pPr>
          </w:p>
        </w:tc>
        <w:tc>
          <w:tcPr>
            <w:tcW w:w="900" w:type="dxa"/>
          </w:tcPr>
          <w:p w14:paraId="70DAC978" w14:textId="77777777" w:rsidR="00277323" w:rsidRPr="000254DF" w:rsidRDefault="00277323" w:rsidP="00B31F98">
            <w:pPr>
              <w:spacing w:beforeLines="40" w:before="96" w:afterLines="40" w:after="96"/>
              <w:jc w:val="center"/>
              <w:rPr>
                <w:noProof/>
                <w:sz w:val="18"/>
              </w:rPr>
            </w:pPr>
          </w:p>
        </w:tc>
        <w:tc>
          <w:tcPr>
            <w:tcW w:w="1080" w:type="dxa"/>
          </w:tcPr>
          <w:p w14:paraId="146FFDE0" w14:textId="77777777" w:rsidR="00277323" w:rsidRPr="000254DF" w:rsidRDefault="00277323" w:rsidP="00B31F98">
            <w:pPr>
              <w:spacing w:beforeLines="40" w:before="96" w:afterLines="40" w:after="96"/>
              <w:jc w:val="center"/>
              <w:rPr>
                <w:noProof/>
                <w:sz w:val="18"/>
              </w:rPr>
            </w:pPr>
          </w:p>
        </w:tc>
        <w:tc>
          <w:tcPr>
            <w:tcW w:w="1080" w:type="dxa"/>
          </w:tcPr>
          <w:p w14:paraId="276B48D4" w14:textId="77777777" w:rsidR="00277323" w:rsidRPr="000254DF" w:rsidRDefault="00277323" w:rsidP="00B31F98">
            <w:pPr>
              <w:spacing w:beforeLines="40" w:before="96" w:afterLines="40" w:after="96"/>
              <w:jc w:val="center"/>
              <w:rPr>
                <w:noProof/>
                <w:sz w:val="18"/>
              </w:rPr>
            </w:pPr>
          </w:p>
        </w:tc>
        <w:tc>
          <w:tcPr>
            <w:tcW w:w="1080" w:type="dxa"/>
          </w:tcPr>
          <w:p w14:paraId="59D5A74F" w14:textId="77777777" w:rsidR="00277323" w:rsidRPr="000254DF" w:rsidRDefault="00277323" w:rsidP="00B31F98">
            <w:pPr>
              <w:spacing w:beforeLines="40" w:before="96" w:afterLines="40" w:after="96"/>
              <w:jc w:val="center"/>
              <w:rPr>
                <w:noProof/>
                <w:sz w:val="18"/>
              </w:rPr>
            </w:pPr>
          </w:p>
        </w:tc>
        <w:tc>
          <w:tcPr>
            <w:tcW w:w="1080" w:type="dxa"/>
          </w:tcPr>
          <w:p w14:paraId="748067AC" w14:textId="77777777" w:rsidR="00277323" w:rsidRPr="000254DF" w:rsidRDefault="00277323" w:rsidP="00B31F98">
            <w:pPr>
              <w:spacing w:beforeLines="40" w:before="96" w:afterLines="40" w:after="96"/>
              <w:jc w:val="center"/>
              <w:rPr>
                <w:noProof/>
                <w:sz w:val="18"/>
              </w:rPr>
            </w:pPr>
          </w:p>
        </w:tc>
      </w:tr>
    </w:tbl>
    <w:p w14:paraId="58B65083" w14:textId="77777777" w:rsidR="00277323" w:rsidRPr="000254DF" w:rsidRDefault="00277323" w:rsidP="00277323">
      <w:pPr>
        <w:pStyle w:val="Text1"/>
        <w:rPr>
          <w:noProof/>
          <w:sz w:val="20"/>
        </w:rPr>
      </w:pPr>
      <w:r w:rsidRPr="000254DF">
        <w:rPr>
          <w:noProof/>
          <w:sz w:val="20"/>
        </w:rPr>
        <w:t>Attiecībā uz piešķirtajiem ieņēmumiem norādīt attiecīgās budžeta izdevumu pozīcijas.</w:t>
      </w:r>
    </w:p>
    <w:p w14:paraId="653B9637"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color w:val="000000" w:themeColor="text1"/>
        </w:rPr>
      </w:pPr>
      <w:r w:rsidRPr="000254DF">
        <w:rPr>
          <w:noProof/>
        </w:rPr>
        <w:t>[…]</w:t>
      </w:r>
    </w:p>
    <w:p w14:paraId="39FEBA03" w14:textId="77777777" w:rsidR="00277323" w:rsidRPr="000254DF" w:rsidRDefault="00277323" w:rsidP="00277323">
      <w:pPr>
        <w:pStyle w:val="Text1"/>
        <w:rPr>
          <w:noProof/>
          <w:color w:val="000000" w:themeColor="text1"/>
          <w:sz w:val="20"/>
        </w:rPr>
      </w:pPr>
      <w:r w:rsidRPr="000254DF">
        <w:rPr>
          <w:noProof/>
          <w:color w:val="000000" w:themeColor="text1"/>
          <w:sz w:val="20"/>
        </w:rPr>
        <w:t>Citas piezīmes (piemēram, metode/formula, ko izmanto, lai aprēķinātu ietekmi uz ieņēmumiem, vai jebkura cita informācija).</w:t>
      </w:r>
    </w:p>
    <w:p w14:paraId="7C32CC7E" w14:textId="77777777" w:rsidR="00277323" w:rsidRPr="000254DF" w:rsidRDefault="00277323" w:rsidP="00277323">
      <w:pPr>
        <w:pStyle w:val="Text1"/>
        <w:pBdr>
          <w:top w:val="single" w:sz="4" w:space="1" w:color="auto"/>
          <w:left w:val="single" w:sz="4" w:space="4" w:color="auto"/>
          <w:bottom w:val="single" w:sz="4" w:space="1" w:color="auto"/>
          <w:right w:val="single" w:sz="4" w:space="4" w:color="auto"/>
        </w:pBdr>
        <w:rPr>
          <w:noProof/>
          <w:color w:val="000000" w:themeColor="text1"/>
        </w:rPr>
      </w:pPr>
      <w:r w:rsidRPr="000254DF">
        <w:rPr>
          <w:noProof/>
        </w:rPr>
        <w:t>[…]</w:t>
      </w:r>
    </w:p>
    <w:p w14:paraId="43DC01F2" w14:textId="77777777" w:rsidR="00277323" w:rsidRPr="000254DF" w:rsidRDefault="00277323" w:rsidP="00277323">
      <w:pPr>
        <w:rPr>
          <w:noProof/>
          <w:color w:val="000000" w:themeColor="text1"/>
        </w:rPr>
      </w:pPr>
    </w:p>
    <w:sectPr w:rsidR="00277323" w:rsidRPr="000254DF" w:rsidSect="00400A03">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D33FE" w14:textId="77777777" w:rsidR="00657C2A" w:rsidRDefault="00657C2A" w:rsidP="00581004">
      <w:pPr>
        <w:spacing w:before="0" w:after="0"/>
      </w:pPr>
      <w:r>
        <w:separator/>
      </w:r>
    </w:p>
  </w:endnote>
  <w:endnote w:type="continuationSeparator" w:id="0">
    <w:p w14:paraId="257731EC" w14:textId="77777777" w:rsidR="00657C2A" w:rsidRDefault="00657C2A" w:rsidP="00581004">
      <w:pPr>
        <w:spacing w:before="0" w:after="0"/>
      </w:pPr>
      <w:r>
        <w:continuationSeparator/>
      </w:r>
    </w:p>
  </w:endnote>
  <w:endnote w:type="continuationNotice" w:id="1">
    <w:p w14:paraId="1B2EDD1D" w14:textId="77777777" w:rsidR="00657C2A" w:rsidRDefault="00657C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6835" w14:textId="2D1AFA82" w:rsidR="00657C2A" w:rsidRPr="00400A03" w:rsidRDefault="00400A03" w:rsidP="00400A03">
    <w:pPr>
      <w:pStyle w:val="Footer"/>
      <w:rPr>
        <w:rFonts w:ascii="Arial" w:hAnsi="Arial" w:cs="Arial"/>
        <w:b/>
        <w:sz w:val="48"/>
      </w:rPr>
    </w:pPr>
    <w:r w:rsidRPr="00400A03">
      <w:rPr>
        <w:rFonts w:ascii="Arial" w:hAnsi="Arial" w:cs="Arial"/>
        <w:b/>
        <w:sz w:val="48"/>
      </w:rPr>
      <w:t>LV</w:t>
    </w:r>
    <w:r w:rsidRPr="00400A03">
      <w:rPr>
        <w:rFonts w:ascii="Arial" w:hAnsi="Arial" w:cs="Arial"/>
        <w:b/>
        <w:sz w:val="48"/>
      </w:rPr>
      <w:tab/>
    </w:r>
    <w:r w:rsidRPr="00400A03">
      <w:rPr>
        <w:rFonts w:ascii="Arial" w:hAnsi="Arial" w:cs="Arial"/>
        <w:b/>
        <w:sz w:val="48"/>
      </w:rPr>
      <w:tab/>
    </w:r>
    <w:r w:rsidRPr="00400A03">
      <w:tab/>
    </w:r>
    <w:r w:rsidRPr="00400A03">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6386" w14:textId="43FFD5A7" w:rsidR="00400A03" w:rsidRPr="00400A03" w:rsidRDefault="00400A03" w:rsidP="00400A03">
    <w:pPr>
      <w:pStyle w:val="Footer"/>
      <w:rPr>
        <w:rFonts w:ascii="Arial" w:hAnsi="Arial" w:cs="Arial"/>
        <w:b/>
        <w:sz w:val="48"/>
      </w:rPr>
    </w:pPr>
    <w:r w:rsidRPr="00400A03">
      <w:rPr>
        <w:rFonts w:ascii="Arial" w:hAnsi="Arial" w:cs="Arial"/>
        <w:b/>
        <w:sz w:val="48"/>
      </w:rPr>
      <w:t>LV</w:t>
    </w:r>
    <w:r w:rsidRPr="00400A03">
      <w:rPr>
        <w:rFonts w:ascii="Arial" w:hAnsi="Arial" w:cs="Arial"/>
        <w:b/>
        <w:sz w:val="48"/>
      </w:rPr>
      <w:tab/>
    </w:r>
    <w:r>
      <w:fldChar w:fldCharType="begin"/>
    </w:r>
    <w:r>
      <w:instrText xml:space="preserve"> PAGE  \* MERGEFORMAT </w:instrText>
    </w:r>
    <w:r>
      <w:fldChar w:fldCharType="separate"/>
    </w:r>
    <w:r w:rsidR="00C779F7">
      <w:rPr>
        <w:noProof/>
      </w:rPr>
      <w:t>7</w:t>
    </w:r>
    <w:r>
      <w:fldChar w:fldCharType="end"/>
    </w:r>
    <w:r>
      <w:tab/>
    </w:r>
    <w:r w:rsidRPr="00400A03">
      <w:tab/>
    </w:r>
    <w:r w:rsidRPr="00400A03">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608A7" w14:textId="77777777" w:rsidR="00400A03" w:rsidRPr="00400A03" w:rsidRDefault="00400A03" w:rsidP="00400A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EFBE" w14:textId="58D3370E" w:rsidR="00400A03" w:rsidRPr="00400A03" w:rsidRDefault="00400A03" w:rsidP="00400A03">
    <w:pPr>
      <w:pStyle w:val="FooterLandscape"/>
      <w:rPr>
        <w:rFonts w:ascii="Arial" w:hAnsi="Arial" w:cs="Arial"/>
        <w:b/>
        <w:sz w:val="48"/>
      </w:rPr>
    </w:pPr>
    <w:r w:rsidRPr="00400A03">
      <w:rPr>
        <w:rFonts w:ascii="Arial" w:hAnsi="Arial" w:cs="Arial"/>
        <w:b/>
        <w:sz w:val="48"/>
      </w:rPr>
      <w:t>LV</w:t>
    </w:r>
    <w:r w:rsidRPr="00400A0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00A03">
      <w:tab/>
    </w:r>
    <w:r w:rsidRPr="00400A03">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CF92F" w14:textId="77777777" w:rsidR="00400A03" w:rsidRPr="00400A03" w:rsidRDefault="00400A03" w:rsidP="00400A03">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8D7E" w14:textId="54E83200" w:rsidR="00657C2A" w:rsidRPr="00400A03" w:rsidRDefault="00400A03" w:rsidP="00400A03">
    <w:pPr>
      <w:pStyle w:val="Footer"/>
      <w:rPr>
        <w:rFonts w:ascii="Arial" w:hAnsi="Arial" w:cs="Arial"/>
        <w:b/>
        <w:sz w:val="48"/>
      </w:rPr>
    </w:pPr>
    <w:r w:rsidRPr="00400A03">
      <w:rPr>
        <w:rFonts w:ascii="Arial" w:hAnsi="Arial" w:cs="Arial"/>
        <w:b/>
        <w:sz w:val="48"/>
      </w:rPr>
      <w:t>LV</w:t>
    </w:r>
    <w:r w:rsidRPr="00400A0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00A03">
      <w:tab/>
    </w:r>
    <w:r w:rsidRPr="00400A03">
      <w:rPr>
        <w:rFonts w:ascii="Arial" w:hAnsi="Arial" w:cs="Arial"/>
        <w:b/>
        <w:sz w:val="48"/>
      </w:rPr>
      <w:t>LV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C7E9" w14:textId="77777777" w:rsidR="00400A03" w:rsidRPr="00400A03" w:rsidRDefault="00400A03" w:rsidP="00400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A3148" w14:textId="77777777" w:rsidR="00657C2A" w:rsidRDefault="00657C2A" w:rsidP="00581004">
      <w:pPr>
        <w:spacing w:before="0" w:after="0"/>
      </w:pPr>
      <w:r>
        <w:separator/>
      </w:r>
    </w:p>
  </w:footnote>
  <w:footnote w:type="continuationSeparator" w:id="0">
    <w:p w14:paraId="06096034" w14:textId="77777777" w:rsidR="00657C2A" w:rsidRDefault="00657C2A" w:rsidP="00581004">
      <w:pPr>
        <w:spacing w:before="0" w:after="0"/>
      </w:pPr>
      <w:r>
        <w:continuationSeparator/>
      </w:r>
    </w:p>
  </w:footnote>
  <w:footnote w:type="continuationNotice" w:id="1">
    <w:p w14:paraId="42DC6C15" w14:textId="77777777" w:rsidR="00657C2A" w:rsidRDefault="00657C2A">
      <w:pPr>
        <w:spacing w:before="0" w:after="0"/>
      </w:pPr>
    </w:p>
  </w:footnote>
  <w:footnote w:id="2">
    <w:p w14:paraId="549A8541" w14:textId="3254CB4D" w:rsidR="00657C2A" w:rsidRDefault="00657C2A" w:rsidP="00E3385C">
      <w:pPr>
        <w:pStyle w:val="FootnoteText"/>
      </w:pPr>
      <w:r>
        <w:rPr>
          <w:rStyle w:val="FootnoteReference"/>
        </w:rPr>
        <w:footnoteRef/>
      </w:r>
      <w:r>
        <w:tab/>
        <w:t>OV C , , . lpp.</w:t>
      </w:r>
    </w:p>
  </w:footnote>
  <w:footnote w:id="3">
    <w:p w14:paraId="46F6FB7C" w14:textId="7FFAB245" w:rsidR="00657C2A" w:rsidRDefault="00657C2A" w:rsidP="00E3385C">
      <w:pPr>
        <w:pStyle w:val="FootnoteText"/>
      </w:pPr>
      <w:r>
        <w:rPr>
          <w:rStyle w:val="FootnoteReference"/>
        </w:rPr>
        <w:footnoteRef/>
      </w:r>
      <w:r>
        <w:tab/>
        <w:t>OV C , , . lpp.</w:t>
      </w:r>
    </w:p>
  </w:footnote>
  <w:footnote w:id="4">
    <w:p w14:paraId="0C1A9AF8" w14:textId="77777777" w:rsidR="00657C2A" w:rsidRDefault="00657C2A" w:rsidP="00277323">
      <w:pPr>
        <w:pStyle w:val="FootnoteText"/>
        <w:rPr>
          <w:szCs w:val="24"/>
        </w:rPr>
      </w:pPr>
      <w:r>
        <w:rPr>
          <w:rStyle w:val="FootnoteReference"/>
        </w:rPr>
        <w:footnoteRef/>
      </w:r>
      <w:r>
        <w:tab/>
        <w:t>Kā paredzēts Finanšu regulas 58. panta 2. punkta a) vai b) apakšpunktā.</w:t>
      </w:r>
    </w:p>
  </w:footnote>
  <w:footnote w:id="5">
    <w:p w14:paraId="73B7C42D" w14:textId="77777777" w:rsidR="00657C2A" w:rsidRDefault="00657C2A" w:rsidP="00277323">
      <w:pPr>
        <w:pStyle w:val="FootnoteText"/>
        <w:jc w:val="left"/>
        <w:rPr>
          <w:szCs w:val="24"/>
        </w:rPr>
      </w:pPr>
      <w:r>
        <w:rPr>
          <w:rStyle w:val="FootnoteReference"/>
        </w:rPr>
        <w:footnoteRef/>
      </w:r>
      <w:r>
        <w:tab/>
        <w:t xml:space="preserve">Sīkāku informāciju par pārvaldības veidiem un atsauces uz Finanšu regulu skatīt </w:t>
      </w:r>
      <w:r>
        <w:rPr>
          <w:i/>
          <w:iCs/>
        </w:rPr>
        <w:t>BudgWeb</w:t>
      </w:r>
      <w:r>
        <w:t xml:space="preserve"> tīmekļa vietnē: </w:t>
      </w:r>
      <w:hyperlink r:id="rId1" w:history="1">
        <w:r>
          <w:rPr>
            <w:rStyle w:val="Hyperlink"/>
          </w:rPr>
          <w:t>https://myintracomm.ec.europa.eu/budgweb/EN/man/budgmanag/Pages/budgmanag.aspx</w:t>
        </w:r>
      </w:hyperlink>
      <w:r>
        <w:t xml:space="preserve"> </w:t>
      </w:r>
    </w:p>
  </w:footnote>
  <w:footnote w:id="6">
    <w:p w14:paraId="6BEDF95E" w14:textId="77777777" w:rsidR="00657C2A" w:rsidRDefault="00657C2A" w:rsidP="00277323">
      <w:pPr>
        <w:pStyle w:val="FootnoteText"/>
        <w:rPr>
          <w:szCs w:val="24"/>
        </w:rPr>
      </w:pPr>
      <w:r>
        <w:rPr>
          <w:rStyle w:val="FootnoteReference"/>
        </w:rPr>
        <w:footnoteRef/>
      </w:r>
      <w:r>
        <w:tab/>
        <w:t>Dif. – diferencētās apropriācijas, nedif. – nediferencētās apropriācijas.</w:t>
      </w:r>
    </w:p>
  </w:footnote>
  <w:footnote w:id="7">
    <w:p w14:paraId="23847147" w14:textId="77777777" w:rsidR="00657C2A" w:rsidRDefault="00657C2A" w:rsidP="00277323">
      <w:pPr>
        <w:pStyle w:val="FootnoteText"/>
        <w:rPr>
          <w:szCs w:val="24"/>
        </w:rPr>
      </w:pPr>
      <w:r>
        <w:rPr>
          <w:rStyle w:val="FootnoteReference"/>
        </w:rPr>
        <w:footnoteRef/>
      </w:r>
      <w:r>
        <w:tab/>
        <w:t xml:space="preserve">EBTA – Eiropas Brīvās tirdzniecības asociācija. </w:t>
      </w:r>
    </w:p>
  </w:footnote>
  <w:footnote w:id="8">
    <w:p w14:paraId="2AFA7A73" w14:textId="77777777" w:rsidR="00657C2A" w:rsidRDefault="00657C2A" w:rsidP="00277323">
      <w:pPr>
        <w:pStyle w:val="FootnoteText"/>
        <w:rPr>
          <w:szCs w:val="24"/>
        </w:rPr>
      </w:pPr>
      <w:r>
        <w:rPr>
          <w:rStyle w:val="FootnoteReference"/>
        </w:rPr>
        <w:footnoteRef/>
      </w:r>
      <w:r>
        <w:tab/>
        <w:t>Kandidātvalstis un attiecīgā gadījumā potenciālās kandidātvalstis no Rietumbalkāniem.</w:t>
      </w:r>
    </w:p>
  </w:footnote>
  <w:footnote w:id="9">
    <w:p w14:paraId="66385675" w14:textId="77777777" w:rsidR="00657C2A" w:rsidRDefault="00657C2A" w:rsidP="00277323">
      <w:pPr>
        <w:pStyle w:val="FootnoteText"/>
        <w:rPr>
          <w:szCs w:val="24"/>
        </w:rPr>
      </w:pPr>
      <w:r>
        <w:rPr>
          <w:rStyle w:val="FootnoteReference"/>
        </w:rPr>
        <w:footnoteRef/>
      </w:r>
      <w:r>
        <w:tab/>
        <w:t>Iznākumi ir attiecīgie produkti vai pakalpojumi (piemēram, finansēto studentu apmaiņu skaits, uzbūvēto ceļu garums kilometros utt.).</w:t>
      </w:r>
    </w:p>
  </w:footnote>
  <w:footnote w:id="10">
    <w:p w14:paraId="1A59A7B0" w14:textId="77777777" w:rsidR="00657C2A" w:rsidRDefault="00657C2A" w:rsidP="00277323">
      <w:pPr>
        <w:pStyle w:val="FootnoteText"/>
        <w:rPr>
          <w:szCs w:val="24"/>
        </w:rPr>
      </w:pPr>
      <w:r>
        <w:rPr>
          <w:rStyle w:val="FootnoteReference"/>
        </w:rPr>
        <w:footnoteRef/>
      </w:r>
      <w:r>
        <w:tab/>
        <w:t xml:space="preserve">Kā aprakstīts 1.4.2. punktā “Konkrētie mērķi”. </w:t>
      </w:r>
    </w:p>
  </w:footnote>
  <w:footnote w:id="11">
    <w:p w14:paraId="7C82D4F7" w14:textId="77777777" w:rsidR="00657C2A" w:rsidRPr="008D0E8A" w:rsidRDefault="00657C2A" w:rsidP="00277323">
      <w:pPr>
        <w:pStyle w:val="FootnoteText"/>
        <w:rPr>
          <w:sz w:val="18"/>
          <w:szCs w:val="18"/>
        </w:rPr>
      </w:pPr>
      <w:r>
        <w:rPr>
          <w:rStyle w:val="FootnoteReference"/>
        </w:rPr>
        <w:footnoteRef/>
      </w:r>
      <w:r>
        <w:tab/>
      </w:r>
      <w:r>
        <w:rPr>
          <w:sz w:val="18"/>
          <w:szCs w:val="18"/>
        </w:rPr>
        <w:t>N gads ir gads, kurā priekšlikumu/iniciatīvu sāk īstenot. Aizstājiet “N” ar paredzēto pirmo īstenošanas gadu (piemēram, 2021.). Tas pats attiecas uz turpmākajiem gadiem.</w:t>
      </w:r>
    </w:p>
  </w:footnote>
  <w:footnote w:id="12">
    <w:p w14:paraId="4230F341" w14:textId="77777777" w:rsidR="00657C2A" w:rsidRDefault="00657C2A" w:rsidP="00277323">
      <w:pPr>
        <w:pStyle w:val="FootnoteText"/>
        <w:rPr>
          <w:szCs w:val="24"/>
        </w:rPr>
      </w:pPr>
      <w:r>
        <w:rPr>
          <w:rStyle w:val="FootnoteReference"/>
        </w:rPr>
        <w:footnoteRef/>
      </w:r>
      <w:r>
        <w:tab/>
      </w:r>
      <w:r>
        <w:rPr>
          <w:sz w:val="18"/>
          <w:szCs w:val="18"/>
        </w:rPr>
        <w:t xml:space="preserve">Tehniskais un/vai administratīvais atbalsts un ES programmu un/vai darbību īstenošanas atbalsta izdevumi (kādreizējās </w:t>
      </w:r>
      <w:r>
        <w:rPr>
          <w:i/>
          <w:iCs/>
          <w:sz w:val="18"/>
          <w:szCs w:val="18"/>
        </w:rPr>
        <w:t>BA</w:t>
      </w:r>
      <w:r>
        <w:rPr>
          <w:sz w:val="18"/>
          <w:szCs w:val="18"/>
        </w:rPr>
        <w:t xml:space="preserve"> pozīcijas), netiešā pētniecība, tiešā pētniecība.</w:t>
      </w:r>
    </w:p>
  </w:footnote>
  <w:footnote w:id="13">
    <w:p w14:paraId="6AF0D143" w14:textId="77777777" w:rsidR="00657C2A" w:rsidRDefault="00657C2A" w:rsidP="00277323">
      <w:pPr>
        <w:pStyle w:val="FootnoteText"/>
        <w:rPr>
          <w:szCs w:val="24"/>
        </w:rPr>
      </w:pPr>
      <w:r>
        <w:rPr>
          <w:rStyle w:val="FootnoteReference"/>
        </w:rPr>
        <w:footnoteRef/>
      </w:r>
      <w:r>
        <w:tab/>
      </w:r>
      <w:r>
        <w:rPr>
          <w:i/>
          <w:iCs/>
        </w:rPr>
        <w:t>AC</w:t>
      </w:r>
      <w:r>
        <w:t xml:space="preserve"> – līgumdarbinieki, </w:t>
      </w:r>
      <w:r>
        <w:rPr>
          <w:i/>
          <w:iCs/>
        </w:rPr>
        <w:t>AL</w:t>
      </w:r>
      <w:r>
        <w:t xml:space="preserve"> – vietējie darbinieki, </w:t>
      </w:r>
      <w:r>
        <w:rPr>
          <w:i/>
          <w:iCs/>
        </w:rPr>
        <w:t>END</w:t>
      </w:r>
      <w:r>
        <w:t xml:space="preserve"> – valstu norīkotie eksperti, </w:t>
      </w:r>
      <w:r>
        <w:rPr>
          <w:i/>
          <w:iCs/>
        </w:rPr>
        <w:t>INT</w:t>
      </w:r>
      <w:r>
        <w:t xml:space="preserve"> – aģentūru darbinieki, JED – jaunākie eksperti delegācijās. </w:t>
      </w:r>
    </w:p>
  </w:footnote>
  <w:footnote w:id="14">
    <w:p w14:paraId="3398F093" w14:textId="77777777" w:rsidR="00657C2A" w:rsidRDefault="00657C2A" w:rsidP="00277323">
      <w:pPr>
        <w:pStyle w:val="FootnoteText"/>
        <w:rPr>
          <w:szCs w:val="24"/>
        </w:rPr>
      </w:pPr>
      <w:r>
        <w:rPr>
          <w:rStyle w:val="FootnoteReference"/>
        </w:rPr>
        <w:footnoteRef/>
      </w:r>
      <w:r>
        <w:tab/>
        <w:t xml:space="preserve">Ārštata darbiniekiem paredzēto maksimālo summu finansē no darbības apropriācijām (kādreizējām </w:t>
      </w:r>
      <w:r>
        <w:rPr>
          <w:i/>
          <w:iCs/>
        </w:rPr>
        <w:t>BA</w:t>
      </w:r>
      <w:r>
        <w:t xml:space="preserve"> pozīcijām).</w:t>
      </w:r>
    </w:p>
  </w:footnote>
  <w:footnote w:id="15">
    <w:p w14:paraId="0D520D59" w14:textId="77777777" w:rsidR="00657C2A" w:rsidRDefault="00657C2A" w:rsidP="00277323">
      <w:pPr>
        <w:pStyle w:val="FootnoteText"/>
      </w:pPr>
      <w:r>
        <w:rPr>
          <w:rStyle w:val="FootnoteReference"/>
        </w:rPr>
        <w:footnoteRef/>
      </w:r>
      <w:r>
        <w:tab/>
        <w:t>N gads ir gads, kurā priekšlikumu/iniciatīvu sāk īstenot. Aizstājiet “N” ar paredzēto pirmo īstenošanas gadu (piemēram, 2021.). Tas pats attiecas uz turpmākajiem gadiem.</w:t>
      </w:r>
    </w:p>
  </w:footnote>
  <w:footnote w:id="16">
    <w:p w14:paraId="1FD6CFEC" w14:textId="77777777" w:rsidR="00657C2A" w:rsidRDefault="00657C2A" w:rsidP="00277323">
      <w:pPr>
        <w:pStyle w:val="FootnoteText"/>
        <w:rPr>
          <w:szCs w:val="24"/>
        </w:rPr>
      </w:pPr>
      <w:r>
        <w:rPr>
          <w:rStyle w:val="FootnoteReference"/>
        </w:rPr>
        <w:footnoteRef/>
      </w:r>
      <w:r>
        <w:tab/>
        <w:t>Norādītajām tradicionālo pašu resursu (muitas nodokļi, cukura nodevas) summām jābūt neto summām, t. i., bruto summām, no kurām atskaitītas iekasēšanas izmaksas 20 % apmērā.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399C" w14:textId="77777777" w:rsidR="00400A03" w:rsidRPr="00400A03" w:rsidRDefault="00400A03" w:rsidP="00400A03">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FDA5" w14:textId="77777777" w:rsidR="00400A03" w:rsidRPr="00400A03" w:rsidRDefault="00400A03" w:rsidP="00400A03">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4F5F" w14:textId="77777777" w:rsidR="00657C2A" w:rsidRPr="000254DF" w:rsidRDefault="00657C2A" w:rsidP="00400A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7202" w14:textId="77777777" w:rsidR="00400A03" w:rsidRPr="00400A03" w:rsidRDefault="00400A03" w:rsidP="00400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994E0B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87EF0E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93AAAC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0484C5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C48330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570E61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4C06B2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7F659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54E7A5C"/>
    <w:multiLevelType w:val="hybridMultilevel"/>
    <w:tmpl w:val="D81430E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7"/>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9"/>
  </w:num>
  <w:num w:numId="12">
    <w:abstractNumId w:val="18"/>
  </w:num>
  <w:num w:numId="13">
    <w:abstractNumId w:val="13"/>
  </w:num>
  <w:num w:numId="14">
    <w:abstractNumId w:val="24"/>
  </w:num>
  <w:num w:numId="15">
    <w:abstractNumId w:val="2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num>
  <w:num w:numId="18">
    <w:abstractNumId w:val="26"/>
  </w:num>
  <w:num w:numId="19">
    <w:abstractNumId w:val="23"/>
  </w:num>
  <w:num w:numId="20">
    <w:abstractNumId w:val="14"/>
  </w:num>
  <w:num w:numId="21">
    <w:abstractNumId w:val="25"/>
  </w:num>
  <w:num w:numId="22">
    <w:abstractNumId w:val="12"/>
  </w:num>
  <w:num w:numId="23">
    <w:abstractNumId w:val="15"/>
  </w:num>
  <w:num w:numId="24">
    <w:abstractNumId w:val="16"/>
  </w:num>
  <w:num w:numId="25">
    <w:abstractNumId w:val="10"/>
  </w:num>
  <w:num w:numId="26">
    <w:abstractNumId w:val="24"/>
  </w:num>
  <w:num w:numId="27">
    <w:abstractNumId w:val="9"/>
  </w:num>
  <w:num w:numId="28">
    <w:abstractNumId w:val="17"/>
  </w:num>
  <w:num w:numId="29">
    <w:abstractNumId w:val="21"/>
  </w:num>
  <w:num w:numId="30">
    <w:abstractNumId w:val="22"/>
  </w:num>
  <w:num w:numId="31">
    <w:abstractNumId w:val="11"/>
  </w:num>
  <w:num w:numId="32">
    <w:abstractNumId w:val="20"/>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5-20 10:10:1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0F1FFD07-6025-4B0D-AFD9-E2BBBB20DA6D"/>
    <w:docVar w:name="LW_COVERPAGE_TYPE" w:val="1"/>
    <w:docVar w:name="LW_CROSSREFERENCE" w:val="&lt;UNUSED&gt;"/>
    <w:docVar w:name="LW_DocType" w:val="COM"/>
    <w:docVar w:name="LW_EMISSION" w:val="20.5.2022"/>
    <w:docVar w:name="LW_EMISSION_ISODATE" w:val="2022-05-20"/>
    <w:docVar w:name="LW_EMISSION_LOCATION" w:val="BRX"/>
    <w:docVar w:name="LW_EMISSION_PREFIX" w:val="Brisel\u275?, "/>
    <w:docVar w:name="LW_EMISSION_SUFFIX" w:val="."/>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66"/>
    <w:docVar w:name="LW_REF.II.NEW.CP_YEAR" w:val="2022"/>
    <w:docVar w:name="LW_REF.INST.NEW" w:val="COM"/>
    <w:docVar w:name="LW_REF.INST.NEW_ADOPTED" w:val="final"/>
    <w:docVar w:name="LW_REF.INST.NEW_TEXT" w:val="(2022) 2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ar ko Regulu (ES) Nr. 1305/2013 groza attiecībā uz īpašu pasākumu, ar kuru, reaģējot uz ietekmi, ko rada Krievijas iebrukums Ukrainā, nodrošina ārkārtas pagaidu atbalstu no Eiropas Lauksaimniecības fonda lauku attīstībai (ELFLA)"/>
    <w:docVar w:name="LW_TYPE.DOC.CP" w:val="EIROPAS PARLAMENTA UN PADOMES REGULA,"/>
    <w:docVar w:name="LwApiVersions" w:val="LW4CoDe 1.23.2.0; LW 8.0, Build 20211117"/>
  </w:docVars>
  <w:rsids>
    <w:rsidRoot w:val="00581004"/>
    <w:rsid w:val="00000AC9"/>
    <w:rsid w:val="0000562B"/>
    <w:rsid w:val="00010DEB"/>
    <w:rsid w:val="000114D2"/>
    <w:rsid w:val="00012465"/>
    <w:rsid w:val="00017CA3"/>
    <w:rsid w:val="00020FB8"/>
    <w:rsid w:val="000223AE"/>
    <w:rsid w:val="0002279F"/>
    <w:rsid w:val="00023B81"/>
    <w:rsid w:val="000254DF"/>
    <w:rsid w:val="00033DD8"/>
    <w:rsid w:val="00037F0B"/>
    <w:rsid w:val="0004296A"/>
    <w:rsid w:val="000440CD"/>
    <w:rsid w:val="00044F16"/>
    <w:rsid w:val="000470DC"/>
    <w:rsid w:val="00051E7E"/>
    <w:rsid w:val="00051E96"/>
    <w:rsid w:val="000532EA"/>
    <w:rsid w:val="00054040"/>
    <w:rsid w:val="00055368"/>
    <w:rsid w:val="00056BF7"/>
    <w:rsid w:val="000619C2"/>
    <w:rsid w:val="00065105"/>
    <w:rsid w:val="00065C6A"/>
    <w:rsid w:val="00066E3B"/>
    <w:rsid w:val="00070613"/>
    <w:rsid w:val="00070C39"/>
    <w:rsid w:val="000719DA"/>
    <w:rsid w:val="00071F71"/>
    <w:rsid w:val="000743B4"/>
    <w:rsid w:val="00074682"/>
    <w:rsid w:val="0008190E"/>
    <w:rsid w:val="00082634"/>
    <w:rsid w:val="00085E8F"/>
    <w:rsid w:val="00091D49"/>
    <w:rsid w:val="00093CD5"/>
    <w:rsid w:val="000A1D2F"/>
    <w:rsid w:val="000A5420"/>
    <w:rsid w:val="000A5AAC"/>
    <w:rsid w:val="000A649A"/>
    <w:rsid w:val="000A64B0"/>
    <w:rsid w:val="000A7517"/>
    <w:rsid w:val="000A7CEF"/>
    <w:rsid w:val="000B48DF"/>
    <w:rsid w:val="000B65DB"/>
    <w:rsid w:val="000B78D7"/>
    <w:rsid w:val="000C10D7"/>
    <w:rsid w:val="000C1D2F"/>
    <w:rsid w:val="000C6485"/>
    <w:rsid w:val="000D22A6"/>
    <w:rsid w:val="000E062F"/>
    <w:rsid w:val="000E198E"/>
    <w:rsid w:val="000E5575"/>
    <w:rsid w:val="000E7B3B"/>
    <w:rsid w:val="000F0A02"/>
    <w:rsid w:val="000F1DBA"/>
    <w:rsid w:val="00101421"/>
    <w:rsid w:val="00102B40"/>
    <w:rsid w:val="00106A89"/>
    <w:rsid w:val="00110377"/>
    <w:rsid w:val="00117644"/>
    <w:rsid w:val="00117D57"/>
    <w:rsid w:val="00120543"/>
    <w:rsid w:val="00123F3D"/>
    <w:rsid w:val="00123FCE"/>
    <w:rsid w:val="0012559F"/>
    <w:rsid w:val="00126127"/>
    <w:rsid w:val="00127B61"/>
    <w:rsid w:val="001326AE"/>
    <w:rsid w:val="00150F1A"/>
    <w:rsid w:val="0015318B"/>
    <w:rsid w:val="00162263"/>
    <w:rsid w:val="00170E6A"/>
    <w:rsid w:val="0017261E"/>
    <w:rsid w:val="00181415"/>
    <w:rsid w:val="001828A8"/>
    <w:rsid w:val="001851A7"/>
    <w:rsid w:val="001871A6"/>
    <w:rsid w:val="00191B79"/>
    <w:rsid w:val="001921C3"/>
    <w:rsid w:val="00196B9D"/>
    <w:rsid w:val="00196DD5"/>
    <w:rsid w:val="001A4E9D"/>
    <w:rsid w:val="001A627A"/>
    <w:rsid w:val="001A6EBB"/>
    <w:rsid w:val="001B23A9"/>
    <w:rsid w:val="001B2A7E"/>
    <w:rsid w:val="001B5E8F"/>
    <w:rsid w:val="001B71AB"/>
    <w:rsid w:val="001B7377"/>
    <w:rsid w:val="001C2816"/>
    <w:rsid w:val="001C5FCE"/>
    <w:rsid w:val="001C626F"/>
    <w:rsid w:val="001D0B88"/>
    <w:rsid w:val="001D1EEC"/>
    <w:rsid w:val="001D31C7"/>
    <w:rsid w:val="001D552F"/>
    <w:rsid w:val="001E2CD2"/>
    <w:rsid w:val="001E2E0D"/>
    <w:rsid w:val="001E73F4"/>
    <w:rsid w:val="001F5654"/>
    <w:rsid w:val="001F78C1"/>
    <w:rsid w:val="0020279B"/>
    <w:rsid w:val="002100D3"/>
    <w:rsid w:val="0021662E"/>
    <w:rsid w:val="002218A2"/>
    <w:rsid w:val="002219B6"/>
    <w:rsid w:val="002232FE"/>
    <w:rsid w:val="00227E50"/>
    <w:rsid w:val="00233478"/>
    <w:rsid w:val="00236B9D"/>
    <w:rsid w:val="00237DC7"/>
    <w:rsid w:val="0024648F"/>
    <w:rsid w:val="0024740F"/>
    <w:rsid w:val="00257FC5"/>
    <w:rsid w:val="00260520"/>
    <w:rsid w:val="00270031"/>
    <w:rsid w:val="00274880"/>
    <w:rsid w:val="00276709"/>
    <w:rsid w:val="00277323"/>
    <w:rsid w:val="00285ABB"/>
    <w:rsid w:val="00286542"/>
    <w:rsid w:val="00291584"/>
    <w:rsid w:val="002958E6"/>
    <w:rsid w:val="002A39E3"/>
    <w:rsid w:val="002A5120"/>
    <w:rsid w:val="002A75B7"/>
    <w:rsid w:val="002B2E84"/>
    <w:rsid w:val="002B5994"/>
    <w:rsid w:val="002B6456"/>
    <w:rsid w:val="002D3E23"/>
    <w:rsid w:val="002D4989"/>
    <w:rsid w:val="002D68F9"/>
    <w:rsid w:val="002E0897"/>
    <w:rsid w:val="002E4696"/>
    <w:rsid w:val="002E4A48"/>
    <w:rsid w:val="002F3617"/>
    <w:rsid w:val="002F491A"/>
    <w:rsid w:val="002F60DA"/>
    <w:rsid w:val="00302703"/>
    <w:rsid w:val="00313343"/>
    <w:rsid w:val="0031505A"/>
    <w:rsid w:val="00315313"/>
    <w:rsid w:val="0032525A"/>
    <w:rsid w:val="00336526"/>
    <w:rsid w:val="00341ABC"/>
    <w:rsid w:val="00341F00"/>
    <w:rsid w:val="003473D4"/>
    <w:rsid w:val="00353439"/>
    <w:rsid w:val="00362974"/>
    <w:rsid w:val="00363C6C"/>
    <w:rsid w:val="003748AB"/>
    <w:rsid w:val="003855BD"/>
    <w:rsid w:val="00385BBA"/>
    <w:rsid w:val="00387B71"/>
    <w:rsid w:val="00393F14"/>
    <w:rsid w:val="00396B8E"/>
    <w:rsid w:val="003A0BB8"/>
    <w:rsid w:val="003A18D5"/>
    <w:rsid w:val="003C1E98"/>
    <w:rsid w:val="003C2C51"/>
    <w:rsid w:val="003C39C8"/>
    <w:rsid w:val="003D694E"/>
    <w:rsid w:val="003E037B"/>
    <w:rsid w:val="003E644F"/>
    <w:rsid w:val="003F3996"/>
    <w:rsid w:val="003F751D"/>
    <w:rsid w:val="00400A03"/>
    <w:rsid w:val="00404ADF"/>
    <w:rsid w:val="004068A0"/>
    <w:rsid w:val="00412762"/>
    <w:rsid w:val="004210C5"/>
    <w:rsid w:val="00427125"/>
    <w:rsid w:val="00434D99"/>
    <w:rsid w:val="004357E4"/>
    <w:rsid w:val="004379CB"/>
    <w:rsid w:val="00441A62"/>
    <w:rsid w:val="004438C0"/>
    <w:rsid w:val="0044741C"/>
    <w:rsid w:val="004616A2"/>
    <w:rsid w:val="004646F8"/>
    <w:rsid w:val="00471886"/>
    <w:rsid w:val="004819FB"/>
    <w:rsid w:val="004909DF"/>
    <w:rsid w:val="00493D5C"/>
    <w:rsid w:val="00496004"/>
    <w:rsid w:val="004B483E"/>
    <w:rsid w:val="004B5103"/>
    <w:rsid w:val="004B67C5"/>
    <w:rsid w:val="004B792B"/>
    <w:rsid w:val="004C14B4"/>
    <w:rsid w:val="004C3D45"/>
    <w:rsid w:val="004C4BF3"/>
    <w:rsid w:val="004C7BA2"/>
    <w:rsid w:val="004D2BE0"/>
    <w:rsid w:val="004D31F4"/>
    <w:rsid w:val="004D3952"/>
    <w:rsid w:val="004D3E5E"/>
    <w:rsid w:val="004D4930"/>
    <w:rsid w:val="004F0024"/>
    <w:rsid w:val="004F0F3C"/>
    <w:rsid w:val="004F4330"/>
    <w:rsid w:val="0050017D"/>
    <w:rsid w:val="005002C9"/>
    <w:rsid w:val="005015C0"/>
    <w:rsid w:val="005043B6"/>
    <w:rsid w:val="005100D5"/>
    <w:rsid w:val="00517AD6"/>
    <w:rsid w:val="00517CFB"/>
    <w:rsid w:val="00520412"/>
    <w:rsid w:val="00520A68"/>
    <w:rsid w:val="005224E1"/>
    <w:rsid w:val="00522A11"/>
    <w:rsid w:val="00522D07"/>
    <w:rsid w:val="00531F5A"/>
    <w:rsid w:val="0053209B"/>
    <w:rsid w:val="00532351"/>
    <w:rsid w:val="00541828"/>
    <w:rsid w:val="00552103"/>
    <w:rsid w:val="00552DCE"/>
    <w:rsid w:val="005561E7"/>
    <w:rsid w:val="0055650D"/>
    <w:rsid w:val="00557C6D"/>
    <w:rsid w:val="00557D76"/>
    <w:rsid w:val="00565657"/>
    <w:rsid w:val="005662EB"/>
    <w:rsid w:val="00575AD6"/>
    <w:rsid w:val="00575F91"/>
    <w:rsid w:val="00580AED"/>
    <w:rsid w:val="00581004"/>
    <w:rsid w:val="00582598"/>
    <w:rsid w:val="005852F5"/>
    <w:rsid w:val="00591496"/>
    <w:rsid w:val="00592D29"/>
    <w:rsid w:val="00593040"/>
    <w:rsid w:val="00593E45"/>
    <w:rsid w:val="005A0EBD"/>
    <w:rsid w:val="005A120C"/>
    <w:rsid w:val="005A705C"/>
    <w:rsid w:val="005B1925"/>
    <w:rsid w:val="005B29E6"/>
    <w:rsid w:val="005B32E8"/>
    <w:rsid w:val="005C509B"/>
    <w:rsid w:val="005D232D"/>
    <w:rsid w:val="005D55FC"/>
    <w:rsid w:val="005D75CC"/>
    <w:rsid w:val="005E4E5A"/>
    <w:rsid w:val="005F0256"/>
    <w:rsid w:val="005F24CC"/>
    <w:rsid w:val="005F34F8"/>
    <w:rsid w:val="005F45E2"/>
    <w:rsid w:val="005F4F8A"/>
    <w:rsid w:val="006039A2"/>
    <w:rsid w:val="00605CEB"/>
    <w:rsid w:val="00610D41"/>
    <w:rsid w:val="006128E6"/>
    <w:rsid w:val="00613F12"/>
    <w:rsid w:val="0061502D"/>
    <w:rsid w:val="00617654"/>
    <w:rsid w:val="006234FF"/>
    <w:rsid w:val="006235BE"/>
    <w:rsid w:val="00624B33"/>
    <w:rsid w:val="00630B4A"/>
    <w:rsid w:val="00633A3B"/>
    <w:rsid w:val="00634AD1"/>
    <w:rsid w:val="00637B0B"/>
    <w:rsid w:val="00640B3F"/>
    <w:rsid w:val="00647351"/>
    <w:rsid w:val="00655BE3"/>
    <w:rsid w:val="00657C2A"/>
    <w:rsid w:val="00680C9C"/>
    <w:rsid w:val="00683821"/>
    <w:rsid w:val="00687FB8"/>
    <w:rsid w:val="00690ADC"/>
    <w:rsid w:val="0069431D"/>
    <w:rsid w:val="006A2FF7"/>
    <w:rsid w:val="006A3808"/>
    <w:rsid w:val="006A56F5"/>
    <w:rsid w:val="006A5959"/>
    <w:rsid w:val="006A75C2"/>
    <w:rsid w:val="006D1F40"/>
    <w:rsid w:val="006D3AAE"/>
    <w:rsid w:val="006D42E3"/>
    <w:rsid w:val="006F3614"/>
    <w:rsid w:val="006F6936"/>
    <w:rsid w:val="0070128F"/>
    <w:rsid w:val="00702EE4"/>
    <w:rsid w:val="00704092"/>
    <w:rsid w:val="00707548"/>
    <w:rsid w:val="007149DF"/>
    <w:rsid w:val="00720869"/>
    <w:rsid w:val="007266E3"/>
    <w:rsid w:val="00731B0E"/>
    <w:rsid w:val="00731EE3"/>
    <w:rsid w:val="00740523"/>
    <w:rsid w:val="007443FF"/>
    <w:rsid w:val="00753038"/>
    <w:rsid w:val="00753046"/>
    <w:rsid w:val="007544AB"/>
    <w:rsid w:val="007544AD"/>
    <w:rsid w:val="007557B0"/>
    <w:rsid w:val="00761F91"/>
    <w:rsid w:val="00763DB4"/>
    <w:rsid w:val="00764132"/>
    <w:rsid w:val="007650C9"/>
    <w:rsid w:val="00766A21"/>
    <w:rsid w:val="00766E8F"/>
    <w:rsid w:val="00773A7D"/>
    <w:rsid w:val="00790B48"/>
    <w:rsid w:val="00795C5F"/>
    <w:rsid w:val="007A108C"/>
    <w:rsid w:val="007A3406"/>
    <w:rsid w:val="007B73D5"/>
    <w:rsid w:val="007C06F6"/>
    <w:rsid w:val="007C2733"/>
    <w:rsid w:val="007C3D42"/>
    <w:rsid w:val="007D1814"/>
    <w:rsid w:val="007D4522"/>
    <w:rsid w:val="007D5FF3"/>
    <w:rsid w:val="007E434F"/>
    <w:rsid w:val="007E6F97"/>
    <w:rsid w:val="007E748A"/>
    <w:rsid w:val="007F11DA"/>
    <w:rsid w:val="007F24E3"/>
    <w:rsid w:val="007F5B35"/>
    <w:rsid w:val="007F7875"/>
    <w:rsid w:val="0080179B"/>
    <w:rsid w:val="008017E3"/>
    <w:rsid w:val="008054BF"/>
    <w:rsid w:val="0081316F"/>
    <w:rsid w:val="0081699E"/>
    <w:rsid w:val="0082116A"/>
    <w:rsid w:val="00821B7E"/>
    <w:rsid w:val="00822C10"/>
    <w:rsid w:val="0083723F"/>
    <w:rsid w:val="0084045B"/>
    <w:rsid w:val="0084592F"/>
    <w:rsid w:val="008471FA"/>
    <w:rsid w:val="0085317B"/>
    <w:rsid w:val="00872414"/>
    <w:rsid w:val="00873502"/>
    <w:rsid w:val="008814FF"/>
    <w:rsid w:val="0088175C"/>
    <w:rsid w:val="008860AF"/>
    <w:rsid w:val="008873A9"/>
    <w:rsid w:val="00893674"/>
    <w:rsid w:val="00894CAF"/>
    <w:rsid w:val="00895854"/>
    <w:rsid w:val="008A2F08"/>
    <w:rsid w:val="008B7585"/>
    <w:rsid w:val="008B77AF"/>
    <w:rsid w:val="008C10AC"/>
    <w:rsid w:val="008C7BFE"/>
    <w:rsid w:val="008D4690"/>
    <w:rsid w:val="008D4881"/>
    <w:rsid w:val="008D5016"/>
    <w:rsid w:val="008E2B94"/>
    <w:rsid w:val="008E3978"/>
    <w:rsid w:val="008F3A82"/>
    <w:rsid w:val="008F3DE3"/>
    <w:rsid w:val="008F5919"/>
    <w:rsid w:val="008F5A33"/>
    <w:rsid w:val="00904BF8"/>
    <w:rsid w:val="00906D37"/>
    <w:rsid w:val="00914746"/>
    <w:rsid w:val="0091503A"/>
    <w:rsid w:val="009175AA"/>
    <w:rsid w:val="00920E26"/>
    <w:rsid w:val="00921394"/>
    <w:rsid w:val="00924B31"/>
    <w:rsid w:val="00926069"/>
    <w:rsid w:val="009261A5"/>
    <w:rsid w:val="00927DC0"/>
    <w:rsid w:val="009307EA"/>
    <w:rsid w:val="009352DC"/>
    <w:rsid w:val="009430D1"/>
    <w:rsid w:val="009438FC"/>
    <w:rsid w:val="00943975"/>
    <w:rsid w:val="00946E24"/>
    <w:rsid w:val="00947D0C"/>
    <w:rsid w:val="00950439"/>
    <w:rsid w:val="009512F0"/>
    <w:rsid w:val="00953ECF"/>
    <w:rsid w:val="00955D40"/>
    <w:rsid w:val="00955E46"/>
    <w:rsid w:val="0095785E"/>
    <w:rsid w:val="00960D7E"/>
    <w:rsid w:val="0096228F"/>
    <w:rsid w:val="00963266"/>
    <w:rsid w:val="009671A0"/>
    <w:rsid w:val="00967350"/>
    <w:rsid w:val="0097076F"/>
    <w:rsid w:val="0097171C"/>
    <w:rsid w:val="00971B8B"/>
    <w:rsid w:val="009844BD"/>
    <w:rsid w:val="00985A3B"/>
    <w:rsid w:val="00986B33"/>
    <w:rsid w:val="00987AD5"/>
    <w:rsid w:val="00994640"/>
    <w:rsid w:val="00995997"/>
    <w:rsid w:val="009A2AA4"/>
    <w:rsid w:val="009A32D4"/>
    <w:rsid w:val="009A451F"/>
    <w:rsid w:val="009A5498"/>
    <w:rsid w:val="009A5EF1"/>
    <w:rsid w:val="009B1991"/>
    <w:rsid w:val="009B1E0B"/>
    <w:rsid w:val="009B3859"/>
    <w:rsid w:val="009B3E2C"/>
    <w:rsid w:val="009B7138"/>
    <w:rsid w:val="009D0FA7"/>
    <w:rsid w:val="009D1F0B"/>
    <w:rsid w:val="009D2BCC"/>
    <w:rsid w:val="009D3DDF"/>
    <w:rsid w:val="009D415E"/>
    <w:rsid w:val="009D4FBC"/>
    <w:rsid w:val="009D569D"/>
    <w:rsid w:val="009E2135"/>
    <w:rsid w:val="009E2CF1"/>
    <w:rsid w:val="009E2DFC"/>
    <w:rsid w:val="009F3FA3"/>
    <w:rsid w:val="00A03B7C"/>
    <w:rsid w:val="00A1063A"/>
    <w:rsid w:val="00A137A3"/>
    <w:rsid w:val="00A149A6"/>
    <w:rsid w:val="00A20A85"/>
    <w:rsid w:val="00A2366F"/>
    <w:rsid w:val="00A23910"/>
    <w:rsid w:val="00A26C8E"/>
    <w:rsid w:val="00A319E6"/>
    <w:rsid w:val="00A35B74"/>
    <w:rsid w:val="00A4187F"/>
    <w:rsid w:val="00A44BF4"/>
    <w:rsid w:val="00A626E1"/>
    <w:rsid w:val="00A63974"/>
    <w:rsid w:val="00A6428E"/>
    <w:rsid w:val="00A67C3B"/>
    <w:rsid w:val="00A710FE"/>
    <w:rsid w:val="00A80A88"/>
    <w:rsid w:val="00A84241"/>
    <w:rsid w:val="00A8460C"/>
    <w:rsid w:val="00AA32A1"/>
    <w:rsid w:val="00AA54F1"/>
    <w:rsid w:val="00AB0C80"/>
    <w:rsid w:val="00AB6780"/>
    <w:rsid w:val="00AB6F55"/>
    <w:rsid w:val="00AB7207"/>
    <w:rsid w:val="00AC2FA8"/>
    <w:rsid w:val="00AD4309"/>
    <w:rsid w:val="00AD47B4"/>
    <w:rsid w:val="00AD61B1"/>
    <w:rsid w:val="00AE3B1A"/>
    <w:rsid w:val="00AE4C31"/>
    <w:rsid w:val="00AE7EBB"/>
    <w:rsid w:val="00AF2CC7"/>
    <w:rsid w:val="00AF574A"/>
    <w:rsid w:val="00AF7B26"/>
    <w:rsid w:val="00B0214C"/>
    <w:rsid w:val="00B032B9"/>
    <w:rsid w:val="00B05C67"/>
    <w:rsid w:val="00B07C2D"/>
    <w:rsid w:val="00B10502"/>
    <w:rsid w:val="00B11A48"/>
    <w:rsid w:val="00B130DF"/>
    <w:rsid w:val="00B146E1"/>
    <w:rsid w:val="00B205AE"/>
    <w:rsid w:val="00B20B7E"/>
    <w:rsid w:val="00B2446F"/>
    <w:rsid w:val="00B254B1"/>
    <w:rsid w:val="00B278A6"/>
    <w:rsid w:val="00B30536"/>
    <w:rsid w:val="00B3054C"/>
    <w:rsid w:val="00B318B9"/>
    <w:rsid w:val="00B31F98"/>
    <w:rsid w:val="00B31FC0"/>
    <w:rsid w:val="00B346C1"/>
    <w:rsid w:val="00B347A9"/>
    <w:rsid w:val="00B4393B"/>
    <w:rsid w:val="00B44992"/>
    <w:rsid w:val="00B45B08"/>
    <w:rsid w:val="00B51C7E"/>
    <w:rsid w:val="00B63CEE"/>
    <w:rsid w:val="00B65EBE"/>
    <w:rsid w:val="00B75736"/>
    <w:rsid w:val="00B75DE4"/>
    <w:rsid w:val="00B77F5B"/>
    <w:rsid w:val="00B80780"/>
    <w:rsid w:val="00B825D8"/>
    <w:rsid w:val="00B92CA8"/>
    <w:rsid w:val="00B92F66"/>
    <w:rsid w:val="00B94564"/>
    <w:rsid w:val="00BA48FE"/>
    <w:rsid w:val="00BA6188"/>
    <w:rsid w:val="00BB0E04"/>
    <w:rsid w:val="00BB38FF"/>
    <w:rsid w:val="00BB4657"/>
    <w:rsid w:val="00BB7C46"/>
    <w:rsid w:val="00BC5E89"/>
    <w:rsid w:val="00BC74CD"/>
    <w:rsid w:val="00BD06FC"/>
    <w:rsid w:val="00BD143D"/>
    <w:rsid w:val="00BD541B"/>
    <w:rsid w:val="00BD58CF"/>
    <w:rsid w:val="00BD5B4A"/>
    <w:rsid w:val="00BE246D"/>
    <w:rsid w:val="00BF1471"/>
    <w:rsid w:val="00BF17AA"/>
    <w:rsid w:val="00BF1EF7"/>
    <w:rsid w:val="00BF5076"/>
    <w:rsid w:val="00C01447"/>
    <w:rsid w:val="00C11671"/>
    <w:rsid w:val="00C1197C"/>
    <w:rsid w:val="00C13BCF"/>
    <w:rsid w:val="00C14F7A"/>
    <w:rsid w:val="00C24556"/>
    <w:rsid w:val="00C332CB"/>
    <w:rsid w:val="00C4197A"/>
    <w:rsid w:val="00C46771"/>
    <w:rsid w:val="00C52278"/>
    <w:rsid w:val="00C545BB"/>
    <w:rsid w:val="00C54F2B"/>
    <w:rsid w:val="00C56A22"/>
    <w:rsid w:val="00C61A2C"/>
    <w:rsid w:val="00C62B77"/>
    <w:rsid w:val="00C667FC"/>
    <w:rsid w:val="00C71619"/>
    <w:rsid w:val="00C7794A"/>
    <w:rsid w:val="00C779F7"/>
    <w:rsid w:val="00C83BF8"/>
    <w:rsid w:val="00C8526B"/>
    <w:rsid w:val="00C86C97"/>
    <w:rsid w:val="00C93B5F"/>
    <w:rsid w:val="00C94C11"/>
    <w:rsid w:val="00CA2BD7"/>
    <w:rsid w:val="00CA3F03"/>
    <w:rsid w:val="00CA6CC1"/>
    <w:rsid w:val="00CB1F24"/>
    <w:rsid w:val="00CB57CC"/>
    <w:rsid w:val="00CB751F"/>
    <w:rsid w:val="00CC2A70"/>
    <w:rsid w:val="00CC52E1"/>
    <w:rsid w:val="00CC57CE"/>
    <w:rsid w:val="00CC7B2A"/>
    <w:rsid w:val="00CD11E9"/>
    <w:rsid w:val="00CE17B6"/>
    <w:rsid w:val="00CF70C6"/>
    <w:rsid w:val="00D01BD2"/>
    <w:rsid w:val="00D07FF4"/>
    <w:rsid w:val="00D14469"/>
    <w:rsid w:val="00D22F89"/>
    <w:rsid w:val="00D25AA5"/>
    <w:rsid w:val="00D25B42"/>
    <w:rsid w:val="00D270D2"/>
    <w:rsid w:val="00D33549"/>
    <w:rsid w:val="00D4003A"/>
    <w:rsid w:val="00D43312"/>
    <w:rsid w:val="00D448D3"/>
    <w:rsid w:val="00D53FC1"/>
    <w:rsid w:val="00D56A03"/>
    <w:rsid w:val="00D72297"/>
    <w:rsid w:val="00D74290"/>
    <w:rsid w:val="00D74DCC"/>
    <w:rsid w:val="00D7799B"/>
    <w:rsid w:val="00D803ED"/>
    <w:rsid w:val="00D8335E"/>
    <w:rsid w:val="00D9018C"/>
    <w:rsid w:val="00D958BB"/>
    <w:rsid w:val="00D973D8"/>
    <w:rsid w:val="00DA0750"/>
    <w:rsid w:val="00DA1F9C"/>
    <w:rsid w:val="00DA4C11"/>
    <w:rsid w:val="00DA4CD3"/>
    <w:rsid w:val="00DA7C27"/>
    <w:rsid w:val="00DB13DF"/>
    <w:rsid w:val="00DB21B9"/>
    <w:rsid w:val="00DB2514"/>
    <w:rsid w:val="00DC19B4"/>
    <w:rsid w:val="00DD028E"/>
    <w:rsid w:val="00DD741F"/>
    <w:rsid w:val="00DD74B4"/>
    <w:rsid w:val="00DE20A7"/>
    <w:rsid w:val="00DE40A8"/>
    <w:rsid w:val="00DE4408"/>
    <w:rsid w:val="00DE5C32"/>
    <w:rsid w:val="00DE7E9B"/>
    <w:rsid w:val="00DF0A29"/>
    <w:rsid w:val="00DF13E2"/>
    <w:rsid w:val="00DF4526"/>
    <w:rsid w:val="00E0100F"/>
    <w:rsid w:val="00E018D1"/>
    <w:rsid w:val="00E02F8A"/>
    <w:rsid w:val="00E1357F"/>
    <w:rsid w:val="00E2486D"/>
    <w:rsid w:val="00E2573F"/>
    <w:rsid w:val="00E3385C"/>
    <w:rsid w:val="00E4142A"/>
    <w:rsid w:val="00E459DD"/>
    <w:rsid w:val="00E52F25"/>
    <w:rsid w:val="00E562D6"/>
    <w:rsid w:val="00E565EA"/>
    <w:rsid w:val="00E62A8A"/>
    <w:rsid w:val="00E6515D"/>
    <w:rsid w:val="00E65598"/>
    <w:rsid w:val="00E664D2"/>
    <w:rsid w:val="00E75168"/>
    <w:rsid w:val="00E82B06"/>
    <w:rsid w:val="00E86A27"/>
    <w:rsid w:val="00E9252F"/>
    <w:rsid w:val="00E92C93"/>
    <w:rsid w:val="00E96D8F"/>
    <w:rsid w:val="00E97364"/>
    <w:rsid w:val="00EA1399"/>
    <w:rsid w:val="00EA2906"/>
    <w:rsid w:val="00EA2F95"/>
    <w:rsid w:val="00EA4DA9"/>
    <w:rsid w:val="00EA52E6"/>
    <w:rsid w:val="00EA56B5"/>
    <w:rsid w:val="00EA649E"/>
    <w:rsid w:val="00EC0B0A"/>
    <w:rsid w:val="00EC5B6A"/>
    <w:rsid w:val="00EC76DA"/>
    <w:rsid w:val="00EE405E"/>
    <w:rsid w:val="00EE5A92"/>
    <w:rsid w:val="00EE612C"/>
    <w:rsid w:val="00EE6E86"/>
    <w:rsid w:val="00EE7E4D"/>
    <w:rsid w:val="00EF5138"/>
    <w:rsid w:val="00EF58B1"/>
    <w:rsid w:val="00F014E0"/>
    <w:rsid w:val="00F0192D"/>
    <w:rsid w:val="00F06324"/>
    <w:rsid w:val="00F075D8"/>
    <w:rsid w:val="00F11129"/>
    <w:rsid w:val="00F20062"/>
    <w:rsid w:val="00F2040F"/>
    <w:rsid w:val="00F23529"/>
    <w:rsid w:val="00F24D40"/>
    <w:rsid w:val="00F26D0D"/>
    <w:rsid w:val="00F3462D"/>
    <w:rsid w:val="00F4293A"/>
    <w:rsid w:val="00F50509"/>
    <w:rsid w:val="00F53BDC"/>
    <w:rsid w:val="00F569F1"/>
    <w:rsid w:val="00F57766"/>
    <w:rsid w:val="00F6210C"/>
    <w:rsid w:val="00F777F2"/>
    <w:rsid w:val="00F92138"/>
    <w:rsid w:val="00F94944"/>
    <w:rsid w:val="00F94ACA"/>
    <w:rsid w:val="00FA75F1"/>
    <w:rsid w:val="00FB1066"/>
    <w:rsid w:val="00FB4A87"/>
    <w:rsid w:val="00FB4A8E"/>
    <w:rsid w:val="00FB7B72"/>
    <w:rsid w:val="00FB7BA3"/>
    <w:rsid w:val="00FC0A2E"/>
    <w:rsid w:val="00FC10DB"/>
    <w:rsid w:val="00FD6E0E"/>
    <w:rsid w:val="00FE0B1D"/>
    <w:rsid w:val="00FE37D3"/>
    <w:rsid w:val="00FE79AD"/>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71346F"/>
  <w15:docId w15:val="{93D505E7-1510-4F66-826E-4384F004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rsid w:val="00517205"/>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24740F"/>
    <w:pPr>
      <w:numPr>
        <w:numId w:val="1"/>
      </w:numPr>
      <w:contextualSpacing/>
    </w:pPr>
  </w:style>
  <w:style w:type="paragraph" w:styleId="ListBullet2">
    <w:name w:val="List Bullet 2"/>
    <w:basedOn w:val="Normal"/>
    <w:unhideWhenUsed/>
    <w:rsid w:val="0024740F"/>
    <w:pPr>
      <w:numPr>
        <w:numId w:val="2"/>
      </w:numPr>
      <w:contextualSpacing/>
    </w:pPr>
  </w:style>
  <w:style w:type="paragraph" w:styleId="ListBullet3">
    <w:name w:val="List Bullet 3"/>
    <w:basedOn w:val="Normal"/>
    <w:unhideWhenUsed/>
    <w:rsid w:val="0024740F"/>
    <w:pPr>
      <w:numPr>
        <w:numId w:val="3"/>
      </w:numPr>
      <w:contextualSpacing/>
    </w:pPr>
  </w:style>
  <w:style w:type="paragraph" w:styleId="ListBullet4">
    <w:name w:val="List Bullet 4"/>
    <w:basedOn w:val="Normal"/>
    <w:unhideWhenUsed/>
    <w:rsid w:val="0024740F"/>
    <w:pPr>
      <w:numPr>
        <w:numId w:val="4"/>
      </w:numPr>
      <w:contextualSpacing/>
    </w:pPr>
  </w:style>
  <w:style w:type="paragraph" w:styleId="ListParagraph">
    <w:name w:val="List Paragraph"/>
    <w:basedOn w:val="Normal"/>
    <w:uiPriority w:val="34"/>
    <w:qFormat/>
    <w:rsid w:val="00D25B42"/>
    <w:pPr>
      <w:ind w:left="720"/>
      <w:contextualSpacing/>
    </w:pPr>
  </w:style>
  <w:style w:type="paragraph" w:styleId="BalloonText">
    <w:name w:val="Balloon Text"/>
    <w:basedOn w:val="Normal"/>
    <w:link w:val="BalloonTextChar"/>
    <w:unhideWhenUsed/>
    <w:rsid w:val="00D25B42"/>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D25B42"/>
    <w:rPr>
      <w:rFonts w:ascii="Segoe UI" w:hAnsi="Segoe UI" w:cs="Segoe UI"/>
      <w:sz w:val="18"/>
      <w:szCs w:val="18"/>
      <w:lang w:val="lv-LV"/>
    </w:rPr>
  </w:style>
  <w:style w:type="character" w:styleId="CommentReference">
    <w:name w:val="annotation reference"/>
    <w:basedOn w:val="DefaultParagraphFont"/>
    <w:unhideWhenUsed/>
    <w:rsid w:val="00A626E1"/>
    <w:rPr>
      <w:sz w:val="16"/>
      <w:szCs w:val="16"/>
    </w:rPr>
  </w:style>
  <w:style w:type="paragraph" w:styleId="CommentText">
    <w:name w:val="annotation text"/>
    <w:basedOn w:val="Normal"/>
    <w:link w:val="CommentTextChar"/>
    <w:unhideWhenUsed/>
    <w:rsid w:val="00A626E1"/>
    <w:rPr>
      <w:sz w:val="20"/>
      <w:szCs w:val="20"/>
    </w:rPr>
  </w:style>
  <w:style w:type="character" w:customStyle="1" w:styleId="CommentTextChar">
    <w:name w:val="Comment Text Char"/>
    <w:basedOn w:val="DefaultParagraphFont"/>
    <w:link w:val="CommentText"/>
    <w:rsid w:val="00A626E1"/>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nhideWhenUsed/>
    <w:rsid w:val="00A626E1"/>
    <w:rPr>
      <w:b/>
      <w:bCs/>
    </w:rPr>
  </w:style>
  <w:style w:type="character" w:customStyle="1" w:styleId="CommentSubjectChar">
    <w:name w:val="Comment Subject Char"/>
    <w:basedOn w:val="CommentTextChar"/>
    <w:link w:val="CommentSubject"/>
    <w:rsid w:val="00A626E1"/>
    <w:rPr>
      <w:rFonts w:ascii="Times New Roman" w:hAnsi="Times New Roman" w:cs="Times New Roman"/>
      <w:b/>
      <w:bCs/>
      <w:sz w:val="20"/>
      <w:szCs w:val="20"/>
      <w:lang w:val="lv-LV"/>
    </w:rPr>
  </w:style>
  <w:style w:type="paragraph" w:styleId="Revision">
    <w:name w:val="Revision"/>
    <w:hidden/>
    <w:uiPriority w:val="99"/>
    <w:semiHidden/>
    <w:rsid w:val="00CC7B2A"/>
    <w:pPr>
      <w:spacing w:after="0" w:line="240" w:lineRule="auto"/>
    </w:pPr>
    <w:rPr>
      <w:rFonts w:ascii="Times New Roman" w:hAnsi="Times New Roman" w:cs="Times New Roman"/>
      <w:sz w:val="24"/>
    </w:rPr>
  </w:style>
  <w:style w:type="paragraph" w:styleId="Caption">
    <w:name w:val="caption"/>
    <w:basedOn w:val="Normal"/>
    <w:next w:val="Normal"/>
    <w:unhideWhenUsed/>
    <w:qFormat/>
    <w:rsid w:val="007C3D42"/>
    <w:pPr>
      <w:spacing w:before="0" w:after="200"/>
    </w:pPr>
    <w:rPr>
      <w:i/>
      <w:iCs/>
      <w:color w:val="1F497D" w:themeColor="text2"/>
      <w:sz w:val="18"/>
      <w:szCs w:val="18"/>
    </w:rPr>
  </w:style>
  <w:style w:type="paragraph" w:styleId="TableofFigures">
    <w:name w:val="table of figures"/>
    <w:basedOn w:val="Normal"/>
    <w:next w:val="Normal"/>
    <w:unhideWhenUsed/>
    <w:rsid w:val="007C3D42"/>
    <w:pPr>
      <w:spacing w:after="0"/>
    </w:pPr>
  </w:style>
  <w:style w:type="paragraph" w:styleId="ListNumber">
    <w:name w:val="List Number"/>
    <w:basedOn w:val="Normal"/>
    <w:unhideWhenUsed/>
    <w:rsid w:val="007C3D42"/>
    <w:pPr>
      <w:numPr>
        <w:numId w:val="6"/>
      </w:numPr>
      <w:contextualSpacing/>
    </w:pPr>
  </w:style>
  <w:style w:type="paragraph" w:styleId="ListNumber2">
    <w:name w:val="List Number 2"/>
    <w:basedOn w:val="Normal"/>
    <w:unhideWhenUsed/>
    <w:rsid w:val="007C3D42"/>
    <w:pPr>
      <w:numPr>
        <w:numId w:val="7"/>
      </w:numPr>
      <w:contextualSpacing/>
    </w:pPr>
  </w:style>
  <w:style w:type="paragraph" w:styleId="ListNumber3">
    <w:name w:val="List Number 3"/>
    <w:basedOn w:val="Normal"/>
    <w:unhideWhenUsed/>
    <w:rsid w:val="007C3D42"/>
    <w:pPr>
      <w:numPr>
        <w:numId w:val="8"/>
      </w:numPr>
      <w:contextualSpacing/>
    </w:pPr>
  </w:style>
  <w:style w:type="paragraph" w:styleId="ListNumber4">
    <w:name w:val="List Number 4"/>
    <w:basedOn w:val="Normal"/>
    <w:unhideWhenUsed/>
    <w:rsid w:val="007C3D42"/>
    <w:pPr>
      <w:numPr>
        <w:numId w:val="9"/>
      </w:numPr>
      <w:contextualSpacing/>
    </w:pPr>
  </w:style>
  <w:style w:type="character" w:styleId="Hyperlink">
    <w:name w:val="Hyperlink"/>
    <w:basedOn w:val="DefaultParagraphFont"/>
    <w:uiPriority w:val="99"/>
    <w:unhideWhenUsed/>
    <w:rsid w:val="007B73D5"/>
    <w:rPr>
      <w:color w:val="0000FF" w:themeColor="hyperlink"/>
      <w:u w:val="single"/>
    </w:rPr>
  </w:style>
  <w:style w:type="paragraph" w:customStyle="1" w:styleId="ListBullet1">
    <w:name w:val="List Bullet 1"/>
    <w:basedOn w:val="Normal"/>
    <w:rsid w:val="00D270D2"/>
    <w:pPr>
      <w:numPr>
        <w:numId w:val="10"/>
      </w:numPr>
    </w:pPr>
    <w:rPr>
      <w:rFonts w:eastAsia="Times New Roman"/>
      <w:lang w:eastAsia="de-DE"/>
    </w:rPr>
  </w:style>
  <w:style w:type="paragraph" w:customStyle="1" w:styleId="ListDash1">
    <w:name w:val="List Dash 1"/>
    <w:basedOn w:val="Normal"/>
    <w:rsid w:val="00D270D2"/>
    <w:pPr>
      <w:numPr>
        <w:numId w:val="11"/>
      </w:numPr>
    </w:pPr>
    <w:rPr>
      <w:rFonts w:eastAsia="Times New Roman"/>
      <w:lang w:eastAsia="de-DE"/>
    </w:rPr>
  </w:style>
  <w:style w:type="paragraph" w:customStyle="1" w:styleId="ListDash2">
    <w:name w:val="List Dash 2"/>
    <w:basedOn w:val="Normal"/>
    <w:rsid w:val="00D270D2"/>
    <w:pPr>
      <w:numPr>
        <w:numId w:val="12"/>
      </w:numPr>
    </w:pPr>
    <w:rPr>
      <w:rFonts w:eastAsia="Times New Roman"/>
      <w:lang w:eastAsia="de-DE"/>
    </w:rPr>
  </w:style>
  <w:style w:type="paragraph" w:customStyle="1" w:styleId="ListNumberLevel2">
    <w:name w:val="List Number (Level 2)"/>
    <w:basedOn w:val="Normal"/>
    <w:rsid w:val="00D270D2"/>
    <w:pPr>
      <w:tabs>
        <w:tab w:val="num" w:pos="1417"/>
      </w:tabs>
      <w:ind w:left="1417" w:hanging="708"/>
    </w:pPr>
    <w:rPr>
      <w:rFonts w:eastAsia="Times New Roman"/>
      <w:lang w:eastAsia="de-DE"/>
    </w:rPr>
  </w:style>
  <w:style w:type="paragraph" w:customStyle="1" w:styleId="ListNumberLevel3">
    <w:name w:val="List Number (Level 3)"/>
    <w:basedOn w:val="Normal"/>
    <w:rsid w:val="00D270D2"/>
    <w:pPr>
      <w:tabs>
        <w:tab w:val="num" w:pos="2126"/>
      </w:tabs>
      <w:ind w:left="2126" w:hanging="709"/>
    </w:pPr>
    <w:rPr>
      <w:rFonts w:eastAsia="Times New Roman"/>
      <w:lang w:eastAsia="de-DE"/>
    </w:rPr>
  </w:style>
  <w:style w:type="paragraph" w:customStyle="1" w:styleId="ListNumberLevel4">
    <w:name w:val="List Number (Level 4)"/>
    <w:basedOn w:val="Normal"/>
    <w:rsid w:val="00D270D2"/>
    <w:pPr>
      <w:tabs>
        <w:tab w:val="num" w:pos="2835"/>
      </w:tabs>
      <w:ind w:left="2835" w:hanging="709"/>
    </w:pPr>
    <w:rPr>
      <w:rFonts w:eastAsia="Times New Roman"/>
      <w:lang w:eastAsia="de-DE"/>
    </w:rPr>
  </w:style>
  <w:style w:type="character" w:styleId="FollowedHyperlink">
    <w:name w:val="FollowedHyperlink"/>
    <w:unhideWhenUsed/>
    <w:rsid w:val="00D270D2"/>
    <w:rPr>
      <w:color w:val="800080"/>
      <w:u w:val="single"/>
    </w:rPr>
  </w:style>
  <w:style w:type="character" w:customStyle="1" w:styleId="apple-converted-space">
    <w:name w:val="apple-converted-space"/>
    <w:rsid w:val="00D270D2"/>
  </w:style>
  <w:style w:type="paragraph" w:customStyle="1" w:styleId="CM1">
    <w:name w:val="CM1"/>
    <w:basedOn w:val="Normal"/>
    <w:next w:val="Normal"/>
    <w:uiPriority w:val="99"/>
    <w:rsid w:val="00D270D2"/>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rsid w:val="00D270D2"/>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rsid w:val="00D270D2"/>
    <w:pPr>
      <w:spacing w:before="240"/>
      <w:jc w:val="center"/>
    </w:pPr>
    <w:rPr>
      <w:rFonts w:eastAsia="Times New Roman"/>
      <w:b/>
      <w:bCs/>
      <w:lang w:eastAsia="en-GB"/>
    </w:rPr>
  </w:style>
  <w:style w:type="paragraph" w:customStyle="1" w:styleId="ListDash">
    <w:name w:val="List Dash"/>
    <w:basedOn w:val="Normal"/>
    <w:rsid w:val="00D270D2"/>
    <w:pPr>
      <w:numPr>
        <w:numId w:val="13"/>
      </w:numPr>
    </w:pPr>
    <w:rPr>
      <w:rFonts w:eastAsia="Times New Roman"/>
      <w:szCs w:val="20"/>
      <w:lang w:eastAsia="en-GB"/>
    </w:rPr>
  </w:style>
  <w:style w:type="character" w:customStyle="1" w:styleId="super">
    <w:name w:val="super"/>
    <w:basedOn w:val="DefaultParagraphFont"/>
    <w:rsid w:val="00D270D2"/>
    <w:rPr>
      <w:sz w:val="17"/>
      <w:szCs w:val="17"/>
      <w:vertAlign w:val="superscript"/>
    </w:rPr>
  </w:style>
  <w:style w:type="paragraph" w:customStyle="1" w:styleId="normal2">
    <w:name w:val="normal2"/>
    <w:basedOn w:val="Normal"/>
    <w:rsid w:val="00D270D2"/>
    <w:pPr>
      <w:spacing w:after="0" w:line="312" w:lineRule="atLeast"/>
    </w:pPr>
    <w:rPr>
      <w:rFonts w:eastAsia="Times New Roman"/>
      <w:szCs w:val="24"/>
      <w:lang w:eastAsia="en-GB"/>
    </w:rPr>
  </w:style>
  <w:style w:type="character" w:styleId="Strong">
    <w:name w:val="Strong"/>
    <w:basedOn w:val="DefaultParagraphFont"/>
    <w:uiPriority w:val="22"/>
    <w:qFormat/>
    <w:rsid w:val="00D270D2"/>
    <w:rPr>
      <w:b/>
      <w:bCs/>
    </w:rPr>
  </w:style>
  <w:style w:type="character" w:customStyle="1" w:styleId="bold">
    <w:name w:val="bold"/>
    <w:basedOn w:val="DefaultParagraphFont"/>
    <w:rsid w:val="00D270D2"/>
    <w:rPr>
      <w:b/>
      <w:bCs/>
    </w:rPr>
  </w:style>
  <w:style w:type="paragraph" w:customStyle="1" w:styleId="ti-grseq-12">
    <w:name w:val="ti-grseq-12"/>
    <w:basedOn w:val="Normal"/>
    <w:rsid w:val="00D270D2"/>
    <w:pPr>
      <w:spacing w:before="240" w:line="312" w:lineRule="atLeast"/>
    </w:pPr>
    <w:rPr>
      <w:rFonts w:eastAsia="Times New Roman"/>
      <w:b/>
      <w:bCs/>
      <w:szCs w:val="24"/>
      <w:lang w:eastAsia="en-GB"/>
    </w:rPr>
  </w:style>
  <w:style w:type="paragraph" w:customStyle="1" w:styleId="Sous-titreobjet">
    <w:name w:val="Sous-titre objet"/>
    <w:basedOn w:val="Normal"/>
    <w:rsid w:val="00D270D2"/>
    <w:pPr>
      <w:spacing w:before="0" w:after="0"/>
      <w:jc w:val="center"/>
    </w:pPr>
    <w:rPr>
      <w:b/>
    </w:rPr>
  </w:style>
  <w:style w:type="paragraph" w:customStyle="1" w:styleId="Sous-titreobjetPagedecouverture">
    <w:name w:val="Sous-titre objet (Page de couverture)"/>
    <w:basedOn w:val="Sous-titreobjet"/>
    <w:rsid w:val="00D270D2"/>
  </w:style>
  <w:style w:type="table" w:styleId="TableGrid">
    <w:name w:val="Table Grid"/>
    <w:basedOn w:val="TableNormal"/>
    <w:uiPriority w:val="59"/>
    <w:rsid w:val="00D2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270D2"/>
    <w:rPr>
      <w:i/>
      <w:iCs/>
    </w:rPr>
  </w:style>
  <w:style w:type="paragraph" w:styleId="NormalWeb">
    <w:name w:val="Normal (Web)"/>
    <w:basedOn w:val="Normal"/>
    <w:uiPriority w:val="99"/>
    <w:unhideWhenUsed/>
    <w:rsid w:val="00D270D2"/>
    <w:pPr>
      <w:spacing w:before="0" w:after="150"/>
      <w:jc w:val="left"/>
    </w:pPr>
    <w:rPr>
      <w:rFonts w:eastAsia="Times New Roman"/>
      <w:szCs w:val="24"/>
      <w:lang w:eastAsia="en-GB"/>
    </w:rPr>
  </w:style>
  <w:style w:type="paragraph" w:customStyle="1" w:styleId="hidden">
    <w:name w:val="hidden"/>
    <w:basedOn w:val="Normal"/>
    <w:rsid w:val="00D270D2"/>
    <w:pPr>
      <w:spacing w:before="0" w:after="150"/>
      <w:jc w:val="left"/>
    </w:pPr>
    <w:rPr>
      <w:rFonts w:eastAsia="Times New Roman"/>
      <w:vanish/>
      <w:szCs w:val="24"/>
      <w:lang w:eastAsia="en-GB"/>
    </w:rPr>
  </w:style>
  <w:style w:type="paragraph" w:customStyle="1" w:styleId="FooterCoverPage">
    <w:name w:val="Footer Cover Page"/>
    <w:basedOn w:val="Normal"/>
    <w:link w:val="FooterCoverPageChar"/>
    <w:rsid w:val="00277323"/>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277323"/>
    <w:rPr>
      <w:rFonts w:ascii="Times New Roman" w:hAnsi="Times New Roman" w:cs="Times New Roman"/>
      <w:b/>
      <w:sz w:val="28"/>
      <w:lang w:val="lv-LV"/>
    </w:rPr>
  </w:style>
  <w:style w:type="character" w:customStyle="1" w:styleId="FooterCoverPageChar">
    <w:name w:val="Footer Cover Page Char"/>
    <w:basedOn w:val="TOCHeadingChar"/>
    <w:link w:val="FooterCoverPage"/>
    <w:rsid w:val="00277323"/>
    <w:rPr>
      <w:rFonts w:ascii="Times New Roman" w:hAnsi="Times New Roman" w:cs="Times New Roman"/>
      <w:b w:val="0"/>
      <w:sz w:val="24"/>
      <w:lang w:val="lv-LV"/>
    </w:rPr>
  </w:style>
  <w:style w:type="paragraph" w:customStyle="1" w:styleId="HeaderCoverPage">
    <w:name w:val="Header Cover Page"/>
    <w:basedOn w:val="Normal"/>
    <w:link w:val="HeaderCoverPageChar"/>
    <w:rsid w:val="00277323"/>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277323"/>
    <w:rPr>
      <w:rFonts w:ascii="Times New Roman" w:hAnsi="Times New Roman" w:cs="Times New Roman"/>
      <w:b w:val="0"/>
      <w:sz w:val="24"/>
      <w:lang w:val="lv-LV" w:eastAsia="en-GB"/>
    </w:rPr>
  </w:style>
  <w:style w:type="paragraph" w:styleId="Header">
    <w:name w:val="header"/>
    <w:basedOn w:val="Normal"/>
    <w:link w:val="HeaderChar"/>
    <w:uiPriority w:val="99"/>
    <w:unhideWhenUsed/>
    <w:rsid w:val="00400A03"/>
    <w:pPr>
      <w:tabs>
        <w:tab w:val="center" w:pos="4535"/>
        <w:tab w:val="right" w:pos="9071"/>
      </w:tabs>
      <w:spacing w:before="0"/>
    </w:pPr>
  </w:style>
  <w:style w:type="character" w:customStyle="1" w:styleId="HeaderChar">
    <w:name w:val="Header Char"/>
    <w:basedOn w:val="DefaultParagraphFont"/>
    <w:link w:val="Header"/>
    <w:uiPriority w:val="99"/>
    <w:rsid w:val="00400A03"/>
    <w:rPr>
      <w:rFonts w:ascii="Times New Roman" w:hAnsi="Times New Roman" w:cs="Times New Roman"/>
      <w:sz w:val="24"/>
      <w:lang w:val="lv-LV"/>
    </w:rPr>
  </w:style>
  <w:style w:type="paragraph" w:styleId="Footer">
    <w:name w:val="footer"/>
    <w:basedOn w:val="Normal"/>
    <w:link w:val="FooterChar"/>
    <w:uiPriority w:val="99"/>
    <w:unhideWhenUsed/>
    <w:rsid w:val="00400A0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00A03"/>
    <w:rPr>
      <w:rFonts w:ascii="Times New Roman" w:hAnsi="Times New Roman" w:cs="Times New Roman"/>
      <w:sz w:val="24"/>
      <w:lang w:val="lv-LV"/>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400A03"/>
    <w:pPr>
      <w:tabs>
        <w:tab w:val="center" w:pos="7285"/>
        <w:tab w:val="right" w:pos="14003"/>
      </w:tabs>
      <w:spacing w:before="0"/>
    </w:pPr>
  </w:style>
  <w:style w:type="paragraph" w:customStyle="1" w:styleId="FooterLandscape">
    <w:name w:val="FooterLandscape"/>
    <w:basedOn w:val="Normal"/>
    <w:rsid w:val="00400A0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400A0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00A03"/>
    <w:pPr>
      <w:spacing w:before="0"/>
      <w:jc w:val="right"/>
    </w:pPr>
    <w:rPr>
      <w:sz w:val="28"/>
    </w:rPr>
  </w:style>
  <w:style w:type="paragraph" w:customStyle="1" w:styleId="FooterSensitivity">
    <w:name w:val="Footer Sensitivity"/>
    <w:basedOn w:val="Normal"/>
    <w:rsid w:val="00400A0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9"/>
      </w:numPr>
    </w:pPr>
  </w:style>
  <w:style w:type="paragraph" w:customStyle="1" w:styleId="Tiret1">
    <w:name w:val="Tiret 1"/>
    <w:basedOn w:val="Point1"/>
    <w:rsid w:val="00517205"/>
    <w:pPr>
      <w:numPr>
        <w:numId w:val="20"/>
      </w:numPr>
    </w:pPr>
  </w:style>
  <w:style w:type="paragraph" w:customStyle="1" w:styleId="Tiret2">
    <w:name w:val="Tiret 2"/>
    <w:basedOn w:val="Point2"/>
    <w:rsid w:val="00517205"/>
    <w:pPr>
      <w:numPr>
        <w:numId w:val="21"/>
      </w:numPr>
    </w:pPr>
  </w:style>
  <w:style w:type="paragraph" w:customStyle="1" w:styleId="Tiret3">
    <w:name w:val="Tiret 3"/>
    <w:basedOn w:val="Point3"/>
    <w:rsid w:val="00517205"/>
    <w:pPr>
      <w:numPr>
        <w:numId w:val="22"/>
      </w:numPr>
    </w:pPr>
  </w:style>
  <w:style w:type="paragraph" w:customStyle="1" w:styleId="Tiret4">
    <w:name w:val="Tiret 4"/>
    <w:basedOn w:val="Point4"/>
    <w:rsid w:val="00517205"/>
    <w:pPr>
      <w:numPr>
        <w:numId w:val="23"/>
      </w:numPr>
    </w:pPr>
  </w:style>
  <w:style w:type="paragraph" w:customStyle="1" w:styleId="Tiret5">
    <w:name w:val="Tiret 5"/>
    <w:basedOn w:val="Point5"/>
    <w:rsid w:val="00517205"/>
    <w:pPr>
      <w:numPr>
        <w:numId w:val="24"/>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5"/>
      </w:numPr>
    </w:pPr>
  </w:style>
  <w:style w:type="paragraph" w:customStyle="1" w:styleId="NumPar2">
    <w:name w:val="NumPar 2"/>
    <w:basedOn w:val="Normal"/>
    <w:next w:val="Text1"/>
    <w:rsid w:val="00517205"/>
    <w:pPr>
      <w:numPr>
        <w:ilvl w:val="1"/>
        <w:numId w:val="25"/>
      </w:numPr>
    </w:pPr>
  </w:style>
  <w:style w:type="paragraph" w:customStyle="1" w:styleId="NumPar3">
    <w:name w:val="NumPar 3"/>
    <w:basedOn w:val="Normal"/>
    <w:next w:val="Text1"/>
    <w:rsid w:val="00517205"/>
    <w:pPr>
      <w:numPr>
        <w:ilvl w:val="2"/>
        <w:numId w:val="25"/>
      </w:numPr>
    </w:pPr>
  </w:style>
  <w:style w:type="paragraph" w:customStyle="1" w:styleId="NumPar4">
    <w:name w:val="NumPar 4"/>
    <w:basedOn w:val="Normal"/>
    <w:next w:val="Text1"/>
    <w:rsid w:val="00517205"/>
    <w:pPr>
      <w:numPr>
        <w:ilvl w:val="3"/>
        <w:numId w:val="25"/>
      </w:numPr>
    </w:pPr>
  </w:style>
  <w:style w:type="paragraph" w:customStyle="1" w:styleId="NumPar5">
    <w:name w:val="NumPar 5"/>
    <w:basedOn w:val="Normal"/>
    <w:next w:val="Text2"/>
    <w:rsid w:val="00517205"/>
    <w:pPr>
      <w:numPr>
        <w:ilvl w:val="4"/>
        <w:numId w:val="25"/>
      </w:numPr>
    </w:pPr>
  </w:style>
  <w:style w:type="paragraph" w:customStyle="1" w:styleId="NumPar6">
    <w:name w:val="NumPar 6"/>
    <w:basedOn w:val="Normal"/>
    <w:next w:val="Text2"/>
    <w:rsid w:val="00517205"/>
    <w:pPr>
      <w:numPr>
        <w:ilvl w:val="5"/>
        <w:numId w:val="25"/>
      </w:numPr>
    </w:pPr>
  </w:style>
  <w:style w:type="paragraph" w:customStyle="1" w:styleId="NumPar7">
    <w:name w:val="NumPar 7"/>
    <w:basedOn w:val="Normal"/>
    <w:next w:val="Text2"/>
    <w:rsid w:val="00517205"/>
    <w:pPr>
      <w:numPr>
        <w:ilvl w:val="6"/>
        <w:numId w:val="25"/>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9352DC"/>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7"/>
      </w:numPr>
    </w:pPr>
  </w:style>
  <w:style w:type="paragraph" w:customStyle="1" w:styleId="Point1number">
    <w:name w:val="Point 1 (number)"/>
    <w:basedOn w:val="Normal"/>
    <w:rsid w:val="00517205"/>
    <w:pPr>
      <w:numPr>
        <w:ilvl w:val="2"/>
        <w:numId w:val="27"/>
      </w:numPr>
    </w:pPr>
  </w:style>
  <w:style w:type="paragraph" w:customStyle="1" w:styleId="Point2number">
    <w:name w:val="Point 2 (number)"/>
    <w:basedOn w:val="Normal"/>
    <w:rsid w:val="00517205"/>
    <w:pPr>
      <w:numPr>
        <w:ilvl w:val="4"/>
        <w:numId w:val="27"/>
      </w:numPr>
    </w:pPr>
  </w:style>
  <w:style w:type="paragraph" w:customStyle="1" w:styleId="Point3number">
    <w:name w:val="Point 3 (number)"/>
    <w:basedOn w:val="Normal"/>
    <w:rsid w:val="00517205"/>
    <w:pPr>
      <w:numPr>
        <w:ilvl w:val="6"/>
        <w:numId w:val="27"/>
      </w:numPr>
    </w:pPr>
  </w:style>
  <w:style w:type="paragraph" w:customStyle="1" w:styleId="Point0letter">
    <w:name w:val="Point 0 (letter)"/>
    <w:basedOn w:val="Normal"/>
    <w:rsid w:val="00517205"/>
    <w:pPr>
      <w:numPr>
        <w:ilvl w:val="1"/>
        <w:numId w:val="27"/>
      </w:numPr>
    </w:pPr>
  </w:style>
  <w:style w:type="paragraph" w:customStyle="1" w:styleId="Point1letter">
    <w:name w:val="Point 1 (letter)"/>
    <w:basedOn w:val="Normal"/>
    <w:rsid w:val="00517205"/>
    <w:pPr>
      <w:numPr>
        <w:ilvl w:val="3"/>
        <w:numId w:val="27"/>
      </w:numPr>
    </w:pPr>
  </w:style>
  <w:style w:type="paragraph" w:customStyle="1" w:styleId="Point2letter">
    <w:name w:val="Point 2 (letter)"/>
    <w:basedOn w:val="Normal"/>
    <w:rsid w:val="00517205"/>
    <w:pPr>
      <w:numPr>
        <w:ilvl w:val="5"/>
        <w:numId w:val="27"/>
      </w:numPr>
    </w:pPr>
  </w:style>
  <w:style w:type="paragraph" w:customStyle="1" w:styleId="Point3letter">
    <w:name w:val="Point 3 (letter)"/>
    <w:basedOn w:val="Normal"/>
    <w:rsid w:val="00517205"/>
    <w:pPr>
      <w:numPr>
        <w:ilvl w:val="7"/>
        <w:numId w:val="27"/>
      </w:numPr>
    </w:pPr>
  </w:style>
  <w:style w:type="paragraph" w:customStyle="1" w:styleId="Point4letter">
    <w:name w:val="Point 4 (letter)"/>
    <w:basedOn w:val="Normal"/>
    <w:rsid w:val="00517205"/>
    <w:pPr>
      <w:numPr>
        <w:ilvl w:val="8"/>
        <w:numId w:val="27"/>
      </w:numPr>
    </w:pPr>
  </w:style>
  <w:style w:type="paragraph" w:customStyle="1" w:styleId="Bullet0">
    <w:name w:val="Bullet 0"/>
    <w:basedOn w:val="Normal"/>
    <w:rsid w:val="00517205"/>
    <w:pPr>
      <w:numPr>
        <w:numId w:val="28"/>
      </w:numPr>
    </w:pPr>
  </w:style>
  <w:style w:type="paragraph" w:customStyle="1" w:styleId="Bullet1">
    <w:name w:val="Bullet 1"/>
    <w:basedOn w:val="Normal"/>
    <w:rsid w:val="00517205"/>
    <w:pPr>
      <w:numPr>
        <w:numId w:val="29"/>
      </w:numPr>
    </w:pPr>
  </w:style>
  <w:style w:type="paragraph" w:customStyle="1" w:styleId="Bullet2">
    <w:name w:val="Bullet 2"/>
    <w:basedOn w:val="Normal"/>
    <w:rsid w:val="00517205"/>
    <w:pPr>
      <w:numPr>
        <w:numId w:val="30"/>
      </w:numPr>
    </w:pPr>
  </w:style>
  <w:style w:type="paragraph" w:customStyle="1" w:styleId="Bullet3">
    <w:name w:val="Bullet 3"/>
    <w:basedOn w:val="Normal"/>
    <w:rsid w:val="00517205"/>
    <w:pPr>
      <w:numPr>
        <w:numId w:val="31"/>
      </w:numPr>
    </w:pPr>
  </w:style>
  <w:style w:type="paragraph" w:customStyle="1" w:styleId="Bullet4">
    <w:name w:val="Bullet 4"/>
    <w:basedOn w:val="Normal"/>
    <w:rsid w:val="00517205"/>
    <w:pPr>
      <w:numPr>
        <w:numId w:val="32"/>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3"/>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9352">
      <w:bodyDiv w:val="1"/>
      <w:marLeft w:val="0"/>
      <w:marRight w:val="0"/>
      <w:marTop w:val="0"/>
      <w:marBottom w:val="0"/>
      <w:divBdr>
        <w:top w:val="none" w:sz="0" w:space="0" w:color="auto"/>
        <w:left w:val="none" w:sz="0" w:space="0" w:color="auto"/>
        <w:bottom w:val="none" w:sz="0" w:space="0" w:color="auto"/>
        <w:right w:val="none" w:sz="0" w:space="0" w:color="auto"/>
      </w:divBdr>
    </w:div>
    <w:div w:id="109515952">
      <w:bodyDiv w:val="1"/>
      <w:marLeft w:val="0"/>
      <w:marRight w:val="0"/>
      <w:marTop w:val="0"/>
      <w:marBottom w:val="0"/>
      <w:divBdr>
        <w:top w:val="none" w:sz="0" w:space="0" w:color="auto"/>
        <w:left w:val="none" w:sz="0" w:space="0" w:color="auto"/>
        <w:bottom w:val="none" w:sz="0" w:space="0" w:color="auto"/>
        <w:right w:val="none" w:sz="0" w:space="0" w:color="auto"/>
      </w:divBdr>
    </w:div>
    <w:div w:id="239412536">
      <w:bodyDiv w:val="1"/>
      <w:marLeft w:val="0"/>
      <w:marRight w:val="0"/>
      <w:marTop w:val="0"/>
      <w:marBottom w:val="0"/>
      <w:divBdr>
        <w:top w:val="none" w:sz="0" w:space="0" w:color="auto"/>
        <w:left w:val="none" w:sz="0" w:space="0" w:color="auto"/>
        <w:bottom w:val="none" w:sz="0" w:space="0" w:color="auto"/>
        <w:right w:val="none" w:sz="0" w:space="0" w:color="auto"/>
      </w:divBdr>
      <w:divsChild>
        <w:div w:id="48304366">
          <w:marLeft w:val="0"/>
          <w:marRight w:val="0"/>
          <w:marTop w:val="0"/>
          <w:marBottom w:val="0"/>
          <w:divBdr>
            <w:top w:val="none" w:sz="0" w:space="0" w:color="auto"/>
            <w:left w:val="none" w:sz="0" w:space="0" w:color="auto"/>
            <w:bottom w:val="none" w:sz="0" w:space="0" w:color="auto"/>
            <w:right w:val="none" w:sz="0" w:space="0" w:color="auto"/>
          </w:divBdr>
          <w:divsChild>
            <w:div w:id="517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3782">
      <w:bodyDiv w:val="1"/>
      <w:marLeft w:val="0"/>
      <w:marRight w:val="0"/>
      <w:marTop w:val="0"/>
      <w:marBottom w:val="0"/>
      <w:divBdr>
        <w:top w:val="none" w:sz="0" w:space="0" w:color="auto"/>
        <w:left w:val="none" w:sz="0" w:space="0" w:color="auto"/>
        <w:bottom w:val="none" w:sz="0" w:space="0" w:color="auto"/>
        <w:right w:val="none" w:sz="0" w:space="0" w:color="auto"/>
      </w:divBdr>
    </w:div>
    <w:div w:id="336541489">
      <w:bodyDiv w:val="1"/>
      <w:marLeft w:val="0"/>
      <w:marRight w:val="0"/>
      <w:marTop w:val="0"/>
      <w:marBottom w:val="0"/>
      <w:divBdr>
        <w:top w:val="none" w:sz="0" w:space="0" w:color="auto"/>
        <w:left w:val="none" w:sz="0" w:space="0" w:color="auto"/>
        <w:bottom w:val="none" w:sz="0" w:space="0" w:color="auto"/>
        <w:right w:val="none" w:sz="0" w:space="0" w:color="auto"/>
      </w:divBdr>
    </w:div>
    <w:div w:id="413014906">
      <w:bodyDiv w:val="1"/>
      <w:marLeft w:val="0"/>
      <w:marRight w:val="0"/>
      <w:marTop w:val="0"/>
      <w:marBottom w:val="0"/>
      <w:divBdr>
        <w:top w:val="none" w:sz="0" w:space="0" w:color="auto"/>
        <w:left w:val="none" w:sz="0" w:space="0" w:color="auto"/>
        <w:bottom w:val="none" w:sz="0" w:space="0" w:color="auto"/>
        <w:right w:val="none" w:sz="0" w:space="0" w:color="auto"/>
      </w:divBdr>
    </w:div>
    <w:div w:id="759641325">
      <w:bodyDiv w:val="1"/>
      <w:marLeft w:val="0"/>
      <w:marRight w:val="0"/>
      <w:marTop w:val="0"/>
      <w:marBottom w:val="0"/>
      <w:divBdr>
        <w:top w:val="none" w:sz="0" w:space="0" w:color="auto"/>
        <w:left w:val="none" w:sz="0" w:space="0" w:color="auto"/>
        <w:bottom w:val="none" w:sz="0" w:space="0" w:color="auto"/>
        <w:right w:val="none" w:sz="0" w:space="0" w:color="auto"/>
      </w:divBdr>
    </w:div>
    <w:div w:id="792333122">
      <w:bodyDiv w:val="1"/>
      <w:marLeft w:val="0"/>
      <w:marRight w:val="0"/>
      <w:marTop w:val="0"/>
      <w:marBottom w:val="0"/>
      <w:divBdr>
        <w:top w:val="none" w:sz="0" w:space="0" w:color="auto"/>
        <w:left w:val="none" w:sz="0" w:space="0" w:color="auto"/>
        <w:bottom w:val="none" w:sz="0" w:space="0" w:color="auto"/>
        <w:right w:val="none" w:sz="0" w:space="0" w:color="auto"/>
      </w:divBdr>
    </w:div>
    <w:div w:id="803811078">
      <w:bodyDiv w:val="1"/>
      <w:marLeft w:val="0"/>
      <w:marRight w:val="0"/>
      <w:marTop w:val="0"/>
      <w:marBottom w:val="0"/>
      <w:divBdr>
        <w:top w:val="none" w:sz="0" w:space="0" w:color="auto"/>
        <w:left w:val="none" w:sz="0" w:space="0" w:color="auto"/>
        <w:bottom w:val="none" w:sz="0" w:space="0" w:color="auto"/>
        <w:right w:val="none" w:sz="0" w:space="0" w:color="auto"/>
      </w:divBdr>
    </w:div>
    <w:div w:id="840584757">
      <w:bodyDiv w:val="1"/>
      <w:marLeft w:val="0"/>
      <w:marRight w:val="0"/>
      <w:marTop w:val="0"/>
      <w:marBottom w:val="0"/>
      <w:divBdr>
        <w:top w:val="none" w:sz="0" w:space="0" w:color="auto"/>
        <w:left w:val="none" w:sz="0" w:space="0" w:color="auto"/>
        <w:bottom w:val="none" w:sz="0" w:space="0" w:color="auto"/>
        <w:right w:val="none" w:sz="0" w:space="0" w:color="auto"/>
      </w:divBdr>
    </w:div>
    <w:div w:id="1020399835">
      <w:bodyDiv w:val="1"/>
      <w:marLeft w:val="0"/>
      <w:marRight w:val="0"/>
      <w:marTop w:val="0"/>
      <w:marBottom w:val="0"/>
      <w:divBdr>
        <w:top w:val="none" w:sz="0" w:space="0" w:color="auto"/>
        <w:left w:val="none" w:sz="0" w:space="0" w:color="auto"/>
        <w:bottom w:val="none" w:sz="0" w:space="0" w:color="auto"/>
        <w:right w:val="none" w:sz="0" w:space="0" w:color="auto"/>
      </w:divBdr>
    </w:div>
    <w:div w:id="1036199854">
      <w:bodyDiv w:val="1"/>
      <w:marLeft w:val="0"/>
      <w:marRight w:val="0"/>
      <w:marTop w:val="0"/>
      <w:marBottom w:val="0"/>
      <w:divBdr>
        <w:top w:val="none" w:sz="0" w:space="0" w:color="auto"/>
        <w:left w:val="none" w:sz="0" w:space="0" w:color="auto"/>
        <w:bottom w:val="none" w:sz="0" w:space="0" w:color="auto"/>
        <w:right w:val="none" w:sz="0" w:space="0" w:color="auto"/>
      </w:divBdr>
    </w:div>
    <w:div w:id="1058164167">
      <w:bodyDiv w:val="1"/>
      <w:marLeft w:val="0"/>
      <w:marRight w:val="0"/>
      <w:marTop w:val="0"/>
      <w:marBottom w:val="0"/>
      <w:divBdr>
        <w:top w:val="none" w:sz="0" w:space="0" w:color="auto"/>
        <w:left w:val="none" w:sz="0" w:space="0" w:color="auto"/>
        <w:bottom w:val="none" w:sz="0" w:space="0" w:color="auto"/>
        <w:right w:val="none" w:sz="0" w:space="0" w:color="auto"/>
      </w:divBdr>
    </w:div>
    <w:div w:id="1069304607">
      <w:bodyDiv w:val="1"/>
      <w:marLeft w:val="0"/>
      <w:marRight w:val="0"/>
      <w:marTop w:val="0"/>
      <w:marBottom w:val="0"/>
      <w:divBdr>
        <w:top w:val="none" w:sz="0" w:space="0" w:color="auto"/>
        <w:left w:val="none" w:sz="0" w:space="0" w:color="auto"/>
        <w:bottom w:val="none" w:sz="0" w:space="0" w:color="auto"/>
        <w:right w:val="none" w:sz="0" w:space="0" w:color="auto"/>
      </w:divBdr>
    </w:div>
    <w:div w:id="1206480836">
      <w:bodyDiv w:val="1"/>
      <w:marLeft w:val="0"/>
      <w:marRight w:val="0"/>
      <w:marTop w:val="0"/>
      <w:marBottom w:val="0"/>
      <w:divBdr>
        <w:top w:val="none" w:sz="0" w:space="0" w:color="auto"/>
        <w:left w:val="none" w:sz="0" w:space="0" w:color="auto"/>
        <w:bottom w:val="none" w:sz="0" w:space="0" w:color="auto"/>
        <w:right w:val="none" w:sz="0" w:space="0" w:color="auto"/>
      </w:divBdr>
    </w:div>
    <w:div w:id="1251161004">
      <w:bodyDiv w:val="1"/>
      <w:marLeft w:val="0"/>
      <w:marRight w:val="0"/>
      <w:marTop w:val="0"/>
      <w:marBottom w:val="0"/>
      <w:divBdr>
        <w:top w:val="none" w:sz="0" w:space="0" w:color="auto"/>
        <w:left w:val="none" w:sz="0" w:space="0" w:color="auto"/>
        <w:bottom w:val="none" w:sz="0" w:space="0" w:color="auto"/>
        <w:right w:val="none" w:sz="0" w:space="0" w:color="auto"/>
      </w:divBdr>
    </w:div>
    <w:div w:id="1256859194">
      <w:bodyDiv w:val="1"/>
      <w:marLeft w:val="0"/>
      <w:marRight w:val="0"/>
      <w:marTop w:val="0"/>
      <w:marBottom w:val="0"/>
      <w:divBdr>
        <w:top w:val="none" w:sz="0" w:space="0" w:color="auto"/>
        <w:left w:val="none" w:sz="0" w:space="0" w:color="auto"/>
        <w:bottom w:val="none" w:sz="0" w:space="0" w:color="auto"/>
        <w:right w:val="none" w:sz="0" w:space="0" w:color="auto"/>
      </w:divBdr>
    </w:div>
    <w:div w:id="1294874134">
      <w:bodyDiv w:val="1"/>
      <w:marLeft w:val="0"/>
      <w:marRight w:val="0"/>
      <w:marTop w:val="0"/>
      <w:marBottom w:val="0"/>
      <w:divBdr>
        <w:top w:val="none" w:sz="0" w:space="0" w:color="auto"/>
        <w:left w:val="none" w:sz="0" w:space="0" w:color="auto"/>
        <w:bottom w:val="none" w:sz="0" w:space="0" w:color="auto"/>
        <w:right w:val="none" w:sz="0" w:space="0" w:color="auto"/>
      </w:divBdr>
    </w:div>
    <w:div w:id="1299798438">
      <w:bodyDiv w:val="1"/>
      <w:marLeft w:val="0"/>
      <w:marRight w:val="0"/>
      <w:marTop w:val="0"/>
      <w:marBottom w:val="0"/>
      <w:divBdr>
        <w:top w:val="none" w:sz="0" w:space="0" w:color="auto"/>
        <w:left w:val="none" w:sz="0" w:space="0" w:color="auto"/>
        <w:bottom w:val="none" w:sz="0" w:space="0" w:color="auto"/>
        <w:right w:val="none" w:sz="0" w:space="0" w:color="auto"/>
      </w:divBdr>
    </w:div>
    <w:div w:id="1403678544">
      <w:bodyDiv w:val="1"/>
      <w:marLeft w:val="0"/>
      <w:marRight w:val="0"/>
      <w:marTop w:val="0"/>
      <w:marBottom w:val="0"/>
      <w:divBdr>
        <w:top w:val="none" w:sz="0" w:space="0" w:color="auto"/>
        <w:left w:val="none" w:sz="0" w:space="0" w:color="auto"/>
        <w:bottom w:val="none" w:sz="0" w:space="0" w:color="auto"/>
        <w:right w:val="none" w:sz="0" w:space="0" w:color="auto"/>
      </w:divBdr>
    </w:div>
    <w:div w:id="1948852339">
      <w:bodyDiv w:val="1"/>
      <w:marLeft w:val="0"/>
      <w:marRight w:val="0"/>
      <w:marTop w:val="0"/>
      <w:marBottom w:val="0"/>
      <w:divBdr>
        <w:top w:val="none" w:sz="0" w:space="0" w:color="auto"/>
        <w:left w:val="none" w:sz="0" w:space="0" w:color="auto"/>
        <w:bottom w:val="none" w:sz="0" w:space="0" w:color="auto"/>
        <w:right w:val="none" w:sz="0" w:space="0" w:color="auto"/>
      </w:divBdr>
    </w:div>
    <w:div w:id="1983999061">
      <w:bodyDiv w:val="1"/>
      <w:marLeft w:val="0"/>
      <w:marRight w:val="0"/>
      <w:marTop w:val="0"/>
      <w:marBottom w:val="0"/>
      <w:divBdr>
        <w:top w:val="none" w:sz="0" w:space="0" w:color="auto"/>
        <w:left w:val="none" w:sz="0" w:space="0" w:color="auto"/>
        <w:bottom w:val="none" w:sz="0" w:space="0" w:color="auto"/>
        <w:right w:val="none" w:sz="0" w:space="0" w:color="auto"/>
      </w:divBdr>
    </w:div>
    <w:div w:id="2069644947">
      <w:bodyDiv w:val="1"/>
      <w:marLeft w:val="0"/>
      <w:marRight w:val="0"/>
      <w:marTop w:val="0"/>
      <w:marBottom w:val="0"/>
      <w:divBdr>
        <w:top w:val="none" w:sz="0" w:space="0" w:color="auto"/>
        <w:left w:val="none" w:sz="0" w:space="0" w:color="auto"/>
        <w:bottom w:val="none" w:sz="0" w:space="0" w:color="auto"/>
        <w:right w:val="none" w:sz="0" w:space="0" w:color="auto"/>
      </w:divBdr>
    </w:div>
    <w:div w:id="2085956187">
      <w:bodyDiv w:val="1"/>
      <w:marLeft w:val="0"/>
      <w:marRight w:val="0"/>
      <w:marTop w:val="0"/>
      <w:marBottom w:val="0"/>
      <w:divBdr>
        <w:top w:val="none" w:sz="0" w:space="0" w:color="auto"/>
        <w:left w:val="none" w:sz="0" w:space="0" w:color="auto"/>
        <w:bottom w:val="none" w:sz="0" w:space="0" w:color="auto"/>
        <w:right w:val="none" w:sz="0" w:space="0" w:color="auto"/>
      </w:divBdr>
    </w:div>
    <w:div w:id="2147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62e97ea9-7ea3-481f-81a3-2d45a5a9b393">Not Started</EC_Collab_Status>
    <EC_Collab_DocumentLanguage xmlns="62e97ea9-7ea3-481f-81a3-2d45a5a9b393">EN</EC_Collab_DocumentLanguage>
    <EC_Collab_Reference xmlns="62e97ea9-7ea3-481f-81a3-2d45a5a9b3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934AA0B36B1384886ADB3E40549A2B0" ma:contentTypeVersion="0" ma:contentTypeDescription="Create a new document in this library." ma:contentTypeScope="" ma:versionID="2ccea2f6a9419b2cc6372d603c4d829b">
  <xsd:schema xmlns:xsd="http://www.w3.org/2001/XMLSchema" xmlns:xs="http://www.w3.org/2001/XMLSchema" xmlns:p="http://schemas.microsoft.com/office/2006/metadata/properties" xmlns:ns2="http://schemas.microsoft.com/sharepoint/v3/fields" xmlns:ns3="62e97ea9-7ea3-481f-81a3-2d45a5a9b393" targetNamespace="http://schemas.microsoft.com/office/2006/metadata/properties" ma:root="true" ma:fieldsID="e99a88584d72bb20f25083a2210d0d03" ns2:_="" ns3:_="">
    <xsd:import namespace="http://schemas.microsoft.com/sharepoint/v3/fields"/>
    <xsd:import namespace="62e97ea9-7ea3-481f-81a3-2d45a5a9b39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e97ea9-7ea3-481f-81a3-2d45a5a9b39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716F78-C311-4872-8C4A-C603A696F179}">
  <ds:schemaRefs>
    <ds:schemaRef ds:uri="http://schemas.microsoft.com/sharepoint/v3/fields"/>
    <ds:schemaRef ds:uri="http://schemas.microsoft.com/office/2006/documentManagement/types"/>
    <ds:schemaRef ds:uri="http://purl.org/dc/elements/1.1/"/>
    <ds:schemaRef ds:uri="http://schemas.microsoft.com/office/2006/metadata/properties"/>
    <ds:schemaRef ds:uri="http://schemas.microsoft.com/office/infopath/2007/PartnerControls"/>
    <ds:schemaRef ds:uri="62e97ea9-7ea3-481f-81a3-2d45a5a9b39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E3FE85-EE68-4FCA-AD13-79181A2C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2e97ea9-7ea3-481f-81a3-2d45a5a9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58C45-29C4-4014-94DF-4206643B6015}">
  <ds:schemaRefs>
    <ds:schemaRef ds:uri="http://schemas.microsoft.com/sharepoint/v3/contenttype/forms"/>
  </ds:schemaRefs>
</ds:datastoreItem>
</file>

<file path=customXml/itemProps4.xml><?xml version="1.0" encoding="utf-8"?>
<ds:datastoreItem xmlns:ds="http://schemas.openxmlformats.org/officeDocument/2006/customXml" ds:itemID="{67B3D6A0-81E7-484B-87AE-42ADBE9D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30</TotalTime>
  <Pages>21</Pages>
  <Words>3631</Words>
  <Characters>25096</Characters>
  <Application>Microsoft Office Word</Application>
  <DocSecurity>0</DocSecurity>
  <Lines>1320</Lines>
  <Paragraphs>522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dcterms:created xsi:type="dcterms:W3CDTF">2022-05-11T15:13:00Z</dcterms:created>
  <dcterms:modified xsi:type="dcterms:W3CDTF">2022-05-20T08:10:00Z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8.0, Build 20220128</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0x010100258AA79CEB83498886A3A08681123250009934AA0B36B1384886ADB3E40549A2B0</vt:lpwstr>
  </property>
  <property fmtid="{D5CDD505-2E9C-101B-9397-08002B2CF9AE}" pid="11" name="MSIP_Label_6bd9ddd1-4d20-43f6-abfa-fc3c07406f94_Enabled">
    <vt:lpwstr>true</vt:lpwstr>
  </property>
  <property fmtid="{D5CDD505-2E9C-101B-9397-08002B2CF9AE}" pid="12" name="MSIP_Label_6bd9ddd1-4d20-43f6-abfa-fc3c07406f94_SetDate">
    <vt:lpwstr>2022-04-11T07:46:11Z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062ccc00-b4ac-4b6a-8b0c-bb21533a3720</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